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E551">
      <w:pPr>
        <w:bidi w:val="0"/>
        <w:rPr>
          <w:rFonts w:hint="eastAsia" w:ascii="宋体" w:hAnsi="宋体" w:eastAsia="宋体" w:cs="宋体"/>
          <w:color w:val="auto"/>
          <w:highlight w:val="none"/>
          <w:lang w:val="zh-CN"/>
        </w:rPr>
      </w:pPr>
    </w:p>
    <w:p w14:paraId="7C3B3F69">
      <w:pPr>
        <w:bidi w:val="0"/>
        <w:rPr>
          <w:rFonts w:hint="eastAsia" w:ascii="宋体" w:hAnsi="宋体" w:eastAsia="宋体" w:cs="宋体"/>
          <w:color w:val="auto"/>
          <w:highlight w:val="none"/>
          <w:lang w:val="zh-CN"/>
        </w:rPr>
      </w:pPr>
    </w:p>
    <w:p w14:paraId="3411562C">
      <w:pPr>
        <w:bidi w:val="0"/>
        <w:rPr>
          <w:rFonts w:hint="eastAsia" w:ascii="宋体" w:hAnsi="宋体" w:eastAsia="宋体" w:cs="宋体"/>
          <w:color w:val="auto"/>
          <w:highlight w:val="none"/>
          <w:lang w:val="zh-CN"/>
        </w:rPr>
      </w:pPr>
    </w:p>
    <w:p w14:paraId="2F7829E9">
      <w:pPr>
        <w:bidi w:val="0"/>
        <w:ind w:left="0" w:leftChars="0" w:firstLine="0" w:firstLineChars="0"/>
        <w:jc w:val="center"/>
        <w:rPr>
          <w:rFonts w:hint="eastAsia" w:ascii="宋体" w:hAnsi="宋体" w:eastAsia="宋体" w:cs="宋体"/>
          <w:b/>
          <w:bCs/>
          <w:color w:val="auto"/>
          <w:sz w:val="84"/>
          <w:szCs w:val="84"/>
          <w:highlight w:val="none"/>
          <w:lang w:val="zh-CN"/>
        </w:rPr>
      </w:pPr>
    </w:p>
    <w:p w14:paraId="3FA8FB90">
      <w:pPr>
        <w:bidi w:val="0"/>
        <w:ind w:left="0" w:leftChars="0" w:firstLine="0" w:firstLineChars="0"/>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lang w:val="zh-CN"/>
        </w:rPr>
        <w:t>竞争性磋商文件</w:t>
      </w:r>
    </w:p>
    <w:p w14:paraId="197CCB07">
      <w:pPr>
        <w:bidi w:val="0"/>
        <w:rPr>
          <w:rFonts w:hint="eastAsia" w:ascii="宋体" w:hAnsi="宋体" w:eastAsia="宋体" w:cs="宋体"/>
          <w:color w:val="auto"/>
          <w:highlight w:val="none"/>
        </w:rPr>
      </w:pPr>
    </w:p>
    <w:p w14:paraId="64856F8E">
      <w:pPr>
        <w:bidi w:val="0"/>
        <w:rPr>
          <w:rFonts w:hint="eastAsia" w:ascii="宋体" w:hAnsi="宋体" w:eastAsia="宋体" w:cs="宋体"/>
          <w:color w:val="auto"/>
          <w:highlight w:val="none"/>
        </w:rPr>
      </w:pPr>
    </w:p>
    <w:p w14:paraId="5E0EE1E3">
      <w:pPr>
        <w:keepNext w:val="0"/>
        <w:keepLines w:val="0"/>
        <w:pageBreakBefore w:val="0"/>
        <w:widowControl w:val="0"/>
        <w:kinsoku/>
        <w:wordWrap/>
        <w:overflowPunct/>
        <w:topLinePunct w:val="0"/>
        <w:autoSpaceDE/>
        <w:autoSpaceDN/>
        <w:bidi w:val="0"/>
        <w:adjustRightInd/>
        <w:snapToGrid/>
        <w:ind w:left="2887" w:leftChars="266" w:hanging="2249" w:hangingChars="7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采购项目名称：</w:t>
      </w:r>
      <w:r>
        <w:rPr>
          <w:rFonts w:hint="eastAsia" w:ascii="宋体" w:hAnsi="宋体" w:cs="宋体"/>
          <w:b/>
          <w:bCs/>
          <w:color w:val="auto"/>
          <w:sz w:val="32"/>
          <w:szCs w:val="32"/>
          <w:highlight w:val="none"/>
          <w:lang w:eastAsia="zh-CN"/>
        </w:rPr>
        <w:t>青海省财政厅信息机房设备维保服务项目</w:t>
      </w:r>
    </w:p>
    <w:p w14:paraId="7CA9084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32"/>
          <w:highlight w:val="none"/>
          <w:lang w:eastAsia="zh-CN"/>
        </w:rPr>
      </w:pPr>
    </w:p>
    <w:p w14:paraId="76AC4F0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采购项目编号：</w:t>
      </w:r>
      <w:r>
        <w:rPr>
          <w:rFonts w:hint="eastAsia" w:ascii="宋体" w:hAnsi="宋体" w:cs="宋体"/>
          <w:b/>
          <w:bCs/>
          <w:color w:val="auto"/>
          <w:sz w:val="32"/>
          <w:szCs w:val="32"/>
          <w:highlight w:val="none"/>
          <w:lang w:eastAsia="zh-CN"/>
        </w:rPr>
        <w:t>青海联祥磋商（服务）2026-057</w:t>
      </w:r>
    </w:p>
    <w:p w14:paraId="40C8419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32"/>
          <w:highlight w:val="none"/>
          <w:lang w:eastAsia="zh-CN"/>
        </w:rPr>
      </w:pPr>
    </w:p>
    <w:p w14:paraId="701B5AB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 购 单 位：</w:t>
      </w:r>
      <w:r>
        <w:rPr>
          <w:rFonts w:hint="eastAsia" w:ascii="宋体" w:hAnsi="宋体" w:cs="宋体"/>
          <w:b/>
          <w:bCs/>
          <w:color w:val="auto"/>
          <w:sz w:val="32"/>
          <w:szCs w:val="32"/>
          <w:highlight w:val="none"/>
          <w:lang w:eastAsia="zh-CN"/>
        </w:rPr>
        <w:t>青海省财政厅</w:t>
      </w:r>
    </w:p>
    <w:p w14:paraId="3016D63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32"/>
          <w:highlight w:val="none"/>
          <w:lang w:eastAsia="zh-CN"/>
        </w:rPr>
      </w:pPr>
    </w:p>
    <w:p w14:paraId="6167280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采购代理机构：青海联祥招标代理有限公司</w:t>
      </w:r>
    </w:p>
    <w:p w14:paraId="46620851">
      <w:pPr>
        <w:bidi w:val="0"/>
        <w:rPr>
          <w:rFonts w:hint="eastAsia" w:ascii="宋体" w:hAnsi="宋体" w:eastAsia="宋体" w:cs="宋体"/>
          <w:b/>
          <w:bCs/>
          <w:color w:val="auto"/>
          <w:sz w:val="32"/>
          <w:szCs w:val="32"/>
          <w:highlight w:val="none"/>
        </w:rPr>
      </w:pPr>
    </w:p>
    <w:p w14:paraId="7B6D9699">
      <w:pPr>
        <w:bidi w:val="0"/>
        <w:rPr>
          <w:rFonts w:hint="eastAsia" w:ascii="宋体" w:hAnsi="宋体" w:eastAsia="宋体" w:cs="宋体"/>
          <w:b/>
          <w:bCs/>
          <w:color w:val="auto"/>
          <w:sz w:val="32"/>
          <w:szCs w:val="32"/>
          <w:highlight w:val="none"/>
        </w:rPr>
      </w:pPr>
    </w:p>
    <w:p w14:paraId="0F721264">
      <w:pPr>
        <w:bidi w:val="0"/>
        <w:rPr>
          <w:rFonts w:hint="eastAsia" w:ascii="宋体" w:hAnsi="宋体" w:eastAsia="宋体" w:cs="宋体"/>
          <w:b/>
          <w:bCs/>
          <w:color w:val="auto"/>
          <w:sz w:val="32"/>
          <w:szCs w:val="32"/>
          <w:highlight w:val="none"/>
        </w:rPr>
      </w:pPr>
    </w:p>
    <w:p w14:paraId="739AABB8">
      <w:pPr>
        <w:bidi w:val="0"/>
        <w:ind w:left="0" w:leftChars="0" w:firstLine="0" w:firstLineChars="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2026年06月</w:t>
      </w:r>
    </w:p>
    <w:p w14:paraId="136D2004">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991FD41">
      <w:pPr>
        <w:adjustRightInd w:val="0"/>
        <w:spacing w:line="360" w:lineRule="auto"/>
        <w:ind w:left="0" w:leftChars="0" w:firstLine="0" w:firstLineChars="0"/>
        <w:jc w:val="center"/>
        <w:textAlignment w:val="baseline"/>
        <w:rPr>
          <w:rFonts w:hint="eastAsia" w:ascii="宋体" w:hAnsi="宋体" w:eastAsia="宋体" w:cs="宋体"/>
          <w:b/>
          <w:color w:val="auto"/>
          <w:sz w:val="52"/>
          <w:szCs w:val="52"/>
          <w:highlight w:val="none"/>
        </w:rPr>
      </w:pPr>
      <w:r>
        <w:rPr>
          <w:rFonts w:hint="eastAsia" w:ascii="宋体" w:hAnsi="宋体" w:eastAsia="宋体" w:cs="宋体"/>
          <w:color w:val="auto"/>
          <w:sz w:val="52"/>
          <w:szCs w:val="52"/>
          <w:highlight w:val="none"/>
        </w:rPr>
        <w:t>目    录</w:t>
      </w:r>
    </w:p>
    <w:p w14:paraId="6C11458D">
      <w:pPr>
        <w:pStyle w:val="42"/>
        <w:tabs>
          <w:tab w:val="right" w:leader="dot" w:pos="8250"/>
        </w:tabs>
      </w:pPr>
      <w:r>
        <w:rPr>
          <w:rStyle w:val="77"/>
          <w:rFonts w:hint="eastAsia" w:ascii="宋体" w:hAnsi="宋体" w:eastAsia="宋体" w:cs="宋体"/>
          <w:color w:val="auto"/>
          <w:sz w:val="21"/>
          <w:highlight w:val="none"/>
        </w:rPr>
        <w:fldChar w:fldCharType="begin"/>
      </w:r>
      <w:r>
        <w:rPr>
          <w:rStyle w:val="77"/>
          <w:rFonts w:hint="eastAsia" w:ascii="宋体" w:hAnsi="宋体" w:eastAsia="宋体" w:cs="宋体"/>
          <w:b w:val="0"/>
          <w:bCs w:val="0"/>
          <w:color w:val="auto"/>
          <w:kern w:val="0"/>
          <w:sz w:val="21"/>
          <w:szCs w:val="21"/>
          <w:highlight w:val="none"/>
        </w:rPr>
        <w:instrText xml:space="preserve"> TOC \o "1-3"\h \z \u </w:instrText>
      </w:r>
      <w:r>
        <w:rPr>
          <w:rStyle w:val="77"/>
          <w:rFonts w:hint="eastAsia" w:ascii="宋体" w:hAnsi="宋体" w:eastAsia="宋体" w:cs="宋体"/>
          <w:color w:val="auto"/>
          <w:sz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_Toc24880 </w:instrText>
      </w:r>
      <w:r>
        <w:rPr>
          <w:rFonts w:hint="eastAsia" w:ascii="宋体" w:hAnsi="宋体" w:eastAsia="宋体" w:cs="宋体"/>
          <w:highlight w:val="none"/>
        </w:rPr>
        <w:fldChar w:fldCharType="separate"/>
      </w:r>
      <w:r>
        <w:rPr>
          <w:rFonts w:hint="eastAsia" w:ascii="宋体" w:hAnsi="宋体" w:eastAsia="宋体" w:cs="宋体"/>
          <w:highlight w:val="none"/>
        </w:rPr>
        <w:t>第一部分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竞争性磋商邀请公告</w:t>
      </w:r>
      <w:r>
        <w:tab/>
      </w:r>
      <w:r>
        <w:fldChar w:fldCharType="begin"/>
      </w:r>
      <w:r>
        <w:instrText xml:space="preserve"> PAGEREF _Toc24880 \h </w:instrText>
      </w:r>
      <w:r>
        <w:fldChar w:fldCharType="separate"/>
      </w:r>
      <w:r>
        <w:t>1</w:t>
      </w:r>
      <w:r>
        <w:fldChar w:fldCharType="end"/>
      </w:r>
      <w:r>
        <w:rPr>
          <w:rFonts w:hint="eastAsia" w:ascii="宋体" w:hAnsi="宋体" w:eastAsia="宋体" w:cs="宋体"/>
          <w:color w:val="auto"/>
          <w:highlight w:val="none"/>
        </w:rPr>
        <w:fldChar w:fldCharType="end"/>
      </w:r>
    </w:p>
    <w:p w14:paraId="2C3AC3AD">
      <w:pPr>
        <w:pStyle w:val="42"/>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_Toc23112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第二部分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磋商须知前附表</w:t>
      </w:r>
      <w:r>
        <w:tab/>
      </w:r>
      <w:r>
        <w:fldChar w:fldCharType="begin"/>
      </w:r>
      <w:r>
        <w:instrText xml:space="preserve"> PAGEREF _Toc23112 \h </w:instrText>
      </w:r>
      <w:r>
        <w:fldChar w:fldCharType="separate"/>
      </w:r>
      <w:r>
        <w:t>4</w:t>
      </w:r>
      <w:r>
        <w:fldChar w:fldCharType="end"/>
      </w:r>
      <w:r>
        <w:rPr>
          <w:rFonts w:hint="eastAsia" w:ascii="宋体" w:hAnsi="宋体" w:eastAsia="宋体" w:cs="宋体"/>
          <w:bCs w:val="0"/>
          <w:color w:val="auto"/>
          <w:kern w:val="0"/>
          <w:szCs w:val="21"/>
          <w:highlight w:val="none"/>
        </w:rPr>
        <w:fldChar w:fldCharType="end"/>
      </w:r>
    </w:p>
    <w:p w14:paraId="0B3FBF1A">
      <w:pPr>
        <w:pStyle w:val="42"/>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_Toc7556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第三部分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磋商供应商须知</w:t>
      </w:r>
      <w:r>
        <w:tab/>
      </w:r>
      <w:r>
        <w:fldChar w:fldCharType="begin"/>
      </w:r>
      <w:r>
        <w:instrText xml:space="preserve"> PAGEREF _Toc7556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6ADF26FF">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_Toc5877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一、说  明</w:t>
      </w:r>
      <w:r>
        <w:tab/>
      </w:r>
      <w:r>
        <w:fldChar w:fldCharType="begin"/>
      </w:r>
      <w:r>
        <w:instrText xml:space="preserve"> PAGEREF _Toc5877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6D935B2F">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_Toc13605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w:t>
      </w:r>
      <w:r>
        <w:rPr>
          <w:rFonts w:hint="eastAsia" w:ascii="宋体" w:hAnsi="宋体" w:eastAsia="宋体" w:cs="宋体"/>
          <w:highlight w:val="none"/>
        </w:rPr>
        <w:t>适用范围</w:t>
      </w:r>
      <w:r>
        <w:tab/>
      </w:r>
      <w:r>
        <w:fldChar w:fldCharType="begin"/>
      </w:r>
      <w:r>
        <w:instrText xml:space="preserve"> PAGEREF _Toc13605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1E8F3B33">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_Toc32573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w:t>
      </w:r>
      <w:r>
        <w:rPr>
          <w:rFonts w:hint="eastAsia" w:ascii="宋体" w:hAnsi="宋体" w:eastAsia="宋体" w:cs="宋体"/>
          <w:highlight w:val="none"/>
        </w:rPr>
        <w:t>采购方式、合格的</w:t>
      </w:r>
      <w:r>
        <w:rPr>
          <w:rFonts w:hint="eastAsia" w:ascii="宋体" w:hAnsi="宋体" w:eastAsia="宋体" w:cs="宋体"/>
          <w:highlight w:val="none"/>
          <w:lang w:eastAsia="zh-CN"/>
        </w:rPr>
        <w:t>供应商</w:t>
      </w:r>
      <w:r>
        <w:tab/>
      </w:r>
      <w:r>
        <w:fldChar w:fldCharType="begin"/>
      </w:r>
      <w:r>
        <w:instrText xml:space="preserve"> PAGEREF _Toc32573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24781AEA">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_Toc9842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3．</w:t>
      </w:r>
      <w:r>
        <w:rPr>
          <w:rFonts w:hint="eastAsia" w:ascii="宋体" w:hAnsi="宋体" w:eastAsia="宋体" w:cs="宋体"/>
          <w:highlight w:val="none"/>
        </w:rPr>
        <w:t>磋商费用</w:t>
      </w:r>
      <w:r>
        <w:tab/>
      </w:r>
      <w:r>
        <w:fldChar w:fldCharType="begin"/>
      </w:r>
      <w:r>
        <w:instrText xml:space="preserve"> PAGEREF _Toc9842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3FA1FC85">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_Toc1545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二、磋商文件说明</w:t>
      </w:r>
      <w:r>
        <w:tab/>
      </w:r>
      <w:r>
        <w:fldChar w:fldCharType="begin"/>
      </w:r>
      <w:r>
        <w:instrText xml:space="preserve"> PAGEREF _Toc1545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15A41701">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_Toc30352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4．</w:t>
      </w:r>
      <w:r>
        <w:rPr>
          <w:rFonts w:hint="eastAsia" w:ascii="宋体" w:hAnsi="宋体" w:eastAsia="宋体" w:cs="宋体"/>
          <w:highlight w:val="none"/>
        </w:rPr>
        <w:t>磋商文件的构成</w:t>
      </w:r>
      <w:r>
        <w:tab/>
      </w:r>
      <w:r>
        <w:fldChar w:fldCharType="begin"/>
      </w:r>
      <w:r>
        <w:instrText xml:space="preserve"> PAGEREF _Toc30352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7966BC43">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_Toc2632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5．</w:t>
      </w:r>
      <w:r>
        <w:rPr>
          <w:rFonts w:hint="eastAsia" w:ascii="宋体" w:hAnsi="宋体" w:eastAsia="宋体" w:cs="宋体"/>
          <w:highlight w:val="none"/>
        </w:rPr>
        <w:t>磋商文件的质疑</w:t>
      </w:r>
      <w:r>
        <w:tab/>
      </w:r>
      <w:r>
        <w:fldChar w:fldCharType="begin"/>
      </w:r>
      <w:r>
        <w:instrText xml:space="preserve"> PAGEREF _Toc2632 \h </w:instrText>
      </w:r>
      <w:r>
        <w:fldChar w:fldCharType="separate"/>
      </w:r>
      <w:r>
        <w:t>8</w:t>
      </w:r>
      <w:r>
        <w:fldChar w:fldCharType="end"/>
      </w:r>
      <w:r>
        <w:rPr>
          <w:rFonts w:hint="eastAsia" w:ascii="宋体" w:hAnsi="宋体" w:eastAsia="宋体" w:cs="宋体"/>
          <w:bCs w:val="0"/>
          <w:color w:val="auto"/>
          <w:kern w:val="0"/>
          <w:szCs w:val="21"/>
          <w:highlight w:val="none"/>
        </w:rPr>
        <w:fldChar w:fldCharType="end"/>
      </w:r>
    </w:p>
    <w:p w14:paraId="2828CC1F">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_Toc9638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6．</w:t>
      </w:r>
      <w:r>
        <w:rPr>
          <w:rFonts w:hint="eastAsia" w:ascii="宋体" w:hAnsi="宋体" w:eastAsia="宋体" w:cs="宋体"/>
          <w:highlight w:val="none"/>
        </w:rPr>
        <w:t>磋商文件的澄清、修改</w:t>
      </w:r>
      <w:r>
        <w:tab/>
      </w:r>
      <w:r>
        <w:fldChar w:fldCharType="begin"/>
      </w:r>
      <w:r>
        <w:instrText xml:space="preserve"> PAGEREF _Toc9638 \h </w:instrText>
      </w:r>
      <w:r>
        <w:fldChar w:fldCharType="separate"/>
      </w:r>
      <w:r>
        <w:t>9</w:t>
      </w:r>
      <w:r>
        <w:fldChar w:fldCharType="end"/>
      </w:r>
      <w:r>
        <w:rPr>
          <w:rFonts w:hint="eastAsia" w:ascii="宋体" w:hAnsi="宋体" w:eastAsia="宋体" w:cs="宋体"/>
          <w:bCs w:val="0"/>
          <w:color w:val="auto"/>
          <w:kern w:val="0"/>
          <w:szCs w:val="21"/>
          <w:highlight w:val="none"/>
        </w:rPr>
        <w:fldChar w:fldCharType="end"/>
      </w:r>
    </w:p>
    <w:p w14:paraId="38D2FFFF">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_Toc31921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三、磋商响应文件的编制</w:t>
      </w:r>
      <w:r>
        <w:tab/>
      </w:r>
      <w:r>
        <w:fldChar w:fldCharType="begin"/>
      </w:r>
      <w:r>
        <w:instrText xml:space="preserve"> PAGEREF _Toc31921 \h </w:instrText>
      </w:r>
      <w:r>
        <w:fldChar w:fldCharType="separate"/>
      </w:r>
      <w:r>
        <w:t>9</w:t>
      </w:r>
      <w:r>
        <w:fldChar w:fldCharType="end"/>
      </w:r>
      <w:r>
        <w:rPr>
          <w:rFonts w:hint="eastAsia" w:ascii="宋体" w:hAnsi="宋体" w:eastAsia="宋体" w:cs="宋体"/>
          <w:bCs w:val="0"/>
          <w:color w:val="auto"/>
          <w:kern w:val="0"/>
          <w:szCs w:val="21"/>
          <w:highlight w:val="none"/>
        </w:rPr>
        <w:fldChar w:fldCharType="end"/>
      </w:r>
    </w:p>
    <w:p w14:paraId="1EEBA1CC">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_Toc13838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7．</w:t>
      </w:r>
      <w:r>
        <w:rPr>
          <w:rFonts w:hint="eastAsia" w:ascii="宋体" w:hAnsi="宋体" w:eastAsia="宋体" w:cs="宋体"/>
          <w:highlight w:val="none"/>
        </w:rPr>
        <w:t>磋商响应文件的语言及度量衡单位</w:t>
      </w:r>
      <w:r>
        <w:tab/>
      </w:r>
      <w:r>
        <w:fldChar w:fldCharType="begin"/>
      </w:r>
      <w:r>
        <w:instrText xml:space="preserve"> PAGEREF _Toc13838 \h </w:instrText>
      </w:r>
      <w:r>
        <w:fldChar w:fldCharType="separate"/>
      </w:r>
      <w:r>
        <w:t>9</w:t>
      </w:r>
      <w:r>
        <w:fldChar w:fldCharType="end"/>
      </w:r>
      <w:r>
        <w:rPr>
          <w:rFonts w:hint="eastAsia" w:ascii="宋体" w:hAnsi="宋体" w:eastAsia="宋体" w:cs="宋体"/>
          <w:bCs w:val="0"/>
          <w:color w:val="auto"/>
          <w:kern w:val="0"/>
          <w:szCs w:val="21"/>
          <w:highlight w:val="none"/>
        </w:rPr>
        <w:fldChar w:fldCharType="end"/>
      </w:r>
    </w:p>
    <w:p w14:paraId="7210E881">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_Toc24745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8．</w:t>
      </w:r>
      <w:r>
        <w:rPr>
          <w:rFonts w:hint="eastAsia" w:ascii="宋体" w:hAnsi="宋体" w:eastAsia="宋体" w:cs="宋体"/>
          <w:highlight w:val="none"/>
        </w:rPr>
        <w:t>磋商报价及币种</w:t>
      </w:r>
      <w:r>
        <w:tab/>
      </w:r>
      <w:r>
        <w:fldChar w:fldCharType="begin"/>
      </w:r>
      <w:r>
        <w:instrText xml:space="preserve"> PAGEREF _Toc24745 \h </w:instrText>
      </w:r>
      <w:r>
        <w:fldChar w:fldCharType="separate"/>
      </w:r>
      <w:r>
        <w:t>9</w:t>
      </w:r>
      <w:r>
        <w:fldChar w:fldCharType="end"/>
      </w:r>
      <w:r>
        <w:rPr>
          <w:rFonts w:hint="eastAsia" w:ascii="宋体" w:hAnsi="宋体" w:eastAsia="宋体" w:cs="宋体"/>
          <w:bCs w:val="0"/>
          <w:color w:val="auto"/>
          <w:kern w:val="0"/>
          <w:szCs w:val="21"/>
          <w:highlight w:val="none"/>
        </w:rPr>
        <w:fldChar w:fldCharType="end"/>
      </w:r>
    </w:p>
    <w:p w14:paraId="74DF4728">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_Toc26157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9．</w:t>
      </w:r>
      <w:r>
        <w:rPr>
          <w:rFonts w:hint="eastAsia" w:ascii="宋体" w:hAnsi="宋体" w:eastAsia="宋体" w:cs="宋体"/>
          <w:highlight w:val="none"/>
        </w:rPr>
        <w:t>磋商有效期</w:t>
      </w:r>
      <w:r>
        <w:tab/>
      </w:r>
      <w:r>
        <w:fldChar w:fldCharType="begin"/>
      </w:r>
      <w:r>
        <w:instrText xml:space="preserve"> PAGEREF _Toc26157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69305061">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_Toc26962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10．</w:t>
      </w:r>
      <w:r>
        <w:rPr>
          <w:rFonts w:hint="eastAsia" w:ascii="宋体" w:hAnsi="宋体" w:eastAsia="宋体" w:cs="宋体"/>
          <w:highlight w:val="none"/>
        </w:rPr>
        <w:t>磋商响应文件构成</w:t>
      </w:r>
      <w:r>
        <w:tab/>
      </w:r>
      <w:r>
        <w:fldChar w:fldCharType="begin"/>
      </w:r>
      <w:r>
        <w:instrText xml:space="preserve"> PAGEREF _Toc26962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0FA53F78">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_Toc31170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11．</w:t>
      </w:r>
      <w:r>
        <w:rPr>
          <w:rFonts w:hint="eastAsia" w:ascii="宋体" w:hAnsi="宋体" w:eastAsia="宋体" w:cs="宋体"/>
          <w:highlight w:val="none"/>
        </w:rPr>
        <w:t>磋商响应文件编印和签署</w:t>
      </w:r>
      <w:r>
        <w:tab/>
      </w:r>
      <w:r>
        <w:fldChar w:fldCharType="begin"/>
      </w:r>
      <w:r>
        <w:instrText xml:space="preserve"> PAGEREF _Toc31170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71B86368">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_Toc15367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四、磋商响应文件的递交</w:t>
      </w:r>
      <w:r>
        <w:tab/>
      </w:r>
      <w:r>
        <w:fldChar w:fldCharType="begin"/>
      </w:r>
      <w:r>
        <w:instrText xml:space="preserve"> PAGEREF _Toc15367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15B0E694">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_Toc5867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12．</w:t>
      </w:r>
      <w:r>
        <w:rPr>
          <w:rFonts w:hint="eastAsia" w:ascii="宋体" w:hAnsi="宋体" w:eastAsia="宋体" w:cs="宋体"/>
          <w:highlight w:val="none"/>
        </w:rPr>
        <w:t>磋商响应文件的密封和标记</w:t>
      </w:r>
      <w:r>
        <w:tab/>
      </w:r>
      <w:r>
        <w:fldChar w:fldCharType="begin"/>
      </w:r>
      <w:r>
        <w:instrText xml:space="preserve"> PAGEREF _Toc5867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1225B005">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_Toc27607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13．</w:t>
      </w:r>
      <w:r>
        <w:rPr>
          <w:rFonts w:hint="eastAsia" w:ascii="宋体" w:hAnsi="宋体" w:eastAsia="宋体" w:cs="宋体"/>
          <w:highlight w:val="none"/>
        </w:rPr>
        <w:t>递送磋商响应文件的地点、截止日期</w:t>
      </w:r>
      <w:r>
        <w:tab/>
      </w:r>
      <w:r>
        <w:fldChar w:fldCharType="begin"/>
      </w:r>
      <w:r>
        <w:instrText xml:space="preserve"> PAGEREF _Toc27607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05095E93">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_Toc7228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14．</w:t>
      </w:r>
      <w:r>
        <w:rPr>
          <w:rFonts w:hint="eastAsia" w:ascii="宋体" w:hAnsi="宋体" w:eastAsia="宋体" w:cs="宋体"/>
          <w:highlight w:val="none"/>
        </w:rPr>
        <w:t>磋商响应文件的撤回</w:t>
      </w:r>
      <w:r>
        <w:tab/>
      </w:r>
      <w:r>
        <w:fldChar w:fldCharType="begin"/>
      </w:r>
      <w:r>
        <w:instrText xml:space="preserve"> PAGEREF _Toc7228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14E984E1">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_Toc7613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五、磋商过程</w:t>
      </w:r>
      <w:r>
        <w:tab/>
      </w:r>
      <w:r>
        <w:fldChar w:fldCharType="begin"/>
      </w:r>
      <w:r>
        <w:instrText xml:space="preserve"> PAGEREF _Toc7613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165DEECC">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_Toc16535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15．</w:t>
      </w:r>
      <w:r>
        <w:rPr>
          <w:rFonts w:hint="eastAsia" w:ascii="宋体" w:hAnsi="宋体" w:eastAsia="宋体" w:cs="宋体"/>
          <w:highlight w:val="none"/>
        </w:rPr>
        <w:t>磋商过程</w:t>
      </w:r>
      <w:r>
        <w:tab/>
      </w:r>
      <w:r>
        <w:fldChar w:fldCharType="begin"/>
      </w:r>
      <w:r>
        <w:instrText xml:space="preserve"> PAGEREF _Toc16535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457A3D10">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_Toc932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六、磋商程序及方法</w:t>
      </w:r>
      <w:r>
        <w:tab/>
      </w:r>
      <w:r>
        <w:fldChar w:fldCharType="begin"/>
      </w:r>
      <w:r>
        <w:instrText xml:space="preserve"> PAGEREF _Toc932 \h </w:instrText>
      </w:r>
      <w:r>
        <w:fldChar w:fldCharType="separate"/>
      </w:r>
      <w:r>
        <w:t>12</w:t>
      </w:r>
      <w:r>
        <w:fldChar w:fldCharType="end"/>
      </w:r>
      <w:r>
        <w:rPr>
          <w:rFonts w:hint="eastAsia" w:ascii="宋体" w:hAnsi="宋体" w:eastAsia="宋体" w:cs="宋体"/>
          <w:bCs w:val="0"/>
          <w:color w:val="auto"/>
          <w:kern w:val="0"/>
          <w:szCs w:val="21"/>
          <w:highlight w:val="none"/>
        </w:rPr>
        <w:fldChar w:fldCharType="end"/>
      </w:r>
    </w:p>
    <w:p w14:paraId="6EC3CFC1">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_Toc4768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16．</w:t>
      </w:r>
      <w:r>
        <w:rPr>
          <w:rFonts w:hint="eastAsia" w:ascii="宋体" w:hAnsi="宋体" w:eastAsia="宋体" w:cs="宋体"/>
          <w:highlight w:val="none"/>
        </w:rPr>
        <w:t>磋商小组</w:t>
      </w:r>
      <w:r>
        <w:tab/>
      </w:r>
      <w:r>
        <w:fldChar w:fldCharType="begin"/>
      </w:r>
      <w:r>
        <w:instrText xml:space="preserve"> PAGEREF _Toc4768 \h </w:instrText>
      </w:r>
      <w:r>
        <w:fldChar w:fldCharType="separate"/>
      </w:r>
      <w:r>
        <w:t>12</w:t>
      </w:r>
      <w:r>
        <w:fldChar w:fldCharType="end"/>
      </w:r>
      <w:r>
        <w:rPr>
          <w:rFonts w:hint="eastAsia" w:ascii="宋体" w:hAnsi="宋体" w:eastAsia="宋体" w:cs="宋体"/>
          <w:bCs w:val="0"/>
          <w:color w:val="auto"/>
          <w:kern w:val="0"/>
          <w:szCs w:val="21"/>
          <w:highlight w:val="none"/>
        </w:rPr>
        <w:fldChar w:fldCharType="end"/>
      </w:r>
    </w:p>
    <w:p w14:paraId="2D925631">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_Toc3190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17．</w:t>
      </w:r>
      <w:r>
        <w:rPr>
          <w:rFonts w:hint="eastAsia" w:ascii="宋体" w:hAnsi="宋体" w:eastAsia="宋体" w:cs="宋体"/>
          <w:highlight w:val="none"/>
        </w:rPr>
        <w:t>磋商程序</w:t>
      </w:r>
      <w:r>
        <w:tab/>
      </w:r>
      <w:r>
        <w:fldChar w:fldCharType="begin"/>
      </w:r>
      <w:r>
        <w:instrText xml:space="preserve"> PAGEREF _Toc3190 \h </w:instrText>
      </w:r>
      <w:r>
        <w:fldChar w:fldCharType="separate"/>
      </w:r>
      <w:r>
        <w:t>13</w:t>
      </w:r>
      <w:r>
        <w:fldChar w:fldCharType="end"/>
      </w:r>
      <w:r>
        <w:rPr>
          <w:rFonts w:hint="eastAsia" w:ascii="宋体" w:hAnsi="宋体" w:eastAsia="宋体" w:cs="宋体"/>
          <w:bCs w:val="0"/>
          <w:color w:val="auto"/>
          <w:kern w:val="0"/>
          <w:szCs w:val="21"/>
          <w:highlight w:val="none"/>
        </w:rPr>
        <w:fldChar w:fldCharType="end"/>
      </w:r>
    </w:p>
    <w:p w14:paraId="1638B5CB">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_Toc23815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18．</w:t>
      </w:r>
      <w:r>
        <w:rPr>
          <w:rFonts w:hint="eastAsia" w:ascii="宋体" w:hAnsi="宋体" w:eastAsia="宋体" w:cs="宋体"/>
          <w:highlight w:val="none"/>
        </w:rPr>
        <w:t>评审办法</w:t>
      </w:r>
      <w:r>
        <w:tab/>
      </w:r>
      <w:r>
        <w:fldChar w:fldCharType="begin"/>
      </w:r>
      <w:r>
        <w:instrText xml:space="preserve"> PAGEREF _Toc23815 \h </w:instrText>
      </w:r>
      <w:r>
        <w:fldChar w:fldCharType="separate"/>
      </w:r>
      <w:r>
        <w:t>15</w:t>
      </w:r>
      <w:r>
        <w:fldChar w:fldCharType="end"/>
      </w:r>
      <w:r>
        <w:rPr>
          <w:rFonts w:hint="eastAsia" w:ascii="宋体" w:hAnsi="宋体" w:eastAsia="宋体" w:cs="宋体"/>
          <w:bCs w:val="0"/>
          <w:color w:val="auto"/>
          <w:kern w:val="0"/>
          <w:szCs w:val="21"/>
          <w:highlight w:val="none"/>
        </w:rPr>
        <w:fldChar w:fldCharType="end"/>
      </w:r>
    </w:p>
    <w:p w14:paraId="15553632">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_Toc22987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七、确定成交供应商</w:t>
      </w:r>
      <w:r>
        <w:tab/>
      </w:r>
      <w:r>
        <w:fldChar w:fldCharType="begin"/>
      </w:r>
      <w:r>
        <w:instrText xml:space="preserve"> PAGEREF _Toc22987 \h </w:instrText>
      </w:r>
      <w:r>
        <w:fldChar w:fldCharType="separate"/>
      </w:r>
      <w:r>
        <w:t>19</w:t>
      </w:r>
      <w:r>
        <w:fldChar w:fldCharType="end"/>
      </w:r>
      <w:r>
        <w:rPr>
          <w:rFonts w:hint="eastAsia" w:ascii="宋体" w:hAnsi="宋体" w:eastAsia="宋体" w:cs="宋体"/>
          <w:bCs w:val="0"/>
          <w:color w:val="auto"/>
          <w:kern w:val="0"/>
          <w:szCs w:val="21"/>
          <w:highlight w:val="none"/>
        </w:rPr>
        <w:fldChar w:fldCharType="end"/>
      </w:r>
    </w:p>
    <w:p w14:paraId="3718AB16">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_Toc24068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19．</w:t>
      </w:r>
      <w:r>
        <w:rPr>
          <w:rFonts w:hint="eastAsia" w:ascii="宋体" w:hAnsi="宋体" w:eastAsia="宋体" w:cs="宋体"/>
          <w:highlight w:val="none"/>
        </w:rPr>
        <w:t>推荐并确定成交供应商</w:t>
      </w:r>
      <w:r>
        <w:tab/>
      </w:r>
      <w:r>
        <w:fldChar w:fldCharType="begin"/>
      </w:r>
      <w:r>
        <w:instrText xml:space="preserve"> PAGEREF _Toc24068 \h </w:instrText>
      </w:r>
      <w:r>
        <w:fldChar w:fldCharType="separate"/>
      </w:r>
      <w:r>
        <w:t>19</w:t>
      </w:r>
      <w:r>
        <w:fldChar w:fldCharType="end"/>
      </w:r>
      <w:r>
        <w:rPr>
          <w:rFonts w:hint="eastAsia" w:ascii="宋体" w:hAnsi="宋体" w:eastAsia="宋体" w:cs="宋体"/>
          <w:bCs w:val="0"/>
          <w:color w:val="auto"/>
          <w:kern w:val="0"/>
          <w:szCs w:val="21"/>
          <w:highlight w:val="none"/>
        </w:rPr>
        <w:fldChar w:fldCharType="end"/>
      </w:r>
    </w:p>
    <w:p w14:paraId="550D615D">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_Toc20473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20．</w:t>
      </w:r>
      <w:r>
        <w:rPr>
          <w:rFonts w:hint="eastAsia" w:ascii="宋体" w:hAnsi="宋体" w:eastAsia="宋体" w:cs="宋体"/>
          <w:highlight w:val="none"/>
        </w:rPr>
        <w:t>成交通知</w:t>
      </w:r>
      <w:r>
        <w:tab/>
      </w:r>
      <w:r>
        <w:fldChar w:fldCharType="begin"/>
      </w:r>
      <w:r>
        <w:instrText xml:space="preserve"> PAGEREF _Toc20473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2EE87CE8">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_Toc29614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八、授予合同</w:t>
      </w:r>
      <w:r>
        <w:tab/>
      </w:r>
      <w:r>
        <w:fldChar w:fldCharType="begin"/>
      </w:r>
      <w:r>
        <w:instrText xml:space="preserve"> PAGEREF _Toc29614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2796760C">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_Toc31619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21．</w:t>
      </w:r>
      <w:r>
        <w:rPr>
          <w:rFonts w:hint="eastAsia" w:ascii="宋体" w:hAnsi="宋体" w:eastAsia="宋体" w:cs="宋体"/>
          <w:highlight w:val="none"/>
        </w:rPr>
        <w:t>签订合同</w:t>
      </w:r>
      <w:r>
        <w:tab/>
      </w:r>
      <w:r>
        <w:fldChar w:fldCharType="begin"/>
      </w:r>
      <w:r>
        <w:instrText xml:space="preserve"> PAGEREF _Toc31619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04EA1DBD">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_Toc11289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九、磋商活动终止</w:t>
      </w:r>
      <w:r>
        <w:tab/>
      </w:r>
      <w:r>
        <w:fldChar w:fldCharType="begin"/>
      </w:r>
      <w:r>
        <w:instrText xml:space="preserve"> PAGEREF _Toc11289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4A0E76EA">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_Toc8006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22．</w:t>
      </w:r>
      <w:r>
        <w:rPr>
          <w:rFonts w:hint="eastAsia" w:ascii="宋体" w:hAnsi="宋体" w:eastAsia="宋体" w:cs="宋体"/>
          <w:highlight w:val="none"/>
        </w:rPr>
        <w:t>终止情形</w:t>
      </w:r>
      <w:r>
        <w:tab/>
      </w:r>
      <w:r>
        <w:fldChar w:fldCharType="begin"/>
      </w:r>
      <w:r>
        <w:instrText xml:space="preserve"> PAGEREF _Toc8006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24C734B2">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_Toc24419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十、处罚</w:t>
      </w:r>
      <w:r>
        <w:tab/>
      </w:r>
      <w:r>
        <w:fldChar w:fldCharType="begin"/>
      </w:r>
      <w:r>
        <w:instrText xml:space="preserve"> PAGEREF _Toc24419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1020B330">
      <w:pPr>
        <w:pStyle w:val="3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_Toc6358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23．</w:t>
      </w:r>
      <w:r>
        <w:rPr>
          <w:rFonts w:hint="eastAsia" w:ascii="宋体" w:hAnsi="宋体" w:eastAsia="宋体" w:cs="宋体"/>
          <w:highlight w:val="none"/>
        </w:rPr>
        <w:t>处罚情形</w:t>
      </w:r>
      <w:r>
        <w:tab/>
      </w:r>
      <w:r>
        <w:fldChar w:fldCharType="begin"/>
      </w:r>
      <w:r>
        <w:instrText xml:space="preserve"> PAGEREF _Toc6358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4D0AE078">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_Toc27406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十一、其他</w:t>
      </w:r>
      <w:r>
        <w:tab/>
      </w:r>
      <w:r>
        <w:fldChar w:fldCharType="begin"/>
      </w:r>
      <w:r>
        <w:instrText xml:space="preserve"> PAGEREF _Toc27406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73EFA6D3">
      <w:pPr>
        <w:pStyle w:val="42"/>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_Toc29921 </w:instrText>
      </w:r>
      <w:r>
        <w:rPr>
          <w:rFonts w:hint="eastAsia" w:ascii="宋体" w:hAnsi="宋体" w:eastAsia="宋体" w:cs="宋体"/>
          <w:bCs w:val="0"/>
          <w:kern w:val="0"/>
          <w:szCs w:val="21"/>
          <w:highlight w:val="none"/>
        </w:rPr>
        <w:fldChar w:fldCharType="separate"/>
      </w:r>
      <w:r>
        <w:rPr>
          <w:rFonts w:hint="eastAsia" w:ascii="宋体" w:hAnsi="宋体" w:eastAsia="宋体" w:cs="宋体"/>
          <w:szCs w:val="60"/>
          <w:highlight w:val="none"/>
        </w:rPr>
        <w:t>第四部分</w:t>
      </w:r>
      <w:r>
        <w:rPr>
          <w:rFonts w:hint="eastAsia" w:ascii="宋体" w:hAnsi="宋体" w:eastAsia="宋体" w:cs="宋体"/>
          <w:szCs w:val="60"/>
          <w:highlight w:val="none"/>
          <w:lang w:val="en-US" w:eastAsia="zh-CN"/>
        </w:rPr>
        <w:t xml:space="preserve">  </w:t>
      </w:r>
      <w:r>
        <w:rPr>
          <w:rFonts w:hint="eastAsia" w:ascii="宋体" w:hAnsi="宋体" w:eastAsia="宋体" w:cs="宋体"/>
          <w:szCs w:val="60"/>
          <w:highlight w:val="none"/>
        </w:rPr>
        <w:t>青海省政府采购项目合同书范本</w:t>
      </w:r>
      <w:r>
        <w:tab/>
      </w:r>
      <w:r>
        <w:fldChar w:fldCharType="begin"/>
      </w:r>
      <w:r>
        <w:instrText xml:space="preserve"> PAGEREF _Toc29921 \h </w:instrText>
      </w:r>
      <w:r>
        <w:fldChar w:fldCharType="separate"/>
      </w:r>
      <w:r>
        <w:t>23</w:t>
      </w:r>
      <w:r>
        <w:fldChar w:fldCharType="end"/>
      </w:r>
      <w:r>
        <w:rPr>
          <w:rFonts w:hint="eastAsia" w:ascii="宋体" w:hAnsi="宋体" w:eastAsia="宋体" w:cs="宋体"/>
          <w:bCs w:val="0"/>
          <w:color w:val="auto"/>
          <w:kern w:val="0"/>
          <w:szCs w:val="21"/>
          <w:highlight w:val="none"/>
        </w:rPr>
        <w:fldChar w:fldCharType="end"/>
      </w:r>
    </w:p>
    <w:p w14:paraId="3F318AA3">
      <w:pPr>
        <w:pStyle w:val="42"/>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_Toc8547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第五部分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磋商响应文件格式</w:t>
      </w:r>
      <w:r>
        <w:tab/>
      </w:r>
      <w:r>
        <w:fldChar w:fldCharType="begin"/>
      </w:r>
      <w:r>
        <w:instrText xml:space="preserve"> PAGEREF _Toc8547 \h </w:instrText>
      </w:r>
      <w:r>
        <w:fldChar w:fldCharType="separate"/>
      </w:r>
      <w:r>
        <w:t>32</w:t>
      </w:r>
      <w:r>
        <w:fldChar w:fldCharType="end"/>
      </w:r>
      <w:r>
        <w:rPr>
          <w:rFonts w:hint="eastAsia" w:ascii="宋体" w:hAnsi="宋体" w:eastAsia="宋体" w:cs="宋体"/>
          <w:bCs w:val="0"/>
          <w:color w:val="auto"/>
          <w:kern w:val="0"/>
          <w:szCs w:val="21"/>
          <w:highlight w:val="none"/>
        </w:rPr>
        <w:fldChar w:fldCharType="end"/>
      </w:r>
    </w:p>
    <w:p w14:paraId="38A60730">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_Toc7065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附件1：磋商响应文件封面</w:t>
      </w:r>
      <w:r>
        <w:tab/>
      </w:r>
      <w:r>
        <w:fldChar w:fldCharType="begin"/>
      </w:r>
      <w:r>
        <w:instrText xml:space="preserve"> PAGEREF _Toc7065 \h </w:instrText>
      </w:r>
      <w:r>
        <w:fldChar w:fldCharType="separate"/>
      </w:r>
      <w:r>
        <w:t>32</w:t>
      </w:r>
      <w:r>
        <w:fldChar w:fldCharType="end"/>
      </w:r>
      <w:r>
        <w:rPr>
          <w:rFonts w:hint="eastAsia" w:ascii="宋体" w:hAnsi="宋体" w:eastAsia="宋体" w:cs="宋体"/>
          <w:bCs w:val="0"/>
          <w:color w:val="auto"/>
          <w:kern w:val="0"/>
          <w:szCs w:val="21"/>
          <w:highlight w:val="none"/>
        </w:rPr>
        <w:fldChar w:fldCharType="end"/>
      </w:r>
    </w:p>
    <w:p w14:paraId="2C34CCFA">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_Toc21681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附件2：目录格式</w:t>
      </w:r>
      <w:r>
        <w:tab/>
      </w:r>
      <w:r>
        <w:fldChar w:fldCharType="begin"/>
      </w:r>
      <w:r>
        <w:instrText xml:space="preserve"> PAGEREF _Toc21681 \h </w:instrText>
      </w:r>
      <w:r>
        <w:fldChar w:fldCharType="separate"/>
      </w:r>
      <w:r>
        <w:t>33</w:t>
      </w:r>
      <w:r>
        <w:fldChar w:fldCharType="end"/>
      </w:r>
      <w:r>
        <w:rPr>
          <w:rFonts w:hint="eastAsia" w:ascii="宋体" w:hAnsi="宋体" w:eastAsia="宋体" w:cs="宋体"/>
          <w:bCs w:val="0"/>
          <w:color w:val="auto"/>
          <w:kern w:val="0"/>
          <w:szCs w:val="21"/>
          <w:highlight w:val="none"/>
        </w:rPr>
        <w:fldChar w:fldCharType="end"/>
      </w:r>
    </w:p>
    <w:p w14:paraId="13316D77">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_Toc32110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附件3：磋商函</w:t>
      </w:r>
      <w:r>
        <w:tab/>
      </w:r>
      <w:r>
        <w:fldChar w:fldCharType="begin"/>
      </w:r>
      <w:r>
        <w:instrText xml:space="preserve"> PAGEREF _Toc32110 \h </w:instrText>
      </w:r>
      <w:r>
        <w:fldChar w:fldCharType="separate"/>
      </w:r>
      <w:r>
        <w:t>34</w:t>
      </w:r>
      <w:r>
        <w:fldChar w:fldCharType="end"/>
      </w:r>
      <w:r>
        <w:rPr>
          <w:rFonts w:hint="eastAsia" w:ascii="宋体" w:hAnsi="宋体" w:eastAsia="宋体" w:cs="宋体"/>
          <w:bCs w:val="0"/>
          <w:color w:val="auto"/>
          <w:kern w:val="0"/>
          <w:szCs w:val="21"/>
          <w:highlight w:val="none"/>
        </w:rPr>
        <w:fldChar w:fldCharType="end"/>
      </w:r>
    </w:p>
    <w:p w14:paraId="0885E10F">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_Toc26010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附件4：最初报价表</w:t>
      </w:r>
      <w:r>
        <w:tab/>
      </w:r>
      <w:r>
        <w:fldChar w:fldCharType="begin"/>
      </w:r>
      <w:r>
        <w:instrText xml:space="preserve"> PAGEREF _Toc26010 \h </w:instrText>
      </w:r>
      <w:r>
        <w:fldChar w:fldCharType="separate"/>
      </w:r>
      <w:r>
        <w:t>35</w:t>
      </w:r>
      <w:r>
        <w:fldChar w:fldCharType="end"/>
      </w:r>
      <w:r>
        <w:rPr>
          <w:rFonts w:hint="eastAsia" w:ascii="宋体" w:hAnsi="宋体" w:eastAsia="宋体" w:cs="宋体"/>
          <w:bCs w:val="0"/>
          <w:color w:val="auto"/>
          <w:kern w:val="0"/>
          <w:szCs w:val="21"/>
          <w:highlight w:val="none"/>
        </w:rPr>
        <w:fldChar w:fldCharType="end"/>
      </w:r>
    </w:p>
    <w:p w14:paraId="5E9A4FFA">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_Toc10913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附件5：服务条款偏离表</w:t>
      </w:r>
      <w:r>
        <w:tab/>
      </w:r>
      <w:r>
        <w:fldChar w:fldCharType="begin"/>
      </w:r>
      <w:r>
        <w:instrText xml:space="preserve"> PAGEREF _Toc10913 \h </w:instrText>
      </w:r>
      <w:r>
        <w:fldChar w:fldCharType="separate"/>
      </w:r>
      <w:r>
        <w:t>36</w:t>
      </w:r>
      <w:r>
        <w:fldChar w:fldCharType="end"/>
      </w:r>
      <w:r>
        <w:rPr>
          <w:rFonts w:hint="eastAsia" w:ascii="宋体" w:hAnsi="宋体" w:eastAsia="宋体" w:cs="宋体"/>
          <w:bCs w:val="0"/>
          <w:color w:val="auto"/>
          <w:kern w:val="0"/>
          <w:szCs w:val="21"/>
          <w:highlight w:val="none"/>
        </w:rPr>
        <w:fldChar w:fldCharType="end"/>
      </w:r>
    </w:p>
    <w:p w14:paraId="5140BECF">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_Toc13528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附件6：商务条款偏离表</w:t>
      </w:r>
      <w:r>
        <w:tab/>
      </w:r>
      <w:r>
        <w:fldChar w:fldCharType="begin"/>
      </w:r>
      <w:r>
        <w:instrText xml:space="preserve"> PAGEREF _Toc13528 \h </w:instrText>
      </w:r>
      <w:r>
        <w:fldChar w:fldCharType="separate"/>
      </w:r>
      <w:r>
        <w:t>37</w:t>
      </w:r>
      <w:r>
        <w:fldChar w:fldCharType="end"/>
      </w:r>
      <w:r>
        <w:rPr>
          <w:rFonts w:hint="eastAsia" w:ascii="宋体" w:hAnsi="宋体" w:eastAsia="宋体" w:cs="宋体"/>
          <w:bCs w:val="0"/>
          <w:color w:val="auto"/>
          <w:kern w:val="0"/>
          <w:szCs w:val="21"/>
          <w:highlight w:val="none"/>
        </w:rPr>
        <w:fldChar w:fldCharType="end"/>
      </w:r>
    </w:p>
    <w:p w14:paraId="24864310">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_Toc21630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附件7：法定代表人证明书</w:t>
      </w:r>
      <w:r>
        <w:tab/>
      </w:r>
      <w:r>
        <w:fldChar w:fldCharType="begin"/>
      </w:r>
      <w:r>
        <w:instrText xml:space="preserve"> PAGEREF _Toc21630 \h </w:instrText>
      </w:r>
      <w:r>
        <w:fldChar w:fldCharType="separate"/>
      </w:r>
      <w:r>
        <w:t>38</w:t>
      </w:r>
      <w:r>
        <w:fldChar w:fldCharType="end"/>
      </w:r>
      <w:r>
        <w:rPr>
          <w:rFonts w:hint="eastAsia" w:ascii="宋体" w:hAnsi="宋体" w:eastAsia="宋体" w:cs="宋体"/>
          <w:bCs w:val="0"/>
          <w:color w:val="auto"/>
          <w:kern w:val="0"/>
          <w:szCs w:val="21"/>
          <w:highlight w:val="none"/>
        </w:rPr>
        <w:fldChar w:fldCharType="end"/>
      </w:r>
    </w:p>
    <w:p w14:paraId="2BAA5F9E">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_Toc7198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附件8：法定代表人授权书</w:t>
      </w:r>
      <w:r>
        <w:tab/>
      </w:r>
      <w:r>
        <w:fldChar w:fldCharType="begin"/>
      </w:r>
      <w:r>
        <w:instrText xml:space="preserve"> PAGEREF _Toc7198 \h </w:instrText>
      </w:r>
      <w:r>
        <w:fldChar w:fldCharType="separate"/>
      </w:r>
      <w:r>
        <w:t>39</w:t>
      </w:r>
      <w:r>
        <w:fldChar w:fldCharType="end"/>
      </w:r>
      <w:r>
        <w:rPr>
          <w:rFonts w:hint="eastAsia" w:ascii="宋体" w:hAnsi="宋体" w:eastAsia="宋体" w:cs="宋体"/>
          <w:bCs w:val="0"/>
          <w:color w:val="auto"/>
          <w:kern w:val="0"/>
          <w:szCs w:val="21"/>
          <w:highlight w:val="none"/>
        </w:rPr>
        <w:fldChar w:fldCharType="end"/>
      </w:r>
    </w:p>
    <w:p w14:paraId="413749DE">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_Toc27956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附件9：供应商承诺函</w:t>
      </w:r>
      <w:r>
        <w:tab/>
      </w:r>
      <w:r>
        <w:fldChar w:fldCharType="begin"/>
      </w:r>
      <w:r>
        <w:instrText xml:space="preserve"> PAGEREF _Toc27956 \h </w:instrText>
      </w:r>
      <w:r>
        <w:fldChar w:fldCharType="separate"/>
      </w:r>
      <w:r>
        <w:t>40</w:t>
      </w:r>
      <w:r>
        <w:fldChar w:fldCharType="end"/>
      </w:r>
      <w:r>
        <w:rPr>
          <w:rFonts w:hint="eastAsia" w:ascii="宋体" w:hAnsi="宋体" w:eastAsia="宋体" w:cs="宋体"/>
          <w:bCs w:val="0"/>
          <w:color w:val="auto"/>
          <w:kern w:val="0"/>
          <w:szCs w:val="21"/>
          <w:highlight w:val="none"/>
        </w:rPr>
        <w:fldChar w:fldCharType="end"/>
      </w:r>
    </w:p>
    <w:p w14:paraId="2F33DBC8">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_Toc28415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附件10：供应商诚信承诺书</w:t>
      </w:r>
      <w:r>
        <w:tab/>
      </w:r>
      <w:r>
        <w:fldChar w:fldCharType="begin"/>
      </w:r>
      <w:r>
        <w:instrText xml:space="preserve"> PAGEREF _Toc28415 \h </w:instrText>
      </w:r>
      <w:r>
        <w:fldChar w:fldCharType="separate"/>
      </w:r>
      <w:r>
        <w:t>42</w:t>
      </w:r>
      <w:r>
        <w:fldChar w:fldCharType="end"/>
      </w:r>
      <w:r>
        <w:rPr>
          <w:rFonts w:hint="eastAsia" w:ascii="宋体" w:hAnsi="宋体" w:eastAsia="宋体" w:cs="宋体"/>
          <w:bCs w:val="0"/>
          <w:color w:val="auto"/>
          <w:kern w:val="0"/>
          <w:szCs w:val="21"/>
          <w:highlight w:val="none"/>
        </w:rPr>
        <w:fldChar w:fldCharType="end"/>
      </w:r>
    </w:p>
    <w:p w14:paraId="67F2B36B">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_Toc937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附件11：资格证明材料</w:t>
      </w:r>
      <w:r>
        <w:tab/>
      </w:r>
      <w:r>
        <w:fldChar w:fldCharType="begin"/>
      </w:r>
      <w:r>
        <w:instrText xml:space="preserve"> PAGEREF _Toc937 \h </w:instrText>
      </w:r>
      <w:r>
        <w:fldChar w:fldCharType="separate"/>
      </w:r>
      <w:r>
        <w:t>43</w:t>
      </w:r>
      <w:r>
        <w:fldChar w:fldCharType="end"/>
      </w:r>
      <w:r>
        <w:rPr>
          <w:rFonts w:hint="eastAsia" w:ascii="宋体" w:hAnsi="宋体" w:eastAsia="宋体" w:cs="宋体"/>
          <w:bCs w:val="0"/>
          <w:color w:val="auto"/>
          <w:kern w:val="0"/>
          <w:szCs w:val="21"/>
          <w:highlight w:val="none"/>
        </w:rPr>
        <w:fldChar w:fldCharType="end"/>
      </w:r>
    </w:p>
    <w:p w14:paraId="112462A9">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_Toc19453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附件12：财务状况、缴纳税收和社会保障资金证明</w:t>
      </w:r>
      <w:r>
        <w:tab/>
      </w:r>
      <w:r>
        <w:fldChar w:fldCharType="begin"/>
      </w:r>
      <w:r>
        <w:instrText xml:space="preserve"> PAGEREF _Toc19453 \h </w:instrText>
      </w:r>
      <w:r>
        <w:fldChar w:fldCharType="separate"/>
      </w:r>
      <w:r>
        <w:t>44</w:t>
      </w:r>
      <w:r>
        <w:fldChar w:fldCharType="end"/>
      </w:r>
      <w:r>
        <w:rPr>
          <w:rFonts w:hint="eastAsia" w:ascii="宋体" w:hAnsi="宋体" w:eastAsia="宋体" w:cs="宋体"/>
          <w:bCs w:val="0"/>
          <w:color w:val="auto"/>
          <w:kern w:val="0"/>
          <w:szCs w:val="21"/>
          <w:highlight w:val="none"/>
        </w:rPr>
        <w:fldChar w:fldCharType="end"/>
      </w:r>
    </w:p>
    <w:p w14:paraId="56440FE9">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_Toc8894 </w:instrText>
      </w:r>
      <w:r>
        <w:rPr>
          <w:rFonts w:hint="eastAsia" w:ascii="宋体" w:hAnsi="宋体" w:eastAsia="宋体" w:cs="宋体"/>
          <w:bCs w:val="0"/>
          <w:kern w:val="0"/>
          <w:szCs w:val="21"/>
          <w:highlight w:val="none"/>
        </w:rPr>
        <w:fldChar w:fldCharType="separate"/>
      </w:r>
      <w:r>
        <w:rPr>
          <w:rFonts w:hint="eastAsia" w:ascii="宋体" w:hAnsi="宋体" w:eastAsia="宋体" w:cs="宋体"/>
          <w:szCs w:val="28"/>
          <w:highlight w:val="none"/>
        </w:rPr>
        <w:t>附件</w:t>
      </w:r>
      <w:r>
        <w:rPr>
          <w:rFonts w:hint="eastAsia" w:ascii="宋体" w:hAnsi="宋体" w:eastAsia="宋体" w:cs="宋体"/>
          <w:smallCaps/>
          <w:spacing w:val="20"/>
          <w:kern w:val="2"/>
          <w:szCs w:val="28"/>
          <w:highlight w:val="none"/>
        </w:rPr>
        <w:t>13：</w:t>
      </w:r>
      <w:r>
        <w:rPr>
          <w:rFonts w:hint="eastAsia" w:ascii="宋体" w:hAnsi="宋体" w:eastAsia="宋体" w:cs="宋体"/>
          <w:smallCaps/>
          <w:spacing w:val="20"/>
          <w:kern w:val="2"/>
          <w:szCs w:val="28"/>
          <w:highlight w:val="none"/>
          <w:lang w:val="zh-CN"/>
        </w:rPr>
        <w:t>具备履行合同所必须的设备和专业技术能力证明</w:t>
      </w:r>
      <w:r>
        <w:tab/>
      </w:r>
      <w:r>
        <w:fldChar w:fldCharType="begin"/>
      </w:r>
      <w:r>
        <w:instrText xml:space="preserve"> PAGEREF _Toc8894 \h </w:instrText>
      </w:r>
      <w:r>
        <w:fldChar w:fldCharType="separate"/>
      </w:r>
      <w:r>
        <w:t>45</w:t>
      </w:r>
      <w:r>
        <w:fldChar w:fldCharType="end"/>
      </w:r>
      <w:r>
        <w:rPr>
          <w:rFonts w:hint="eastAsia" w:ascii="宋体" w:hAnsi="宋体" w:eastAsia="宋体" w:cs="宋体"/>
          <w:bCs w:val="0"/>
          <w:color w:val="auto"/>
          <w:kern w:val="0"/>
          <w:szCs w:val="21"/>
          <w:highlight w:val="none"/>
        </w:rPr>
        <w:fldChar w:fldCharType="end"/>
      </w:r>
    </w:p>
    <w:p w14:paraId="2D9121C3">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_Toc1842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附件14：无重大违法记录声明</w:t>
      </w:r>
      <w:r>
        <w:tab/>
      </w:r>
      <w:r>
        <w:fldChar w:fldCharType="begin"/>
      </w:r>
      <w:r>
        <w:instrText xml:space="preserve"> PAGEREF _Toc1842 \h </w:instrText>
      </w:r>
      <w:r>
        <w:fldChar w:fldCharType="separate"/>
      </w:r>
      <w:r>
        <w:t>46</w:t>
      </w:r>
      <w:r>
        <w:fldChar w:fldCharType="end"/>
      </w:r>
      <w:r>
        <w:rPr>
          <w:rFonts w:hint="eastAsia" w:ascii="宋体" w:hAnsi="宋体" w:eastAsia="宋体" w:cs="宋体"/>
          <w:bCs w:val="0"/>
          <w:color w:val="auto"/>
          <w:kern w:val="0"/>
          <w:szCs w:val="21"/>
          <w:highlight w:val="none"/>
        </w:rPr>
        <w:fldChar w:fldCharType="end"/>
      </w:r>
    </w:p>
    <w:p w14:paraId="0EE0054A">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_Toc30685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附件15：类似业绩证明材料</w:t>
      </w:r>
      <w:r>
        <w:tab/>
      </w:r>
      <w:r>
        <w:fldChar w:fldCharType="begin"/>
      </w:r>
      <w:r>
        <w:instrText xml:space="preserve"> PAGEREF _Toc30685 \h </w:instrText>
      </w:r>
      <w:r>
        <w:fldChar w:fldCharType="separate"/>
      </w:r>
      <w:r>
        <w:t>47</w:t>
      </w:r>
      <w:r>
        <w:fldChar w:fldCharType="end"/>
      </w:r>
      <w:r>
        <w:rPr>
          <w:rFonts w:hint="eastAsia" w:ascii="宋体" w:hAnsi="宋体" w:eastAsia="宋体" w:cs="宋体"/>
          <w:bCs w:val="0"/>
          <w:color w:val="auto"/>
          <w:kern w:val="0"/>
          <w:szCs w:val="21"/>
          <w:highlight w:val="none"/>
        </w:rPr>
        <w:fldChar w:fldCharType="end"/>
      </w:r>
    </w:p>
    <w:p w14:paraId="656CD683">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_Toc824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w:t>
      </w:r>
      <w:r>
        <w:rPr>
          <w:rFonts w:hint="eastAsia" w:ascii="宋体" w:hAnsi="宋体" w:cs="宋体"/>
          <w:highlight w:val="none"/>
          <w:lang w:val="en-US" w:eastAsia="zh-CN"/>
        </w:rPr>
        <w:t>6</w:t>
      </w:r>
      <w:r>
        <w:rPr>
          <w:rFonts w:hint="eastAsia" w:ascii="宋体" w:hAnsi="宋体" w:eastAsia="宋体" w:cs="宋体"/>
          <w:highlight w:val="none"/>
        </w:rPr>
        <w:t>：服务能力与方案</w:t>
      </w:r>
      <w:r>
        <w:tab/>
      </w:r>
      <w:r>
        <w:fldChar w:fldCharType="begin"/>
      </w:r>
      <w:r>
        <w:instrText xml:space="preserve"> PAGEREF _Toc824 \h </w:instrText>
      </w:r>
      <w:r>
        <w:fldChar w:fldCharType="separate"/>
      </w:r>
      <w:r>
        <w:t>48</w:t>
      </w:r>
      <w:r>
        <w:fldChar w:fldCharType="end"/>
      </w:r>
      <w:r>
        <w:rPr>
          <w:rFonts w:hint="eastAsia" w:ascii="宋体" w:hAnsi="宋体" w:eastAsia="宋体" w:cs="宋体"/>
          <w:bCs w:val="0"/>
          <w:color w:val="auto"/>
          <w:kern w:val="0"/>
          <w:szCs w:val="21"/>
          <w:highlight w:val="none"/>
        </w:rPr>
        <w:fldChar w:fldCharType="end"/>
      </w:r>
    </w:p>
    <w:p w14:paraId="09A8FB0E">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_Toc25285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w:t>
      </w:r>
      <w:r>
        <w:rPr>
          <w:rFonts w:hint="eastAsia" w:ascii="宋体" w:hAnsi="宋体" w:cs="宋体"/>
          <w:highlight w:val="none"/>
          <w:lang w:val="en-US" w:eastAsia="zh-CN"/>
        </w:rPr>
        <w:t>7</w:t>
      </w:r>
      <w:r>
        <w:rPr>
          <w:rFonts w:hint="eastAsia" w:ascii="宋体" w:hAnsi="宋体" w:eastAsia="宋体" w:cs="宋体"/>
          <w:highlight w:val="none"/>
        </w:rPr>
        <w:t>：最终报价表</w:t>
      </w:r>
      <w:r>
        <w:tab/>
      </w:r>
      <w:r>
        <w:fldChar w:fldCharType="begin"/>
      </w:r>
      <w:r>
        <w:instrText xml:space="preserve"> PAGEREF _Toc25285 \h </w:instrText>
      </w:r>
      <w:r>
        <w:fldChar w:fldCharType="separate"/>
      </w:r>
      <w:r>
        <w:t>49</w:t>
      </w:r>
      <w:r>
        <w:fldChar w:fldCharType="end"/>
      </w:r>
      <w:r>
        <w:rPr>
          <w:rFonts w:hint="eastAsia" w:ascii="宋体" w:hAnsi="宋体" w:eastAsia="宋体" w:cs="宋体"/>
          <w:bCs w:val="0"/>
          <w:color w:val="auto"/>
          <w:kern w:val="0"/>
          <w:szCs w:val="21"/>
          <w:highlight w:val="none"/>
        </w:rPr>
        <w:fldChar w:fldCharType="end"/>
      </w:r>
    </w:p>
    <w:p w14:paraId="6229A488">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_Toc12846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w:t>
      </w:r>
      <w:r>
        <w:rPr>
          <w:rFonts w:hint="eastAsia" w:ascii="宋体" w:hAnsi="宋体" w:cs="宋体"/>
          <w:highlight w:val="none"/>
          <w:lang w:val="en-US" w:eastAsia="zh-CN"/>
        </w:rPr>
        <w:t>8</w:t>
      </w:r>
      <w:r>
        <w:rPr>
          <w:rFonts w:hint="eastAsia" w:ascii="宋体" w:hAnsi="宋体" w:eastAsia="宋体" w:cs="宋体"/>
          <w:highlight w:val="none"/>
        </w:rPr>
        <w:t>：</w:t>
      </w:r>
      <w:r>
        <w:rPr>
          <w:rFonts w:hint="eastAsia" w:ascii="宋体" w:hAnsi="宋体" w:eastAsia="宋体" w:cs="宋体"/>
          <w:highlight w:val="none"/>
          <w:lang w:eastAsia="zh-CN"/>
        </w:rPr>
        <w:t>供应商认为在其他方面有必要说明的事项</w:t>
      </w:r>
      <w:r>
        <w:tab/>
      </w:r>
      <w:r>
        <w:fldChar w:fldCharType="begin"/>
      </w:r>
      <w:r>
        <w:instrText xml:space="preserve"> PAGEREF _Toc12846 \h </w:instrText>
      </w:r>
      <w:r>
        <w:fldChar w:fldCharType="separate"/>
      </w:r>
      <w:r>
        <w:t>50</w:t>
      </w:r>
      <w:r>
        <w:fldChar w:fldCharType="end"/>
      </w:r>
      <w:r>
        <w:rPr>
          <w:rFonts w:hint="eastAsia" w:ascii="宋体" w:hAnsi="宋体" w:eastAsia="宋体" w:cs="宋体"/>
          <w:bCs w:val="0"/>
          <w:color w:val="auto"/>
          <w:kern w:val="0"/>
          <w:szCs w:val="21"/>
          <w:highlight w:val="none"/>
        </w:rPr>
        <w:fldChar w:fldCharType="end"/>
      </w:r>
    </w:p>
    <w:p w14:paraId="1ADA151B">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_Toc24821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w:t>
      </w:r>
      <w:r>
        <w:rPr>
          <w:rFonts w:hint="eastAsia" w:ascii="宋体" w:hAnsi="宋体" w:cs="宋体"/>
          <w:highlight w:val="none"/>
          <w:lang w:val="en-US" w:eastAsia="zh-CN"/>
        </w:rPr>
        <w:t>19</w:t>
      </w:r>
      <w:r>
        <w:rPr>
          <w:rFonts w:hint="eastAsia" w:ascii="宋体" w:hAnsi="宋体" w:eastAsia="宋体" w:cs="宋体"/>
          <w:highlight w:val="none"/>
        </w:rPr>
        <w:t>：享受政府采购政策优惠的证明资料</w:t>
      </w:r>
      <w:r>
        <w:tab/>
      </w:r>
      <w:r>
        <w:fldChar w:fldCharType="begin"/>
      </w:r>
      <w:r>
        <w:instrText xml:space="preserve"> PAGEREF _Toc24821 \h </w:instrText>
      </w:r>
      <w:r>
        <w:fldChar w:fldCharType="separate"/>
      </w:r>
      <w:r>
        <w:t>51</w:t>
      </w:r>
      <w:r>
        <w:fldChar w:fldCharType="end"/>
      </w:r>
      <w:r>
        <w:rPr>
          <w:rFonts w:hint="eastAsia" w:ascii="宋体" w:hAnsi="宋体" w:eastAsia="宋体" w:cs="宋体"/>
          <w:bCs w:val="0"/>
          <w:color w:val="auto"/>
          <w:kern w:val="0"/>
          <w:szCs w:val="21"/>
          <w:highlight w:val="none"/>
        </w:rPr>
        <w:fldChar w:fldCharType="end"/>
      </w:r>
    </w:p>
    <w:p w14:paraId="4E9FAA71">
      <w:pPr>
        <w:pStyle w:val="42"/>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_Toc2063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第六部分 磋商及采购项目技术要求</w:t>
      </w:r>
      <w:r>
        <w:tab/>
      </w:r>
      <w:r>
        <w:fldChar w:fldCharType="begin"/>
      </w:r>
      <w:r>
        <w:instrText xml:space="preserve"> PAGEREF _Toc2063 \h </w:instrText>
      </w:r>
      <w:r>
        <w:fldChar w:fldCharType="separate"/>
      </w:r>
      <w:r>
        <w:t>54</w:t>
      </w:r>
      <w:r>
        <w:fldChar w:fldCharType="end"/>
      </w:r>
      <w:r>
        <w:rPr>
          <w:rFonts w:hint="eastAsia" w:ascii="宋体" w:hAnsi="宋体" w:eastAsia="宋体" w:cs="宋体"/>
          <w:bCs w:val="0"/>
          <w:color w:val="auto"/>
          <w:kern w:val="0"/>
          <w:szCs w:val="21"/>
          <w:highlight w:val="none"/>
        </w:rPr>
        <w:fldChar w:fldCharType="end"/>
      </w:r>
    </w:p>
    <w:p w14:paraId="6728DFE7">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_Toc6431 </w:instrText>
      </w:r>
      <w:r>
        <w:rPr>
          <w:rFonts w:hint="eastAsia" w:ascii="宋体" w:hAnsi="宋体" w:eastAsia="宋体" w:cs="宋体"/>
          <w:bCs w:val="0"/>
          <w:kern w:val="0"/>
          <w:szCs w:val="21"/>
          <w:highlight w:val="none"/>
        </w:rPr>
        <w:fldChar w:fldCharType="separate"/>
      </w:r>
      <w:r>
        <w:rPr>
          <w:rFonts w:hint="eastAsia" w:ascii="宋体" w:hAnsi="宋体"/>
          <w:bCs/>
          <w:szCs w:val="27"/>
          <w:highlight w:val="none"/>
        </w:rPr>
        <w:t>1、投标说明</w:t>
      </w:r>
      <w:r>
        <w:tab/>
      </w:r>
      <w:r>
        <w:fldChar w:fldCharType="begin"/>
      </w:r>
      <w:r>
        <w:instrText xml:space="preserve"> PAGEREF _Toc6431 \h </w:instrText>
      </w:r>
      <w:r>
        <w:fldChar w:fldCharType="separate"/>
      </w:r>
      <w:r>
        <w:t>54</w:t>
      </w:r>
      <w:r>
        <w:fldChar w:fldCharType="end"/>
      </w:r>
      <w:r>
        <w:rPr>
          <w:rFonts w:hint="eastAsia" w:ascii="宋体" w:hAnsi="宋体" w:eastAsia="宋体" w:cs="宋体"/>
          <w:bCs w:val="0"/>
          <w:color w:val="auto"/>
          <w:kern w:val="0"/>
          <w:szCs w:val="21"/>
          <w:highlight w:val="none"/>
        </w:rPr>
        <w:fldChar w:fldCharType="end"/>
      </w:r>
    </w:p>
    <w:p w14:paraId="597763DE">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_Toc12483 </w:instrText>
      </w:r>
      <w:r>
        <w:rPr>
          <w:rFonts w:hint="eastAsia" w:ascii="宋体" w:hAnsi="宋体" w:eastAsia="宋体" w:cs="宋体"/>
          <w:bCs w:val="0"/>
          <w:kern w:val="0"/>
          <w:szCs w:val="21"/>
          <w:highlight w:val="none"/>
        </w:rPr>
        <w:fldChar w:fldCharType="separate"/>
      </w:r>
      <w:r>
        <w:rPr>
          <w:rFonts w:hint="eastAsia" w:ascii="宋体" w:hAnsi="宋体"/>
          <w:bCs/>
          <w:szCs w:val="27"/>
          <w:highlight w:val="none"/>
        </w:rPr>
        <w:t>2、报价说明</w:t>
      </w:r>
      <w:r>
        <w:tab/>
      </w:r>
      <w:r>
        <w:fldChar w:fldCharType="begin"/>
      </w:r>
      <w:r>
        <w:instrText xml:space="preserve"> PAGEREF _Toc12483 \h </w:instrText>
      </w:r>
      <w:r>
        <w:fldChar w:fldCharType="separate"/>
      </w:r>
      <w:r>
        <w:t>54</w:t>
      </w:r>
      <w:r>
        <w:fldChar w:fldCharType="end"/>
      </w:r>
      <w:r>
        <w:rPr>
          <w:rFonts w:hint="eastAsia" w:ascii="宋体" w:hAnsi="宋体" w:eastAsia="宋体" w:cs="宋体"/>
          <w:bCs w:val="0"/>
          <w:color w:val="auto"/>
          <w:kern w:val="0"/>
          <w:szCs w:val="21"/>
          <w:highlight w:val="none"/>
        </w:rPr>
        <w:fldChar w:fldCharType="end"/>
      </w:r>
    </w:p>
    <w:p w14:paraId="723972E9">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_Toc12173 </w:instrText>
      </w:r>
      <w:r>
        <w:rPr>
          <w:rFonts w:hint="eastAsia" w:ascii="宋体" w:hAnsi="宋体" w:eastAsia="宋体" w:cs="宋体"/>
          <w:bCs w:val="0"/>
          <w:kern w:val="0"/>
          <w:szCs w:val="21"/>
          <w:highlight w:val="none"/>
        </w:rPr>
        <w:fldChar w:fldCharType="separate"/>
      </w:r>
      <w:r>
        <w:rPr>
          <w:rFonts w:hint="eastAsia" w:ascii="宋体" w:hAnsi="宋体"/>
          <w:bCs/>
          <w:szCs w:val="27"/>
          <w:highlight w:val="none"/>
        </w:rPr>
        <w:t>3、商务要求</w:t>
      </w:r>
      <w:r>
        <w:tab/>
      </w:r>
      <w:r>
        <w:fldChar w:fldCharType="begin"/>
      </w:r>
      <w:r>
        <w:instrText xml:space="preserve"> PAGEREF _Toc12173 \h </w:instrText>
      </w:r>
      <w:r>
        <w:fldChar w:fldCharType="separate"/>
      </w:r>
      <w:r>
        <w:t>54</w:t>
      </w:r>
      <w:r>
        <w:fldChar w:fldCharType="end"/>
      </w:r>
      <w:r>
        <w:rPr>
          <w:rFonts w:hint="eastAsia" w:ascii="宋体" w:hAnsi="宋体" w:eastAsia="宋体" w:cs="宋体"/>
          <w:bCs w:val="0"/>
          <w:color w:val="auto"/>
          <w:kern w:val="0"/>
          <w:szCs w:val="21"/>
          <w:highlight w:val="none"/>
        </w:rPr>
        <w:fldChar w:fldCharType="end"/>
      </w:r>
    </w:p>
    <w:p w14:paraId="3F747EF8">
      <w:pPr>
        <w:pStyle w:val="54"/>
        <w:tabs>
          <w:tab w:val="right" w:leader="dot" w:pos="825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_Toc12159 </w:instrText>
      </w:r>
      <w:r>
        <w:rPr>
          <w:rFonts w:hint="eastAsia" w:ascii="宋体" w:hAnsi="宋体" w:eastAsia="宋体" w:cs="宋体"/>
          <w:bCs w:val="0"/>
          <w:kern w:val="0"/>
          <w:szCs w:val="21"/>
          <w:highlight w:val="none"/>
        </w:rPr>
        <w:fldChar w:fldCharType="separate"/>
      </w:r>
      <w:r>
        <w:rPr>
          <w:rFonts w:hint="eastAsia" w:ascii="宋体" w:hAnsi="宋体" w:eastAsia="宋体"/>
          <w:bCs/>
          <w:szCs w:val="27"/>
          <w:highlight w:val="none"/>
          <w:lang w:val="en-US" w:eastAsia="zh-CN"/>
        </w:rPr>
        <w:t>4.采购需求</w:t>
      </w:r>
      <w:r>
        <w:tab/>
      </w:r>
      <w:r>
        <w:fldChar w:fldCharType="begin"/>
      </w:r>
      <w:r>
        <w:instrText xml:space="preserve"> PAGEREF _Toc12159 \h </w:instrText>
      </w:r>
      <w:r>
        <w:fldChar w:fldCharType="separate"/>
      </w:r>
      <w:r>
        <w:t>55</w:t>
      </w:r>
      <w:r>
        <w:fldChar w:fldCharType="end"/>
      </w:r>
      <w:r>
        <w:rPr>
          <w:rFonts w:hint="eastAsia" w:ascii="宋体" w:hAnsi="宋体" w:eastAsia="宋体" w:cs="宋体"/>
          <w:bCs w:val="0"/>
          <w:color w:val="auto"/>
          <w:kern w:val="0"/>
          <w:szCs w:val="21"/>
          <w:highlight w:val="none"/>
        </w:rPr>
        <w:fldChar w:fldCharType="end"/>
      </w:r>
    </w:p>
    <w:p w14:paraId="55C5FFBB">
      <w:pPr>
        <w:pStyle w:val="54"/>
        <w:tabs>
          <w:tab w:val="right" w:leader="dot" w:pos="8250"/>
        </w:tabs>
      </w:pPr>
    </w:p>
    <w:p w14:paraId="3D208C8B">
      <w:pPr>
        <w:pStyle w:val="42"/>
        <w:keepNext w:val="0"/>
        <w:keepLines w:val="0"/>
        <w:pageBreakBefore w:val="0"/>
        <w:widowControl w:val="0"/>
        <w:tabs>
          <w:tab w:val="right" w:leader="dot" w:pos="8723"/>
        </w:tabs>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aps w:val="0"/>
          <w:color w:val="auto"/>
          <w:sz w:val="21"/>
          <w:szCs w:val="22"/>
          <w:highlight w:val="none"/>
        </w:rPr>
        <w:sectPr>
          <w:headerReference r:id="rId6" w:type="first"/>
          <w:footerReference r:id="rId9" w:type="first"/>
          <w:headerReference r:id="rId5" w:type="default"/>
          <w:footerReference r:id="rId7" w:type="default"/>
          <w:footerReference r:id="rId8" w:type="even"/>
          <w:pgSz w:w="11850" w:h="16783"/>
          <w:pgMar w:top="1440" w:right="1800" w:bottom="1440" w:left="1800" w:header="680" w:footer="1021" w:gutter="0"/>
          <w:pgNumType w:start="0" w:chapStyle="1"/>
          <w:cols w:space="425" w:num="1"/>
          <w:titlePg/>
          <w:docGrid w:linePitch="312" w:charSpace="0"/>
        </w:sectPr>
      </w:pPr>
      <w:r>
        <w:rPr>
          <w:rFonts w:hint="eastAsia" w:ascii="宋体" w:hAnsi="宋体" w:eastAsia="宋体" w:cs="宋体"/>
          <w:bCs w:val="0"/>
          <w:color w:val="auto"/>
          <w:kern w:val="0"/>
          <w:szCs w:val="21"/>
          <w:highlight w:val="none"/>
        </w:rPr>
        <w:fldChar w:fldCharType="end"/>
      </w:r>
      <w:bookmarkStart w:id="0" w:name="_Toc447725347"/>
    </w:p>
    <w:p w14:paraId="43BDAAF6">
      <w:pPr>
        <w:pStyle w:val="3"/>
        <w:numPr>
          <w:ilvl w:val="0"/>
          <w:numId w:val="0"/>
        </w:numPr>
        <w:bidi w:val="0"/>
        <w:ind w:leftChars="0"/>
        <w:jc w:val="center"/>
        <w:rPr>
          <w:rFonts w:hint="eastAsia" w:ascii="宋体" w:hAnsi="宋体" w:eastAsia="宋体" w:cs="宋体"/>
          <w:color w:val="auto"/>
          <w:highlight w:val="none"/>
        </w:rPr>
      </w:pPr>
      <w:bookmarkStart w:id="1" w:name="_Toc24880"/>
      <w:bookmarkStart w:id="226" w:name="_GoBack"/>
      <w:bookmarkEnd w:id="226"/>
      <w:r>
        <w:rPr>
          <w:rFonts w:hint="eastAsia" w:ascii="宋体" w:hAnsi="宋体" w:eastAsia="宋体" w:cs="宋体"/>
          <w:color w:val="auto"/>
          <w:highlight w:val="none"/>
        </w:rPr>
        <w:t>第一部分</w:t>
      </w:r>
      <w:bookmarkEnd w:id="0"/>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竞争性磋商邀请公告</w:t>
      </w:r>
      <w:bookmarkEnd w:id="1"/>
    </w:p>
    <w:p w14:paraId="7400D51C">
      <w:pPr>
        <w:bidi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青海联祥招标代理有限公司受</w:t>
      </w:r>
      <w:r>
        <w:rPr>
          <w:rFonts w:hint="eastAsia" w:ascii="宋体" w:hAnsi="宋体" w:cs="宋体"/>
          <w:bCs/>
          <w:color w:val="auto"/>
          <w:sz w:val="24"/>
          <w:highlight w:val="none"/>
          <w:lang w:eastAsia="zh-CN"/>
        </w:rPr>
        <w:t>青海省财政厅</w:t>
      </w:r>
      <w:r>
        <w:rPr>
          <w:rFonts w:hint="eastAsia" w:ascii="宋体" w:hAnsi="宋体" w:eastAsia="宋体" w:cs="宋体"/>
          <w:color w:val="auto"/>
          <w:sz w:val="24"/>
          <w:highlight w:val="none"/>
          <w:lang w:eastAsia="zh-CN"/>
        </w:rPr>
        <w:t>委托，拟对</w:t>
      </w:r>
      <w:r>
        <w:rPr>
          <w:rFonts w:hint="eastAsia" w:ascii="宋体" w:hAnsi="宋体" w:cs="宋体"/>
          <w:bCs/>
          <w:color w:val="auto"/>
          <w:sz w:val="24"/>
          <w:highlight w:val="none"/>
          <w:lang w:val="zh-CN" w:eastAsia="zh-CN"/>
        </w:rPr>
        <w:t>青海省财政厅信息机房设备维保服务项目</w:t>
      </w:r>
      <w:r>
        <w:rPr>
          <w:rFonts w:hint="eastAsia" w:ascii="宋体" w:hAnsi="宋体" w:eastAsia="宋体" w:cs="宋体"/>
          <w:color w:val="auto"/>
          <w:sz w:val="24"/>
          <w:highlight w:val="none"/>
          <w:lang w:eastAsia="zh-CN"/>
        </w:rPr>
        <w:t>进行国内竞争性磋商采购，现予以公告，欢迎符合条件的供应商前来参加投标。</w:t>
      </w:r>
    </w:p>
    <w:tbl>
      <w:tblPr>
        <w:tblStyle w:val="67"/>
        <w:tblW w:w="8599" w:type="dxa"/>
        <w:jc w:val="center"/>
        <w:shd w:val="clear" w:color="auto" w:fill="auto"/>
        <w:tblLayout w:type="fixed"/>
        <w:tblCellMar>
          <w:top w:w="0" w:type="dxa"/>
          <w:left w:w="108" w:type="dxa"/>
          <w:bottom w:w="0" w:type="dxa"/>
          <w:right w:w="108" w:type="dxa"/>
        </w:tblCellMar>
      </w:tblPr>
      <w:tblGrid>
        <w:gridCol w:w="2679"/>
        <w:gridCol w:w="5920"/>
      </w:tblGrid>
      <w:tr w14:paraId="0F01F569">
        <w:tblPrEx>
          <w:shd w:val="clear" w:color="auto" w:fill="auto"/>
          <w:tblCellMar>
            <w:top w:w="0" w:type="dxa"/>
            <w:left w:w="108" w:type="dxa"/>
            <w:bottom w:w="0" w:type="dxa"/>
            <w:right w:w="108" w:type="dxa"/>
          </w:tblCellMar>
        </w:tblPrEx>
        <w:trPr>
          <w:trHeight w:val="421"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688DB7">
            <w:pPr>
              <w:pStyle w:val="13"/>
              <w:bidi w:val="0"/>
              <w:rPr>
                <w:rFonts w:hint="eastAsia" w:ascii="宋体" w:hAnsi="宋体" w:eastAsia="宋体" w:cs="宋体"/>
                <w:color w:val="auto"/>
                <w:highlight w:val="none"/>
                <w:lang w:val="zh-CN"/>
              </w:rPr>
            </w:pPr>
            <w:bookmarkStart w:id="2" w:name="OLE_LINK1"/>
            <w:r>
              <w:rPr>
                <w:rFonts w:hint="eastAsia" w:ascii="宋体" w:hAnsi="宋体" w:eastAsia="宋体" w:cs="宋体"/>
                <w:color w:val="auto"/>
                <w:highlight w:val="none"/>
                <w:lang w:val="zh-CN"/>
              </w:rPr>
              <w:t>采购项目名称</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0B557A">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青海省财政厅信息机房设备维保服务项目</w:t>
            </w:r>
          </w:p>
        </w:tc>
      </w:tr>
      <w:tr w14:paraId="2C5451C0">
        <w:tblPrEx>
          <w:tblCellMar>
            <w:top w:w="0" w:type="dxa"/>
            <w:left w:w="108" w:type="dxa"/>
            <w:bottom w:w="0" w:type="dxa"/>
            <w:right w:w="108" w:type="dxa"/>
          </w:tblCellMar>
        </w:tblPrEx>
        <w:trPr>
          <w:trHeight w:val="408"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5CDF29">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采购项目编号</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C79068">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青海联祥磋商（服务）2026-057</w:t>
            </w:r>
          </w:p>
        </w:tc>
      </w:tr>
      <w:tr w14:paraId="01B19BE8">
        <w:tblPrEx>
          <w:shd w:val="clear" w:color="auto" w:fill="auto"/>
          <w:tblCellMar>
            <w:top w:w="0" w:type="dxa"/>
            <w:left w:w="108" w:type="dxa"/>
            <w:bottom w:w="0" w:type="dxa"/>
            <w:right w:w="108" w:type="dxa"/>
          </w:tblCellMar>
        </w:tblPrEx>
        <w:trPr>
          <w:trHeight w:val="383"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D62E1E">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采购方式</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10914">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竞争性磋商</w:t>
            </w:r>
          </w:p>
        </w:tc>
      </w:tr>
      <w:tr w14:paraId="54C69AEA">
        <w:tblPrEx>
          <w:shd w:val="clear" w:color="auto" w:fill="auto"/>
          <w:tblCellMar>
            <w:top w:w="0" w:type="dxa"/>
            <w:left w:w="108" w:type="dxa"/>
            <w:bottom w:w="0" w:type="dxa"/>
            <w:right w:w="108" w:type="dxa"/>
          </w:tblCellMar>
        </w:tblPrEx>
        <w:trPr>
          <w:trHeight w:val="90"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34B7E4">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采购预算金额</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C7C9CC">
            <w:pPr>
              <w:pStyle w:val="13"/>
              <w:bidi w:val="0"/>
              <w:rPr>
                <w:rFonts w:hint="eastAsia" w:ascii="宋体" w:hAnsi="宋体" w:eastAsia="宋体" w:cs="宋体"/>
                <w:color w:val="auto"/>
                <w:highlight w:val="none"/>
                <w:lang w:val="en-US"/>
              </w:rPr>
            </w:pPr>
            <w:r>
              <w:rPr>
                <w:rFonts w:hint="eastAsia" w:ascii="宋体" w:hAnsi="宋体" w:cs="宋体"/>
                <w:color w:val="auto"/>
                <w:highlight w:val="none"/>
                <w:lang w:val="en-US" w:eastAsia="zh-CN"/>
              </w:rPr>
              <w:t>88.6万元</w:t>
            </w:r>
          </w:p>
        </w:tc>
      </w:tr>
      <w:tr w14:paraId="602A601E">
        <w:tblPrEx>
          <w:shd w:val="clear" w:color="auto" w:fill="auto"/>
          <w:tblCellMar>
            <w:top w:w="0" w:type="dxa"/>
            <w:left w:w="108" w:type="dxa"/>
            <w:bottom w:w="0" w:type="dxa"/>
            <w:right w:w="108" w:type="dxa"/>
          </w:tblCellMar>
        </w:tblPrEx>
        <w:trPr>
          <w:trHeight w:val="333"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92B9E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最高限价</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90FC2C">
            <w:pPr>
              <w:pStyle w:val="13"/>
              <w:bidi w:val="0"/>
              <w:rPr>
                <w:rFonts w:hint="eastAsia" w:ascii="宋体" w:hAnsi="宋体" w:eastAsia="宋体" w:cs="宋体"/>
                <w:color w:val="auto"/>
                <w:highlight w:val="none"/>
              </w:rPr>
            </w:pPr>
            <w:r>
              <w:rPr>
                <w:rFonts w:hint="eastAsia" w:ascii="宋体" w:hAnsi="宋体" w:cs="宋体"/>
                <w:color w:val="auto"/>
                <w:highlight w:val="none"/>
                <w:lang w:val="en-US" w:eastAsia="zh-CN"/>
              </w:rPr>
              <w:t>88.6万元</w:t>
            </w:r>
          </w:p>
        </w:tc>
      </w:tr>
      <w:tr w14:paraId="6D22CF2E">
        <w:tblPrEx>
          <w:shd w:val="clear" w:color="auto" w:fill="auto"/>
          <w:tblCellMar>
            <w:top w:w="0" w:type="dxa"/>
            <w:left w:w="108" w:type="dxa"/>
            <w:bottom w:w="0" w:type="dxa"/>
            <w:right w:w="108" w:type="dxa"/>
          </w:tblCellMar>
        </w:tblPrEx>
        <w:trPr>
          <w:trHeight w:val="90"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65FB0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项目分包个数</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F33BAD">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不分包</w:t>
            </w:r>
          </w:p>
        </w:tc>
      </w:tr>
      <w:tr w14:paraId="05E07BEA">
        <w:tblPrEx>
          <w:shd w:val="clear" w:color="auto" w:fill="auto"/>
          <w:tblCellMar>
            <w:top w:w="0" w:type="dxa"/>
            <w:left w:w="108" w:type="dxa"/>
            <w:bottom w:w="0" w:type="dxa"/>
            <w:right w:w="108" w:type="dxa"/>
          </w:tblCellMar>
        </w:tblPrEx>
        <w:trPr>
          <w:trHeight w:val="381"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F754A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采购要求</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5950C9">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具体内容详见《</w:t>
            </w:r>
            <w:r>
              <w:rPr>
                <w:rFonts w:hint="eastAsia" w:ascii="宋体" w:hAnsi="宋体" w:eastAsia="宋体" w:cs="宋体"/>
                <w:color w:val="auto"/>
                <w:highlight w:val="none"/>
              </w:rPr>
              <w:t>磋商文件</w:t>
            </w:r>
            <w:r>
              <w:rPr>
                <w:rFonts w:hint="eastAsia" w:ascii="宋体" w:hAnsi="宋体" w:eastAsia="宋体" w:cs="宋体"/>
                <w:color w:val="auto"/>
                <w:highlight w:val="none"/>
                <w:lang w:val="zh-CN"/>
              </w:rPr>
              <w:t>》</w:t>
            </w:r>
          </w:p>
        </w:tc>
      </w:tr>
      <w:tr w14:paraId="691897CB">
        <w:tblPrEx>
          <w:shd w:val="clear" w:color="auto" w:fill="auto"/>
          <w:tblCellMar>
            <w:top w:w="0" w:type="dxa"/>
            <w:left w:w="108" w:type="dxa"/>
            <w:bottom w:w="0" w:type="dxa"/>
            <w:right w:w="108" w:type="dxa"/>
          </w:tblCellMar>
        </w:tblPrEx>
        <w:trPr>
          <w:trHeight w:val="565"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F9FEE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供应商资格条件</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C9214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1、按照《政府采购法》第22条规定提供以下相关材料：</w:t>
            </w:r>
          </w:p>
          <w:p w14:paraId="6097A2E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的营业执照等证明文件，自然人的身份证明。</w:t>
            </w:r>
          </w:p>
          <w:p w14:paraId="6B825D9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(2)财务状况报告，依法缴纳税收和社会保障资金的相关材料。</w:t>
            </w:r>
          </w:p>
          <w:p w14:paraId="4BEF53E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(3)具备履行合同所</w:t>
            </w:r>
            <w:r>
              <w:rPr>
                <w:rFonts w:hint="eastAsia" w:ascii="宋体" w:hAnsi="宋体" w:cs="宋体"/>
                <w:color w:val="auto"/>
                <w:highlight w:val="none"/>
                <w:lang w:val="en-US" w:eastAsia="zh-CN"/>
              </w:rPr>
              <w:t>必需</w:t>
            </w:r>
            <w:r>
              <w:rPr>
                <w:rFonts w:hint="eastAsia" w:ascii="宋体" w:hAnsi="宋体" w:eastAsia="宋体" w:cs="宋体"/>
                <w:color w:val="auto"/>
                <w:highlight w:val="none"/>
                <w:lang w:val="zh-CN"/>
              </w:rPr>
              <w:t>的设备和专业技术能力的证明材料。</w:t>
            </w:r>
          </w:p>
          <w:p w14:paraId="695ABB9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(4)参加政府采购活动前3年内在经营活动中没有重大违法记录的书面声明。</w:t>
            </w:r>
          </w:p>
          <w:p w14:paraId="5B5E144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(5)具备法律、行政法规规定的其他条件的证明材料。</w:t>
            </w:r>
          </w:p>
          <w:p w14:paraId="33DF27B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2、经信用中国（www.creditchina.gov.cn）、中国政府采购网（www.ccgp.gov.cn）等渠道查询后，列入失信被执行人、重大税收违法失信主体、政府采购严重违法失信行为记录名单的，取消投标资格。</w:t>
            </w:r>
          </w:p>
          <w:p w14:paraId="04C7750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3、单位负责人为同一人或者存在直接控股、管理关系的不同</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，不得参加同一合同项下的政府采购活动。否则，皆取消投标资格（需提供承诺函）；</w:t>
            </w:r>
          </w:p>
          <w:p w14:paraId="625311A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4、为本采购项目提供整体设计、规范编制或者项目管理、监理、检测等服务的</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，不得再参加该采购项目的其他采购活动（需提供承诺函）；</w:t>
            </w:r>
          </w:p>
          <w:p w14:paraId="20DD7E89">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5、本项目不接受</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以联合体方式进行投标。</w:t>
            </w:r>
          </w:p>
        </w:tc>
      </w:tr>
      <w:tr w14:paraId="3C3AD534">
        <w:tblPrEx>
          <w:shd w:val="clear" w:color="auto" w:fill="auto"/>
          <w:tblCellMar>
            <w:top w:w="0" w:type="dxa"/>
            <w:left w:w="108" w:type="dxa"/>
            <w:bottom w:w="0" w:type="dxa"/>
            <w:right w:w="108" w:type="dxa"/>
          </w:tblCellMar>
        </w:tblPrEx>
        <w:trPr>
          <w:trHeight w:val="396"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DB0B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公告发布时间</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FBCABD">
            <w:pPr>
              <w:pStyle w:val="13"/>
              <w:bidi w:val="0"/>
              <w:rPr>
                <w:rFonts w:hint="eastAsia" w:ascii="宋体" w:hAnsi="宋体" w:eastAsia="宋体" w:cs="宋体"/>
                <w:color w:val="auto"/>
                <w:highlight w:val="none"/>
                <w:lang w:val="zh-CN"/>
              </w:rPr>
            </w:pPr>
            <w:r>
              <w:rPr>
                <w:rFonts w:hint="eastAsia" w:ascii="宋体" w:hAnsi="宋体" w:cs="宋体"/>
                <w:color w:val="auto"/>
                <w:highlight w:val="none"/>
                <w:lang w:val="zh-CN"/>
              </w:rPr>
              <w:t>2026年06月09日</w:t>
            </w:r>
          </w:p>
        </w:tc>
      </w:tr>
      <w:tr w14:paraId="51B4C81A">
        <w:tblPrEx>
          <w:shd w:val="clear" w:color="auto" w:fill="auto"/>
          <w:tblCellMar>
            <w:top w:w="0" w:type="dxa"/>
            <w:left w:w="108" w:type="dxa"/>
            <w:bottom w:w="0" w:type="dxa"/>
            <w:right w:w="108" w:type="dxa"/>
          </w:tblCellMar>
        </w:tblPrEx>
        <w:trPr>
          <w:trHeight w:val="753"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586477">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获取磋商文件时间</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93675">
            <w:pPr>
              <w:pStyle w:val="13"/>
              <w:bidi w:val="0"/>
              <w:rPr>
                <w:rFonts w:hint="eastAsia" w:ascii="宋体" w:hAnsi="宋体" w:eastAsia="宋体" w:cs="宋体"/>
                <w:color w:val="auto"/>
                <w:highlight w:val="none"/>
                <w:lang w:val="zh-CN"/>
              </w:rPr>
            </w:pPr>
            <w:r>
              <w:rPr>
                <w:rFonts w:hint="eastAsia" w:ascii="宋体" w:hAnsi="宋体" w:cs="宋体"/>
                <w:color w:val="auto"/>
                <w:highlight w:val="none"/>
                <w:lang w:val="zh-CN"/>
              </w:rPr>
              <w:t>2026年06月</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zh-CN"/>
              </w:rPr>
              <w:t>日至</w:t>
            </w:r>
            <w:r>
              <w:rPr>
                <w:rFonts w:hint="eastAsia" w:ascii="宋体" w:hAnsi="宋体" w:cs="宋体"/>
                <w:color w:val="auto"/>
                <w:highlight w:val="none"/>
                <w:lang w:val="zh-CN"/>
              </w:rPr>
              <w:t>2026年</w:t>
            </w:r>
            <w:r>
              <w:rPr>
                <w:rFonts w:hint="eastAsia" w:ascii="宋体" w:hAnsi="宋体" w:cs="宋体"/>
                <w:color w:val="auto"/>
                <w:highlight w:val="none"/>
                <w:lang w:val="en-US" w:eastAsia="zh-CN"/>
              </w:rPr>
              <w:t>06</w:t>
            </w:r>
            <w:r>
              <w:rPr>
                <w:rFonts w:hint="eastAsia" w:ascii="宋体" w:hAnsi="宋体" w:eastAsia="宋体" w:cs="宋体"/>
                <w:color w:val="auto"/>
                <w:highlight w:val="none"/>
                <w:lang w:val="zh-CN"/>
              </w:rPr>
              <w:t>月</w:t>
            </w:r>
            <w:r>
              <w:rPr>
                <w:rFonts w:hint="eastAsia" w:ascii="宋体" w:hAnsi="宋体" w:cs="宋体"/>
                <w:color w:val="auto"/>
                <w:highlight w:val="none"/>
                <w:lang w:val="en-US" w:eastAsia="zh-CN"/>
              </w:rPr>
              <w:t>16</w:t>
            </w:r>
            <w:r>
              <w:rPr>
                <w:rFonts w:hint="eastAsia" w:ascii="宋体" w:hAnsi="宋体" w:eastAsia="宋体" w:cs="宋体"/>
                <w:color w:val="auto"/>
                <w:highlight w:val="none"/>
                <w:lang w:val="zh-CN"/>
              </w:rPr>
              <w:t>日每天上午00:00至12:00，下午12:00至23:59（北京时间，法定节假日除外）。</w:t>
            </w:r>
          </w:p>
        </w:tc>
      </w:tr>
      <w:tr w14:paraId="5A74A2E3">
        <w:tblPrEx>
          <w:shd w:val="clear" w:color="auto" w:fill="auto"/>
          <w:tblCellMar>
            <w:top w:w="0" w:type="dxa"/>
            <w:left w:w="108" w:type="dxa"/>
            <w:bottom w:w="0" w:type="dxa"/>
            <w:right w:w="108" w:type="dxa"/>
          </w:tblCellMar>
        </w:tblPrEx>
        <w:trPr>
          <w:trHeight w:val="511"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24C812">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获取磋商文件地点</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BAA093">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政采云平台线上</w:t>
            </w:r>
          </w:p>
        </w:tc>
      </w:tr>
      <w:tr w14:paraId="604A4ADA">
        <w:tblPrEx>
          <w:shd w:val="clear" w:color="auto" w:fill="auto"/>
          <w:tblCellMar>
            <w:top w:w="0" w:type="dxa"/>
            <w:left w:w="108" w:type="dxa"/>
            <w:bottom w:w="0" w:type="dxa"/>
            <w:right w:w="108" w:type="dxa"/>
          </w:tblCellMar>
        </w:tblPrEx>
        <w:trPr>
          <w:trHeight w:val="511"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FEC34">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磋商文件售价</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8544A3">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0</w:t>
            </w:r>
            <w:r>
              <w:rPr>
                <w:rFonts w:hint="eastAsia" w:ascii="宋体" w:hAnsi="宋体" w:eastAsia="宋体" w:cs="宋体"/>
                <w:color w:val="auto"/>
                <w:highlight w:val="none"/>
                <w:lang w:val="zh-CN"/>
              </w:rPr>
              <w:t>元/</w:t>
            </w:r>
            <w:r>
              <w:rPr>
                <w:rFonts w:hint="eastAsia" w:ascii="宋体" w:hAnsi="宋体" w:eastAsia="宋体" w:cs="宋体"/>
                <w:color w:val="auto"/>
                <w:highlight w:val="none"/>
              </w:rPr>
              <w:t>份</w:t>
            </w:r>
            <w:r>
              <w:rPr>
                <w:rFonts w:hint="eastAsia" w:ascii="宋体" w:hAnsi="宋体" w:eastAsia="宋体" w:cs="宋体"/>
                <w:color w:val="auto"/>
                <w:highlight w:val="none"/>
                <w:lang w:val="zh-CN"/>
              </w:rPr>
              <w:t>（政采云平台网上下载）</w:t>
            </w:r>
          </w:p>
        </w:tc>
      </w:tr>
      <w:tr w14:paraId="349A8417">
        <w:tblPrEx>
          <w:shd w:val="clear" w:color="auto" w:fill="auto"/>
          <w:tblCellMar>
            <w:top w:w="0" w:type="dxa"/>
            <w:left w:w="108" w:type="dxa"/>
            <w:bottom w:w="0" w:type="dxa"/>
            <w:right w:w="108" w:type="dxa"/>
          </w:tblCellMar>
        </w:tblPrEx>
        <w:trPr>
          <w:trHeight w:val="1169"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903C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获取磋商文件方式</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B00406">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政采云平台线上获取</w:t>
            </w:r>
          </w:p>
          <w:p w14:paraId="536CA61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供应商登录政采云平台https://www.zcygov.cn/在线申请获取采购文件（进入“项目采购”应用，在获取采购文件菜单中选择项目，申请获取采购文件）</w:t>
            </w:r>
          </w:p>
        </w:tc>
      </w:tr>
      <w:tr w14:paraId="4EFEEA94">
        <w:tblPrEx>
          <w:shd w:val="clear" w:color="auto" w:fill="auto"/>
          <w:tblCellMar>
            <w:top w:w="0" w:type="dxa"/>
            <w:left w:w="108" w:type="dxa"/>
            <w:bottom w:w="0" w:type="dxa"/>
            <w:right w:w="108" w:type="dxa"/>
          </w:tblCellMar>
        </w:tblPrEx>
        <w:trPr>
          <w:trHeight w:val="469"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10DBFF">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提交响应文件截止时间</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70FCBE">
            <w:pPr>
              <w:pStyle w:val="13"/>
              <w:bidi w:val="0"/>
              <w:rPr>
                <w:rFonts w:hint="eastAsia" w:ascii="宋体" w:hAnsi="宋体" w:eastAsia="宋体" w:cs="宋体"/>
                <w:color w:val="auto"/>
                <w:highlight w:val="none"/>
                <w:lang w:val="zh-CN"/>
              </w:rPr>
            </w:pPr>
            <w:r>
              <w:rPr>
                <w:rFonts w:hint="eastAsia" w:ascii="宋体" w:hAnsi="宋体" w:cs="宋体"/>
                <w:color w:val="auto"/>
                <w:highlight w:val="none"/>
                <w:lang w:val="zh-CN"/>
              </w:rPr>
              <w:t>2026年06月24日15时00分（北京时间）</w:t>
            </w:r>
          </w:p>
        </w:tc>
      </w:tr>
      <w:tr w14:paraId="248D7A64">
        <w:tblPrEx>
          <w:shd w:val="clear" w:color="auto" w:fill="auto"/>
          <w:tblCellMar>
            <w:top w:w="0" w:type="dxa"/>
            <w:left w:w="108" w:type="dxa"/>
            <w:bottom w:w="0" w:type="dxa"/>
            <w:right w:w="108" w:type="dxa"/>
          </w:tblCellMar>
        </w:tblPrEx>
        <w:trPr>
          <w:trHeight w:val="331"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221BF8">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响应文件开启时间</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239C6C">
            <w:pPr>
              <w:pStyle w:val="13"/>
              <w:bidi w:val="0"/>
              <w:rPr>
                <w:rFonts w:hint="eastAsia" w:ascii="宋体" w:hAnsi="宋体" w:eastAsia="宋体" w:cs="宋体"/>
                <w:color w:val="auto"/>
                <w:highlight w:val="none"/>
                <w:lang w:val="zh-CN"/>
              </w:rPr>
            </w:pPr>
            <w:r>
              <w:rPr>
                <w:rFonts w:hint="eastAsia" w:ascii="宋体" w:hAnsi="宋体" w:cs="宋体"/>
                <w:color w:val="auto"/>
                <w:highlight w:val="none"/>
                <w:lang w:val="zh-CN"/>
              </w:rPr>
              <w:t>2026年06月24日15时00分（北京时间）</w:t>
            </w:r>
          </w:p>
        </w:tc>
      </w:tr>
      <w:tr w14:paraId="675539B4">
        <w:tblPrEx>
          <w:shd w:val="clear" w:color="auto" w:fill="auto"/>
          <w:tblCellMar>
            <w:top w:w="0" w:type="dxa"/>
            <w:left w:w="108" w:type="dxa"/>
            <w:bottom w:w="0" w:type="dxa"/>
            <w:right w:w="108" w:type="dxa"/>
          </w:tblCellMar>
        </w:tblPrEx>
        <w:trPr>
          <w:trHeight w:val="90"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7C14E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提交响应文件地点</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9AC2F5">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在政采云平台（https://www.zcygov.cn/）递交，进行线上解密。</w:t>
            </w:r>
          </w:p>
        </w:tc>
      </w:tr>
      <w:tr w14:paraId="00AFA1AC">
        <w:tblPrEx>
          <w:shd w:val="clear" w:color="auto" w:fill="auto"/>
          <w:tblCellMar>
            <w:top w:w="0" w:type="dxa"/>
            <w:left w:w="108" w:type="dxa"/>
            <w:bottom w:w="0" w:type="dxa"/>
            <w:right w:w="108" w:type="dxa"/>
          </w:tblCellMar>
        </w:tblPrEx>
        <w:trPr>
          <w:trHeight w:val="592"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70F6A1">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及</w:t>
            </w:r>
            <w:r>
              <w:rPr>
                <w:rFonts w:hint="eastAsia" w:ascii="宋体" w:hAnsi="宋体" w:eastAsia="宋体" w:cs="宋体"/>
                <w:color w:val="auto"/>
                <w:highlight w:val="none"/>
                <w:lang w:val="en-US" w:eastAsia="zh-CN"/>
              </w:rPr>
              <w:t>开启</w:t>
            </w:r>
            <w:r>
              <w:rPr>
                <w:rFonts w:hint="eastAsia" w:ascii="宋体" w:hAnsi="宋体" w:eastAsia="宋体" w:cs="宋体"/>
                <w:color w:val="auto"/>
                <w:highlight w:val="none"/>
              </w:rPr>
              <w:t>地点</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FD44AC">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在政采云平台（https://www.zcygov.cn/）递交，进行线上解密。</w:t>
            </w:r>
          </w:p>
        </w:tc>
      </w:tr>
      <w:tr w14:paraId="42BB76F8">
        <w:tblPrEx>
          <w:shd w:val="clear" w:color="auto" w:fill="auto"/>
          <w:tblCellMar>
            <w:top w:w="0" w:type="dxa"/>
            <w:left w:w="108" w:type="dxa"/>
            <w:bottom w:w="0" w:type="dxa"/>
            <w:right w:w="108" w:type="dxa"/>
          </w:tblCellMar>
        </w:tblPrEx>
        <w:trPr>
          <w:trHeight w:val="444"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5B49F5">
            <w:pPr>
              <w:pStyle w:val="13"/>
              <w:bidi w:val="0"/>
              <w:rPr>
                <w:rFonts w:hint="eastAsia" w:ascii="宋体" w:hAnsi="宋体" w:eastAsia="宋体" w:cs="宋体"/>
                <w:color w:val="auto"/>
                <w:highlight w:val="yellow"/>
                <w:lang w:eastAsia="zh-CN"/>
              </w:rPr>
            </w:pPr>
            <w:r>
              <w:rPr>
                <w:rFonts w:hint="eastAsia" w:ascii="宋体" w:hAnsi="宋体" w:eastAsia="宋体" w:cs="宋体"/>
                <w:color w:val="auto"/>
                <w:highlight w:val="none"/>
                <w:lang w:eastAsia="zh-CN"/>
              </w:rPr>
              <w:t>采购人及联系人电话</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59B4B3">
            <w:pPr>
              <w:pStyle w:val="13"/>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采购人：青海省财政厅</w:t>
            </w:r>
          </w:p>
          <w:p w14:paraId="29B0B3C1">
            <w:pPr>
              <w:pStyle w:val="13"/>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联系人：滕老师</w:t>
            </w:r>
          </w:p>
          <w:p w14:paraId="1902CE0A">
            <w:pPr>
              <w:pStyle w:val="13"/>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联系电话：0971-3660304</w:t>
            </w:r>
          </w:p>
          <w:p w14:paraId="642DAA07">
            <w:pPr>
              <w:pStyle w:val="13"/>
              <w:bidi w:val="0"/>
              <w:rPr>
                <w:rFonts w:hint="eastAsia" w:ascii="宋体" w:hAnsi="宋体" w:eastAsia="宋体" w:cs="宋体"/>
                <w:color w:val="auto"/>
                <w:highlight w:val="yellow"/>
                <w:lang w:val="en-US" w:eastAsia="zh-CN"/>
              </w:rPr>
            </w:pPr>
            <w:r>
              <w:rPr>
                <w:rFonts w:hint="eastAsia" w:ascii="宋体" w:hAnsi="宋体" w:eastAsia="宋体" w:cs="宋体"/>
                <w:color w:val="auto"/>
                <w:highlight w:val="none"/>
                <w:lang w:eastAsia="zh-CN"/>
              </w:rPr>
              <w:t>联系地址：青海省西宁市城西区黄河路30号</w:t>
            </w:r>
          </w:p>
        </w:tc>
      </w:tr>
      <w:tr w14:paraId="1DC2950D">
        <w:tblPrEx>
          <w:shd w:val="clear" w:color="auto" w:fill="auto"/>
          <w:tblCellMar>
            <w:top w:w="0" w:type="dxa"/>
            <w:left w:w="108" w:type="dxa"/>
            <w:bottom w:w="0" w:type="dxa"/>
            <w:right w:w="108" w:type="dxa"/>
          </w:tblCellMar>
        </w:tblPrEx>
        <w:trPr>
          <w:trHeight w:val="1116"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C75A15">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采购代理机构及联系人电话</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EE25AA">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采购代理机构：青海联祥招标代理有限公司</w:t>
            </w:r>
          </w:p>
          <w:p w14:paraId="13C0DD15">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zh-CN"/>
              </w:rPr>
              <w:t>项目负责人：</w:t>
            </w:r>
            <w:r>
              <w:rPr>
                <w:rFonts w:hint="eastAsia" w:ascii="宋体" w:hAnsi="宋体" w:cs="宋体"/>
                <w:color w:val="auto"/>
                <w:highlight w:val="none"/>
                <w:lang w:val="en-US" w:eastAsia="zh-CN"/>
              </w:rPr>
              <w:t>马女士</w:t>
            </w:r>
          </w:p>
          <w:p w14:paraId="646F36BA">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联系电话：0971-6511500</w:t>
            </w:r>
          </w:p>
          <w:p w14:paraId="28D22EC0">
            <w:pPr>
              <w:pStyle w:val="13"/>
              <w:bidi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邮箱：qinghailianxiang@163.com</w:t>
            </w:r>
          </w:p>
          <w:p w14:paraId="0A7F6E4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联系地址：青海省西宁市城西区胜利路4号时代盛华写字楼13楼11304室</w:t>
            </w:r>
          </w:p>
        </w:tc>
      </w:tr>
      <w:tr w14:paraId="66543229">
        <w:tblPrEx>
          <w:shd w:val="clear" w:color="auto" w:fill="auto"/>
          <w:tblCellMar>
            <w:top w:w="0" w:type="dxa"/>
            <w:left w:w="108" w:type="dxa"/>
            <w:bottom w:w="0" w:type="dxa"/>
            <w:right w:w="108" w:type="dxa"/>
          </w:tblCellMar>
        </w:tblPrEx>
        <w:trPr>
          <w:trHeight w:val="495"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54B4B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采购代理机构开户银行</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DBE08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中国建设银行股份有限公司西宁城西支行</w:t>
            </w:r>
          </w:p>
        </w:tc>
      </w:tr>
      <w:tr w14:paraId="4E6359C7">
        <w:tblPrEx>
          <w:shd w:val="clear" w:color="auto" w:fill="auto"/>
          <w:tblCellMar>
            <w:top w:w="0" w:type="dxa"/>
            <w:left w:w="108" w:type="dxa"/>
            <w:bottom w:w="0" w:type="dxa"/>
            <w:right w:w="108" w:type="dxa"/>
          </w:tblCellMar>
        </w:tblPrEx>
        <w:trPr>
          <w:trHeight w:val="498"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4CB42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收款人</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44D0F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青海联祥招标代理有限公司</w:t>
            </w:r>
          </w:p>
        </w:tc>
      </w:tr>
      <w:tr w14:paraId="47DA825A">
        <w:tblPrEx>
          <w:shd w:val="clear" w:color="auto" w:fill="auto"/>
          <w:tblCellMar>
            <w:top w:w="0" w:type="dxa"/>
            <w:left w:w="108" w:type="dxa"/>
            <w:bottom w:w="0" w:type="dxa"/>
            <w:right w:w="108" w:type="dxa"/>
          </w:tblCellMar>
        </w:tblPrEx>
        <w:trPr>
          <w:trHeight w:val="510"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87471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银行账号</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2DE83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63001373637050216012</w:t>
            </w:r>
          </w:p>
        </w:tc>
      </w:tr>
      <w:tr w14:paraId="6FE33F67">
        <w:tblPrEx>
          <w:tblCellMar>
            <w:top w:w="0" w:type="dxa"/>
            <w:left w:w="108" w:type="dxa"/>
            <w:bottom w:w="0" w:type="dxa"/>
            <w:right w:w="108" w:type="dxa"/>
          </w:tblCellMar>
        </w:tblPrEx>
        <w:trPr>
          <w:trHeight w:val="661"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0C2E5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其他事项</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C6C2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1、本次磋商采用线上提交响应文件的方式进行采购，线上投标文件必须在投标文件递交截止时间前上传平台。</w:t>
            </w:r>
          </w:p>
          <w:p w14:paraId="0B4CD15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2、线上电子化开评标系统操作及办理CA锁等相关事宜请咨询政采云：咨询电话：95763。</w:t>
            </w:r>
          </w:p>
          <w:p w14:paraId="3FD703A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3、本项目磋商公告在《青海省政府采购网》、《青海省公共资源交易网》、《中国采购与招标网》上发布。以《青海省政府采购网》为准。</w:t>
            </w:r>
          </w:p>
          <w:p w14:paraId="2CFA808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4、本项目线上进行，供应商无需到现场开标；如非系统原因造成无法解密的或非系统原因加密文件上传不成功的或没办理CA锁而造成加密投标文件无法解密、加密投标文件无法上传的视为无效投标。</w:t>
            </w:r>
          </w:p>
          <w:p w14:paraId="4FF81BAA">
            <w:pPr>
              <w:pStyle w:val="13"/>
              <w:bidi w:val="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zh-CN"/>
              </w:rPr>
              <w:t>5、不同</w:t>
            </w:r>
            <w:r>
              <w:rPr>
                <w:rFonts w:hint="eastAsia" w:ascii="宋体" w:hAnsi="宋体" w:cs="宋体"/>
                <w:b/>
                <w:bCs/>
                <w:color w:val="auto"/>
                <w:highlight w:val="none"/>
                <w:lang w:val="zh-CN"/>
              </w:rPr>
              <w:t>供应商</w:t>
            </w:r>
            <w:r>
              <w:rPr>
                <w:rFonts w:hint="eastAsia" w:ascii="宋体" w:hAnsi="宋体" w:eastAsia="宋体" w:cs="宋体"/>
                <w:b/>
                <w:bCs/>
                <w:color w:val="auto"/>
                <w:highlight w:val="none"/>
                <w:lang w:val="zh-CN"/>
              </w:rPr>
              <w:t>编制或者提交投标文件的计算机网卡MAC地址、IP地址、CPU序列号、硬盘序列号等硬件信息异常一致并触发预警的，由此原因导致投标无效的责任自负。</w:t>
            </w:r>
          </w:p>
        </w:tc>
      </w:tr>
      <w:tr w14:paraId="6FCD2106">
        <w:tblPrEx>
          <w:tblCellMar>
            <w:top w:w="0" w:type="dxa"/>
            <w:left w:w="108" w:type="dxa"/>
            <w:bottom w:w="0" w:type="dxa"/>
            <w:right w:w="108" w:type="dxa"/>
          </w:tblCellMar>
        </w:tblPrEx>
        <w:trPr>
          <w:trHeight w:val="800" w:hRule="atLeast"/>
          <w:jc w:val="center"/>
        </w:trPr>
        <w:tc>
          <w:tcPr>
            <w:tcW w:w="267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D7E09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监督部门及电话</w:t>
            </w:r>
          </w:p>
        </w:tc>
        <w:tc>
          <w:tcPr>
            <w:tcW w:w="592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3A3EAC">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监督单位：青海省财政厅</w:t>
            </w:r>
          </w:p>
          <w:p w14:paraId="2576692A">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联系电话：0971-3660357</w:t>
            </w:r>
          </w:p>
        </w:tc>
      </w:tr>
    </w:tbl>
    <w:p w14:paraId="46280F8E">
      <w:pPr>
        <w:bidi w:val="0"/>
        <w:ind w:left="0" w:leftChars="0" w:firstLine="0" w:firstLineChars="0"/>
        <w:jc w:val="right"/>
        <w:rPr>
          <w:rFonts w:hint="eastAsia" w:ascii="宋体" w:hAnsi="宋体" w:eastAsia="宋体" w:cs="宋体"/>
          <w:color w:val="auto"/>
          <w:highlight w:val="none"/>
        </w:rPr>
      </w:pPr>
      <w:r>
        <w:rPr>
          <w:rFonts w:hint="eastAsia" w:ascii="宋体" w:hAnsi="宋体" w:eastAsia="宋体" w:cs="宋体"/>
          <w:color w:val="auto"/>
          <w:highlight w:val="none"/>
        </w:rPr>
        <w:t>青海联祥招标代理有限公司</w:t>
      </w:r>
    </w:p>
    <w:bookmarkEnd w:id="2"/>
    <w:p w14:paraId="2E233CBA">
      <w:pPr>
        <w:wordWrap w:val="0"/>
        <w:bidi w:val="0"/>
        <w:ind w:left="0" w:leftChars="0" w:firstLine="0" w:firstLineChars="0"/>
        <w:jc w:val="right"/>
        <w:rPr>
          <w:rFonts w:hint="eastAsia" w:ascii="宋体" w:hAnsi="宋体" w:cs="宋体"/>
          <w:color w:val="auto"/>
          <w:highlight w:val="none"/>
          <w:lang w:val="en-US" w:eastAsia="zh-CN"/>
        </w:rPr>
      </w:pPr>
      <w:r>
        <w:rPr>
          <w:rFonts w:hint="eastAsia" w:ascii="宋体" w:hAnsi="宋体" w:cs="宋体"/>
          <w:color w:val="auto"/>
          <w:highlight w:val="none"/>
          <w:lang w:val="en-US" w:eastAsia="zh-CN"/>
        </w:rPr>
        <w:t>2026年06月09日</w:t>
      </w:r>
    </w:p>
    <w:p w14:paraId="186F0068">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14:paraId="634C6DF8">
      <w:pPr>
        <w:wordWrap w:val="0"/>
        <w:bidi w:val="0"/>
        <w:ind w:left="0" w:leftChars="0" w:firstLine="0" w:firstLineChars="0"/>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984F3">
      <w:pPr>
        <w:pStyle w:val="3"/>
        <w:numPr>
          <w:ilvl w:val="0"/>
          <w:numId w:val="0"/>
        </w:numPr>
        <w:bidi w:val="0"/>
        <w:ind w:left="0" w:leftChars="0" w:firstLine="0" w:firstLineChars="0"/>
        <w:rPr>
          <w:rFonts w:hint="eastAsia" w:ascii="宋体" w:hAnsi="宋体" w:eastAsia="宋体" w:cs="宋体"/>
          <w:color w:val="auto"/>
          <w:highlight w:val="none"/>
        </w:rPr>
      </w:pPr>
      <w:bookmarkStart w:id="3" w:name="_Toc23112"/>
      <w:bookmarkStart w:id="4" w:name="_Toc447725348"/>
      <w:r>
        <w:rPr>
          <w:rFonts w:hint="eastAsia" w:ascii="宋体" w:hAnsi="宋体" w:eastAsia="宋体" w:cs="宋体"/>
          <w:color w:val="auto"/>
          <w:highlight w:val="none"/>
        </w:rPr>
        <w:t>第二部分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磋商须知前附表</w:t>
      </w:r>
      <w:bookmarkEnd w:id="3"/>
      <w:bookmarkEnd w:id="4"/>
    </w:p>
    <w:p w14:paraId="6F47AC7F">
      <w:pPr>
        <w:bidi w:val="0"/>
        <w:rPr>
          <w:rFonts w:hint="eastAsia" w:ascii="宋体" w:hAnsi="宋体" w:eastAsia="宋体" w:cs="宋体"/>
          <w:color w:val="auto"/>
          <w:highlight w:val="none"/>
        </w:rPr>
      </w:pPr>
    </w:p>
    <w:tbl>
      <w:tblPr>
        <w:tblStyle w:val="67"/>
        <w:tblW w:w="8539" w:type="dxa"/>
        <w:jc w:val="center"/>
        <w:shd w:val="clear" w:color="auto" w:fill="auto"/>
        <w:tblLayout w:type="fixed"/>
        <w:tblCellMar>
          <w:top w:w="0" w:type="dxa"/>
          <w:left w:w="108" w:type="dxa"/>
          <w:bottom w:w="0" w:type="dxa"/>
          <w:right w:w="108" w:type="dxa"/>
        </w:tblCellMar>
      </w:tblPr>
      <w:tblGrid>
        <w:gridCol w:w="710"/>
        <w:gridCol w:w="1822"/>
        <w:gridCol w:w="6007"/>
      </w:tblGrid>
      <w:tr w14:paraId="4023C3C9">
        <w:tblPrEx>
          <w:shd w:val="clear" w:color="auto" w:fill="auto"/>
          <w:tblCellMar>
            <w:top w:w="0" w:type="dxa"/>
            <w:left w:w="108" w:type="dxa"/>
            <w:bottom w:w="0" w:type="dxa"/>
            <w:right w:w="108" w:type="dxa"/>
          </w:tblCellMar>
        </w:tblPrEx>
        <w:trPr>
          <w:trHeight w:val="83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074E9">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序号</w:t>
            </w:r>
          </w:p>
        </w:tc>
        <w:tc>
          <w:tcPr>
            <w:tcW w:w="7829"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C9A5673">
            <w:pPr>
              <w:pStyle w:val="13"/>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内容</w:t>
            </w:r>
          </w:p>
        </w:tc>
      </w:tr>
      <w:tr w14:paraId="66F6803E">
        <w:tblPrEx>
          <w:shd w:val="clear" w:color="auto" w:fill="auto"/>
          <w:tblCellMar>
            <w:top w:w="0" w:type="dxa"/>
            <w:left w:w="108" w:type="dxa"/>
            <w:bottom w:w="0" w:type="dxa"/>
            <w:right w:w="108" w:type="dxa"/>
          </w:tblCellMar>
        </w:tblPrEx>
        <w:trPr>
          <w:trHeight w:val="638"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706D5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38C47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采购项目名称</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7A8A06">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青海省财政厅信息机房设备维保服务项目</w:t>
            </w:r>
          </w:p>
        </w:tc>
      </w:tr>
      <w:tr w14:paraId="326E701C">
        <w:tblPrEx>
          <w:shd w:val="clear" w:color="auto" w:fill="auto"/>
          <w:tblCellMar>
            <w:top w:w="0" w:type="dxa"/>
            <w:left w:w="108" w:type="dxa"/>
            <w:bottom w:w="0" w:type="dxa"/>
            <w:right w:w="108" w:type="dxa"/>
          </w:tblCellMar>
        </w:tblPrEx>
        <w:trPr>
          <w:trHeight w:val="42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A0AA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473083">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采购项目编号</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054473">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青海联祥磋商（服务）2026-057</w:t>
            </w:r>
          </w:p>
        </w:tc>
      </w:tr>
      <w:tr w14:paraId="75935580">
        <w:tblPrEx>
          <w:shd w:val="clear" w:color="auto" w:fill="auto"/>
          <w:tblCellMar>
            <w:top w:w="0" w:type="dxa"/>
            <w:left w:w="108" w:type="dxa"/>
            <w:bottom w:w="0" w:type="dxa"/>
            <w:right w:w="108" w:type="dxa"/>
          </w:tblCellMar>
        </w:tblPrEx>
        <w:trPr>
          <w:trHeight w:val="42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3CDDA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0096A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采购人</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0741">
            <w:pPr>
              <w:pStyle w:val="13"/>
              <w:bidi w:val="0"/>
              <w:rPr>
                <w:rFonts w:hint="eastAsia" w:ascii="宋体" w:hAnsi="宋体" w:eastAsia="宋体" w:cs="宋体"/>
                <w:color w:val="auto"/>
                <w:highlight w:val="none"/>
                <w:lang w:eastAsia="zh-CN"/>
              </w:rPr>
            </w:pPr>
            <w:r>
              <w:rPr>
                <w:rFonts w:hint="eastAsia" w:ascii="宋体" w:hAnsi="宋体" w:cs="宋体"/>
                <w:color w:val="auto"/>
                <w:highlight w:val="none"/>
                <w:lang w:eastAsia="zh-CN"/>
              </w:rPr>
              <w:t>青海省财政厅</w:t>
            </w:r>
          </w:p>
        </w:tc>
      </w:tr>
      <w:tr w14:paraId="68BCCB28">
        <w:tblPrEx>
          <w:shd w:val="clear" w:color="auto" w:fill="auto"/>
          <w:tblCellMar>
            <w:top w:w="0" w:type="dxa"/>
            <w:left w:w="108" w:type="dxa"/>
            <w:bottom w:w="0" w:type="dxa"/>
            <w:right w:w="108" w:type="dxa"/>
          </w:tblCellMar>
        </w:tblPrEx>
        <w:trPr>
          <w:trHeight w:val="42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D3F00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39DB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71CD6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青海联祥招标代理有限公司</w:t>
            </w:r>
          </w:p>
        </w:tc>
      </w:tr>
      <w:tr w14:paraId="6EC36628">
        <w:tblPrEx>
          <w:shd w:val="clear" w:color="auto" w:fill="auto"/>
          <w:tblCellMar>
            <w:top w:w="0" w:type="dxa"/>
            <w:left w:w="108" w:type="dxa"/>
            <w:bottom w:w="0" w:type="dxa"/>
            <w:right w:w="108" w:type="dxa"/>
          </w:tblCellMar>
        </w:tblPrEx>
        <w:trPr>
          <w:trHeight w:val="42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4EFE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8A2F6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采购方式</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95A4E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竞争性磋商</w:t>
            </w:r>
          </w:p>
        </w:tc>
      </w:tr>
      <w:tr w14:paraId="3248367B">
        <w:tblPrEx>
          <w:shd w:val="clear" w:color="auto" w:fill="auto"/>
          <w:tblCellMar>
            <w:top w:w="0" w:type="dxa"/>
            <w:left w:w="108" w:type="dxa"/>
            <w:bottom w:w="0" w:type="dxa"/>
            <w:right w:w="108" w:type="dxa"/>
          </w:tblCellMar>
        </w:tblPrEx>
        <w:trPr>
          <w:trHeight w:val="42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C6A37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BC3A5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评分办法</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BA003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综合评分法</w:t>
            </w:r>
          </w:p>
        </w:tc>
      </w:tr>
      <w:tr w14:paraId="708BD305">
        <w:tblPrEx>
          <w:shd w:val="clear" w:color="auto" w:fill="auto"/>
          <w:tblCellMar>
            <w:top w:w="0" w:type="dxa"/>
            <w:left w:w="108" w:type="dxa"/>
            <w:bottom w:w="0" w:type="dxa"/>
            <w:right w:w="108" w:type="dxa"/>
          </w:tblCellMar>
        </w:tblPrEx>
        <w:trPr>
          <w:trHeight w:val="42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BB724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82BAE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项目分包个数</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2FD715">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不分包</w:t>
            </w:r>
          </w:p>
        </w:tc>
      </w:tr>
      <w:tr w14:paraId="02941190">
        <w:tblPrEx>
          <w:shd w:val="clear" w:color="auto" w:fill="auto"/>
          <w:tblCellMar>
            <w:top w:w="0" w:type="dxa"/>
            <w:left w:w="108" w:type="dxa"/>
            <w:bottom w:w="0" w:type="dxa"/>
            <w:right w:w="108" w:type="dxa"/>
          </w:tblCellMar>
        </w:tblPrEx>
        <w:trPr>
          <w:trHeight w:val="42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C6EFD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952C89">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采购要求</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0E289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具体内容详见《磋商文件》</w:t>
            </w:r>
          </w:p>
        </w:tc>
      </w:tr>
      <w:tr w14:paraId="3CF4207B">
        <w:tblPrEx>
          <w:shd w:val="clear" w:color="auto" w:fill="auto"/>
          <w:tblCellMar>
            <w:top w:w="0" w:type="dxa"/>
            <w:left w:w="108" w:type="dxa"/>
            <w:bottom w:w="0" w:type="dxa"/>
            <w:right w:w="108" w:type="dxa"/>
          </w:tblCellMar>
        </w:tblPrEx>
        <w:trPr>
          <w:trHeight w:val="90"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C169E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B0211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供应商资格条件</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B78125">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1、按照《政府采购法》第22条规定提供以下相关材料：</w:t>
            </w:r>
          </w:p>
          <w:p w14:paraId="0C88427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的营业执照等证明文件，自然人的身份证明。</w:t>
            </w:r>
          </w:p>
          <w:p w14:paraId="7DE2445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(2)财务状况报告，依法缴纳税收和社会保障资金的相关材料。</w:t>
            </w:r>
          </w:p>
          <w:p w14:paraId="45BCF1D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(3)具备履行合同所</w:t>
            </w:r>
            <w:r>
              <w:rPr>
                <w:rFonts w:hint="eastAsia" w:ascii="宋体" w:hAnsi="宋体" w:cs="宋体"/>
                <w:color w:val="auto"/>
                <w:highlight w:val="none"/>
                <w:lang w:val="en-US" w:eastAsia="zh-CN"/>
              </w:rPr>
              <w:t>必需</w:t>
            </w:r>
            <w:r>
              <w:rPr>
                <w:rFonts w:hint="eastAsia" w:ascii="宋体" w:hAnsi="宋体" w:eastAsia="宋体" w:cs="宋体"/>
                <w:color w:val="auto"/>
                <w:highlight w:val="none"/>
                <w:lang w:val="zh-CN"/>
              </w:rPr>
              <w:t>的设备和专业技术能力的证明材料。</w:t>
            </w:r>
          </w:p>
          <w:p w14:paraId="778C651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(4)参加政府采购活动前3年内在经营活动中没有重大违法记录的书面声明。</w:t>
            </w:r>
          </w:p>
          <w:p w14:paraId="5D22DA0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(5)具备法律、行政法规规定的其他条件的证明材料。</w:t>
            </w:r>
          </w:p>
          <w:p w14:paraId="025C57D5">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2、经信用中国（www.creditchina.gov.cn）、中国政府采购网（www.ccgp.gov.cn）等渠道查询后，列入失信被执行人、重大税收违法失信主体、政府采购严重违法失信行为记录名单的，取消投标资格。</w:t>
            </w:r>
          </w:p>
          <w:p w14:paraId="72821C54">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3、单位负责人为同一人或者存在直接控股、管理关系的不同</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，不得参加同一合同项下的政府采购活动。否则，皆取消投标资格（需提供承诺函）；</w:t>
            </w:r>
          </w:p>
          <w:p w14:paraId="6D15793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4、为本采购项目提供整体设计、规范编制或者项目管理、监理、检测等服务的</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，不得再参加该采购项目的其他采购活动（需提供承诺函）；</w:t>
            </w:r>
          </w:p>
          <w:p w14:paraId="5F7D6165">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5、本项目不接受</w:t>
            </w:r>
            <w:r>
              <w:rPr>
                <w:rFonts w:hint="eastAsia" w:ascii="宋体" w:hAnsi="宋体" w:cs="宋体"/>
                <w:color w:val="auto"/>
                <w:highlight w:val="none"/>
                <w:lang w:val="zh-CN"/>
              </w:rPr>
              <w:t>供应商</w:t>
            </w:r>
            <w:r>
              <w:rPr>
                <w:rFonts w:hint="eastAsia" w:ascii="宋体" w:hAnsi="宋体" w:eastAsia="宋体" w:cs="宋体"/>
                <w:color w:val="auto"/>
                <w:highlight w:val="none"/>
                <w:lang w:val="zh-CN"/>
              </w:rPr>
              <w:t>以联合体方式进行投标。</w:t>
            </w:r>
          </w:p>
        </w:tc>
      </w:tr>
      <w:tr w14:paraId="004466CF">
        <w:tblPrEx>
          <w:shd w:val="clear" w:color="auto" w:fill="auto"/>
          <w:tblCellMar>
            <w:top w:w="0" w:type="dxa"/>
            <w:left w:w="108" w:type="dxa"/>
            <w:bottom w:w="0" w:type="dxa"/>
            <w:right w:w="108" w:type="dxa"/>
          </w:tblCellMar>
        </w:tblPrEx>
        <w:trPr>
          <w:trHeight w:val="2884"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89E7DA">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19CF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文件编制</w:t>
            </w:r>
            <w:r>
              <w:rPr>
                <w:rFonts w:hint="eastAsia" w:ascii="宋体" w:hAnsi="宋体" w:eastAsia="宋体" w:cs="宋体"/>
                <w:color w:val="auto"/>
                <w:highlight w:val="none"/>
              </w:rPr>
              <w:t>和签署</w:t>
            </w:r>
            <w:r>
              <w:rPr>
                <w:rFonts w:hint="eastAsia" w:ascii="宋体" w:hAnsi="宋体" w:eastAsia="宋体" w:cs="宋体"/>
                <w:color w:val="auto"/>
                <w:highlight w:val="none"/>
                <w:lang w:val="zh-CN"/>
              </w:rPr>
              <w:t>要求</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6CC4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1、电子响应文件编制要求按政采云平台操作要求上传。</w:t>
            </w:r>
          </w:p>
          <w:p w14:paraId="13F1B96C">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2、磋商响应文件中的扫描或复印件内容应清晰可辨，且要求正向放置。</w:t>
            </w:r>
          </w:p>
          <w:p w14:paraId="2146BBF3">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3、磋商响应文件要求签字、盖章的地方必须由供应商的法定代表人或委托代理人按要求签字、盖章。</w:t>
            </w:r>
          </w:p>
          <w:p w14:paraId="3A463CC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4、供应商应在提交磋商响应文件截止时间前上传磋商响应文件。</w:t>
            </w:r>
          </w:p>
        </w:tc>
      </w:tr>
      <w:tr w14:paraId="34652114">
        <w:tblPrEx>
          <w:shd w:val="clear" w:color="auto" w:fill="auto"/>
          <w:tblCellMar>
            <w:top w:w="0" w:type="dxa"/>
            <w:left w:w="108" w:type="dxa"/>
            <w:bottom w:w="0" w:type="dxa"/>
            <w:right w:w="108" w:type="dxa"/>
          </w:tblCellMar>
        </w:tblPrEx>
        <w:trPr>
          <w:trHeight w:val="83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D27B3">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8CE7A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递交</w:t>
            </w:r>
            <w:r>
              <w:rPr>
                <w:rFonts w:hint="eastAsia" w:ascii="宋体" w:hAnsi="宋体" w:eastAsia="宋体" w:cs="宋体"/>
                <w:color w:val="auto"/>
                <w:highlight w:val="none"/>
              </w:rPr>
              <w:t>响应文件</w:t>
            </w:r>
            <w:r>
              <w:rPr>
                <w:rFonts w:hint="eastAsia" w:ascii="宋体" w:hAnsi="宋体" w:eastAsia="宋体" w:cs="宋体"/>
                <w:color w:val="auto"/>
                <w:highlight w:val="none"/>
                <w:lang w:val="zh-CN"/>
              </w:rPr>
              <w:t>方式</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895375">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政采云平台线上上传。</w:t>
            </w:r>
          </w:p>
        </w:tc>
      </w:tr>
      <w:tr w14:paraId="54CC8DD4">
        <w:tblPrEx>
          <w:shd w:val="clear" w:color="auto" w:fill="auto"/>
          <w:tblCellMar>
            <w:top w:w="0" w:type="dxa"/>
            <w:left w:w="108" w:type="dxa"/>
            <w:bottom w:w="0" w:type="dxa"/>
            <w:right w:w="108" w:type="dxa"/>
          </w:tblCellMar>
        </w:tblPrEx>
        <w:trPr>
          <w:trHeight w:val="83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9C9AA">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12</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97B94">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提交响应文件截止时间</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59E678">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2026年06月24日15时00分（北京时间）</w:t>
            </w:r>
          </w:p>
        </w:tc>
      </w:tr>
      <w:tr w14:paraId="79C70A2E">
        <w:tblPrEx>
          <w:shd w:val="clear" w:color="auto" w:fill="auto"/>
          <w:tblCellMar>
            <w:top w:w="0" w:type="dxa"/>
            <w:left w:w="108" w:type="dxa"/>
            <w:bottom w:w="0" w:type="dxa"/>
            <w:right w:w="108" w:type="dxa"/>
          </w:tblCellMar>
        </w:tblPrEx>
        <w:trPr>
          <w:trHeight w:val="83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8042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13</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E5CE58">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响应文件开启时间</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7B67E6">
            <w:pPr>
              <w:pStyle w:val="13"/>
              <w:bidi w:val="0"/>
              <w:rPr>
                <w:rFonts w:hint="eastAsia" w:ascii="宋体" w:hAnsi="宋体" w:eastAsia="宋体" w:cs="宋体"/>
                <w:color w:val="auto"/>
                <w:highlight w:val="none"/>
                <w:lang w:val="zh-CN"/>
              </w:rPr>
            </w:pPr>
            <w:r>
              <w:rPr>
                <w:rFonts w:hint="eastAsia" w:ascii="宋体" w:hAnsi="宋体" w:cs="宋体"/>
                <w:color w:val="auto"/>
                <w:highlight w:val="none"/>
                <w:lang w:val="zh-CN"/>
              </w:rPr>
              <w:t>2026年06月24日15时00分（北京时间）</w:t>
            </w:r>
          </w:p>
        </w:tc>
      </w:tr>
      <w:tr w14:paraId="4CEF1303">
        <w:tblPrEx>
          <w:shd w:val="clear" w:color="auto" w:fill="auto"/>
          <w:tblCellMar>
            <w:top w:w="0" w:type="dxa"/>
            <w:left w:w="108" w:type="dxa"/>
            <w:bottom w:w="0" w:type="dxa"/>
            <w:right w:w="108" w:type="dxa"/>
          </w:tblCellMar>
        </w:tblPrEx>
        <w:trPr>
          <w:trHeight w:val="83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9AC7C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B916C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提交响应文件地点</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872228">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在政采云平台（https://www.zcygov.cn/）递交，进行线上解密。</w:t>
            </w:r>
          </w:p>
        </w:tc>
      </w:tr>
      <w:tr w14:paraId="6B79429B">
        <w:tblPrEx>
          <w:shd w:val="clear" w:color="auto" w:fill="auto"/>
          <w:tblCellMar>
            <w:top w:w="0" w:type="dxa"/>
            <w:left w:w="108" w:type="dxa"/>
            <w:bottom w:w="0" w:type="dxa"/>
            <w:right w:w="108" w:type="dxa"/>
          </w:tblCellMar>
        </w:tblPrEx>
        <w:trPr>
          <w:trHeight w:val="83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5D51E9">
            <w:pPr>
              <w:pStyle w:val="13"/>
              <w:bidi w:val="0"/>
              <w:ind w:left="0" w:leftChars="0"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1A86B6">
            <w:pPr>
              <w:pStyle w:val="13"/>
              <w:bidi w:val="0"/>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答疑澄清方式</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306A2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线上答疑。</w:t>
            </w:r>
          </w:p>
          <w:p w14:paraId="7C548FF4">
            <w:pPr>
              <w:pStyle w:val="13"/>
              <w:bidi w:val="0"/>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评标委员会根据投标情况确定答疑时间，答疑或澄清采用在政采云平台上进行，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可在政采云平台上的“我的澄清”界面了解答疑时间等信息。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提供准确的联系方式（手机和固定电话），在项目开标、评标时须在线了解开标信息，掌握答疑时间，需由法定代表人或委托代理人对评标委员会提出的质疑做出应答。如在规定的时间内联系无果，无法在政采云平台上进行答疑者，视同放弃答疑。</w:t>
            </w:r>
          </w:p>
        </w:tc>
      </w:tr>
      <w:tr w14:paraId="7CF4D798">
        <w:tblPrEx>
          <w:shd w:val="clear" w:color="auto" w:fill="auto"/>
          <w:tblCellMar>
            <w:top w:w="0" w:type="dxa"/>
            <w:left w:w="108" w:type="dxa"/>
            <w:bottom w:w="0" w:type="dxa"/>
            <w:right w:w="108" w:type="dxa"/>
          </w:tblCellMar>
        </w:tblPrEx>
        <w:trPr>
          <w:trHeight w:val="7256"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F9468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16</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1B3A3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代理服务费收取</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48FEA">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收取对象：</w:t>
            </w:r>
            <w:r>
              <w:rPr>
                <w:rFonts w:hint="eastAsia" w:ascii="宋体" w:hAnsi="宋体" w:eastAsia="宋体" w:cs="宋体"/>
                <w:color w:val="auto"/>
                <w:highlight w:val="none"/>
                <w:lang w:val="en-US" w:eastAsia="zh-CN"/>
              </w:rPr>
              <w:t>成交人</w:t>
            </w:r>
            <w:r>
              <w:rPr>
                <w:rFonts w:hint="eastAsia" w:ascii="宋体" w:hAnsi="宋体" w:eastAsia="宋体" w:cs="宋体"/>
                <w:color w:val="auto"/>
                <w:highlight w:val="none"/>
                <w:lang w:val="zh-CN"/>
              </w:rPr>
              <w:t>。</w:t>
            </w:r>
          </w:p>
          <w:p w14:paraId="0F71DF93">
            <w:pPr>
              <w:pStyle w:val="13"/>
              <w:bidi w:val="0"/>
              <w:rPr>
                <w:rFonts w:hint="eastAsia"/>
                <w:highlight w:val="none"/>
                <w:lang w:val="zh-CN"/>
              </w:rPr>
            </w:pPr>
            <w:r>
              <w:rPr>
                <w:rFonts w:hint="eastAsia" w:ascii="宋体" w:hAnsi="宋体" w:eastAsia="宋体" w:cs="宋体"/>
                <w:color w:val="auto"/>
                <w:highlight w:val="none"/>
                <w:lang w:val="zh-CN"/>
              </w:rPr>
              <w:t>收费标准：</w:t>
            </w:r>
            <w:r>
              <w:rPr>
                <w:rFonts w:hint="eastAsia" w:ascii="宋体" w:hAnsi="宋体" w:cs="宋体"/>
                <w:color w:val="000000"/>
                <w:kern w:val="0"/>
                <w:highlight w:val="none"/>
                <w:lang w:val="en-US" w:eastAsia="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以项目中标价为基准计算后收取</w:t>
            </w:r>
            <w:r>
              <w:rPr>
                <w:rFonts w:hint="eastAsia"/>
                <w:highlight w:val="none"/>
                <w:lang w:val="zh-CN"/>
              </w:rPr>
              <w:t>。最终服务费低于5000元则按5000元收取。</w:t>
            </w:r>
          </w:p>
          <w:tbl>
            <w:tblPr>
              <w:tblStyle w:val="67"/>
              <w:tblW w:w="5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990"/>
            </w:tblGrid>
            <w:tr w14:paraId="02EE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2C26A5D3">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中标金额（万元）</w:t>
                  </w:r>
                </w:p>
              </w:tc>
              <w:tc>
                <w:tcPr>
                  <w:tcW w:w="2990" w:type="dxa"/>
                  <w:noWrap w:val="0"/>
                  <w:vAlign w:val="center"/>
                </w:tcPr>
                <w:p w14:paraId="32F7958C">
                  <w:pPr>
                    <w:bidi w:val="0"/>
                    <w:jc w:val="center"/>
                    <w:rPr>
                      <w:rFonts w:hint="eastAsia"/>
                      <w:b/>
                      <w:bCs/>
                      <w:highlight w:val="none"/>
                    </w:rPr>
                  </w:pPr>
                  <w:r>
                    <w:rPr>
                      <w:rFonts w:hint="eastAsia"/>
                      <w:b/>
                      <w:bCs/>
                      <w:highlight w:val="none"/>
                    </w:rPr>
                    <w:t>服务招标</w:t>
                  </w:r>
                  <w:r>
                    <w:rPr>
                      <w:rFonts w:hint="eastAsia"/>
                      <w:b/>
                      <w:bCs/>
                      <w:highlight w:val="none"/>
                      <w:lang w:eastAsia="zh-CN"/>
                    </w:rPr>
                    <w:t>（</w:t>
                  </w:r>
                  <w:r>
                    <w:rPr>
                      <w:rFonts w:hint="eastAsia"/>
                      <w:b/>
                      <w:bCs/>
                      <w:highlight w:val="none"/>
                      <w:lang w:val="en-US" w:eastAsia="zh-CN"/>
                    </w:rPr>
                    <w:t>费率</w:t>
                  </w:r>
                  <w:r>
                    <w:rPr>
                      <w:rFonts w:hint="eastAsia"/>
                      <w:b/>
                      <w:bCs/>
                      <w:highlight w:val="none"/>
                      <w:lang w:eastAsia="zh-CN"/>
                    </w:rPr>
                    <w:t>）</w:t>
                  </w:r>
                </w:p>
              </w:tc>
            </w:tr>
            <w:tr w14:paraId="6360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53120060">
                  <w:pPr>
                    <w:jc w:val="center"/>
                    <w:rPr>
                      <w:rFonts w:hint="eastAsia"/>
                      <w:highlight w:val="none"/>
                    </w:rPr>
                  </w:pPr>
                  <w:r>
                    <w:rPr>
                      <w:rFonts w:hint="eastAsia"/>
                      <w:highlight w:val="none"/>
                    </w:rPr>
                    <w:t>100以下</w:t>
                  </w:r>
                </w:p>
              </w:tc>
              <w:tc>
                <w:tcPr>
                  <w:tcW w:w="2990" w:type="dxa"/>
                  <w:noWrap w:val="0"/>
                  <w:vAlign w:val="top"/>
                </w:tcPr>
                <w:p w14:paraId="3DDC12F9">
                  <w:pPr>
                    <w:jc w:val="center"/>
                    <w:rPr>
                      <w:rFonts w:hint="eastAsia"/>
                      <w:highlight w:val="none"/>
                    </w:rPr>
                  </w:pPr>
                  <w:r>
                    <w:rPr>
                      <w:rFonts w:hint="eastAsia"/>
                      <w:highlight w:val="none"/>
                    </w:rPr>
                    <w:t>1.5%</w:t>
                  </w:r>
                </w:p>
              </w:tc>
            </w:tr>
            <w:tr w14:paraId="1C57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51E1023A">
                  <w:pPr>
                    <w:jc w:val="center"/>
                    <w:rPr>
                      <w:rFonts w:hint="eastAsia"/>
                      <w:highlight w:val="none"/>
                    </w:rPr>
                  </w:pPr>
                  <w:r>
                    <w:rPr>
                      <w:rFonts w:hint="eastAsia"/>
                      <w:highlight w:val="none"/>
                    </w:rPr>
                    <w:t>100-500</w:t>
                  </w:r>
                </w:p>
              </w:tc>
              <w:tc>
                <w:tcPr>
                  <w:tcW w:w="2990" w:type="dxa"/>
                  <w:noWrap w:val="0"/>
                  <w:vAlign w:val="top"/>
                </w:tcPr>
                <w:p w14:paraId="60A7DAE4">
                  <w:pPr>
                    <w:jc w:val="center"/>
                    <w:rPr>
                      <w:rFonts w:hint="eastAsia"/>
                      <w:highlight w:val="none"/>
                    </w:rPr>
                  </w:pPr>
                  <w:r>
                    <w:rPr>
                      <w:rFonts w:hint="eastAsia"/>
                      <w:highlight w:val="none"/>
                    </w:rPr>
                    <w:t>0.8%</w:t>
                  </w:r>
                </w:p>
              </w:tc>
            </w:tr>
            <w:tr w14:paraId="77FD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1F22AE27">
                  <w:pPr>
                    <w:jc w:val="center"/>
                    <w:rPr>
                      <w:rFonts w:hint="eastAsia"/>
                      <w:highlight w:val="none"/>
                    </w:rPr>
                  </w:pPr>
                  <w:r>
                    <w:rPr>
                      <w:rFonts w:hint="eastAsia"/>
                      <w:highlight w:val="none"/>
                    </w:rPr>
                    <w:t>500-1000</w:t>
                  </w:r>
                </w:p>
              </w:tc>
              <w:tc>
                <w:tcPr>
                  <w:tcW w:w="2990" w:type="dxa"/>
                  <w:noWrap w:val="0"/>
                  <w:vAlign w:val="top"/>
                </w:tcPr>
                <w:p w14:paraId="63C89857">
                  <w:pPr>
                    <w:jc w:val="center"/>
                    <w:rPr>
                      <w:rFonts w:hint="eastAsia"/>
                      <w:highlight w:val="none"/>
                    </w:rPr>
                  </w:pPr>
                  <w:r>
                    <w:rPr>
                      <w:rFonts w:hint="eastAsia"/>
                      <w:highlight w:val="none"/>
                    </w:rPr>
                    <w:t>0.45%</w:t>
                  </w:r>
                </w:p>
              </w:tc>
            </w:tr>
            <w:tr w14:paraId="66D7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0981F97A">
                  <w:pPr>
                    <w:jc w:val="center"/>
                    <w:rPr>
                      <w:rFonts w:hint="eastAsia"/>
                      <w:highlight w:val="none"/>
                    </w:rPr>
                  </w:pPr>
                  <w:r>
                    <w:rPr>
                      <w:rFonts w:hint="eastAsia"/>
                      <w:highlight w:val="none"/>
                    </w:rPr>
                    <w:t>1000-5000</w:t>
                  </w:r>
                </w:p>
              </w:tc>
              <w:tc>
                <w:tcPr>
                  <w:tcW w:w="2990" w:type="dxa"/>
                  <w:noWrap w:val="0"/>
                  <w:vAlign w:val="top"/>
                </w:tcPr>
                <w:p w14:paraId="7036D737">
                  <w:pPr>
                    <w:jc w:val="center"/>
                    <w:rPr>
                      <w:rFonts w:hint="eastAsia"/>
                      <w:highlight w:val="none"/>
                    </w:rPr>
                  </w:pPr>
                  <w:r>
                    <w:rPr>
                      <w:rFonts w:hint="eastAsia"/>
                      <w:highlight w:val="none"/>
                    </w:rPr>
                    <w:t>0.25%</w:t>
                  </w:r>
                </w:p>
              </w:tc>
            </w:tr>
            <w:tr w14:paraId="32CF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4C85043B">
                  <w:pPr>
                    <w:jc w:val="center"/>
                    <w:rPr>
                      <w:rFonts w:hint="eastAsia"/>
                      <w:highlight w:val="none"/>
                    </w:rPr>
                  </w:pPr>
                  <w:r>
                    <w:rPr>
                      <w:rFonts w:hint="eastAsia"/>
                      <w:highlight w:val="none"/>
                    </w:rPr>
                    <w:t>5000-10000</w:t>
                  </w:r>
                </w:p>
              </w:tc>
              <w:tc>
                <w:tcPr>
                  <w:tcW w:w="2990" w:type="dxa"/>
                  <w:noWrap w:val="0"/>
                  <w:vAlign w:val="top"/>
                </w:tcPr>
                <w:p w14:paraId="00909194">
                  <w:pPr>
                    <w:jc w:val="center"/>
                    <w:rPr>
                      <w:rFonts w:hint="eastAsia"/>
                      <w:highlight w:val="none"/>
                    </w:rPr>
                  </w:pPr>
                  <w:r>
                    <w:rPr>
                      <w:rFonts w:hint="eastAsia"/>
                      <w:highlight w:val="none"/>
                    </w:rPr>
                    <w:t>0.1%</w:t>
                  </w:r>
                </w:p>
              </w:tc>
            </w:tr>
            <w:tr w14:paraId="3AA5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4EC4E50A">
                  <w:pPr>
                    <w:jc w:val="center"/>
                    <w:rPr>
                      <w:rFonts w:hint="eastAsia"/>
                      <w:highlight w:val="none"/>
                    </w:rPr>
                  </w:pPr>
                  <w:r>
                    <w:rPr>
                      <w:rFonts w:hint="eastAsia"/>
                      <w:highlight w:val="none"/>
                    </w:rPr>
                    <w:t>10000-100000</w:t>
                  </w:r>
                </w:p>
              </w:tc>
              <w:tc>
                <w:tcPr>
                  <w:tcW w:w="2990" w:type="dxa"/>
                  <w:noWrap w:val="0"/>
                  <w:vAlign w:val="top"/>
                </w:tcPr>
                <w:p w14:paraId="4ED9A3D0">
                  <w:pPr>
                    <w:jc w:val="center"/>
                    <w:rPr>
                      <w:rFonts w:hint="eastAsia"/>
                      <w:highlight w:val="none"/>
                    </w:rPr>
                  </w:pPr>
                  <w:r>
                    <w:rPr>
                      <w:rFonts w:hint="eastAsia"/>
                      <w:highlight w:val="none"/>
                    </w:rPr>
                    <w:t>0.05%</w:t>
                  </w:r>
                </w:p>
              </w:tc>
            </w:tr>
            <w:tr w14:paraId="16C0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49" w:type="dxa"/>
                  <w:noWrap w:val="0"/>
                  <w:vAlign w:val="top"/>
                </w:tcPr>
                <w:p w14:paraId="2B061A85">
                  <w:pPr>
                    <w:jc w:val="center"/>
                    <w:rPr>
                      <w:rFonts w:hint="eastAsia"/>
                      <w:highlight w:val="none"/>
                    </w:rPr>
                  </w:pPr>
                  <w:r>
                    <w:rPr>
                      <w:rFonts w:hint="eastAsia"/>
                      <w:highlight w:val="none"/>
                    </w:rPr>
                    <w:t>1000000以上</w:t>
                  </w:r>
                </w:p>
              </w:tc>
              <w:tc>
                <w:tcPr>
                  <w:tcW w:w="2990" w:type="dxa"/>
                  <w:noWrap w:val="0"/>
                  <w:vAlign w:val="top"/>
                </w:tcPr>
                <w:p w14:paraId="20819DE1">
                  <w:pPr>
                    <w:jc w:val="center"/>
                    <w:rPr>
                      <w:rFonts w:hint="eastAsia"/>
                      <w:highlight w:val="none"/>
                    </w:rPr>
                  </w:pPr>
                  <w:r>
                    <w:rPr>
                      <w:rFonts w:hint="eastAsia"/>
                      <w:highlight w:val="none"/>
                    </w:rPr>
                    <w:t>0.01%</w:t>
                  </w:r>
                </w:p>
              </w:tc>
            </w:tr>
            <w:tr w14:paraId="6F3B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839" w:type="dxa"/>
                  <w:gridSpan w:val="2"/>
                  <w:noWrap w:val="0"/>
                  <w:vAlign w:val="top"/>
                </w:tcPr>
                <w:p w14:paraId="0B86DD1B">
                  <w:pPr>
                    <w:jc w:val="center"/>
                    <w:rPr>
                      <w:rFonts w:hint="eastAsia"/>
                      <w:highlight w:val="none"/>
                    </w:rPr>
                  </w:pPr>
                  <w:r>
                    <w:rPr>
                      <w:rFonts w:hint="eastAsia" w:ascii="宋体" w:hAnsi="宋体"/>
                      <w:szCs w:val="21"/>
                      <w:highlight w:val="none"/>
                    </w:rPr>
                    <w:t>招标代理服务收费按差额定率累进法计算</w:t>
                  </w:r>
                </w:p>
              </w:tc>
            </w:tr>
          </w:tbl>
          <w:p w14:paraId="4E5635AB">
            <w:pPr>
              <w:pStyle w:val="13"/>
              <w:bidi w:val="0"/>
              <w:rPr>
                <w:rFonts w:hint="eastAsia"/>
                <w:highlight w:val="yellow"/>
                <w:lang w:val="zh-CN"/>
              </w:rPr>
            </w:pPr>
          </w:p>
        </w:tc>
      </w:tr>
      <w:tr w14:paraId="0E8F2432">
        <w:tblPrEx>
          <w:shd w:val="clear" w:color="auto" w:fill="auto"/>
          <w:tblCellMar>
            <w:top w:w="0" w:type="dxa"/>
            <w:left w:w="108" w:type="dxa"/>
            <w:bottom w:w="0" w:type="dxa"/>
            <w:right w:w="108" w:type="dxa"/>
          </w:tblCellMar>
        </w:tblPrEx>
        <w:trPr>
          <w:trHeight w:val="476"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659CC4">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A6AD4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合同签订有效期</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9F9AA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自</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lang w:val="zh-CN"/>
              </w:rPr>
              <w:t>通知书发出之日起</w:t>
            </w:r>
            <w:r>
              <w:rPr>
                <w:rFonts w:hint="eastAsia" w:ascii="宋体" w:hAnsi="宋体" w:eastAsia="宋体" w:cs="宋体"/>
                <w:color w:val="auto"/>
                <w:highlight w:val="none"/>
              </w:rPr>
              <w:t>30</w:t>
            </w:r>
            <w:r>
              <w:rPr>
                <w:rFonts w:hint="eastAsia" w:ascii="宋体" w:hAnsi="宋体" w:eastAsia="宋体" w:cs="宋体"/>
                <w:color w:val="auto"/>
                <w:highlight w:val="none"/>
                <w:lang w:val="zh-CN"/>
              </w:rPr>
              <w:t>日内与采购人签订合同。</w:t>
            </w:r>
          </w:p>
        </w:tc>
      </w:tr>
      <w:tr w14:paraId="3F108E76">
        <w:tblPrEx>
          <w:shd w:val="clear" w:color="auto" w:fill="auto"/>
          <w:tblCellMar>
            <w:top w:w="0" w:type="dxa"/>
            <w:left w:w="108" w:type="dxa"/>
            <w:bottom w:w="0" w:type="dxa"/>
            <w:right w:w="108" w:type="dxa"/>
          </w:tblCellMar>
        </w:tblPrEx>
        <w:trPr>
          <w:trHeight w:val="833"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15C58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4BD82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政府采购合同备案</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49BB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采购合同全数返回采购代理机构鉴证，盖章。</w:t>
            </w:r>
          </w:p>
          <w:p w14:paraId="2ED4EDC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采购代理机构留存贰份备案。</w:t>
            </w:r>
          </w:p>
        </w:tc>
      </w:tr>
      <w:tr w14:paraId="6D6C239E">
        <w:tblPrEx>
          <w:shd w:val="clear" w:color="auto" w:fill="auto"/>
          <w:tblCellMar>
            <w:top w:w="0" w:type="dxa"/>
            <w:left w:w="108" w:type="dxa"/>
            <w:bottom w:w="0" w:type="dxa"/>
            <w:right w:w="108" w:type="dxa"/>
          </w:tblCellMar>
        </w:tblPrEx>
        <w:trPr>
          <w:trHeight w:val="446"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3240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19</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BDCBC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磋商有效期</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D3BA2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磋商有效期为自磋商开始之日起60天</w:t>
            </w:r>
            <w:r>
              <w:rPr>
                <w:rFonts w:hint="eastAsia" w:ascii="宋体" w:hAnsi="宋体" w:eastAsia="宋体" w:cs="宋体"/>
                <w:color w:val="auto"/>
                <w:highlight w:val="none"/>
                <w:lang w:val="zh-CN"/>
              </w:rPr>
              <w:t>。</w:t>
            </w:r>
          </w:p>
        </w:tc>
      </w:tr>
      <w:tr w14:paraId="7A21F7FD">
        <w:tblPrEx>
          <w:shd w:val="clear" w:color="auto" w:fill="auto"/>
          <w:tblCellMar>
            <w:top w:w="0" w:type="dxa"/>
            <w:left w:w="108" w:type="dxa"/>
            <w:bottom w:w="0" w:type="dxa"/>
            <w:right w:w="108" w:type="dxa"/>
          </w:tblCellMar>
        </w:tblPrEx>
        <w:trPr>
          <w:trHeight w:val="1388" w:hRule="atLeast"/>
          <w:jc w:val="center"/>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1C742A">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20</w:t>
            </w:r>
          </w:p>
        </w:tc>
        <w:tc>
          <w:tcPr>
            <w:tcW w:w="182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34A153">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其他事项</w:t>
            </w:r>
          </w:p>
        </w:tc>
        <w:tc>
          <w:tcPr>
            <w:tcW w:w="600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64927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1、本次磋商采用线上提交响应文件的方式进行采购，线上投标文件必须在投标文件递交截止时间前上传平台。</w:t>
            </w:r>
          </w:p>
          <w:p w14:paraId="5E66E4F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2、线上电子化开评标系统操作及办理CA锁等相关事宜请咨询政采云：咨询电话：95763。</w:t>
            </w:r>
          </w:p>
          <w:p w14:paraId="0E67879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3、本项目磋商公告在《青海省政府采购网》、《青海省公共资源交易网》、《中国采购与招标网》上发布。以《青海省政府采购网》为准。</w:t>
            </w:r>
          </w:p>
          <w:p w14:paraId="2C8AF31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4、本项目线上进行，供应商无需到现场开标；如非系统原因造成无法解密的或非系统原因加密文件上传不成功的或没办理CA锁而造成加密投标文件无法解密、加密投标文件无法上传的视为无效投标。</w:t>
            </w:r>
          </w:p>
          <w:p w14:paraId="4007C9D6">
            <w:pPr>
              <w:pStyle w:val="13"/>
              <w:bidi w:val="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zh-CN"/>
              </w:rPr>
              <w:t>5、不同</w:t>
            </w:r>
            <w:r>
              <w:rPr>
                <w:rFonts w:hint="eastAsia" w:ascii="宋体" w:hAnsi="宋体" w:cs="宋体"/>
                <w:b/>
                <w:bCs/>
                <w:color w:val="auto"/>
                <w:highlight w:val="none"/>
                <w:lang w:val="zh-CN"/>
              </w:rPr>
              <w:t>供应商</w:t>
            </w:r>
            <w:r>
              <w:rPr>
                <w:rFonts w:hint="eastAsia" w:ascii="宋体" w:hAnsi="宋体" w:eastAsia="宋体" w:cs="宋体"/>
                <w:b/>
                <w:bCs/>
                <w:color w:val="auto"/>
                <w:highlight w:val="none"/>
                <w:lang w:val="zh-CN"/>
              </w:rPr>
              <w:t>编制或者提交投标文件的计算机网卡MAC地址、IP地址、CPU序列号、硬盘序列号等硬件信息异常一致并触发预警的，由此原因导致投标无效的责任自负。</w:t>
            </w:r>
          </w:p>
        </w:tc>
      </w:tr>
    </w:tbl>
    <w:p w14:paraId="5D168AF5">
      <w:pPr>
        <w:bidi w:val="0"/>
        <w:rPr>
          <w:rFonts w:hint="eastAsia" w:ascii="宋体" w:hAnsi="宋体" w:eastAsia="宋体" w:cs="宋体"/>
          <w:color w:val="auto"/>
          <w:highlight w:val="none"/>
        </w:rPr>
      </w:pPr>
      <w:bookmarkStart w:id="5" w:name="_Toc376936727"/>
    </w:p>
    <w:p w14:paraId="714EABC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1F23B3">
      <w:pPr>
        <w:pStyle w:val="3"/>
        <w:numPr>
          <w:ilvl w:val="0"/>
          <w:numId w:val="0"/>
        </w:numPr>
        <w:bidi w:val="0"/>
        <w:ind w:left="0" w:leftChars="0" w:firstLine="0" w:firstLineChars="0"/>
        <w:rPr>
          <w:rFonts w:hint="eastAsia" w:ascii="宋体" w:hAnsi="宋体" w:eastAsia="宋体" w:cs="宋体"/>
          <w:color w:val="auto"/>
          <w:highlight w:val="none"/>
        </w:rPr>
      </w:pPr>
      <w:bookmarkStart w:id="6" w:name="_Toc7556"/>
      <w:r>
        <w:rPr>
          <w:rFonts w:hint="eastAsia" w:ascii="宋体" w:hAnsi="宋体" w:eastAsia="宋体" w:cs="宋体"/>
          <w:color w:val="auto"/>
          <w:highlight w:val="none"/>
        </w:rPr>
        <w:t>第三部分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磋商供应商须知</w:t>
      </w:r>
      <w:bookmarkEnd w:id="5"/>
      <w:bookmarkEnd w:id="6"/>
      <w:bookmarkStart w:id="7" w:name="_Toc325725997"/>
    </w:p>
    <w:p w14:paraId="7D45AA47">
      <w:pPr>
        <w:pStyle w:val="5"/>
        <w:bidi w:val="0"/>
        <w:rPr>
          <w:rFonts w:hint="eastAsia" w:ascii="宋体" w:hAnsi="宋体" w:eastAsia="宋体" w:cs="宋体"/>
          <w:color w:val="auto"/>
          <w:highlight w:val="none"/>
        </w:rPr>
      </w:pPr>
      <w:bookmarkStart w:id="8" w:name="_Toc5877"/>
      <w:bookmarkStart w:id="9" w:name="_Toc376936728"/>
      <w:r>
        <w:rPr>
          <w:rFonts w:hint="eastAsia" w:ascii="宋体" w:hAnsi="宋体" w:eastAsia="宋体" w:cs="宋体"/>
          <w:color w:val="auto"/>
          <w:highlight w:val="none"/>
        </w:rPr>
        <w:t>一、说  明</w:t>
      </w:r>
      <w:bookmarkEnd w:id="7"/>
      <w:bookmarkEnd w:id="8"/>
      <w:bookmarkEnd w:id="9"/>
    </w:p>
    <w:p w14:paraId="0A4B792A">
      <w:pPr>
        <w:pStyle w:val="4"/>
        <w:numPr>
          <w:ilvl w:val="2"/>
          <w:numId w:val="0"/>
        </w:numPr>
        <w:bidi w:val="0"/>
        <w:ind w:left="0" w:leftChars="0" w:firstLine="400" w:firstLineChars="0"/>
        <w:rPr>
          <w:rFonts w:hint="eastAsia" w:ascii="宋体" w:hAnsi="宋体" w:eastAsia="宋体" w:cs="宋体"/>
          <w:color w:val="auto"/>
          <w:highlight w:val="none"/>
        </w:rPr>
      </w:pPr>
      <w:bookmarkStart w:id="10" w:name="_Toc13605"/>
      <w:bookmarkStart w:id="11" w:name="_Toc325725998"/>
      <w:bookmarkStart w:id="12" w:name="_Toc376936729"/>
      <w:r>
        <w:rPr>
          <w:rFonts w:hint="eastAsia" w:ascii="宋体" w:hAnsi="宋体" w:eastAsia="宋体" w:cs="宋体"/>
          <w:b/>
          <w:color w:val="auto"/>
          <w:kern w:val="2"/>
          <w:sz w:val="30"/>
          <w:szCs w:val="30"/>
          <w:highlight w:val="none"/>
          <w:lang w:val="en-US" w:eastAsia="zh-CN" w:bidi="ar-SA"/>
        </w:rPr>
        <w:t>1．</w:t>
      </w:r>
      <w:r>
        <w:rPr>
          <w:rFonts w:hint="eastAsia" w:ascii="宋体" w:hAnsi="宋体" w:eastAsia="宋体" w:cs="宋体"/>
          <w:color w:val="auto"/>
          <w:highlight w:val="none"/>
        </w:rPr>
        <w:t>适用范围</w:t>
      </w:r>
      <w:bookmarkEnd w:id="10"/>
      <w:bookmarkEnd w:id="11"/>
      <w:bookmarkEnd w:id="12"/>
    </w:p>
    <w:p w14:paraId="75FD11B4">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1.1本次采购依据</w:t>
      </w:r>
      <w:r>
        <w:rPr>
          <w:rFonts w:hint="eastAsia" w:ascii="宋体" w:hAnsi="宋体" w:eastAsia="宋体" w:cs="宋体"/>
          <w:color w:val="auto"/>
          <w:highlight w:val="none"/>
          <w:lang w:val="zh-CN"/>
        </w:rPr>
        <w:t>采购人的采购计划</w:t>
      </w:r>
      <w:r>
        <w:rPr>
          <w:rFonts w:hint="eastAsia" w:ascii="宋体" w:hAnsi="宋体" w:eastAsia="宋体" w:cs="宋体"/>
          <w:color w:val="auto"/>
          <w:highlight w:val="none"/>
        </w:rPr>
        <w:t>，仅适用于本竞争性磋商文件（以下简称“磋商文件”）中所叙述的项目。</w:t>
      </w:r>
    </w:p>
    <w:p w14:paraId="305A2BDB">
      <w:pPr>
        <w:pStyle w:val="4"/>
        <w:numPr>
          <w:ilvl w:val="2"/>
          <w:numId w:val="0"/>
        </w:numPr>
        <w:bidi w:val="0"/>
        <w:ind w:left="0" w:leftChars="0" w:firstLine="400" w:firstLineChars="0"/>
        <w:rPr>
          <w:rFonts w:hint="eastAsia" w:ascii="宋体" w:hAnsi="宋体" w:eastAsia="宋体" w:cs="宋体"/>
          <w:color w:val="auto"/>
          <w:highlight w:val="none"/>
          <w:lang w:eastAsia="zh-CN"/>
        </w:rPr>
      </w:pPr>
      <w:bookmarkStart w:id="13" w:name="_Toc325725999"/>
      <w:bookmarkStart w:id="14" w:name="_Toc376936730"/>
      <w:bookmarkStart w:id="15" w:name="_Toc32573"/>
      <w:r>
        <w:rPr>
          <w:rFonts w:hint="eastAsia" w:ascii="宋体" w:hAnsi="宋体" w:eastAsia="宋体" w:cs="宋体"/>
          <w:b/>
          <w:color w:val="auto"/>
          <w:kern w:val="2"/>
          <w:sz w:val="30"/>
          <w:szCs w:val="30"/>
          <w:highlight w:val="none"/>
          <w:lang w:val="en-US" w:eastAsia="zh-CN" w:bidi="ar-SA"/>
        </w:rPr>
        <w:t>2．</w:t>
      </w:r>
      <w:r>
        <w:rPr>
          <w:rFonts w:hint="eastAsia" w:ascii="宋体" w:hAnsi="宋体" w:eastAsia="宋体" w:cs="宋体"/>
          <w:color w:val="auto"/>
          <w:highlight w:val="none"/>
        </w:rPr>
        <w:t>采购方式、合格的</w:t>
      </w:r>
      <w:bookmarkEnd w:id="13"/>
      <w:bookmarkEnd w:id="14"/>
      <w:r>
        <w:rPr>
          <w:rFonts w:hint="eastAsia" w:ascii="宋体" w:hAnsi="宋体" w:eastAsia="宋体" w:cs="宋体"/>
          <w:color w:val="auto"/>
          <w:highlight w:val="none"/>
          <w:lang w:eastAsia="zh-CN"/>
        </w:rPr>
        <w:t>供应商</w:t>
      </w:r>
      <w:bookmarkEnd w:id="15"/>
    </w:p>
    <w:p w14:paraId="062DFDBB">
      <w:pPr>
        <w:bidi w:val="0"/>
        <w:rPr>
          <w:rFonts w:hint="eastAsia" w:ascii="宋体" w:hAnsi="宋体" w:eastAsia="宋体" w:cs="宋体"/>
          <w:color w:val="auto"/>
          <w:highlight w:val="none"/>
        </w:rPr>
      </w:pPr>
      <w:r>
        <w:rPr>
          <w:rFonts w:hint="eastAsia" w:ascii="宋体" w:hAnsi="宋体" w:eastAsia="宋体" w:cs="宋体"/>
          <w:color w:val="auto"/>
          <w:highlight w:val="none"/>
        </w:rPr>
        <w:t>2.1本次采购采取竞争性磋商方式。</w:t>
      </w:r>
    </w:p>
    <w:p w14:paraId="08191BC6">
      <w:pPr>
        <w:bidi w:val="0"/>
        <w:rPr>
          <w:rFonts w:hint="eastAsia" w:ascii="宋体" w:hAnsi="宋体" w:eastAsia="宋体" w:cs="宋体"/>
          <w:color w:val="auto"/>
          <w:highlight w:val="none"/>
        </w:rPr>
      </w:pPr>
      <w:bookmarkStart w:id="16" w:name="_Toc325726000"/>
      <w:bookmarkStart w:id="17" w:name="_Toc376936731"/>
      <w:r>
        <w:rPr>
          <w:rFonts w:hint="eastAsia" w:ascii="宋体" w:hAnsi="宋体" w:eastAsia="宋体" w:cs="宋体"/>
          <w:color w:val="auto"/>
          <w:highlight w:val="none"/>
          <w:lang w:val="zh-CN"/>
        </w:rPr>
        <w:t>2.2合格的</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：详见第一部分</w:t>
      </w:r>
      <w:r>
        <w:rPr>
          <w:rFonts w:hint="eastAsia" w:ascii="宋体" w:hAnsi="宋体" w:eastAsia="宋体" w:cs="宋体"/>
          <w:color w:val="auto"/>
          <w:highlight w:val="none"/>
        </w:rPr>
        <w:t>“供应商资格条件”。</w:t>
      </w:r>
    </w:p>
    <w:p w14:paraId="3510BA84">
      <w:pPr>
        <w:pStyle w:val="4"/>
        <w:numPr>
          <w:ilvl w:val="2"/>
          <w:numId w:val="0"/>
        </w:numPr>
        <w:bidi w:val="0"/>
        <w:ind w:left="0" w:leftChars="0" w:firstLine="400" w:firstLineChars="0"/>
        <w:rPr>
          <w:rFonts w:hint="eastAsia" w:ascii="宋体" w:hAnsi="宋体" w:eastAsia="宋体" w:cs="宋体"/>
          <w:color w:val="auto"/>
          <w:highlight w:val="none"/>
        </w:rPr>
      </w:pPr>
      <w:bookmarkStart w:id="18" w:name="_Toc9842"/>
      <w:r>
        <w:rPr>
          <w:rFonts w:hint="eastAsia" w:ascii="宋体" w:hAnsi="宋体" w:eastAsia="宋体" w:cs="宋体"/>
          <w:b/>
          <w:color w:val="auto"/>
          <w:kern w:val="2"/>
          <w:sz w:val="30"/>
          <w:szCs w:val="30"/>
          <w:highlight w:val="none"/>
          <w:lang w:val="en-US" w:eastAsia="zh-CN" w:bidi="ar-SA"/>
        </w:rPr>
        <w:t>3．</w:t>
      </w:r>
      <w:r>
        <w:rPr>
          <w:rFonts w:hint="eastAsia" w:ascii="宋体" w:hAnsi="宋体" w:eastAsia="宋体" w:cs="宋体"/>
          <w:color w:val="auto"/>
          <w:highlight w:val="none"/>
        </w:rPr>
        <w:t>磋商费用</w:t>
      </w:r>
      <w:bookmarkEnd w:id="16"/>
      <w:bookmarkEnd w:id="17"/>
      <w:bookmarkEnd w:id="18"/>
    </w:p>
    <w:p w14:paraId="04745122">
      <w:pPr>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供应商应自愿承担与参加本次</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有关的费用。采购代理机构对</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供应商发生的费用不承担任何责任。</w:t>
      </w:r>
      <w:bookmarkStart w:id="19" w:name="_Toc325726001"/>
      <w:bookmarkStart w:id="20" w:name="_Toc376936732"/>
    </w:p>
    <w:p w14:paraId="66209E32">
      <w:pPr>
        <w:pStyle w:val="5"/>
        <w:bidi w:val="0"/>
        <w:rPr>
          <w:rFonts w:hint="eastAsia" w:ascii="宋体" w:hAnsi="宋体" w:eastAsia="宋体" w:cs="宋体"/>
          <w:color w:val="auto"/>
          <w:highlight w:val="none"/>
        </w:rPr>
      </w:pPr>
      <w:bookmarkStart w:id="21" w:name="_Toc1545"/>
      <w:r>
        <w:rPr>
          <w:rFonts w:hint="eastAsia" w:ascii="宋体" w:hAnsi="宋体" w:eastAsia="宋体" w:cs="宋体"/>
          <w:color w:val="auto"/>
          <w:highlight w:val="none"/>
        </w:rPr>
        <w:t>二、磋商文件说明</w:t>
      </w:r>
      <w:bookmarkEnd w:id="21"/>
    </w:p>
    <w:bookmarkEnd w:id="19"/>
    <w:bookmarkEnd w:id="20"/>
    <w:p w14:paraId="4F0A6857">
      <w:pPr>
        <w:pStyle w:val="4"/>
        <w:numPr>
          <w:ilvl w:val="2"/>
          <w:numId w:val="0"/>
        </w:numPr>
        <w:bidi w:val="0"/>
        <w:ind w:left="0" w:leftChars="0" w:firstLine="400" w:firstLineChars="0"/>
        <w:rPr>
          <w:rFonts w:hint="eastAsia" w:ascii="宋体" w:hAnsi="宋体" w:eastAsia="宋体" w:cs="宋体"/>
          <w:color w:val="auto"/>
          <w:highlight w:val="none"/>
        </w:rPr>
      </w:pPr>
      <w:bookmarkStart w:id="22" w:name="_Toc325726002"/>
      <w:bookmarkStart w:id="23" w:name="_Toc30352"/>
      <w:bookmarkStart w:id="24" w:name="_Toc376936733"/>
      <w:r>
        <w:rPr>
          <w:rFonts w:hint="eastAsia" w:ascii="宋体" w:hAnsi="宋体" w:eastAsia="宋体" w:cs="宋体"/>
          <w:b/>
          <w:color w:val="auto"/>
          <w:kern w:val="2"/>
          <w:sz w:val="30"/>
          <w:szCs w:val="30"/>
          <w:highlight w:val="none"/>
          <w:lang w:val="en-US" w:eastAsia="zh-CN" w:bidi="ar-SA"/>
        </w:rPr>
        <w:t>4．</w:t>
      </w:r>
      <w:r>
        <w:rPr>
          <w:rFonts w:hint="eastAsia" w:ascii="宋体" w:hAnsi="宋体" w:eastAsia="宋体" w:cs="宋体"/>
          <w:color w:val="auto"/>
          <w:highlight w:val="none"/>
        </w:rPr>
        <w:t>磋商文件的构成</w:t>
      </w:r>
      <w:bookmarkEnd w:id="22"/>
      <w:bookmarkEnd w:id="23"/>
      <w:bookmarkEnd w:id="24"/>
    </w:p>
    <w:p w14:paraId="3A5354D7">
      <w:pPr>
        <w:bidi w:val="0"/>
        <w:rPr>
          <w:rFonts w:hint="eastAsia" w:ascii="宋体" w:hAnsi="宋体" w:eastAsia="宋体" w:cs="宋体"/>
          <w:color w:val="auto"/>
          <w:highlight w:val="none"/>
        </w:rPr>
      </w:pPr>
      <w:r>
        <w:rPr>
          <w:rFonts w:hint="eastAsia" w:ascii="宋体" w:hAnsi="宋体" w:eastAsia="宋体" w:cs="宋体"/>
          <w:color w:val="auto"/>
          <w:highlight w:val="none"/>
        </w:rPr>
        <w:t>4.1磋商文件包括：</w:t>
      </w:r>
    </w:p>
    <w:p w14:paraId="070C0289">
      <w:pPr>
        <w:bidi w:val="0"/>
        <w:rPr>
          <w:rFonts w:hint="eastAsia" w:ascii="宋体" w:hAnsi="宋体" w:eastAsia="宋体" w:cs="宋体"/>
          <w:color w:val="auto"/>
          <w:highlight w:val="none"/>
        </w:rPr>
      </w:pPr>
      <w:r>
        <w:rPr>
          <w:rFonts w:hint="eastAsia" w:ascii="宋体" w:hAnsi="宋体" w:eastAsia="宋体" w:cs="宋体"/>
          <w:color w:val="auto"/>
          <w:highlight w:val="none"/>
        </w:rPr>
        <w:t>（1）磋商须知前附表</w:t>
      </w:r>
    </w:p>
    <w:p w14:paraId="16B8CC21">
      <w:pPr>
        <w:bidi w:val="0"/>
        <w:rPr>
          <w:rFonts w:hint="eastAsia" w:ascii="宋体" w:hAnsi="宋体" w:eastAsia="宋体" w:cs="宋体"/>
          <w:color w:val="auto"/>
          <w:highlight w:val="none"/>
        </w:rPr>
      </w:pPr>
      <w:r>
        <w:rPr>
          <w:rFonts w:hint="eastAsia" w:ascii="宋体" w:hAnsi="宋体" w:eastAsia="宋体" w:cs="宋体"/>
          <w:color w:val="auto"/>
          <w:highlight w:val="none"/>
        </w:rPr>
        <w:t>（2）磋商供应商须知</w:t>
      </w:r>
    </w:p>
    <w:p w14:paraId="101D9221">
      <w:pPr>
        <w:bidi w:val="0"/>
        <w:rPr>
          <w:rFonts w:hint="eastAsia" w:ascii="宋体" w:hAnsi="宋体" w:eastAsia="宋体" w:cs="宋体"/>
          <w:color w:val="auto"/>
          <w:highlight w:val="none"/>
        </w:rPr>
      </w:pPr>
      <w:r>
        <w:rPr>
          <w:rFonts w:hint="eastAsia" w:ascii="宋体" w:hAnsi="宋体" w:eastAsia="宋体" w:cs="宋体"/>
          <w:color w:val="auto"/>
          <w:highlight w:val="none"/>
        </w:rPr>
        <w:t>（3）青海省政府采购项目合同书范本</w:t>
      </w:r>
    </w:p>
    <w:p w14:paraId="0923AE7E">
      <w:pPr>
        <w:bidi w:val="0"/>
        <w:rPr>
          <w:rFonts w:hint="eastAsia" w:ascii="宋体" w:hAnsi="宋体" w:eastAsia="宋体" w:cs="宋体"/>
          <w:color w:val="auto"/>
          <w:highlight w:val="none"/>
        </w:rPr>
      </w:pPr>
      <w:r>
        <w:rPr>
          <w:rFonts w:hint="eastAsia" w:ascii="宋体" w:hAnsi="宋体" w:eastAsia="宋体" w:cs="宋体"/>
          <w:color w:val="auto"/>
          <w:highlight w:val="none"/>
        </w:rPr>
        <w:t>（4）磋商响应文件格式（相关附件）</w:t>
      </w:r>
    </w:p>
    <w:p w14:paraId="326B37DC">
      <w:pPr>
        <w:bidi w:val="0"/>
        <w:rPr>
          <w:rFonts w:hint="eastAsia" w:ascii="宋体" w:hAnsi="宋体" w:eastAsia="宋体" w:cs="宋体"/>
          <w:color w:val="auto"/>
          <w:highlight w:val="none"/>
        </w:rPr>
      </w:pPr>
      <w:r>
        <w:rPr>
          <w:rFonts w:hint="eastAsia" w:ascii="宋体" w:hAnsi="宋体" w:eastAsia="宋体" w:cs="宋体"/>
          <w:color w:val="auto"/>
          <w:highlight w:val="none"/>
        </w:rPr>
        <w:t>（5）磋商及采购项目技术要求</w:t>
      </w:r>
    </w:p>
    <w:p w14:paraId="5DA6B20F">
      <w:pPr>
        <w:bidi w:val="0"/>
        <w:rPr>
          <w:rFonts w:hint="eastAsia" w:ascii="宋体" w:hAnsi="宋体" w:eastAsia="宋体" w:cs="宋体"/>
          <w:color w:val="auto"/>
          <w:highlight w:val="none"/>
        </w:rPr>
      </w:pPr>
      <w:r>
        <w:rPr>
          <w:rFonts w:hint="eastAsia" w:ascii="宋体" w:hAnsi="宋体" w:eastAsia="宋体" w:cs="宋体"/>
          <w:color w:val="auto"/>
          <w:highlight w:val="none"/>
        </w:rPr>
        <w:t>（6）磋商过程中发生的澄清、变更和补充文件</w:t>
      </w:r>
    </w:p>
    <w:p w14:paraId="3E5508BF">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4.2 </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供应商应认真阅读磋商文件中列示的事项、格式、条款和要求等内容。如果</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供应商未按磋商文件要求提交全部资料，或者对磋商文件未作出实质性响应的，将视为无效响应。</w:t>
      </w:r>
    </w:p>
    <w:p w14:paraId="420413F9">
      <w:pPr>
        <w:pStyle w:val="4"/>
        <w:numPr>
          <w:ilvl w:val="2"/>
          <w:numId w:val="0"/>
        </w:numPr>
        <w:bidi w:val="0"/>
        <w:ind w:left="0" w:leftChars="0" w:firstLine="400" w:firstLineChars="0"/>
        <w:rPr>
          <w:rFonts w:hint="eastAsia" w:ascii="宋体" w:hAnsi="宋体" w:eastAsia="宋体" w:cs="宋体"/>
          <w:color w:val="auto"/>
          <w:highlight w:val="none"/>
        </w:rPr>
      </w:pPr>
      <w:bookmarkStart w:id="25" w:name="_Toc325726003"/>
      <w:bookmarkStart w:id="26" w:name="_Toc376936734"/>
      <w:bookmarkStart w:id="27" w:name="_Toc2632"/>
      <w:r>
        <w:rPr>
          <w:rFonts w:hint="eastAsia" w:ascii="宋体" w:hAnsi="宋体" w:eastAsia="宋体" w:cs="宋体"/>
          <w:b/>
          <w:color w:val="auto"/>
          <w:kern w:val="2"/>
          <w:sz w:val="30"/>
          <w:szCs w:val="30"/>
          <w:highlight w:val="none"/>
          <w:lang w:val="en-US" w:eastAsia="zh-CN" w:bidi="ar-SA"/>
        </w:rPr>
        <w:t>5．</w:t>
      </w:r>
      <w:r>
        <w:rPr>
          <w:rFonts w:hint="eastAsia" w:ascii="宋体" w:hAnsi="宋体" w:eastAsia="宋体" w:cs="宋体"/>
          <w:color w:val="auto"/>
          <w:highlight w:val="none"/>
        </w:rPr>
        <w:t>磋商文件的</w:t>
      </w:r>
      <w:bookmarkEnd w:id="25"/>
      <w:bookmarkEnd w:id="26"/>
      <w:r>
        <w:rPr>
          <w:rFonts w:hint="eastAsia" w:ascii="宋体" w:hAnsi="宋体" w:eastAsia="宋体" w:cs="宋体"/>
          <w:color w:val="auto"/>
          <w:highlight w:val="none"/>
        </w:rPr>
        <w:t>质疑</w:t>
      </w:r>
      <w:bookmarkEnd w:id="27"/>
    </w:p>
    <w:p w14:paraId="20716306">
      <w:pPr>
        <w:bidi w:val="0"/>
        <w:rPr>
          <w:rFonts w:hint="eastAsia" w:ascii="宋体" w:hAnsi="宋体" w:eastAsia="宋体" w:cs="宋体"/>
          <w:color w:val="auto"/>
          <w:highlight w:val="none"/>
        </w:rPr>
      </w:pPr>
      <w:r>
        <w:rPr>
          <w:rFonts w:hint="eastAsia" w:ascii="宋体" w:hAnsi="宋体" w:eastAsia="宋体" w:cs="宋体"/>
          <w:color w:val="auto"/>
          <w:highlight w:val="none"/>
        </w:rPr>
        <w:t>供应商认为磋商文件使自己的权益受到损害的，应在获取磋商文件之后以书面形式提出质疑（不接受匿名质疑），供应商须在法定质疑期内一次性提出针对同一采购程序环节的质疑。采购人、采购代理机构在收到供应商的书面质疑后7个工作日内予以答复，并将变更事宜在青海省政府采购网上发布公告，告知本项目的所有潜在供应商。</w:t>
      </w:r>
      <w:bookmarkStart w:id="28" w:name="_Toc376936735"/>
      <w:bookmarkStart w:id="29" w:name="_Toc325726004"/>
    </w:p>
    <w:p w14:paraId="31511D8E">
      <w:pPr>
        <w:pStyle w:val="4"/>
        <w:numPr>
          <w:ilvl w:val="2"/>
          <w:numId w:val="0"/>
        </w:numPr>
        <w:bidi w:val="0"/>
        <w:ind w:left="0" w:leftChars="0" w:firstLine="400" w:firstLineChars="0"/>
        <w:rPr>
          <w:rFonts w:hint="eastAsia" w:ascii="宋体" w:hAnsi="宋体" w:eastAsia="宋体" w:cs="宋体"/>
          <w:color w:val="auto"/>
          <w:highlight w:val="none"/>
        </w:rPr>
      </w:pPr>
      <w:bookmarkStart w:id="30" w:name="_Toc9638"/>
      <w:r>
        <w:rPr>
          <w:rFonts w:hint="eastAsia" w:ascii="宋体" w:hAnsi="宋体" w:eastAsia="宋体" w:cs="宋体"/>
          <w:b/>
          <w:color w:val="auto"/>
          <w:kern w:val="2"/>
          <w:sz w:val="30"/>
          <w:szCs w:val="30"/>
          <w:highlight w:val="none"/>
          <w:lang w:val="en-US" w:eastAsia="zh-CN" w:bidi="ar-SA"/>
        </w:rPr>
        <w:t>6．</w:t>
      </w:r>
      <w:r>
        <w:rPr>
          <w:rFonts w:hint="eastAsia" w:ascii="宋体" w:hAnsi="宋体" w:eastAsia="宋体" w:cs="宋体"/>
          <w:color w:val="auto"/>
          <w:highlight w:val="none"/>
        </w:rPr>
        <w:t>磋商文件的澄清、修改</w:t>
      </w:r>
      <w:bookmarkEnd w:id="28"/>
      <w:bookmarkEnd w:id="29"/>
      <w:bookmarkEnd w:id="30"/>
    </w:p>
    <w:p w14:paraId="60455CE4">
      <w:pPr>
        <w:bidi w:val="0"/>
        <w:rPr>
          <w:rFonts w:hint="eastAsia" w:ascii="宋体" w:hAnsi="宋体" w:eastAsia="宋体" w:cs="宋体"/>
          <w:color w:val="auto"/>
          <w:highlight w:val="none"/>
        </w:rPr>
      </w:pPr>
      <w:r>
        <w:rPr>
          <w:rFonts w:hint="eastAsia" w:ascii="宋体" w:hAnsi="宋体" w:eastAsia="宋体" w:cs="宋体"/>
          <w:color w:val="auto"/>
          <w:highlight w:val="none"/>
        </w:rPr>
        <w:t>6.1 在磋商响应文件递交截止期前，采购代理机构可对磋商文件进行必要的修改或者澄清。</w:t>
      </w:r>
    </w:p>
    <w:p w14:paraId="733D744B">
      <w:pPr>
        <w:bidi w:val="0"/>
        <w:rPr>
          <w:rFonts w:hint="eastAsia" w:ascii="宋体" w:hAnsi="宋体" w:eastAsia="宋体" w:cs="宋体"/>
          <w:color w:val="auto"/>
          <w:highlight w:val="none"/>
        </w:rPr>
      </w:pPr>
      <w:r>
        <w:rPr>
          <w:rFonts w:hint="eastAsia" w:ascii="宋体" w:hAnsi="宋体" w:eastAsia="宋体" w:cs="宋体"/>
          <w:color w:val="auto"/>
          <w:highlight w:val="none"/>
        </w:rPr>
        <w:t>6.2 采购代理机构对已发出磋商文件进行必要的澄清或者修改的，在磋商文件要求提交首次磋商响应文件截止时间至少5日前，在青海省政府采购网上发布公告；不足5日的，顺延提交首次磋商响应文件的截止时间。该澄清或者修改的内容为磋商文件的组成部分。</w:t>
      </w:r>
    </w:p>
    <w:p w14:paraId="4B4D4704">
      <w:pPr>
        <w:bidi w:val="0"/>
        <w:rPr>
          <w:rFonts w:hint="eastAsia" w:ascii="宋体" w:hAnsi="宋体" w:eastAsia="宋体" w:cs="宋体"/>
          <w:color w:val="auto"/>
          <w:highlight w:val="none"/>
        </w:rPr>
      </w:pPr>
      <w:r>
        <w:rPr>
          <w:rFonts w:hint="eastAsia" w:ascii="宋体" w:hAnsi="宋体" w:eastAsia="宋体" w:cs="宋体"/>
          <w:color w:val="auto"/>
          <w:highlight w:val="none"/>
        </w:rPr>
        <w:t>6.3在磋商响应文件递交截止期前，采购人或采购代理机构可以视采购具体情况，延长</w:t>
      </w:r>
      <w:r>
        <w:rPr>
          <w:rFonts w:hint="eastAsia" w:ascii="宋体" w:hAnsi="宋体" w:eastAsia="宋体" w:cs="宋体"/>
          <w:color w:val="auto"/>
          <w:highlight w:val="none"/>
          <w:lang w:val="en-US" w:eastAsia="zh-CN"/>
        </w:rPr>
        <w:t>响应文件</w:t>
      </w:r>
      <w:r>
        <w:rPr>
          <w:rFonts w:hint="eastAsia" w:ascii="宋体" w:hAnsi="宋体" w:eastAsia="宋体" w:cs="宋体"/>
          <w:color w:val="auto"/>
          <w:highlight w:val="none"/>
        </w:rPr>
        <w:t>截止时间和</w:t>
      </w:r>
      <w:r>
        <w:rPr>
          <w:rFonts w:hint="eastAsia" w:ascii="宋体" w:hAnsi="宋体" w:eastAsia="宋体" w:cs="宋体"/>
          <w:color w:val="auto"/>
          <w:highlight w:val="none"/>
          <w:lang w:val="en-US" w:eastAsia="zh-CN"/>
        </w:rPr>
        <w:t>开启</w:t>
      </w:r>
      <w:r>
        <w:rPr>
          <w:rFonts w:hint="eastAsia" w:ascii="宋体" w:hAnsi="宋体" w:eastAsia="宋体" w:cs="宋体"/>
          <w:color w:val="auto"/>
          <w:highlight w:val="none"/>
        </w:rPr>
        <w:t>时间，并在磋商文件中要求的磋商截止时间和磋商时间的三日前，将变更公告发布在青海省政府采购网上。</w:t>
      </w:r>
    </w:p>
    <w:p w14:paraId="022A524C">
      <w:pPr>
        <w:pStyle w:val="5"/>
        <w:bidi w:val="0"/>
        <w:rPr>
          <w:rFonts w:hint="eastAsia" w:ascii="宋体" w:hAnsi="宋体" w:eastAsia="宋体" w:cs="宋体"/>
          <w:color w:val="auto"/>
          <w:highlight w:val="none"/>
        </w:rPr>
      </w:pPr>
      <w:bookmarkStart w:id="31" w:name="_Toc376936736"/>
      <w:bookmarkStart w:id="32" w:name="_Toc325726005"/>
      <w:bookmarkStart w:id="33" w:name="_Toc31921"/>
      <w:r>
        <w:rPr>
          <w:rFonts w:hint="eastAsia" w:ascii="宋体" w:hAnsi="宋体" w:eastAsia="宋体" w:cs="宋体"/>
          <w:color w:val="auto"/>
          <w:highlight w:val="none"/>
        </w:rPr>
        <w:t>三、磋商响应文件的编制</w:t>
      </w:r>
      <w:bookmarkEnd w:id="31"/>
      <w:bookmarkEnd w:id="32"/>
      <w:bookmarkEnd w:id="33"/>
    </w:p>
    <w:p w14:paraId="6AAB4BEF">
      <w:pPr>
        <w:pStyle w:val="4"/>
        <w:numPr>
          <w:ilvl w:val="2"/>
          <w:numId w:val="0"/>
        </w:numPr>
        <w:bidi w:val="0"/>
        <w:ind w:left="0" w:leftChars="0" w:firstLine="400" w:firstLineChars="0"/>
        <w:rPr>
          <w:rFonts w:hint="eastAsia" w:ascii="宋体" w:hAnsi="宋体" w:eastAsia="宋体" w:cs="宋体"/>
          <w:color w:val="auto"/>
          <w:highlight w:val="none"/>
        </w:rPr>
      </w:pPr>
      <w:bookmarkStart w:id="34" w:name="_Toc13838"/>
      <w:bookmarkStart w:id="35" w:name="_Toc325726006"/>
      <w:bookmarkStart w:id="36" w:name="_Toc376936737"/>
      <w:r>
        <w:rPr>
          <w:rFonts w:hint="eastAsia" w:ascii="宋体" w:hAnsi="宋体" w:eastAsia="宋体" w:cs="宋体"/>
          <w:b/>
          <w:color w:val="auto"/>
          <w:kern w:val="2"/>
          <w:sz w:val="30"/>
          <w:szCs w:val="30"/>
          <w:highlight w:val="none"/>
          <w:lang w:val="en-US" w:eastAsia="zh-CN" w:bidi="ar-SA"/>
        </w:rPr>
        <w:t>7．</w:t>
      </w:r>
      <w:r>
        <w:rPr>
          <w:rFonts w:hint="eastAsia" w:ascii="宋体" w:hAnsi="宋体" w:eastAsia="宋体" w:cs="宋体"/>
          <w:color w:val="auto"/>
          <w:highlight w:val="none"/>
        </w:rPr>
        <w:t>磋商响应文件的语言及度量衡单位</w:t>
      </w:r>
      <w:bookmarkEnd w:id="34"/>
      <w:bookmarkEnd w:id="35"/>
      <w:bookmarkEnd w:id="36"/>
    </w:p>
    <w:p w14:paraId="6875B6D4">
      <w:pPr>
        <w:bidi w:val="0"/>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提交的磋商响应文件以及</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与采购代理机构就此磋商发生的所有来往函电均应使用简体中文。除签名、盖章、专用名称等特殊情形外，以中文汉语以外的文字表述的磋商响应文件视同未提供。</w:t>
      </w:r>
    </w:p>
    <w:p w14:paraId="2F6B2250">
      <w:pPr>
        <w:bidi w:val="0"/>
        <w:rPr>
          <w:rFonts w:hint="eastAsia" w:ascii="宋体" w:hAnsi="宋体" w:eastAsia="宋体" w:cs="宋体"/>
          <w:color w:val="auto"/>
          <w:highlight w:val="none"/>
        </w:rPr>
      </w:pPr>
      <w:r>
        <w:rPr>
          <w:rFonts w:hint="eastAsia" w:ascii="宋体" w:hAnsi="宋体" w:eastAsia="宋体" w:cs="宋体"/>
          <w:color w:val="auto"/>
          <w:highlight w:val="none"/>
        </w:rPr>
        <w:t>7.2 除磋商文件中另有规定外，磋商响应文件所使用的度量衡单位，均须采用国家法定计量单位。</w:t>
      </w:r>
    </w:p>
    <w:p w14:paraId="61727498">
      <w:pPr>
        <w:bidi w:val="0"/>
        <w:rPr>
          <w:rFonts w:hint="eastAsia" w:ascii="宋体" w:hAnsi="宋体" w:eastAsia="宋体" w:cs="宋体"/>
          <w:color w:val="auto"/>
          <w:highlight w:val="none"/>
        </w:rPr>
      </w:pPr>
      <w:r>
        <w:rPr>
          <w:rFonts w:hint="eastAsia" w:ascii="宋体" w:hAnsi="宋体" w:eastAsia="宋体" w:cs="宋体"/>
          <w:color w:val="auto"/>
          <w:highlight w:val="none"/>
        </w:rPr>
        <w:t>7.3附有外文资料的，须翻译成中文并加盖供应商公章，如果翻译的中文资料与外文资料存在差异和矛盾时，以中文资料为准。其准确性由磋商供应商负责。</w:t>
      </w:r>
    </w:p>
    <w:p w14:paraId="5CC93262">
      <w:pPr>
        <w:pStyle w:val="4"/>
        <w:numPr>
          <w:ilvl w:val="2"/>
          <w:numId w:val="0"/>
        </w:numPr>
        <w:bidi w:val="0"/>
        <w:ind w:left="0" w:leftChars="0" w:firstLine="400" w:firstLineChars="0"/>
        <w:rPr>
          <w:rFonts w:hint="eastAsia" w:ascii="宋体" w:hAnsi="宋体" w:eastAsia="宋体" w:cs="宋体"/>
          <w:color w:val="auto"/>
          <w:highlight w:val="none"/>
        </w:rPr>
      </w:pPr>
      <w:bookmarkStart w:id="37" w:name="_Toc376936738"/>
      <w:bookmarkStart w:id="38" w:name="_Toc24745"/>
      <w:bookmarkStart w:id="39" w:name="_Toc325726007"/>
      <w:r>
        <w:rPr>
          <w:rFonts w:hint="eastAsia" w:ascii="宋体" w:hAnsi="宋体" w:eastAsia="宋体" w:cs="宋体"/>
          <w:b/>
          <w:color w:val="auto"/>
          <w:kern w:val="2"/>
          <w:sz w:val="30"/>
          <w:szCs w:val="30"/>
          <w:highlight w:val="none"/>
          <w:lang w:val="en-US" w:eastAsia="zh-CN" w:bidi="ar-SA"/>
        </w:rPr>
        <w:t>8．</w:t>
      </w:r>
      <w:r>
        <w:rPr>
          <w:rFonts w:hint="eastAsia" w:ascii="宋体" w:hAnsi="宋体" w:eastAsia="宋体" w:cs="宋体"/>
          <w:color w:val="auto"/>
          <w:highlight w:val="none"/>
        </w:rPr>
        <w:t>磋商报价及币种</w:t>
      </w:r>
      <w:bookmarkEnd w:id="37"/>
      <w:bookmarkEnd w:id="38"/>
      <w:bookmarkEnd w:id="39"/>
    </w:p>
    <w:p w14:paraId="46C05FFD">
      <w:pPr>
        <w:bidi w:val="0"/>
        <w:rPr>
          <w:rFonts w:hint="eastAsia" w:ascii="宋体" w:hAnsi="宋体" w:eastAsia="宋体" w:cs="宋体"/>
          <w:color w:val="auto"/>
          <w:highlight w:val="none"/>
        </w:rPr>
      </w:pPr>
      <w:r>
        <w:rPr>
          <w:rFonts w:hint="eastAsia" w:ascii="宋体" w:hAnsi="宋体" w:eastAsia="宋体" w:cs="宋体"/>
          <w:color w:val="auto"/>
          <w:highlight w:val="none"/>
        </w:rPr>
        <w:t>8.l磋商报价为总报价。必须包括：</w:t>
      </w:r>
      <w:r>
        <w:rPr>
          <w:rFonts w:hint="eastAsia" w:ascii="宋体" w:hAnsi="宋体" w:cs="宋体"/>
          <w:color w:val="auto"/>
          <w:highlight w:val="none"/>
          <w:lang w:val="en-US" w:eastAsia="zh-CN"/>
        </w:rPr>
        <w:t>设备租赁费、</w:t>
      </w:r>
      <w:r>
        <w:rPr>
          <w:rFonts w:hint="eastAsia" w:ascii="宋体" w:hAnsi="宋体" w:eastAsia="宋体" w:cs="宋体"/>
          <w:color w:val="auto"/>
          <w:highlight w:val="none"/>
        </w:rPr>
        <w:t>服务费、人员工资、管理费、</w:t>
      </w:r>
      <w:r>
        <w:rPr>
          <w:rFonts w:hint="eastAsia" w:ascii="宋体" w:hAnsi="宋体" w:cs="宋体"/>
          <w:color w:val="auto"/>
          <w:highlight w:val="none"/>
          <w:lang w:val="en-US" w:eastAsia="zh-CN"/>
        </w:rPr>
        <w:t>培训费、</w:t>
      </w:r>
      <w:r>
        <w:rPr>
          <w:rFonts w:hint="eastAsia" w:ascii="宋体" w:hAnsi="宋体" w:eastAsia="宋体" w:cs="宋体"/>
          <w:color w:val="auto"/>
          <w:highlight w:val="none"/>
        </w:rPr>
        <w:t>验收费、手续费、保险费、</w:t>
      </w:r>
      <w:r>
        <w:rPr>
          <w:rFonts w:hint="eastAsia" w:ascii="宋体" w:hAnsi="宋体" w:cs="宋体"/>
          <w:color w:val="auto"/>
          <w:highlight w:val="none"/>
          <w:lang w:eastAsia="zh-CN"/>
        </w:rPr>
        <w:t>差旅费、</w:t>
      </w:r>
      <w:r>
        <w:rPr>
          <w:rFonts w:hint="eastAsia" w:ascii="宋体" w:hAnsi="宋体" w:eastAsia="宋体" w:cs="宋体"/>
          <w:color w:val="auto"/>
          <w:highlight w:val="none"/>
          <w:lang w:eastAsia="zh-CN"/>
        </w:rPr>
        <w:t>成交服务费</w:t>
      </w:r>
      <w:r>
        <w:rPr>
          <w:rFonts w:hint="eastAsia" w:ascii="宋体" w:hAnsi="宋体" w:eastAsia="宋体" w:cs="宋体"/>
          <w:color w:val="auto"/>
          <w:highlight w:val="none"/>
        </w:rPr>
        <w:t>及服务过程中包含的不可预见等全部费用。</w:t>
      </w:r>
    </w:p>
    <w:p w14:paraId="08B27200">
      <w:pPr>
        <w:bidi w:val="0"/>
        <w:rPr>
          <w:rFonts w:hint="eastAsia" w:ascii="宋体" w:hAnsi="宋体" w:eastAsia="宋体" w:cs="宋体"/>
          <w:color w:val="auto"/>
          <w:highlight w:val="none"/>
        </w:rPr>
      </w:pPr>
      <w:r>
        <w:rPr>
          <w:rFonts w:hint="eastAsia" w:ascii="宋体" w:hAnsi="宋体" w:eastAsia="宋体" w:cs="宋体"/>
          <w:color w:val="auto"/>
          <w:highlight w:val="none"/>
        </w:rPr>
        <w:t>8.2 磋商函中应注明磋商有效期。</w:t>
      </w:r>
    </w:p>
    <w:p w14:paraId="7FB62A58">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8.3 </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应根据磋商文件规定的格式完整填写所有内容，并保证所提供的全部资料真实可信，自愿承担相应责任。</w:t>
      </w:r>
    </w:p>
    <w:p w14:paraId="587C0B57">
      <w:pPr>
        <w:bidi w:val="0"/>
        <w:rPr>
          <w:rFonts w:hint="eastAsia" w:ascii="宋体" w:hAnsi="宋体" w:eastAsia="宋体" w:cs="宋体"/>
          <w:color w:val="auto"/>
          <w:highlight w:val="none"/>
        </w:rPr>
      </w:pPr>
      <w:r>
        <w:rPr>
          <w:rFonts w:hint="eastAsia" w:ascii="宋体" w:hAnsi="宋体" w:eastAsia="宋体" w:cs="宋体"/>
          <w:color w:val="auto"/>
          <w:highlight w:val="none"/>
        </w:rPr>
        <w:t>8.4 磋商最后报价为闭口价，即成交后在合同有效期内价格不变。</w:t>
      </w:r>
    </w:p>
    <w:p w14:paraId="02673D34">
      <w:pPr>
        <w:bidi w:val="0"/>
        <w:rPr>
          <w:rFonts w:hint="eastAsia" w:ascii="宋体" w:hAnsi="宋体" w:eastAsia="宋体" w:cs="宋体"/>
          <w:color w:val="auto"/>
          <w:highlight w:val="none"/>
        </w:rPr>
      </w:pPr>
      <w:r>
        <w:rPr>
          <w:rFonts w:hint="eastAsia" w:ascii="宋体" w:hAnsi="宋体" w:eastAsia="宋体" w:cs="宋体"/>
          <w:color w:val="auto"/>
          <w:highlight w:val="none"/>
        </w:rPr>
        <w:t>8.5 磋商币种为人民币。</w:t>
      </w:r>
    </w:p>
    <w:p w14:paraId="04528424">
      <w:pPr>
        <w:pStyle w:val="4"/>
        <w:numPr>
          <w:ilvl w:val="2"/>
          <w:numId w:val="0"/>
        </w:numPr>
        <w:bidi w:val="0"/>
        <w:ind w:left="0" w:leftChars="0" w:firstLine="400" w:firstLineChars="0"/>
        <w:rPr>
          <w:rFonts w:hint="eastAsia" w:ascii="宋体" w:hAnsi="宋体" w:eastAsia="宋体" w:cs="宋体"/>
          <w:color w:val="auto"/>
          <w:highlight w:val="none"/>
        </w:rPr>
      </w:pPr>
      <w:bookmarkStart w:id="40" w:name="_Toc26157"/>
      <w:bookmarkStart w:id="41" w:name="_Toc376936744"/>
      <w:bookmarkStart w:id="42" w:name="_Toc325726013"/>
      <w:r>
        <w:rPr>
          <w:rFonts w:hint="eastAsia" w:ascii="宋体" w:hAnsi="宋体" w:eastAsia="宋体" w:cs="宋体"/>
          <w:b/>
          <w:color w:val="auto"/>
          <w:kern w:val="2"/>
          <w:sz w:val="30"/>
          <w:szCs w:val="30"/>
          <w:highlight w:val="none"/>
          <w:lang w:val="en-US" w:eastAsia="zh-CN" w:bidi="ar-SA"/>
        </w:rPr>
        <w:t>9．</w:t>
      </w:r>
      <w:r>
        <w:rPr>
          <w:rFonts w:hint="eastAsia" w:ascii="宋体" w:hAnsi="宋体" w:eastAsia="宋体" w:cs="宋体"/>
          <w:color w:val="auto"/>
          <w:highlight w:val="none"/>
        </w:rPr>
        <w:t>磋商有效期</w:t>
      </w:r>
      <w:bookmarkEnd w:id="40"/>
      <w:bookmarkEnd w:id="41"/>
      <w:bookmarkEnd w:id="42"/>
    </w:p>
    <w:p w14:paraId="0256744A">
      <w:pPr>
        <w:ind w:firstLine="480"/>
        <w:rPr>
          <w:rFonts w:hint="eastAsia" w:ascii="宋体" w:hAnsi="宋体" w:eastAsia="宋体" w:cs="宋体"/>
          <w:color w:val="auto"/>
          <w:highlight w:val="none"/>
        </w:rPr>
      </w:pPr>
      <w:r>
        <w:rPr>
          <w:rFonts w:hint="eastAsia" w:ascii="宋体" w:hAnsi="宋体" w:eastAsia="宋体" w:cs="宋体"/>
          <w:color w:val="auto"/>
          <w:highlight w:val="none"/>
        </w:rPr>
        <w:t>磋商有效期为自磋商开始之日起60天。</w:t>
      </w:r>
    </w:p>
    <w:p w14:paraId="58BA0DF9">
      <w:pPr>
        <w:pStyle w:val="4"/>
        <w:numPr>
          <w:ilvl w:val="2"/>
          <w:numId w:val="0"/>
        </w:numPr>
        <w:bidi w:val="0"/>
        <w:ind w:left="0" w:leftChars="0" w:firstLine="400" w:firstLineChars="0"/>
        <w:rPr>
          <w:rFonts w:hint="eastAsia" w:ascii="宋体" w:hAnsi="宋体" w:eastAsia="宋体" w:cs="宋体"/>
          <w:color w:val="auto"/>
          <w:highlight w:val="none"/>
        </w:rPr>
      </w:pPr>
      <w:bookmarkStart w:id="43" w:name="_Toc376936739"/>
      <w:bookmarkStart w:id="44" w:name="_Toc26962"/>
      <w:bookmarkStart w:id="45" w:name="_Toc325726008"/>
      <w:r>
        <w:rPr>
          <w:rFonts w:hint="eastAsia" w:ascii="宋体" w:hAnsi="宋体" w:eastAsia="宋体" w:cs="宋体"/>
          <w:b/>
          <w:color w:val="auto"/>
          <w:kern w:val="2"/>
          <w:sz w:val="30"/>
          <w:szCs w:val="30"/>
          <w:highlight w:val="none"/>
          <w:lang w:val="en-US" w:eastAsia="zh-CN" w:bidi="ar-SA"/>
        </w:rPr>
        <w:t>10．</w:t>
      </w:r>
      <w:r>
        <w:rPr>
          <w:rFonts w:hint="eastAsia" w:ascii="宋体" w:hAnsi="宋体" w:eastAsia="宋体" w:cs="宋体"/>
          <w:color w:val="auto"/>
          <w:highlight w:val="none"/>
        </w:rPr>
        <w:t>磋商响应文件构成</w:t>
      </w:r>
      <w:bookmarkEnd w:id="43"/>
      <w:bookmarkEnd w:id="44"/>
      <w:bookmarkEnd w:id="45"/>
    </w:p>
    <w:p w14:paraId="6616C569">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10.1</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应提交相关证明材料，作为其参加磋商和成交后有能力履行合同的证明。编写的磋商响应文件须包括以下内容（格式详见磋商文件第五部分内容）：</w:t>
      </w:r>
    </w:p>
    <w:p w14:paraId="534CBB44">
      <w:pPr>
        <w:bidi w:val="0"/>
        <w:rPr>
          <w:rFonts w:hint="eastAsia" w:ascii="宋体" w:hAnsi="宋体" w:eastAsia="宋体" w:cs="宋体"/>
          <w:color w:val="auto"/>
          <w:highlight w:val="none"/>
        </w:rPr>
      </w:pPr>
      <w:r>
        <w:rPr>
          <w:rFonts w:hint="eastAsia" w:ascii="宋体" w:hAnsi="宋体" w:eastAsia="宋体" w:cs="宋体"/>
          <w:color w:val="auto"/>
          <w:highlight w:val="none"/>
        </w:rPr>
        <w:t>（1）磋商响应文件封面</w:t>
      </w:r>
    </w:p>
    <w:p w14:paraId="57608D8F">
      <w:pPr>
        <w:bidi w:val="0"/>
        <w:rPr>
          <w:rFonts w:hint="eastAsia" w:ascii="宋体" w:hAnsi="宋体" w:eastAsia="宋体" w:cs="宋体"/>
          <w:color w:val="auto"/>
          <w:highlight w:val="none"/>
        </w:rPr>
      </w:pPr>
      <w:r>
        <w:rPr>
          <w:rFonts w:hint="eastAsia" w:ascii="宋体" w:hAnsi="宋体" w:eastAsia="宋体" w:cs="宋体"/>
          <w:color w:val="auto"/>
          <w:highlight w:val="none"/>
        </w:rPr>
        <w:t>（2）磋商函</w:t>
      </w:r>
    </w:p>
    <w:p w14:paraId="1DBE9C64">
      <w:pPr>
        <w:bidi w:val="0"/>
        <w:rPr>
          <w:rFonts w:hint="eastAsia" w:ascii="宋体" w:hAnsi="宋体" w:eastAsia="宋体" w:cs="宋体"/>
          <w:color w:val="auto"/>
          <w:highlight w:val="none"/>
        </w:rPr>
      </w:pPr>
      <w:r>
        <w:rPr>
          <w:rFonts w:hint="eastAsia" w:ascii="宋体" w:hAnsi="宋体" w:eastAsia="宋体" w:cs="宋体"/>
          <w:color w:val="auto"/>
          <w:highlight w:val="none"/>
        </w:rPr>
        <w:t>（3）最初报价表</w:t>
      </w:r>
    </w:p>
    <w:p w14:paraId="449346B5">
      <w:pPr>
        <w:bidi w:val="0"/>
        <w:rPr>
          <w:rFonts w:hint="eastAsia" w:ascii="宋体" w:hAnsi="宋体" w:eastAsia="宋体" w:cs="宋体"/>
          <w:color w:val="auto"/>
          <w:highlight w:val="none"/>
        </w:rPr>
      </w:pPr>
      <w:r>
        <w:rPr>
          <w:rFonts w:hint="eastAsia" w:ascii="宋体" w:hAnsi="宋体" w:eastAsia="宋体" w:cs="宋体"/>
          <w:color w:val="auto"/>
          <w:highlight w:val="none"/>
        </w:rPr>
        <w:t>（4）服务条款偏离表</w:t>
      </w:r>
    </w:p>
    <w:p w14:paraId="253A8C77">
      <w:pPr>
        <w:bidi w:val="0"/>
        <w:rPr>
          <w:rFonts w:hint="eastAsia" w:ascii="宋体" w:hAnsi="宋体" w:eastAsia="宋体" w:cs="宋体"/>
          <w:color w:val="auto"/>
          <w:highlight w:val="none"/>
        </w:rPr>
      </w:pPr>
      <w:r>
        <w:rPr>
          <w:rFonts w:hint="eastAsia" w:ascii="宋体" w:hAnsi="宋体" w:eastAsia="宋体" w:cs="宋体"/>
          <w:color w:val="auto"/>
          <w:highlight w:val="none"/>
        </w:rPr>
        <w:t>（5）商务条款偏离表</w:t>
      </w:r>
    </w:p>
    <w:p w14:paraId="2AF0B209">
      <w:pPr>
        <w:bidi w:val="0"/>
        <w:rPr>
          <w:rFonts w:hint="eastAsia" w:ascii="宋体" w:hAnsi="宋体" w:eastAsia="宋体" w:cs="宋体"/>
          <w:color w:val="auto"/>
          <w:highlight w:val="none"/>
        </w:rPr>
      </w:pPr>
      <w:r>
        <w:rPr>
          <w:rFonts w:hint="eastAsia" w:ascii="宋体" w:hAnsi="宋体" w:eastAsia="宋体" w:cs="宋体"/>
          <w:color w:val="auto"/>
          <w:highlight w:val="none"/>
        </w:rPr>
        <w:t>（6）法定代表人证明书</w:t>
      </w:r>
    </w:p>
    <w:p w14:paraId="1724ABFA">
      <w:pPr>
        <w:bidi w:val="0"/>
        <w:rPr>
          <w:rFonts w:hint="eastAsia" w:ascii="宋体" w:hAnsi="宋体" w:eastAsia="宋体" w:cs="宋体"/>
          <w:color w:val="auto"/>
          <w:highlight w:val="none"/>
        </w:rPr>
      </w:pPr>
      <w:r>
        <w:rPr>
          <w:rFonts w:hint="eastAsia" w:ascii="宋体" w:hAnsi="宋体" w:eastAsia="宋体" w:cs="宋体"/>
          <w:color w:val="auto"/>
          <w:highlight w:val="none"/>
        </w:rPr>
        <w:t>（7）法定代表人授权书</w:t>
      </w:r>
    </w:p>
    <w:p w14:paraId="370C3FB6">
      <w:pPr>
        <w:bidi w:val="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承诺函</w:t>
      </w:r>
    </w:p>
    <w:p w14:paraId="08A013B0">
      <w:pPr>
        <w:bidi w:val="0"/>
        <w:rPr>
          <w:rFonts w:hint="eastAsia" w:ascii="宋体" w:hAnsi="宋体" w:eastAsia="宋体" w:cs="宋体"/>
          <w:color w:val="auto"/>
          <w:highlight w:val="none"/>
        </w:rPr>
      </w:pPr>
      <w:r>
        <w:rPr>
          <w:rFonts w:hint="eastAsia" w:ascii="宋体" w:hAnsi="宋体" w:eastAsia="宋体" w:cs="宋体"/>
          <w:color w:val="auto"/>
          <w:highlight w:val="none"/>
        </w:rPr>
        <w:t>（9）供应商诚信承诺书</w:t>
      </w:r>
    </w:p>
    <w:p w14:paraId="75644186">
      <w:pPr>
        <w:bidi w:val="0"/>
        <w:rPr>
          <w:rFonts w:hint="eastAsia" w:ascii="宋体" w:hAnsi="宋体" w:eastAsia="宋体" w:cs="宋体"/>
          <w:color w:val="auto"/>
          <w:highlight w:val="none"/>
        </w:rPr>
      </w:pPr>
      <w:r>
        <w:rPr>
          <w:rFonts w:hint="eastAsia" w:ascii="宋体" w:hAnsi="宋体" w:eastAsia="宋体" w:cs="宋体"/>
          <w:color w:val="auto"/>
          <w:highlight w:val="none"/>
        </w:rPr>
        <w:t>（10）资格证明材料</w:t>
      </w:r>
    </w:p>
    <w:p w14:paraId="672FC46B">
      <w:pPr>
        <w:bidi w:val="0"/>
        <w:rPr>
          <w:rFonts w:hint="eastAsia" w:ascii="宋体" w:hAnsi="宋体" w:eastAsia="宋体" w:cs="宋体"/>
          <w:color w:val="auto"/>
          <w:highlight w:val="none"/>
        </w:rPr>
      </w:pPr>
      <w:r>
        <w:rPr>
          <w:rFonts w:hint="eastAsia" w:ascii="宋体" w:hAnsi="宋体" w:eastAsia="宋体" w:cs="宋体"/>
          <w:color w:val="auto"/>
          <w:highlight w:val="none"/>
        </w:rPr>
        <w:t>（11）财务状况、缴纳税收和社会保障资金证明</w:t>
      </w:r>
    </w:p>
    <w:p w14:paraId="13216318">
      <w:pPr>
        <w:bidi w:val="0"/>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zh-CN"/>
        </w:rPr>
        <w:t>具备履行合同所必须的设备和专业技术能力证明</w:t>
      </w:r>
    </w:p>
    <w:p w14:paraId="5969FDC2">
      <w:pPr>
        <w:bidi w:val="0"/>
        <w:rPr>
          <w:rFonts w:hint="eastAsia" w:ascii="宋体" w:hAnsi="宋体" w:eastAsia="宋体" w:cs="宋体"/>
          <w:color w:val="auto"/>
          <w:highlight w:val="none"/>
        </w:rPr>
      </w:pPr>
      <w:r>
        <w:rPr>
          <w:rFonts w:hint="eastAsia" w:ascii="宋体" w:hAnsi="宋体" w:eastAsia="宋体" w:cs="宋体"/>
          <w:color w:val="auto"/>
          <w:highlight w:val="none"/>
        </w:rPr>
        <w:t>（13）无重大违法记录声明</w:t>
      </w:r>
    </w:p>
    <w:p w14:paraId="6359FCA4">
      <w:pPr>
        <w:bidi w:val="0"/>
        <w:rPr>
          <w:rFonts w:hint="eastAsia" w:ascii="宋体" w:hAnsi="宋体" w:eastAsia="宋体" w:cs="宋体"/>
          <w:color w:val="auto"/>
          <w:highlight w:val="none"/>
        </w:rPr>
      </w:pPr>
      <w:r>
        <w:rPr>
          <w:rFonts w:hint="eastAsia" w:ascii="宋体" w:hAnsi="宋体" w:eastAsia="宋体" w:cs="宋体"/>
          <w:color w:val="auto"/>
          <w:highlight w:val="none"/>
        </w:rPr>
        <w:t>（14）类似业绩证明材料</w:t>
      </w:r>
    </w:p>
    <w:p w14:paraId="2661812D">
      <w:pPr>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）服务能力与方案</w:t>
      </w:r>
    </w:p>
    <w:p w14:paraId="339B5CD3">
      <w:pPr>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）最终报价表</w:t>
      </w:r>
    </w:p>
    <w:p w14:paraId="7F87D34D">
      <w:pPr>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供应商认为有必要说明的其他方面事项</w:t>
      </w:r>
    </w:p>
    <w:p w14:paraId="62DFA603">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8</w:t>
      </w:r>
      <w:r>
        <w:rPr>
          <w:rFonts w:hint="eastAsia" w:ascii="宋体" w:hAnsi="宋体" w:eastAsia="宋体" w:cs="宋体"/>
          <w:color w:val="auto"/>
          <w:highlight w:val="none"/>
        </w:rPr>
        <w:t>）享受政府采购政策优惠的证明资料</w:t>
      </w:r>
    </w:p>
    <w:p w14:paraId="10CEC24D">
      <w:pPr>
        <w:bidi w:val="0"/>
        <w:rPr>
          <w:rFonts w:hint="eastAsia" w:ascii="宋体" w:hAnsi="宋体" w:eastAsia="宋体" w:cs="宋体"/>
          <w:color w:val="auto"/>
          <w:highlight w:val="none"/>
        </w:rPr>
      </w:pPr>
      <w:r>
        <w:rPr>
          <w:rFonts w:hint="eastAsia" w:ascii="宋体" w:hAnsi="宋体" w:eastAsia="宋体" w:cs="宋体"/>
          <w:color w:val="auto"/>
          <w:highlight w:val="none"/>
        </w:rPr>
        <w:t>注：磋商文件要求签字、盖章的地方必须由</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的法定代表人或委托代理人按要求签字、盖章；</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提供的扫描（或复印）件均需加盖公章。</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须按上述内容、顺序和格式编制磋商响应文件，并按要求编制目录、页码。</w:t>
      </w:r>
    </w:p>
    <w:p w14:paraId="411F6AD9">
      <w:pPr>
        <w:pStyle w:val="4"/>
        <w:numPr>
          <w:ilvl w:val="2"/>
          <w:numId w:val="0"/>
        </w:numPr>
        <w:bidi w:val="0"/>
        <w:ind w:left="0" w:leftChars="0" w:firstLine="400" w:firstLineChars="0"/>
        <w:rPr>
          <w:rFonts w:hint="eastAsia" w:ascii="宋体" w:hAnsi="宋体" w:eastAsia="宋体" w:cs="宋体"/>
          <w:color w:val="auto"/>
          <w:highlight w:val="none"/>
        </w:rPr>
      </w:pPr>
      <w:bookmarkStart w:id="46" w:name="_Toc412617729"/>
      <w:bookmarkStart w:id="47" w:name="_Toc31170"/>
      <w:bookmarkStart w:id="48" w:name="_Toc373392580"/>
      <w:r>
        <w:rPr>
          <w:rFonts w:hint="eastAsia" w:ascii="宋体" w:hAnsi="宋体" w:eastAsia="宋体" w:cs="宋体"/>
          <w:b/>
          <w:color w:val="auto"/>
          <w:kern w:val="2"/>
          <w:sz w:val="30"/>
          <w:szCs w:val="30"/>
          <w:highlight w:val="none"/>
          <w:lang w:val="en-US" w:eastAsia="zh-CN" w:bidi="ar-SA"/>
        </w:rPr>
        <w:t>11．</w:t>
      </w:r>
      <w:r>
        <w:rPr>
          <w:rFonts w:hint="eastAsia" w:ascii="宋体" w:hAnsi="宋体" w:eastAsia="宋体" w:cs="宋体"/>
          <w:color w:val="auto"/>
          <w:highlight w:val="none"/>
        </w:rPr>
        <w:t>磋商响应文件编印和签署</w:t>
      </w:r>
      <w:bookmarkEnd w:id="46"/>
      <w:bookmarkEnd w:id="47"/>
      <w:bookmarkEnd w:id="48"/>
    </w:p>
    <w:p w14:paraId="2D8E9D7D">
      <w:pPr>
        <w:bidi w:val="0"/>
        <w:rPr>
          <w:rFonts w:hint="eastAsia" w:ascii="宋体" w:hAnsi="宋体" w:eastAsia="宋体" w:cs="宋体"/>
          <w:color w:val="auto"/>
          <w:highlight w:val="none"/>
        </w:rPr>
      </w:pPr>
      <w:r>
        <w:rPr>
          <w:rFonts w:hint="eastAsia" w:ascii="宋体" w:hAnsi="宋体" w:eastAsia="宋体" w:cs="宋体"/>
          <w:color w:val="auto"/>
          <w:highlight w:val="none"/>
        </w:rPr>
        <w:t>11.1 磋商文件编制和签署：详见磋商须知前附表。</w:t>
      </w:r>
    </w:p>
    <w:p w14:paraId="67BD3FC4">
      <w:pPr>
        <w:bidi w:val="0"/>
        <w:rPr>
          <w:rFonts w:hint="eastAsia" w:ascii="宋体" w:hAnsi="宋体" w:eastAsia="宋体" w:cs="宋体"/>
          <w:color w:val="auto"/>
          <w:highlight w:val="none"/>
        </w:rPr>
      </w:pPr>
      <w:r>
        <w:rPr>
          <w:rFonts w:hint="eastAsia" w:ascii="宋体" w:hAnsi="宋体" w:eastAsia="宋体" w:cs="宋体"/>
          <w:color w:val="auto"/>
          <w:highlight w:val="none"/>
        </w:rPr>
        <w:t>11.2磋商供应商须在 “法定代表人授权书”中提供被授权人（委托代理人）准确的联系方式（手机或固定电话）。</w:t>
      </w:r>
    </w:p>
    <w:p w14:paraId="5A907D8D">
      <w:pPr>
        <w:bidi w:val="0"/>
        <w:rPr>
          <w:rFonts w:hint="eastAsia" w:ascii="宋体" w:hAnsi="宋体" w:eastAsia="宋体" w:cs="宋体"/>
          <w:color w:val="auto"/>
          <w:highlight w:val="none"/>
        </w:rPr>
      </w:pPr>
      <w:r>
        <w:rPr>
          <w:rFonts w:hint="eastAsia" w:ascii="宋体" w:hAnsi="宋体" w:eastAsia="宋体" w:cs="宋体"/>
          <w:color w:val="auto"/>
          <w:highlight w:val="none"/>
        </w:rPr>
        <w:t>11.3</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必须按照磋商文件的要求编制</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响应文件必须对磋商文件提出的要求和条件作出明确响应。</w:t>
      </w:r>
    </w:p>
    <w:p w14:paraId="07E38B48">
      <w:pPr>
        <w:bidi w:val="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响应文件中所提供资料的真实性负责，若有虚假，将依法承担相应责任。</w:t>
      </w:r>
    </w:p>
    <w:p w14:paraId="6C26ABA8">
      <w:pPr>
        <w:bidi w:val="0"/>
        <w:rPr>
          <w:rFonts w:hint="eastAsia" w:ascii="宋体" w:hAnsi="宋体" w:eastAsia="宋体" w:cs="宋体"/>
          <w:color w:val="auto"/>
          <w:highlight w:val="none"/>
        </w:rPr>
      </w:pPr>
      <w:r>
        <w:rPr>
          <w:rFonts w:hint="eastAsia" w:ascii="宋体" w:hAnsi="宋体" w:eastAsia="宋体" w:cs="宋体"/>
          <w:color w:val="auto"/>
          <w:highlight w:val="none"/>
        </w:rPr>
        <w:t>11.5因</w:t>
      </w:r>
      <w:r>
        <w:rPr>
          <w:rFonts w:hint="eastAsia" w:ascii="宋体" w:hAnsi="宋体" w:eastAsia="宋体" w:cs="宋体"/>
          <w:color w:val="auto"/>
          <w:highlight w:val="none"/>
          <w:lang w:val="en-US" w:eastAsia="zh-CN"/>
        </w:rPr>
        <w:t>供应商磋商</w:t>
      </w:r>
      <w:r>
        <w:rPr>
          <w:rFonts w:hint="eastAsia" w:ascii="宋体" w:hAnsi="宋体" w:eastAsia="宋体" w:cs="宋体"/>
          <w:color w:val="auto"/>
          <w:highlight w:val="none"/>
        </w:rPr>
        <w:t>响应文件填报的内容不详，或没有提供磋商文件中所要求的全部资料及数据等，由此产生的后果及责任由</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自行承担。</w:t>
      </w:r>
    </w:p>
    <w:p w14:paraId="4CC6E8A7">
      <w:pPr>
        <w:pStyle w:val="5"/>
        <w:bidi w:val="0"/>
        <w:rPr>
          <w:rFonts w:hint="eastAsia" w:ascii="宋体" w:hAnsi="宋体" w:eastAsia="宋体" w:cs="宋体"/>
          <w:color w:val="auto"/>
          <w:highlight w:val="none"/>
        </w:rPr>
      </w:pPr>
      <w:bookmarkStart w:id="49" w:name="_Toc412617730"/>
      <w:bookmarkStart w:id="50" w:name="_Toc15367"/>
      <w:bookmarkStart w:id="51" w:name="_Toc371090029"/>
      <w:bookmarkStart w:id="52" w:name="_Toc376936748"/>
      <w:r>
        <w:rPr>
          <w:rFonts w:hint="eastAsia" w:ascii="宋体" w:hAnsi="宋体" w:eastAsia="宋体" w:cs="宋体"/>
          <w:color w:val="auto"/>
          <w:highlight w:val="none"/>
        </w:rPr>
        <w:t>四、磋商响应文件的递交</w:t>
      </w:r>
      <w:bookmarkEnd w:id="49"/>
      <w:bookmarkEnd w:id="50"/>
    </w:p>
    <w:p w14:paraId="26336336">
      <w:pPr>
        <w:pStyle w:val="4"/>
        <w:numPr>
          <w:ilvl w:val="2"/>
          <w:numId w:val="0"/>
        </w:numPr>
        <w:bidi w:val="0"/>
        <w:ind w:left="0" w:leftChars="0" w:firstLine="400" w:firstLineChars="0"/>
        <w:rPr>
          <w:rFonts w:hint="eastAsia" w:ascii="宋体" w:hAnsi="宋体" w:eastAsia="宋体" w:cs="宋体"/>
          <w:color w:val="auto"/>
          <w:highlight w:val="none"/>
        </w:rPr>
      </w:pPr>
      <w:bookmarkStart w:id="53" w:name="_Toc5867"/>
      <w:bookmarkStart w:id="54" w:name="_Toc412617731"/>
      <w:bookmarkStart w:id="55" w:name="_Toc325726016"/>
      <w:bookmarkStart w:id="56" w:name="_Toc373392582"/>
      <w:r>
        <w:rPr>
          <w:rFonts w:hint="eastAsia" w:ascii="宋体" w:hAnsi="宋体" w:eastAsia="宋体" w:cs="宋体"/>
          <w:b/>
          <w:color w:val="auto"/>
          <w:kern w:val="2"/>
          <w:sz w:val="30"/>
          <w:szCs w:val="30"/>
          <w:highlight w:val="none"/>
          <w:lang w:val="en-US" w:eastAsia="zh-CN" w:bidi="ar-SA"/>
        </w:rPr>
        <w:t>12．</w:t>
      </w:r>
      <w:r>
        <w:rPr>
          <w:rFonts w:hint="eastAsia" w:ascii="宋体" w:hAnsi="宋体" w:eastAsia="宋体" w:cs="宋体"/>
          <w:color w:val="auto"/>
          <w:highlight w:val="none"/>
        </w:rPr>
        <w:t>磋商响应文件的密封和标记</w:t>
      </w:r>
      <w:bookmarkEnd w:id="53"/>
      <w:bookmarkEnd w:id="54"/>
      <w:bookmarkEnd w:id="55"/>
      <w:bookmarkEnd w:id="56"/>
    </w:p>
    <w:p w14:paraId="001C91D2">
      <w:pPr>
        <w:bidi w:val="0"/>
        <w:rPr>
          <w:rFonts w:hint="eastAsia" w:ascii="宋体" w:hAnsi="宋体" w:eastAsia="宋体" w:cs="宋体"/>
          <w:color w:val="auto"/>
          <w:highlight w:val="none"/>
        </w:rPr>
      </w:pPr>
      <w:r>
        <w:rPr>
          <w:rFonts w:hint="eastAsia" w:ascii="宋体" w:hAnsi="宋体" w:eastAsia="宋体" w:cs="宋体"/>
          <w:color w:val="auto"/>
          <w:highlight w:val="none"/>
        </w:rPr>
        <w:t>12.1 磋商响应文件的密封和标记：本次采用政采云平台线上上传磋商响应文件。</w:t>
      </w:r>
    </w:p>
    <w:bookmarkEnd w:id="51"/>
    <w:bookmarkEnd w:id="52"/>
    <w:p w14:paraId="1F1E5E27">
      <w:pPr>
        <w:pStyle w:val="4"/>
        <w:numPr>
          <w:ilvl w:val="2"/>
          <w:numId w:val="0"/>
        </w:numPr>
        <w:bidi w:val="0"/>
        <w:ind w:left="0" w:leftChars="0" w:firstLine="400" w:firstLineChars="0"/>
        <w:rPr>
          <w:rFonts w:hint="eastAsia" w:ascii="宋体" w:hAnsi="宋体" w:eastAsia="宋体" w:cs="宋体"/>
          <w:color w:val="auto"/>
          <w:highlight w:val="none"/>
        </w:rPr>
      </w:pPr>
      <w:bookmarkStart w:id="57" w:name="_Toc412617732"/>
      <w:bookmarkStart w:id="58" w:name="_Toc27607"/>
      <w:bookmarkStart w:id="59" w:name="_Toc373392583"/>
      <w:bookmarkStart w:id="60" w:name="_Toc325726017"/>
      <w:bookmarkStart w:id="61" w:name="_Toc371090030"/>
      <w:bookmarkStart w:id="62" w:name="_Toc376936749"/>
      <w:r>
        <w:rPr>
          <w:rFonts w:hint="eastAsia" w:ascii="宋体" w:hAnsi="宋体" w:eastAsia="宋体" w:cs="宋体"/>
          <w:b/>
          <w:color w:val="auto"/>
          <w:kern w:val="2"/>
          <w:sz w:val="30"/>
          <w:szCs w:val="30"/>
          <w:highlight w:val="none"/>
          <w:lang w:val="en-US" w:eastAsia="zh-CN" w:bidi="ar-SA"/>
        </w:rPr>
        <w:t>13．</w:t>
      </w:r>
      <w:r>
        <w:rPr>
          <w:rFonts w:hint="eastAsia" w:ascii="宋体" w:hAnsi="宋体" w:eastAsia="宋体" w:cs="宋体"/>
          <w:color w:val="auto"/>
          <w:highlight w:val="none"/>
        </w:rPr>
        <w:t>递送磋商响应文件的地点、截止日期</w:t>
      </w:r>
      <w:bookmarkEnd w:id="57"/>
      <w:bookmarkEnd w:id="58"/>
      <w:bookmarkEnd w:id="59"/>
      <w:bookmarkEnd w:id="60"/>
    </w:p>
    <w:p w14:paraId="2DC5E2A6">
      <w:pPr>
        <w:bidi w:val="0"/>
        <w:rPr>
          <w:rFonts w:hint="eastAsia" w:ascii="宋体" w:hAnsi="宋体" w:eastAsia="宋体" w:cs="宋体"/>
          <w:color w:val="auto"/>
          <w:highlight w:val="none"/>
        </w:rPr>
      </w:pPr>
      <w:r>
        <w:rPr>
          <w:rFonts w:hint="eastAsia" w:ascii="宋体" w:hAnsi="宋体" w:eastAsia="宋体" w:cs="宋体"/>
          <w:color w:val="auto"/>
          <w:highlight w:val="none"/>
        </w:rPr>
        <w:t>13.1磋商响应文件的递交地点与磋商地点相同。</w:t>
      </w:r>
    </w:p>
    <w:p w14:paraId="13C326A1">
      <w:pPr>
        <w:bidi w:val="0"/>
        <w:rPr>
          <w:rFonts w:hint="eastAsia" w:ascii="宋体" w:hAnsi="宋体" w:eastAsia="宋体" w:cs="宋体"/>
          <w:color w:val="auto"/>
          <w:highlight w:val="none"/>
        </w:rPr>
      </w:pPr>
      <w:r>
        <w:rPr>
          <w:rFonts w:hint="eastAsia" w:ascii="宋体" w:hAnsi="宋体" w:eastAsia="宋体" w:cs="宋体"/>
          <w:color w:val="auto"/>
          <w:highlight w:val="none"/>
        </w:rPr>
        <w:t>13.2所有磋商响应文件都必须按“磋商须知前附表”中规定的磋商截止时间之前上传至政采云平台。</w:t>
      </w:r>
    </w:p>
    <w:p w14:paraId="6A7DF39A">
      <w:pPr>
        <w:bidi w:val="0"/>
        <w:rPr>
          <w:rFonts w:hint="eastAsia" w:ascii="宋体" w:hAnsi="宋体" w:eastAsia="宋体" w:cs="宋体"/>
          <w:color w:val="auto"/>
          <w:highlight w:val="none"/>
        </w:rPr>
      </w:pPr>
      <w:r>
        <w:rPr>
          <w:rFonts w:hint="eastAsia" w:ascii="宋体" w:hAnsi="宋体" w:eastAsia="宋体" w:cs="宋体"/>
          <w:color w:val="auto"/>
          <w:highlight w:val="none"/>
        </w:rPr>
        <w:t>13.3采购代理机构将拒绝接受在磋商截止时间之后上传的磋商响应文件。</w:t>
      </w:r>
    </w:p>
    <w:p w14:paraId="5C47B8B5">
      <w:pPr>
        <w:pStyle w:val="4"/>
        <w:numPr>
          <w:ilvl w:val="2"/>
          <w:numId w:val="0"/>
        </w:numPr>
        <w:bidi w:val="0"/>
        <w:ind w:left="0" w:leftChars="0" w:firstLine="400" w:firstLineChars="0"/>
        <w:rPr>
          <w:rFonts w:hint="eastAsia" w:ascii="宋体" w:hAnsi="宋体" w:eastAsia="宋体" w:cs="宋体"/>
          <w:color w:val="auto"/>
          <w:highlight w:val="none"/>
        </w:rPr>
      </w:pPr>
      <w:bookmarkStart w:id="63" w:name="_Toc7228"/>
      <w:r>
        <w:rPr>
          <w:rFonts w:hint="eastAsia" w:ascii="宋体" w:hAnsi="宋体" w:eastAsia="宋体" w:cs="宋体"/>
          <w:b/>
          <w:color w:val="auto"/>
          <w:kern w:val="2"/>
          <w:sz w:val="30"/>
          <w:szCs w:val="30"/>
          <w:highlight w:val="none"/>
          <w:lang w:val="en-US" w:eastAsia="zh-CN" w:bidi="ar-SA"/>
        </w:rPr>
        <w:t>14．</w:t>
      </w:r>
      <w:r>
        <w:rPr>
          <w:rFonts w:hint="eastAsia" w:ascii="宋体" w:hAnsi="宋体" w:eastAsia="宋体" w:cs="宋体"/>
          <w:color w:val="auto"/>
          <w:highlight w:val="none"/>
        </w:rPr>
        <w:t>磋商响应文件的撤回</w:t>
      </w:r>
      <w:bookmarkEnd w:id="61"/>
      <w:bookmarkEnd w:id="62"/>
      <w:bookmarkEnd w:id="63"/>
    </w:p>
    <w:p w14:paraId="1476FEA3">
      <w:pPr>
        <w:bidi w:val="0"/>
        <w:rPr>
          <w:rFonts w:hint="eastAsia" w:ascii="宋体" w:hAnsi="宋体" w:eastAsia="宋体" w:cs="宋体"/>
          <w:color w:val="auto"/>
          <w:highlight w:val="none"/>
        </w:rPr>
      </w:pPr>
      <w:r>
        <w:rPr>
          <w:rFonts w:hint="eastAsia" w:ascii="宋体" w:hAnsi="宋体" w:eastAsia="宋体" w:cs="宋体"/>
          <w:color w:val="auto"/>
          <w:highlight w:val="none"/>
        </w:rPr>
        <w:t>允许</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在提交最后报价之前声明撤回磋商响应文件，但提交最后报价之后不得撤回其投标。</w:t>
      </w:r>
    </w:p>
    <w:p w14:paraId="3751BCD5">
      <w:pPr>
        <w:pStyle w:val="5"/>
        <w:bidi w:val="0"/>
        <w:rPr>
          <w:rFonts w:hint="eastAsia" w:ascii="宋体" w:hAnsi="宋体" w:eastAsia="宋体" w:cs="宋体"/>
          <w:color w:val="auto"/>
          <w:highlight w:val="none"/>
        </w:rPr>
      </w:pPr>
      <w:bookmarkStart w:id="64" w:name="_Toc376936750"/>
      <w:bookmarkStart w:id="65" w:name="_Toc325726019"/>
      <w:bookmarkStart w:id="66" w:name="_Toc7613"/>
      <w:r>
        <w:rPr>
          <w:rFonts w:hint="eastAsia" w:ascii="宋体" w:hAnsi="宋体" w:eastAsia="宋体" w:cs="宋体"/>
          <w:color w:val="auto"/>
          <w:highlight w:val="none"/>
        </w:rPr>
        <w:t>五、</w:t>
      </w:r>
      <w:bookmarkEnd w:id="64"/>
      <w:bookmarkEnd w:id="65"/>
      <w:r>
        <w:rPr>
          <w:rFonts w:hint="eastAsia" w:ascii="宋体" w:hAnsi="宋体" w:eastAsia="宋体" w:cs="宋体"/>
          <w:color w:val="auto"/>
          <w:highlight w:val="none"/>
        </w:rPr>
        <w:t>磋商过程</w:t>
      </w:r>
      <w:bookmarkEnd w:id="66"/>
    </w:p>
    <w:p w14:paraId="5E09E33C">
      <w:pPr>
        <w:pStyle w:val="4"/>
        <w:numPr>
          <w:ilvl w:val="2"/>
          <w:numId w:val="0"/>
        </w:numPr>
        <w:bidi w:val="0"/>
        <w:ind w:left="0" w:leftChars="0" w:firstLine="400" w:firstLineChars="0"/>
        <w:rPr>
          <w:rFonts w:hint="eastAsia" w:ascii="宋体" w:hAnsi="宋体" w:eastAsia="宋体" w:cs="宋体"/>
          <w:color w:val="auto"/>
          <w:highlight w:val="none"/>
        </w:rPr>
      </w:pPr>
      <w:bookmarkStart w:id="67" w:name="_Toc16535"/>
      <w:r>
        <w:rPr>
          <w:rFonts w:hint="eastAsia" w:ascii="宋体" w:hAnsi="宋体" w:eastAsia="宋体" w:cs="宋体"/>
          <w:b/>
          <w:color w:val="auto"/>
          <w:kern w:val="2"/>
          <w:sz w:val="30"/>
          <w:szCs w:val="30"/>
          <w:highlight w:val="none"/>
          <w:lang w:val="en-US" w:eastAsia="zh-CN" w:bidi="ar-SA"/>
        </w:rPr>
        <w:t>15．</w:t>
      </w:r>
      <w:r>
        <w:rPr>
          <w:rFonts w:hint="eastAsia" w:ascii="宋体" w:hAnsi="宋体" w:eastAsia="宋体" w:cs="宋体"/>
          <w:color w:val="auto"/>
          <w:highlight w:val="none"/>
        </w:rPr>
        <w:t>磋商过程</w:t>
      </w:r>
      <w:bookmarkEnd w:id="67"/>
    </w:p>
    <w:p w14:paraId="7B00FE9F">
      <w:pPr>
        <w:bidi w:val="0"/>
        <w:rPr>
          <w:rFonts w:hint="eastAsia" w:ascii="宋体" w:hAnsi="宋体" w:eastAsia="宋体" w:cs="宋体"/>
          <w:color w:val="auto"/>
          <w:highlight w:val="none"/>
        </w:rPr>
      </w:pPr>
      <w:r>
        <w:rPr>
          <w:rFonts w:hint="eastAsia" w:ascii="宋体" w:hAnsi="宋体" w:eastAsia="宋体" w:cs="宋体"/>
          <w:color w:val="auto"/>
          <w:highlight w:val="none"/>
        </w:rPr>
        <w:t>15.1采购代理机构按本磋商文件中确定的时间和地点组织本项目的磋商活动。</w:t>
      </w:r>
    </w:p>
    <w:p w14:paraId="49D4F3F5">
      <w:pPr>
        <w:bidi w:val="0"/>
        <w:rPr>
          <w:rFonts w:hint="eastAsia" w:ascii="宋体" w:hAnsi="宋体" w:eastAsia="宋体" w:cs="宋体"/>
          <w:color w:val="auto"/>
          <w:highlight w:val="none"/>
        </w:rPr>
      </w:pPr>
      <w:r>
        <w:rPr>
          <w:rFonts w:hint="eastAsia" w:ascii="宋体" w:hAnsi="宋体" w:eastAsia="宋体" w:cs="宋体"/>
          <w:color w:val="auto"/>
          <w:highlight w:val="none"/>
        </w:rPr>
        <w:t>15.2  磋商时，磋商响应文件中大写金额与小写金额不一致的，以大写金额为准；总价金额与按单价汇总金额不一致的，以单价汇总金额计算结果为准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单价金额小数点有明显错位的，以总价为准，并修改单价；对不同文字文本磋商响应文件的解释发生异议的，以中文文本为准。</w:t>
      </w:r>
    </w:p>
    <w:p w14:paraId="4DA35E05">
      <w:pPr>
        <w:bidi w:val="0"/>
        <w:rPr>
          <w:rFonts w:hint="eastAsia" w:ascii="宋体" w:hAnsi="宋体" w:eastAsia="宋体" w:cs="宋体"/>
          <w:color w:val="auto"/>
          <w:highlight w:val="none"/>
        </w:rPr>
      </w:pPr>
      <w:r>
        <w:rPr>
          <w:rFonts w:hint="eastAsia" w:ascii="宋体" w:hAnsi="宋体" w:eastAsia="宋体" w:cs="宋体"/>
          <w:color w:val="auto"/>
          <w:highlight w:val="none"/>
        </w:rPr>
        <w:t>15.3磋商工作由采购代理机构组织，采购人、采购监管、纪检监察等有关方面代表可根据采购项目的具体情况列席。</w:t>
      </w:r>
    </w:p>
    <w:p w14:paraId="7F9859D5">
      <w:pPr>
        <w:bidi w:val="0"/>
        <w:rPr>
          <w:rFonts w:hint="eastAsia" w:ascii="宋体" w:hAnsi="宋体" w:eastAsia="宋体" w:cs="宋体"/>
          <w:color w:val="auto"/>
          <w:highlight w:val="none"/>
        </w:rPr>
      </w:pPr>
      <w:r>
        <w:rPr>
          <w:rFonts w:hint="eastAsia" w:ascii="宋体" w:hAnsi="宋体" w:eastAsia="宋体" w:cs="宋体"/>
          <w:color w:val="auto"/>
          <w:highlight w:val="none"/>
        </w:rPr>
        <w:t>15.4磋商过程有专人记录，并存档备查。</w:t>
      </w:r>
      <w:bookmarkStart w:id="68" w:name="_Toc325726021"/>
      <w:bookmarkStart w:id="69" w:name="_Toc376936752"/>
    </w:p>
    <w:p w14:paraId="62EB2B19">
      <w:pPr>
        <w:bidi w:val="0"/>
        <w:rPr>
          <w:rFonts w:hint="eastAsia" w:ascii="宋体" w:hAnsi="宋体" w:eastAsia="宋体" w:cs="宋体"/>
          <w:color w:val="auto"/>
          <w:highlight w:val="none"/>
        </w:rPr>
      </w:pPr>
      <w:r>
        <w:rPr>
          <w:rFonts w:hint="eastAsia" w:ascii="宋体" w:hAnsi="宋体" w:eastAsia="宋体" w:cs="宋体"/>
          <w:color w:val="auto"/>
          <w:highlight w:val="none"/>
        </w:rPr>
        <w:t>15.5磋商报价不能超过磋商文件中规定的最高限价。</w:t>
      </w:r>
    </w:p>
    <w:p w14:paraId="5E9848D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15.6响应文件解密时间为30分钟，</w:t>
      </w:r>
      <w:r>
        <w:rPr>
          <w:rFonts w:hint="eastAsia" w:ascii="宋体" w:hAnsi="宋体" w:eastAsia="宋体" w:cs="宋体"/>
          <w:color w:val="auto"/>
          <w:highlight w:val="none"/>
        </w:rPr>
        <w:t>开</w:t>
      </w:r>
      <w:r>
        <w:rPr>
          <w:rFonts w:hint="eastAsia" w:ascii="宋体" w:hAnsi="宋体" w:eastAsia="宋体" w:cs="宋体"/>
          <w:color w:val="auto"/>
          <w:highlight w:val="none"/>
          <w:lang w:val="en-US" w:eastAsia="zh-CN"/>
        </w:rPr>
        <w:t>启</w:t>
      </w:r>
      <w:r>
        <w:rPr>
          <w:rFonts w:hint="eastAsia" w:ascii="宋体" w:hAnsi="宋体" w:eastAsia="宋体" w:cs="宋体"/>
          <w:color w:val="auto"/>
          <w:highlight w:val="none"/>
        </w:rPr>
        <w:t>后</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必须在规定的时间内解密文件，因</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原因未能按时完成解密、或上传的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文件损坏无法正常打开的，将会被视为无效投标。</w:t>
      </w:r>
    </w:p>
    <w:p w14:paraId="5B5EB62A">
      <w:pPr>
        <w:pStyle w:val="5"/>
        <w:bidi w:val="0"/>
        <w:rPr>
          <w:rFonts w:hint="eastAsia" w:ascii="宋体" w:hAnsi="宋体" w:eastAsia="宋体" w:cs="宋体"/>
          <w:color w:val="auto"/>
          <w:highlight w:val="none"/>
        </w:rPr>
      </w:pPr>
      <w:bookmarkStart w:id="70" w:name="_Toc932"/>
      <w:r>
        <w:rPr>
          <w:rFonts w:hint="eastAsia" w:ascii="宋体" w:hAnsi="宋体" w:eastAsia="宋体" w:cs="宋体"/>
          <w:color w:val="auto"/>
          <w:highlight w:val="none"/>
        </w:rPr>
        <w:t>六、磋商程序及方法</w:t>
      </w:r>
      <w:bookmarkEnd w:id="68"/>
      <w:bookmarkEnd w:id="69"/>
      <w:bookmarkEnd w:id="70"/>
    </w:p>
    <w:p w14:paraId="0B236F7B">
      <w:pPr>
        <w:pStyle w:val="4"/>
        <w:numPr>
          <w:ilvl w:val="2"/>
          <w:numId w:val="0"/>
        </w:numPr>
        <w:bidi w:val="0"/>
        <w:ind w:left="0" w:leftChars="0" w:firstLine="400" w:firstLineChars="0"/>
        <w:rPr>
          <w:rFonts w:hint="eastAsia" w:ascii="宋体" w:hAnsi="宋体" w:eastAsia="宋体" w:cs="宋体"/>
          <w:color w:val="auto"/>
          <w:highlight w:val="none"/>
        </w:rPr>
      </w:pPr>
      <w:bookmarkStart w:id="71" w:name="_Toc4768"/>
      <w:bookmarkStart w:id="72" w:name="_Toc376936753"/>
      <w:bookmarkStart w:id="73" w:name="_Toc325726022"/>
      <w:r>
        <w:rPr>
          <w:rFonts w:hint="eastAsia" w:ascii="宋体" w:hAnsi="宋体" w:eastAsia="宋体" w:cs="宋体"/>
          <w:b/>
          <w:color w:val="auto"/>
          <w:kern w:val="2"/>
          <w:sz w:val="30"/>
          <w:szCs w:val="30"/>
          <w:highlight w:val="none"/>
          <w:lang w:val="en-US" w:eastAsia="zh-CN" w:bidi="ar-SA"/>
        </w:rPr>
        <w:t>16．</w:t>
      </w:r>
      <w:r>
        <w:rPr>
          <w:rFonts w:hint="eastAsia" w:ascii="宋体" w:hAnsi="宋体" w:eastAsia="宋体" w:cs="宋体"/>
          <w:color w:val="auto"/>
          <w:highlight w:val="none"/>
        </w:rPr>
        <w:t>磋商小组</w:t>
      </w:r>
      <w:bookmarkEnd w:id="71"/>
      <w:bookmarkEnd w:id="72"/>
      <w:bookmarkEnd w:id="73"/>
    </w:p>
    <w:p w14:paraId="71443209">
      <w:pPr>
        <w:bidi w:val="0"/>
        <w:rPr>
          <w:rFonts w:hint="eastAsia" w:ascii="宋体" w:hAnsi="宋体" w:eastAsia="宋体" w:cs="宋体"/>
          <w:color w:val="auto"/>
          <w:highlight w:val="none"/>
        </w:rPr>
      </w:pPr>
      <w:r>
        <w:rPr>
          <w:rFonts w:hint="eastAsia" w:ascii="宋体" w:hAnsi="宋体" w:eastAsia="宋体" w:cs="宋体"/>
          <w:color w:val="auto"/>
          <w:highlight w:val="none"/>
        </w:rPr>
        <w:t>16.1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3A82E56E">
      <w:pPr>
        <w:bidi w:val="0"/>
        <w:rPr>
          <w:rFonts w:hint="eastAsia" w:ascii="宋体" w:hAnsi="宋体" w:eastAsia="宋体" w:cs="宋体"/>
          <w:color w:val="auto"/>
          <w:highlight w:val="none"/>
        </w:rPr>
      </w:pPr>
      <w:r>
        <w:rPr>
          <w:rFonts w:hint="eastAsia" w:ascii="宋体" w:hAnsi="宋体" w:eastAsia="宋体" w:cs="宋体"/>
          <w:color w:val="auto"/>
          <w:highlight w:val="none"/>
        </w:rPr>
        <w:t>16.2磋商由采购代理机构负责组织，具体磋商事务由依法组建的磋商小组负责，并独立履行下列职责：</w:t>
      </w:r>
    </w:p>
    <w:p w14:paraId="34567E19">
      <w:pPr>
        <w:bidi w:val="0"/>
        <w:rPr>
          <w:rFonts w:hint="eastAsia" w:ascii="宋体" w:hAnsi="宋体" w:eastAsia="宋体" w:cs="宋体"/>
          <w:color w:val="auto"/>
          <w:highlight w:val="none"/>
        </w:rPr>
      </w:pPr>
      <w:r>
        <w:rPr>
          <w:rFonts w:hint="eastAsia" w:ascii="宋体" w:hAnsi="宋体" w:eastAsia="宋体" w:cs="宋体"/>
          <w:color w:val="auto"/>
          <w:highlight w:val="none"/>
        </w:rPr>
        <w:t>（1）审查磋商响应文件是否符合磋商文件要求，并作出评价；</w:t>
      </w:r>
    </w:p>
    <w:p w14:paraId="1F78E3E0">
      <w:pPr>
        <w:bidi w:val="0"/>
        <w:rPr>
          <w:rFonts w:hint="eastAsia" w:ascii="宋体" w:hAnsi="宋体" w:eastAsia="宋体" w:cs="宋体"/>
          <w:color w:val="auto"/>
          <w:highlight w:val="none"/>
        </w:rPr>
      </w:pPr>
      <w:r>
        <w:rPr>
          <w:rFonts w:hint="eastAsia" w:ascii="宋体" w:hAnsi="宋体" w:eastAsia="宋体" w:cs="宋体"/>
          <w:color w:val="auto"/>
          <w:highlight w:val="none"/>
        </w:rPr>
        <w:t>（2）要求</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对磋商响应文件有关事项作出解释或澄清；</w:t>
      </w:r>
    </w:p>
    <w:p w14:paraId="5177DF9F">
      <w:pPr>
        <w:bidi w:val="0"/>
        <w:rPr>
          <w:rFonts w:hint="eastAsia" w:ascii="宋体" w:hAnsi="宋体" w:eastAsia="宋体" w:cs="宋体"/>
          <w:color w:val="auto"/>
          <w:highlight w:val="none"/>
        </w:rPr>
      </w:pPr>
      <w:r>
        <w:rPr>
          <w:rFonts w:hint="eastAsia" w:ascii="宋体" w:hAnsi="宋体" w:eastAsia="宋体" w:cs="宋体"/>
          <w:color w:val="auto"/>
          <w:highlight w:val="none"/>
        </w:rPr>
        <w:t>（3）推荐预成交候选供应商；</w:t>
      </w:r>
    </w:p>
    <w:p w14:paraId="4DF4A622">
      <w:pPr>
        <w:bidi w:val="0"/>
        <w:rPr>
          <w:rFonts w:hint="eastAsia" w:ascii="宋体" w:hAnsi="宋体" w:eastAsia="宋体" w:cs="宋体"/>
          <w:color w:val="auto"/>
          <w:highlight w:val="none"/>
        </w:rPr>
      </w:pPr>
      <w:r>
        <w:rPr>
          <w:rFonts w:hint="eastAsia" w:ascii="宋体" w:hAnsi="宋体" w:eastAsia="宋体" w:cs="宋体"/>
          <w:color w:val="auto"/>
          <w:highlight w:val="none"/>
        </w:rPr>
        <w:t>（4）对非法干预评标工作的人员和机构进行举报或投诉。</w:t>
      </w:r>
    </w:p>
    <w:p w14:paraId="526BA334">
      <w:pPr>
        <w:bidi w:val="0"/>
        <w:rPr>
          <w:rFonts w:hint="eastAsia" w:ascii="宋体" w:hAnsi="宋体" w:eastAsia="宋体" w:cs="宋体"/>
          <w:color w:val="auto"/>
          <w:highlight w:val="none"/>
        </w:rPr>
      </w:pPr>
      <w:r>
        <w:rPr>
          <w:rFonts w:hint="eastAsia" w:ascii="宋体" w:hAnsi="宋体" w:eastAsia="宋体" w:cs="宋体"/>
          <w:color w:val="auto"/>
          <w:highlight w:val="none"/>
        </w:rPr>
        <w:t>16.3磋商小组应遵守并履行下列义务：</w:t>
      </w:r>
    </w:p>
    <w:p w14:paraId="71BC2199">
      <w:pPr>
        <w:bidi w:val="0"/>
        <w:rPr>
          <w:rFonts w:hint="eastAsia" w:ascii="宋体" w:hAnsi="宋体" w:eastAsia="宋体" w:cs="宋体"/>
          <w:color w:val="auto"/>
          <w:highlight w:val="none"/>
        </w:rPr>
      </w:pPr>
      <w:r>
        <w:rPr>
          <w:rFonts w:hint="eastAsia" w:ascii="宋体" w:hAnsi="宋体" w:eastAsia="宋体" w:cs="宋体"/>
          <w:color w:val="auto"/>
          <w:highlight w:val="none"/>
        </w:rPr>
        <w:t>（1）遵纪守法，客观、公正、廉洁地履行职责；</w:t>
      </w:r>
    </w:p>
    <w:p w14:paraId="3681F792">
      <w:pPr>
        <w:bidi w:val="0"/>
        <w:rPr>
          <w:rFonts w:hint="eastAsia" w:ascii="宋体" w:hAnsi="宋体" w:eastAsia="宋体" w:cs="宋体"/>
          <w:color w:val="auto"/>
          <w:highlight w:val="none"/>
        </w:rPr>
      </w:pPr>
      <w:r>
        <w:rPr>
          <w:rFonts w:hint="eastAsia" w:ascii="宋体" w:hAnsi="宋体" w:eastAsia="宋体" w:cs="宋体"/>
          <w:color w:val="auto"/>
          <w:highlight w:val="none"/>
        </w:rPr>
        <w:t>（2）按照磋商文件规定的评审方法和评审标准进行评审，对评审意见承担磋商小组成员责任；</w:t>
      </w:r>
    </w:p>
    <w:p w14:paraId="7AF71694">
      <w:pPr>
        <w:bidi w:val="0"/>
        <w:rPr>
          <w:rFonts w:hint="eastAsia" w:ascii="宋体" w:hAnsi="宋体" w:eastAsia="宋体" w:cs="宋体"/>
          <w:color w:val="auto"/>
          <w:highlight w:val="none"/>
        </w:rPr>
      </w:pPr>
      <w:r>
        <w:rPr>
          <w:rFonts w:hint="eastAsia" w:ascii="宋体" w:hAnsi="宋体" w:eastAsia="宋体" w:cs="宋体"/>
          <w:color w:val="auto"/>
          <w:highlight w:val="none"/>
        </w:rPr>
        <w:t>（3）对磋商响应文件、磋商情况和磋商中获悉的商业秘密保密；</w:t>
      </w:r>
    </w:p>
    <w:p w14:paraId="1E24EA39">
      <w:pPr>
        <w:bidi w:val="0"/>
        <w:rPr>
          <w:rFonts w:hint="eastAsia" w:ascii="宋体" w:hAnsi="宋体" w:eastAsia="宋体" w:cs="宋体"/>
          <w:color w:val="auto"/>
          <w:highlight w:val="none"/>
        </w:rPr>
      </w:pPr>
      <w:r>
        <w:rPr>
          <w:rFonts w:hint="eastAsia" w:ascii="宋体" w:hAnsi="宋体" w:eastAsia="宋体" w:cs="宋体"/>
          <w:color w:val="auto"/>
          <w:highlight w:val="none"/>
        </w:rPr>
        <w:t>（4）参与磋商报告的起草；</w:t>
      </w:r>
    </w:p>
    <w:p w14:paraId="28D25968">
      <w:pPr>
        <w:bidi w:val="0"/>
        <w:rPr>
          <w:rFonts w:hint="eastAsia" w:ascii="宋体" w:hAnsi="宋体" w:eastAsia="宋体" w:cs="宋体"/>
          <w:color w:val="auto"/>
          <w:highlight w:val="none"/>
        </w:rPr>
      </w:pPr>
      <w:r>
        <w:rPr>
          <w:rFonts w:hint="eastAsia" w:ascii="宋体" w:hAnsi="宋体" w:eastAsia="宋体" w:cs="宋体"/>
          <w:color w:val="auto"/>
          <w:highlight w:val="none"/>
        </w:rPr>
        <w:t>（5）解答</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及有关方面的质疑；</w:t>
      </w:r>
    </w:p>
    <w:p w14:paraId="7D27F86F">
      <w:pPr>
        <w:bidi w:val="0"/>
        <w:rPr>
          <w:rFonts w:hint="eastAsia" w:ascii="宋体" w:hAnsi="宋体" w:eastAsia="宋体" w:cs="宋体"/>
          <w:color w:val="auto"/>
          <w:highlight w:val="none"/>
        </w:rPr>
      </w:pPr>
      <w:r>
        <w:rPr>
          <w:rFonts w:hint="eastAsia" w:ascii="宋体" w:hAnsi="宋体" w:eastAsia="宋体" w:cs="宋体"/>
          <w:color w:val="auto"/>
          <w:highlight w:val="none"/>
        </w:rPr>
        <w:t>（6）配合纪检部门进行投诉处理工作。</w:t>
      </w:r>
    </w:p>
    <w:p w14:paraId="062FF90E">
      <w:pPr>
        <w:bidi w:val="0"/>
        <w:rPr>
          <w:rFonts w:hint="eastAsia" w:ascii="宋体" w:hAnsi="宋体" w:eastAsia="宋体" w:cs="宋体"/>
          <w:color w:val="auto"/>
          <w:highlight w:val="none"/>
        </w:rPr>
      </w:pPr>
      <w:r>
        <w:rPr>
          <w:rFonts w:hint="eastAsia" w:ascii="宋体" w:hAnsi="宋体" w:eastAsia="宋体" w:cs="宋体"/>
          <w:color w:val="auto"/>
          <w:highlight w:val="none"/>
        </w:rPr>
        <w:t>16.4磋商小组所有成员应当集中与单一供应商分别进行磋商，并给予所有参加磋商的供应商平等的磋商机会。</w:t>
      </w:r>
    </w:p>
    <w:p w14:paraId="245E0218">
      <w:pPr>
        <w:bidi w:val="0"/>
        <w:rPr>
          <w:rFonts w:hint="eastAsia" w:ascii="宋体" w:hAnsi="宋体" w:eastAsia="宋体" w:cs="宋体"/>
          <w:color w:val="auto"/>
          <w:highlight w:val="none"/>
        </w:rPr>
      </w:pPr>
      <w:r>
        <w:rPr>
          <w:rFonts w:hint="eastAsia" w:ascii="宋体" w:hAnsi="宋体" w:eastAsia="宋体" w:cs="宋体"/>
          <w:color w:val="auto"/>
          <w:highlight w:val="none"/>
        </w:rPr>
        <w:t>16.5磋商工作在有关部门的监督和严格保密的情况下依法开展，任何单位和个人不得非法干预、影响磋商工作和磋商结果。</w:t>
      </w:r>
    </w:p>
    <w:p w14:paraId="7656E4E7">
      <w:pPr>
        <w:pStyle w:val="4"/>
        <w:numPr>
          <w:ilvl w:val="2"/>
          <w:numId w:val="0"/>
        </w:numPr>
        <w:bidi w:val="0"/>
        <w:ind w:left="0" w:leftChars="0" w:firstLine="400" w:firstLineChars="0"/>
        <w:rPr>
          <w:rFonts w:hint="eastAsia" w:ascii="宋体" w:hAnsi="宋体" w:eastAsia="宋体" w:cs="宋体"/>
          <w:color w:val="auto"/>
          <w:highlight w:val="none"/>
        </w:rPr>
      </w:pPr>
      <w:bookmarkStart w:id="74" w:name="_Toc376936754"/>
      <w:bookmarkStart w:id="75" w:name="_Toc3190"/>
      <w:bookmarkStart w:id="76" w:name="_Toc325726023"/>
      <w:r>
        <w:rPr>
          <w:rFonts w:hint="eastAsia" w:ascii="宋体" w:hAnsi="宋体" w:eastAsia="宋体" w:cs="宋体"/>
          <w:b/>
          <w:color w:val="auto"/>
          <w:kern w:val="2"/>
          <w:sz w:val="30"/>
          <w:szCs w:val="30"/>
          <w:highlight w:val="none"/>
          <w:lang w:val="en-US" w:eastAsia="zh-CN" w:bidi="ar-SA"/>
        </w:rPr>
        <w:t>17．</w:t>
      </w:r>
      <w:r>
        <w:rPr>
          <w:rFonts w:hint="eastAsia" w:ascii="宋体" w:hAnsi="宋体" w:eastAsia="宋体" w:cs="宋体"/>
          <w:color w:val="auto"/>
          <w:highlight w:val="none"/>
        </w:rPr>
        <w:t>磋商程序</w:t>
      </w:r>
      <w:bookmarkEnd w:id="74"/>
      <w:bookmarkEnd w:id="75"/>
      <w:bookmarkEnd w:id="76"/>
    </w:p>
    <w:p w14:paraId="322DF7FB">
      <w:pPr>
        <w:bidi w:val="0"/>
        <w:rPr>
          <w:rFonts w:hint="eastAsia" w:ascii="宋体" w:hAnsi="宋体" w:eastAsia="宋体" w:cs="宋体"/>
          <w:color w:val="auto"/>
          <w:highlight w:val="none"/>
        </w:rPr>
      </w:pPr>
      <w:r>
        <w:rPr>
          <w:rFonts w:hint="eastAsia" w:ascii="宋体" w:hAnsi="宋体" w:eastAsia="宋体" w:cs="宋体"/>
          <w:color w:val="auto"/>
          <w:highlight w:val="none"/>
        </w:rPr>
        <w:t>17.1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3F996D1C">
      <w:pPr>
        <w:bidi w:val="0"/>
        <w:rPr>
          <w:rFonts w:hint="eastAsia" w:ascii="宋体" w:hAnsi="宋体" w:eastAsia="宋体" w:cs="宋体"/>
          <w:color w:val="auto"/>
          <w:highlight w:val="none"/>
        </w:rPr>
      </w:pPr>
      <w:r>
        <w:rPr>
          <w:rFonts w:hint="eastAsia" w:ascii="宋体" w:hAnsi="宋体" w:eastAsia="宋体" w:cs="宋体"/>
          <w:color w:val="auto"/>
          <w:highlight w:val="none"/>
        </w:rPr>
        <w:t>17.2初审阶段为资格性审查和符合性审查。磋商响应文件在响应磋商文件要求方面出现的偏离，分为实质性偏离和非实质性偏离。</w:t>
      </w:r>
    </w:p>
    <w:p w14:paraId="085B634E">
      <w:pPr>
        <w:bidi w:val="0"/>
        <w:rPr>
          <w:rFonts w:hint="eastAsia" w:ascii="宋体" w:hAnsi="宋体" w:eastAsia="宋体" w:cs="宋体"/>
          <w:color w:val="auto"/>
          <w:highlight w:val="none"/>
        </w:rPr>
      </w:pPr>
      <w:r>
        <w:rPr>
          <w:rFonts w:hint="eastAsia" w:ascii="宋体" w:hAnsi="宋体" w:eastAsia="宋体" w:cs="宋体"/>
          <w:color w:val="auto"/>
          <w:highlight w:val="none"/>
        </w:rPr>
        <w:t>17.2.1实质性偏离是指磋商响应文件未能实质性响应磋商文件的要求。以下情况属于实质性偏离，磋商响应文件有下列情况之一的，按无效响应处理。</w:t>
      </w:r>
    </w:p>
    <w:p w14:paraId="02BAE0F8">
      <w:pPr>
        <w:bidi w:val="0"/>
        <w:rPr>
          <w:rFonts w:hint="eastAsia" w:ascii="宋体" w:hAnsi="宋体" w:eastAsia="宋体" w:cs="宋体"/>
          <w:color w:val="auto"/>
          <w:highlight w:val="none"/>
        </w:rPr>
      </w:pPr>
      <w:r>
        <w:rPr>
          <w:rFonts w:hint="eastAsia" w:ascii="宋体" w:hAnsi="宋体" w:eastAsia="宋体" w:cs="宋体"/>
          <w:color w:val="auto"/>
          <w:highlight w:val="none"/>
        </w:rPr>
        <w:t>（1）不符合第</w:t>
      </w:r>
      <w:r>
        <w:rPr>
          <w:rFonts w:hint="eastAsia" w:ascii="宋体" w:hAnsi="宋体" w:eastAsia="宋体" w:cs="宋体"/>
          <w:color w:val="auto"/>
          <w:highlight w:val="none"/>
          <w:lang w:val="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CN"/>
        </w:rPr>
        <w:t>2款“合格的磋商供应商”之规定的；</w:t>
      </w:r>
    </w:p>
    <w:p w14:paraId="4F8BEB0E">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（2）未按第10</w:t>
      </w:r>
      <w:r>
        <w:rPr>
          <w:rFonts w:hint="eastAsia" w:ascii="宋体" w:hAnsi="宋体" w:eastAsia="宋体" w:cs="宋体"/>
          <w:color w:val="auto"/>
          <w:highlight w:val="none"/>
        </w:rPr>
        <w:t>.</w:t>
      </w:r>
      <w:r>
        <w:rPr>
          <w:rFonts w:hint="eastAsia" w:ascii="宋体" w:hAnsi="宋体" w:eastAsia="宋体" w:cs="宋体"/>
          <w:color w:val="auto"/>
          <w:highlight w:val="none"/>
          <w:lang w:val="zh-CN"/>
        </w:rPr>
        <w:t>1款（1）-（</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zh-CN"/>
        </w:rPr>
        <w:t>）要求提供相关资料的；</w:t>
      </w:r>
    </w:p>
    <w:p w14:paraId="47E3E2EB">
      <w:pPr>
        <w:bidi w:val="0"/>
        <w:rPr>
          <w:rFonts w:hint="eastAsia" w:ascii="宋体" w:hAnsi="宋体" w:eastAsia="宋体" w:cs="宋体"/>
          <w:color w:val="auto"/>
          <w:highlight w:val="none"/>
        </w:rPr>
      </w:pPr>
      <w:r>
        <w:rPr>
          <w:rFonts w:hint="eastAsia" w:ascii="宋体" w:hAnsi="宋体" w:eastAsia="宋体" w:cs="宋体"/>
          <w:color w:val="auto"/>
          <w:highlight w:val="none"/>
        </w:rPr>
        <w:t>（3）磋商响应文件内容没有按磋商文件规定和要求签字、盖章的；</w:t>
      </w:r>
    </w:p>
    <w:p w14:paraId="6D54073F">
      <w:pPr>
        <w:bidi w:val="0"/>
        <w:rPr>
          <w:rFonts w:hint="eastAsia" w:ascii="宋体" w:hAnsi="宋体" w:eastAsia="宋体" w:cs="宋体"/>
          <w:color w:val="auto"/>
          <w:highlight w:val="none"/>
        </w:rPr>
      </w:pPr>
      <w:r>
        <w:rPr>
          <w:rFonts w:hint="eastAsia" w:ascii="宋体" w:hAnsi="宋体" w:eastAsia="宋体" w:cs="宋体"/>
          <w:color w:val="auto"/>
          <w:highlight w:val="none"/>
        </w:rPr>
        <w:t>（4）磋商响应文件编排混乱，且擅自修改磋商文件规定的格式内容的；</w:t>
      </w:r>
    </w:p>
    <w:p w14:paraId="4B576242">
      <w:pPr>
        <w:bidi w:val="0"/>
        <w:rPr>
          <w:rFonts w:hint="eastAsia" w:ascii="宋体" w:hAnsi="宋体" w:eastAsia="宋体" w:cs="宋体"/>
          <w:color w:val="auto"/>
          <w:highlight w:val="none"/>
        </w:rPr>
      </w:pPr>
      <w:r>
        <w:rPr>
          <w:rFonts w:hint="eastAsia" w:ascii="宋体" w:hAnsi="宋体" w:eastAsia="宋体" w:cs="宋体"/>
          <w:color w:val="auto"/>
          <w:highlight w:val="none"/>
        </w:rPr>
        <w:t>（5）项目服务期、磋商有效期、法定代表人授权期限不能满足磋商文件要求的；</w:t>
      </w:r>
    </w:p>
    <w:p w14:paraId="1062F98E">
      <w:pPr>
        <w:bidi w:val="0"/>
        <w:rPr>
          <w:rFonts w:hint="eastAsia" w:ascii="宋体" w:hAnsi="宋体" w:eastAsia="宋体" w:cs="宋体"/>
          <w:color w:val="auto"/>
          <w:highlight w:val="none"/>
        </w:rPr>
      </w:pPr>
      <w:r>
        <w:rPr>
          <w:rFonts w:hint="eastAsia" w:ascii="宋体" w:hAnsi="宋体" w:eastAsia="宋体" w:cs="宋体"/>
          <w:color w:val="auto"/>
          <w:highlight w:val="none"/>
        </w:rPr>
        <w:t>（6）磋商项目的服务内容、服务标准明显不符合采购项目要求的；</w:t>
      </w:r>
    </w:p>
    <w:p w14:paraId="24C22236">
      <w:pPr>
        <w:bidi w:val="0"/>
        <w:rPr>
          <w:rFonts w:hint="eastAsia" w:ascii="宋体" w:hAnsi="宋体" w:eastAsia="宋体" w:cs="宋体"/>
          <w:color w:val="auto"/>
          <w:highlight w:val="none"/>
        </w:rPr>
      </w:pPr>
      <w:r>
        <w:rPr>
          <w:rFonts w:hint="eastAsia" w:ascii="宋体" w:hAnsi="宋体" w:eastAsia="宋体" w:cs="宋体"/>
          <w:color w:val="auto"/>
          <w:highlight w:val="none"/>
        </w:rPr>
        <w:t>（7）磋商响应文件中附有采购人不能接受的条件的；</w:t>
      </w:r>
    </w:p>
    <w:p w14:paraId="1707D4AD">
      <w:pPr>
        <w:bidi w:val="0"/>
        <w:rPr>
          <w:rFonts w:hint="eastAsia" w:ascii="宋体" w:hAnsi="宋体" w:eastAsia="宋体" w:cs="宋体"/>
          <w:color w:val="auto"/>
          <w:highlight w:val="none"/>
        </w:rPr>
      </w:pPr>
      <w:r>
        <w:rPr>
          <w:rFonts w:hint="eastAsia" w:ascii="宋体" w:hAnsi="宋体" w:eastAsia="宋体" w:cs="宋体"/>
          <w:color w:val="auto"/>
          <w:highlight w:val="none"/>
        </w:rPr>
        <w:t>（8）磋商小组认为应按无效响应处理的其他情况；</w:t>
      </w:r>
    </w:p>
    <w:p w14:paraId="3872B608">
      <w:pPr>
        <w:bidi w:val="0"/>
        <w:rPr>
          <w:rFonts w:hint="eastAsia" w:ascii="宋体" w:hAnsi="宋体" w:eastAsia="宋体" w:cs="宋体"/>
          <w:color w:val="auto"/>
          <w:highlight w:val="none"/>
        </w:rPr>
      </w:pPr>
      <w:r>
        <w:rPr>
          <w:rFonts w:hint="eastAsia" w:ascii="宋体" w:hAnsi="宋体" w:eastAsia="宋体" w:cs="宋体"/>
          <w:color w:val="auto"/>
          <w:highlight w:val="none"/>
        </w:rPr>
        <w:t>（9）法律、法规规定的其他情形。</w:t>
      </w:r>
    </w:p>
    <w:p w14:paraId="545F1671">
      <w:pPr>
        <w:bidi w:val="0"/>
        <w:rPr>
          <w:rFonts w:hint="eastAsia" w:ascii="宋体" w:hAnsi="宋体" w:eastAsia="宋体" w:cs="宋体"/>
          <w:color w:val="auto"/>
          <w:highlight w:val="none"/>
        </w:rPr>
      </w:pPr>
      <w:r>
        <w:rPr>
          <w:rFonts w:hint="eastAsia" w:ascii="宋体" w:hAnsi="宋体" w:eastAsia="宋体" w:cs="宋体"/>
          <w:color w:val="auto"/>
          <w:highlight w:val="none"/>
        </w:rPr>
        <w:t>17.2.2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45411E52">
      <w:pPr>
        <w:bidi w:val="0"/>
        <w:rPr>
          <w:rFonts w:hint="eastAsia" w:ascii="宋体" w:hAnsi="宋体" w:eastAsia="宋体" w:cs="宋体"/>
          <w:color w:val="auto"/>
          <w:highlight w:val="none"/>
        </w:rPr>
      </w:pPr>
      <w:r>
        <w:rPr>
          <w:rFonts w:hint="eastAsia" w:ascii="宋体" w:hAnsi="宋体" w:eastAsia="宋体" w:cs="宋体"/>
          <w:color w:val="auto"/>
          <w:highlight w:val="none"/>
        </w:rPr>
        <w:t>（1）磋商响应文件文字表述的内容含义不明确；</w:t>
      </w:r>
    </w:p>
    <w:p w14:paraId="3E67D87A">
      <w:pPr>
        <w:bidi w:val="0"/>
        <w:rPr>
          <w:rFonts w:hint="eastAsia" w:ascii="宋体" w:hAnsi="宋体" w:eastAsia="宋体" w:cs="宋体"/>
          <w:color w:val="auto"/>
          <w:highlight w:val="none"/>
        </w:rPr>
      </w:pPr>
      <w:r>
        <w:rPr>
          <w:rFonts w:hint="eastAsia" w:ascii="宋体" w:hAnsi="宋体" w:eastAsia="宋体" w:cs="宋体"/>
          <w:color w:val="auto"/>
          <w:highlight w:val="none"/>
        </w:rPr>
        <w:t>（2）同类问题表述不一致；</w:t>
      </w:r>
    </w:p>
    <w:p w14:paraId="11CB3754">
      <w:pPr>
        <w:bidi w:val="0"/>
        <w:rPr>
          <w:rFonts w:hint="eastAsia" w:ascii="宋体" w:hAnsi="宋体" w:eastAsia="宋体" w:cs="宋体"/>
          <w:color w:val="auto"/>
          <w:highlight w:val="none"/>
        </w:rPr>
      </w:pPr>
      <w:r>
        <w:rPr>
          <w:rFonts w:hint="eastAsia" w:ascii="宋体" w:hAnsi="宋体" w:eastAsia="宋体" w:cs="宋体"/>
          <w:color w:val="auto"/>
          <w:highlight w:val="none"/>
        </w:rPr>
        <w:t>（3）有明显文字和计算错误；</w:t>
      </w:r>
    </w:p>
    <w:p w14:paraId="78ADFFD9">
      <w:pPr>
        <w:bidi w:val="0"/>
        <w:rPr>
          <w:rFonts w:hint="eastAsia" w:ascii="宋体" w:hAnsi="宋体" w:eastAsia="宋体" w:cs="宋体"/>
          <w:color w:val="auto"/>
          <w:highlight w:val="none"/>
        </w:rPr>
      </w:pPr>
      <w:r>
        <w:rPr>
          <w:rFonts w:hint="eastAsia" w:ascii="宋体" w:hAnsi="宋体" w:eastAsia="宋体" w:cs="宋体"/>
          <w:color w:val="auto"/>
          <w:highlight w:val="none"/>
        </w:rPr>
        <w:t>（4）提供的技术信息和数据资料不完整；</w:t>
      </w:r>
    </w:p>
    <w:p w14:paraId="6B912FDC">
      <w:pPr>
        <w:bidi w:val="0"/>
        <w:rPr>
          <w:rFonts w:hint="eastAsia" w:ascii="宋体" w:hAnsi="宋体" w:eastAsia="宋体" w:cs="宋体"/>
          <w:color w:val="auto"/>
          <w:highlight w:val="none"/>
        </w:rPr>
      </w:pPr>
      <w:r>
        <w:rPr>
          <w:rFonts w:hint="eastAsia" w:ascii="宋体" w:hAnsi="宋体" w:eastAsia="宋体" w:cs="宋体"/>
          <w:color w:val="auto"/>
          <w:highlight w:val="none"/>
        </w:rPr>
        <w:t>（5）磋商小组认定的其他非实质性偏离情况。</w:t>
      </w:r>
    </w:p>
    <w:p w14:paraId="278D754B">
      <w:pPr>
        <w:bidi w:val="0"/>
        <w:rPr>
          <w:rFonts w:hint="eastAsia" w:ascii="宋体" w:hAnsi="宋体" w:eastAsia="宋体" w:cs="宋体"/>
          <w:color w:val="auto"/>
          <w:highlight w:val="none"/>
        </w:rPr>
      </w:pPr>
      <w:r>
        <w:rPr>
          <w:rFonts w:hint="eastAsia" w:ascii="宋体" w:hAnsi="宋体" w:eastAsia="宋体" w:cs="宋体"/>
          <w:color w:val="auto"/>
          <w:highlight w:val="none"/>
        </w:rPr>
        <w:t>磋商响应文件有上述情形之一的，磋商小组应当要求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规定的时间内予以澄清、说明。澄清说明材料由供应商法定代表人或委托代理人在规定的时间上传至指定地点等候答疑，并对评委提出的质疑做出应答（如不在线则视为自动放弃）。该内容不得超出磋商响应文件的范围或者改变磋商响应文件的实质性内容，并作为磋商响应文件的组成部分。答疑期间，</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拒绝或在规定的时间内未做出澄清、说明，或澄清、说明的内容仍不能说明问题的，磋商小组将按照磋商文件的要求对现有的磋商资料做出评审意见。磋商小组对</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主动提出的澄清、说明的内容将不予接受。</w:t>
      </w:r>
    </w:p>
    <w:p w14:paraId="45E5B017">
      <w:pPr>
        <w:bidi w:val="0"/>
        <w:rPr>
          <w:rFonts w:hint="eastAsia" w:ascii="宋体" w:hAnsi="宋体" w:eastAsia="宋体" w:cs="宋体"/>
          <w:color w:val="auto"/>
          <w:highlight w:val="none"/>
        </w:rPr>
      </w:pPr>
      <w:r>
        <w:rPr>
          <w:rFonts w:hint="eastAsia" w:ascii="宋体" w:hAnsi="宋体" w:eastAsia="宋体" w:cs="宋体"/>
          <w:color w:val="auto"/>
          <w:highlight w:val="none"/>
        </w:rPr>
        <w:t>17.2.3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6B59F8C2">
      <w:pPr>
        <w:bidi w:val="0"/>
        <w:rPr>
          <w:rFonts w:hint="eastAsia" w:ascii="宋体" w:hAnsi="宋体" w:eastAsia="宋体" w:cs="宋体"/>
          <w:color w:val="auto"/>
          <w:highlight w:val="none"/>
        </w:rPr>
      </w:pPr>
      <w:r>
        <w:rPr>
          <w:rFonts w:hint="eastAsia" w:ascii="宋体" w:hAnsi="宋体" w:eastAsia="宋体" w:cs="宋体"/>
          <w:color w:val="auto"/>
          <w:highlight w:val="none"/>
        </w:rPr>
        <w:t>17.3 在磋商过程中，磋商小组可以根据磋商文件和磋商情况实质性变动采购</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5F5527BA">
      <w:pPr>
        <w:bidi w:val="0"/>
        <w:rPr>
          <w:rFonts w:hint="eastAsia" w:ascii="宋体" w:hAnsi="宋体" w:eastAsia="宋体" w:cs="宋体"/>
          <w:color w:val="auto"/>
          <w:highlight w:val="none"/>
        </w:rPr>
      </w:pPr>
      <w:r>
        <w:rPr>
          <w:rFonts w:hint="eastAsia" w:ascii="宋体" w:hAnsi="宋体" w:eastAsia="宋体" w:cs="宋体"/>
          <w:color w:val="auto"/>
          <w:highlight w:val="none"/>
        </w:rPr>
        <w:t>17.4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由低到高顺序排列；得分相同且最后报价相同的，按服务能力与方案得分由高到低顺序排列。</w:t>
      </w:r>
    </w:p>
    <w:p w14:paraId="71BA6E4D">
      <w:pPr>
        <w:autoSpaceDE w:val="0"/>
        <w:autoSpaceDN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17.5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F91F668">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政府采购评审中出现下列情形之一的，评审委员会应当启动异常低价投标（响应）审查程序：</w:t>
      </w:r>
    </w:p>
    <w:p w14:paraId="5F03663F">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1.投标（响应）报价低于全部通过符合性审查供应商投标（响应）报价平均值50%的，即投标（响应）报价&lt;全部通过符合性审查供应商投标（响应）报价平均值×50%；</w:t>
      </w:r>
    </w:p>
    <w:p w14:paraId="13B08E7B">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2.投标（响应）报价低于通过符合性审查的次低报价供应商投标（响应）报价50%的，即投标（响应）报价&lt;通过符合性审查的次低报价供应商投标（响应）报价×50%；</w:t>
      </w:r>
    </w:p>
    <w:p w14:paraId="376D59EE">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3.投标（响应）报价低于采购项目最高限价45%的，即投标（响应）报价&lt;采购项目最高限价×45%；</w:t>
      </w:r>
    </w:p>
    <w:p w14:paraId="3D0ABF51">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4.评审委员会基于专业判断，认为供应商报价过低，有可能影响产品质量或者不能诚信履约的其他情形。</w:t>
      </w:r>
    </w:p>
    <w:p w14:paraId="2FE0C849">
      <w:pPr>
        <w:autoSpaceDE w:val="0"/>
        <w:autoSpaceDN w:val="0"/>
        <w:spacing w:line="360" w:lineRule="auto"/>
        <w:ind w:firstLine="480" w:firstLineChars="20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相关法律法规对供应商报价有规定的，从其规定。</w:t>
      </w:r>
    </w:p>
    <w:p w14:paraId="24F1030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color w:val="auto"/>
          <w:highlight w:val="none"/>
          <w:shd w:val="clear" w:color="auto" w:fill="FFFFFF"/>
          <w:lang w:eastAsia="zh-CN"/>
        </w:rPr>
      </w:pPr>
      <w:r>
        <w:rPr>
          <w:rFonts w:hint="eastAsia" w:ascii="宋体" w:hAnsi="宋体" w:cs="宋体"/>
          <w:color w:val="auto"/>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color w:val="auto"/>
          <w:highlight w:val="none"/>
          <w:shd w:val="clear" w:color="auto" w:fill="FFFFFF"/>
          <w:lang w:eastAsia="zh-CN"/>
        </w:rPr>
        <w:t>。</w:t>
      </w:r>
    </w:p>
    <w:p w14:paraId="738537D9">
      <w:pPr>
        <w:bidi w:val="0"/>
        <w:rPr>
          <w:rFonts w:hint="eastAsia" w:ascii="宋体" w:hAnsi="宋体" w:eastAsia="宋体" w:cs="宋体"/>
          <w:color w:val="auto"/>
          <w:highlight w:val="none"/>
        </w:rPr>
      </w:pPr>
      <w:r>
        <w:rPr>
          <w:rFonts w:hint="eastAsia" w:ascii="宋体" w:hAnsi="宋体" w:cs="宋体"/>
          <w:color w:val="auto"/>
          <w:highlight w:val="none"/>
          <w:shd w:val="clear" w:color="auto"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AAB5A18">
      <w:pPr>
        <w:pStyle w:val="4"/>
        <w:numPr>
          <w:ilvl w:val="2"/>
          <w:numId w:val="0"/>
        </w:numPr>
        <w:bidi w:val="0"/>
        <w:ind w:left="0" w:leftChars="0" w:firstLine="400" w:firstLineChars="0"/>
        <w:rPr>
          <w:rFonts w:hint="eastAsia" w:ascii="宋体" w:hAnsi="宋体" w:eastAsia="宋体" w:cs="宋体"/>
          <w:color w:val="auto"/>
          <w:highlight w:val="none"/>
        </w:rPr>
      </w:pPr>
      <w:bookmarkStart w:id="77" w:name="_Toc376936755"/>
      <w:bookmarkStart w:id="78" w:name="_Toc23815"/>
      <w:bookmarkStart w:id="79" w:name="_Toc325726024"/>
      <w:r>
        <w:rPr>
          <w:rFonts w:hint="eastAsia" w:ascii="宋体" w:hAnsi="宋体" w:eastAsia="宋体" w:cs="宋体"/>
          <w:b/>
          <w:color w:val="auto"/>
          <w:kern w:val="2"/>
          <w:sz w:val="30"/>
          <w:szCs w:val="30"/>
          <w:highlight w:val="none"/>
          <w:lang w:val="en-US" w:eastAsia="zh-CN" w:bidi="ar-SA"/>
        </w:rPr>
        <w:t>18．</w:t>
      </w:r>
      <w:r>
        <w:rPr>
          <w:rFonts w:hint="eastAsia" w:ascii="宋体" w:hAnsi="宋体" w:eastAsia="宋体" w:cs="宋体"/>
          <w:color w:val="auto"/>
          <w:highlight w:val="none"/>
        </w:rPr>
        <w:t>评审办法</w:t>
      </w:r>
      <w:bookmarkEnd w:id="77"/>
      <w:bookmarkEnd w:id="78"/>
      <w:bookmarkEnd w:id="79"/>
    </w:p>
    <w:p w14:paraId="374C4890">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18.1</w:t>
      </w:r>
      <w:r>
        <w:rPr>
          <w:rFonts w:hint="eastAsia" w:ascii="宋体" w:hAnsi="宋体" w:eastAsia="宋体" w:cs="宋体"/>
          <w:color w:val="auto"/>
          <w:highlight w:val="none"/>
          <w:lang w:val="zh-CN"/>
        </w:rPr>
        <w:t>本次综合评分的主要因素是：</w:t>
      </w:r>
      <w:r>
        <w:rPr>
          <w:rFonts w:hint="eastAsia" w:ascii="宋体" w:hAnsi="宋体" w:cs="宋体"/>
          <w:b/>
          <w:bCs/>
          <w:color w:val="auto"/>
          <w:highlight w:val="none"/>
          <w:lang w:val="en-US" w:eastAsia="zh-CN"/>
        </w:rPr>
        <w:t>价格部分</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技术部分</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商务部分</w:t>
      </w:r>
      <w:r>
        <w:rPr>
          <w:rFonts w:hint="eastAsia" w:ascii="宋体" w:hAnsi="宋体" w:eastAsia="宋体" w:cs="宋体"/>
          <w:color w:val="auto"/>
          <w:highlight w:val="none"/>
          <w:lang w:val="zh-CN"/>
        </w:rPr>
        <w:t>。评审过程中，在同等条件下，优先采购具有环境标志、节能、自主创新的产品。（注：环境标志产品是指由财政部、国家环境保护总局颁布的环境标志产品政府采购品目清单”中的有效期内的产品；节能产品是指由财政部、国家发展改革委颁布的“节能产品政府采购品目清单” 中的有效期内的产品。）</w:t>
      </w:r>
    </w:p>
    <w:p w14:paraId="6A0B000B">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根据《政府采购促进中小企业发展管理办法》，</w:t>
      </w:r>
      <w:r>
        <w:rPr>
          <w:rFonts w:hint="eastAsia" w:ascii="宋体" w:hAnsi="宋体" w:eastAsia="宋体" w:cs="宋体"/>
          <w:color w:val="auto"/>
          <w:highlight w:val="none"/>
        </w:rPr>
        <w:t>中小</w:t>
      </w:r>
      <w:r>
        <w:rPr>
          <w:rFonts w:hint="eastAsia" w:ascii="宋体" w:hAnsi="宋体" w:eastAsia="宋体" w:cs="宋体"/>
          <w:color w:val="auto"/>
          <w:highlight w:val="none"/>
          <w:lang w:val="zh-CN"/>
        </w:rPr>
        <w:t>企业</w:t>
      </w:r>
      <w:r>
        <w:rPr>
          <w:rFonts w:hint="eastAsia" w:ascii="宋体" w:hAnsi="宋体" w:eastAsia="宋体" w:cs="宋体"/>
          <w:color w:val="auto"/>
          <w:highlight w:val="none"/>
        </w:rPr>
        <w:t>承接</w:t>
      </w:r>
      <w:r>
        <w:rPr>
          <w:rFonts w:hint="eastAsia" w:ascii="宋体" w:hAnsi="宋体" w:eastAsia="宋体" w:cs="宋体"/>
          <w:color w:val="auto"/>
          <w:highlight w:val="none"/>
          <w:lang w:val="zh-CN"/>
        </w:rPr>
        <w:t>的服务，</w:t>
      </w:r>
      <w:r>
        <w:rPr>
          <w:rFonts w:hint="eastAsia" w:ascii="宋体" w:hAnsi="宋体" w:eastAsia="宋体" w:cs="宋体"/>
          <w:color w:val="auto"/>
          <w:highlight w:val="none"/>
        </w:rPr>
        <w:t>供应商须提</w:t>
      </w:r>
      <w:r>
        <w:rPr>
          <w:rFonts w:hint="eastAsia" w:ascii="宋体" w:hAnsi="宋体" w:eastAsia="宋体" w:cs="宋体"/>
          <w:color w:val="auto"/>
          <w:highlight w:val="none"/>
          <w:lang w:val="zh-CN"/>
        </w:rPr>
        <w:t>供《</w:t>
      </w:r>
      <w:r>
        <w:rPr>
          <w:rFonts w:hint="eastAsia" w:ascii="宋体" w:hAnsi="宋体" w:eastAsia="宋体" w:cs="宋体"/>
          <w:b/>
          <w:bCs/>
          <w:color w:val="auto"/>
          <w:highlight w:val="none"/>
          <w:lang w:val="zh-CN"/>
        </w:rPr>
        <w:t>中小企业声明函</w:t>
      </w:r>
      <w:r>
        <w:rPr>
          <w:rFonts w:hint="eastAsia" w:ascii="宋体" w:hAnsi="宋体" w:eastAsia="宋体" w:cs="宋体"/>
          <w:color w:val="auto"/>
          <w:highlight w:val="none"/>
          <w:lang w:val="zh-CN"/>
        </w:rPr>
        <w:t>》，并由供应商加盖公章，其划型标准严格按照国家工信部、国家统计局、国家发改委、财政部出台的《中小企业划型标准规定》（工信部联企业[2011]300号）执行。</w:t>
      </w:r>
      <w:r>
        <w:rPr>
          <w:rFonts w:hint="eastAsia" w:ascii="宋体" w:hAnsi="宋体" w:eastAsia="宋体" w:cs="宋体"/>
          <w:b/>
          <w:bCs/>
          <w:color w:val="auto"/>
          <w:highlight w:val="none"/>
          <w:lang w:val="zh-CN"/>
        </w:rPr>
        <w:t>磋商供应商提供的《中小企业声明函》资料必须真实，否则，按照有关规定予以处理。</w:t>
      </w:r>
    </w:p>
    <w:p w14:paraId="45482CEA">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财政部、民政部、中国残疾人联合会出台的《关于促进残疾人就业政府采购政策的通知》（财库[2017]141号），属残疾人福利性单位的，供应商须提供《残疾人福利性单位声明函》，并由供应商加盖公章，残疾人福利性单位视同小微企业，享受预留份额、评标中价格扣除等促进中小企业发展的政府采购政策。向残疾人福利性单位采购的金额，计入面向中小企业采购的统计数据。</w:t>
      </w:r>
      <w:r>
        <w:rPr>
          <w:rFonts w:hint="eastAsia" w:ascii="宋体" w:hAnsi="宋体" w:eastAsia="宋体" w:cs="宋体"/>
          <w:b/>
          <w:bCs/>
          <w:color w:val="auto"/>
          <w:highlight w:val="none"/>
          <w:lang w:val="zh-CN"/>
        </w:rPr>
        <w:t>供应商提供的《残疾人福利性单位声明函》资料必须真实，否则，按照有关规定予以处理。</w:t>
      </w:r>
    </w:p>
    <w:p w14:paraId="39CDC508">
      <w:pPr>
        <w:bidi w:val="0"/>
        <w:rPr>
          <w:rFonts w:hint="eastAsia" w:ascii="宋体" w:hAnsi="宋体" w:eastAsia="宋体" w:cs="宋体"/>
          <w:b/>
          <w:bCs/>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val="zh-CN"/>
        </w:rPr>
        <w:t>《财政部司法部关于政府采购支持监狱企业发展有关问题的通知》（财库[2014]68号）的相关规定，属于</w:t>
      </w:r>
      <w:r>
        <w:rPr>
          <w:rFonts w:hint="eastAsia" w:ascii="宋体" w:hAnsi="宋体" w:eastAsia="宋体" w:cs="宋体"/>
          <w:color w:val="auto"/>
          <w:highlight w:val="none"/>
        </w:rPr>
        <w:t>监狱企业</w:t>
      </w:r>
      <w:r>
        <w:rPr>
          <w:rFonts w:hint="eastAsia" w:ascii="宋体" w:hAnsi="宋体" w:eastAsia="宋体" w:cs="宋体"/>
          <w:color w:val="auto"/>
          <w:highlight w:val="none"/>
          <w:lang w:val="zh-CN"/>
        </w:rPr>
        <w:t>的，供应商须按要求出具属于监狱企业的证明文件。</w:t>
      </w:r>
      <w:r>
        <w:rPr>
          <w:rFonts w:hint="eastAsia" w:ascii="宋体" w:hAnsi="宋体" w:eastAsia="宋体" w:cs="宋体"/>
          <w:color w:val="auto"/>
          <w:highlight w:val="none"/>
        </w:rPr>
        <w:t>监狱企业视同小微企业，享受预留份额、评标中价格扣除等促进中小企业发展的政府采购政策。向监狱企业采购的金额，计入面向中小企业采购的统计数据。</w:t>
      </w:r>
      <w:r>
        <w:rPr>
          <w:rFonts w:hint="eastAsia" w:ascii="宋体" w:hAnsi="宋体" w:eastAsia="宋体" w:cs="宋体"/>
          <w:b/>
          <w:bCs/>
          <w:color w:val="auto"/>
          <w:highlight w:val="none"/>
        </w:rPr>
        <w:t>供应商提供的监狱企业证明文件资料必须真实，如有虚假，将依法承担相应责任。</w:t>
      </w:r>
    </w:p>
    <w:p w14:paraId="7B07D919">
      <w:pPr>
        <w:bidi w:val="0"/>
        <w:rPr>
          <w:rFonts w:hint="eastAsia" w:ascii="宋体" w:hAnsi="宋体" w:eastAsia="宋体" w:cs="宋体"/>
          <w:color w:val="auto"/>
          <w:highlight w:val="none"/>
        </w:rPr>
      </w:pPr>
      <w:r>
        <w:rPr>
          <w:rFonts w:hint="eastAsia" w:ascii="宋体" w:hAnsi="宋体" w:eastAsia="宋体" w:cs="宋体"/>
          <w:color w:val="auto"/>
          <w:highlight w:val="none"/>
        </w:rPr>
        <w:t>依照《中华人民共和国政府采购法》、《中华人民共和国政府采购法实施条例》、《关于加强政府采购货物和服务项目价格评审管理的通知》、《政府采购竞争性磋商采购方式管理暂行办法》</w:t>
      </w:r>
      <w:r>
        <w:rPr>
          <w:rFonts w:hint="eastAsia" w:ascii="宋体" w:hAnsi="宋体" w:cs="宋体"/>
          <w:color w:val="auto"/>
          <w:highlight w:val="none"/>
          <w:lang w:val="en-US" w:eastAsia="zh-CN"/>
        </w:rPr>
        <w:t>等</w:t>
      </w:r>
      <w:r>
        <w:rPr>
          <w:rFonts w:hint="eastAsia" w:ascii="宋体" w:hAnsi="宋体" w:eastAsia="宋体" w:cs="宋体"/>
          <w:color w:val="auto"/>
          <w:highlight w:val="none"/>
        </w:rPr>
        <w:t>规定，结合该项目的特点制定本评审办法。本次评审采用综合评分法，评审内容分为</w:t>
      </w:r>
      <w:r>
        <w:rPr>
          <w:rFonts w:hint="eastAsia" w:ascii="宋体" w:hAnsi="宋体" w:cs="宋体"/>
          <w:b/>
          <w:bCs/>
          <w:color w:val="auto"/>
          <w:highlight w:val="none"/>
          <w:lang w:val="en-US" w:eastAsia="zh-CN"/>
        </w:rPr>
        <w:t>价格部分</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技术部分</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商务部分</w:t>
      </w:r>
      <w:r>
        <w:rPr>
          <w:rFonts w:hint="eastAsia" w:ascii="宋体" w:hAnsi="宋体" w:eastAsia="宋体" w:cs="宋体"/>
          <w:color w:val="auto"/>
          <w:highlight w:val="none"/>
        </w:rPr>
        <w:t>三部分组成（满分100分）。</w:t>
      </w:r>
    </w:p>
    <w:p w14:paraId="7B498E1E">
      <w:pPr>
        <w:bidi w:val="0"/>
        <w:rPr>
          <w:rFonts w:hint="eastAsia" w:ascii="宋体" w:hAnsi="宋体" w:eastAsia="宋体" w:cs="宋体"/>
          <w:color w:val="auto"/>
          <w:highlight w:val="none"/>
        </w:rPr>
      </w:pPr>
      <w:r>
        <w:rPr>
          <w:rFonts w:hint="eastAsia" w:ascii="宋体" w:hAnsi="宋体" w:eastAsia="宋体" w:cs="宋体"/>
          <w:color w:val="auto"/>
          <w:highlight w:val="none"/>
        </w:rPr>
        <w:t>18.2评审标准和分值分配：</w:t>
      </w:r>
    </w:p>
    <w:p w14:paraId="3C7C51DE">
      <w:pPr>
        <w:bidi w:val="0"/>
        <w:rPr>
          <w:rFonts w:hint="eastAsia" w:ascii="宋体" w:hAnsi="宋体" w:eastAsia="宋体" w:cs="宋体"/>
          <w:color w:val="auto"/>
          <w:highlight w:val="none"/>
        </w:rPr>
      </w:pPr>
      <w:r>
        <w:rPr>
          <w:rFonts w:hint="eastAsia" w:ascii="宋体" w:hAnsi="宋体" w:eastAsia="宋体" w:cs="宋体"/>
          <w:color w:val="auto"/>
          <w:highlight w:val="none"/>
        </w:rPr>
        <w:t>评分细则：</w:t>
      </w:r>
      <w:bookmarkStart w:id="80" w:name="_Toc376936756"/>
      <w:bookmarkStart w:id="81" w:name="_Toc325726025"/>
    </w:p>
    <w:tbl>
      <w:tblPr>
        <w:tblStyle w:val="67"/>
        <w:tblW w:w="95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984"/>
        <w:gridCol w:w="966"/>
        <w:gridCol w:w="6583"/>
      </w:tblGrid>
      <w:tr w14:paraId="26817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5C5211E7">
            <w:pPr>
              <w:ind w:left="0" w:leftChars="0" w:firstLine="0" w:firstLineChars="0"/>
              <w:jc w:val="center"/>
              <w:rPr>
                <w:rFonts w:hint="default" w:ascii="宋体" w:hAnsi="Cambria" w:eastAsia="宋体" w:cs="宋体"/>
                <w:b/>
                <w:bCs/>
                <w:color w:val="auto"/>
                <w:kern w:val="0"/>
                <w:sz w:val="24"/>
                <w:szCs w:val="22"/>
                <w:highlight w:val="none"/>
                <w:lang w:val="zh-CN" w:eastAsia="zh-CN" w:bidi="ar-SA"/>
              </w:rPr>
            </w:pPr>
            <w:r>
              <w:rPr>
                <w:rFonts w:hint="eastAsia" w:ascii="宋体" w:hAnsi="Cambria" w:eastAsia="宋体" w:cs="宋体"/>
                <w:b/>
                <w:bCs/>
                <w:color w:val="auto"/>
                <w:kern w:val="0"/>
                <w:sz w:val="24"/>
                <w:szCs w:val="22"/>
                <w:highlight w:val="none"/>
                <w:lang w:val="zh-CN" w:eastAsia="zh-CN" w:bidi="ar-SA"/>
              </w:rPr>
              <w:t>评审内容</w:t>
            </w:r>
          </w:p>
        </w:tc>
        <w:tc>
          <w:tcPr>
            <w:tcW w:w="984" w:type="dxa"/>
            <w:tcBorders>
              <w:top w:val="single" w:color="auto" w:sz="4" w:space="0"/>
              <w:left w:val="single" w:color="auto" w:sz="4" w:space="0"/>
              <w:bottom w:val="single" w:color="auto" w:sz="4" w:space="0"/>
              <w:right w:val="single" w:color="auto" w:sz="4" w:space="0"/>
            </w:tcBorders>
            <w:vAlign w:val="center"/>
          </w:tcPr>
          <w:p w14:paraId="29B51C70">
            <w:pPr>
              <w:ind w:left="0" w:leftChars="0" w:firstLine="0" w:firstLineChars="0"/>
              <w:jc w:val="center"/>
              <w:rPr>
                <w:rFonts w:hint="default" w:ascii="宋体" w:hAnsi="Cambria" w:eastAsia="宋体" w:cs="宋体"/>
                <w:b/>
                <w:bCs/>
                <w:color w:val="auto"/>
                <w:kern w:val="0"/>
                <w:sz w:val="24"/>
                <w:szCs w:val="22"/>
                <w:highlight w:val="none"/>
                <w:lang w:val="zh-CN" w:eastAsia="zh-CN" w:bidi="ar-SA"/>
              </w:rPr>
            </w:pPr>
            <w:r>
              <w:rPr>
                <w:rFonts w:hint="eastAsia" w:ascii="宋体" w:hAnsi="Cambria" w:eastAsia="宋体" w:cs="宋体"/>
                <w:b/>
                <w:bCs/>
                <w:color w:val="auto"/>
                <w:kern w:val="0"/>
                <w:sz w:val="24"/>
                <w:szCs w:val="22"/>
                <w:highlight w:val="none"/>
                <w:lang w:val="zh-CN" w:eastAsia="zh-CN" w:bidi="ar-SA"/>
              </w:rPr>
              <w:t>评审项目</w:t>
            </w:r>
          </w:p>
        </w:tc>
        <w:tc>
          <w:tcPr>
            <w:tcW w:w="966" w:type="dxa"/>
            <w:tcBorders>
              <w:top w:val="single" w:color="auto" w:sz="4" w:space="0"/>
              <w:left w:val="nil"/>
              <w:bottom w:val="single" w:color="auto" w:sz="4" w:space="0"/>
              <w:right w:val="single" w:color="auto" w:sz="4" w:space="0"/>
            </w:tcBorders>
            <w:vAlign w:val="center"/>
          </w:tcPr>
          <w:p w14:paraId="00A9775C">
            <w:pPr>
              <w:ind w:left="0" w:leftChars="0" w:firstLine="0" w:firstLineChars="0"/>
              <w:jc w:val="center"/>
              <w:rPr>
                <w:rFonts w:hint="default" w:ascii="宋体" w:hAnsi="Cambria" w:eastAsia="宋体" w:cs="宋体"/>
                <w:b/>
                <w:bCs/>
                <w:color w:val="auto"/>
                <w:kern w:val="0"/>
                <w:sz w:val="24"/>
                <w:szCs w:val="22"/>
                <w:highlight w:val="none"/>
                <w:lang w:val="zh-CN" w:eastAsia="zh-CN" w:bidi="ar-SA"/>
              </w:rPr>
            </w:pPr>
            <w:r>
              <w:rPr>
                <w:rFonts w:hint="eastAsia" w:ascii="宋体" w:hAnsi="Cambria" w:eastAsia="宋体" w:cs="宋体"/>
                <w:b/>
                <w:bCs/>
                <w:color w:val="auto"/>
                <w:kern w:val="0"/>
                <w:sz w:val="24"/>
                <w:szCs w:val="22"/>
                <w:highlight w:val="none"/>
                <w:lang w:val="zh-CN" w:eastAsia="zh-CN" w:bidi="ar-SA"/>
              </w:rPr>
              <w:t>满分 分值</w:t>
            </w:r>
          </w:p>
        </w:tc>
        <w:tc>
          <w:tcPr>
            <w:tcW w:w="6583" w:type="dxa"/>
            <w:tcBorders>
              <w:top w:val="single" w:color="auto" w:sz="4" w:space="0"/>
              <w:left w:val="nil"/>
              <w:bottom w:val="single" w:color="auto" w:sz="4" w:space="0"/>
              <w:right w:val="single" w:color="auto" w:sz="4" w:space="0"/>
            </w:tcBorders>
            <w:vAlign w:val="center"/>
          </w:tcPr>
          <w:p w14:paraId="30704EB5">
            <w:pPr>
              <w:ind w:left="0" w:leftChars="0" w:firstLine="0" w:firstLineChars="0"/>
              <w:jc w:val="center"/>
              <w:rPr>
                <w:rFonts w:hint="default" w:ascii="宋体" w:hAnsi="Cambria" w:eastAsia="宋体" w:cs="宋体"/>
                <w:b/>
                <w:bCs/>
                <w:color w:val="auto"/>
                <w:kern w:val="0"/>
                <w:sz w:val="24"/>
                <w:szCs w:val="22"/>
                <w:highlight w:val="none"/>
                <w:lang w:val="zh-CN" w:eastAsia="zh-CN" w:bidi="ar-SA"/>
              </w:rPr>
            </w:pPr>
            <w:r>
              <w:rPr>
                <w:rFonts w:hint="eastAsia" w:ascii="宋体" w:hAnsi="Cambria" w:eastAsia="宋体" w:cs="宋体"/>
                <w:b/>
                <w:bCs/>
                <w:color w:val="auto"/>
                <w:kern w:val="0"/>
                <w:sz w:val="24"/>
                <w:szCs w:val="22"/>
                <w:highlight w:val="none"/>
                <w:lang w:val="zh-CN" w:eastAsia="zh-CN" w:bidi="ar-SA"/>
              </w:rPr>
              <w:t>评审标准</w:t>
            </w:r>
          </w:p>
        </w:tc>
      </w:tr>
      <w:tr w14:paraId="43117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1" w:hRule="atLeast"/>
          <w:jc w:val="center"/>
        </w:trPr>
        <w:tc>
          <w:tcPr>
            <w:tcW w:w="984" w:type="dxa"/>
            <w:tcBorders>
              <w:top w:val="single" w:color="auto" w:sz="4" w:space="0"/>
              <w:left w:val="single" w:color="auto" w:sz="4" w:space="0"/>
              <w:bottom w:val="single" w:color="auto" w:sz="4" w:space="0"/>
              <w:right w:val="single" w:color="auto" w:sz="4" w:space="0"/>
            </w:tcBorders>
            <w:vAlign w:val="center"/>
          </w:tcPr>
          <w:p w14:paraId="6350E6AC">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报价部分（10分）</w:t>
            </w:r>
          </w:p>
        </w:tc>
        <w:tc>
          <w:tcPr>
            <w:tcW w:w="984" w:type="dxa"/>
            <w:tcBorders>
              <w:top w:val="single" w:color="auto" w:sz="4" w:space="0"/>
              <w:left w:val="single" w:color="auto" w:sz="4" w:space="0"/>
              <w:bottom w:val="single" w:color="auto" w:sz="4" w:space="0"/>
              <w:right w:val="single" w:color="auto" w:sz="4" w:space="0"/>
            </w:tcBorders>
            <w:vAlign w:val="center"/>
          </w:tcPr>
          <w:p w14:paraId="5E70BB33">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报价分</w:t>
            </w:r>
          </w:p>
        </w:tc>
        <w:tc>
          <w:tcPr>
            <w:tcW w:w="966" w:type="dxa"/>
            <w:tcBorders>
              <w:top w:val="single" w:color="auto" w:sz="4" w:space="0"/>
              <w:left w:val="nil"/>
              <w:bottom w:val="single" w:color="auto" w:sz="4" w:space="0"/>
              <w:right w:val="single" w:color="auto" w:sz="4" w:space="0"/>
            </w:tcBorders>
            <w:vAlign w:val="center"/>
          </w:tcPr>
          <w:p w14:paraId="34CB333D">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10分</w:t>
            </w:r>
          </w:p>
        </w:tc>
        <w:tc>
          <w:tcPr>
            <w:tcW w:w="6583" w:type="dxa"/>
            <w:tcBorders>
              <w:top w:val="single" w:color="auto" w:sz="4" w:space="0"/>
              <w:left w:val="nil"/>
              <w:bottom w:val="single" w:color="auto" w:sz="4" w:space="0"/>
              <w:right w:val="single" w:color="auto" w:sz="4" w:space="0"/>
            </w:tcBorders>
            <w:vAlign w:val="center"/>
          </w:tcPr>
          <w:p w14:paraId="341D5338">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在所有的有效投标报价中，以最终最低投标报价为基准价，其价格分为满分。其他投标人的报价分统一按下列公式计算：投标报价得分=(评标基准价／投标报价)×价格权值（10%）×100（四舍五入后保留小数点后两位）。</w:t>
            </w:r>
          </w:p>
          <w:p w14:paraId="3C8841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color w:val="auto"/>
                <w:highlight w:val="none"/>
              </w:rPr>
            </w:pPr>
            <w:r>
              <w:rPr>
                <w:rFonts w:hint="eastAsia"/>
                <w:color w:val="auto"/>
                <w:highlight w:val="none"/>
              </w:rPr>
              <w:t>注：1.根据《政府采购促进中小企业发展管理办法》等相关规定，对由小型和微型企业、残疾人福利性单位、监狱企业承接的服务，价格给予10%的扣除，用扣除后的价格参与评标。</w:t>
            </w:r>
          </w:p>
          <w:p w14:paraId="363C3E5D">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color w:val="auto"/>
                <w:highlight w:val="none"/>
              </w:rPr>
              <w:t>残疾人福利性单位、监狱企业属于小型、微型企业的，不重复享受政策。</w:t>
            </w:r>
          </w:p>
        </w:tc>
      </w:tr>
      <w:tr w14:paraId="661AB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8" w:hRule="atLeast"/>
          <w:jc w:val="center"/>
        </w:trPr>
        <w:tc>
          <w:tcPr>
            <w:tcW w:w="984" w:type="dxa"/>
            <w:vMerge w:val="restart"/>
            <w:tcBorders>
              <w:top w:val="single" w:color="auto" w:sz="4" w:space="0"/>
              <w:left w:val="single" w:color="auto" w:sz="4" w:space="0"/>
              <w:right w:val="single" w:color="auto" w:sz="4" w:space="0"/>
            </w:tcBorders>
            <w:vAlign w:val="center"/>
          </w:tcPr>
          <w:p w14:paraId="5D94D330">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技术部分（64分）</w:t>
            </w:r>
          </w:p>
        </w:tc>
        <w:tc>
          <w:tcPr>
            <w:tcW w:w="984" w:type="dxa"/>
            <w:tcBorders>
              <w:top w:val="single" w:color="auto" w:sz="4" w:space="0"/>
              <w:left w:val="single" w:color="auto" w:sz="4" w:space="0"/>
              <w:bottom w:val="single" w:color="auto" w:sz="4" w:space="0"/>
              <w:right w:val="single" w:color="auto" w:sz="4" w:space="0"/>
            </w:tcBorders>
            <w:vAlign w:val="center"/>
          </w:tcPr>
          <w:p w14:paraId="04B8CA3E">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技术服务方案</w:t>
            </w:r>
          </w:p>
        </w:tc>
        <w:tc>
          <w:tcPr>
            <w:tcW w:w="966" w:type="dxa"/>
            <w:tcBorders>
              <w:top w:val="single" w:color="auto" w:sz="4" w:space="0"/>
              <w:left w:val="nil"/>
              <w:bottom w:val="single" w:color="auto" w:sz="4" w:space="0"/>
              <w:right w:val="single" w:color="auto" w:sz="4" w:space="0"/>
            </w:tcBorders>
            <w:vAlign w:val="center"/>
          </w:tcPr>
          <w:p w14:paraId="5D188B0E">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20分</w:t>
            </w:r>
          </w:p>
        </w:tc>
        <w:tc>
          <w:tcPr>
            <w:tcW w:w="6583" w:type="dxa"/>
            <w:tcBorders>
              <w:top w:val="single" w:color="auto" w:sz="4" w:space="0"/>
              <w:left w:val="nil"/>
              <w:bottom w:val="single" w:color="auto" w:sz="4" w:space="0"/>
              <w:right w:val="single" w:color="auto" w:sz="4" w:space="0"/>
            </w:tcBorders>
            <w:vAlign w:val="center"/>
          </w:tcPr>
          <w:p w14:paraId="57135BBF">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供应商根据采购需求提供技术服务方案，包含①对本项目的环境熟悉程度及服务理解程度②对本项目实施过程中的重难点分析③对本项目的专业性建议④按服务工作内容和要求制定的服务方案。</w:t>
            </w:r>
            <w:r>
              <w:rPr>
                <w:rFonts w:hint="eastAsia" w:ascii="宋体" w:hAnsi="宋体" w:eastAsia="宋体" w:cs="宋体"/>
                <w:sz w:val="24"/>
                <w:szCs w:val="24"/>
                <w:highlight w:val="none"/>
                <w:lang w:val="en-US" w:eastAsia="zh-CN"/>
              </w:rPr>
              <w:t>方案内容完全满足以上要求且专门针对本项目方案的得20分，每缺少一项内容扣5分，每有一项内容存在缺陷，或此项内容部分不能满足采购需求的扣3分，不提供不得分。</w:t>
            </w:r>
          </w:p>
          <w:p w14:paraId="3F959966">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6E684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984" w:type="dxa"/>
            <w:vMerge w:val="continue"/>
            <w:tcBorders>
              <w:left w:val="single" w:color="auto" w:sz="4" w:space="0"/>
              <w:right w:val="single" w:color="auto" w:sz="4" w:space="0"/>
            </w:tcBorders>
            <w:vAlign w:val="center"/>
          </w:tcPr>
          <w:p w14:paraId="4232B4C0">
            <w:pPr>
              <w:ind w:left="0" w:leftChars="0" w:firstLine="0" w:firstLineChars="0"/>
              <w:jc w:val="both"/>
              <w:rPr>
                <w:rFonts w:hint="eastAsia" w:ascii="宋体" w:hAnsi="Cambria" w:eastAsia="宋体" w:cs="宋体"/>
                <w:color w:val="auto"/>
                <w:kern w:val="0"/>
                <w:sz w:val="24"/>
                <w:szCs w:val="22"/>
                <w:highlight w:val="none"/>
                <w:lang w:val="zh-CN" w:eastAsia="zh-CN" w:bidi="ar-SA"/>
              </w:rPr>
            </w:pPr>
          </w:p>
        </w:tc>
        <w:tc>
          <w:tcPr>
            <w:tcW w:w="984" w:type="dxa"/>
            <w:tcBorders>
              <w:top w:val="single" w:color="auto" w:sz="4" w:space="0"/>
              <w:left w:val="single" w:color="auto" w:sz="4" w:space="0"/>
              <w:bottom w:val="single" w:color="auto" w:sz="4" w:space="0"/>
              <w:right w:val="single" w:color="auto" w:sz="4" w:space="0"/>
            </w:tcBorders>
            <w:vAlign w:val="center"/>
          </w:tcPr>
          <w:p w14:paraId="52888CB7">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巡检方案</w:t>
            </w:r>
          </w:p>
        </w:tc>
        <w:tc>
          <w:tcPr>
            <w:tcW w:w="966" w:type="dxa"/>
            <w:tcBorders>
              <w:top w:val="single" w:color="auto" w:sz="4" w:space="0"/>
              <w:left w:val="nil"/>
              <w:bottom w:val="nil"/>
              <w:right w:val="single" w:color="auto" w:sz="4" w:space="0"/>
            </w:tcBorders>
            <w:vAlign w:val="center"/>
          </w:tcPr>
          <w:p w14:paraId="6D06321C">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15分</w:t>
            </w:r>
          </w:p>
        </w:tc>
        <w:tc>
          <w:tcPr>
            <w:tcW w:w="6583" w:type="dxa"/>
            <w:tcBorders>
              <w:top w:val="single" w:color="auto" w:sz="4" w:space="0"/>
              <w:left w:val="nil"/>
              <w:bottom w:val="nil"/>
              <w:right w:val="single" w:color="auto" w:sz="4" w:space="0"/>
            </w:tcBorders>
            <w:vAlign w:val="center"/>
          </w:tcPr>
          <w:p w14:paraId="6C693184">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供应商根据采购需求提供巡检方案，包含①日常巡检方案②设备巡检方法③巡检要求④运行监控⑤巡检报告及健康检查报告。</w:t>
            </w:r>
            <w:r>
              <w:rPr>
                <w:rFonts w:hint="eastAsia" w:ascii="宋体" w:hAnsi="宋体" w:eastAsia="宋体" w:cs="宋体"/>
                <w:sz w:val="24"/>
                <w:szCs w:val="24"/>
                <w:highlight w:val="none"/>
                <w:lang w:val="en-US" w:eastAsia="zh-CN"/>
              </w:rPr>
              <w:t>方案内容完全满足以上要求且专门针对本项目方案的得15分，每缺少一项内容扣3分，每有一项内容存在缺陷，或此项内容部分不能满足采购需求的扣2分，不提供不得分。</w:t>
            </w:r>
          </w:p>
          <w:p w14:paraId="04BEE7B2">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14548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2" w:hRule="atLeast"/>
          <w:jc w:val="center"/>
        </w:trPr>
        <w:tc>
          <w:tcPr>
            <w:tcW w:w="984" w:type="dxa"/>
            <w:vMerge w:val="continue"/>
            <w:tcBorders>
              <w:left w:val="single" w:color="auto" w:sz="4" w:space="0"/>
              <w:right w:val="single" w:color="auto" w:sz="4" w:space="0"/>
            </w:tcBorders>
            <w:vAlign w:val="center"/>
          </w:tcPr>
          <w:p w14:paraId="17468C3F">
            <w:pPr>
              <w:ind w:left="0" w:leftChars="0" w:firstLine="0" w:firstLineChars="0"/>
              <w:jc w:val="both"/>
              <w:rPr>
                <w:rFonts w:hint="eastAsia" w:ascii="宋体" w:hAnsi="Cambria" w:eastAsia="宋体" w:cs="宋体"/>
                <w:color w:val="auto"/>
                <w:kern w:val="0"/>
                <w:sz w:val="24"/>
                <w:szCs w:val="22"/>
                <w:highlight w:val="none"/>
                <w:lang w:val="zh-CN" w:eastAsia="zh-CN" w:bidi="ar-SA"/>
              </w:rPr>
            </w:pPr>
          </w:p>
        </w:tc>
        <w:tc>
          <w:tcPr>
            <w:tcW w:w="984" w:type="dxa"/>
            <w:tcBorders>
              <w:top w:val="single" w:color="auto" w:sz="4" w:space="0"/>
              <w:left w:val="single" w:color="auto" w:sz="4" w:space="0"/>
              <w:bottom w:val="single" w:color="auto" w:sz="4" w:space="0"/>
              <w:right w:val="single" w:color="auto" w:sz="4" w:space="0"/>
            </w:tcBorders>
            <w:vAlign w:val="center"/>
          </w:tcPr>
          <w:p w14:paraId="19945F38">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应急故障处理方案</w:t>
            </w:r>
          </w:p>
        </w:tc>
        <w:tc>
          <w:tcPr>
            <w:tcW w:w="966" w:type="dxa"/>
            <w:tcBorders>
              <w:top w:val="single" w:color="auto" w:sz="4" w:space="0"/>
              <w:left w:val="nil"/>
              <w:bottom w:val="nil"/>
              <w:right w:val="single" w:color="auto" w:sz="4" w:space="0"/>
            </w:tcBorders>
            <w:vAlign w:val="center"/>
          </w:tcPr>
          <w:p w14:paraId="5BBFE90E">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15分</w:t>
            </w:r>
          </w:p>
        </w:tc>
        <w:tc>
          <w:tcPr>
            <w:tcW w:w="6583" w:type="dxa"/>
            <w:tcBorders>
              <w:top w:val="single" w:color="auto" w:sz="4" w:space="0"/>
              <w:left w:val="nil"/>
              <w:bottom w:val="nil"/>
              <w:right w:val="single" w:color="auto" w:sz="4" w:space="0"/>
            </w:tcBorders>
            <w:vAlign w:val="center"/>
          </w:tcPr>
          <w:p w14:paraId="72932159">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供应商提供应急故障处理方案，包含①应急保障方案②应急处理方案③应急处理工作流程④应急恢复策略及时效性⑤事后处理工作及故障处理方法。</w:t>
            </w:r>
            <w:r>
              <w:rPr>
                <w:rFonts w:hint="eastAsia" w:ascii="宋体" w:hAnsi="宋体" w:eastAsia="宋体" w:cs="宋体"/>
                <w:sz w:val="24"/>
                <w:szCs w:val="24"/>
                <w:highlight w:val="none"/>
                <w:lang w:val="en-US" w:eastAsia="zh-CN"/>
              </w:rPr>
              <w:t>方案内容完全满足以上要求且专门针对本项目方案的得15分，每缺少一项内容扣3分，每有一项内容存在缺陷，或此项内容部分不能满足采购需求的扣2分，不提供不得分。</w:t>
            </w:r>
          </w:p>
          <w:p w14:paraId="152DACB0">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3E37B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1" w:hRule="atLeast"/>
          <w:jc w:val="center"/>
        </w:trPr>
        <w:tc>
          <w:tcPr>
            <w:tcW w:w="984" w:type="dxa"/>
            <w:vMerge w:val="continue"/>
            <w:tcBorders>
              <w:left w:val="single" w:color="auto" w:sz="4" w:space="0"/>
              <w:right w:val="single" w:color="auto" w:sz="4" w:space="0"/>
            </w:tcBorders>
            <w:vAlign w:val="center"/>
          </w:tcPr>
          <w:p w14:paraId="0162ED79">
            <w:pPr>
              <w:ind w:left="0" w:leftChars="0" w:firstLine="0" w:firstLineChars="0"/>
              <w:jc w:val="both"/>
              <w:rPr>
                <w:rFonts w:hint="eastAsia" w:ascii="宋体" w:hAnsi="Cambria" w:eastAsia="宋体" w:cs="宋体"/>
                <w:color w:val="auto"/>
                <w:kern w:val="0"/>
                <w:sz w:val="24"/>
                <w:szCs w:val="22"/>
                <w:highlight w:val="none"/>
                <w:lang w:val="zh-CN" w:eastAsia="zh-CN" w:bidi="ar-SA"/>
              </w:rPr>
            </w:pPr>
          </w:p>
        </w:tc>
        <w:tc>
          <w:tcPr>
            <w:tcW w:w="984" w:type="dxa"/>
            <w:tcBorders>
              <w:top w:val="single" w:color="auto" w:sz="4" w:space="0"/>
              <w:left w:val="single" w:color="auto" w:sz="4" w:space="0"/>
              <w:bottom w:val="single" w:color="auto" w:sz="4" w:space="0"/>
              <w:right w:val="single" w:color="auto" w:sz="4" w:space="0"/>
            </w:tcBorders>
            <w:vAlign w:val="center"/>
          </w:tcPr>
          <w:p w14:paraId="5B27D4BF">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拟投入该项目的设备情况</w:t>
            </w:r>
          </w:p>
        </w:tc>
        <w:tc>
          <w:tcPr>
            <w:tcW w:w="966" w:type="dxa"/>
            <w:tcBorders>
              <w:top w:val="single" w:color="auto" w:sz="4" w:space="0"/>
              <w:left w:val="nil"/>
              <w:bottom w:val="nil"/>
              <w:right w:val="single" w:color="auto" w:sz="4" w:space="0"/>
            </w:tcBorders>
            <w:vAlign w:val="center"/>
          </w:tcPr>
          <w:p w14:paraId="681F66A1">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4分</w:t>
            </w:r>
          </w:p>
        </w:tc>
        <w:tc>
          <w:tcPr>
            <w:tcW w:w="6583" w:type="dxa"/>
            <w:tcBorders>
              <w:top w:val="single" w:color="auto" w:sz="4" w:space="0"/>
              <w:left w:val="nil"/>
              <w:bottom w:val="nil"/>
              <w:right w:val="single" w:color="auto" w:sz="4" w:space="0"/>
            </w:tcBorders>
          </w:tcPr>
          <w:p w14:paraId="66A60914">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供应商在满足磋商文件要求的基础上提供拟投入该项目的设备情况，包含①拟投入设备②设备先进性。</w:t>
            </w:r>
            <w:r>
              <w:rPr>
                <w:rFonts w:hint="eastAsia" w:ascii="宋体" w:hAnsi="宋体" w:eastAsia="宋体" w:cs="宋体"/>
                <w:sz w:val="24"/>
                <w:szCs w:val="24"/>
                <w:highlight w:val="none"/>
                <w:lang w:val="en-US" w:eastAsia="zh-CN"/>
              </w:rPr>
              <w:t>方案内容完全满足以上要求且专门针对本项目方案的得4分，每缺少一项内容扣2分，每有一项内容存在缺陷，或此项内容部分不能满足采购需求的扣1分，不提供不得分。</w:t>
            </w:r>
          </w:p>
          <w:p w14:paraId="1F80EFD2">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0AF8E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984" w:type="dxa"/>
            <w:vMerge w:val="continue"/>
            <w:tcBorders>
              <w:left w:val="single" w:color="auto" w:sz="4" w:space="0"/>
              <w:bottom w:val="single" w:color="auto" w:sz="4" w:space="0"/>
              <w:right w:val="single" w:color="auto" w:sz="4" w:space="0"/>
            </w:tcBorders>
            <w:vAlign w:val="center"/>
          </w:tcPr>
          <w:p w14:paraId="2F059BDF">
            <w:pPr>
              <w:ind w:left="0" w:leftChars="0" w:firstLine="0" w:firstLineChars="0"/>
              <w:jc w:val="both"/>
              <w:rPr>
                <w:rFonts w:hint="eastAsia" w:ascii="宋体" w:hAnsi="Cambria" w:eastAsia="宋体" w:cs="宋体"/>
                <w:color w:val="auto"/>
                <w:kern w:val="0"/>
                <w:sz w:val="24"/>
                <w:szCs w:val="22"/>
                <w:highlight w:val="none"/>
                <w:lang w:val="zh-CN" w:eastAsia="zh-CN" w:bidi="ar-SA"/>
              </w:rPr>
            </w:pPr>
          </w:p>
        </w:tc>
        <w:tc>
          <w:tcPr>
            <w:tcW w:w="984" w:type="dxa"/>
            <w:tcBorders>
              <w:top w:val="single" w:color="auto" w:sz="4" w:space="0"/>
              <w:left w:val="single" w:color="auto" w:sz="4" w:space="0"/>
              <w:bottom w:val="single" w:color="auto" w:sz="4" w:space="0"/>
              <w:right w:val="single" w:color="auto" w:sz="4" w:space="0"/>
            </w:tcBorders>
            <w:vAlign w:val="center"/>
          </w:tcPr>
          <w:p w14:paraId="7BC416A3">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维保相关管理制度</w:t>
            </w:r>
          </w:p>
        </w:tc>
        <w:tc>
          <w:tcPr>
            <w:tcW w:w="966" w:type="dxa"/>
            <w:tcBorders>
              <w:top w:val="single" w:color="auto" w:sz="4" w:space="0"/>
              <w:left w:val="nil"/>
              <w:bottom w:val="nil"/>
              <w:right w:val="single" w:color="auto" w:sz="4" w:space="0"/>
            </w:tcBorders>
            <w:vAlign w:val="center"/>
          </w:tcPr>
          <w:p w14:paraId="5442C48A">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10分</w:t>
            </w:r>
          </w:p>
        </w:tc>
        <w:tc>
          <w:tcPr>
            <w:tcW w:w="6583" w:type="dxa"/>
            <w:tcBorders>
              <w:top w:val="single" w:color="auto" w:sz="4" w:space="0"/>
              <w:left w:val="nil"/>
              <w:bottom w:val="nil"/>
              <w:right w:val="single" w:color="auto" w:sz="4" w:space="0"/>
            </w:tcBorders>
            <w:vAlign w:val="center"/>
          </w:tcPr>
          <w:p w14:paraId="25721481">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供应商提供维保相关管理制度，包含①维保制度②质量管理制度③安全操作规范④岗位职责制度⑤安全管理制度。</w:t>
            </w:r>
            <w:r>
              <w:rPr>
                <w:rFonts w:hint="eastAsia" w:ascii="宋体" w:hAnsi="宋体" w:eastAsia="宋体" w:cs="宋体"/>
                <w:sz w:val="24"/>
                <w:szCs w:val="24"/>
                <w:highlight w:val="none"/>
                <w:lang w:val="en-US" w:eastAsia="zh-CN"/>
              </w:rPr>
              <w:t>方案内容完全满足以上要求且专门针对本项目方案的得10分，每缺少一项内容扣2分，每有一项内容存在缺陷，或此项内容部分不能满足采购需求的扣1分，不提供不得分。</w:t>
            </w:r>
          </w:p>
          <w:p w14:paraId="063A67F6">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2A238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984" w:type="dxa"/>
            <w:vMerge w:val="restart"/>
            <w:tcBorders>
              <w:top w:val="single" w:color="auto" w:sz="4" w:space="0"/>
              <w:left w:val="single" w:color="auto" w:sz="4" w:space="0"/>
              <w:right w:val="single" w:color="auto" w:sz="4" w:space="0"/>
            </w:tcBorders>
            <w:vAlign w:val="center"/>
          </w:tcPr>
          <w:p w14:paraId="6B2462FB">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商务部分（26分）</w:t>
            </w:r>
          </w:p>
        </w:tc>
        <w:tc>
          <w:tcPr>
            <w:tcW w:w="984" w:type="dxa"/>
            <w:tcBorders>
              <w:top w:val="single" w:color="auto" w:sz="4" w:space="0"/>
              <w:left w:val="single" w:color="auto" w:sz="4" w:space="0"/>
              <w:bottom w:val="single" w:color="auto" w:sz="4" w:space="0"/>
              <w:right w:val="single" w:color="auto" w:sz="4" w:space="0"/>
            </w:tcBorders>
            <w:vAlign w:val="center"/>
          </w:tcPr>
          <w:p w14:paraId="0EC28B48">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人员配置</w:t>
            </w:r>
          </w:p>
        </w:tc>
        <w:tc>
          <w:tcPr>
            <w:tcW w:w="966" w:type="dxa"/>
            <w:tcBorders>
              <w:top w:val="single" w:color="auto" w:sz="4" w:space="0"/>
              <w:left w:val="nil"/>
              <w:bottom w:val="nil"/>
              <w:right w:val="single" w:color="auto" w:sz="4" w:space="0"/>
            </w:tcBorders>
            <w:vAlign w:val="center"/>
          </w:tcPr>
          <w:p w14:paraId="642A3DA6">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6分</w:t>
            </w:r>
          </w:p>
        </w:tc>
        <w:tc>
          <w:tcPr>
            <w:tcW w:w="6583" w:type="dxa"/>
            <w:tcBorders>
              <w:top w:val="single" w:color="auto" w:sz="4" w:space="0"/>
              <w:left w:val="nil"/>
              <w:bottom w:val="nil"/>
              <w:right w:val="single" w:color="auto" w:sz="4" w:space="0"/>
            </w:tcBorders>
            <w:vAlign w:val="center"/>
          </w:tcPr>
          <w:p w14:paraId="4616717A">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参与硬件服务的专业技术工程师不少于3人，包含一名</w:t>
            </w:r>
            <w:r>
              <w:rPr>
                <w:rFonts w:hint="eastAsia" w:ascii="宋体" w:hAnsi="Cambria" w:eastAsia="宋体" w:cs="宋体"/>
                <w:color w:val="auto"/>
                <w:kern w:val="0"/>
                <w:sz w:val="24"/>
                <w:szCs w:val="22"/>
                <w:highlight w:val="none"/>
                <w:lang w:val="en-US" w:eastAsia="zh-CN" w:bidi="ar-SA"/>
              </w:rPr>
              <w:t>H3CIE认证互联网络专家</w:t>
            </w:r>
            <w:r>
              <w:rPr>
                <w:rFonts w:hint="eastAsia" w:ascii="宋体" w:hAnsi="Cambria" w:eastAsia="宋体" w:cs="宋体"/>
                <w:color w:val="auto"/>
                <w:kern w:val="0"/>
                <w:sz w:val="24"/>
                <w:szCs w:val="22"/>
                <w:highlight w:val="none"/>
                <w:lang w:val="zh-CN" w:eastAsia="zh-CN" w:bidi="ar-SA"/>
              </w:rPr>
              <w:t>，一名VCP工程师，一名RHCE工程师，每提供一名得2分，满分6分。需提供专业技术工程师资格证书、劳动合同或相关证明材料（证明该人员为本单位人员）。</w:t>
            </w:r>
          </w:p>
        </w:tc>
      </w:tr>
      <w:tr w14:paraId="30163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6" w:hRule="atLeast"/>
          <w:jc w:val="center"/>
        </w:trPr>
        <w:tc>
          <w:tcPr>
            <w:tcW w:w="984" w:type="dxa"/>
            <w:vMerge w:val="continue"/>
            <w:tcBorders>
              <w:left w:val="single" w:color="auto" w:sz="4" w:space="0"/>
              <w:right w:val="single" w:color="auto" w:sz="4" w:space="0"/>
            </w:tcBorders>
            <w:vAlign w:val="center"/>
          </w:tcPr>
          <w:p w14:paraId="7D540606">
            <w:pPr>
              <w:ind w:left="0" w:leftChars="0" w:firstLine="0" w:firstLineChars="0"/>
              <w:jc w:val="both"/>
              <w:rPr>
                <w:rFonts w:hint="eastAsia" w:ascii="宋体" w:hAnsi="Cambria" w:eastAsia="宋体" w:cs="宋体"/>
                <w:color w:val="auto"/>
                <w:kern w:val="0"/>
                <w:sz w:val="24"/>
                <w:szCs w:val="22"/>
                <w:highlight w:val="none"/>
                <w:lang w:val="zh-CN" w:eastAsia="zh-CN" w:bidi="ar-SA"/>
              </w:rPr>
            </w:pPr>
          </w:p>
        </w:tc>
        <w:tc>
          <w:tcPr>
            <w:tcW w:w="984" w:type="dxa"/>
            <w:tcBorders>
              <w:top w:val="single" w:color="auto" w:sz="4" w:space="0"/>
              <w:left w:val="single" w:color="auto" w:sz="4" w:space="0"/>
              <w:bottom w:val="single" w:color="auto" w:sz="4" w:space="0"/>
              <w:right w:val="single" w:color="auto" w:sz="4" w:space="0"/>
            </w:tcBorders>
            <w:vAlign w:val="center"/>
          </w:tcPr>
          <w:p w14:paraId="02537B18">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服务能力</w:t>
            </w:r>
          </w:p>
        </w:tc>
        <w:tc>
          <w:tcPr>
            <w:tcW w:w="966" w:type="dxa"/>
            <w:tcBorders>
              <w:top w:val="single" w:color="auto" w:sz="4" w:space="0"/>
              <w:left w:val="nil"/>
              <w:bottom w:val="nil"/>
              <w:right w:val="single" w:color="auto" w:sz="4" w:space="0"/>
            </w:tcBorders>
            <w:vAlign w:val="center"/>
          </w:tcPr>
          <w:p w14:paraId="21C8A2B3">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8分</w:t>
            </w:r>
          </w:p>
        </w:tc>
        <w:tc>
          <w:tcPr>
            <w:tcW w:w="6583" w:type="dxa"/>
            <w:tcBorders>
              <w:top w:val="single" w:color="auto" w:sz="4" w:space="0"/>
              <w:left w:val="nil"/>
              <w:bottom w:val="nil"/>
              <w:right w:val="single" w:color="auto" w:sz="4" w:space="0"/>
            </w:tcBorders>
            <w:vAlign w:val="center"/>
          </w:tcPr>
          <w:p w14:paraId="64F14CF9">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供应商提供由国家版权局颁发的计算机软件著作权登记证书的，包括①计算机硬件设备维护保养系统类②网络安全运行环境监测系统类③大数据网络安全智能管理平台类④物联网计算机设备故障管理平台类，每提供1项得2分，满分8分；不提供不得分。</w:t>
            </w:r>
          </w:p>
        </w:tc>
      </w:tr>
      <w:tr w14:paraId="1DFAF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984" w:type="dxa"/>
            <w:vMerge w:val="continue"/>
            <w:tcBorders>
              <w:left w:val="single" w:color="auto" w:sz="4" w:space="0"/>
              <w:right w:val="single" w:color="auto" w:sz="4" w:space="0"/>
            </w:tcBorders>
            <w:vAlign w:val="center"/>
          </w:tcPr>
          <w:p w14:paraId="421729A3">
            <w:pPr>
              <w:ind w:left="0" w:leftChars="0" w:firstLine="0" w:firstLineChars="0"/>
              <w:jc w:val="both"/>
              <w:rPr>
                <w:rFonts w:hint="eastAsia" w:ascii="宋体" w:hAnsi="Cambria" w:eastAsia="宋体" w:cs="宋体"/>
                <w:color w:val="auto"/>
                <w:kern w:val="0"/>
                <w:sz w:val="24"/>
                <w:szCs w:val="22"/>
                <w:highlight w:val="none"/>
                <w:lang w:val="zh-CN" w:eastAsia="zh-CN" w:bidi="ar-SA"/>
              </w:rPr>
            </w:pPr>
          </w:p>
        </w:tc>
        <w:tc>
          <w:tcPr>
            <w:tcW w:w="984" w:type="dxa"/>
            <w:tcBorders>
              <w:top w:val="single" w:color="auto" w:sz="4" w:space="0"/>
              <w:left w:val="single" w:color="auto" w:sz="4" w:space="0"/>
              <w:bottom w:val="single" w:color="auto" w:sz="4" w:space="0"/>
              <w:right w:val="single" w:color="auto" w:sz="4" w:space="0"/>
            </w:tcBorders>
            <w:vAlign w:val="center"/>
          </w:tcPr>
          <w:p w14:paraId="3E7EA1C9">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类似业绩</w:t>
            </w:r>
          </w:p>
        </w:tc>
        <w:tc>
          <w:tcPr>
            <w:tcW w:w="966" w:type="dxa"/>
            <w:tcBorders>
              <w:top w:val="single" w:color="auto" w:sz="4" w:space="0"/>
              <w:left w:val="nil"/>
              <w:bottom w:val="nil"/>
              <w:right w:val="single" w:color="auto" w:sz="4" w:space="0"/>
            </w:tcBorders>
            <w:vAlign w:val="center"/>
          </w:tcPr>
          <w:p w14:paraId="1ACB45D9">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10分</w:t>
            </w:r>
          </w:p>
        </w:tc>
        <w:tc>
          <w:tcPr>
            <w:tcW w:w="6583" w:type="dxa"/>
            <w:tcBorders>
              <w:top w:val="single" w:color="auto" w:sz="4" w:space="0"/>
              <w:left w:val="nil"/>
              <w:bottom w:val="nil"/>
              <w:right w:val="single" w:color="auto" w:sz="4" w:space="0"/>
            </w:tcBorders>
            <w:vAlign w:val="center"/>
          </w:tcPr>
          <w:p w14:paraId="1019C4C3">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提供20</w:t>
            </w:r>
            <w:r>
              <w:rPr>
                <w:rFonts w:hint="eastAsia" w:ascii="宋体" w:hAnsi="Cambria" w:eastAsia="宋体" w:cs="宋体"/>
                <w:color w:val="auto"/>
                <w:kern w:val="0"/>
                <w:sz w:val="24"/>
                <w:szCs w:val="22"/>
                <w:highlight w:val="none"/>
                <w:lang w:val="en-US" w:eastAsia="zh-CN" w:bidi="ar-SA"/>
              </w:rPr>
              <w:t>23</w:t>
            </w:r>
            <w:r>
              <w:rPr>
                <w:rFonts w:hint="eastAsia" w:ascii="宋体" w:hAnsi="Cambria" w:eastAsia="宋体" w:cs="宋体"/>
                <w:color w:val="auto"/>
                <w:kern w:val="0"/>
                <w:sz w:val="24"/>
                <w:szCs w:val="22"/>
                <w:highlight w:val="none"/>
                <w:lang w:val="zh-CN" w:eastAsia="zh-CN" w:bidi="ar-SA"/>
              </w:rPr>
              <w:t>年1月1日以来（以合同签订时间为准）的类似业绩证明材料。每提供一项有效证明材料得2分，最高分为10分；不提供不得分。（需提供包含合同首页、合同内容及金额所在页、签字盖章页的扫描或复印件）。</w:t>
            </w:r>
          </w:p>
        </w:tc>
      </w:tr>
      <w:tr w14:paraId="6D71F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4" w:type="dxa"/>
            <w:vMerge w:val="continue"/>
            <w:tcBorders>
              <w:left w:val="single" w:color="auto" w:sz="4" w:space="0"/>
              <w:bottom w:val="single" w:color="auto" w:sz="4" w:space="0"/>
              <w:right w:val="single" w:color="auto" w:sz="4" w:space="0"/>
            </w:tcBorders>
            <w:vAlign w:val="center"/>
          </w:tcPr>
          <w:p w14:paraId="34D56A56">
            <w:pPr>
              <w:ind w:left="0" w:leftChars="0" w:firstLine="0" w:firstLineChars="0"/>
              <w:jc w:val="both"/>
              <w:rPr>
                <w:rFonts w:hint="eastAsia" w:ascii="宋体" w:hAnsi="Cambria" w:eastAsia="宋体" w:cs="宋体"/>
                <w:color w:val="auto"/>
                <w:kern w:val="0"/>
                <w:sz w:val="24"/>
                <w:szCs w:val="22"/>
                <w:highlight w:val="none"/>
                <w:lang w:val="zh-CN" w:eastAsia="zh-CN" w:bidi="ar-SA"/>
              </w:rPr>
            </w:pPr>
          </w:p>
        </w:tc>
        <w:tc>
          <w:tcPr>
            <w:tcW w:w="984" w:type="dxa"/>
            <w:tcBorders>
              <w:top w:val="single" w:color="auto" w:sz="4" w:space="0"/>
              <w:left w:val="single" w:color="auto" w:sz="4" w:space="0"/>
              <w:bottom w:val="single" w:color="auto" w:sz="4" w:space="0"/>
              <w:right w:val="single" w:color="auto" w:sz="4" w:space="0"/>
            </w:tcBorders>
            <w:vAlign w:val="center"/>
          </w:tcPr>
          <w:p w14:paraId="641872C4">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本地化服务</w:t>
            </w:r>
          </w:p>
        </w:tc>
        <w:tc>
          <w:tcPr>
            <w:tcW w:w="966" w:type="dxa"/>
            <w:tcBorders>
              <w:top w:val="single" w:color="auto" w:sz="4" w:space="0"/>
              <w:left w:val="nil"/>
              <w:bottom w:val="single" w:color="auto" w:sz="4" w:space="0"/>
              <w:right w:val="single" w:color="auto" w:sz="4" w:space="0"/>
            </w:tcBorders>
            <w:vAlign w:val="center"/>
          </w:tcPr>
          <w:p w14:paraId="1CEEF102">
            <w:pPr>
              <w:ind w:left="0" w:leftChars="0" w:firstLine="0" w:firstLineChars="0"/>
              <w:jc w:val="both"/>
              <w:rPr>
                <w:rFonts w:hint="eastAsia" w:ascii="宋体" w:hAnsi="Cambria" w:eastAsia="宋体" w:cs="宋体"/>
                <w:color w:val="auto"/>
                <w:kern w:val="0"/>
                <w:sz w:val="24"/>
                <w:szCs w:val="22"/>
                <w:highlight w:val="none"/>
                <w:lang w:val="zh-CN" w:eastAsia="zh-CN" w:bidi="ar-SA"/>
              </w:rPr>
            </w:pPr>
            <w:r>
              <w:rPr>
                <w:rFonts w:hint="eastAsia" w:ascii="宋体" w:hAnsi="Cambria" w:eastAsia="宋体" w:cs="宋体"/>
                <w:color w:val="auto"/>
                <w:kern w:val="0"/>
                <w:sz w:val="24"/>
                <w:szCs w:val="22"/>
                <w:highlight w:val="none"/>
                <w:lang w:val="zh-CN" w:eastAsia="zh-CN" w:bidi="ar-SA"/>
              </w:rPr>
              <w:t>2分</w:t>
            </w:r>
          </w:p>
        </w:tc>
        <w:tc>
          <w:tcPr>
            <w:tcW w:w="6583" w:type="dxa"/>
            <w:tcBorders>
              <w:top w:val="single" w:color="auto" w:sz="4" w:space="0"/>
              <w:left w:val="nil"/>
              <w:bottom w:val="single" w:color="auto" w:sz="4" w:space="0"/>
              <w:right w:val="single" w:color="auto" w:sz="4" w:space="0"/>
            </w:tcBorders>
            <w:vAlign w:val="center"/>
          </w:tcPr>
          <w:p w14:paraId="5F701AF4">
            <w:pPr>
              <w:ind w:left="0" w:leftChars="0" w:firstLine="0" w:firstLineChars="0"/>
              <w:jc w:val="both"/>
              <w:rPr>
                <w:rFonts w:hint="default" w:ascii="宋体" w:hAnsi="Cambria" w:eastAsia="宋体" w:cs="宋体"/>
                <w:color w:val="auto"/>
                <w:kern w:val="0"/>
                <w:sz w:val="24"/>
                <w:szCs w:val="22"/>
                <w:highlight w:val="none"/>
                <w:lang w:val="zh-CN" w:eastAsia="zh-CN" w:bidi="ar-SA"/>
              </w:rPr>
            </w:pPr>
            <w:r>
              <w:rPr>
                <w:rFonts w:hint="default" w:ascii="宋体" w:hAnsi="Cambria" w:eastAsia="宋体" w:cs="宋体"/>
                <w:color w:val="auto"/>
                <w:kern w:val="0"/>
                <w:sz w:val="24"/>
                <w:szCs w:val="22"/>
                <w:highlight w:val="none"/>
                <w:lang w:val="zh-CN" w:eastAsia="zh-CN" w:bidi="ar-SA"/>
              </w:rPr>
              <w:t>供应商提供本地化服务承诺的</w:t>
            </w:r>
            <w:r>
              <w:rPr>
                <w:rFonts w:hint="eastAsia" w:ascii="宋体" w:hAnsi="Cambria" w:eastAsia="宋体" w:cs="宋体"/>
                <w:color w:val="auto"/>
                <w:kern w:val="0"/>
                <w:sz w:val="24"/>
                <w:szCs w:val="22"/>
                <w:highlight w:val="none"/>
                <w:lang w:val="zh-CN" w:eastAsia="zh-CN" w:bidi="ar-SA"/>
              </w:rPr>
              <w:t>得2分，不提供的不得分。</w:t>
            </w:r>
          </w:p>
        </w:tc>
      </w:tr>
    </w:tbl>
    <w:p w14:paraId="2F66C70C">
      <w:pPr>
        <w:pStyle w:val="2"/>
        <w:ind w:firstLine="0" w:firstLineChars="0"/>
        <w:rPr>
          <w:rFonts w:hint="eastAsia" w:ascii="宋体" w:hAnsi="宋体" w:eastAsia="宋体" w:cs="宋体"/>
          <w:color w:val="auto"/>
          <w:highlight w:val="none"/>
        </w:rPr>
      </w:pPr>
    </w:p>
    <w:p w14:paraId="3A454242">
      <w:pPr>
        <w:pStyle w:val="5"/>
        <w:bidi w:val="0"/>
        <w:rPr>
          <w:rFonts w:hint="eastAsia" w:ascii="宋体" w:hAnsi="宋体" w:eastAsia="宋体" w:cs="宋体"/>
          <w:color w:val="auto"/>
          <w:highlight w:val="none"/>
        </w:rPr>
      </w:pPr>
      <w:bookmarkStart w:id="82" w:name="_Toc22987"/>
      <w:r>
        <w:rPr>
          <w:rFonts w:hint="eastAsia" w:ascii="宋体" w:hAnsi="宋体" w:eastAsia="宋体" w:cs="宋体"/>
          <w:color w:val="auto"/>
          <w:highlight w:val="none"/>
        </w:rPr>
        <w:t>七、</w:t>
      </w:r>
      <w:bookmarkEnd w:id="80"/>
      <w:bookmarkEnd w:id="81"/>
      <w:r>
        <w:rPr>
          <w:rFonts w:hint="eastAsia" w:ascii="宋体" w:hAnsi="宋体" w:eastAsia="宋体" w:cs="宋体"/>
          <w:color w:val="auto"/>
          <w:highlight w:val="none"/>
        </w:rPr>
        <w:t>确定成交供应商</w:t>
      </w:r>
      <w:bookmarkEnd w:id="82"/>
    </w:p>
    <w:p w14:paraId="7263F1F6">
      <w:pPr>
        <w:pStyle w:val="4"/>
        <w:numPr>
          <w:ilvl w:val="2"/>
          <w:numId w:val="0"/>
        </w:numPr>
        <w:bidi w:val="0"/>
        <w:ind w:left="0" w:leftChars="0" w:firstLine="400" w:firstLineChars="0"/>
        <w:rPr>
          <w:rFonts w:hint="eastAsia" w:ascii="宋体" w:hAnsi="宋体" w:eastAsia="宋体" w:cs="宋体"/>
          <w:color w:val="auto"/>
          <w:highlight w:val="none"/>
        </w:rPr>
      </w:pPr>
      <w:bookmarkStart w:id="83" w:name="_Toc325726026"/>
      <w:bookmarkStart w:id="84" w:name="_Toc376936757"/>
      <w:bookmarkStart w:id="85" w:name="_Toc24068"/>
      <w:r>
        <w:rPr>
          <w:rFonts w:hint="eastAsia" w:ascii="宋体" w:hAnsi="宋体" w:eastAsia="宋体" w:cs="宋体"/>
          <w:b/>
          <w:color w:val="auto"/>
          <w:kern w:val="2"/>
          <w:sz w:val="30"/>
          <w:szCs w:val="30"/>
          <w:highlight w:val="none"/>
          <w:lang w:val="en-US" w:eastAsia="zh-CN" w:bidi="ar-SA"/>
        </w:rPr>
        <w:t>19．</w:t>
      </w:r>
      <w:r>
        <w:rPr>
          <w:rFonts w:hint="eastAsia" w:ascii="宋体" w:hAnsi="宋体" w:eastAsia="宋体" w:cs="宋体"/>
          <w:color w:val="auto"/>
          <w:highlight w:val="none"/>
        </w:rPr>
        <w:t>推荐并确定成交</w:t>
      </w:r>
      <w:bookmarkEnd w:id="83"/>
      <w:bookmarkEnd w:id="84"/>
      <w:r>
        <w:rPr>
          <w:rFonts w:hint="eastAsia" w:ascii="宋体" w:hAnsi="宋体" w:eastAsia="宋体" w:cs="宋体"/>
          <w:color w:val="auto"/>
          <w:highlight w:val="none"/>
        </w:rPr>
        <w:t>供应商</w:t>
      </w:r>
      <w:bookmarkEnd w:id="85"/>
    </w:p>
    <w:p w14:paraId="5651ABE8">
      <w:pPr>
        <w:bidi w:val="0"/>
        <w:rPr>
          <w:rFonts w:hint="eastAsia" w:ascii="宋体" w:hAnsi="宋体" w:eastAsia="宋体" w:cs="宋体"/>
          <w:color w:val="auto"/>
          <w:highlight w:val="none"/>
        </w:rPr>
      </w:pPr>
      <w:r>
        <w:rPr>
          <w:rFonts w:hint="eastAsia" w:ascii="宋体" w:hAnsi="宋体" w:eastAsia="宋体" w:cs="宋体"/>
          <w:color w:val="auto"/>
          <w:highlight w:val="none"/>
        </w:rPr>
        <w:t>19.1磋商小组根据评审总得分由高到低排序推荐预成交供应商候选人，并由采购人确定成交供应商。</w:t>
      </w:r>
    </w:p>
    <w:p w14:paraId="41D85A7D">
      <w:pPr>
        <w:bidi w:val="0"/>
        <w:rPr>
          <w:rFonts w:hint="eastAsia" w:ascii="宋体" w:hAnsi="宋体" w:eastAsia="宋体" w:cs="宋体"/>
          <w:color w:val="auto"/>
          <w:highlight w:val="none"/>
        </w:rPr>
      </w:pPr>
      <w:r>
        <w:rPr>
          <w:rFonts w:hint="eastAsia" w:ascii="宋体" w:hAnsi="宋体" w:eastAsia="宋体" w:cs="宋体"/>
          <w:color w:val="auto"/>
          <w:highlight w:val="none"/>
        </w:rPr>
        <w:t>19.2成交供应商因不可抗力或自身原因不能履行合同时，采购人可以按照磋商报告推荐的预成交供应商候选人名单排序，确定下一候选人为成交供应商，也可重新开展政府采购活动。</w:t>
      </w:r>
      <w:bookmarkStart w:id="86" w:name="_Toc325726027"/>
    </w:p>
    <w:p w14:paraId="172AD964">
      <w:pPr>
        <w:bidi w:val="0"/>
        <w:rPr>
          <w:rFonts w:hint="eastAsia" w:ascii="宋体" w:hAnsi="宋体" w:eastAsia="宋体" w:cs="宋体"/>
          <w:b/>
          <w:bCs/>
          <w:color w:val="auto"/>
          <w:highlight w:val="none"/>
        </w:rPr>
      </w:pPr>
      <w:r>
        <w:rPr>
          <w:rFonts w:hint="eastAsia" w:ascii="宋体" w:hAnsi="宋体" w:eastAsia="宋体" w:cs="宋体"/>
          <w:b/>
          <w:bCs/>
          <w:color w:val="auto"/>
          <w:highlight w:val="none"/>
        </w:rPr>
        <w:t>19.3</w:t>
      </w:r>
      <w:r>
        <w:rPr>
          <w:rFonts w:hint="eastAsia" w:ascii="宋体" w:hAnsi="宋体" w:eastAsia="宋体" w:cs="宋体"/>
          <w:b/>
          <w:bCs/>
          <w:color w:val="auto"/>
          <w:highlight w:val="none"/>
          <w:lang w:val="zh-CN"/>
        </w:rPr>
        <w:t>成交供应商需提供一正两副（纸质版）和一份电子版（PDF）响应文件。</w:t>
      </w:r>
    </w:p>
    <w:p w14:paraId="39EE9028">
      <w:pPr>
        <w:pStyle w:val="4"/>
        <w:numPr>
          <w:ilvl w:val="2"/>
          <w:numId w:val="0"/>
        </w:numPr>
        <w:bidi w:val="0"/>
        <w:ind w:left="0" w:leftChars="0" w:firstLine="400" w:firstLineChars="0"/>
        <w:rPr>
          <w:rFonts w:hint="eastAsia" w:ascii="宋体" w:hAnsi="宋体" w:eastAsia="宋体" w:cs="宋体"/>
          <w:color w:val="auto"/>
          <w:highlight w:val="none"/>
        </w:rPr>
      </w:pPr>
      <w:bookmarkStart w:id="87" w:name="_Toc20473"/>
      <w:bookmarkStart w:id="88" w:name="_Toc376936759"/>
      <w:bookmarkStart w:id="89" w:name="_Toc325726028"/>
      <w:r>
        <w:rPr>
          <w:rFonts w:hint="eastAsia" w:ascii="宋体" w:hAnsi="宋体" w:eastAsia="宋体" w:cs="宋体"/>
          <w:b/>
          <w:color w:val="auto"/>
          <w:kern w:val="2"/>
          <w:sz w:val="30"/>
          <w:szCs w:val="30"/>
          <w:highlight w:val="none"/>
          <w:lang w:val="en-US" w:eastAsia="zh-CN" w:bidi="ar-SA"/>
        </w:rPr>
        <w:t>20．</w:t>
      </w:r>
      <w:r>
        <w:rPr>
          <w:rFonts w:hint="eastAsia" w:ascii="宋体" w:hAnsi="宋体" w:eastAsia="宋体" w:cs="宋体"/>
          <w:color w:val="auto"/>
          <w:highlight w:val="none"/>
        </w:rPr>
        <w:t>成交通知</w:t>
      </w:r>
      <w:bookmarkEnd w:id="87"/>
      <w:bookmarkEnd w:id="88"/>
      <w:bookmarkEnd w:id="89"/>
    </w:p>
    <w:p w14:paraId="0D31D0B6">
      <w:pPr>
        <w:bidi w:val="0"/>
        <w:rPr>
          <w:rFonts w:hint="eastAsia" w:ascii="宋体" w:hAnsi="宋体" w:eastAsia="宋体" w:cs="宋体"/>
          <w:color w:val="auto"/>
          <w:highlight w:val="none"/>
        </w:rPr>
      </w:pPr>
      <w:r>
        <w:rPr>
          <w:rFonts w:hint="eastAsia" w:ascii="宋体" w:hAnsi="宋体" w:eastAsia="宋体" w:cs="宋体"/>
          <w:color w:val="auto"/>
          <w:highlight w:val="none"/>
        </w:rPr>
        <w:t>20.1采购代理机构自成交供应商确定之日起2个工作日内发出《成交通知书》，并在青海省政府采购网上公告成交结果。</w:t>
      </w:r>
    </w:p>
    <w:p w14:paraId="26244DCB">
      <w:pPr>
        <w:bidi w:val="0"/>
        <w:rPr>
          <w:rFonts w:hint="eastAsia" w:ascii="宋体" w:hAnsi="宋体" w:eastAsia="宋体" w:cs="宋体"/>
          <w:color w:val="auto"/>
          <w:highlight w:val="none"/>
        </w:rPr>
      </w:pPr>
      <w:r>
        <w:rPr>
          <w:rFonts w:hint="eastAsia" w:ascii="宋体" w:hAnsi="宋体" w:eastAsia="宋体" w:cs="宋体"/>
          <w:color w:val="auto"/>
          <w:highlight w:val="none"/>
        </w:rPr>
        <w:t>20.2《成交通知书》发出后，采购人改变成交结果的，或者成交供应商无正当理由放弃成交项目的，依法承担法律责任。</w:t>
      </w:r>
    </w:p>
    <w:p w14:paraId="3CD6A1F0">
      <w:pPr>
        <w:pStyle w:val="5"/>
        <w:bidi w:val="0"/>
        <w:rPr>
          <w:rFonts w:hint="eastAsia" w:ascii="宋体" w:hAnsi="宋体" w:eastAsia="宋体" w:cs="宋体"/>
          <w:color w:val="auto"/>
          <w:highlight w:val="none"/>
        </w:rPr>
      </w:pPr>
      <w:bookmarkStart w:id="90" w:name="_Toc29614"/>
      <w:bookmarkStart w:id="91" w:name="_Toc376936758"/>
      <w:r>
        <w:rPr>
          <w:rFonts w:hint="eastAsia" w:ascii="宋体" w:hAnsi="宋体" w:eastAsia="宋体" w:cs="宋体"/>
          <w:color w:val="auto"/>
          <w:highlight w:val="none"/>
        </w:rPr>
        <w:t>八、授予合同</w:t>
      </w:r>
      <w:bookmarkEnd w:id="86"/>
      <w:bookmarkEnd w:id="90"/>
      <w:bookmarkEnd w:id="91"/>
    </w:p>
    <w:p w14:paraId="5D9C87EC">
      <w:pPr>
        <w:pStyle w:val="4"/>
        <w:numPr>
          <w:ilvl w:val="2"/>
          <w:numId w:val="0"/>
        </w:numPr>
        <w:bidi w:val="0"/>
        <w:ind w:left="0" w:leftChars="0" w:firstLine="400" w:firstLineChars="0"/>
        <w:rPr>
          <w:rFonts w:hint="eastAsia" w:ascii="宋体" w:hAnsi="宋体" w:eastAsia="宋体" w:cs="宋体"/>
          <w:color w:val="auto"/>
          <w:highlight w:val="none"/>
        </w:rPr>
      </w:pPr>
      <w:bookmarkStart w:id="92" w:name="_Toc31619"/>
      <w:bookmarkStart w:id="93" w:name="_Toc325726029"/>
      <w:bookmarkStart w:id="94" w:name="_Toc376936760"/>
      <w:r>
        <w:rPr>
          <w:rFonts w:hint="eastAsia" w:ascii="宋体" w:hAnsi="宋体" w:eastAsia="宋体" w:cs="宋体"/>
          <w:b/>
          <w:color w:val="auto"/>
          <w:kern w:val="2"/>
          <w:sz w:val="30"/>
          <w:szCs w:val="30"/>
          <w:highlight w:val="none"/>
          <w:lang w:val="en-US" w:eastAsia="zh-CN" w:bidi="ar-SA"/>
        </w:rPr>
        <w:t>21．</w:t>
      </w:r>
      <w:r>
        <w:rPr>
          <w:rFonts w:hint="eastAsia" w:ascii="宋体" w:hAnsi="宋体" w:eastAsia="宋体" w:cs="宋体"/>
          <w:color w:val="auto"/>
          <w:highlight w:val="none"/>
        </w:rPr>
        <w:t>签订合同</w:t>
      </w:r>
      <w:bookmarkEnd w:id="92"/>
      <w:bookmarkEnd w:id="93"/>
      <w:bookmarkEnd w:id="94"/>
    </w:p>
    <w:p w14:paraId="5EE83A7A">
      <w:pPr>
        <w:bidi w:val="0"/>
        <w:rPr>
          <w:rFonts w:hint="eastAsia" w:ascii="宋体" w:hAnsi="宋体" w:eastAsia="宋体" w:cs="宋体"/>
          <w:color w:val="auto"/>
          <w:highlight w:val="none"/>
        </w:rPr>
      </w:pPr>
      <w:bookmarkStart w:id="95" w:name="_Toc376936761"/>
      <w:bookmarkStart w:id="96" w:name="_Toc325726030"/>
      <w:r>
        <w:rPr>
          <w:rFonts w:hint="eastAsia" w:ascii="宋体" w:hAnsi="宋体" w:eastAsia="宋体" w:cs="宋体"/>
          <w:color w:val="auto"/>
          <w:highlight w:val="none"/>
        </w:rPr>
        <w:t>21.1采购人与成交供应商双方应当自《成交通知书》发出之日起30日内，按照磋商文件确定的合同文本以及采购标的、规格型号、采购金额、采购数量、技术和服务要求等事项签订政府采购合同，并报青海联祥招标代理有限公司审核备案。</w:t>
      </w:r>
    </w:p>
    <w:p w14:paraId="6FC3E62F">
      <w:pPr>
        <w:bidi w:val="0"/>
        <w:rPr>
          <w:rFonts w:hint="eastAsia" w:ascii="宋体" w:hAnsi="宋体" w:eastAsia="宋体" w:cs="宋体"/>
          <w:color w:val="auto"/>
          <w:highlight w:val="none"/>
        </w:rPr>
      </w:pPr>
      <w:r>
        <w:rPr>
          <w:rFonts w:hint="eastAsia" w:ascii="宋体" w:hAnsi="宋体" w:eastAsia="宋体" w:cs="宋体"/>
          <w:color w:val="auto"/>
          <w:highlight w:val="none"/>
        </w:rPr>
        <w:t>21.2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006A6953">
      <w:pPr>
        <w:bidi w:val="0"/>
        <w:rPr>
          <w:rFonts w:hint="eastAsia" w:ascii="宋体" w:hAnsi="宋体" w:eastAsia="宋体" w:cs="宋体"/>
          <w:color w:val="auto"/>
          <w:highlight w:val="none"/>
        </w:rPr>
      </w:pPr>
      <w:r>
        <w:rPr>
          <w:rFonts w:hint="eastAsia" w:ascii="宋体" w:hAnsi="宋体" w:eastAsia="宋体" w:cs="宋体"/>
          <w:color w:val="auto"/>
          <w:highlight w:val="none"/>
        </w:rPr>
        <w:t>21.3签订合同时，成交供应商应按规定向采购人提交履约保证金</w:t>
      </w:r>
      <w:r>
        <w:rPr>
          <w:rFonts w:hint="eastAsia" w:ascii="宋体" w:hAnsi="宋体" w:eastAsia="宋体" w:cs="宋体"/>
          <w:color w:val="auto"/>
          <w:highlight w:val="none"/>
          <w:lang w:val="zh-CN"/>
        </w:rPr>
        <w:t>（履约保证金的数额由采购人与成交供应商商定，但数额不得超出采购合同总金额的10%）</w:t>
      </w:r>
      <w:r>
        <w:rPr>
          <w:rFonts w:hint="eastAsia" w:ascii="宋体" w:hAnsi="宋体" w:eastAsia="宋体" w:cs="宋体"/>
          <w:color w:val="auto"/>
          <w:highlight w:val="none"/>
        </w:rPr>
        <w:t>，履约保证金须缴纳到采购人指定的账户</w:t>
      </w:r>
      <w:r>
        <w:rPr>
          <w:rFonts w:hint="eastAsia" w:ascii="宋体" w:hAnsi="宋体" w:eastAsia="宋体" w:cs="宋体"/>
          <w:b/>
          <w:bCs/>
          <w:color w:val="auto"/>
          <w:highlight w:val="none"/>
        </w:rPr>
        <w:t>（详见合同）</w:t>
      </w:r>
      <w:r>
        <w:rPr>
          <w:rFonts w:hint="eastAsia" w:ascii="宋体" w:hAnsi="宋体" w:eastAsia="宋体" w:cs="宋体"/>
          <w:color w:val="auto"/>
          <w:highlight w:val="none"/>
        </w:rPr>
        <w:t>。</w:t>
      </w:r>
    </w:p>
    <w:p w14:paraId="6DC5679C">
      <w:pPr>
        <w:bidi w:val="0"/>
        <w:rPr>
          <w:rFonts w:hint="eastAsia" w:ascii="宋体" w:hAnsi="宋体" w:eastAsia="宋体" w:cs="宋体"/>
          <w:color w:val="auto"/>
          <w:highlight w:val="none"/>
        </w:rPr>
      </w:pPr>
      <w:r>
        <w:rPr>
          <w:rFonts w:hint="eastAsia" w:ascii="宋体" w:hAnsi="宋体" w:eastAsia="宋体" w:cs="宋体"/>
          <w:color w:val="auto"/>
          <w:highlight w:val="none"/>
        </w:rPr>
        <w:t>21.4成交供应商在法定期限内无正当理由拒签合同的，按违约处理。同时，采购代理机构和采购人可依成交供应商候选人排序重新确定成交供应商，并协调双方签订采购合同。</w:t>
      </w:r>
    </w:p>
    <w:p w14:paraId="220F979D">
      <w:pPr>
        <w:bidi w:val="0"/>
        <w:rPr>
          <w:rFonts w:hint="eastAsia" w:ascii="宋体" w:hAnsi="宋体" w:eastAsia="宋体" w:cs="宋体"/>
          <w:color w:val="auto"/>
          <w:highlight w:val="none"/>
        </w:rPr>
      </w:pPr>
      <w:r>
        <w:rPr>
          <w:rFonts w:hint="eastAsia" w:ascii="宋体" w:hAnsi="宋体" w:eastAsia="宋体" w:cs="宋体"/>
          <w:color w:val="auto"/>
          <w:highlight w:val="none"/>
        </w:rPr>
        <w:t>21.5磋商文件、成交供应商的磋商响应文件、《成交通知书》及其澄清、说明文件等，均为签订采购合同的依据。</w:t>
      </w:r>
    </w:p>
    <w:p w14:paraId="74F86DC6">
      <w:pPr>
        <w:bidi w:val="0"/>
        <w:rPr>
          <w:rFonts w:hint="eastAsia" w:ascii="宋体" w:hAnsi="宋体" w:eastAsia="宋体" w:cs="宋体"/>
          <w:color w:val="auto"/>
          <w:highlight w:val="none"/>
        </w:rPr>
      </w:pPr>
      <w:r>
        <w:rPr>
          <w:rFonts w:hint="eastAsia" w:ascii="宋体" w:hAnsi="宋体" w:eastAsia="宋体" w:cs="宋体"/>
          <w:color w:val="auto"/>
          <w:highlight w:val="none"/>
        </w:rPr>
        <w:t>21.6采购人或采购代理机构应当自采购合同签订之日起2个工作日内，将采购合同在青海省政府采购网上公告，但政府采购合同中涉及国家秘密、商业秘密的内容除外。</w:t>
      </w:r>
    </w:p>
    <w:p w14:paraId="78B52856">
      <w:pPr>
        <w:pStyle w:val="5"/>
        <w:bidi w:val="0"/>
        <w:rPr>
          <w:rFonts w:hint="eastAsia" w:ascii="宋体" w:hAnsi="宋体" w:eastAsia="宋体" w:cs="宋体"/>
          <w:color w:val="auto"/>
          <w:highlight w:val="none"/>
        </w:rPr>
      </w:pPr>
      <w:bookmarkStart w:id="97" w:name="_Toc11289"/>
      <w:r>
        <w:rPr>
          <w:rFonts w:hint="eastAsia" w:ascii="宋体" w:hAnsi="宋体" w:eastAsia="宋体" w:cs="宋体"/>
          <w:color w:val="auto"/>
          <w:highlight w:val="none"/>
        </w:rPr>
        <w:t>九、</w:t>
      </w:r>
      <w:bookmarkEnd w:id="95"/>
      <w:bookmarkEnd w:id="96"/>
      <w:r>
        <w:rPr>
          <w:rFonts w:hint="eastAsia" w:ascii="宋体" w:hAnsi="宋体" w:eastAsia="宋体" w:cs="宋体"/>
          <w:color w:val="auto"/>
          <w:highlight w:val="none"/>
        </w:rPr>
        <w:t>磋商活动终止</w:t>
      </w:r>
      <w:bookmarkEnd w:id="97"/>
    </w:p>
    <w:p w14:paraId="1EC91B60">
      <w:pPr>
        <w:pStyle w:val="4"/>
        <w:numPr>
          <w:ilvl w:val="2"/>
          <w:numId w:val="0"/>
        </w:numPr>
        <w:bidi w:val="0"/>
        <w:ind w:left="0" w:leftChars="0" w:firstLine="400" w:firstLineChars="0"/>
        <w:rPr>
          <w:rFonts w:hint="eastAsia" w:ascii="宋体" w:hAnsi="宋体" w:eastAsia="宋体" w:cs="宋体"/>
          <w:color w:val="auto"/>
          <w:highlight w:val="none"/>
        </w:rPr>
      </w:pPr>
      <w:bookmarkStart w:id="98" w:name="_Toc8006"/>
      <w:bookmarkStart w:id="99" w:name="_Toc325726031"/>
      <w:bookmarkStart w:id="100" w:name="_Toc376936762"/>
      <w:r>
        <w:rPr>
          <w:rFonts w:hint="eastAsia" w:ascii="宋体" w:hAnsi="宋体" w:eastAsia="宋体" w:cs="宋体"/>
          <w:b/>
          <w:color w:val="auto"/>
          <w:kern w:val="2"/>
          <w:sz w:val="30"/>
          <w:szCs w:val="30"/>
          <w:highlight w:val="none"/>
          <w:lang w:val="en-US" w:eastAsia="zh-CN" w:bidi="ar-SA"/>
        </w:rPr>
        <w:t>22．</w:t>
      </w:r>
      <w:r>
        <w:rPr>
          <w:rFonts w:hint="eastAsia" w:ascii="宋体" w:hAnsi="宋体" w:eastAsia="宋体" w:cs="宋体"/>
          <w:color w:val="auto"/>
          <w:highlight w:val="none"/>
        </w:rPr>
        <w:t>终止情形</w:t>
      </w:r>
      <w:bookmarkEnd w:id="98"/>
    </w:p>
    <w:p w14:paraId="1C43532D">
      <w:pPr>
        <w:bidi w:val="0"/>
        <w:rPr>
          <w:rFonts w:hint="eastAsia" w:ascii="宋体" w:hAnsi="宋体" w:eastAsia="宋体" w:cs="宋体"/>
          <w:color w:val="auto"/>
          <w:highlight w:val="none"/>
        </w:rPr>
      </w:pPr>
      <w:r>
        <w:rPr>
          <w:rFonts w:hint="eastAsia" w:ascii="宋体" w:hAnsi="宋体" w:eastAsia="宋体" w:cs="宋体"/>
          <w:color w:val="auto"/>
          <w:highlight w:val="none"/>
        </w:rPr>
        <w:t>22.1在竞争性磋商采购中，出现下列情形之一的，终止磋商活动：</w:t>
      </w:r>
      <w:bookmarkEnd w:id="99"/>
      <w:bookmarkEnd w:id="100"/>
    </w:p>
    <w:p w14:paraId="6C9E70AB">
      <w:pPr>
        <w:bidi w:val="0"/>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01E763E1">
      <w:pPr>
        <w:bidi w:val="0"/>
        <w:rPr>
          <w:rFonts w:hint="eastAsia" w:ascii="宋体" w:hAnsi="宋体" w:eastAsia="宋体" w:cs="宋体"/>
          <w:color w:val="auto"/>
          <w:highlight w:val="none"/>
        </w:rPr>
      </w:pPr>
      <w:r>
        <w:rPr>
          <w:rFonts w:hint="eastAsia" w:ascii="宋体" w:hAnsi="宋体" w:eastAsia="宋体" w:cs="宋体"/>
          <w:color w:val="auto"/>
          <w:highlight w:val="none"/>
        </w:rPr>
        <w:t>（2）出现影响采购活动公正的违法、违规行为的。</w:t>
      </w:r>
    </w:p>
    <w:p w14:paraId="0518ACAB">
      <w:pPr>
        <w:bidi w:val="0"/>
        <w:rPr>
          <w:rFonts w:hint="eastAsia" w:ascii="宋体" w:hAnsi="宋体" w:eastAsia="宋体" w:cs="宋体"/>
          <w:color w:val="auto"/>
          <w:highlight w:val="none"/>
        </w:rPr>
      </w:pPr>
      <w:r>
        <w:rPr>
          <w:rFonts w:hint="eastAsia" w:ascii="宋体" w:hAnsi="宋体" w:eastAsia="宋体" w:cs="宋体"/>
          <w:color w:val="auto"/>
          <w:highlight w:val="none"/>
        </w:rPr>
        <w:t>（3）符合要求的供应商或者报价未超过最高限价的供应商不足三家的。</w:t>
      </w:r>
    </w:p>
    <w:p w14:paraId="383F8183">
      <w:pPr>
        <w:bidi w:val="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71E68E31">
      <w:pPr>
        <w:bidi w:val="0"/>
        <w:rPr>
          <w:rFonts w:hint="eastAsia" w:ascii="宋体" w:hAnsi="宋体" w:eastAsia="宋体" w:cs="宋体"/>
          <w:color w:val="auto"/>
          <w:highlight w:val="none"/>
        </w:rPr>
      </w:pPr>
      <w:r>
        <w:rPr>
          <w:rFonts w:hint="eastAsia" w:ascii="宋体" w:hAnsi="宋体" w:eastAsia="宋体" w:cs="宋体"/>
          <w:color w:val="auto"/>
          <w:highlight w:val="none"/>
        </w:rPr>
        <w:t>22.2终止磋商活动后，由采购代理机构发布终止公告并说明原因。</w:t>
      </w:r>
      <w:bookmarkStart w:id="101" w:name="_Toc325726032"/>
    </w:p>
    <w:p w14:paraId="1C7ED468">
      <w:pPr>
        <w:pStyle w:val="5"/>
        <w:bidi w:val="0"/>
        <w:rPr>
          <w:rFonts w:hint="eastAsia" w:ascii="宋体" w:hAnsi="宋体" w:eastAsia="宋体" w:cs="宋体"/>
          <w:color w:val="auto"/>
          <w:highlight w:val="none"/>
        </w:rPr>
      </w:pPr>
      <w:bookmarkStart w:id="102" w:name="_Toc376936763"/>
      <w:bookmarkStart w:id="103" w:name="_Toc24419"/>
      <w:r>
        <w:rPr>
          <w:rFonts w:hint="eastAsia" w:ascii="宋体" w:hAnsi="宋体" w:eastAsia="宋体" w:cs="宋体"/>
          <w:color w:val="auto"/>
          <w:highlight w:val="none"/>
        </w:rPr>
        <w:t>十、处罚</w:t>
      </w:r>
      <w:bookmarkEnd w:id="101"/>
      <w:bookmarkEnd w:id="102"/>
      <w:bookmarkEnd w:id="103"/>
    </w:p>
    <w:p w14:paraId="0646B3CA">
      <w:pPr>
        <w:pStyle w:val="4"/>
        <w:numPr>
          <w:ilvl w:val="2"/>
          <w:numId w:val="0"/>
        </w:numPr>
        <w:bidi w:val="0"/>
        <w:ind w:left="0" w:leftChars="0" w:firstLine="400" w:firstLineChars="0"/>
        <w:rPr>
          <w:rFonts w:hint="eastAsia" w:ascii="宋体" w:hAnsi="宋体" w:eastAsia="宋体" w:cs="宋体"/>
          <w:color w:val="auto"/>
          <w:highlight w:val="none"/>
        </w:rPr>
      </w:pPr>
      <w:bookmarkStart w:id="104" w:name="_Toc325726033"/>
      <w:bookmarkStart w:id="105" w:name="_Toc6358"/>
      <w:bookmarkStart w:id="106" w:name="_Toc376936764"/>
      <w:r>
        <w:rPr>
          <w:rFonts w:hint="eastAsia" w:ascii="宋体" w:hAnsi="宋体" w:eastAsia="宋体" w:cs="宋体"/>
          <w:b/>
          <w:color w:val="auto"/>
          <w:kern w:val="2"/>
          <w:sz w:val="30"/>
          <w:szCs w:val="30"/>
          <w:highlight w:val="none"/>
          <w:lang w:val="en-US" w:eastAsia="zh-CN" w:bidi="ar-SA"/>
        </w:rPr>
        <w:t>23．</w:t>
      </w:r>
      <w:r>
        <w:rPr>
          <w:rFonts w:hint="eastAsia" w:ascii="宋体" w:hAnsi="宋体" w:eastAsia="宋体" w:cs="宋体"/>
          <w:color w:val="auto"/>
          <w:highlight w:val="none"/>
        </w:rPr>
        <w:t>处罚情形</w:t>
      </w:r>
      <w:bookmarkEnd w:id="104"/>
      <w:bookmarkEnd w:id="105"/>
      <w:bookmarkEnd w:id="106"/>
    </w:p>
    <w:p w14:paraId="511D6FA0">
      <w:pPr>
        <w:bidi w:val="0"/>
        <w:rPr>
          <w:rFonts w:hint="eastAsia" w:ascii="宋体" w:hAnsi="宋体" w:eastAsia="宋体" w:cs="宋体"/>
          <w:color w:val="auto"/>
          <w:highlight w:val="none"/>
        </w:rPr>
      </w:pPr>
      <w:r>
        <w:rPr>
          <w:rFonts w:hint="eastAsia" w:ascii="宋体" w:hAnsi="宋体" w:eastAsia="宋体" w:cs="宋体"/>
          <w:color w:val="auto"/>
          <w:highlight w:val="none"/>
        </w:rPr>
        <w:t>有下列情形之一的，成交供应商的成交结果无效履约保证金（如有）不予退还。情节严重的，报省财政厅依法进行处理：</w:t>
      </w:r>
    </w:p>
    <w:p w14:paraId="355FB771">
      <w:pPr>
        <w:bidi w:val="0"/>
        <w:rPr>
          <w:rFonts w:hint="eastAsia" w:ascii="宋体" w:hAnsi="宋体" w:eastAsia="宋体" w:cs="宋体"/>
          <w:color w:val="auto"/>
          <w:highlight w:val="none"/>
        </w:rPr>
      </w:pPr>
      <w:r>
        <w:rPr>
          <w:rFonts w:hint="eastAsia" w:ascii="宋体" w:hAnsi="宋体" w:eastAsia="宋体" w:cs="宋体"/>
          <w:color w:val="auto"/>
          <w:highlight w:val="none"/>
        </w:rPr>
        <w:t>23.1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在提交响应文件截止时间之后撤回响应文件的。</w:t>
      </w:r>
    </w:p>
    <w:p w14:paraId="23EF8546">
      <w:pPr>
        <w:bidi w:val="0"/>
        <w:rPr>
          <w:rFonts w:hint="eastAsia" w:ascii="宋体" w:hAnsi="宋体" w:eastAsia="宋体" w:cs="宋体"/>
          <w:color w:val="auto"/>
          <w:highlight w:val="none"/>
        </w:rPr>
      </w:pPr>
      <w:r>
        <w:rPr>
          <w:rFonts w:hint="eastAsia" w:ascii="宋体" w:hAnsi="宋体" w:eastAsia="宋体" w:cs="宋体"/>
          <w:color w:val="auto"/>
          <w:highlight w:val="none"/>
        </w:rPr>
        <w:t>23.2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在响应文件中提供虚假材料的。</w:t>
      </w:r>
    </w:p>
    <w:p w14:paraId="07222180">
      <w:pPr>
        <w:bidi w:val="0"/>
        <w:rPr>
          <w:rFonts w:hint="eastAsia" w:ascii="宋体" w:hAnsi="宋体" w:eastAsia="宋体" w:cs="宋体"/>
          <w:color w:val="auto"/>
          <w:highlight w:val="none"/>
        </w:rPr>
      </w:pPr>
      <w:r>
        <w:rPr>
          <w:rFonts w:hint="eastAsia" w:ascii="宋体" w:hAnsi="宋体" w:eastAsia="宋体" w:cs="宋体"/>
          <w:color w:val="auto"/>
          <w:highlight w:val="none"/>
        </w:rPr>
        <w:t>23.3采取不正当手段诋毁、排挤其他供应商的。</w:t>
      </w:r>
    </w:p>
    <w:p w14:paraId="70D0034A">
      <w:pPr>
        <w:bidi w:val="0"/>
        <w:rPr>
          <w:rFonts w:hint="eastAsia" w:ascii="宋体" w:hAnsi="宋体" w:eastAsia="宋体" w:cs="宋体"/>
          <w:color w:val="auto"/>
          <w:highlight w:val="none"/>
        </w:rPr>
      </w:pPr>
      <w:r>
        <w:rPr>
          <w:rFonts w:hint="eastAsia" w:ascii="宋体" w:hAnsi="宋体" w:eastAsia="宋体" w:cs="宋体"/>
          <w:color w:val="auto"/>
          <w:highlight w:val="none"/>
        </w:rPr>
        <w:t>23.4有恶意串通等不正当竞争行为的。</w:t>
      </w:r>
    </w:p>
    <w:p w14:paraId="65745EE9">
      <w:pPr>
        <w:bidi w:val="0"/>
        <w:rPr>
          <w:rFonts w:hint="eastAsia" w:ascii="宋体" w:hAnsi="宋体" w:eastAsia="宋体" w:cs="宋体"/>
          <w:color w:val="auto"/>
          <w:highlight w:val="none"/>
        </w:rPr>
      </w:pPr>
      <w:r>
        <w:rPr>
          <w:rFonts w:hint="eastAsia" w:ascii="宋体" w:hAnsi="宋体" w:eastAsia="宋体" w:cs="宋体"/>
          <w:color w:val="auto"/>
          <w:highlight w:val="none"/>
        </w:rPr>
        <w:t>23.5成交后无正当理由拒不与采购人签订采购合同的。</w:t>
      </w:r>
    </w:p>
    <w:p w14:paraId="6C32D88D">
      <w:pPr>
        <w:bidi w:val="0"/>
        <w:rPr>
          <w:rFonts w:hint="eastAsia" w:ascii="宋体" w:hAnsi="宋体" w:eastAsia="宋体" w:cs="宋体"/>
          <w:color w:val="auto"/>
          <w:highlight w:val="none"/>
        </w:rPr>
      </w:pPr>
      <w:r>
        <w:rPr>
          <w:rFonts w:hint="eastAsia" w:ascii="宋体" w:hAnsi="宋体" w:eastAsia="宋体" w:cs="宋体"/>
          <w:color w:val="auto"/>
          <w:highlight w:val="none"/>
        </w:rPr>
        <w:t>23.6未按照磋商文件、磋商响应文件确定的事项签订采购合同的。</w:t>
      </w:r>
    </w:p>
    <w:p w14:paraId="41A9C0D0">
      <w:pPr>
        <w:bidi w:val="0"/>
        <w:rPr>
          <w:rFonts w:hint="eastAsia" w:ascii="宋体" w:hAnsi="宋体" w:eastAsia="宋体" w:cs="宋体"/>
          <w:color w:val="auto"/>
          <w:highlight w:val="none"/>
        </w:rPr>
      </w:pPr>
      <w:r>
        <w:rPr>
          <w:rFonts w:hint="eastAsia" w:ascii="宋体" w:hAnsi="宋体" w:eastAsia="宋体" w:cs="宋体"/>
          <w:color w:val="auto"/>
          <w:highlight w:val="none"/>
        </w:rPr>
        <w:t>23.7擅自变更、中止或者终止政府采购合同的。</w:t>
      </w:r>
    </w:p>
    <w:p w14:paraId="713954B3">
      <w:pPr>
        <w:bidi w:val="0"/>
        <w:rPr>
          <w:rFonts w:hint="eastAsia" w:ascii="宋体" w:hAnsi="宋体" w:eastAsia="宋体" w:cs="宋体"/>
          <w:color w:val="auto"/>
          <w:highlight w:val="none"/>
        </w:rPr>
      </w:pPr>
      <w:r>
        <w:rPr>
          <w:rFonts w:hint="eastAsia" w:ascii="宋体" w:hAnsi="宋体" w:eastAsia="宋体" w:cs="宋体"/>
          <w:color w:val="auto"/>
          <w:highlight w:val="none"/>
        </w:rPr>
        <w:t>23.8成交供应商签订合同后，因种种原因不能履约或无故拖延履约期的。</w:t>
      </w:r>
    </w:p>
    <w:p w14:paraId="650E7B82">
      <w:pPr>
        <w:bidi w:val="0"/>
        <w:rPr>
          <w:rFonts w:hint="eastAsia" w:ascii="宋体" w:hAnsi="宋体" w:eastAsia="宋体" w:cs="宋体"/>
          <w:color w:val="auto"/>
          <w:highlight w:val="none"/>
        </w:rPr>
      </w:pPr>
      <w:r>
        <w:rPr>
          <w:rFonts w:hint="eastAsia" w:ascii="宋体" w:hAnsi="宋体" w:eastAsia="宋体" w:cs="宋体"/>
          <w:color w:val="auto"/>
          <w:highlight w:val="none"/>
        </w:rPr>
        <w:t>23.9法律、法规规定的其他情形的。</w:t>
      </w:r>
      <w:bookmarkStart w:id="107" w:name="_Toc325726034"/>
      <w:bookmarkStart w:id="108" w:name="_Toc376936765"/>
    </w:p>
    <w:p w14:paraId="6DF4834B">
      <w:pPr>
        <w:pStyle w:val="5"/>
        <w:bidi w:val="0"/>
        <w:rPr>
          <w:rFonts w:hint="eastAsia" w:ascii="宋体" w:hAnsi="宋体" w:eastAsia="宋体" w:cs="宋体"/>
          <w:color w:val="auto"/>
          <w:highlight w:val="none"/>
        </w:rPr>
      </w:pPr>
      <w:bookmarkStart w:id="109" w:name="_Toc27406"/>
      <w:r>
        <w:rPr>
          <w:rFonts w:hint="eastAsia" w:ascii="宋体" w:hAnsi="宋体" w:eastAsia="宋体" w:cs="宋体"/>
          <w:color w:val="auto"/>
          <w:highlight w:val="none"/>
        </w:rPr>
        <w:t>十一、其他</w:t>
      </w:r>
      <w:bookmarkEnd w:id="107"/>
      <w:bookmarkEnd w:id="108"/>
      <w:bookmarkEnd w:id="109"/>
    </w:p>
    <w:p w14:paraId="7042D587">
      <w:pPr>
        <w:bidi w:val="0"/>
        <w:rPr>
          <w:rFonts w:hint="eastAsia" w:ascii="宋体" w:hAnsi="宋体" w:eastAsia="宋体" w:cs="宋体"/>
          <w:color w:val="auto"/>
          <w:highlight w:val="none"/>
        </w:rPr>
      </w:pPr>
      <w:r>
        <w:rPr>
          <w:rFonts w:hint="eastAsia" w:ascii="宋体" w:hAnsi="宋体" w:eastAsia="宋体" w:cs="宋体"/>
          <w:color w:val="auto"/>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7019AF87">
      <w:pPr>
        <w:bidi w:val="0"/>
        <w:rPr>
          <w:rFonts w:hint="eastAsia" w:ascii="宋体" w:hAnsi="宋体" w:eastAsia="宋体" w:cs="宋体"/>
          <w:color w:val="auto"/>
          <w:highlight w:val="none"/>
        </w:rPr>
      </w:pPr>
      <w:bookmarkStart w:id="110" w:name="_Toc376936766"/>
      <w:r>
        <w:rPr>
          <w:rFonts w:hint="eastAsia" w:ascii="宋体" w:hAnsi="宋体" w:eastAsia="宋体" w:cs="宋体"/>
          <w:color w:val="auto"/>
          <w:highlight w:val="none"/>
        </w:rPr>
        <w:br w:type="page"/>
      </w:r>
    </w:p>
    <w:p w14:paraId="4E2B7B1A">
      <w:pPr>
        <w:pStyle w:val="3"/>
        <w:numPr>
          <w:ilvl w:val="0"/>
          <w:numId w:val="0"/>
        </w:numPr>
        <w:bidi w:val="0"/>
        <w:ind w:left="0" w:leftChars="0" w:firstLine="0" w:firstLineChars="0"/>
        <w:rPr>
          <w:rFonts w:hint="eastAsia" w:ascii="宋体" w:hAnsi="宋体" w:eastAsia="宋体" w:cs="宋体"/>
          <w:color w:val="auto"/>
          <w:sz w:val="40"/>
          <w:szCs w:val="60"/>
          <w:highlight w:val="none"/>
        </w:rPr>
      </w:pPr>
      <w:bookmarkStart w:id="111" w:name="_Toc29921"/>
      <w:r>
        <w:rPr>
          <w:rFonts w:hint="eastAsia" w:ascii="宋体" w:hAnsi="宋体" w:eastAsia="宋体" w:cs="宋体"/>
          <w:color w:val="auto"/>
          <w:sz w:val="40"/>
          <w:szCs w:val="60"/>
          <w:highlight w:val="none"/>
        </w:rPr>
        <w:t>第四部分</w:t>
      </w:r>
      <w:bookmarkEnd w:id="110"/>
      <w:r>
        <w:rPr>
          <w:rFonts w:hint="eastAsia" w:ascii="宋体" w:hAnsi="宋体" w:eastAsia="宋体" w:cs="宋体"/>
          <w:color w:val="auto"/>
          <w:sz w:val="40"/>
          <w:szCs w:val="60"/>
          <w:highlight w:val="none"/>
          <w:lang w:val="en-US" w:eastAsia="zh-CN"/>
        </w:rPr>
        <w:t xml:space="preserve">  </w:t>
      </w:r>
      <w:r>
        <w:rPr>
          <w:rFonts w:hint="eastAsia" w:ascii="宋体" w:hAnsi="宋体" w:eastAsia="宋体" w:cs="宋体"/>
          <w:color w:val="auto"/>
          <w:sz w:val="40"/>
          <w:szCs w:val="60"/>
          <w:highlight w:val="none"/>
        </w:rPr>
        <w:t>青海省政府采购项目合同书范本</w:t>
      </w:r>
      <w:bookmarkEnd w:id="111"/>
    </w:p>
    <w:p w14:paraId="7A42E7DA">
      <w:pPr>
        <w:bidi w:val="0"/>
        <w:rPr>
          <w:rFonts w:hint="eastAsia" w:ascii="宋体" w:hAnsi="宋体" w:eastAsia="宋体" w:cs="宋体"/>
          <w:color w:val="auto"/>
          <w:highlight w:val="none"/>
        </w:rPr>
      </w:pPr>
    </w:p>
    <w:p w14:paraId="3C95D102">
      <w:pPr>
        <w:bidi w:val="0"/>
        <w:rPr>
          <w:rFonts w:hint="eastAsia" w:ascii="宋体" w:hAnsi="宋体" w:eastAsia="宋体" w:cs="宋体"/>
          <w:color w:val="auto"/>
          <w:highlight w:val="none"/>
        </w:rPr>
      </w:pPr>
      <w:bookmarkStart w:id="112" w:name="_Toc373936315"/>
      <w:bookmarkStart w:id="113" w:name="_Toc375576842"/>
      <w:bookmarkStart w:id="114" w:name="_Toc373954603"/>
    </w:p>
    <w:p w14:paraId="7F3BBEB8">
      <w:pPr>
        <w:bidi w:val="0"/>
        <w:rPr>
          <w:rFonts w:hint="eastAsia" w:ascii="宋体" w:hAnsi="宋体" w:eastAsia="宋体" w:cs="宋体"/>
          <w:color w:val="auto"/>
          <w:highlight w:val="none"/>
        </w:rPr>
      </w:pPr>
    </w:p>
    <w:p w14:paraId="17395456">
      <w:pPr>
        <w:bidi w:val="0"/>
        <w:ind w:left="0" w:leftChars="0" w:firstLine="0" w:firstLineChars="0"/>
        <w:jc w:val="center"/>
        <w:rPr>
          <w:rFonts w:hint="eastAsia" w:ascii="宋体" w:hAnsi="宋体" w:eastAsia="宋体" w:cs="宋体"/>
          <w:color w:val="auto"/>
          <w:sz w:val="72"/>
          <w:szCs w:val="72"/>
          <w:highlight w:val="none"/>
        </w:rPr>
      </w:pPr>
      <w:bookmarkStart w:id="115" w:name="_Toc448330810"/>
      <w:r>
        <w:rPr>
          <w:rFonts w:hint="eastAsia" w:ascii="宋体" w:hAnsi="宋体" w:eastAsia="宋体" w:cs="宋体"/>
          <w:color w:val="auto"/>
          <w:sz w:val="72"/>
          <w:szCs w:val="72"/>
          <w:highlight w:val="none"/>
        </w:rPr>
        <w:t>政府采购项目合同</w:t>
      </w:r>
      <w:bookmarkEnd w:id="112"/>
      <w:bookmarkEnd w:id="113"/>
      <w:bookmarkEnd w:id="114"/>
      <w:r>
        <w:rPr>
          <w:rFonts w:hint="eastAsia" w:ascii="宋体" w:hAnsi="宋体" w:eastAsia="宋体" w:cs="宋体"/>
          <w:color w:val="auto"/>
          <w:sz w:val="72"/>
          <w:szCs w:val="72"/>
          <w:highlight w:val="none"/>
        </w:rPr>
        <w:t>书</w:t>
      </w:r>
      <w:bookmarkEnd w:id="115"/>
    </w:p>
    <w:p w14:paraId="7CCEC12A">
      <w:pPr>
        <w:bidi w:val="0"/>
        <w:rPr>
          <w:rFonts w:hint="eastAsia" w:ascii="宋体" w:hAnsi="宋体" w:eastAsia="宋体" w:cs="宋体"/>
          <w:color w:val="auto"/>
          <w:highlight w:val="none"/>
        </w:rPr>
      </w:pPr>
    </w:p>
    <w:p w14:paraId="7C18536B">
      <w:pPr>
        <w:bidi w:val="0"/>
        <w:rPr>
          <w:rFonts w:hint="eastAsia" w:ascii="宋体" w:hAnsi="宋体" w:eastAsia="宋体" w:cs="宋体"/>
          <w:color w:val="auto"/>
          <w:highlight w:val="none"/>
        </w:rPr>
      </w:pPr>
    </w:p>
    <w:p w14:paraId="7D327651">
      <w:pPr>
        <w:bidi w:val="0"/>
        <w:rPr>
          <w:rFonts w:hint="eastAsia" w:ascii="宋体" w:hAnsi="宋体" w:eastAsia="宋体" w:cs="宋体"/>
          <w:color w:val="auto"/>
          <w:highlight w:val="none"/>
        </w:rPr>
      </w:pPr>
    </w:p>
    <w:p w14:paraId="1FD82362">
      <w:pPr>
        <w:bidi w:val="0"/>
        <w:ind w:left="2525" w:leftChars="232" w:hanging="1968" w:hangingChars="7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采购项目名称：</w:t>
      </w:r>
      <w:r>
        <w:rPr>
          <w:rFonts w:hint="eastAsia" w:ascii="宋体" w:hAnsi="宋体" w:cs="宋体"/>
          <w:b/>
          <w:bCs/>
          <w:color w:val="auto"/>
          <w:sz w:val="28"/>
          <w:szCs w:val="28"/>
          <w:highlight w:val="none"/>
          <w:u w:val="single"/>
          <w:lang w:val="en-US" w:eastAsia="zh-CN"/>
        </w:rPr>
        <w:t>青海省财政厅信息机房设备维保服务项目</w:t>
      </w:r>
    </w:p>
    <w:p w14:paraId="240EBCC4">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采购项目编号：</w:t>
      </w:r>
      <w:r>
        <w:rPr>
          <w:rFonts w:hint="eastAsia" w:ascii="宋体" w:hAnsi="宋体" w:cs="宋体"/>
          <w:b/>
          <w:bCs/>
          <w:color w:val="auto"/>
          <w:sz w:val="28"/>
          <w:szCs w:val="28"/>
          <w:highlight w:val="none"/>
          <w:u w:val="single"/>
          <w:lang w:val="en-US" w:eastAsia="zh-CN"/>
        </w:rPr>
        <w:t>青海联祥磋商（服务）2026-057</w:t>
      </w:r>
    </w:p>
    <w:p w14:paraId="783D27E1">
      <w:pPr>
        <w:bidi w:val="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采购合同编号：</w:t>
      </w:r>
      <w:r>
        <w:rPr>
          <w:rFonts w:hint="eastAsia" w:ascii="宋体" w:hAnsi="宋体" w:eastAsia="宋体" w:cs="宋体"/>
          <w:b/>
          <w:bCs/>
          <w:color w:val="auto"/>
          <w:sz w:val="28"/>
          <w:szCs w:val="28"/>
          <w:highlight w:val="none"/>
          <w:u w:val="single"/>
          <w:lang w:val="en-US" w:eastAsia="zh-CN"/>
        </w:rPr>
        <w:t>QHLX-</w:t>
      </w:r>
      <w:r>
        <w:rPr>
          <w:rFonts w:hint="eastAsia" w:ascii="宋体" w:hAnsi="宋体" w:cs="宋体"/>
          <w:b/>
          <w:bCs/>
          <w:color w:val="auto"/>
          <w:sz w:val="28"/>
          <w:szCs w:val="28"/>
          <w:highlight w:val="none"/>
          <w:u w:val="single"/>
          <w:lang w:val="en-US" w:eastAsia="zh-CN"/>
        </w:rPr>
        <w:t>2026-057</w:t>
      </w:r>
    </w:p>
    <w:p w14:paraId="7D9F02FB">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采购单位：</w:t>
      </w:r>
      <w:r>
        <w:rPr>
          <w:rFonts w:hint="eastAsia" w:ascii="宋体" w:hAnsi="宋体" w:cs="宋体"/>
          <w:b/>
          <w:bCs/>
          <w:color w:val="auto"/>
          <w:sz w:val="28"/>
          <w:szCs w:val="28"/>
          <w:highlight w:val="none"/>
          <w:u w:val="single"/>
          <w:lang w:val="en-US" w:eastAsia="zh-CN"/>
        </w:rPr>
        <w:t>青海省财政厅</w:t>
      </w:r>
    </w:p>
    <w:p w14:paraId="2A088DCA">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u w:val="single"/>
          <w:lang w:val="en-US" w:eastAsia="zh-CN"/>
        </w:rPr>
        <w:t xml:space="preserve">                           </w:t>
      </w:r>
    </w:p>
    <w:p w14:paraId="7549FF0F">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合同金额：</w:t>
      </w:r>
      <w:r>
        <w:rPr>
          <w:rFonts w:hint="eastAsia" w:ascii="宋体" w:hAnsi="宋体" w:eastAsia="宋体" w:cs="宋体"/>
          <w:b/>
          <w:bCs/>
          <w:color w:val="auto"/>
          <w:sz w:val="28"/>
          <w:szCs w:val="28"/>
          <w:highlight w:val="none"/>
          <w:u w:val="single"/>
          <w:lang w:val="en-US" w:eastAsia="zh-CN"/>
        </w:rPr>
        <w:t xml:space="preserve">                         </w:t>
      </w:r>
    </w:p>
    <w:p w14:paraId="13BF7E0E">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磋商日期：</w:t>
      </w:r>
      <w:r>
        <w:rPr>
          <w:rFonts w:hint="eastAsia" w:ascii="宋体" w:hAnsi="宋体" w:eastAsia="宋体" w:cs="宋体"/>
          <w:b/>
          <w:bCs/>
          <w:color w:val="auto"/>
          <w:sz w:val="28"/>
          <w:szCs w:val="28"/>
          <w:highlight w:val="none"/>
          <w:u w:val="single"/>
          <w:lang w:val="en-US" w:eastAsia="zh-CN"/>
        </w:rPr>
        <w:t xml:space="preserve">    年  月  日 </w:t>
      </w:r>
    </w:p>
    <w:p w14:paraId="41A1B554">
      <w:pPr>
        <w:pStyle w:val="2"/>
        <w:ind w:firstLine="0" w:firstLineChars="0"/>
        <w:rPr>
          <w:rFonts w:hint="eastAsia" w:ascii="宋体" w:hAnsi="宋体" w:eastAsia="宋体" w:cs="宋体"/>
          <w:b/>
          <w:bCs/>
          <w:color w:val="auto"/>
          <w:kern w:val="0"/>
          <w:szCs w:val="24"/>
          <w:highlight w:val="none"/>
        </w:rPr>
      </w:pPr>
    </w:p>
    <w:p w14:paraId="7367106B">
      <w:pPr>
        <w:bidi w:val="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注：本合同格式为合同的参考文本，合同签订双方可根据项目的具体要求进行修订，但合同金额、服务承诺、履约方式等必须与磋商文件和供应商的响应文件保持一致。在不违反原采购方案要求和各方认可的文件内容前提下，合同当事人可对合同范本中个别非磋商文件规定和响应文件承诺的合同条款共同协商完善补充修订。</w:t>
      </w:r>
    </w:p>
    <w:p w14:paraId="4A8087EC">
      <w:pPr>
        <w:pStyle w:val="2"/>
        <w:ind w:firstLine="0" w:firstLineChars="0"/>
        <w:rPr>
          <w:rFonts w:hint="eastAsia" w:ascii="宋体" w:hAnsi="宋体" w:eastAsia="宋体" w:cs="宋体"/>
          <w:b/>
          <w:bCs/>
          <w:color w:val="auto"/>
          <w:kern w:val="0"/>
          <w:szCs w:val="24"/>
          <w:highlight w:val="none"/>
        </w:rPr>
      </w:pPr>
    </w:p>
    <w:p w14:paraId="77768FDD">
      <w:pPr>
        <w:rPr>
          <w:rFonts w:hint="eastAsia" w:ascii="宋体" w:hAnsi="宋体" w:eastAsia="宋体" w:cs="宋体"/>
          <w:b/>
          <w:bCs/>
          <w:color w:val="auto"/>
          <w:highlight w:val="none"/>
          <w:lang w:val="zh-CN"/>
        </w:rPr>
      </w:pPr>
      <w:bookmarkStart w:id="116" w:name="_Toc325726036"/>
      <w:bookmarkStart w:id="117" w:name="_Toc376936767"/>
    </w:p>
    <w:p w14:paraId="0DBAF35A">
      <w:pPr>
        <w:autoSpaceDE w:val="0"/>
        <w:autoSpaceDN w:val="0"/>
        <w:adjustRightInd w:val="0"/>
        <w:spacing w:line="360" w:lineRule="auto"/>
        <w:ind w:left="0" w:leftChars="0" w:firstLine="0" w:firstLineChars="0"/>
        <w:rPr>
          <w:rFonts w:hint="eastAsia" w:ascii="宋体" w:hAnsi="宋体" w:eastAsia="宋体" w:cs="宋体"/>
          <w:b/>
          <w:bCs/>
          <w:color w:val="auto"/>
          <w:highlight w:val="none"/>
          <w:lang w:val="zh-CN"/>
        </w:rPr>
      </w:pPr>
    </w:p>
    <w:p w14:paraId="438A98BE">
      <w:pPr>
        <w:autoSpaceDE w:val="0"/>
        <w:autoSpaceDN w:val="0"/>
        <w:adjustRightInd w:val="0"/>
        <w:spacing w:line="360" w:lineRule="auto"/>
        <w:ind w:left="0" w:leftChars="0" w:firstLine="0" w:firstLineChars="0"/>
        <w:rPr>
          <w:rFonts w:hint="eastAsia" w:ascii="宋体" w:hAnsi="宋体" w:eastAsia="宋体" w:cs="宋体"/>
          <w:b/>
          <w:bCs/>
          <w:color w:val="auto"/>
          <w:highlight w:val="none"/>
          <w:lang w:val="zh-CN"/>
        </w:rPr>
      </w:pPr>
    </w:p>
    <w:p w14:paraId="28B3D332">
      <w:pPr>
        <w:pStyle w:val="80"/>
        <w:rPr>
          <w:rFonts w:hint="eastAsia"/>
          <w:color w:val="auto"/>
          <w:highlight w:val="none"/>
          <w:lang w:val="zh-CN"/>
        </w:rPr>
      </w:pPr>
    </w:p>
    <w:p w14:paraId="5116D9A4">
      <w:pPr>
        <w:autoSpaceDE w:val="0"/>
        <w:autoSpaceDN w:val="0"/>
        <w:adjustRightInd w:val="0"/>
        <w:spacing w:line="360" w:lineRule="auto"/>
        <w:ind w:left="0" w:leftChars="0" w:firstLine="0" w:firstLineChars="0"/>
        <w:rPr>
          <w:rFonts w:hint="eastAsia" w:ascii="宋体" w:hAnsi="宋体" w:eastAsia="宋体" w:cs="宋体"/>
          <w:b/>
          <w:bCs/>
          <w:color w:val="000000"/>
        </w:rPr>
      </w:pPr>
      <w:r>
        <w:rPr>
          <w:rFonts w:hint="eastAsia" w:ascii="宋体" w:hAnsi="宋体" w:eastAsia="宋体" w:cs="宋体"/>
          <w:b/>
          <w:bCs/>
          <w:color w:val="000000"/>
          <w:lang w:val="zh-CN"/>
        </w:rPr>
        <w:t>采</w:t>
      </w:r>
      <w:r>
        <w:rPr>
          <w:rFonts w:hint="eastAsia" w:ascii="宋体" w:hAnsi="宋体" w:eastAsia="宋体" w:cs="宋体"/>
          <w:b/>
          <w:bCs/>
          <w:color w:val="000000"/>
        </w:rPr>
        <w:t xml:space="preserve"> </w:t>
      </w:r>
      <w:r>
        <w:rPr>
          <w:rFonts w:hint="eastAsia" w:ascii="宋体" w:hAnsi="宋体" w:eastAsia="宋体" w:cs="宋体"/>
          <w:b/>
          <w:bCs/>
          <w:color w:val="000000"/>
          <w:lang w:val="zh-CN"/>
        </w:rPr>
        <w:t>购</w:t>
      </w:r>
      <w:r>
        <w:rPr>
          <w:rFonts w:hint="eastAsia" w:ascii="宋体" w:hAnsi="宋体" w:eastAsia="宋体" w:cs="宋体"/>
          <w:b/>
          <w:bCs/>
          <w:color w:val="000000"/>
        </w:rPr>
        <w:t xml:space="preserve"> </w:t>
      </w:r>
      <w:r>
        <w:rPr>
          <w:rFonts w:hint="eastAsia" w:ascii="宋体" w:hAnsi="宋体" w:eastAsia="宋体" w:cs="宋体"/>
          <w:b/>
          <w:bCs/>
          <w:color w:val="000000"/>
          <w:lang w:val="zh-CN"/>
        </w:rPr>
        <w:t>人（以下简称甲方）：</w:t>
      </w:r>
      <w:r>
        <w:rPr>
          <w:rFonts w:hint="eastAsia" w:ascii="宋体" w:hAnsi="宋体" w:eastAsia="宋体" w:cs="宋体"/>
          <w:b/>
          <w:bCs/>
          <w:color w:val="000000"/>
        </w:rPr>
        <w:t xml:space="preserve"> </w:t>
      </w:r>
    </w:p>
    <w:p w14:paraId="37A6818E">
      <w:pPr>
        <w:autoSpaceDE w:val="0"/>
        <w:autoSpaceDN w:val="0"/>
        <w:adjustRightInd w:val="0"/>
        <w:spacing w:line="360" w:lineRule="auto"/>
        <w:ind w:left="0" w:leftChars="0" w:firstLine="0" w:firstLineChars="0"/>
        <w:rPr>
          <w:rFonts w:hint="eastAsia" w:ascii="宋体" w:hAnsi="宋体" w:eastAsia="宋体" w:cs="宋体"/>
          <w:color w:val="000000"/>
        </w:rPr>
      </w:pPr>
      <w:r>
        <w:rPr>
          <w:rFonts w:hint="eastAsia" w:ascii="宋体" w:hAnsi="宋体" w:eastAsia="宋体" w:cs="宋体"/>
          <w:b/>
          <w:bCs/>
          <w:color w:val="000000"/>
        </w:rPr>
        <w:t>供 应 商</w:t>
      </w:r>
      <w:r>
        <w:rPr>
          <w:rFonts w:hint="eastAsia" w:ascii="宋体" w:hAnsi="宋体" w:eastAsia="宋体" w:cs="宋体"/>
          <w:b/>
          <w:bCs/>
          <w:color w:val="000000"/>
          <w:lang w:val="zh-CN"/>
        </w:rPr>
        <w:t>（以下简称乙方）：</w:t>
      </w:r>
    </w:p>
    <w:p w14:paraId="0889374A">
      <w:pPr>
        <w:bidi w:val="0"/>
        <w:rPr>
          <w:rFonts w:hint="eastAsia" w:ascii="宋体" w:hAnsi="宋体" w:eastAsia="宋体" w:cs="宋体"/>
          <w:lang w:val="zh-CN"/>
        </w:rPr>
      </w:pPr>
      <w:r>
        <w:rPr>
          <w:rFonts w:hint="eastAsia" w:ascii="宋体" w:hAnsi="宋体" w:eastAsia="宋体" w:cs="宋体"/>
          <w:lang w:val="zh-CN"/>
        </w:rPr>
        <w:t>甲、乙双方根据</w:t>
      </w:r>
      <w:r>
        <w:rPr>
          <w:rFonts w:hint="eastAsia" w:ascii="宋体" w:hAnsi="宋体" w:eastAsia="宋体" w:cs="宋体"/>
        </w:rPr>
        <w:t xml:space="preserve">    </w:t>
      </w:r>
      <w:r>
        <w:rPr>
          <w:rFonts w:hint="eastAsia" w:ascii="宋体" w:hAnsi="宋体" w:eastAsia="宋体" w:cs="宋体"/>
          <w:lang w:val="zh-CN"/>
        </w:rPr>
        <w:t>年</w:t>
      </w:r>
      <w:r>
        <w:rPr>
          <w:rFonts w:hint="eastAsia" w:ascii="宋体" w:hAnsi="宋体" w:eastAsia="宋体" w:cs="宋体"/>
        </w:rPr>
        <w:t xml:space="preserve">  </w:t>
      </w:r>
      <w:r>
        <w:rPr>
          <w:rFonts w:hint="eastAsia" w:ascii="宋体" w:hAnsi="宋体" w:eastAsia="宋体" w:cs="宋体"/>
          <w:highlight w:val="none"/>
          <w:lang w:val="zh-CN"/>
        </w:rPr>
        <w:t>月</w:t>
      </w:r>
      <w:r>
        <w:rPr>
          <w:rFonts w:hint="eastAsia" w:ascii="宋体" w:hAnsi="宋体" w:eastAsia="宋体" w:cs="宋体"/>
          <w:highlight w:val="none"/>
        </w:rPr>
        <w:t xml:space="preserve">  </w:t>
      </w:r>
      <w:r>
        <w:rPr>
          <w:rFonts w:hint="eastAsia" w:ascii="宋体" w:hAnsi="宋体" w:eastAsia="宋体" w:cs="宋体"/>
          <w:highlight w:val="none"/>
          <w:lang w:val="zh-CN"/>
        </w:rPr>
        <w:t>日（</w:t>
      </w:r>
      <w:r>
        <w:rPr>
          <w:rFonts w:hint="eastAsia" w:ascii="宋体" w:hAnsi="宋体" w:cs="宋体"/>
          <w:highlight w:val="none"/>
          <w:lang w:val="zh-CN"/>
        </w:rPr>
        <w:t>青海省财政厅信息机房设备维保服务项目</w:t>
      </w:r>
      <w:r>
        <w:rPr>
          <w:rFonts w:hint="eastAsia" w:ascii="宋体" w:hAnsi="宋体" w:eastAsia="宋体" w:cs="宋体"/>
          <w:highlight w:val="none"/>
          <w:lang w:val="zh-CN"/>
        </w:rPr>
        <w:t>）（青海联祥磋商（服务）2026-057）的</w:t>
      </w:r>
      <w:r>
        <w:rPr>
          <w:rFonts w:hint="eastAsia" w:ascii="宋体" w:hAnsi="宋体" w:eastAsia="宋体" w:cs="宋体"/>
          <w:highlight w:val="none"/>
        </w:rPr>
        <w:t>磋</w:t>
      </w:r>
      <w:r>
        <w:rPr>
          <w:rFonts w:hint="eastAsia" w:ascii="宋体" w:hAnsi="宋体" w:eastAsia="宋体" w:cs="宋体"/>
        </w:rPr>
        <w:t>商</w:t>
      </w:r>
      <w:r>
        <w:rPr>
          <w:rFonts w:hint="eastAsia" w:ascii="宋体" w:hAnsi="宋体" w:eastAsia="宋体" w:cs="宋体"/>
          <w:lang w:val="zh-CN"/>
        </w:rPr>
        <w:t>文件要求和采购代理机构出具的《</w:t>
      </w:r>
      <w:r>
        <w:rPr>
          <w:rFonts w:hint="eastAsia" w:ascii="宋体" w:hAnsi="宋体" w:eastAsia="宋体" w:cs="宋体"/>
        </w:rPr>
        <w:t>成交</w:t>
      </w:r>
      <w:r>
        <w:rPr>
          <w:rFonts w:hint="eastAsia" w:ascii="宋体" w:hAnsi="宋体" w:eastAsia="宋体" w:cs="宋体"/>
          <w:lang w:val="zh-CN"/>
        </w:rPr>
        <w:t>通知书》，并经双方协商一致，签订本合同协议书。</w:t>
      </w:r>
    </w:p>
    <w:p w14:paraId="483A749F">
      <w:pPr>
        <w:bidi w:val="0"/>
        <w:rPr>
          <w:rFonts w:hint="eastAsia" w:ascii="宋体" w:hAnsi="宋体" w:eastAsia="宋体" w:cs="宋体"/>
          <w:b/>
          <w:bCs/>
          <w:lang w:val="zh-CN"/>
        </w:rPr>
      </w:pPr>
      <w:r>
        <w:rPr>
          <w:rFonts w:hint="eastAsia" w:ascii="宋体" w:hAnsi="宋体" w:eastAsia="宋体" w:cs="宋体"/>
          <w:b/>
          <w:bCs/>
          <w:lang w:val="zh-CN"/>
        </w:rPr>
        <w:t>签订本政府采购合同的依据：</w:t>
      </w:r>
    </w:p>
    <w:p w14:paraId="5F33C656">
      <w:pPr>
        <w:bidi w:val="0"/>
        <w:ind w:left="0" w:leftChars="0" w:firstLine="0" w:firstLineChars="0"/>
        <w:rPr>
          <w:rFonts w:hint="eastAsia" w:ascii="宋体" w:hAnsi="宋体" w:eastAsia="宋体" w:cs="宋体"/>
          <w:lang w:val="zh-CN"/>
        </w:rPr>
      </w:pPr>
      <w:r>
        <w:rPr>
          <w:rFonts w:hint="eastAsia" w:ascii="宋体" w:hAnsi="宋体" w:eastAsia="宋体" w:cs="宋体"/>
          <w:b/>
          <w:bCs/>
        </w:rPr>
        <w:t>一、</w:t>
      </w:r>
      <w:r>
        <w:rPr>
          <w:rFonts w:hint="eastAsia" w:ascii="宋体" w:hAnsi="宋体" w:eastAsia="宋体" w:cs="宋体"/>
          <w:b/>
          <w:bCs/>
          <w:lang w:val="zh-CN"/>
        </w:rPr>
        <w:t>本政府采购合同所附下列文件是构成本政府采购合同不可分割的部分：</w:t>
      </w:r>
    </w:p>
    <w:p w14:paraId="049CFE59">
      <w:pPr>
        <w:bidi w:val="0"/>
        <w:rPr>
          <w:rFonts w:hint="eastAsia" w:ascii="宋体" w:hAnsi="宋体" w:eastAsia="宋体" w:cs="宋体"/>
        </w:rPr>
      </w:pPr>
      <w:r>
        <w:rPr>
          <w:rFonts w:hint="eastAsia" w:ascii="宋体" w:hAnsi="宋体" w:eastAsia="宋体" w:cs="宋体"/>
        </w:rPr>
        <w:t>1、磋商文件；</w:t>
      </w:r>
    </w:p>
    <w:p w14:paraId="505BFA99">
      <w:pPr>
        <w:bidi w:val="0"/>
        <w:rPr>
          <w:rFonts w:hint="eastAsia" w:ascii="宋体" w:hAnsi="宋体" w:eastAsia="宋体" w:cs="宋体"/>
        </w:rPr>
      </w:pPr>
      <w:r>
        <w:rPr>
          <w:rFonts w:hint="eastAsia" w:ascii="宋体" w:hAnsi="宋体" w:eastAsia="宋体" w:cs="宋体"/>
        </w:rPr>
        <w:t>2、磋商文件的更正、变更公告；</w:t>
      </w:r>
    </w:p>
    <w:p w14:paraId="042D6147">
      <w:pPr>
        <w:bidi w:val="0"/>
        <w:rPr>
          <w:rFonts w:hint="eastAsia" w:ascii="宋体" w:hAnsi="宋体" w:eastAsia="宋体" w:cs="宋体"/>
        </w:rPr>
      </w:pPr>
      <w:r>
        <w:rPr>
          <w:rFonts w:hint="eastAsia" w:ascii="宋体" w:hAnsi="宋体" w:eastAsia="宋体" w:cs="宋体"/>
        </w:rPr>
        <w:t>3、成交人提交的</w:t>
      </w:r>
      <w:r>
        <w:rPr>
          <w:rFonts w:hint="eastAsia" w:ascii="宋体" w:hAnsi="宋体" w:eastAsia="宋体" w:cs="宋体"/>
          <w:lang w:val="en-US" w:eastAsia="zh-CN"/>
        </w:rPr>
        <w:t>投标响应</w:t>
      </w:r>
      <w:r>
        <w:rPr>
          <w:rFonts w:hint="eastAsia" w:ascii="宋体" w:hAnsi="宋体" w:eastAsia="宋体" w:cs="宋体"/>
        </w:rPr>
        <w:t>文件；</w:t>
      </w:r>
    </w:p>
    <w:p w14:paraId="70896F50">
      <w:pPr>
        <w:bidi w:val="0"/>
        <w:rPr>
          <w:rFonts w:hint="eastAsia" w:ascii="宋体" w:hAnsi="宋体" w:eastAsia="宋体" w:cs="宋体"/>
        </w:rPr>
      </w:pPr>
      <w:r>
        <w:rPr>
          <w:rFonts w:hint="eastAsia" w:ascii="宋体" w:hAnsi="宋体" w:eastAsia="宋体" w:cs="宋体"/>
        </w:rPr>
        <w:t>4、磋商文件中规定的政府采购合同通用条款；</w:t>
      </w:r>
    </w:p>
    <w:p w14:paraId="3F1611E7">
      <w:pPr>
        <w:bidi w:val="0"/>
        <w:rPr>
          <w:rFonts w:hint="eastAsia" w:ascii="宋体" w:hAnsi="宋体" w:eastAsia="宋体" w:cs="宋体"/>
        </w:rPr>
      </w:pPr>
      <w:r>
        <w:rPr>
          <w:rFonts w:hint="eastAsia" w:ascii="宋体" w:hAnsi="宋体" w:eastAsia="宋体" w:cs="宋体"/>
        </w:rPr>
        <w:t>5、成交通知书；</w:t>
      </w:r>
    </w:p>
    <w:p w14:paraId="4FD2C125">
      <w:pPr>
        <w:bidi w:val="0"/>
        <w:rPr>
          <w:rFonts w:hint="eastAsia" w:ascii="宋体" w:hAnsi="宋体" w:eastAsia="宋体" w:cs="宋体"/>
        </w:rPr>
      </w:pPr>
      <w:r>
        <w:rPr>
          <w:rFonts w:hint="eastAsia" w:ascii="宋体" w:hAnsi="宋体" w:eastAsia="宋体" w:cs="宋体"/>
        </w:rPr>
        <w:t>6、最终报价表；</w:t>
      </w:r>
    </w:p>
    <w:p w14:paraId="02D22FDA">
      <w:pPr>
        <w:bidi w:val="0"/>
        <w:rPr>
          <w:rFonts w:hint="eastAsia" w:ascii="宋体" w:hAnsi="宋体" w:eastAsia="宋体" w:cs="宋体"/>
          <w:lang w:eastAsia="zh-CN"/>
        </w:rPr>
      </w:pPr>
      <w:r>
        <w:rPr>
          <w:rFonts w:hint="eastAsia" w:ascii="宋体" w:hAnsi="宋体" w:eastAsia="宋体" w:cs="宋体"/>
        </w:rPr>
        <w:t>7、履约保证金缴款证明</w:t>
      </w:r>
    </w:p>
    <w:p w14:paraId="3107A651">
      <w:pPr>
        <w:bidi w:val="0"/>
        <w:ind w:left="0" w:leftChars="0" w:firstLine="0" w:firstLineChars="0"/>
        <w:rPr>
          <w:rFonts w:hint="eastAsia" w:ascii="宋体" w:hAnsi="宋体" w:eastAsia="宋体" w:cs="宋体"/>
          <w:lang w:val="zh-CN"/>
        </w:rPr>
      </w:pPr>
      <w:r>
        <w:rPr>
          <w:rFonts w:hint="eastAsia" w:ascii="宋体" w:hAnsi="宋体" w:eastAsia="宋体" w:cs="宋体"/>
          <w:b/>
          <w:bCs/>
          <w:lang w:val="zh-CN"/>
        </w:rPr>
        <w:t>二、合同标的及金额</w:t>
      </w:r>
    </w:p>
    <w:p w14:paraId="61EAF858">
      <w:pPr>
        <w:bidi w:val="0"/>
        <w:jc w:val="right"/>
        <w:rPr>
          <w:rFonts w:hint="eastAsia" w:ascii="宋体" w:hAnsi="宋体" w:eastAsia="宋体" w:cs="宋体"/>
          <w:lang w:val="zh-CN"/>
        </w:rPr>
      </w:pPr>
      <w:r>
        <w:rPr>
          <w:rFonts w:hint="eastAsia" w:ascii="宋体" w:hAnsi="宋体" w:eastAsia="宋体" w:cs="宋体"/>
          <w:lang w:val="zh-CN"/>
        </w:rPr>
        <w:t xml:space="preserve">      单位：元</w:t>
      </w:r>
    </w:p>
    <w:tbl>
      <w:tblPr>
        <w:tblStyle w:val="67"/>
        <w:tblW w:w="8768" w:type="dxa"/>
        <w:jc w:val="center"/>
        <w:tblLayout w:type="fixed"/>
        <w:tblCellMar>
          <w:top w:w="0" w:type="dxa"/>
          <w:left w:w="108" w:type="dxa"/>
          <w:bottom w:w="0" w:type="dxa"/>
          <w:right w:w="108" w:type="dxa"/>
        </w:tblCellMar>
      </w:tblPr>
      <w:tblGrid>
        <w:gridCol w:w="1728"/>
        <w:gridCol w:w="3377"/>
        <w:gridCol w:w="1487"/>
        <w:gridCol w:w="1276"/>
        <w:gridCol w:w="900"/>
      </w:tblGrid>
      <w:tr w14:paraId="7C581966">
        <w:tblPrEx>
          <w:tblCellMar>
            <w:top w:w="0" w:type="dxa"/>
            <w:left w:w="108" w:type="dxa"/>
            <w:bottom w:w="0" w:type="dxa"/>
            <w:right w:w="108" w:type="dxa"/>
          </w:tblCellMar>
        </w:tblPrEx>
        <w:trPr>
          <w:cantSplit/>
          <w:trHeight w:val="90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E55C5D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r>
              <w:rPr>
                <w:rFonts w:hint="eastAsia" w:ascii="宋体" w:hAnsi="宋体" w:eastAsia="宋体" w:cs="宋体"/>
                <w:lang w:val="zh-CN"/>
              </w:rPr>
              <w:t>序号</w:t>
            </w:r>
          </w:p>
        </w:tc>
        <w:tc>
          <w:tcPr>
            <w:tcW w:w="3377" w:type="dxa"/>
            <w:tcBorders>
              <w:top w:val="single" w:color="auto" w:sz="4" w:space="0"/>
              <w:left w:val="single" w:color="auto" w:sz="4" w:space="0"/>
              <w:bottom w:val="single" w:color="auto" w:sz="4" w:space="0"/>
              <w:right w:val="single" w:color="auto" w:sz="4" w:space="0"/>
            </w:tcBorders>
            <w:vAlign w:val="center"/>
          </w:tcPr>
          <w:p w14:paraId="7105B97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en-US" w:eastAsia="zh-CN"/>
              </w:rPr>
            </w:pPr>
            <w:r>
              <w:rPr>
                <w:rFonts w:hint="eastAsia" w:ascii="宋体" w:hAnsi="宋体" w:eastAsia="宋体" w:cs="宋体"/>
                <w:lang w:val="zh-CN"/>
              </w:rPr>
              <w:t>服务</w:t>
            </w:r>
            <w:r>
              <w:rPr>
                <w:rFonts w:hint="eastAsia" w:ascii="宋体" w:hAnsi="宋体" w:eastAsia="宋体" w:cs="宋体"/>
                <w:lang w:val="en-US" w:eastAsia="zh-CN"/>
              </w:rPr>
              <w:t>内容</w:t>
            </w:r>
          </w:p>
        </w:tc>
        <w:tc>
          <w:tcPr>
            <w:tcW w:w="1487" w:type="dxa"/>
            <w:tcBorders>
              <w:top w:val="single" w:color="auto" w:sz="4" w:space="0"/>
              <w:left w:val="single" w:color="auto" w:sz="4" w:space="0"/>
              <w:bottom w:val="single" w:color="auto" w:sz="4" w:space="0"/>
              <w:right w:val="single" w:color="auto" w:sz="4" w:space="0"/>
            </w:tcBorders>
            <w:vAlign w:val="center"/>
          </w:tcPr>
          <w:p w14:paraId="136BF66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数量及单位</w:t>
            </w:r>
          </w:p>
        </w:tc>
        <w:tc>
          <w:tcPr>
            <w:tcW w:w="1276" w:type="dxa"/>
            <w:tcBorders>
              <w:top w:val="single" w:color="auto" w:sz="4" w:space="0"/>
              <w:left w:val="single" w:color="auto" w:sz="4" w:space="0"/>
              <w:bottom w:val="single" w:color="auto" w:sz="4" w:space="0"/>
              <w:right w:val="single" w:color="auto" w:sz="4" w:space="0"/>
            </w:tcBorders>
            <w:vAlign w:val="center"/>
          </w:tcPr>
          <w:p w14:paraId="25EF5E7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r>
              <w:rPr>
                <w:rFonts w:hint="eastAsia" w:ascii="宋体" w:hAnsi="宋体" w:eastAsia="宋体" w:cs="宋体"/>
              </w:rPr>
              <w:t>金额</w:t>
            </w:r>
          </w:p>
        </w:tc>
        <w:tc>
          <w:tcPr>
            <w:tcW w:w="900" w:type="dxa"/>
            <w:tcBorders>
              <w:top w:val="single" w:color="auto" w:sz="4" w:space="0"/>
              <w:left w:val="single" w:color="auto" w:sz="4" w:space="0"/>
              <w:bottom w:val="single" w:color="auto" w:sz="4" w:space="0"/>
              <w:right w:val="single" w:color="auto" w:sz="4" w:space="0"/>
            </w:tcBorders>
            <w:vAlign w:val="center"/>
          </w:tcPr>
          <w:p w14:paraId="2074FF4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r>
              <w:rPr>
                <w:rFonts w:hint="eastAsia" w:ascii="宋体" w:hAnsi="宋体" w:eastAsia="宋体" w:cs="宋体"/>
                <w:lang w:val="zh-CN"/>
              </w:rPr>
              <w:t>备注</w:t>
            </w:r>
          </w:p>
        </w:tc>
      </w:tr>
      <w:tr w14:paraId="3A6A50CE">
        <w:tblPrEx>
          <w:tblCellMar>
            <w:top w:w="0" w:type="dxa"/>
            <w:left w:w="108" w:type="dxa"/>
            <w:bottom w:w="0" w:type="dxa"/>
            <w:right w:w="108" w:type="dxa"/>
          </w:tblCellMar>
        </w:tblPrEx>
        <w:trPr>
          <w:cantSplit/>
          <w:trHeight w:val="590" w:hRule="atLeast"/>
          <w:jc w:val="center"/>
        </w:trPr>
        <w:tc>
          <w:tcPr>
            <w:tcW w:w="1728" w:type="dxa"/>
            <w:tcBorders>
              <w:top w:val="single" w:color="auto" w:sz="4" w:space="0"/>
              <w:left w:val="single" w:color="auto" w:sz="4" w:space="0"/>
              <w:bottom w:val="single" w:color="auto" w:sz="4" w:space="0"/>
              <w:right w:val="single" w:color="auto" w:sz="4" w:space="0"/>
            </w:tcBorders>
          </w:tcPr>
          <w:p w14:paraId="337B0E6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r>
              <w:rPr>
                <w:rFonts w:hint="eastAsia" w:ascii="宋体" w:hAnsi="宋体" w:eastAsia="宋体" w:cs="宋体"/>
                <w:lang w:val="zh-CN"/>
              </w:rPr>
              <w:t>1</w:t>
            </w:r>
          </w:p>
        </w:tc>
        <w:tc>
          <w:tcPr>
            <w:tcW w:w="3377" w:type="dxa"/>
            <w:tcBorders>
              <w:top w:val="single" w:color="auto" w:sz="4" w:space="0"/>
              <w:left w:val="single" w:color="auto" w:sz="4" w:space="0"/>
              <w:bottom w:val="single" w:color="auto" w:sz="4" w:space="0"/>
              <w:right w:val="single" w:color="auto" w:sz="4" w:space="0"/>
            </w:tcBorders>
            <w:vAlign w:val="center"/>
          </w:tcPr>
          <w:p w14:paraId="79A5F67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1487" w:type="dxa"/>
            <w:tcBorders>
              <w:top w:val="single" w:color="auto" w:sz="4" w:space="0"/>
              <w:left w:val="single" w:color="auto" w:sz="4" w:space="0"/>
              <w:bottom w:val="single" w:color="auto" w:sz="4" w:space="0"/>
              <w:right w:val="single" w:color="auto" w:sz="4" w:space="0"/>
            </w:tcBorders>
            <w:vAlign w:val="center"/>
          </w:tcPr>
          <w:p w14:paraId="201F5F5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3B76427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900" w:type="dxa"/>
            <w:tcBorders>
              <w:top w:val="single" w:color="auto" w:sz="4" w:space="0"/>
              <w:left w:val="single" w:color="auto" w:sz="4" w:space="0"/>
              <w:bottom w:val="single" w:color="auto" w:sz="4" w:space="0"/>
              <w:right w:val="single" w:color="auto" w:sz="4" w:space="0"/>
            </w:tcBorders>
            <w:vAlign w:val="center"/>
          </w:tcPr>
          <w:p w14:paraId="1CDE30A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r>
      <w:tr w14:paraId="380F221E">
        <w:tblPrEx>
          <w:tblCellMar>
            <w:top w:w="0" w:type="dxa"/>
            <w:left w:w="108" w:type="dxa"/>
            <w:bottom w:w="0" w:type="dxa"/>
            <w:right w:w="108" w:type="dxa"/>
          </w:tblCellMar>
        </w:tblPrEx>
        <w:trPr>
          <w:cantSplit/>
          <w:trHeight w:val="664" w:hRule="atLeast"/>
          <w:jc w:val="center"/>
        </w:trPr>
        <w:tc>
          <w:tcPr>
            <w:tcW w:w="1728" w:type="dxa"/>
            <w:tcBorders>
              <w:top w:val="single" w:color="auto" w:sz="4" w:space="0"/>
              <w:left w:val="single" w:color="auto" w:sz="4" w:space="0"/>
              <w:bottom w:val="single" w:color="auto" w:sz="4" w:space="0"/>
              <w:right w:val="single" w:color="auto" w:sz="4" w:space="0"/>
            </w:tcBorders>
          </w:tcPr>
          <w:p w14:paraId="4F429A1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r>
              <w:rPr>
                <w:rFonts w:hint="eastAsia" w:ascii="宋体" w:hAnsi="宋体" w:eastAsia="宋体" w:cs="宋体"/>
                <w:lang w:val="zh-CN"/>
              </w:rPr>
              <w:t>2</w:t>
            </w:r>
          </w:p>
        </w:tc>
        <w:tc>
          <w:tcPr>
            <w:tcW w:w="3377" w:type="dxa"/>
            <w:tcBorders>
              <w:top w:val="single" w:color="auto" w:sz="4" w:space="0"/>
              <w:left w:val="single" w:color="auto" w:sz="4" w:space="0"/>
              <w:bottom w:val="single" w:color="auto" w:sz="4" w:space="0"/>
              <w:right w:val="single" w:color="auto" w:sz="4" w:space="0"/>
            </w:tcBorders>
            <w:vAlign w:val="center"/>
          </w:tcPr>
          <w:p w14:paraId="397EE91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1487" w:type="dxa"/>
            <w:tcBorders>
              <w:top w:val="single" w:color="auto" w:sz="4" w:space="0"/>
              <w:left w:val="single" w:color="auto" w:sz="4" w:space="0"/>
              <w:bottom w:val="single" w:color="auto" w:sz="4" w:space="0"/>
              <w:right w:val="single" w:color="auto" w:sz="4" w:space="0"/>
            </w:tcBorders>
            <w:vAlign w:val="center"/>
          </w:tcPr>
          <w:p w14:paraId="28399E0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13A136D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900" w:type="dxa"/>
            <w:tcBorders>
              <w:top w:val="single" w:color="auto" w:sz="4" w:space="0"/>
              <w:left w:val="single" w:color="auto" w:sz="4" w:space="0"/>
              <w:bottom w:val="single" w:color="auto" w:sz="4" w:space="0"/>
              <w:right w:val="single" w:color="auto" w:sz="4" w:space="0"/>
            </w:tcBorders>
            <w:vAlign w:val="center"/>
          </w:tcPr>
          <w:p w14:paraId="23901D2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r>
      <w:tr w14:paraId="372FA8EE">
        <w:tblPrEx>
          <w:tblCellMar>
            <w:top w:w="0" w:type="dxa"/>
            <w:left w:w="108" w:type="dxa"/>
            <w:bottom w:w="0" w:type="dxa"/>
            <w:right w:w="108" w:type="dxa"/>
          </w:tblCellMar>
        </w:tblPrEx>
        <w:trPr>
          <w:cantSplit/>
          <w:trHeight w:val="664" w:hRule="atLeast"/>
          <w:jc w:val="center"/>
        </w:trPr>
        <w:tc>
          <w:tcPr>
            <w:tcW w:w="1728" w:type="dxa"/>
            <w:tcBorders>
              <w:top w:val="single" w:color="auto" w:sz="4" w:space="0"/>
              <w:left w:val="single" w:color="auto" w:sz="4" w:space="0"/>
              <w:bottom w:val="single" w:color="auto" w:sz="4" w:space="0"/>
              <w:right w:val="single" w:color="auto" w:sz="4" w:space="0"/>
            </w:tcBorders>
          </w:tcPr>
          <w:p w14:paraId="25DE141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r>
              <w:rPr>
                <w:rFonts w:hint="eastAsia" w:ascii="宋体" w:hAnsi="宋体" w:eastAsia="宋体" w:cs="宋体"/>
              </w:rPr>
              <w:t>…</w:t>
            </w:r>
          </w:p>
        </w:tc>
        <w:tc>
          <w:tcPr>
            <w:tcW w:w="3377" w:type="dxa"/>
            <w:tcBorders>
              <w:top w:val="single" w:color="auto" w:sz="4" w:space="0"/>
              <w:left w:val="single" w:color="auto" w:sz="4" w:space="0"/>
              <w:bottom w:val="single" w:color="auto" w:sz="4" w:space="0"/>
              <w:right w:val="single" w:color="auto" w:sz="4" w:space="0"/>
            </w:tcBorders>
            <w:vAlign w:val="center"/>
          </w:tcPr>
          <w:p w14:paraId="1A5A97E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1487" w:type="dxa"/>
            <w:tcBorders>
              <w:top w:val="single" w:color="auto" w:sz="4" w:space="0"/>
              <w:left w:val="single" w:color="auto" w:sz="4" w:space="0"/>
              <w:bottom w:val="single" w:color="auto" w:sz="4" w:space="0"/>
              <w:right w:val="single" w:color="auto" w:sz="4" w:space="0"/>
            </w:tcBorders>
            <w:vAlign w:val="center"/>
          </w:tcPr>
          <w:p w14:paraId="198DD3F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2579252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c>
          <w:tcPr>
            <w:tcW w:w="900" w:type="dxa"/>
            <w:tcBorders>
              <w:top w:val="single" w:color="auto" w:sz="4" w:space="0"/>
              <w:left w:val="single" w:color="auto" w:sz="4" w:space="0"/>
              <w:bottom w:val="single" w:color="auto" w:sz="4" w:space="0"/>
              <w:right w:val="single" w:color="auto" w:sz="4" w:space="0"/>
            </w:tcBorders>
            <w:vAlign w:val="center"/>
          </w:tcPr>
          <w:p w14:paraId="1E257FF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r>
      <w:tr w14:paraId="6DB67583">
        <w:tblPrEx>
          <w:tblCellMar>
            <w:top w:w="0" w:type="dxa"/>
            <w:left w:w="108" w:type="dxa"/>
            <w:bottom w:w="0" w:type="dxa"/>
            <w:right w:w="108" w:type="dxa"/>
          </w:tblCellMar>
        </w:tblPrEx>
        <w:trPr>
          <w:cantSplit/>
          <w:trHeight w:val="664" w:hRule="atLeast"/>
          <w:jc w:val="center"/>
        </w:trPr>
        <w:tc>
          <w:tcPr>
            <w:tcW w:w="1728" w:type="dxa"/>
            <w:tcBorders>
              <w:top w:val="single" w:color="auto" w:sz="4" w:space="0"/>
              <w:left w:val="single" w:color="auto" w:sz="4" w:space="0"/>
              <w:bottom w:val="single" w:color="auto" w:sz="4" w:space="0"/>
              <w:right w:val="single" w:color="auto" w:sz="4" w:space="0"/>
            </w:tcBorders>
          </w:tcPr>
          <w:p w14:paraId="1611A4C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rPr>
            </w:pPr>
            <w:r>
              <w:rPr>
                <w:rFonts w:hint="eastAsia" w:ascii="宋体" w:hAnsi="宋体" w:eastAsia="宋体" w:cs="宋体"/>
              </w:rPr>
              <w:t>合计总金额：</w:t>
            </w:r>
          </w:p>
        </w:tc>
        <w:tc>
          <w:tcPr>
            <w:tcW w:w="7040" w:type="dxa"/>
            <w:gridSpan w:val="4"/>
            <w:tcBorders>
              <w:top w:val="single" w:color="auto" w:sz="4" w:space="0"/>
              <w:left w:val="single" w:color="auto" w:sz="4" w:space="0"/>
              <w:bottom w:val="single" w:color="auto" w:sz="4" w:space="0"/>
              <w:right w:val="single" w:color="auto" w:sz="4" w:space="0"/>
            </w:tcBorders>
            <w:vAlign w:val="center"/>
          </w:tcPr>
          <w:p w14:paraId="7F7BE15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lang w:val="zh-CN"/>
              </w:rPr>
            </w:pPr>
          </w:p>
        </w:tc>
      </w:tr>
    </w:tbl>
    <w:p w14:paraId="5BE518EA">
      <w:pPr>
        <w:spacing w:line="360" w:lineRule="auto"/>
        <w:rPr>
          <w:rFonts w:hint="eastAsia" w:ascii="宋体" w:hAnsi="宋体" w:eastAsia="宋体" w:cs="宋体"/>
          <w:lang w:val="zh-CN"/>
        </w:rPr>
      </w:pPr>
    </w:p>
    <w:p w14:paraId="7C8C595F">
      <w:pPr>
        <w:bidi w:val="0"/>
        <w:rPr>
          <w:rFonts w:hint="eastAsia" w:ascii="宋体" w:hAnsi="宋体" w:eastAsia="宋体" w:cs="宋体"/>
          <w:lang w:val="zh-CN"/>
        </w:rPr>
      </w:pPr>
      <w:r>
        <w:rPr>
          <w:rFonts w:hint="eastAsia" w:ascii="宋体" w:hAnsi="宋体" w:eastAsia="宋体" w:cs="宋体"/>
          <w:lang w:val="zh-CN"/>
        </w:rPr>
        <w:t>根据上述政府采购合同文件要求，本政府采购合同的总金额为人民币</w:t>
      </w:r>
      <w:r>
        <w:rPr>
          <w:rFonts w:hint="eastAsia" w:ascii="宋体" w:hAnsi="宋体" w:eastAsia="宋体" w:cs="宋体"/>
          <w:u w:val="single"/>
          <w:lang w:val="zh-CN"/>
        </w:rPr>
        <w:t xml:space="preserve">   </w:t>
      </w:r>
      <w:r>
        <w:rPr>
          <w:rFonts w:hint="eastAsia" w:ascii="宋体" w:hAnsi="宋体" w:eastAsia="宋体" w:cs="宋体"/>
          <w:lang w:val="zh-CN"/>
        </w:rPr>
        <w:t>元，（大写：</w:t>
      </w:r>
      <w:r>
        <w:rPr>
          <w:rFonts w:hint="eastAsia" w:ascii="宋体" w:hAnsi="宋体" w:eastAsia="宋体" w:cs="宋体"/>
          <w:u w:val="single"/>
          <w:lang w:val="zh-CN"/>
        </w:rPr>
        <w:t xml:space="preserve">      </w:t>
      </w:r>
      <w:r>
        <w:rPr>
          <w:rFonts w:hint="eastAsia" w:ascii="宋体" w:hAnsi="宋体" w:eastAsia="宋体" w:cs="宋体"/>
          <w:lang w:val="zh-CN"/>
        </w:rPr>
        <w:t xml:space="preserve">） </w:t>
      </w:r>
    </w:p>
    <w:p w14:paraId="0609FE96">
      <w:pPr>
        <w:bidi w:val="0"/>
        <w:rPr>
          <w:rFonts w:hint="eastAsia" w:ascii="宋体" w:hAnsi="宋体" w:eastAsia="宋体" w:cs="宋体"/>
        </w:rPr>
      </w:pPr>
      <w:r>
        <w:rPr>
          <w:rFonts w:hint="eastAsia" w:ascii="宋体" w:hAnsi="宋体" w:eastAsia="宋体" w:cs="宋体"/>
          <w:lang w:val="zh-CN"/>
        </w:rPr>
        <w:t>本合同以人民币进行结算，投标报价包括：项目</w:t>
      </w:r>
      <w:r>
        <w:rPr>
          <w:rFonts w:hint="eastAsia" w:ascii="宋体" w:hAnsi="宋体" w:eastAsia="宋体" w:cs="宋体"/>
        </w:rPr>
        <w:t>服务费、人员工资、管理费、验收费、手续费、保险费、差旅费、中标服务费及服务过程中包含的不可预见等全部费用。</w:t>
      </w:r>
    </w:p>
    <w:p w14:paraId="7B1E57D2">
      <w:pPr>
        <w:bidi w:val="0"/>
        <w:ind w:left="0" w:leftChars="0" w:firstLine="0" w:firstLineChars="0"/>
        <w:rPr>
          <w:rFonts w:hint="eastAsia" w:ascii="宋体" w:hAnsi="宋体" w:eastAsia="宋体" w:cs="宋体"/>
          <w:b/>
          <w:bCs/>
        </w:rPr>
      </w:pPr>
      <w:r>
        <w:rPr>
          <w:rFonts w:hint="eastAsia" w:ascii="宋体" w:hAnsi="宋体" w:eastAsia="宋体" w:cs="宋体"/>
          <w:b/>
          <w:bCs/>
        </w:rPr>
        <w:t>三、合同有效期限</w:t>
      </w:r>
    </w:p>
    <w:p w14:paraId="2F21B73D">
      <w:pPr>
        <w:bidi w:val="0"/>
        <w:rPr>
          <w:rFonts w:hint="eastAsia" w:ascii="宋体" w:hAnsi="宋体" w:eastAsia="宋体" w:cs="宋体"/>
          <w:highlight w:val="none"/>
          <w:lang w:eastAsia="zh-CN"/>
        </w:rPr>
      </w:pPr>
      <w:r>
        <w:rPr>
          <w:rFonts w:hint="eastAsia" w:ascii="宋体" w:hAnsi="宋体" w:eastAsia="宋体" w:cs="宋体"/>
          <w:highlight w:val="none"/>
        </w:rPr>
        <w:t>1、</w:t>
      </w:r>
      <w:r>
        <w:rPr>
          <w:rFonts w:hint="eastAsia" w:ascii="宋体" w:hAnsi="宋体" w:eastAsia="宋体" w:cs="宋体"/>
          <w:highlight w:val="none"/>
          <w:lang w:eastAsia="zh-CN"/>
        </w:rPr>
        <w:t>服务期限</w:t>
      </w:r>
      <w:r>
        <w:rPr>
          <w:rFonts w:hint="eastAsia" w:ascii="宋体" w:hAnsi="宋体" w:eastAsia="宋体" w:cs="宋体"/>
          <w:highlight w:val="none"/>
        </w:rPr>
        <w:t>：</w:t>
      </w:r>
      <w:r>
        <w:rPr>
          <w:rFonts w:hint="eastAsia" w:ascii="宋体" w:hAnsi="宋体" w:eastAsia="宋体" w:cs="宋体"/>
          <w:b w:val="0"/>
          <w:bCs w:val="0"/>
          <w:sz w:val="24"/>
          <w:szCs w:val="24"/>
          <w:highlight w:val="none"/>
        </w:rPr>
        <w:t>1年(</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月</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日)</w:t>
      </w:r>
    </w:p>
    <w:p w14:paraId="79EA1F46">
      <w:pPr>
        <w:bidi w:val="0"/>
        <w:rPr>
          <w:rFonts w:hint="eastAsia" w:ascii="宋体" w:hAnsi="宋体" w:eastAsia="宋体" w:cs="宋体"/>
          <w:highlight w:val="none"/>
          <w:lang w:val="en-US" w:eastAsia="zh-CN"/>
        </w:rPr>
      </w:pPr>
      <w:r>
        <w:rPr>
          <w:rFonts w:hint="eastAsia" w:ascii="宋体" w:hAnsi="宋体" w:eastAsia="宋体" w:cs="宋体"/>
          <w:highlight w:val="none"/>
          <w:lang w:val="zh-CN"/>
        </w:rPr>
        <w:t>2、服务地点：青海省财政厅指定地点</w:t>
      </w:r>
      <w:r>
        <w:rPr>
          <w:rFonts w:hint="eastAsia" w:ascii="宋体" w:hAnsi="宋体" w:eastAsia="宋体" w:cs="宋体"/>
          <w:highlight w:val="none"/>
          <w:lang w:val="en-US" w:eastAsia="zh-CN"/>
        </w:rPr>
        <w:t>。</w:t>
      </w:r>
    </w:p>
    <w:p w14:paraId="27604873">
      <w:pPr>
        <w:bidi w:val="0"/>
        <w:rPr>
          <w:rFonts w:hint="eastAsia" w:ascii="宋体" w:hAnsi="宋体" w:eastAsia="宋体" w:cs="宋体"/>
          <w:highlight w:val="none"/>
          <w:lang w:val="zh-CN"/>
        </w:rPr>
      </w:pPr>
      <w:r>
        <w:rPr>
          <w:rFonts w:hint="eastAsia" w:ascii="宋体" w:hAnsi="宋体" w:eastAsia="宋体" w:cs="宋体"/>
          <w:highlight w:val="none"/>
          <w:lang w:val="zh-CN"/>
        </w:rPr>
        <w:t xml:space="preserve">3、付款方式: </w:t>
      </w:r>
    </w:p>
    <w:p w14:paraId="6F534035">
      <w:pPr>
        <w:bidi w:val="0"/>
        <w:rPr>
          <w:rFonts w:hint="eastAsia" w:ascii="宋体" w:hAnsi="宋体" w:eastAsia="宋体" w:cs="宋体"/>
          <w:highlight w:val="none"/>
          <w:lang w:val="zh-CN" w:eastAsia="zh-CN"/>
        </w:rPr>
      </w:pPr>
      <w:r>
        <w:rPr>
          <w:rFonts w:hint="eastAsia" w:ascii="宋体" w:hAnsi="宋体" w:cs="宋体"/>
          <w:highlight w:val="none"/>
          <w:lang w:val="en-US" w:eastAsia="zh-CN"/>
        </w:rPr>
        <w:t>1.</w:t>
      </w:r>
      <w:r>
        <w:rPr>
          <w:rFonts w:hint="eastAsia" w:ascii="宋体" w:hAnsi="宋体" w:eastAsia="宋体" w:cs="宋体"/>
          <w:highlight w:val="none"/>
          <w:lang w:val="zh-CN" w:eastAsia="zh-CN"/>
        </w:rPr>
        <w:t>合同签订前，乙方向甲方缴纳合同总金额的10%，即人民币：</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元（大写：</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）作为履约保证金，待项目验收合格后，甲方向乙方返还，不计利息。</w:t>
      </w:r>
    </w:p>
    <w:p w14:paraId="08D5667E">
      <w:pPr>
        <w:bidi w:val="0"/>
        <w:rPr>
          <w:rFonts w:hint="eastAsia" w:ascii="宋体" w:hAnsi="宋体" w:eastAsia="宋体" w:cs="宋体"/>
          <w:highlight w:val="none"/>
          <w:lang w:val="zh-CN"/>
        </w:rPr>
      </w:pPr>
      <w:r>
        <w:rPr>
          <w:rFonts w:hint="eastAsia" w:ascii="宋体" w:hAnsi="宋体" w:eastAsia="宋体" w:cs="宋体"/>
          <w:highlight w:val="none"/>
          <w:lang w:val="zh-CN" w:eastAsia="zh-CN"/>
        </w:rPr>
        <w:t>2.合同签订后，乙方提交开具的正规发票及采购人财务部门要求的其他付款凭据后，10个工作日内，甲方向乙方支付合同总金额的</w:t>
      </w:r>
      <w:r>
        <w:rPr>
          <w:rFonts w:hint="eastAsia" w:ascii="宋体" w:hAnsi="宋体" w:eastAsia="宋体" w:cs="宋体"/>
          <w:highlight w:val="none"/>
          <w:lang w:val="en-US" w:eastAsia="zh-CN"/>
        </w:rPr>
        <w:t>50</w:t>
      </w:r>
      <w:r>
        <w:rPr>
          <w:rFonts w:hint="eastAsia" w:ascii="宋体" w:hAnsi="宋体" w:eastAsia="宋体" w:cs="宋体"/>
          <w:highlight w:val="none"/>
          <w:lang w:val="zh-CN" w:eastAsia="zh-CN"/>
        </w:rPr>
        <w:t>%，即人民币：</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元（大写：</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），验收通过后支付剩余50%，即人民币：</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元（大写：</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w:t>
      </w:r>
    </w:p>
    <w:p w14:paraId="7797C604">
      <w:pPr>
        <w:bidi w:val="0"/>
        <w:rPr>
          <w:rFonts w:hint="eastAsia" w:ascii="宋体" w:hAnsi="宋体" w:eastAsia="宋体" w:cs="宋体"/>
          <w:lang w:val="zh-CN"/>
        </w:rPr>
      </w:pPr>
      <w:r>
        <w:rPr>
          <w:rFonts w:hint="eastAsia" w:ascii="宋体" w:hAnsi="宋体" w:eastAsia="宋体" w:cs="宋体"/>
          <w:lang w:val="zh-CN"/>
        </w:rPr>
        <w:t>4、履约验收：</w:t>
      </w:r>
    </w:p>
    <w:p w14:paraId="354146C8">
      <w:pPr>
        <w:bidi w:val="0"/>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1</w:t>
      </w:r>
      <w:r>
        <w:rPr>
          <w:rFonts w:hint="eastAsia" w:ascii="宋体" w:hAnsi="宋体" w:eastAsia="宋体" w:cs="宋体"/>
          <w:lang w:val="zh-CN" w:eastAsia="zh-CN"/>
        </w:rPr>
        <w:t>）履约验收时间:供应商提出验收申请之日起15日内组织验收。</w:t>
      </w:r>
    </w:p>
    <w:p w14:paraId="3436A8BD">
      <w:pPr>
        <w:bidi w:val="0"/>
        <w:rPr>
          <w:rFonts w:hint="eastAsia" w:ascii="宋体" w:hAnsi="宋体" w:eastAsia="宋体" w:cs="宋体"/>
          <w:lang w:val="en-US" w:eastAsia="zh-CN"/>
        </w:rPr>
      </w:pPr>
      <w:r>
        <w:rPr>
          <w:rFonts w:hint="eastAsia" w:ascii="宋体" w:hAnsi="宋体" w:eastAsia="宋体" w:cs="宋体"/>
          <w:lang w:val="zh-CN" w:eastAsia="zh-CN"/>
        </w:rPr>
        <w:t>（</w:t>
      </w:r>
      <w:r>
        <w:rPr>
          <w:rFonts w:hint="eastAsia" w:ascii="宋体" w:hAnsi="宋体" w:eastAsia="宋体" w:cs="宋体"/>
          <w:lang w:val="en-US" w:eastAsia="zh-CN"/>
        </w:rPr>
        <w:t>2</w:t>
      </w:r>
      <w:r>
        <w:rPr>
          <w:rFonts w:hint="eastAsia" w:ascii="宋体" w:hAnsi="宋体" w:eastAsia="宋体" w:cs="宋体"/>
          <w:lang w:val="zh-CN" w:eastAsia="zh-CN"/>
        </w:rPr>
        <w:t>）</w:t>
      </w:r>
      <w:r>
        <w:rPr>
          <w:rFonts w:hint="eastAsia" w:ascii="宋体" w:hAnsi="宋体" w:eastAsia="宋体" w:cs="宋体"/>
          <w:lang w:val="en-US" w:eastAsia="zh-CN"/>
        </w:rPr>
        <w:t>技术履约验收内容:一是查看运维记录，对比是否按合同约定完成所有工作；二是做好使用单位的满意度调查；三是开展运维质量评审。</w:t>
      </w:r>
    </w:p>
    <w:p w14:paraId="061C75AA">
      <w:pPr>
        <w:bidi w:val="0"/>
        <w:rPr>
          <w:rFonts w:hint="eastAsia" w:ascii="宋体" w:hAnsi="宋体" w:eastAsia="宋体" w:cs="宋体"/>
          <w:lang w:val="en-US" w:eastAsia="zh-CN"/>
        </w:rPr>
      </w:pPr>
      <w:r>
        <w:rPr>
          <w:rFonts w:hint="eastAsia" w:ascii="宋体" w:hAnsi="宋体" w:eastAsia="宋体" w:cs="宋体"/>
          <w:lang w:val="zh-CN" w:eastAsia="zh-CN"/>
        </w:rPr>
        <w:t>（</w:t>
      </w:r>
      <w:r>
        <w:rPr>
          <w:rFonts w:hint="eastAsia" w:ascii="宋体" w:hAnsi="宋体" w:eastAsia="宋体" w:cs="宋体"/>
          <w:lang w:val="en-US" w:eastAsia="zh-CN"/>
        </w:rPr>
        <w:t>3</w:t>
      </w:r>
      <w:r>
        <w:rPr>
          <w:rFonts w:hint="eastAsia" w:ascii="宋体" w:hAnsi="宋体" w:eastAsia="宋体" w:cs="宋体"/>
          <w:lang w:val="zh-CN" w:eastAsia="zh-CN"/>
        </w:rPr>
        <w:t>）</w:t>
      </w:r>
      <w:r>
        <w:rPr>
          <w:rFonts w:hint="eastAsia" w:ascii="宋体" w:hAnsi="宋体" w:eastAsia="宋体" w:cs="宋体"/>
          <w:lang w:val="en-US" w:eastAsia="zh-CN"/>
        </w:rPr>
        <w:t>商务履约验收内容:按照本项目竞争性磋商文件中商务要求及成交供应商响应文件中的商务要求。</w:t>
      </w:r>
    </w:p>
    <w:p w14:paraId="13909199">
      <w:pPr>
        <w:bidi w:val="0"/>
        <w:rPr>
          <w:rFonts w:hint="default" w:ascii="宋体" w:hAnsi="宋体" w:eastAsia="宋体" w:cs="宋体"/>
          <w:lang w:val="en-US" w:eastAsia="zh-CN"/>
        </w:rPr>
      </w:pPr>
      <w:r>
        <w:rPr>
          <w:rFonts w:hint="eastAsia" w:ascii="宋体" w:hAnsi="宋体" w:eastAsia="宋体" w:cs="宋体"/>
          <w:lang w:val="zh-CN" w:eastAsia="zh-CN"/>
        </w:rPr>
        <w:t>（</w:t>
      </w:r>
      <w:r>
        <w:rPr>
          <w:rFonts w:hint="eastAsia" w:ascii="宋体" w:hAnsi="宋体" w:eastAsia="宋体" w:cs="宋体"/>
          <w:lang w:val="en-US" w:eastAsia="zh-CN"/>
        </w:rPr>
        <w:t>4</w:t>
      </w:r>
      <w:r>
        <w:rPr>
          <w:rFonts w:hint="eastAsia" w:ascii="宋体" w:hAnsi="宋体" w:eastAsia="宋体" w:cs="宋体"/>
          <w:lang w:val="zh-CN" w:eastAsia="zh-CN"/>
        </w:rPr>
        <w:t>）</w:t>
      </w:r>
      <w:r>
        <w:rPr>
          <w:rFonts w:hint="eastAsia" w:ascii="宋体" w:hAnsi="宋体" w:eastAsia="宋体" w:cs="宋体"/>
          <w:lang w:val="en-US" w:eastAsia="zh-CN"/>
        </w:rPr>
        <w:t>履约验收标准:按合同约定的标的要求，提供符合行业标准参数验收。</w:t>
      </w:r>
    </w:p>
    <w:p w14:paraId="2CF54AD5">
      <w:pPr>
        <w:bidi w:val="0"/>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5</w:t>
      </w:r>
      <w:r>
        <w:rPr>
          <w:rFonts w:hint="eastAsia" w:ascii="宋体" w:hAnsi="宋体" w:eastAsia="宋体" w:cs="宋体"/>
          <w:lang w:val="zh-CN" w:eastAsia="zh-CN"/>
        </w:rPr>
        <w:t>）</w:t>
      </w:r>
      <w:r>
        <w:rPr>
          <w:rFonts w:hint="eastAsia" w:ascii="宋体" w:hAnsi="宋体" w:eastAsia="宋体" w:cs="宋体"/>
          <w:lang w:val="en-US" w:eastAsia="zh-CN"/>
        </w:rPr>
        <w:t>履约验收主体:青海省财政厅</w:t>
      </w:r>
    </w:p>
    <w:p w14:paraId="61C04524">
      <w:pPr>
        <w:bidi w:val="0"/>
        <w:ind w:left="0" w:leftChars="0" w:firstLine="0" w:firstLineChars="0"/>
        <w:rPr>
          <w:rFonts w:hint="eastAsia" w:ascii="宋体" w:hAnsi="宋体" w:eastAsia="宋体" w:cs="宋体"/>
          <w:b/>
          <w:bCs/>
        </w:rPr>
      </w:pPr>
      <w:r>
        <w:rPr>
          <w:rFonts w:hint="eastAsia" w:ascii="宋体" w:hAnsi="宋体" w:eastAsia="宋体" w:cs="宋体"/>
          <w:b/>
          <w:bCs/>
        </w:rPr>
        <w:t>四、合同的变更、终止与转让</w:t>
      </w:r>
    </w:p>
    <w:p w14:paraId="69399839">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除《中华人民共和国政府采购法》第50条规定的情形外，本合同一经签订，甲乙双方不得擅自变更、中止或终止。</w:t>
      </w:r>
    </w:p>
    <w:p w14:paraId="20DAD6C7">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乙方不得擅自转让其应履行的合同义务。</w:t>
      </w:r>
    </w:p>
    <w:p w14:paraId="71D9D0CF">
      <w:pPr>
        <w:bidi w:val="0"/>
        <w:ind w:left="0" w:leftChars="0" w:firstLine="0" w:firstLineChars="0"/>
        <w:rPr>
          <w:rFonts w:hint="eastAsia" w:ascii="宋体" w:hAnsi="宋体" w:eastAsia="宋体" w:cs="宋体"/>
          <w:b/>
          <w:bCs/>
        </w:rPr>
      </w:pPr>
      <w:r>
        <w:rPr>
          <w:rFonts w:hint="eastAsia" w:ascii="宋体" w:hAnsi="宋体" w:eastAsia="宋体" w:cs="宋体"/>
          <w:b/>
          <w:bCs/>
        </w:rPr>
        <w:t>五、违约责任</w:t>
      </w:r>
    </w:p>
    <w:p w14:paraId="153036B0">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乙方所提供的服务内容、服务标准、服务要求等质量不合格的，应在甲方提出后的15个工作日内，完成整改；整改不及时的，按逾期服务处罚，每逾期1日需承担合同总价款0.5%的违约金；因质量问题甲方不同意接收的，质保金全额扣除，并由乙方赔偿由此引起的甲方的一切经济损失。</w:t>
      </w:r>
    </w:p>
    <w:p w14:paraId="5FBC2190">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乙方提供的服务如侵犯了第三方权益而引发纠纷或诉讼的，均由乙方负责交涉并承担全部责任。</w:t>
      </w:r>
    </w:p>
    <w:p w14:paraId="40FB3739">
      <w:pPr>
        <w:bidi w:val="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乙方未按本合同和投标文件中规定的服务承诺提供售后服务的，乙方应按本合同合计金额的5%向甲方支付违约金。</w:t>
      </w:r>
    </w:p>
    <w:p w14:paraId="4CADA9CD">
      <w:pPr>
        <w:bidi w:val="0"/>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乙方提供的服务在服务期内，因标准、内容或管理的缺陷和其它质量原因造成的问题，由乙方负责，费用从履约保证金中扣除，不足另补。</w:t>
      </w:r>
    </w:p>
    <w:p w14:paraId="5936FFB1">
      <w:pPr>
        <w:bidi w:val="0"/>
        <w:ind w:left="0" w:leftChars="0" w:firstLine="0" w:firstLineChars="0"/>
        <w:rPr>
          <w:rFonts w:hint="eastAsia" w:ascii="宋体" w:hAnsi="宋体" w:eastAsia="宋体" w:cs="宋体"/>
          <w:b/>
          <w:bCs/>
        </w:rPr>
      </w:pPr>
      <w:r>
        <w:rPr>
          <w:rFonts w:hint="eastAsia" w:ascii="宋体" w:hAnsi="宋体" w:eastAsia="宋体" w:cs="宋体"/>
          <w:b/>
          <w:bCs/>
        </w:rPr>
        <w:t>六、不可抗力</w:t>
      </w:r>
    </w:p>
    <w:p w14:paraId="4F5D5229">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不可抗力使合同的某些内容有变更必要的，双方应通过协商在</w:t>
      </w:r>
      <w:r>
        <w:rPr>
          <w:rFonts w:hint="eastAsia" w:ascii="宋体" w:hAnsi="宋体" w:eastAsia="宋体" w:cs="宋体"/>
          <w:u w:val="single"/>
        </w:rPr>
        <w:t xml:space="preserve">   </w:t>
      </w:r>
      <w:r>
        <w:rPr>
          <w:rFonts w:hint="eastAsia" w:ascii="宋体" w:hAnsi="宋体" w:eastAsia="宋体" w:cs="宋体"/>
        </w:rPr>
        <w:t>天内达成进一步履行合同的协议，因不可抗力致使合同不能履行的，合同终止。</w:t>
      </w:r>
    </w:p>
    <w:p w14:paraId="5EFE5863">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除法律、法规规定的不可抗力情形外，双方约定出现</w:t>
      </w:r>
      <w:r>
        <w:rPr>
          <w:rFonts w:hint="eastAsia" w:ascii="宋体" w:hAnsi="宋体" w:eastAsia="宋体" w:cs="宋体"/>
          <w:u w:val="single"/>
        </w:rPr>
        <w:t xml:space="preserve">         </w:t>
      </w:r>
      <w:r>
        <w:rPr>
          <w:rFonts w:hint="eastAsia" w:ascii="宋体" w:hAnsi="宋体" w:eastAsia="宋体" w:cs="宋体"/>
        </w:rPr>
        <w:t>情况亦视为不可抗力。</w:t>
      </w:r>
    </w:p>
    <w:p w14:paraId="785C10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rPr>
      </w:pPr>
      <w:r>
        <w:rPr>
          <w:rFonts w:hint="eastAsia" w:ascii="宋体" w:hAnsi="宋体" w:cs="宋体"/>
          <w:b/>
          <w:bCs/>
          <w:lang w:val="en-US" w:eastAsia="zh-CN"/>
        </w:rPr>
        <w:t>七</w:t>
      </w:r>
      <w:r>
        <w:rPr>
          <w:rFonts w:hint="eastAsia" w:ascii="宋体" w:hAnsi="宋体" w:eastAsia="宋体" w:cs="宋体"/>
          <w:b/>
          <w:bCs/>
        </w:rPr>
        <w:t>、其他约定：</w:t>
      </w:r>
    </w:p>
    <w:p w14:paraId="03CD1E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rPr>
      </w:pPr>
      <w:r>
        <w:rPr>
          <w:rFonts w:hint="eastAsia" w:ascii="宋体" w:hAnsi="宋体" w:cs="宋体"/>
          <w:b/>
          <w:bCs/>
          <w:lang w:val="en-US" w:eastAsia="zh-CN"/>
        </w:rPr>
        <w:t>八</w:t>
      </w:r>
      <w:r>
        <w:rPr>
          <w:rFonts w:hint="eastAsia" w:ascii="宋体" w:hAnsi="宋体" w:eastAsia="宋体" w:cs="宋体"/>
          <w:b/>
          <w:bCs/>
        </w:rPr>
        <w:t>、合同争议解决</w:t>
      </w:r>
    </w:p>
    <w:p w14:paraId="0BC6160E">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因履行本合同引起的或与本合同有关的争议，甲乙双方应首先通过友好协商解决，如果协商不能解决，可向甲方所在地有管辖权的人民法院提起诉讼。</w:t>
      </w:r>
    </w:p>
    <w:p w14:paraId="0A398302">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诉讼期间，本合同继续履行。</w:t>
      </w:r>
    </w:p>
    <w:p w14:paraId="778AF8A2">
      <w:pPr>
        <w:bidi w:val="0"/>
        <w:ind w:left="0" w:leftChars="0" w:firstLine="0" w:firstLineChars="0"/>
        <w:rPr>
          <w:rFonts w:hint="eastAsia" w:ascii="宋体" w:hAnsi="宋体" w:eastAsia="宋体" w:cs="宋体"/>
        </w:rPr>
      </w:pPr>
      <w:r>
        <w:rPr>
          <w:rFonts w:hint="eastAsia" w:ascii="宋体" w:hAnsi="宋体" w:cs="宋体"/>
          <w:b/>
          <w:bCs/>
          <w:lang w:val="en-US" w:eastAsia="zh-CN"/>
        </w:rPr>
        <w:t>九</w:t>
      </w:r>
      <w:r>
        <w:rPr>
          <w:rFonts w:hint="eastAsia" w:ascii="宋体" w:hAnsi="宋体" w:eastAsia="宋体" w:cs="宋体"/>
          <w:b/>
          <w:bCs/>
        </w:rPr>
        <w:t>、合同生效及其它：</w:t>
      </w:r>
    </w:p>
    <w:p w14:paraId="3013A50C">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份，甲方</w:t>
      </w:r>
      <w:r>
        <w:rPr>
          <w:rFonts w:hint="eastAsia" w:ascii="宋体" w:hAnsi="宋体" w:eastAsia="宋体" w:cs="宋体"/>
          <w:u w:val="single"/>
        </w:rPr>
        <w:t xml:space="preserve">     </w:t>
      </w:r>
      <w:r>
        <w:rPr>
          <w:rFonts w:hint="eastAsia" w:ascii="宋体" w:hAnsi="宋体" w:eastAsia="宋体" w:cs="宋体"/>
        </w:rPr>
        <w:t>份，乙方</w:t>
      </w:r>
      <w:r>
        <w:rPr>
          <w:rFonts w:hint="eastAsia" w:ascii="宋体" w:hAnsi="宋体" w:eastAsia="宋体" w:cs="宋体"/>
          <w:u w:val="single"/>
        </w:rPr>
        <w:t xml:space="preserve">     </w:t>
      </w:r>
      <w:r>
        <w:rPr>
          <w:rFonts w:hint="eastAsia" w:ascii="宋体" w:hAnsi="宋体" w:eastAsia="宋体" w:cs="宋体"/>
        </w:rPr>
        <w:t>份，代理机构</w:t>
      </w:r>
      <w:r>
        <w:rPr>
          <w:rFonts w:hint="eastAsia" w:ascii="宋体" w:hAnsi="宋体" w:eastAsia="宋体" w:cs="宋体"/>
          <w:u w:val="single"/>
          <w:lang w:val="en-US" w:eastAsia="zh-CN"/>
        </w:rPr>
        <w:t xml:space="preserve"> </w:t>
      </w:r>
      <w:r>
        <w:rPr>
          <w:rFonts w:hint="eastAsia" w:ascii="宋体" w:hAnsi="宋体" w:eastAsia="宋体" w:cs="宋体"/>
          <w:u w:val="single"/>
        </w:rPr>
        <w:t>2</w:t>
      </w:r>
      <w:r>
        <w:rPr>
          <w:rFonts w:hint="eastAsia" w:ascii="宋体" w:hAnsi="宋体" w:eastAsia="宋体" w:cs="宋体"/>
          <w:u w:val="single"/>
          <w:lang w:val="en-US" w:eastAsia="zh-CN"/>
        </w:rPr>
        <w:t xml:space="preserve"> </w:t>
      </w:r>
      <w:r>
        <w:rPr>
          <w:rFonts w:hint="eastAsia" w:ascii="宋体" w:hAnsi="宋体" w:eastAsia="宋体" w:cs="宋体"/>
        </w:rPr>
        <w:t>份，经甲乙双方授权代表签字盖章后生效。</w:t>
      </w:r>
    </w:p>
    <w:p w14:paraId="24CF4274">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lang w:val="zh-CN"/>
        </w:rPr>
        <w:t>本合同未尽事宜，按《民法典》有关规定处理。</w:t>
      </w:r>
    </w:p>
    <w:p w14:paraId="01BDC54F">
      <w:pPr>
        <w:bidi w:val="0"/>
        <w:rPr>
          <w:rFonts w:hint="eastAsia" w:ascii="宋体" w:hAnsi="宋体" w:eastAsia="宋体" w:cs="宋体"/>
        </w:rPr>
      </w:pPr>
    </w:p>
    <w:p w14:paraId="34E375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r>
        <w:rPr>
          <w:rFonts w:hint="eastAsia" w:ascii="宋体" w:hAnsi="宋体" w:eastAsia="宋体" w:cs="宋体"/>
          <w:lang w:val="zh-CN"/>
        </w:rPr>
        <w:t>甲方（盖章）：                             乙方（盖章）：</w:t>
      </w:r>
    </w:p>
    <w:p w14:paraId="70311DB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r>
        <w:rPr>
          <w:rFonts w:hint="eastAsia" w:ascii="宋体" w:hAnsi="宋体" w:eastAsia="宋体" w:cs="宋体"/>
          <w:lang w:val="zh-CN"/>
        </w:rPr>
        <w:t>法定代表人或委托代理人</w:t>
      </w:r>
      <w:r>
        <w:rPr>
          <w:rFonts w:hint="eastAsia" w:ascii="宋体" w:hAnsi="宋体" w:eastAsia="宋体" w:cs="宋体"/>
        </w:rPr>
        <w:t xml:space="preserve">：                   </w:t>
      </w:r>
      <w:r>
        <w:rPr>
          <w:rFonts w:hint="eastAsia" w:ascii="宋体" w:hAnsi="宋体" w:eastAsia="宋体" w:cs="宋体"/>
          <w:lang w:val="zh-CN"/>
        </w:rPr>
        <w:t>法定代表人或委托代理人</w:t>
      </w:r>
      <w:r>
        <w:rPr>
          <w:rFonts w:hint="eastAsia" w:ascii="宋体" w:hAnsi="宋体" w:eastAsia="宋体" w:cs="宋体"/>
        </w:rPr>
        <w:t>：</w:t>
      </w:r>
    </w:p>
    <w:p w14:paraId="1F45026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r>
        <w:rPr>
          <w:rFonts w:hint="eastAsia" w:ascii="宋体" w:hAnsi="宋体" w:eastAsia="宋体" w:cs="宋体"/>
          <w:lang w:val="zh-CN"/>
        </w:rPr>
        <w:t>开户银行：</w:t>
      </w:r>
    </w:p>
    <w:p w14:paraId="6868BA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lang w:val="zh-CN"/>
        </w:rPr>
      </w:pPr>
      <w:r>
        <w:rPr>
          <w:rFonts w:hint="eastAsia" w:ascii="宋体" w:hAnsi="宋体" w:eastAsia="宋体" w:cs="宋体"/>
          <w:lang w:val="zh-CN"/>
        </w:rPr>
        <w:t>联系电话：                                 账号：</w:t>
      </w:r>
    </w:p>
    <w:p w14:paraId="1A09E2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lang w:val="zh-CN"/>
        </w:rPr>
      </w:pPr>
      <w:r>
        <w:rPr>
          <w:rFonts w:hint="eastAsia" w:ascii="宋体" w:hAnsi="宋体" w:eastAsia="宋体" w:cs="宋体"/>
        </w:rPr>
        <w:t xml:space="preserve">                                           </w:t>
      </w:r>
      <w:r>
        <w:rPr>
          <w:rFonts w:hint="eastAsia" w:ascii="宋体" w:hAnsi="宋体" w:eastAsia="宋体" w:cs="宋体"/>
          <w:lang w:val="zh-CN"/>
        </w:rPr>
        <w:t xml:space="preserve">联系电话： </w:t>
      </w:r>
    </w:p>
    <w:p w14:paraId="3173720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rPr>
      </w:pPr>
      <w:r>
        <w:rPr>
          <w:rFonts w:hint="eastAsia" w:ascii="宋体" w:hAnsi="宋体" w:eastAsia="宋体" w:cs="宋体"/>
          <w:lang w:val="zh-CN"/>
        </w:rPr>
        <w:t>签约时间：  年  月  日</w:t>
      </w:r>
    </w:p>
    <w:p w14:paraId="433A14D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p>
    <w:p w14:paraId="57F408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r>
        <w:rPr>
          <w:rFonts w:hint="eastAsia" w:ascii="宋体" w:hAnsi="宋体" w:eastAsia="宋体" w:cs="宋体"/>
        </w:rPr>
        <w:t>采购代理机构（盖章）：青海联祥招标代理有限公司</w:t>
      </w:r>
    </w:p>
    <w:p w14:paraId="1F3696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r>
        <w:rPr>
          <w:rFonts w:hint="eastAsia" w:ascii="宋体" w:hAnsi="宋体" w:eastAsia="宋体" w:cs="宋体"/>
        </w:rPr>
        <w:t>地址：</w:t>
      </w:r>
      <w:r>
        <w:rPr>
          <w:rFonts w:hint="eastAsia" w:ascii="宋体" w:hAnsi="宋体" w:eastAsia="宋体" w:cs="宋体"/>
          <w:lang w:val="zh-CN"/>
        </w:rPr>
        <w:t>青海省西宁市城西区胜利路4号时代盛华写字楼13楼11304室</w:t>
      </w:r>
    </w:p>
    <w:p w14:paraId="7D6711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rPr>
      </w:pPr>
      <w:r>
        <w:rPr>
          <w:rFonts w:hint="eastAsia" w:ascii="宋体" w:hAnsi="宋体" w:eastAsia="宋体" w:cs="宋体"/>
          <w:lang w:val="en-US" w:eastAsia="zh-CN"/>
        </w:rPr>
        <w:t>项目负责人</w:t>
      </w:r>
      <w:r>
        <w:rPr>
          <w:rFonts w:hint="eastAsia" w:ascii="宋体" w:hAnsi="宋体" w:eastAsia="宋体" w:cs="宋体"/>
        </w:rPr>
        <w:t>：</w:t>
      </w:r>
    </w:p>
    <w:p w14:paraId="757F3E34">
      <w:pPr>
        <w:rPr>
          <w:rFonts w:hint="eastAsia" w:ascii="宋体" w:hAnsi="宋体" w:eastAsia="宋体" w:cs="宋体"/>
          <w:b/>
          <w:bCs/>
          <w:color w:val="auto"/>
          <w:sz w:val="28"/>
          <w:szCs w:val="28"/>
          <w:highlight w:val="none"/>
          <w:lang w:val="zh-CN"/>
        </w:rPr>
      </w:pPr>
      <w:r>
        <w:rPr>
          <w:rFonts w:hint="eastAsia" w:ascii="宋体" w:hAnsi="宋体" w:eastAsia="宋体" w:cs="宋体"/>
        </w:rPr>
        <w:t>合同备案时间：</w:t>
      </w:r>
      <w:r>
        <w:rPr>
          <w:rFonts w:hint="eastAsia" w:ascii="宋体" w:hAnsi="宋体" w:eastAsia="宋体" w:cs="宋体"/>
          <w:b/>
          <w:bCs/>
          <w:color w:val="auto"/>
          <w:sz w:val="28"/>
          <w:szCs w:val="28"/>
          <w:highlight w:val="none"/>
          <w:lang w:val="zh-CN"/>
        </w:rPr>
        <w:br w:type="page"/>
      </w:r>
    </w:p>
    <w:p w14:paraId="5861E06E">
      <w:pPr>
        <w:bidi w:val="0"/>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lang w:val="zh-CN"/>
        </w:rPr>
        <w:t>合同通用条款</w:t>
      </w:r>
    </w:p>
    <w:p w14:paraId="09B077FB">
      <w:pPr>
        <w:bidi w:val="0"/>
        <w:rPr>
          <w:rFonts w:hint="eastAsia" w:ascii="宋体" w:hAnsi="宋体" w:eastAsia="宋体" w:cs="宋体"/>
        </w:rPr>
      </w:pPr>
      <w:r>
        <w:rPr>
          <w:rFonts w:hint="eastAsia" w:ascii="宋体" w:hAnsi="宋体" w:eastAsia="宋体" w:cs="宋体"/>
          <w:lang w:val="zh-CN"/>
        </w:rPr>
        <w:t>根据《中华人民共和国民法典》、《中华人民共和国政府采购法》的规定，合同双方经协商达成一致，自愿订立本合同，遵循公平原则明确双方的权利、义务，确保双方诚实守信地履行合同。</w:t>
      </w:r>
    </w:p>
    <w:p w14:paraId="15C0662F">
      <w:pPr>
        <w:bidi w:val="0"/>
        <w:ind w:left="0" w:leftChars="0" w:firstLine="0" w:firstLineChars="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val="zh-CN"/>
        </w:rPr>
        <w:t>定义</w:t>
      </w:r>
    </w:p>
    <w:p w14:paraId="63B37C75">
      <w:pPr>
        <w:bidi w:val="0"/>
        <w:rPr>
          <w:rFonts w:hint="eastAsia" w:ascii="宋体" w:hAnsi="宋体" w:eastAsia="宋体" w:cs="宋体"/>
        </w:rPr>
      </w:pPr>
      <w:r>
        <w:rPr>
          <w:rFonts w:hint="eastAsia" w:ascii="宋体" w:hAnsi="宋体" w:eastAsia="宋体" w:cs="宋体"/>
          <w:lang w:val="zh-CN"/>
        </w:rPr>
        <w:t>本合同中的下列术语应解释为：</w:t>
      </w:r>
    </w:p>
    <w:p w14:paraId="1D4F22A0">
      <w:pPr>
        <w:bidi w:val="0"/>
        <w:rPr>
          <w:rFonts w:hint="eastAsia" w:ascii="宋体" w:hAnsi="宋体" w:eastAsia="宋体" w:cs="宋体"/>
        </w:rPr>
      </w:pPr>
      <w:r>
        <w:rPr>
          <w:rFonts w:hint="eastAsia" w:ascii="宋体" w:hAnsi="宋体" w:eastAsia="宋体" w:cs="宋体"/>
        </w:rPr>
        <w:t xml:space="preserve">1.1 </w:t>
      </w:r>
      <w:r>
        <w:rPr>
          <w:rFonts w:hint="eastAsia" w:ascii="宋体" w:hAnsi="宋体" w:eastAsia="宋体" w:cs="宋体"/>
          <w:lang w:val="zh-CN"/>
        </w:rPr>
        <w:t>“合同”指甲乙双方签署的、载明的甲乙双方权利义务的协议，包括所有的附件、附录和上述文件所提到的构成合同的所有文件。</w:t>
      </w:r>
    </w:p>
    <w:p w14:paraId="7AA35388">
      <w:pPr>
        <w:bidi w:val="0"/>
        <w:rPr>
          <w:rFonts w:hint="eastAsia" w:ascii="宋体" w:hAnsi="宋体" w:eastAsia="宋体" w:cs="宋体"/>
        </w:rPr>
      </w:pPr>
      <w:r>
        <w:rPr>
          <w:rFonts w:hint="eastAsia" w:ascii="宋体" w:hAnsi="宋体" w:eastAsia="宋体" w:cs="宋体"/>
        </w:rPr>
        <w:t xml:space="preserve">1.2 </w:t>
      </w:r>
      <w:r>
        <w:rPr>
          <w:rFonts w:hint="eastAsia" w:ascii="宋体" w:hAnsi="宋体" w:eastAsia="宋体" w:cs="宋体"/>
          <w:lang w:val="zh-CN"/>
        </w:rPr>
        <w:t>“合同金额”指根据合同规定，乙方在正确地完全履行合同义务后甲方应付给乙方的价款。</w:t>
      </w:r>
    </w:p>
    <w:p w14:paraId="3617AF8C">
      <w:pPr>
        <w:bidi w:val="0"/>
        <w:rPr>
          <w:rFonts w:hint="eastAsia" w:ascii="宋体" w:hAnsi="宋体" w:eastAsia="宋体" w:cs="宋体"/>
        </w:rPr>
      </w:pPr>
      <w:r>
        <w:rPr>
          <w:rFonts w:hint="eastAsia" w:ascii="宋体" w:hAnsi="宋体" w:eastAsia="宋体" w:cs="宋体"/>
        </w:rPr>
        <w:t xml:space="preserve">1.3 </w:t>
      </w:r>
      <w:r>
        <w:rPr>
          <w:rFonts w:hint="eastAsia" w:ascii="宋体" w:hAnsi="宋体" w:eastAsia="宋体" w:cs="宋体"/>
          <w:lang w:val="zh-CN"/>
        </w:rPr>
        <w:t>“合同条款”指本合同条款。</w:t>
      </w:r>
    </w:p>
    <w:p w14:paraId="2EF2C229">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4</w:t>
      </w:r>
      <w:r>
        <w:rPr>
          <w:rFonts w:hint="eastAsia" w:ascii="宋体" w:hAnsi="宋体" w:eastAsia="宋体" w:cs="宋体"/>
        </w:rPr>
        <w:t xml:space="preserve"> </w:t>
      </w:r>
      <w:r>
        <w:rPr>
          <w:rFonts w:hint="eastAsia" w:ascii="宋体" w:hAnsi="宋体" w:eastAsia="宋体" w:cs="宋体"/>
          <w:lang w:val="zh-CN"/>
        </w:rPr>
        <w:t>“甲方”指购买货物和服务的单位。</w:t>
      </w:r>
    </w:p>
    <w:p w14:paraId="35B12161">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5</w:t>
      </w:r>
      <w:r>
        <w:rPr>
          <w:rFonts w:hint="eastAsia" w:ascii="宋体" w:hAnsi="宋体" w:eastAsia="宋体" w:cs="宋体"/>
        </w:rPr>
        <w:t xml:space="preserve"> </w:t>
      </w:r>
      <w:r>
        <w:rPr>
          <w:rFonts w:hint="eastAsia" w:ascii="宋体" w:hAnsi="宋体" w:eastAsia="宋体" w:cs="宋体"/>
          <w:lang w:val="zh-CN"/>
        </w:rPr>
        <w:t>“乙方”指提供本合同条款下货物和服务的公司或其他实体。</w:t>
      </w:r>
    </w:p>
    <w:p w14:paraId="6CB1B84B">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 xml:space="preserve">6 </w:t>
      </w:r>
      <w:r>
        <w:rPr>
          <w:rFonts w:hint="eastAsia" w:ascii="宋体" w:hAnsi="宋体" w:eastAsia="宋体" w:cs="宋体"/>
          <w:lang w:val="zh-CN"/>
        </w:rPr>
        <w:t>“验收”指合同双方依据强制性的国家技术质量规范和合同约定，确认合同条款下的符合合同规定的活动。</w:t>
      </w:r>
    </w:p>
    <w:p w14:paraId="3404CC08">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7</w:t>
      </w:r>
      <w:r>
        <w:rPr>
          <w:rFonts w:hint="eastAsia" w:ascii="宋体" w:hAnsi="宋体" w:eastAsia="宋体" w:cs="宋体"/>
        </w:rPr>
        <w:t xml:space="preserve"> </w:t>
      </w:r>
      <w:r>
        <w:rPr>
          <w:rFonts w:hint="eastAsia" w:ascii="宋体" w:hAnsi="宋体" w:eastAsia="宋体" w:cs="宋体"/>
          <w:lang w:val="zh-CN"/>
        </w:rPr>
        <w:t>原产地：指产品的生产地，或提供服务的来源地。</w:t>
      </w:r>
    </w:p>
    <w:p w14:paraId="6BADE559">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8</w:t>
      </w:r>
      <w:r>
        <w:rPr>
          <w:rFonts w:hint="eastAsia" w:ascii="宋体" w:hAnsi="宋体" w:eastAsia="宋体" w:cs="宋体"/>
        </w:rPr>
        <w:t xml:space="preserve"> </w:t>
      </w:r>
      <w:r>
        <w:rPr>
          <w:rFonts w:hint="eastAsia" w:ascii="宋体" w:hAnsi="宋体" w:eastAsia="宋体" w:cs="宋体"/>
          <w:lang w:val="zh-CN"/>
        </w:rPr>
        <w:t>“工作日”指国家法定工作日，“天”指日历天数。</w:t>
      </w:r>
    </w:p>
    <w:p w14:paraId="7B95E8CA">
      <w:pPr>
        <w:bidi w:val="0"/>
        <w:ind w:left="0" w:leftChars="0" w:firstLine="0" w:firstLineChars="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val="zh-CN"/>
        </w:rPr>
        <w:t>技术规格要求</w:t>
      </w:r>
    </w:p>
    <w:p w14:paraId="79639D2E">
      <w:pPr>
        <w:bidi w:val="0"/>
        <w:rPr>
          <w:rFonts w:hint="eastAsia" w:ascii="宋体" w:hAnsi="宋体" w:eastAsia="宋体" w:cs="宋体"/>
        </w:rPr>
      </w:pPr>
      <w:r>
        <w:rPr>
          <w:rFonts w:hint="eastAsia" w:ascii="宋体" w:hAnsi="宋体" w:eastAsia="宋体" w:cs="宋体"/>
        </w:rPr>
        <w:t xml:space="preserve">2.1 </w:t>
      </w:r>
      <w:r>
        <w:rPr>
          <w:rFonts w:hint="eastAsia" w:ascii="宋体" w:hAnsi="宋体" w:eastAsia="宋体" w:cs="宋体"/>
          <w:lang w:val="zh-CN"/>
        </w:rPr>
        <w:t>本合同条款下提交</w:t>
      </w:r>
      <w:r>
        <w:rPr>
          <w:rFonts w:hint="eastAsia" w:ascii="宋体" w:hAnsi="宋体" w:cs="宋体"/>
          <w:lang w:val="en-US" w:eastAsia="zh-CN"/>
        </w:rPr>
        <w:t>服务</w:t>
      </w:r>
      <w:r>
        <w:rPr>
          <w:rFonts w:hint="eastAsia" w:ascii="宋体" w:hAnsi="宋体" w:eastAsia="宋体" w:cs="宋体"/>
          <w:lang w:val="zh-CN"/>
        </w:rPr>
        <w:t>要求应等于或优于</w:t>
      </w:r>
      <w:r>
        <w:rPr>
          <w:rFonts w:hint="eastAsia" w:ascii="宋体" w:hAnsi="宋体" w:eastAsia="宋体" w:cs="宋体"/>
          <w:lang w:val="en-US" w:eastAsia="zh-CN"/>
        </w:rPr>
        <w:t>磋商文、响应</w:t>
      </w:r>
      <w:r>
        <w:rPr>
          <w:rFonts w:hint="eastAsia" w:ascii="宋体" w:hAnsi="宋体" w:eastAsia="宋体" w:cs="宋体"/>
          <w:lang w:val="zh-CN"/>
        </w:rPr>
        <w:t>文件技术规格要求。若技术规格要求中无相应规定，则应符合相应的国家有关部门最新颁布的相应正式标准。</w:t>
      </w:r>
    </w:p>
    <w:p w14:paraId="7E6740B2">
      <w:pPr>
        <w:bidi w:val="0"/>
        <w:rPr>
          <w:rFonts w:hint="eastAsia" w:ascii="宋体" w:hAnsi="宋体" w:eastAsia="宋体" w:cs="宋体"/>
        </w:rPr>
      </w:pPr>
      <w:r>
        <w:rPr>
          <w:rFonts w:hint="eastAsia" w:ascii="宋体" w:hAnsi="宋体" w:eastAsia="宋体" w:cs="宋体"/>
        </w:rPr>
        <w:t xml:space="preserve">2.2 </w:t>
      </w:r>
      <w:r>
        <w:rPr>
          <w:rFonts w:hint="eastAsia" w:ascii="宋体" w:hAnsi="宋体" w:eastAsia="宋体" w:cs="宋体"/>
          <w:lang w:val="zh-CN"/>
        </w:rPr>
        <w:t>乙方应向甲方提供货物及服务有关的标准的中文文本。</w:t>
      </w:r>
    </w:p>
    <w:p w14:paraId="7883AAC4">
      <w:pPr>
        <w:bidi w:val="0"/>
        <w:rPr>
          <w:rFonts w:hint="eastAsia" w:ascii="宋体" w:hAnsi="宋体" w:eastAsia="宋体" w:cs="宋体"/>
        </w:rPr>
      </w:pPr>
      <w:r>
        <w:rPr>
          <w:rFonts w:hint="eastAsia" w:ascii="宋体" w:hAnsi="宋体" w:eastAsia="宋体" w:cs="宋体"/>
        </w:rPr>
        <w:t xml:space="preserve">2.3 </w:t>
      </w:r>
      <w:r>
        <w:rPr>
          <w:rFonts w:hint="eastAsia" w:ascii="宋体" w:hAnsi="宋体" w:eastAsia="宋体" w:cs="宋体"/>
          <w:lang w:val="zh-CN"/>
        </w:rPr>
        <w:t>除非技术规范中另有规定，计量单位均采用中华人民共和国法定计量单位。</w:t>
      </w:r>
    </w:p>
    <w:p w14:paraId="36E05EDF">
      <w:pPr>
        <w:bidi w:val="0"/>
        <w:ind w:left="0" w:leftChars="0" w:firstLine="0" w:firstLineChars="0"/>
        <w:rPr>
          <w:rFonts w:hint="eastAsia" w:ascii="宋体" w:hAnsi="宋体" w:eastAsia="宋体" w:cs="宋体"/>
          <w:b/>
          <w:bCs/>
        </w:rPr>
      </w:pPr>
      <w:r>
        <w:rPr>
          <w:rFonts w:hint="eastAsia" w:ascii="宋体" w:hAnsi="宋体" w:eastAsia="宋体" w:cs="宋体"/>
          <w:b/>
          <w:bCs/>
        </w:rPr>
        <w:t>3.</w:t>
      </w:r>
      <w:r>
        <w:rPr>
          <w:rFonts w:hint="eastAsia" w:ascii="宋体" w:hAnsi="宋体" w:eastAsia="宋体" w:cs="宋体"/>
          <w:b/>
          <w:bCs/>
          <w:lang w:val="zh-CN"/>
        </w:rPr>
        <w:t>合同范围</w:t>
      </w:r>
    </w:p>
    <w:p w14:paraId="2DC679BA">
      <w:pPr>
        <w:bidi w:val="0"/>
        <w:rPr>
          <w:rFonts w:hint="eastAsia" w:ascii="宋体" w:hAnsi="宋体" w:eastAsia="宋体" w:cs="宋体"/>
        </w:rPr>
      </w:pPr>
      <w:r>
        <w:rPr>
          <w:rFonts w:hint="eastAsia" w:ascii="宋体" w:hAnsi="宋体" w:eastAsia="宋体" w:cs="宋体"/>
        </w:rPr>
        <w:t>3.</w:t>
      </w:r>
      <w:r>
        <w:rPr>
          <w:rFonts w:hint="eastAsia" w:ascii="宋体" w:hAnsi="宋体" w:cs="宋体"/>
          <w:lang w:val="en-US" w:eastAsia="zh-CN"/>
        </w:rPr>
        <w:t>1</w:t>
      </w:r>
      <w:r>
        <w:rPr>
          <w:rFonts w:hint="eastAsia" w:ascii="宋体" w:hAnsi="宋体" w:eastAsia="宋体" w:cs="宋体"/>
        </w:rPr>
        <w:t xml:space="preserve"> </w:t>
      </w:r>
      <w:r>
        <w:rPr>
          <w:rFonts w:hint="eastAsia" w:ascii="宋体" w:hAnsi="宋体" w:eastAsia="宋体" w:cs="宋体"/>
          <w:lang w:val="zh-CN"/>
        </w:rPr>
        <w:t>乙方应负责培训甲方的技术人员。</w:t>
      </w:r>
    </w:p>
    <w:p w14:paraId="1294F373">
      <w:pPr>
        <w:bidi w:val="0"/>
        <w:rPr>
          <w:rFonts w:hint="eastAsia" w:ascii="宋体" w:hAnsi="宋体" w:eastAsia="宋体" w:cs="宋体"/>
        </w:rPr>
      </w:pPr>
      <w:r>
        <w:rPr>
          <w:rFonts w:hint="eastAsia" w:ascii="宋体" w:hAnsi="宋体" w:eastAsia="宋体" w:cs="宋体"/>
        </w:rPr>
        <w:t>3.</w:t>
      </w:r>
      <w:r>
        <w:rPr>
          <w:rFonts w:hint="eastAsia" w:ascii="宋体" w:hAnsi="宋体" w:cs="宋体"/>
          <w:lang w:val="en-US" w:eastAsia="zh-CN"/>
        </w:rPr>
        <w:t>2</w:t>
      </w:r>
      <w:r>
        <w:rPr>
          <w:rFonts w:hint="eastAsia" w:ascii="宋体" w:hAnsi="宋体" w:eastAsia="宋体" w:cs="宋体"/>
        </w:rPr>
        <w:t xml:space="preserve"> </w:t>
      </w:r>
      <w:r>
        <w:rPr>
          <w:rFonts w:hint="eastAsia" w:ascii="宋体" w:hAnsi="宋体" w:eastAsia="宋体" w:cs="宋体"/>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36E3618F">
      <w:pPr>
        <w:bidi w:val="0"/>
        <w:ind w:left="0" w:leftChars="0" w:firstLine="0" w:firstLineChars="0"/>
        <w:rPr>
          <w:rFonts w:hint="eastAsia" w:ascii="宋体" w:hAnsi="宋体" w:eastAsia="宋体" w:cs="宋体"/>
          <w:b/>
          <w:bCs/>
        </w:rPr>
      </w:pPr>
      <w:r>
        <w:rPr>
          <w:rFonts w:hint="eastAsia" w:ascii="宋体" w:hAnsi="宋体" w:eastAsia="宋体" w:cs="宋体"/>
          <w:b/>
          <w:bCs/>
        </w:rPr>
        <w:t>4.</w:t>
      </w:r>
      <w:r>
        <w:rPr>
          <w:rFonts w:hint="eastAsia" w:ascii="宋体" w:hAnsi="宋体" w:eastAsia="宋体" w:cs="宋体"/>
          <w:b/>
          <w:bCs/>
          <w:lang w:val="zh-CN"/>
        </w:rPr>
        <w:t>合同文件和资料</w:t>
      </w:r>
    </w:p>
    <w:p w14:paraId="2ACDE35E">
      <w:pPr>
        <w:bidi w:val="0"/>
        <w:rPr>
          <w:rFonts w:hint="eastAsia" w:ascii="宋体" w:hAnsi="宋体" w:eastAsia="宋体" w:cs="宋体"/>
        </w:rPr>
      </w:pPr>
      <w:r>
        <w:rPr>
          <w:rFonts w:hint="eastAsia" w:ascii="宋体" w:hAnsi="宋体" w:eastAsia="宋体" w:cs="宋体"/>
        </w:rPr>
        <w:t xml:space="preserve">4.1 </w:t>
      </w:r>
      <w:r>
        <w:rPr>
          <w:rFonts w:hint="eastAsia" w:ascii="宋体" w:hAnsi="宋体" w:eastAsia="宋体" w:cs="宋体"/>
          <w:lang w:val="zh-CN"/>
        </w:rPr>
        <w:t>乙方在提供</w:t>
      </w:r>
      <w:r>
        <w:rPr>
          <w:rFonts w:hint="eastAsia" w:ascii="宋体" w:hAnsi="宋体" w:cs="宋体"/>
          <w:lang w:val="en-US" w:eastAsia="zh-CN"/>
        </w:rPr>
        <w:t>服务</w:t>
      </w:r>
      <w:r>
        <w:rPr>
          <w:rFonts w:hint="eastAsia" w:ascii="宋体" w:hAnsi="宋体" w:eastAsia="宋体" w:cs="宋体"/>
          <w:lang w:val="zh-CN"/>
        </w:rPr>
        <w:t>同时提供中文版相关的技术资料，如目录索引、图纸、操作手册、使用指南、维修指南、服务手册等。</w:t>
      </w:r>
    </w:p>
    <w:p w14:paraId="28638E94">
      <w:pPr>
        <w:bidi w:val="0"/>
        <w:rPr>
          <w:rFonts w:hint="eastAsia" w:ascii="宋体" w:hAnsi="宋体" w:eastAsia="宋体" w:cs="宋体"/>
        </w:rPr>
      </w:pPr>
      <w:r>
        <w:rPr>
          <w:rFonts w:hint="eastAsia" w:ascii="宋体" w:hAnsi="宋体" w:eastAsia="宋体" w:cs="宋体"/>
        </w:rPr>
        <w:t xml:space="preserve">4.2 </w:t>
      </w:r>
      <w:r>
        <w:rPr>
          <w:rFonts w:hint="eastAsia" w:ascii="宋体" w:hAnsi="宋体" w:eastAsia="宋体" w:cs="宋体"/>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6CF6122">
      <w:pPr>
        <w:bidi w:val="0"/>
        <w:ind w:left="0" w:leftChars="0" w:firstLine="0" w:firstLineChars="0"/>
        <w:rPr>
          <w:rFonts w:hint="eastAsia" w:ascii="宋体" w:hAnsi="宋体" w:eastAsia="宋体" w:cs="宋体"/>
          <w:b/>
          <w:bCs/>
        </w:rPr>
      </w:pPr>
      <w:r>
        <w:rPr>
          <w:rFonts w:hint="eastAsia" w:ascii="宋体" w:hAnsi="宋体" w:eastAsia="宋体" w:cs="宋体"/>
          <w:b/>
          <w:bCs/>
        </w:rPr>
        <w:t>5.</w:t>
      </w:r>
      <w:r>
        <w:rPr>
          <w:rFonts w:hint="eastAsia" w:ascii="宋体" w:hAnsi="宋体" w:eastAsia="宋体" w:cs="宋体"/>
          <w:b/>
          <w:bCs/>
          <w:lang w:val="zh-CN"/>
        </w:rPr>
        <w:t>知识产权</w:t>
      </w:r>
    </w:p>
    <w:p w14:paraId="3F509A4A">
      <w:pPr>
        <w:bidi w:val="0"/>
        <w:rPr>
          <w:rFonts w:hint="eastAsia" w:ascii="宋体" w:hAnsi="宋体" w:eastAsia="宋体" w:cs="宋体"/>
        </w:rPr>
      </w:pPr>
      <w:r>
        <w:rPr>
          <w:rFonts w:hint="eastAsia" w:ascii="宋体" w:hAnsi="宋体" w:eastAsia="宋体" w:cs="宋体"/>
        </w:rPr>
        <w:t xml:space="preserve">5.1 </w:t>
      </w:r>
      <w:r>
        <w:rPr>
          <w:rFonts w:hint="eastAsia" w:ascii="宋体" w:hAnsi="宋体" w:eastAsia="宋体" w:cs="宋体"/>
          <w:lang w:val="zh-CN"/>
        </w:rPr>
        <w:t>乙方应保证甲方在使用该货物或其任何一部分时不受第三方提出的侵犯专利权、著作权、商标权和工业设计权等的起诉。</w:t>
      </w:r>
    </w:p>
    <w:p w14:paraId="3834CBD7">
      <w:pPr>
        <w:bidi w:val="0"/>
        <w:rPr>
          <w:rFonts w:hint="eastAsia" w:ascii="宋体" w:hAnsi="宋体" w:eastAsia="宋体" w:cs="宋体"/>
        </w:rPr>
      </w:pPr>
      <w:r>
        <w:rPr>
          <w:rFonts w:hint="eastAsia" w:ascii="宋体" w:hAnsi="宋体" w:eastAsia="宋体" w:cs="宋体"/>
        </w:rPr>
        <w:t xml:space="preserve">5.2 </w:t>
      </w:r>
      <w:r>
        <w:rPr>
          <w:rFonts w:hint="eastAsia" w:ascii="宋体" w:hAnsi="宋体" w:eastAsia="宋体" w:cs="宋体"/>
          <w:lang w:val="zh-CN"/>
        </w:rPr>
        <w:t>任何第三方提出侵权指控，乙方须与第三方交涉并承担由此产生的一切责任、费用和经济赔偿。</w:t>
      </w:r>
    </w:p>
    <w:p w14:paraId="5FE79C93">
      <w:pPr>
        <w:bidi w:val="0"/>
        <w:rPr>
          <w:rFonts w:hint="eastAsia" w:ascii="宋体" w:hAnsi="宋体" w:eastAsia="宋体" w:cs="宋体"/>
        </w:rPr>
      </w:pPr>
      <w:r>
        <w:rPr>
          <w:rFonts w:hint="eastAsia" w:ascii="宋体" w:hAnsi="宋体" w:eastAsia="宋体" w:cs="宋体"/>
        </w:rPr>
        <w:t xml:space="preserve">5.3 </w:t>
      </w:r>
      <w:r>
        <w:rPr>
          <w:rFonts w:hint="eastAsia" w:ascii="宋体" w:hAnsi="宋体" w:eastAsia="宋体" w:cs="宋体"/>
          <w:lang w:val="zh-CN"/>
        </w:rPr>
        <w:t>双方应共同遵守国家有关版权、专利、商标等知识产权方面的法律规定，相互尊重对方的知识产权，对本合同内容、对方的技术秘密和商业秘密负有保密责任。如有违反，违约方负相关法律责任。</w:t>
      </w:r>
    </w:p>
    <w:p w14:paraId="5FECBD8F">
      <w:pPr>
        <w:bidi w:val="0"/>
        <w:rPr>
          <w:rFonts w:hint="eastAsia" w:ascii="宋体" w:hAnsi="宋体" w:eastAsia="宋体" w:cs="宋体"/>
        </w:rPr>
      </w:pPr>
      <w:r>
        <w:rPr>
          <w:rFonts w:hint="eastAsia" w:ascii="宋体" w:hAnsi="宋体" w:eastAsia="宋体" w:cs="宋体"/>
        </w:rPr>
        <w:t xml:space="preserve">5.4 </w:t>
      </w:r>
      <w:r>
        <w:rPr>
          <w:rFonts w:hint="eastAsia" w:ascii="宋体" w:hAnsi="宋体" w:eastAsia="宋体" w:cs="宋体"/>
          <w:lang w:val="zh-CN"/>
        </w:rPr>
        <w:t>在本合同生效时已经存在并为各方合法拥有或使用的所有技术、资料和信息的知识产权，仍应属于其各自的原权利人所有或享有，另有约定的除外。</w:t>
      </w:r>
    </w:p>
    <w:p w14:paraId="7F3CA5E0">
      <w:pPr>
        <w:bidi w:val="0"/>
        <w:rPr>
          <w:rFonts w:hint="eastAsia" w:ascii="宋体" w:hAnsi="宋体" w:eastAsia="宋体" w:cs="宋体"/>
        </w:rPr>
      </w:pPr>
      <w:r>
        <w:rPr>
          <w:rFonts w:hint="eastAsia" w:ascii="宋体" w:hAnsi="宋体" w:eastAsia="宋体" w:cs="宋体"/>
        </w:rPr>
        <w:t xml:space="preserve">5.5 </w:t>
      </w:r>
      <w:r>
        <w:rPr>
          <w:rFonts w:hint="eastAsia" w:ascii="宋体" w:hAnsi="宋体" w:eastAsia="宋体" w:cs="宋体"/>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EE81F9D">
      <w:pPr>
        <w:bidi w:val="0"/>
        <w:ind w:left="0" w:leftChars="0" w:firstLine="0" w:firstLineChars="0"/>
        <w:rPr>
          <w:rFonts w:hint="eastAsia" w:ascii="宋体" w:hAnsi="宋体" w:eastAsia="宋体" w:cs="宋体"/>
          <w:b/>
          <w:bCs/>
        </w:rPr>
      </w:pPr>
      <w:r>
        <w:rPr>
          <w:rFonts w:hint="eastAsia" w:ascii="宋体" w:hAnsi="宋体" w:eastAsia="宋体" w:cs="宋体"/>
          <w:b/>
          <w:bCs/>
        </w:rPr>
        <w:t>6.</w:t>
      </w:r>
      <w:r>
        <w:rPr>
          <w:rFonts w:hint="eastAsia" w:ascii="宋体" w:hAnsi="宋体" w:eastAsia="宋体" w:cs="宋体"/>
          <w:b/>
          <w:bCs/>
          <w:lang w:val="zh-CN"/>
        </w:rPr>
        <w:t>保密</w:t>
      </w:r>
    </w:p>
    <w:p w14:paraId="09C3B7EE">
      <w:pPr>
        <w:bidi w:val="0"/>
        <w:rPr>
          <w:rFonts w:hint="eastAsia" w:ascii="宋体" w:hAnsi="宋体" w:eastAsia="宋体" w:cs="宋体"/>
        </w:rPr>
      </w:pPr>
      <w:r>
        <w:rPr>
          <w:rFonts w:hint="eastAsia" w:ascii="宋体" w:hAnsi="宋体" w:eastAsia="宋体" w:cs="宋体"/>
        </w:rPr>
        <w:t xml:space="preserve">6.1 </w:t>
      </w:r>
      <w:r>
        <w:rPr>
          <w:rFonts w:hint="eastAsia" w:ascii="宋体" w:hAnsi="宋体" w:eastAsia="宋体" w:cs="宋体"/>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3848BF52">
      <w:pPr>
        <w:bidi w:val="0"/>
        <w:rPr>
          <w:rFonts w:hint="eastAsia" w:ascii="宋体" w:hAnsi="宋体" w:eastAsia="宋体" w:cs="宋体"/>
        </w:rPr>
      </w:pPr>
      <w:r>
        <w:rPr>
          <w:rFonts w:hint="eastAsia" w:ascii="宋体" w:hAnsi="宋体" w:eastAsia="宋体" w:cs="宋体"/>
        </w:rPr>
        <w:t xml:space="preserve">6.2 </w:t>
      </w:r>
      <w:r>
        <w:rPr>
          <w:rFonts w:hint="eastAsia" w:ascii="宋体" w:hAnsi="宋体" w:eastAsia="宋体" w:cs="宋体"/>
          <w:lang w:val="zh-CN"/>
        </w:rPr>
        <w:t>保密信息指任何一方因履行本合同所知悉的任何以口头、书面、图表或电子形式存在的对方信息，具体包括：</w:t>
      </w:r>
    </w:p>
    <w:p w14:paraId="42549EE2">
      <w:pPr>
        <w:bidi w:val="0"/>
        <w:rPr>
          <w:rFonts w:hint="eastAsia" w:ascii="宋体" w:hAnsi="宋体" w:eastAsia="宋体" w:cs="宋体"/>
        </w:rPr>
      </w:pPr>
      <w:r>
        <w:rPr>
          <w:rFonts w:hint="eastAsia" w:ascii="宋体" w:hAnsi="宋体" w:eastAsia="宋体" w:cs="宋体"/>
        </w:rPr>
        <w:t xml:space="preserve">6.2.1 </w:t>
      </w:r>
      <w:r>
        <w:rPr>
          <w:rFonts w:hint="eastAsia" w:ascii="宋体" w:hAnsi="宋体" w:eastAsia="宋体" w:cs="宋体"/>
          <w:lang w:val="zh-CN"/>
        </w:rPr>
        <w:t>任何涉及对方过去、现在或将来的商业计划、规章制度、操作规程、处理手段、财务信息；</w:t>
      </w:r>
    </w:p>
    <w:p w14:paraId="6C46D2D5">
      <w:pPr>
        <w:bidi w:val="0"/>
        <w:rPr>
          <w:rFonts w:hint="eastAsia" w:ascii="宋体" w:hAnsi="宋体" w:eastAsia="宋体" w:cs="宋体"/>
        </w:rPr>
      </w:pPr>
      <w:r>
        <w:rPr>
          <w:rFonts w:hint="eastAsia" w:ascii="宋体" w:hAnsi="宋体" w:eastAsia="宋体" w:cs="宋体"/>
        </w:rPr>
        <w:t xml:space="preserve">6.2.2 </w:t>
      </w:r>
      <w:r>
        <w:rPr>
          <w:rFonts w:hint="eastAsia" w:ascii="宋体" w:hAnsi="宋体" w:eastAsia="宋体" w:cs="宋体"/>
          <w:lang w:val="zh-CN"/>
        </w:rPr>
        <w:t>任何对方的技术措施、技术方案、软件应用及开发，硬件设备的品种、质量、数量、品牌等；</w:t>
      </w:r>
    </w:p>
    <w:p w14:paraId="7D79668C">
      <w:pPr>
        <w:bidi w:val="0"/>
        <w:rPr>
          <w:rFonts w:hint="eastAsia" w:ascii="宋体" w:hAnsi="宋体" w:eastAsia="宋体" w:cs="宋体"/>
        </w:rPr>
      </w:pPr>
      <w:r>
        <w:rPr>
          <w:rFonts w:hint="eastAsia" w:ascii="宋体" w:hAnsi="宋体" w:eastAsia="宋体" w:cs="宋体"/>
        </w:rPr>
        <w:t xml:space="preserve">6.2.3 </w:t>
      </w:r>
      <w:r>
        <w:rPr>
          <w:rFonts w:hint="eastAsia" w:ascii="宋体" w:hAnsi="宋体" w:eastAsia="宋体" w:cs="宋体"/>
          <w:lang w:val="zh-CN"/>
        </w:rPr>
        <w:t>任何对方的技术秘密或专有知识、文件、报告、数据、客户软件、流程图、数据库、发明、知识、贸易秘密。</w:t>
      </w:r>
    </w:p>
    <w:p w14:paraId="3FBD60FE">
      <w:pPr>
        <w:bidi w:val="0"/>
        <w:rPr>
          <w:rFonts w:hint="eastAsia" w:ascii="宋体" w:hAnsi="宋体" w:eastAsia="宋体" w:cs="宋体"/>
        </w:rPr>
      </w:pPr>
      <w:r>
        <w:rPr>
          <w:rFonts w:hint="eastAsia" w:ascii="宋体" w:hAnsi="宋体" w:eastAsia="宋体" w:cs="宋体"/>
        </w:rPr>
        <w:t xml:space="preserve">6.3 </w:t>
      </w:r>
      <w:r>
        <w:rPr>
          <w:rFonts w:hint="eastAsia" w:ascii="宋体" w:hAnsi="宋体" w:eastAsia="宋体" w:cs="宋体"/>
          <w:lang w:val="zh-CN"/>
        </w:rPr>
        <w:t>乙方应根据甲方的要求签署相应的保密协议，保密协议与本条款存在不一致的，以保密协议为准。</w:t>
      </w:r>
    </w:p>
    <w:p w14:paraId="3F8CFE22">
      <w:pPr>
        <w:bidi w:val="0"/>
        <w:ind w:left="0" w:leftChars="0" w:firstLine="0" w:firstLineChars="0"/>
        <w:rPr>
          <w:rFonts w:hint="eastAsia" w:ascii="宋体" w:hAnsi="宋体" w:eastAsia="宋体" w:cs="宋体"/>
          <w:b/>
          <w:bCs/>
        </w:rPr>
      </w:pPr>
      <w:r>
        <w:rPr>
          <w:rFonts w:hint="eastAsia" w:ascii="宋体" w:hAnsi="宋体" w:cs="宋体"/>
          <w:b/>
          <w:bCs/>
          <w:lang w:val="en-US" w:eastAsia="zh-CN"/>
        </w:rPr>
        <w:t>7</w:t>
      </w:r>
      <w:r>
        <w:rPr>
          <w:rFonts w:hint="eastAsia" w:ascii="宋体" w:hAnsi="宋体" w:eastAsia="宋体" w:cs="宋体"/>
          <w:b/>
          <w:bCs/>
        </w:rPr>
        <w:t>.</w:t>
      </w:r>
      <w:r>
        <w:rPr>
          <w:rFonts w:hint="eastAsia" w:ascii="宋体" w:hAnsi="宋体" w:eastAsia="宋体" w:cs="宋体"/>
          <w:b/>
          <w:bCs/>
          <w:lang w:val="zh-CN"/>
        </w:rPr>
        <w:t>价格</w:t>
      </w:r>
    </w:p>
    <w:p w14:paraId="1A0F4011">
      <w:pPr>
        <w:bidi w:val="0"/>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w:t>
      </w:r>
      <w:r>
        <w:rPr>
          <w:rFonts w:hint="eastAsia" w:ascii="宋体" w:hAnsi="宋体" w:cs="宋体"/>
          <w:lang w:val="en-US" w:eastAsia="zh-CN"/>
        </w:rPr>
        <w:t>1</w:t>
      </w:r>
      <w:r>
        <w:rPr>
          <w:rFonts w:hint="eastAsia" w:ascii="宋体" w:hAnsi="宋体" w:eastAsia="宋体" w:cs="宋体"/>
        </w:rPr>
        <w:t xml:space="preserve"> </w:t>
      </w:r>
      <w:r>
        <w:rPr>
          <w:rFonts w:hint="eastAsia" w:ascii="宋体" w:hAnsi="宋体" w:eastAsia="宋体" w:cs="宋体"/>
          <w:lang w:val="zh-CN"/>
        </w:rPr>
        <w:t>本合同价格为固定价格，包括了乙方履行合同全过程产生的所有成本和费用以及乙方应承担的一切税费。</w:t>
      </w:r>
    </w:p>
    <w:p w14:paraId="4A4A7E8E">
      <w:pPr>
        <w:bidi w:val="0"/>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 xml:space="preserve"> </w:t>
      </w:r>
      <w:r>
        <w:rPr>
          <w:rFonts w:hint="eastAsia" w:ascii="宋体" w:hAnsi="宋体" w:eastAsia="宋体" w:cs="宋体"/>
          <w:lang w:val="zh-CN"/>
        </w:rPr>
        <w:t>检验费用</w:t>
      </w:r>
    </w:p>
    <w:p w14:paraId="229DEA5C">
      <w:pPr>
        <w:bidi w:val="0"/>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 xml:space="preserve">.1 </w:t>
      </w:r>
      <w:r>
        <w:rPr>
          <w:rFonts w:hint="eastAsia" w:ascii="宋体" w:hAnsi="宋体" w:eastAsia="宋体" w:cs="宋体"/>
          <w:lang w:val="zh-CN"/>
        </w:rPr>
        <w:t>乙方必须负担本条款下属于乙方负责的检验、测试、调试、试运行和验收的所有费用，并负责乙方派往买方组织的检验、测试和验收人员的所有费用。</w:t>
      </w:r>
    </w:p>
    <w:p w14:paraId="2A924D6F">
      <w:pPr>
        <w:bidi w:val="0"/>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 xml:space="preserve">.2 </w:t>
      </w:r>
      <w:r>
        <w:rPr>
          <w:rFonts w:hint="eastAsia" w:ascii="宋体" w:hAnsi="宋体" w:eastAsia="宋体" w:cs="宋体"/>
          <w:lang w:val="zh-CN"/>
        </w:rPr>
        <w:t>甲方按合同计划参加在乙方工厂所在地检验、测试和验收的费用全部由乙方负责并已包含在合同总价中。</w:t>
      </w:r>
    </w:p>
    <w:p w14:paraId="25C4FB9B">
      <w:pPr>
        <w:bidi w:val="0"/>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 xml:space="preserve">.3 </w:t>
      </w:r>
      <w:r>
        <w:rPr>
          <w:rFonts w:hint="eastAsia" w:ascii="宋体" w:hAnsi="宋体" w:eastAsia="宋体" w:cs="宋体"/>
          <w:lang w:val="zh-CN"/>
        </w:rPr>
        <w:t>甲方检验人员已到卖方所在地，测试无法依照合同进行，而引起甲方人员延长逗留时间，所有由此产生的包括甲方人员在内的直接费用及成本由乙方承担。</w:t>
      </w:r>
    </w:p>
    <w:p w14:paraId="3105023C">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8</w:t>
      </w:r>
      <w:r>
        <w:rPr>
          <w:rFonts w:hint="eastAsia" w:ascii="宋体" w:hAnsi="宋体" w:eastAsia="宋体" w:cs="宋体"/>
          <w:b/>
          <w:bCs/>
          <w:lang w:val="zh-CN"/>
        </w:rPr>
        <w:t>.付款方法和条件</w:t>
      </w:r>
    </w:p>
    <w:p w14:paraId="6A07343B">
      <w:pPr>
        <w:bidi w:val="0"/>
        <w:rPr>
          <w:rFonts w:hint="eastAsia" w:ascii="宋体" w:hAnsi="宋体" w:eastAsia="宋体" w:cs="宋体"/>
        </w:rPr>
      </w:pPr>
      <w:r>
        <w:rPr>
          <w:rFonts w:hint="eastAsia" w:ascii="宋体" w:hAnsi="宋体" w:eastAsia="宋体" w:cs="宋体"/>
          <w:lang w:val="zh-CN"/>
        </w:rPr>
        <w:t>本合同条款下的付款方法和条件在“青海省政府采购项目合同书”中具体规定。</w:t>
      </w:r>
    </w:p>
    <w:p w14:paraId="051470A7">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9</w:t>
      </w:r>
      <w:r>
        <w:rPr>
          <w:rFonts w:hint="eastAsia" w:ascii="宋体" w:hAnsi="宋体" w:eastAsia="宋体" w:cs="宋体"/>
          <w:b/>
          <w:bCs/>
          <w:lang w:val="zh-CN"/>
        </w:rPr>
        <w:t>.履约保证金</w:t>
      </w:r>
    </w:p>
    <w:p w14:paraId="0571830D">
      <w:pPr>
        <w:bidi w:val="0"/>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.1</w:t>
      </w:r>
      <w:r>
        <w:rPr>
          <w:rFonts w:hint="eastAsia" w:ascii="宋体" w:hAnsi="宋体" w:eastAsia="宋体" w:cs="宋体"/>
          <w:lang w:val="zh-CN"/>
        </w:rPr>
        <w:t>乙方应在合同签订前，按约定提交履约保证金</w:t>
      </w:r>
      <w:r>
        <w:rPr>
          <w:rFonts w:hint="eastAsia" w:ascii="宋体" w:hAnsi="宋体" w:eastAsia="宋体" w:cs="宋体"/>
        </w:rPr>
        <w:t>。</w:t>
      </w:r>
    </w:p>
    <w:p w14:paraId="7ABA60A7">
      <w:pPr>
        <w:bidi w:val="0"/>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 xml:space="preserve">.2 </w:t>
      </w:r>
      <w:r>
        <w:rPr>
          <w:rFonts w:hint="eastAsia" w:ascii="宋体" w:hAnsi="宋体" w:eastAsia="宋体" w:cs="宋体"/>
          <w:lang w:val="zh-CN"/>
        </w:rPr>
        <w:t>履约保证金用于补偿甲方因乙方不能履行其合同义务而蒙受的损失。</w:t>
      </w:r>
    </w:p>
    <w:p w14:paraId="2F32580F">
      <w:pPr>
        <w:bidi w:val="0"/>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 xml:space="preserve">.3 </w:t>
      </w:r>
      <w:r>
        <w:rPr>
          <w:rFonts w:hint="eastAsia" w:ascii="宋体" w:hAnsi="宋体" w:eastAsia="宋体" w:cs="宋体"/>
          <w:lang w:val="zh-CN"/>
        </w:rPr>
        <w:t>履约保证金应使用本合同货币，按下述方式之一提交（招标文件中另有约定的除外）：</w:t>
      </w:r>
    </w:p>
    <w:p w14:paraId="06A2487B">
      <w:pPr>
        <w:bidi w:val="0"/>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 xml:space="preserve">.3.1 </w:t>
      </w:r>
      <w:r>
        <w:rPr>
          <w:rFonts w:hint="eastAsia" w:ascii="宋体" w:hAnsi="宋体" w:eastAsia="宋体" w:cs="宋体"/>
          <w:lang w:val="zh-CN"/>
        </w:rPr>
        <w:t>甲方可接受的在中华人民共和国注册和营业的银行出具的履约保函；</w:t>
      </w:r>
    </w:p>
    <w:p w14:paraId="2747C796">
      <w:pPr>
        <w:bidi w:val="0"/>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 xml:space="preserve">.3.2 </w:t>
      </w:r>
      <w:r>
        <w:rPr>
          <w:rFonts w:hint="eastAsia" w:ascii="宋体" w:hAnsi="宋体" w:eastAsia="宋体" w:cs="宋体"/>
          <w:lang w:val="zh-CN"/>
        </w:rPr>
        <w:t>支票或汇票。</w:t>
      </w:r>
    </w:p>
    <w:p w14:paraId="637B4DD8">
      <w:pPr>
        <w:bidi w:val="0"/>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 xml:space="preserve">.4 </w:t>
      </w:r>
      <w:r>
        <w:rPr>
          <w:rFonts w:hint="eastAsia" w:ascii="宋体" w:hAnsi="宋体" w:eastAsia="宋体" w:cs="宋体"/>
          <w:lang w:val="zh-CN"/>
        </w:rPr>
        <w:t>乙方未能按合同规定履行其义务，甲方有权从履约保证金中取得补偿。货物验收合格后，甲方将履约保证金退还乙方或转为质量保证金。</w:t>
      </w:r>
    </w:p>
    <w:p w14:paraId="518CB324">
      <w:pPr>
        <w:bidi w:val="0"/>
        <w:ind w:left="0" w:leftChars="0" w:firstLine="0" w:firstLineChars="0"/>
        <w:rPr>
          <w:rFonts w:hint="eastAsia" w:ascii="宋体" w:hAnsi="宋体" w:eastAsia="宋体" w:cs="宋体"/>
          <w:b/>
          <w:bCs/>
          <w:lang w:val="en-US" w:eastAsia="zh-CN"/>
        </w:rPr>
      </w:pPr>
      <w:r>
        <w:rPr>
          <w:rFonts w:hint="eastAsia" w:ascii="宋体" w:hAnsi="宋体" w:cs="宋体"/>
          <w:b/>
          <w:bCs/>
          <w:lang w:val="en-US" w:eastAsia="zh-CN"/>
        </w:rPr>
        <w:t>10</w:t>
      </w:r>
      <w:r>
        <w:rPr>
          <w:rFonts w:hint="eastAsia" w:ascii="宋体" w:hAnsi="宋体" w:eastAsia="宋体" w:cs="宋体"/>
          <w:b/>
          <w:bCs/>
          <w:lang w:val="zh-CN"/>
        </w:rPr>
        <w:t>.迟延</w:t>
      </w:r>
      <w:r>
        <w:rPr>
          <w:rFonts w:hint="eastAsia" w:ascii="宋体" w:hAnsi="宋体" w:cs="宋体"/>
          <w:b/>
          <w:bCs/>
          <w:lang w:val="en-US" w:eastAsia="zh-CN"/>
        </w:rPr>
        <w:t>服务</w:t>
      </w:r>
    </w:p>
    <w:p w14:paraId="02CA3903">
      <w:pPr>
        <w:bidi w:val="0"/>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rPr>
        <w:t xml:space="preserve">.1 </w:t>
      </w:r>
      <w:r>
        <w:rPr>
          <w:rFonts w:hint="eastAsia" w:ascii="宋体" w:hAnsi="宋体" w:eastAsia="宋体" w:cs="宋体"/>
          <w:lang w:val="zh-CN"/>
        </w:rPr>
        <w:t>乙方应按照合同约定的时间提供服务。</w:t>
      </w:r>
    </w:p>
    <w:p w14:paraId="1DBB028E">
      <w:pPr>
        <w:bidi w:val="0"/>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rPr>
        <w:t xml:space="preserve">.2 </w:t>
      </w:r>
      <w:r>
        <w:rPr>
          <w:rFonts w:hint="eastAsia" w:ascii="宋体" w:hAnsi="宋体" w:eastAsia="宋体" w:cs="宋体"/>
          <w:lang w:val="zh-CN"/>
        </w:rPr>
        <w:t>除不可抗力因素外，乙方</w:t>
      </w:r>
      <w:r>
        <w:rPr>
          <w:rFonts w:hint="eastAsia" w:ascii="宋体" w:hAnsi="宋体" w:cs="宋体"/>
          <w:lang w:val="en-US" w:eastAsia="zh-CN"/>
        </w:rPr>
        <w:t>无法完成服务</w:t>
      </w:r>
      <w:r>
        <w:rPr>
          <w:rFonts w:hint="eastAsia" w:ascii="宋体" w:hAnsi="宋体" w:eastAsia="宋体" w:cs="宋体"/>
          <w:lang w:val="zh-CN"/>
        </w:rPr>
        <w:t>，甲方有权提出违约损失赔偿或解除合同。</w:t>
      </w:r>
    </w:p>
    <w:p w14:paraId="24FA51F2">
      <w:pPr>
        <w:bidi w:val="0"/>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rPr>
        <w:t xml:space="preserve">.3 </w:t>
      </w:r>
      <w:r>
        <w:rPr>
          <w:rFonts w:hint="eastAsia" w:ascii="宋体" w:hAnsi="宋体" w:eastAsia="宋体" w:cs="宋体"/>
          <w:lang w:val="zh-CN"/>
        </w:rPr>
        <w:t>在履行合同过程中，乙方遇到不能按时提供服务的情况，应及时以书面形式将不能按时</w:t>
      </w:r>
      <w:r>
        <w:rPr>
          <w:rFonts w:hint="eastAsia" w:ascii="宋体" w:hAnsi="宋体" w:cs="宋体"/>
          <w:lang w:val="en-US" w:eastAsia="zh-CN"/>
        </w:rPr>
        <w:t>提供服务</w:t>
      </w:r>
      <w:r>
        <w:rPr>
          <w:rFonts w:hint="eastAsia" w:ascii="宋体" w:hAnsi="宋体" w:eastAsia="宋体" w:cs="宋体"/>
          <w:lang w:val="zh-CN"/>
        </w:rPr>
        <w:t>的理由、预期延误时间通知甲方。甲方收到乙方通知后，认为其理由正当的，可酌情延长交货时间。</w:t>
      </w:r>
    </w:p>
    <w:p w14:paraId="77225018">
      <w:pPr>
        <w:bidi w:val="0"/>
        <w:ind w:left="0" w:leftChars="0" w:firstLine="0" w:firstLineChars="0"/>
        <w:rPr>
          <w:rFonts w:hint="eastAsia" w:ascii="宋体" w:hAnsi="宋体" w:eastAsia="宋体" w:cs="宋体"/>
          <w:b/>
          <w:bCs/>
          <w:lang w:val="zh-CN"/>
        </w:rPr>
      </w:pPr>
      <w:r>
        <w:rPr>
          <w:rFonts w:hint="eastAsia" w:ascii="宋体" w:hAnsi="宋体" w:eastAsia="宋体" w:cs="宋体"/>
          <w:b/>
          <w:bCs/>
          <w:lang w:val="zh-CN"/>
        </w:rPr>
        <w:t>1</w:t>
      </w:r>
      <w:r>
        <w:rPr>
          <w:rFonts w:hint="eastAsia" w:ascii="宋体" w:hAnsi="宋体" w:cs="宋体"/>
          <w:b/>
          <w:bCs/>
          <w:lang w:val="en-US" w:eastAsia="zh-CN"/>
        </w:rPr>
        <w:t>1</w:t>
      </w:r>
      <w:r>
        <w:rPr>
          <w:rFonts w:hint="eastAsia" w:ascii="宋体" w:hAnsi="宋体" w:eastAsia="宋体" w:cs="宋体"/>
          <w:b/>
          <w:bCs/>
          <w:lang w:val="zh-CN"/>
        </w:rPr>
        <w:t>.违约赔偿</w:t>
      </w:r>
    </w:p>
    <w:p w14:paraId="2DC77FB1">
      <w:pPr>
        <w:bidi w:val="0"/>
        <w:rPr>
          <w:rFonts w:hint="eastAsia" w:ascii="宋体" w:hAnsi="宋体" w:eastAsia="宋体" w:cs="宋体"/>
        </w:rPr>
      </w:pPr>
      <w:r>
        <w:rPr>
          <w:rFonts w:hint="eastAsia" w:ascii="宋体" w:hAnsi="宋体" w:eastAsia="宋体" w:cs="宋体"/>
          <w:lang w:val="zh-CN"/>
        </w:rPr>
        <w:t>除不可抗力因素外，乙方没有按照合同规定的时间交货和提供服务，甲方可要求乙方支付违约金。违约金每日按合同总价款的千分之五计收。</w:t>
      </w:r>
    </w:p>
    <w:p w14:paraId="18F8D9A5">
      <w:pPr>
        <w:bidi w:val="0"/>
        <w:ind w:left="0" w:leftChars="0" w:firstLine="0" w:firstLineChars="0"/>
        <w:rPr>
          <w:rFonts w:hint="eastAsia" w:ascii="宋体" w:hAnsi="宋体" w:eastAsia="宋体" w:cs="宋体"/>
          <w:b/>
          <w:bCs/>
          <w:lang w:val="zh-CN"/>
        </w:rPr>
      </w:pPr>
      <w:r>
        <w:rPr>
          <w:rFonts w:hint="eastAsia" w:ascii="宋体" w:hAnsi="宋体" w:eastAsia="宋体" w:cs="宋体"/>
          <w:b/>
          <w:bCs/>
          <w:lang w:val="zh-CN"/>
        </w:rPr>
        <w:t>1</w:t>
      </w:r>
      <w:r>
        <w:rPr>
          <w:rFonts w:hint="eastAsia" w:ascii="宋体" w:hAnsi="宋体" w:cs="宋体"/>
          <w:b/>
          <w:bCs/>
          <w:lang w:val="en-US" w:eastAsia="zh-CN"/>
        </w:rPr>
        <w:t>2</w:t>
      </w:r>
      <w:r>
        <w:rPr>
          <w:rFonts w:hint="eastAsia" w:ascii="宋体" w:hAnsi="宋体" w:eastAsia="宋体" w:cs="宋体"/>
          <w:b/>
          <w:bCs/>
          <w:lang w:val="zh-CN"/>
        </w:rPr>
        <w:t>.不可抗力</w:t>
      </w:r>
    </w:p>
    <w:p w14:paraId="33436A84">
      <w:pPr>
        <w:bidi w:val="0"/>
        <w:rPr>
          <w:rFonts w:hint="eastAsia" w:ascii="宋体" w:hAnsi="宋体" w:eastAsia="宋体" w:cs="宋体"/>
        </w:rPr>
      </w:pPr>
      <w:r>
        <w:rPr>
          <w:rFonts w:hint="eastAsia" w:ascii="宋体" w:hAnsi="宋体" w:cs="宋体"/>
          <w:lang w:val="en-US" w:eastAsia="zh-CN"/>
        </w:rPr>
        <w:t>12</w:t>
      </w:r>
      <w:r>
        <w:rPr>
          <w:rFonts w:hint="eastAsia" w:ascii="宋体" w:hAnsi="宋体" w:eastAsia="宋体" w:cs="宋体"/>
        </w:rPr>
        <w:t xml:space="preserve">.1 </w:t>
      </w:r>
      <w:r>
        <w:rPr>
          <w:rFonts w:hint="eastAsia" w:ascii="宋体" w:hAnsi="宋体" w:eastAsia="宋体" w:cs="宋体"/>
          <w:lang w:val="zh-CN"/>
        </w:rPr>
        <w:t>双方中任何一方遭遇法律规定的不可抗力，致使合同履行受阻时，履行合同的期限应予延长，延长的期限应相当于不可抗力所影响的时间。</w:t>
      </w:r>
    </w:p>
    <w:p w14:paraId="2EC6D9B9">
      <w:pPr>
        <w:bidi w:val="0"/>
        <w:rPr>
          <w:rFonts w:hint="eastAsia" w:ascii="宋体" w:hAnsi="宋体" w:eastAsia="宋体" w:cs="宋体"/>
        </w:rPr>
      </w:pPr>
      <w:r>
        <w:rPr>
          <w:rFonts w:hint="eastAsia" w:ascii="宋体" w:hAnsi="宋体" w:cs="宋体"/>
          <w:lang w:val="en-US" w:eastAsia="zh-CN"/>
        </w:rPr>
        <w:t>12</w:t>
      </w:r>
      <w:r>
        <w:rPr>
          <w:rFonts w:hint="eastAsia" w:ascii="宋体" w:hAnsi="宋体" w:eastAsia="宋体" w:cs="宋体"/>
        </w:rPr>
        <w:t xml:space="preserve">.2 </w:t>
      </w:r>
      <w:r>
        <w:rPr>
          <w:rFonts w:hint="eastAsia" w:ascii="宋体" w:hAnsi="宋体" w:eastAsia="宋体" w:cs="宋体"/>
          <w:lang w:val="zh-CN"/>
        </w:rPr>
        <w:t>受事故影响的一方应在不可抗力的事故发生后以书面形式通知另一方。</w:t>
      </w:r>
    </w:p>
    <w:p w14:paraId="59615564">
      <w:pPr>
        <w:bidi w:val="0"/>
        <w:rPr>
          <w:rFonts w:hint="eastAsia" w:ascii="宋体" w:hAnsi="宋体" w:eastAsia="宋体" w:cs="宋体"/>
        </w:rPr>
      </w:pPr>
      <w:r>
        <w:rPr>
          <w:rFonts w:hint="eastAsia" w:ascii="宋体" w:hAnsi="宋体" w:cs="宋体"/>
          <w:lang w:val="en-US" w:eastAsia="zh-CN"/>
        </w:rPr>
        <w:t>12</w:t>
      </w:r>
      <w:r>
        <w:rPr>
          <w:rFonts w:hint="eastAsia" w:ascii="宋体" w:hAnsi="宋体" w:eastAsia="宋体" w:cs="宋体"/>
        </w:rPr>
        <w:t xml:space="preserve">.3 </w:t>
      </w:r>
      <w:r>
        <w:rPr>
          <w:rFonts w:hint="eastAsia" w:ascii="宋体" w:hAnsi="宋体" w:eastAsia="宋体" w:cs="宋体"/>
          <w:lang w:val="zh-CN"/>
        </w:rPr>
        <w:t>不可抗力使合同的某些内容有变更必要的，双方应通过协商达成进一步履行合同的协议，因不可抗力致使合同不能履行的，合同终止。</w:t>
      </w:r>
    </w:p>
    <w:p w14:paraId="3E50A4E2">
      <w:pPr>
        <w:bidi w:val="0"/>
        <w:ind w:left="0" w:leftChars="0" w:firstLine="0" w:firstLineChars="0"/>
        <w:rPr>
          <w:rFonts w:hint="eastAsia" w:ascii="宋体" w:hAnsi="宋体" w:eastAsia="宋体" w:cs="宋体"/>
          <w:b/>
          <w:bCs/>
          <w:lang w:val="zh-CN"/>
        </w:rPr>
      </w:pPr>
      <w:r>
        <w:rPr>
          <w:rFonts w:hint="eastAsia" w:ascii="宋体" w:hAnsi="宋体" w:eastAsia="宋体" w:cs="宋体"/>
          <w:b/>
          <w:bCs/>
          <w:lang w:val="zh-CN"/>
        </w:rPr>
        <w:t>1</w:t>
      </w:r>
      <w:r>
        <w:rPr>
          <w:rFonts w:hint="eastAsia" w:ascii="宋体" w:hAnsi="宋体" w:cs="宋体"/>
          <w:b/>
          <w:bCs/>
          <w:lang w:val="en-US" w:eastAsia="zh-CN"/>
        </w:rPr>
        <w:t>3</w:t>
      </w:r>
      <w:r>
        <w:rPr>
          <w:rFonts w:hint="eastAsia" w:ascii="宋体" w:hAnsi="宋体" w:eastAsia="宋体" w:cs="宋体"/>
          <w:b/>
          <w:bCs/>
          <w:lang w:val="zh-CN"/>
        </w:rPr>
        <w:t>.税费</w:t>
      </w:r>
    </w:p>
    <w:p w14:paraId="3A2C7BD4">
      <w:pPr>
        <w:bidi w:val="0"/>
        <w:rPr>
          <w:rFonts w:hint="eastAsia" w:ascii="宋体" w:hAnsi="宋体" w:eastAsia="宋体" w:cs="宋体"/>
        </w:rPr>
      </w:pPr>
      <w:r>
        <w:rPr>
          <w:rFonts w:hint="eastAsia" w:ascii="宋体" w:hAnsi="宋体" w:eastAsia="宋体" w:cs="宋体"/>
          <w:lang w:val="zh-CN"/>
        </w:rPr>
        <w:t>与本合同有关的一切税费均由乙方承担。</w:t>
      </w:r>
    </w:p>
    <w:p w14:paraId="1F248778">
      <w:pPr>
        <w:bidi w:val="0"/>
        <w:ind w:left="0" w:leftChars="0" w:firstLine="0" w:firstLineChars="0"/>
        <w:rPr>
          <w:rFonts w:hint="eastAsia" w:ascii="宋体" w:hAnsi="宋体" w:eastAsia="宋体" w:cs="宋体"/>
          <w:b/>
          <w:bCs/>
          <w:lang w:val="zh-CN"/>
        </w:rPr>
      </w:pPr>
      <w:r>
        <w:rPr>
          <w:rFonts w:hint="eastAsia" w:ascii="宋体" w:hAnsi="宋体" w:eastAsia="宋体" w:cs="宋体"/>
          <w:b/>
          <w:bCs/>
          <w:lang w:val="zh-CN"/>
        </w:rPr>
        <w:t>1</w:t>
      </w:r>
      <w:r>
        <w:rPr>
          <w:rFonts w:hint="eastAsia" w:ascii="宋体" w:hAnsi="宋体" w:cs="宋体"/>
          <w:b/>
          <w:bCs/>
          <w:lang w:val="en-US" w:eastAsia="zh-CN"/>
        </w:rPr>
        <w:t>4</w:t>
      </w:r>
      <w:r>
        <w:rPr>
          <w:rFonts w:hint="eastAsia" w:ascii="宋体" w:hAnsi="宋体" w:eastAsia="宋体" w:cs="宋体"/>
          <w:b/>
          <w:bCs/>
          <w:lang w:val="zh-CN"/>
        </w:rPr>
        <w:t>.合同争议的解决</w:t>
      </w:r>
    </w:p>
    <w:p w14:paraId="6D36DD20">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4</w:t>
      </w:r>
      <w:r>
        <w:rPr>
          <w:rFonts w:hint="eastAsia" w:ascii="宋体" w:hAnsi="宋体" w:eastAsia="宋体" w:cs="宋体"/>
        </w:rPr>
        <w:t xml:space="preserve">.1 </w:t>
      </w:r>
      <w:r>
        <w:rPr>
          <w:rFonts w:hint="eastAsia" w:ascii="宋体" w:hAnsi="宋体" w:eastAsia="宋体" w:cs="宋体"/>
          <w:lang w:val="zh-CN"/>
        </w:rPr>
        <w:t>甲方和乙方由于本合同的履行而发生任何争议时，双方可先通过协商解决。</w:t>
      </w:r>
    </w:p>
    <w:p w14:paraId="7FA34335">
      <w:pPr>
        <w:bidi w:val="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4</w:t>
      </w:r>
      <w:r>
        <w:rPr>
          <w:rFonts w:hint="eastAsia" w:ascii="宋体" w:hAnsi="宋体" w:eastAsia="宋体" w:cs="宋体"/>
        </w:rPr>
        <w:t xml:space="preserve">.2 </w:t>
      </w:r>
      <w:r>
        <w:rPr>
          <w:rFonts w:hint="eastAsia" w:ascii="宋体" w:hAnsi="宋体" w:eastAsia="宋体" w:cs="宋体"/>
          <w:lang w:val="zh-CN"/>
        </w:rPr>
        <w:t>任何一方不愿通过协商或通过协商仍不能解决争议，则双方中任何一方均应向甲方所在地人民法院起诉。</w:t>
      </w:r>
    </w:p>
    <w:p w14:paraId="59CB278B">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15</w:t>
      </w:r>
      <w:r>
        <w:rPr>
          <w:rFonts w:hint="eastAsia" w:ascii="宋体" w:hAnsi="宋体" w:eastAsia="宋体" w:cs="宋体"/>
          <w:b/>
          <w:bCs/>
          <w:lang w:val="zh-CN"/>
        </w:rPr>
        <w:t>.违约解除合同</w:t>
      </w:r>
    </w:p>
    <w:p w14:paraId="76AEB303">
      <w:pPr>
        <w:bidi w:val="0"/>
        <w:rPr>
          <w:rFonts w:hint="eastAsia" w:ascii="宋体" w:hAnsi="宋体" w:eastAsia="宋体" w:cs="宋体"/>
        </w:rPr>
      </w:pPr>
      <w:r>
        <w:rPr>
          <w:rFonts w:hint="eastAsia" w:ascii="宋体" w:hAnsi="宋体" w:cs="宋体"/>
          <w:lang w:val="en-US" w:eastAsia="zh-CN"/>
        </w:rPr>
        <w:t>15</w:t>
      </w:r>
      <w:r>
        <w:rPr>
          <w:rFonts w:hint="eastAsia" w:ascii="宋体" w:hAnsi="宋体" w:eastAsia="宋体" w:cs="宋体"/>
        </w:rPr>
        <w:t xml:space="preserve">.1 </w:t>
      </w:r>
      <w:r>
        <w:rPr>
          <w:rFonts w:hint="eastAsia" w:ascii="宋体" w:hAnsi="宋体" w:eastAsia="宋体" w:cs="宋体"/>
          <w:lang w:val="zh-CN"/>
        </w:rPr>
        <w:t>出现下列情形之一的，视为乙方违约。甲方可向乙方发出书面通知，部分或全部终止合同，同时保留向乙方索赔的权利。</w:t>
      </w:r>
    </w:p>
    <w:p w14:paraId="6F01EDCC">
      <w:pPr>
        <w:bidi w:val="0"/>
        <w:rPr>
          <w:rFonts w:hint="eastAsia" w:ascii="宋体" w:hAnsi="宋体" w:eastAsia="宋体" w:cs="宋体"/>
        </w:rPr>
      </w:pPr>
      <w:r>
        <w:rPr>
          <w:rFonts w:hint="eastAsia" w:ascii="宋体" w:hAnsi="宋体" w:cs="宋体"/>
          <w:lang w:val="en-US" w:eastAsia="zh-CN"/>
        </w:rPr>
        <w:t>15</w:t>
      </w:r>
      <w:r>
        <w:rPr>
          <w:rFonts w:hint="eastAsia" w:ascii="宋体" w:hAnsi="宋体" w:eastAsia="宋体" w:cs="宋体"/>
        </w:rPr>
        <w:t xml:space="preserve">.1.1 </w:t>
      </w:r>
      <w:r>
        <w:rPr>
          <w:rFonts w:hint="eastAsia" w:ascii="宋体" w:hAnsi="宋体" w:eastAsia="宋体" w:cs="宋体"/>
          <w:lang w:val="zh-CN"/>
        </w:rPr>
        <w:t>乙方未能在合同规定的限期或甲方同意延长的限期内，提供全部或部分货物的；</w:t>
      </w:r>
    </w:p>
    <w:p w14:paraId="482ACC6E">
      <w:pPr>
        <w:bidi w:val="0"/>
        <w:rPr>
          <w:rFonts w:hint="eastAsia" w:ascii="宋体" w:hAnsi="宋体" w:eastAsia="宋体" w:cs="宋体"/>
        </w:rPr>
      </w:pPr>
      <w:r>
        <w:rPr>
          <w:rFonts w:hint="eastAsia" w:ascii="宋体" w:hAnsi="宋体" w:cs="宋体"/>
          <w:lang w:val="en-US" w:eastAsia="zh-CN"/>
        </w:rPr>
        <w:t>15</w:t>
      </w:r>
      <w:r>
        <w:rPr>
          <w:rFonts w:hint="eastAsia" w:ascii="宋体" w:hAnsi="宋体" w:eastAsia="宋体" w:cs="宋体"/>
        </w:rPr>
        <w:t xml:space="preserve">.1.2 </w:t>
      </w:r>
      <w:r>
        <w:rPr>
          <w:rFonts w:hint="eastAsia" w:ascii="宋体" w:hAnsi="宋体" w:eastAsia="宋体" w:cs="宋体"/>
          <w:lang w:val="zh-CN"/>
        </w:rPr>
        <w:t>乙方未能履行合同规定的其它主要义务的；</w:t>
      </w:r>
    </w:p>
    <w:p w14:paraId="6D22E0AE">
      <w:pPr>
        <w:bidi w:val="0"/>
        <w:rPr>
          <w:rFonts w:hint="eastAsia" w:ascii="宋体" w:hAnsi="宋体" w:eastAsia="宋体" w:cs="宋体"/>
        </w:rPr>
      </w:pPr>
      <w:r>
        <w:rPr>
          <w:rFonts w:hint="eastAsia" w:ascii="宋体" w:hAnsi="宋体" w:cs="宋体"/>
          <w:lang w:val="en-US" w:eastAsia="zh-CN"/>
        </w:rPr>
        <w:t>15</w:t>
      </w:r>
      <w:r>
        <w:rPr>
          <w:rFonts w:hint="eastAsia" w:ascii="宋体" w:hAnsi="宋体" w:eastAsia="宋体" w:cs="宋体"/>
        </w:rPr>
        <w:t xml:space="preserve">.1.3 </w:t>
      </w:r>
      <w:r>
        <w:rPr>
          <w:rFonts w:hint="eastAsia" w:ascii="宋体" w:hAnsi="宋体" w:eastAsia="宋体" w:cs="宋体"/>
          <w:lang w:val="zh-CN"/>
        </w:rPr>
        <w:t>乙方在本合同履行过程中有欺诈行为的。</w:t>
      </w:r>
    </w:p>
    <w:p w14:paraId="01A7444C">
      <w:pPr>
        <w:bidi w:val="0"/>
        <w:rPr>
          <w:rFonts w:hint="eastAsia" w:ascii="宋体" w:hAnsi="宋体" w:eastAsia="宋体" w:cs="宋体"/>
        </w:rPr>
      </w:pPr>
      <w:r>
        <w:rPr>
          <w:rFonts w:hint="eastAsia" w:ascii="宋体" w:hAnsi="宋体" w:cs="宋体"/>
          <w:lang w:val="en-US" w:eastAsia="zh-CN"/>
        </w:rPr>
        <w:t>15</w:t>
      </w:r>
      <w:r>
        <w:rPr>
          <w:rFonts w:hint="eastAsia" w:ascii="宋体" w:hAnsi="宋体" w:eastAsia="宋体" w:cs="宋体"/>
        </w:rPr>
        <w:t xml:space="preserve">.2 </w:t>
      </w:r>
      <w:r>
        <w:rPr>
          <w:rFonts w:hint="eastAsia" w:ascii="宋体" w:hAnsi="宋体" w:eastAsia="宋体" w:cs="宋体"/>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45F3129A">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16</w:t>
      </w:r>
      <w:r>
        <w:rPr>
          <w:rFonts w:hint="eastAsia" w:ascii="宋体" w:hAnsi="宋体" w:eastAsia="宋体" w:cs="宋体"/>
          <w:b/>
          <w:bCs/>
          <w:lang w:val="zh-CN"/>
        </w:rPr>
        <w:t>.破产终止合同</w:t>
      </w:r>
    </w:p>
    <w:p w14:paraId="1B411F33">
      <w:pPr>
        <w:bidi w:val="0"/>
        <w:rPr>
          <w:rFonts w:hint="eastAsia" w:ascii="宋体" w:hAnsi="宋体" w:eastAsia="宋体" w:cs="宋体"/>
        </w:rPr>
      </w:pPr>
      <w:r>
        <w:rPr>
          <w:rFonts w:hint="eastAsia" w:ascii="宋体" w:hAnsi="宋体" w:eastAsia="宋体" w:cs="宋体"/>
          <w:lang w:val="zh-CN"/>
        </w:rPr>
        <w:t>乙方破产而无法完全履行本合同义务时，甲方可以书面方式通知乙方终止合同而不给予乙方补偿。该合同的终止将不损害或不影响甲方已经采取或将要采取任何行动或补救措施的权利。</w:t>
      </w:r>
    </w:p>
    <w:p w14:paraId="5C1D4FE8">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17</w:t>
      </w:r>
      <w:r>
        <w:rPr>
          <w:rFonts w:hint="eastAsia" w:ascii="宋体" w:hAnsi="宋体" w:eastAsia="宋体" w:cs="宋体"/>
          <w:b/>
          <w:bCs/>
          <w:lang w:val="zh-CN"/>
        </w:rPr>
        <w:t>.转让和分包</w:t>
      </w:r>
    </w:p>
    <w:p w14:paraId="2E7FFEA3">
      <w:pPr>
        <w:bidi w:val="0"/>
        <w:rPr>
          <w:rFonts w:hint="eastAsia" w:ascii="宋体" w:hAnsi="宋体" w:eastAsia="宋体" w:cs="宋体"/>
        </w:rPr>
      </w:pPr>
      <w:r>
        <w:rPr>
          <w:rFonts w:hint="eastAsia" w:ascii="宋体" w:hAnsi="宋体" w:cs="宋体"/>
          <w:lang w:val="en-US" w:eastAsia="zh-CN"/>
        </w:rPr>
        <w:t>17</w:t>
      </w:r>
      <w:r>
        <w:rPr>
          <w:rFonts w:hint="eastAsia" w:ascii="宋体" w:hAnsi="宋体" w:eastAsia="宋体" w:cs="宋体"/>
        </w:rPr>
        <w:t xml:space="preserve">.1 </w:t>
      </w:r>
      <w:r>
        <w:rPr>
          <w:rFonts w:hint="eastAsia" w:ascii="宋体" w:hAnsi="宋体" w:eastAsia="宋体" w:cs="宋体"/>
          <w:lang w:val="zh-CN"/>
        </w:rPr>
        <w:t>政府采购合同不能转让。</w:t>
      </w:r>
    </w:p>
    <w:p w14:paraId="7F62D130">
      <w:pPr>
        <w:bidi w:val="0"/>
        <w:rPr>
          <w:rFonts w:hint="eastAsia" w:ascii="宋体" w:hAnsi="宋体" w:eastAsia="宋体" w:cs="宋体"/>
        </w:rPr>
      </w:pPr>
      <w:r>
        <w:rPr>
          <w:rFonts w:hint="eastAsia" w:ascii="宋体" w:hAnsi="宋体" w:cs="宋体"/>
          <w:lang w:val="en-US" w:eastAsia="zh-CN"/>
        </w:rPr>
        <w:t>17</w:t>
      </w:r>
      <w:r>
        <w:rPr>
          <w:rFonts w:hint="eastAsia" w:ascii="宋体" w:hAnsi="宋体" w:eastAsia="宋体" w:cs="宋体"/>
        </w:rPr>
        <w:t xml:space="preserve">.2 </w:t>
      </w:r>
      <w:r>
        <w:rPr>
          <w:rFonts w:hint="eastAsia" w:ascii="宋体" w:hAnsi="宋体" w:eastAsia="宋体" w:cs="宋体"/>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EDAC103">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18</w:t>
      </w:r>
      <w:r>
        <w:rPr>
          <w:rFonts w:hint="eastAsia" w:ascii="宋体" w:hAnsi="宋体" w:eastAsia="宋体" w:cs="宋体"/>
          <w:b/>
          <w:bCs/>
          <w:lang w:val="zh-CN"/>
        </w:rPr>
        <w:t>.合同修改</w:t>
      </w:r>
    </w:p>
    <w:p w14:paraId="251AAF40">
      <w:pPr>
        <w:bidi w:val="0"/>
        <w:rPr>
          <w:rFonts w:hint="eastAsia" w:ascii="宋体" w:hAnsi="宋体" w:eastAsia="宋体" w:cs="宋体"/>
        </w:rPr>
      </w:pPr>
      <w:r>
        <w:rPr>
          <w:rFonts w:hint="eastAsia" w:ascii="宋体" w:hAnsi="宋体" w:eastAsia="宋体" w:cs="宋体"/>
        </w:rPr>
        <w:t>政府采购合同的双方当事人不得擅自变更、中止或者终止合同</w:t>
      </w:r>
    </w:p>
    <w:p w14:paraId="7A474242">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19</w:t>
      </w:r>
      <w:r>
        <w:rPr>
          <w:rFonts w:hint="eastAsia" w:ascii="宋体" w:hAnsi="宋体" w:eastAsia="宋体" w:cs="宋体"/>
          <w:b/>
          <w:bCs/>
          <w:lang w:val="zh-CN"/>
        </w:rPr>
        <w:t>.通知</w:t>
      </w:r>
    </w:p>
    <w:p w14:paraId="0071A5BF">
      <w:pPr>
        <w:bidi w:val="0"/>
        <w:rPr>
          <w:rFonts w:hint="eastAsia" w:ascii="宋体" w:hAnsi="宋体" w:eastAsia="宋体" w:cs="宋体"/>
        </w:rPr>
      </w:pPr>
      <w:r>
        <w:rPr>
          <w:rFonts w:hint="eastAsia" w:ascii="宋体" w:hAnsi="宋体" w:eastAsia="宋体" w:cs="宋体"/>
          <w:lang w:val="zh-CN"/>
        </w:rPr>
        <w:t>本合同任何一方给另一方的通知，都应以书面形式发送，而另一方也应以书面形式确认并发送到对方明确的地址。</w:t>
      </w:r>
    </w:p>
    <w:p w14:paraId="7632BE02">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20</w:t>
      </w:r>
      <w:r>
        <w:rPr>
          <w:rFonts w:hint="eastAsia" w:ascii="宋体" w:hAnsi="宋体" w:eastAsia="宋体" w:cs="宋体"/>
          <w:b/>
          <w:bCs/>
          <w:lang w:val="zh-CN"/>
        </w:rPr>
        <w:t>.计量单位</w:t>
      </w:r>
    </w:p>
    <w:p w14:paraId="225F5CEA">
      <w:pPr>
        <w:bidi w:val="0"/>
        <w:rPr>
          <w:rFonts w:hint="eastAsia" w:ascii="宋体" w:hAnsi="宋体" w:eastAsia="宋体" w:cs="宋体"/>
        </w:rPr>
      </w:pPr>
      <w:r>
        <w:rPr>
          <w:rFonts w:hint="eastAsia" w:ascii="宋体" w:hAnsi="宋体" w:eastAsia="宋体" w:cs="宋体"/>
          <w:lang w:val="zh-CN"/>
        </w:rPr>
        <w:t>除技术规范中另有规定外</w:t>
      </w:r>
      <w:r>
        <w:rPr>
          <w:rFonts w:hint="eastAsia" w:ascii="宋体" w:hAnsi="宋体" w:eastAsia="宋体" w:cs="宋体"/>
        </w:rPr>
        <w:t>,</w:t>
      </w:r>
      <w:r>
        <w:rPr>
          <w:rFonts w:hint="eastAsia" w:ascii="宋体" w:hAnsi="宋体" w:eastAsia="宋体" w:cs="宋体"/>
          <w:lang w:val="zh-CN"/>
        </w:rPr>
        <w:t>计量单位均使用国家法定计量单位。</w:t>
      </w:r>
    </w:p>
    <w:p w14:paraId="3579012E">
      <w:pPr>
        <w:bidi w:val="0"/>
        <w:ind w:left="0" w:leftChars="0" w:firstLine="0" w:firstLineChars="0"/>
        <w:rPr>
          <w:rFonts w:hint="eastAsia" w:ascii="宋体" w:hAnsi="宋体" w:eastAsia="宋体" w:cs="宋体"/>
          <w:b/>
          <w:bCs/>
          <w:lang w:val="zh-CN"/>
        </w:rPr>
      </w:pPr>
      <w:r>
        <w:rPr>
          <w:rFonts w:hint="eastAsia" w:ascii="宋体" w:hAnsi="宋体" w:cs="宋体"/>
          <w:b/>
          <w:bCs/>
          <w:lang w:val="en-US" w:eastAsia="zh-CN"/>
        </w:rPr>
        <w:t>21</w:t>
      </w:r>
      <w:r>
        <w:rPr>
          <w:rFonts w:hint="eastAsia" w:ascii="宋体" w:hAnsi="宋体" w:eastAsia="宋体" w:cs="宋体"/>
          <w:b/>
          <w:bCs/>
          <w:lang w:val="zh-CN"/>
        </w:rPr>
        <w:t>.适用法律</w:t>
      </w:r>
    </w:p>
    <w:p w14:paraId="76E266CF">
      <w:pPr>
        <w:bidi w:val="0"/>
        <w:rPr>
          <w:rFonts w:hint="eastAsia" w:ascii="宋体" w:hAnsi="宋体" w:eastAsia="宋体" w:cs="宋体"/>
        </w:rPr>
      </w:pPr>
      <w:r>
        <w:rPr>
          <w:rFonts w:hint="eastAsia" w:ascii="宋体" w:hAnsi="宋体" w:eastAsia="宋体" w:cs="宋体"/>
          <w:lang w:val="zh-CN"/>
        </w:rPr>
        <w:t>本合同按照中华人民共和国的相关法律进行解释。</w:t>
      </w:r>
    </w:p>
    <w:p w14:paraId="2F61AF11">
      <w:pPr>
        <w:spacing w:line="480" w:lineRule="auto"/>
        <w:ind w:firstLine="480"/>
        <w:rPr>
          <w:rFonts w:hint="eastAsia" w:ascii="宋体" w:hAnsi="宋体" w:eastAsia="宋体" w:cs="宋体"/>
          <w:color w:val="auto"/>
          <w:highlight w:val="none"/>
        </w:rPr>
      </w:pPr>
    </w:p>
    <w:p w14:paraId="7A843884">
      <w:pPr>
        <w:rPr>
          <w:rFonts w:hint="eastAsia" w:ascii="宋体" w:hAnsi="宋体" w:eastAsia="宋体" w:cs="宋体"/>
          <w:b/>
          <w:color w:val="auto"/>
          <w:kern w:val="28"/>
          <w:sz w:val="36"/>
          <w:szCs w:val="20"/>
          <w:highlight w:val="none"/>
        </w:rPr>
      </w:pPr>
      <w:r>
        <w:rPr>
          <w:rFonts w:hint="eastAsia" w:ascii="宋体" w:hAnsi="宋体" w:eastAsia="宋体" w:cs="宋体"/>
          <w:b/>
          <w:color w:val="auto"/>
          <w:kern w:val="28"/>
          <w:sz w:val="36"/>
          <w:szCs w:val="20"/>
          <w:highlight w:val="none"/>
        </w:rPr>
        <w:br w:type="page"/>
      </w:r>
    </w:p>
    <w:p w14:paraId="11BDAE17">
      <w:pPr>
        <w:pStyle w:val="3"/>
        <w:numPr>
          <w:ilvl w:val="0"/>
          <w:numId w:val="0"/>
        </w:numPr>
        <w:bidi w:val="0"/>
        <w:ind w:left="0" w:leftChars="0" w:firstLine="0" w:firstLineChars="0"/>
        <w:rPr>
          <w:rFonts w:hint="eastAsia" w:ascii="宋体" w:hAnsi="宋体" w:eastAsia="宋体" w:cs="宋体"/>
          <w:color w:val="auto"/>
          <w:highlight w:val="none"/>
        </w:rPr>
      </w:pPr>
      <w:bookmarkStart w:id="118" w:name="_Toc8547"/>
      <w:r>
        <w:rPr>
          <w:rFonts w:hint="eastAsia" w:ascii="宋体" w:hAnsi="宋体" w:eastAsia="宋体" w:cs="宋体"/>
          <w:color w:val="auto"/>
          <w:highlight w:val="none"/>
        </w:rPr>
        <w:t>第五部分</w:t>
      </w:r>
      <w:bookmarkEnd w:id="116"/>
      <w:bookmarkEnd w:id="117"/>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磋商响应文件格式</w:t>
      </w:r>
      <w:bookmarkEnd w:id="118"/>
    </w:p>
    <w:p w14:paraId="2CBEEBF3">
      <w:pPr>
        <w:pStyle w:val="5"/>
        <w:bidi w:val="0"/>
        <w:jc w:val="both"/>
        <w:rPr>
          <w:rFonts w:hint="eastAsia" w:ascii="宋体" w:hAnsi="宋体" w:eastAsia="宋体" w:cs="宋体"/>
          <w:color w:val="auto"/>
          <w:highlight w:val="none"/>
        </w:rPr>
      </w:pPr>
      <w:bookmarkStart w:id="119" w:name="_Toc4176"/>
      <w:bookmarkStart w:id="120" w:name="_Toc7065"/>
      <w:r>
        <w:rPr>
          <w:rFonts w:hint="eastAsia" w:ascii="宋体" w:hAnsi="宋体" w:eastAsia="宋体" w:cs="宋体"/>
          <w:color w:val="auto"/>
          <w:highlight w:val="none"/>
        </w:rPr>
        <w:t>附件1：磋商响应文件封面</w:t>
      </w:r>
      <w:bookmarkEnd w:id="119"/>
      <w:bookmarkEnd w:id="120"/>
    </w:p>
    <w:p w14:paraId="15186A25">
      <w:pPr>
        <w:bidi w:val="0"/>
        <w:rPr>
          <w:rFonts w:hint="eastAsia" w:ascii="宋体" w:hAnsi="宋体" w:eastAsia="宋体" w:cs="宋体"/>
          <w:color w:val="auto"/>
          <w:highlight w:val="none"/>
        </w:rPr>
      </w:pPr>
    </w:p>
    <w:p w14:paraId="769FCF55">
      <w:pPr>
        <w:bidi w:val="0"/>
        <w:rPr>
          <w:rFonts w:hint="eastAsia" w:ascii="宋体" w:hAnsi="宋体" w:eastAsia="宋体" w:cs="宋体"/>
          <w:color w:val="auto"/>
          <w:highlight w:val="none"/>
        </w:rPr>
      </w:pPr>
    </w:p>
    <w:p w14:paraId="7B06FFBB">
      <w:pPr>
        <w:bidi w:val="0"/>
        <w:rPr>
          <w:rFonts w:hint="eastAsia" w:ascii="宋体" w:hAnsi="宋体" w:eastAsia="宋体" w:cs="宋体"/>
          <w:color w:val="auto"/>
          <w:highlight w:val="none"/>
        </w:rPr>
      </w:pPr>
    </w:p>
    <w:p w14:paraId="4935DAE9">
      <w:pPr>
        <w:bidi w:val="0"/>
        <w:ind w:left="0" w:leftChars="0" w:firstLine="0" w:firstLineChars="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磋商响应文件</w:t>
      </w:r>
    </w:p>
    <w:p w14:paraId="4FE5106E">
      <w:pPr>
        <w:bidi w:val="0"/>
        <w:rPr>
          <w:rFonts w:hint="eastAsia" w:ascii="宋体" w:hAnsi="宋体" w:eastAsia="宋体" w:cs="宋体"/>
          <w:color w:val="auto"/>
          <w:highlight w:val="none"/>
        </w:rPr>
      </w:pPr>
    </w:p>
    <w:p w14:paraId="3FEB5BCA">
      <w:pPr>
        <w:bidi w:val="0"/>
        <w:rPr>
          <w:rFonts w:hint="eastAsia" w:ascii="宋体" w:hAnsi="宋体" w:eastAsia="宋体" w:cs="宋体"/>
          <w:color w:val="auto"/>
          <w:highlight w:val="none"/>
        </w:rPr>
      </w:pPr>
    </w:p>
    <w:p w14:paraId="0BB78AD6">
      <w:pPr>
        <w:bidi w:val="0"/>
        <w:rPr>
          <w:rFonts w:hint="eastAsia" w:ascii="宋体" w:hAnsi="宋体" w:eastAsia="宋体" w:cs="宋体"/>
          <w:color w:val="auto"/>
          <w:highlight w:val="none"/>
        </w:rPr>
      </w:pPr>
    </w:p>
    <w:p w14:paraId="11AC607E">
      <w:pPr>
        <w:bidi w:val="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采购项目编号：</w:t>
      </w:r>
      <w:r>
        <w:rPr>
          <w:rFonts w:hint="eastAsia" w:ascii="宋体" w:hAnsi="宋体" w:cs="宋体"/>
          <w:b/>
          <w:bCs/>
          <w:color w:val="auto"/>
          <w:sz w:val="32"/>
          <w:szCs w:val="32"/>
          <w:highlight w:val="none"/>
          <w:lang w:eastAsia="zh-CN"/>
        </w:rPr>
        <w:t>青海联祥磋商（服务）2026-057</w:t>
      </w:r>
    </w:p>
    <w:p w14:paraId="1DC9EFF2">
      <w:pPr>
        <w:bidi w:val="0"/>
        <w:ind w:left="2887" w:leftChars="266" w:hanging="2249" w:hangingChars="700"/>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采购项目名称：</w:t>
      </w:r>
      <w:r>
        <w:rPr>
          <w:rFonts w:hint="eastAsia" w:ascii="宋体" w:hAnsi="宋体" w:cs="宋体"/>
          <w:b/>
          <w:bCs/>
          <w:color w:val="auto"/>
          <w:sz w:val="32"/>
          <w:szCs w:val="32"/>
          <w:highlight w:val="none"/>
          <w:lang w:val="zh-CN"/>
        </w:rPr>
        <w:t>青海省财政厅信息机房设备维保服务项目</w:t>
      </w:r>
    </w:p>
    <w:p w14:paraId="37DB31A0">
      <w:pPr>
        <w:bidi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               （公章）</w:t>
      </w:r>
    </w:p>
    <w:p w14:paraId="076CB0D9">
      <w:pPr>
        <w:bidi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法定代表人或委托代理人：（签字或盖章）</w:t>
      </w:r>
    </w:p>
    <w:p w14:paraId="11F25B19">
      <w:pPr>
        <w:bidi w:val="0"/>
        <w:rPr>
          <w:rFonts w:hint="eastAsia" w:ascii="宋体" w:hAnsi="宋体" w:eastAsia="宋体" w:cs="宋体"/>
          <w:b/>
          <w:bCs/>
          <w:color w:val="auto"/>
          <w:sz w:val="32"/>
          <w:szCs w:val="32"/>
          <w:highlight w:val="none"/>
        </w:rPr>
      </w:pPr>
    </w:p>
    <w:p w14:paraId="7CD6FBCA">
      <w:pPr>
        <w:bidi w:val="0"/>
        <w:ind w:left="0" w:lef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t>年  月  日</w:t>
      </w:r>
      <w:bookmarkStart w:id="121" w:name="_Toc1011"/>
    </w:p>
    <w:p w14:paraId="32CCC893">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241C92">
      <w:pPr>
        <w:pStyle w:val="5"/>
        <w:bidi w:val="0"/>
        <w:jc w:val="both"/>
        <w:rPr>
          <w:rFonts w:hint="eastAsia" w:ascii="宋体" w:hAnsi="宋体" w:eastAsia="宋体" w:cs="宋体"/>
          <w:color w:val="auto"/>
          <w:highlight w:val="none"/>
        </w:rPr>
      </w:pPr>
      <w:bookmarkStart w:id="122" w:name="_Toc21681"/>
      <w:r>
        <w:rPr>
          <w:rFonts w:hint="eastAsia" w:ascii="宋体" w:hAnsi="宋体" w:eastAsia="宋体" w:cs="宋体"/>
          <w:color w:val="auto"/>
          <w:highlight w:val="none"/>
        </w:rPr>
        <w:t>附件2：目录格式</w:t>
      </w:r>
      <w:bookmarkEnd w:id="121"/>
      <w:bookmarkEnd w:id="122"/>
    </w:p>
    <w:tbl>
      <w:tblPr>
        <w:tblStyle w:val="67"/>
        <w:tblpPr w:leftFromText="180" w:rightFromText="180" w:horzAnchor="margin" w:tblpXSpec="center" w:tblpY="990"/>
        <w:tblW w:w="8419" w:type="dxa"/>
        <w:jc w:val="center"/>
        <w:tblLayout w:type="fixed"/>
        <w:tblCellMar>
          <w:top w:w="0" w:type="dxa"/>
          <w:left w:w="108" w:type="dxa"/>
          <w:bottom w:w="0" w:type="dxa"/>
          <w:right w:w="108" w:type="dxa"/>
        </w:tblCellMar>
      </w:tblPr>
      <w:tblGrid>
        <w:gridCol w:w="7014"/>
        <w:gridCol w:w="665"/>
        <w:gridCol w:w="740"/>
      </w:tblGrid>
      <w:tr w14:paraId="098C0318">
        <w:tblPrEx>
          <w:tblCellMar>
            <w:top w:w="0" w:type="dxa"/>
            <w:left w:w="108" w:type="dxa"/>
            <w:bottom w:w="0" w:type="dxa"/>
            <w:right w:w="108" w:type="dxa"/>
          </w:tblCellMar>
        </w:tblPrEx>
        <w:trPr>
          <w:trHeight w:val="462" w:hRule="exact"/>
          <w:jc w:val="center"/>
        </w:trPr>
        <w:tc>
          <w:tcPr>
            <w:tcW w:w="7014" w:type="dxa"/>
            <w:vAlign w:val="center"/>
          </w:tcPr>
          <w:p w14:paraId="1A04CF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c>
          <w:tcPr>
            <w:tcW w:w="1405" w:type="dxa"/>
            <w:gridSpan w:val="2"/>
            <w:vAlign w:val="center"/>
          </w:tcPr>
          <w:p w14:paraId="216E42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页码</w:t>
            </w:r>
          </w:p>
        </w:tc>
      </w:tr>
      <w:tr w14:paraId="45E3DD16">
        <w:tblPrEx>
          <w:tblCellMar>
            <w:top w:w="0" w:type="dxa"/>
            <w:left w:w="108" w:type="dxa"/>
            <w:bottom w:w="0" w:type="dxa"/>
            <w:right w:w="108" w:type="dxa"/>
          </w:tblCellMar>
        </w:tblPrEx>
        <w:trPr>
          <w:trHeight w:val="406" w:hRule="exact"/>
          <w:jc w:val="center"/>
        </w:trPr>
        <w:tc>
          <w:tcPr>
            <w:tcW w:w="7014" w:type="dxa"/>
            <w:vAlign w:val="center"/>
          </w:tcPr>
          <w:p w14:paraId="11DB368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1、磋商函</w:t>
            </w:r>
          </w:p>
        </w:tc>
        <w:tc>
          <w:tcPr>
            <w:tcW w:w="665" w:type="dxa"/>
            <w:vAlign w:val="center"/>
          </w:tcPr>
          <w:p w14:paraId="49779D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C9FF1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5F7F63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08D1EE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3DBA2F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53F0824F">
        <w:tblPrEx>
          <w:tblCellMar>
            <w:top w:w="0" w:type="dxa"/>
            <w:left w:w="108" w:type="dxa"/>
            <w:bottom w:w="0" w:type="dxa"/>
            <w:right w:w="108" w:type="dxa"/>
          </w:tblCellMar>
        </w:tblPrEx>
        <w:trPr>
          <w:trHeight w:val="674" w:hRule="exact"/>
          <w:jc w:val="center"/>
        </w:trPr>
        <w:tc>
          <w:tcPr>
            <w:tcW w:w="7014" w:type="dxa"/>
            <w:vAlign w:val="center"/>
          </w:tcPr>
          <w:p w14:paraId="1ADF735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2、最初报价表</w:t>
            </w:r>
          </w:p>
        </w:tc>
        <w:tc>
          <w:tcPr>
            <w:tcW w:w="665" w:type="dxa"/>
            <w:vAlign w:val="center"/>
          </w:tcPr>
          <w:p w14:paraId="3251DE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5BFC15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E8A65E8">
        <w:tblPrEx>
          <w:tblCellMar>
            <w:top w:w="0" w:type="dxa"/>
            <w:left w:w="108" w:type="dxa"/>
            <w:bottom w:w="0" w:type="dxa"/>
            <w:right w:w="108" w:type="dxa"/>
          </w:tblCellMar>
        </w:tblPrEx>
        <w:trPr>
          <w:trHeight w:val="588" w:hRule="exact"/>
          <w:jc w:val="center"/>
        </w:trPr>
        <w:tc>
          <w:tcPr>
            <w:tcW w:w="7014" w:type="dxa"/>
            <w:vAlign w:val="center"/>
          </w:tcPr>
          <w:p w14:paraId="4846AC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3、服务条款偏离表</w:t>
            </w:r>
          </w:p>
        </w:tc>
        <w:tc>
          <w:tcPr>
            <w:tcW w:w="665" w:type="dxa"/>
            <w:vAlign w:val="center"/>
          </w:tcPr>
          <w:p w14:paraId="3E0ADC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2C50CC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2EF31A2C">
        <w:tblPrEx>
          <w:tblCellMar>
            <w:top w:w="0" w:type="dxa"/>
            <w:left w:w="108" w:type="dxa"/>
            <w:bottom w:w="0" w:type="dxa"/>
            <w:right w:w="108" w:type="dxa"/>
          </w:tblCellMar>
        </w:tblPrEx>
        <w:trPr>
          <w:trHeight w:val="588" w:hRule="exact"/>
          <w:jc w:val="center"/>
        </w:trPr>
        <w:tc>
          <w:tcPr>
            <w:tcW w:w="7014" w:type="dxa"/>
            <w:vAlign w:val="center"/>
          </w:tcPr>
          <w:p w14:paraId="3F08D2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p>
        </w:tc>
        <w:tc>
          <w:tcPr>
            <w:tcW w:w="665" w:type="dxa"/>
            <w:vAlign w:val="center"/>
          </w:tcPr>
          <w:p w14:paraId="0B6392D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7D14C1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761A9021">
        <w:tblPrEx>
          <w:tblCellMar>
            <w:top w:w="0" w:type="dxa"/>
            <w:left w:w="108" w:type="dxa"/>
            <w:bottom w:w="0" w:type="dxa"/>
            <w:right w:w="108" w:type="dxa"/>
          </w:tblCellMar>
        </w:tblPrEx>
        <w:trPr>
          <w:trHeight w:val="588" w:hRule="exact"/>
          <w:jc w:val="center"/>
        </w:trPr>
        <w:tc>
          <w:tcPr>
            <w:tcW w:w="7014" w:type="dxa"/>
            <w:vAlign w:val="center"/>
          </w:tcPr>
          <w:p w14:paraId="029818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5、法定代表人证明书</w:t>
            </w:r>
          </w:p>
        </w:tc>
        <w:tc>
          <w:tcPr>
            <w:tcW w:w="665" w:type="dxa"/>
            <w:vAlign w:val="center"/>
          </w:tcPr>
          <w:p w14:paraId="1E0434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3AC0A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A98052B">
        <w:tblPrEx>
          <w:tblCellMar>
            <w:top w:w="0" w:type="dxa"/>
            <w:left w:w="108" w:type="dxa"/>
            <w:bottom w:w="0" w:type="dxa"/>
            <w:right w:w="108" w:type="dxa"/>
          </w:tblCellMar>
        </w:tblPrEx>
        <w:trPr>
          <w:trHeight w:val="588" w:hRule="exact"/>
          <w:jc w:val="center"/>
        </w:trPr>
        <w:tc>
          <w:tcPr>
            <w:tcW w:w="7014" w:type="dxa"/>
            <w:vAlign w:val="center"/>
          </w:tcPr>
          <w:p w14:paraId="1474D0C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6、法定代表人授权书</w:t>
            </w:r>
          </w:p>
        </w:tc>
        <w:tc>
          <w:tcPr>
            <w:tcW w:w="665" w:type="dxa"/>
            <w:vAlign w:val="center"/>
          </w:tcPr>
          <w:p w14:paraId="48B8B2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77047D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1EB95C47">
        <w:tblPrEx>
          <w:tblCellMar>
            <w:top w:w="0" w:type="dxa"/>
            <w:left w:w="108" w:type="dxa"/>
            <w:bottom w:w="0" w:type="dxa"/>
            <w:right w:w="108" w:type="dxa"/>
          </w:tblCellMar>
        </w:tblPrEx>
        <w:trPr>
          <w:trHeight w:val="588" w:hRule="exact"/>
          <w:jc w:val="center"/>
        </w:trPr>
        <w:tc>
          <w:tcPr>
            <w:tcW w:w="7014" w:type="dxa"/>
            <w:vAlign w:val="center"/>
          </w:tcPr>
          <w:p w14:paraId="14F0AA1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7、供应商承诺函</w:t>
            </w:r>
          </w:p>
        </w:tc>
        <w:tc>
          <w:tcPr>
            <w:tcW w:w="665" w:type="dxa"/>
            <w:vAlign w:val="center"/>
          </w:tcPr>
          <w:p w14:paraId="10C8F5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6C74BE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5E9EE446">
        <w:tblPrEx>
          <w:tblCellMar>
            <w:top w:w="0" w:type="dxa"/>
            <w:left w:w="108" w:type="dxa"/>
            <w:bottom w:w="0" w:type="dxa"/>
            <w:right w:w="108" w:type="dxa"/>
          </w:tblCellMar>
        </w:tblPrEx>
        <w:trPr>
          <w:trHeight w:val="588" w:hRule="exact"/>
          <w:jc w:val="center"/>
        </w:trPr>
        <w:tc>
          <w:tcPr>
            <w:tcW w:w="7014" w:type="dxa"/>
            <w:vAlign w:val="center"/>
          </w:tcPr>
          <w:p w14:paraId="4EC3C1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8、供应商诚信承诺书</w:t>
            </w:r>
          </w:p>
        </w:tc>
        <w:tc>
          <w:tcPr>
            <w:tcW w:w="665" w:type="dxa"/>
            <w:vAlign w:val="center"/>
          </w:tcPr>
          <w:p w14:paraId="6E26AA8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7A24E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722905FD">
        <w:tblPrEx>
          <w:tblCellMar>
            <w:top w:w="0" w:type="dxa"/>
            <w:left w:w="108" w:type="dxa"/>
            <w:bottom w:w="0" w:type="dxa"/>
            <w:right w:w="108" w:type="dxa"/>
          </w:tblCellMar>
        </w:tblPrEx>
        <w:trPr>
          <w:trHeight w:val="588" w:hRule="exact"/>
          <w:jc w:val="center"/>
        </w:trPr>
        <w:tc>
          <w:tcPr>
            <w:tcW w:w="7014" w:type="dxa"/>
            <w:vAlign w:val="center"/>
          </w:tcPr>
          <w:p w14:paraId="0662FD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9、资格证明材料</w:t>
            </w:r>
          </w:p>
        </w:tc>
        <w:tc>
          <w:tcPr>
            <w:tcW w:w="665" w:type="dxa"/>
            <w:vAlign w:val="center"/>
          </w:tcPr>
          <w:p w14:paraId="1BA097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429B5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EB22980">
        <w:tblPrEx>
          <w:tblCellMar>
            <w:top w:w="0" w:type="dxa"/>
            <w:left w:w="108" w:type="dxa"/>
            <w:bottom w:w="0" w:type="dxa"/>
            <w:right w:w="108" w:type="dxa"/>
          </w:tblCellMar>
        </w:tblPrEx>
        <w:trPr>
          <w:trHeight w:val="588" w:hRule="exact"/>
          <w:jc w:val="center"/>
        </w:trPr>
        <w:tc>
          <w:tcPr>
            <w:tcW w:w="7014" w:type="dxa"/>
            <w:vAlign w:val="center"/>
          </w:tcPr>
          <w:p w14:paraId="1B869D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10、财务状况、缴纳税收和社会保障资金证明</w:t>
            </w:r>
          </w:p>
        </w:tc>
        <w:tc>
          <w:tcPr>
            <w:tcW w:w="665" w:type="dxa"/>
            <w:vAlign w:val="center"/>
          </w:tcPr>
          <w:p w14:paraId="5B816C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C8009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6C1206BF">
        <w:tblPrEx>
          <w:tblCellMar>
            <w:top w:w="0" w:type="dxa"/>
            <w:left w:w="108" w:type="dxa"/>
            <w:bottom w:w="0" w:type="dxa"/>
            <w:right w:w="108" w:type="dxa"/>
          </w:tblCellMar>
        </w:tblPrEx>
        <w:trPr>
          <w:trHeight w:val="588" w:hRule="exact"/>
          <w:jc w:val="center"/>
        </w:trPr>
        <w:tc>
          <w:tcPr>
            <w:tcW w:w="7014" w:type="dxa"/>
            <w:vAlign w:val="center"/>
          </w:tcPr>
          <w:p w14:paraId="4F178D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zh-CN"/>
              </w:rPr>
              <w:t>具备履行合同所必须的设备和专业技术能力证明</w:t>
            </w:r>
          </w:p>
        </w:tc>
        <w:tc>
          <w:tcPr>
            <w:tcW w:w="665" w:type="dxa"/>
            <w:vAlign w:val="center"/>
          </w:tcPr>
          <w:p w14:paraId="3B2811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551ACED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6BC6F94B">
        <w:tblPrEx>
          <w:tblCellMar>
            <w:top w:w="0" w:type="dxa"/>
            <w:left w:w="108" w:type="dxa"/>
            <w:bottom w:w="0" w:type="dxa"/>
            <w:right w:w="108" w:type="dxa"/>
          </w:tblCellMar>
        </w:tblPrEx>
        <w:trPr>
          <w:trHeight w:val="588" w:hRule="exact"/>
          <w:jc w:val="center"/>
        </w:trPr>
        <w:tc>
          <w:tcPr>
            <w:tcW w:w="7014" w:type="dxa"/>
            <w:vAlign w:val="center"/>
          </w:tcPr>
          <w:p w14:paraId="7C0459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12、无重大违法记录声明</w:t>
            </w:r>
          </w:p>
        </w:tc>
        <w:tc>
          <w:tcPr>
            <w:tcW w:w="665" w:type="dxa"/>
            <w:vAlign w:val="center"/>
          </w:tcPr>
          <w:p w14:paraId="0890A5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5DE39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416E4960">
        <w:tblPrEx>
          <w:tblCellMar>
            <w:top w:w="0" w:type="dxa"/>
            <w:left w:w="108" w:type="dxa"/>
            <w:bottom w:w="0" w:type="dxa"/>
            <w:right w:w="108" w:type="dxa"/>
          </w:tblCellMar>
        </w:tblPrEx>
        <w:trPr>
          <w:trHeight w:val="588" w:hRule="exact"/>
          <w:jc w:val="center"/>
        </w:trPr>
        <w:tc>
          <w:tcPr>
            <w:tcW w:w="7014" w:type="dxa"/>
            <w:vAlign w:val="center"/>
          </w:tcPr>
          <w:p w14:paraId="324079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13、人员简历表</w:t>
            </w:r>
          </w:p>
        </w:tc>
        <w:tc>
          <w:tcPr>
            <w:tcW w:w="665" w:type="dxa"/>
            <w:vAlign w:val="center"/>
          </w:tcPr>
          <w:p w14:paraId="31F9B16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A58D9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7EF44433">
        <w:tblPrEx>
          <w:tblCellMar>
            <w:top w:w="0" w:type="dxa"/>
            <w:left w:w="108" w:type="dxa"/>
            <w:bottom w:w="0" w:type="dxa"/>
            <w:right w:w="108" w:type="dxa"/>
          </w:tblCellMar>
        </w:tblPrEx>
        <w:trPr>
          <w:trHeight w:val="588" w:hRule="exact"/>
          <w:jc w:val="center"/>
        </w:trPr>
        <w:tc>
          <w:tcPr>
            <w:tcW w:w="7014" w:type="dxa"/>
            <w:vAlign w:val="center"/>
          </w:tcPr>
          <w:p w14:paraId="07B198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14、类似业绩证明材料</w:t>
            </w:r>
          </w:p>
        </w:tc>
        <w:tc>
          <w:tcPr>
            <w:tcW w:w="665" w:type="dxa"/>
            <w:vAlign w:val="center"/>
          </w:tcPr>
          <w:p w14:paraId="0D4A83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681C5E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574E7EB2">
        <w:tblPrEx>
          <w:tblCellMar>
            <w:top w:w="0" w:type="dxa"/>
            <w:left w:w="108" w:type="dxa"/>
            <w:bottom w:w="0" w:type="dxa"/>
            <w:right w:w="108" w:type="dxa"/>
          </w:tblCellMar>
        </w:tblPrEx>
        <w:trPr>
          <w:trHeight w:val="588" w:hRule="exact"/>
          <w:jc w:val="center"/>
        </w:trPr>
        <w:tc>
          <w:tcPr>
            <w:tcW w:w="7014" w:type="dxa"/>
            <w:vAlign w:val="center"/>
          </w:tcPr>
          <w:p w14:paraId="65ECEE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15、服务能力与方案</w:t>
            </w:r>
          </w:p>
        </w:tc>
        <w:tc>
          <w:tcPr>
            <w:tcW w:w="665" w:type="dxa"/>
            <w:vAlign w:val="center"/>
          </w:tcPr>
          <w:p w14:paraId="330D87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61C4DD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36A78479">
        <w:tblPrEx>
          <w:tblCellMar>
            <w:top w:w="0" w:type="dxa"/>
            <w:left w:w="108" w:type="dxa"/>
            <w:bottom w:w="0" w:type="dxa"/>
            <w:right w:w="108" w:type="dxa"/>
          </w:tblCellMar>
        </w:tblPrEx>
        <w:trPr>
          <w:trHeight w:val="588" w:hRule="exact"/>
          <w:jc w:val="center"/>
        </w:trPr>
        <w:tc>
          <w:tcPr>
            <w:tcW w:w="7014" w:type="dxa"/>
            <w:vAlign w:val="center"/>
          </w:tcPr>
          <w:p w14:paraId="1CC18B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16、最终报价表</w:t>
            </w:r>
          </w:p>
        </w:tc>
        <w:tc>
          <w:tcPr>
            <w:tcW w:w="665" w:type="dxa"/>
            <w:vAlign w:val="center"/>
          </w:tcPr>
          <w:p w14:paraId="2E23EF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57336D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455E0A31">
        <w:tblPrEx>
          <w:tblCellMar>
            <w:top w:w="0" w:type="dxa"/>
            <w:left w:w="108" w:type="dxa"/>
            <w:bottom w:w="0" w:type="dxa"/>
            <w:right w:w="108" w:type="dxa"/>
          </w:tblCellMar>
        </w:tblPrEx>
        <w:trPr>
          <w:trHeight w:val="588" w:hRule="exact"/>
          <w:jc w:val="center"/>
        </w:trPr>
        <w:tc>
          <w:tcPr>
            <w:tcW w:w="7014" w:type="dxa"/>
            <w:vAlign w:val="center"/>
          </w:tcPr>
          <w:p w14:paraId="636A6A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认为有必要说明的其他方面事项</w:t>
            </w:r>
          </w:p>
        </w:tc>
        <w:tc>
          <w:tcPr>
            <w:tcW w:w="665" w:type="dxa"/>
            <w:vAlign w:val="center"/>
          </w:tcPr>
          <w:p w14:paraId="4B548C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2AEB7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0AE4BB1">
        <w:tblPrEx>
          <w:tblCellMar>
            <w:top w:w="0" w:type="dxa"/>
            <w:left w:w="108" w:type="dxa"/>
            <w:bottom w:w="0" w:type="dxa"/>
            <w:right w:w="108" w:type="dxa"/>
          </w:tblCellMar>
        </w:tblPrEx>
        <w:trPr>
          <w:trHeight w:val="588" w:hRule="exact"/>
          <w:jc w:val="center"/>
        </w:trPr>
        <w:tc>
          <w:tcPr>
            <w:tcW w:w="7014" w:type="dxa"/>
            <w:vAlign w:val="center"/>
          </w:tcPr>
          <w:p w14:paraId="33835C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18、享受政府采购政策优惠的证明资料</w:t>
            </w:r>
          </w:p>
        </w:tc>
        <w:tc>
          <w:tcPr>
            <w:tcW w:w="665" w:type="dxa"/>
            <w:vAlign w:val="center"/>
          </w:tcPr>
          <w:p w14:paraId="024747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57FE62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4EBEE8DC">
        <w:tblPrEx>
          <w:tblCellMar>
            <w:top w:w="0" w:type="dxa"/>
            <w:left w:w="108" w:type="dxa"/>
            <w:bottom w:w="0" w:type="dxa"/>
            <w:right w:w="108" w:type="dxa"/>
          </w:tblCellMar>
        </w:tblPrEx>
        <w:trPr>
          <w:trHeight w:val="588" w:hRule="exact"/>
          <w:jc w:val="center"/>
        </w:trPr>
        <w:tc>
          <w:tcPr>
            <w:tcW w:w="7014" w:type="dxa"/>
            <w:vAlign w:val="center"/>
          </w:tcPr>
          <w:p w14:paraId="033E31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c>
          <w:tcPr>
            <w:tcW w:w="665" w:type="dxa"/>
            <w:vAlign w:val="center"/>
          </w:tcPr>
          <w:p w14:paraId="18DF7B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c>
          <w:tcPr>
            <w:tcW w:w="740" w:type="dxa"/>
            <w:vAlign w:val="center"/>
          </w:tcPr>
          <w:p w14:paraId="7ED515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bl>
    <w:p w14:paraId="1CB5B63C">
      <w:pPr>
        <w:bidi w:val="0"/>
        <w:rPr>
          <w:rFonts w:hint="eastAsia" w:ascii="宋体" w:hAnsi="宋体" w:eastAsia="宋体" w:cs="宋体"/>
          <w:color w:val="auto"/>
          <w:highlight w:val="none"/>
        </w:rPr>
      </w:pPr>
    </w:p>
    <w:p w14:paraId="43098F59">
      <w:pPr>
        <w:bidi w:val="0"/>
        <w:rPr>
          <w:rFonts w:hint="eastAsia" w:ascii="宋体" w:hAnsi="宋体" w:eastAsia="宋体" w:cs="宋体"/>
          <w:color w:val="auto"/>
          <w:highlight w:val="none"/>
        </w:rPr>
      </w:pPr>
    </w:p>
    <w:p w14:paraId="39A330EF">
      <w:pPr>
        <w:bidi w:val="0"/>
        <w:rPr>
          <w:rFonts w:hint="eastAsia" w:ascii="宋体" w:hAnsi="宋体" w:eastAsia="宋体" w:cs="宋体"/>
          <w:color w:val="auto"/>
          <w:highlight w:val="none"/>
        </w:rPr>
      </w:pPr>
    </w:p>
    <w:p w14:paraId="58AF5113">
      <w:pPr>
        <w:pStyle w:val="5"/>
        <w:bidi w:val="0"/>
        <w:jc w:val="both"/>
        <w:rPr>
          <w:rFonts w:hint="eastAsia" w:ascii="宋体" w:hAnsi="宋体" w:eastAsia="宋体" w:cs="宋体"/>
          <w:color w:val="auto"/>
          <w:highlight w:val="none"/>
        </w:rPr>
      </w:pPr>
      <w:bookmarkStart w:id="123" w:name="_Toc32110"/>
      <w:r>
        <w:rPr>
          <w:rFonts w:hint="eastAsia" w:ascii="宋体" w:hAnsi="宋体" w:eastAsia="宋体" w:cs="宋体"/>
          <w:color w:val="auto"/>
          <w:highlight w:val="none"/>
        </w:rPr>
        <w:t>附件</w:t>
      </w:r>
      <w:bookmarkStart w:id="124" w:name="_Toc325726037"/>
      <w:bookmarkStart w:id="125" w:name="_Toc376936768"/>
      <w:r>
        <w:rPr>
          <w:rFonts w:hint="eastAsia" w:ascii="宋体" w:hAnsi="宋体" w:eastAsia="宋体" w:cs="宋体"/>
          <w:color w:val="auto"/>
          <w:highlight w:val="none"/>
        </w:rPr>
        <w:t>3：磋商函</w:t>
      </w:r>
      <w:bookmarkEnd w:id="123"/>
      <w:bookmarkEnd w:id="124"/>
      <w:bookmarkEnd w:id="125"/>
    </w:p>
    <w:p w14:paraId="7CC35D27">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磋商函</w:t>
      </w:r>
    </w:p>
    <w:p w14:paraId="60F60B72">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致：青海联祥招标代理有限公司</w:t>
      </w:r>
    </w:p>
    <w:p w14:paraId="37B54440">
      <w:pPr>
        <w:bidi w:val="0"/>
        <w:rPr>
          <w:rFonts w:hint="eastAsia" w:ascii="宋体" w:hAnsi="宋体" w:eastAsia="宋体" w:cs="宋体"/>
          <w:color w:val="auto"/>
          <w:highlight w:val="none"/>
        </w:rPr>
      </w:pPr>
    </w:p>
    <w:p w14:paraId="0EEF867A">
      <w:pPr>
        <w:bidi w:val="0"/>
        <w:rPr>
          <w:rFonts w:hint="eastAsia" w:ascii="宋体" w:hAnsi="宋体" w:eastAsia="宋体" w:cs="宋体"/>
          <w:color w:val="auto"/>
          <w:highlight w:val="none"/>
        </w:rPr>
      </w:pPr>
      <w:r>
        <w:rPr>
          <w:rFonts w:hint="eastAsia" w:ascii="宋体" w:hAnsi="宋体" w:eastAsia="宋体" w:cs="宋体"/>
          <w:color w:val="auto"/>
          <w:highlight w:val="none"/>
        </w:rPr>
        <w:t>我们收到</w:t>
      </w:r>
      <w:r>
        <w:rPr>
          <w:rFonts w:hint="eastAsia" w:ascii="宋体" w:hAnsi="宋体" w:eastAsia="宋体" w:cs="宋体"/>
          <w:color w:val="auto"/>
          <w:highlight w:val="none"/>
          <w:u w:val="single"/>
          <w:lang w:val="zh-CN"/>
        </w:rPr>
        <w:t>采购项目名称（采购项目编号）</w:t>
      </w:r>
      <w:r>
        <w:rPr>
          <w:rFonts w:hint="eastAsia" w:ascii="宋体" w:hAnsi="宋体" w:eastAsia="宋体" w:cs="宋体"/>
          <w:color w:val="auto"/>
          <w:highlight w:val="none"/>
        </w:rPr>
        <w:t>磋商文件，经研究，法定代表人</w:t>
      </w:r>
      <w:r>
        <w:rPr>
          <w:rFonts w:hint="eastAsia" w:ascii="宋体" w:hAnsi="宋体" w:eastAsia="宋体" w:cs="宋体"/>
          <w:color w:val="auto"/>
          <w:highlight w:val="none"/>
          <w:u w:val="single"/>
        </w:rPr>
        <w:t>（姓名、职务）</w:t>
      </w:r>
      <w:r>
        <w:rPr>
          <w:rFonts w:hint="eastAsia" w:ascii="宋体" w:hAnsi="宋体" w:eastAsia="宋体" w:cs="宋体"/>
          <w:color w:val="auto"/>
          <w:highlight w:val="none"/>
        </w:rPr>
        <w:t>正式授权</w:t>
      </w:r>
      <w:r>
        <w:rPr>
          <w:rFonts w:hint="eastAsia" w:ascii="宋体" w:hAnsi="宋体" w:eastAsia="宋体" w:cs="宋体"/>
          <w:color w:val="auto"/>
          <w:highlight w:val="none"/>
          <w:u w:val="single"/>
        </w:rPr>
        <w:t>（委托代理人姓名、职务）</w:t>
      </w:r>
      <w:r>
        <w:rPr>
          <w:rFonts w:hint="eastAsia" w:ascii="宋体" w:hAnsi="宋体" w:eastAsia="宋体" w:cs="宋体"/>
          <w:color w:val="auto"/>
          <w:highlight w:val="none"/>
        </w:rPr>
        <w:t>代表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名称、地址）</w:t>
      </w:r>
      <w:r>
        <w:rPr>
          <w:rFonts w:hint="eastAsia" w:ascii="宋体" w:hAnsi="宋体" w:eastAsia="宋体" w:cs="宋体"/>
          <w:color w:val="auto"/>
          <w:highlight w:val="none"/>
        </w:rPr>
        <w:t>提交磋商响应文件。</w:t>
      </w:r>
    </w:p>
    <w:p w14:paraId="515AC9A6">
      <w:pPr>
        <w:bidi w:val="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395209F4">
      <w:pPr>
        <w:bidi w:val="0"/>
        <w:rPr>
          <w:rFonts w:hint="eastAsia" w:ascii="宋体" w:hAnsi="宋体" w:eastAsia="宋体" w:cs="宋体"/>
          <w:color w:val="auto"/>
          <w:highlight w:val="none"/>
        </w:rPr>
      </w:pPr>
      <w:r>
        <w:rPr>
          <w:rFonts w:hint="eastAsia" w:ascii="宋体" w:hAnsi="宋体" w:eastAsia="宋体" w:cs="宋体"/>
          <w:color w:val="auto"/>
          <w:highlight w:val="none"/>
        </w:rPr>
        <w:t>1、我方已详阅磋商文件的全部内容，包括澄清、修改条款等有关附件，承诺对其完全理解并接受。</w:t>
      </w:r>
    </w:p>
    <w:p w14:paraId="4F597A40">
      <w:pPr>
        <w:bidi w:val="0"/>
        <w:rPr>
          <w:rFonts w:hint="eastAsia" w:ascii="宋体" w:hAnsi="宋体" w:eastAsia="宋体" w:cs="宋体"/>
          <w:color w:val="auto"/>
          <w:highlight w:val="none"/>
        </w:rPr>
      </w:pPr>
      <w:r>
        <w:rPr>
          <w:rFonts w:hint="eastAsia" w:ascii="宋体" w:hAnsi="宋体" w:eastAsia="宋体" w:cs="宋体"/>
          <w:color w:val="auto"/>
          <w:highlight w:val="none"/>
        </w:rPr>
        <w:t>2、磋商有效期自开标之日起</w:t>
      </w:r>
      <w:r>
        <w:rPr>
          <w:rFonts w:hint="eastAsia" w:ascii="宋体" w:hAnsi="宋体" w:eastAsia="宋体" w:cs="宋体"/>
          <w:color w:val="auto"/>
          <w:highlight w:val="none"/>
          <w:u w:val="single"/>
        </w:rPr>
        <w:t>60天</w:t>
      </w:r>
      <w:r>
        <w:rPr>
          <w:rFonts w:hint="eastAsia" w:ascii="宋体" w:hAnsi="宋体" w:eastAsia="宋体" w:cs="宋体"/>
          <w:color w:val="auto"/>
          <w:highlight w:val="none"/>
        </w:rPr>
        <w:t>内有效。如果在规定的磋商时间后，我方在磋商有效期内撤回投标或成交后不签约的，按违约处理，成交供应商的成交结果无效，情节严重的，报监督部门依法进行处理。</w:t>
      </w:r>
    </w:p>
    <w:p w14:paraId="0DEFCAD7">
      <w:pPr>
        <w:bidi w:val="0"/>
        <w:rPr>
          <w:rFonts w:hint="eastAsia" w:ascii="宋体" w:hAnsi="宋体" w:eastAsia="宋体" w:cs="宋体"/>
          <w:color w:val="auto"/>
          <w:highlight w:val="none"/>
        </w:rPr>
      </w:pPr>
      <w:r>
        <w:rPr>
          <w:rFonts w:hint="eastAsia" w:ascii="宋体" w:hAnsi="宋体" w:eastAsia="宋体" w:cs="宋体"/>
          <w:color w:val="auto"/>
          <w:highlight w:val="none"/>
        </w:rPr>
        <w:t>3、我方同意按照贵方要求提供与磋商有关的一切数据或资料，理解并接受贵方制定的评标办法。</w:t>
      </w:r>
    </w:p>
    <w:p w14:paraId="03B2D755">
      <w:pPr>
        <w:bidi w:val="0"/>
        <w:rPr>
          <w:rFonts w:hint="eastAsia" w:ascii="宋体" w:hAnsi="宋体" w:eastAsia="宋体" w:cs="宋体"/>
          <w:color w:val="auto"/>
          <w:highlight w:val="none"/>
        </w:rPr>
      </w:pPr>
      <w:r>
        <w:rPr>
          <w:rFonts w:hint="eastAsia" w:ascii="宋体" w:hAnsi="宋体" w:eastAsia="宋体" w:cs="宋体"/>
          <w:color w:val="auto"/>
          <w:highlight w:val="none"/>
        </w:rPr>
        <w:t>4、与本磋商有关的一切正式往来通讯请寄：</w:t>
      </w:r>
    </w:p>
    <w:p w14:paraId="129875FC">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邮编：</w:t>
      </w:r>
      <w:r>
        <w:rPr>
          <w:rFonts w:hint="eastAsia" w:ascii="宋体" w:hAnsi="宋体" w:eastAsia="宋体" w:cs="宋体"/>
          <w:color w:val="auto"/>
          <w:highlight w:val="none"/>
          <w:u w:val="single"/>
          <w:lang w:val="en-US" w:eastAsia="zh-CN"/>
        </w:rPr>
        <w:t xml:space="preserve">           </w:t>
      </w:r>
    </w:p>
    <w:p w14:paraId="373FF8AC">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传真：</w:t>
      </w:r>
      <w:r>
        <w:rPr>
          <w:rFonts w:hint="eastAsia" w:ascii="宋体" w:hAnsi="宋体" w:eastAsia="宋体" w:cs="宋体"/>
          <w:color w:val="auto"/>
          <w:highlight w:val="none"/>
          <w:u w:val="single"/>
          <w:lang w:val="en-US" w:eastAsia="zh-CN"/>
        </w:rPr>
        <w:t xml:space="preserve">           </w:t>
      </w:r>
    </w:p>
    <w:p w14:paraId="5BBDA47E">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法定代表人姓名：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职务：</w:t>
      </w:r>
      <w:r>
        <w:rPr>
          <w:rFonts w:hint="eastAsia" w:ascii="宋体" w:hAnsi="宋体" w:eastAsia="宋体" w:cs="宋体"/>
          <w:color w:val="auto"/>
          <w:highlight w:val="none"/>
          <w:u w:val="single"/>
          <w:lang w:val="en-US" w:eastAsia="zh-CN"/>
        </w:rPr>
        <w:t xml:space="preserve">           </w:t>
      </w:r>
    </w:p>
    <w:p w14:paraId="3825971F">
      <w:pPr>
        <w:bidi w:val="0"/>
        <w:rPr>
          <w:rFonts w:hint="eastAsia" w:ascii="宋体" w:hAnsi="宋体" w:eastAsia="宋体" w:cs="宋体"/>
          <w:color w:val="auto"/>
          <w:highlight w:val="none"/>
        </w:rPr>
      </w:pPr>
    </w:p>
    <w:p w14:paraId="7DD600B5">
      <w:pPr>
        <w:bidi w:val="0"/>
        <w:rPr>
          <w:rFonts w:hint="eastAsia" w:ascii="宋体" w:hAnsi="宋体" w:eastAsia="宋体" w:cs="宋体"/>
          <w:color w:val="auto"/>
          <w:highlight w:val="none"/>
        </w:rPr>
      </w:pPr>
    </w:p>
    <w:p w14:paraId="79DFB627">
      <w:pPr>
        <w:bidi w:val="0"/>
        <w:rPr>
          <w:rFonts w:hint="eastAsia" w:ascii="宋体" w:hAnsi="宋体" w:eastAsia="宋体" w:cs="宋体"/>
          <w:color w:val="auto"/>
          <w:highlight w:val="none"/>
        </w:rPr>
      </w:pPr>
    </w:p>
    <w:p w14:paraId="05FC3C0A">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3F3A1F86">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6652F06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43CDC82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6CF84D8">
      <w:pPr>
        <w:pStyle w:val="5"/>
        <w:bidi w:val="0"/>
        <w:jc w:val="both"/>
        <w:rPr>
          <w:rFonts w:hint="eastAsia" w:ascii="宋体" w:hAnsi="宋体" w:eastAsia="宋体" w:cs="宋体"/>
          <w:color w:val="auto"/>
          <w:highlight w:val="none"/>
        </w:rPr>
      </w:pPr>
      <w:bookmarkStart w:id="126" w:name="_Toc26010"/>
      <w:r>
        <w:rPr>
          <w:rFonts w:hint="eastAsia" w:ascii="宋体" w:hAnsi="宋体" w:eastAsia="宋体" w:cs="宋体"/>
          <w:color w:val="auto"/>
          <w:highlight w:val="none"/>
        </w:rPr>
        <w:t>附件</w:t>
      </w:r>
      <w:bookmarkStart w:id="127" w:name="_Toc376936769"/>
      <w:bookmarkStart w:id="128" w:name="_Toc325726038"/>
      <w:r>
        <w:rPr>
          <w:rFonts w:hint="eastAsia" w:ascii="宋体" w:hAnsi="宋体" w:eastAsia="宋体" w:cs="宋体"/>
          <w:color w:val="auto"/>
          <w:highlight w:val="none"/>
        </w:rPr>
        <w:t>4：</w:t>
      </w:r>
      <w:bookmarkEnd w:id="127"/>
      <w:bookmarkEnd w:id="128"/>
      <w:r>
        <w:rPr>
          <w:rFonts w:hint="eastAsia" w:ascii="宋体" w:hAnsi="宋体" w:eastAsia="宋体" w:cs="宋体"/>
          <w:color w:val="auto"/>
          <w:highlight w:val="none"/>
        </w:rPr>
        <w:t>最初报价表</w:t>
      </w:r>
      <w:bookmarkEnd w:id="126"/>
    </w:p>
    <w:p w14:paraId="6DC1B3F8">
      <w:pPr>
        <w:bidi w:val="0"/>
        <w:ind w:left="0" w:lef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最初报价表</w:t>
      </w:r>
    </w:p>
    <w:p w14:paraId="198FD562">
      <w:pPr>
        <w:bidi w:val="0"/>
        <w:rPr>
          <w:rFonts w:hint="eastAsia" w:ascii="宋体" w:hAnsi="宋体" w:eastAsia="宋体" w:cs="宋体"/>
          <w:color w:val="auto"/>
          <w:highlight w:val="none"/>
        </w:rPr>
      </w:pPr>
    </w:p>
    <w:p w14:paraId="768DDAEA">
      <w:pPr>
        <w:bidi w:val="0"/>
        <w:rPr>
          <w:rFonts w:hint="eastAsia" w:ascii="宋体" w:hAnsi="宋体" w:eastAsia="宋体" w:cs="宋体"/>
          <w:color w:val="auto"/>
          <w:highlight w:val="none"/>
          <w:lang w:val="en-US" w:eastAsia="zh-CN"/>
        </w:rPr>
      </w:pPr>
      <w:bookmarkStart w:id="129" w:name="_Toc74901830"/>
      <w:bookmarkStart w:id="130" w:name="_Toc83829262"/>
      <w:bookmarkStart w:id="131" w:name="_Toc88122782"/>
      <w:bookmarkStart w:id="132" w:name="_Toc7431"/>
      <w:bookmarkStart w:id="133" w:name="_Toc69898404"/>
      <w:r>
        <w:rPr>
          <w:rFonts w:hint="eastAsia" w:ascii="宋体" w:hAnsi="宋体" w:eastAsia="宋体" w:cs="宋体"/>
          <w:color w:val="auto"/>
          <w:highlight w:val="none"/>
        </w:rPr>
        <w:t>项目名称：</w:t>
      </w:r>
      <w:bookmarkEnd w:id="129"/>
      <w:bookmarkEnd w:id="130"/>
      <w:bookmarkEnd w:id="131"/>
      <w:bookmarkEnd w:id="132"/>
      <w:bookmarkEnd w:id="133"/>
      <w:r>
        <w:rPr>
          <w:rFonts w:hint="eastAsia" w:ascii="宋体" w:hAnsi="宋体" w:eastAsia="宋体" w:cs="宋体"/>
          <w:color w:val="auto"/>
          <w:highlight w:val="none"/>
          <w:lang w:val="en-US" w:eastAsia="zh-CN"/>
        </w:rPr>
        <w:t xml:space="preserve">                                           </w:t>
      </w:r>
    </w:p>
    <w:tbl>
      <w:tblPr>
        <w:tblStyle w:val="67"/>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59"/>
        <w:gridCol w:w="5820"/>
      </w:tblGrid>
      <w:tr w14:paraId="6A7E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atLeast"/>
          <w:jc w:val="center"/>
        </w:trPr>
        <w:tc>
          <w:tcPr>
            <w:tcW w:w="2559" w:type="dxa"/>
            <w:vAlign w:val="center"/>
          </w:tcPr>
          <w:p w14:paraId="58AE860A">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5820" w:type="dxa"/>
            <w:vAlign w:val="center"/>
          </w:tcPr>
          <w:p w14:paraId="78759036">
            <w:pPr>
              <w:pStyle w:val="13"/>
              <w:bidi w:val="0"/>
              <w:rPr>
                <w:rFonts w:hint="eastAsia" w:ascii="宋体" w:hAnsi="宋体" w:eastAsia="宋体" w:cs="宋体"/>
                <w:color w:val="auto"/>
                <w:highlight w:val="none"/>
              </w:rPr>
            </w:pPr>
          </w:p>
        </w:tc>
      </w:tr>
      <w:tr w14:paraId="5BB9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2" w:hRule="atLeast"/>
          <w:jc w:val="center"/>
        </w:trPr>
        <w:tc>
          <w:tcPr>
            <w:tcW w:w="2559" w:type="dxa"/>
            <w:vAlign w:val="center"/>
          </w:tcPr>
          <w:p w14:paraId="6708264B">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eastAsia="宋体" w:cs="宋体"/>
                <w:color w:val="auto"/>
                <w:highlight w:val="none"/>
                <w:lang w:val="zh-CN"/>
              </w:rPr>
              <w:t>报价（</w:t>
            </w:r>
            <w:r>
              <w:rPr>
                <w:rFonts w:hint="eastAsia" w:ascii="宋体" w:hAnsi="宋体" w:eastAsia="宋体" w:cs="宋体"/>
                <w:color w:val="auto"/>
                <w:highlight w:val="none"/>
              </w:rPr>
              <w:t>元</w:t>
            </w:r>
            <w:r>
              <w:rPr>
                <w:rFonts w:hint="eastAsia" w:ascii="宋体" w:hAnsi="宋体" w:eastAsia="宋体" w:cs="宋体"/>
                <w:color w:val="auto"/>
                <w:highlight w:val="none"/>
                <w:lang w:val="zh-CN"/>
              </w:rPr>
              <w:t>）</w:t>
            </w:r>
          </w:p>
        </w:tc>
        <w:tc>
          <w:tcPr>
            <w:tcW w:w="5820" w:type="dxa"/>
            <w:vAlign w:val="center"/>
          </w:tcPr>
          <w:p w14:paraId="6323989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w:t>
            </w:r>
          </w:p>
          <w:p w14:paraId="2B0C4D55">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zh-CN"/>
              </w:rPr>
              <w:t>小写：</w:t>
            </w:r>
          </w:p>
        </w:tc>
      </w:tr>
      <w:tr w14:paraId="32E2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atLeast"/>
          <w:jc w:val="center"/>
        </w:trPr>
        <w:tc>
          <w:tcPr>
            <w:tcW w:w="2559" w:type="dxa"/>
            <w:vAlign w:val="center"/>
          </w:tcPr>
          <w:p w14:paraId="31A377C7">
            <w:pPr>
              <w:bidi w:val="0"/>
              <w:ind w:left="0" w:leftChars="0" w:firstLine="0" w:firstLineChars="0"/>
              <w:rPr>
                <w:rFonts w:hint="eastAsia" w:ascii="宋体" w:hAnsi="宋体" w:eastAsia="宋体" w:cs="宋体"/>
                <w:color w:val="auto"/>
                <w:highlight w:val="none"/>
              </w:rPr>
            </w:pPr>
            <w:r>
              <w:rPr>
                <w:rFonts w:hint="eastAsia" w:ascii="宋体" w:hAnsi="宋体"/>
                <w:color w:val="auto"/>
                <w:sz w:val="24"/>
                <w:highlight w:val="none"/>
              </w:rPr>
              <w:t>服务期：</w:t>
            </w:r>
          </w:p>
        </w:tc>
        <w:tc>
          <w:tcPr>
            <w:tcW w:w="5820" w:type="dxa"/>
            <w:vAlign w:val="center"/>
          </w:tcPr>
          <w:p w14:paraId="0786E5B6">
            <w:pPr>
              <w:pStyle w:val="13"/>
              <w:bidi w:val="0"/>
              <w:rPr>
                <w:rFonts w:hint="eastAsia" w:ascii="宋体" w:hAnsi="宋体" w:eastAsia="宋体" w:cs="宋体"/>
                <w:color w:val="auto"/>
                <w:highlight w:val="none"/>
              </w:rPr>
            </w:pPr>
          </w:p>
        </w:tc>
      </w:tr>
      <w:tr w14:paraId="61DB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 w:hRule="atLeast"/>
          <w:jc w:val="center"/>
        </w:trPr>
        <w:tc>
          <w:tcPr>
            <w:tcW w:w="2559" w:type="dxa"/>
            <w:vAlign w:val="center"/>
          </w:tcPr>
          <w:p w14:paraId="06294257">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优惠承诺及其他</w:t>
            </w:r>
          </w:p>
        </w:tc>
        <w:tc>
          <w:tcPr>
            <w:tcW w:w="5820" w:type="dxa"/>
            <w:vAlign w:val="center"/>
          </w:tcPr>
          <w:p w14:paraId="01F3D984">
            <w:pPr>
              <w:pStyle w:val="13"/>
              <w:bidi w:val="0"/>
              <w:rPr>
                <w:rFonts w:hint="eastAsia" w:ascii="宋体" w:hAnsi="宋体" w:eastAsia="宋体" w:cs="宋体"/>
                <w:color w:val="auto"/>
                <w:highlight w:val="none"/>
              </w:rPr>
            </w:pPr>
          </w:p>
        </w:tc>
      </w:tr>
    </w:tbl>
    <w:p w14:paraId="7EDF522B">
      <w:pPr>
        <w:bidi w:val="0"/>
        <w:rPr>
          <w:rFonts w:hint="eastAsia" w:ascii="宋体" w:hAnsi="宋体" w:eastAsia="宋体" w:cs="宋体"/>
          <w:color w:val="auto"/>
          <w:highlight w:val="none"/>
        </w:rPr>
      </w:pPr>
      <w:r>
        <w:rPr>
          <w:rFonts w:hint="eastAsia" w:ascii="宋体" w:hAnsi="宋体" w:eastAsia="宋体" w:cs="宋体"/>
          <w:color w:val="auto"/>
          <w:highlight w:val="none"/>
        </w:rPr>
        <w:t>注：1、填写此表时不得改变表格形式。</w:t>
      </w:r>
    </w:p>
    <w:p w14:paraId="3B0D03E4">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2、磋商报价为总报价。必须包括：</w:t>
      </w:r>
      <w:r>
        <w:rPr>
          <w:rFonts w:hint="eastAsia" w:ascii="宋体" w:hAnsi="宋体" w:eastAsia="宋体" w:cs="宋体"/>
          <w:color w:val="auto"/>
          <w:highlight w:val="none"/>
          <w:lang w:val="en-US" w:eastAsia="zh-CN"/>
        </w:rPr>
        <w:t>设备租赁费、</w:t>
      </w:r>
      <w:r>
        <w:rPr>
          <w:rFonts w:hint="eastAsia" w:ascii="宋体" w:hAnsi="宋体" w:eastAsia="宋体" w:cs="宋体"/>
          <w:color w:val="auto"/>
          <w:highlight w:val="none"/>
        </w:rPr>
        <w:t>服务费、人员工资、管理费、</w:t>
      </w:r>
      <w:r>
        <w:rPr>
          <w:rFonts w:hint="eastAsia" w:ascii="宋体" w:hAnsi="宋体" w:eastAsia="宋体" w:cs="宋体"/>
          <w:color w:val="auto"/>
          <w:highlight w:val="none"/>
          <w:lang w:val="en-US" w:eastAsia="zh-CN"/>
        </w:rPr>
        <w:t>培训费、</w:t>
      </w:r>
      <w:r>
        <w:rPr>
          <w:rFonts w:hint="eastAsia" w:ascii="宋体" w:hAnsi="宋体" w:eastAsia="宋体" w:cs="宋体"/>
          <w:color w:val="auto"/>
          <w:highlight w:val="none"/>
        </w:rPr>
        <w:t>验收费、手续费、保险费、</w:t>
      </w:r>
      <w:r>
        <w:rPr>
          <w:rFonts w:hint="eastAsia" w:ascii="宋体" w:hAnsi="宋体" w:eastAsia="宋体" w:cs="宋体"/>
          <w:color w:val="auto"/>
          <w:highlight w:val="none"/>
          <w:lang w:eastAsia="zh-CN"/>
        </w:rPr>
        <w:t>差旅费、成交服务费</w:t>
      </w:r>
      <w:r>
        <w:rPr>
          <w:rFonts w:hint="eastAsia" w:ascii="宋体" w:hAnsi="宋体" w:eastAsia="宋体" w:cs="宋体"/>
          <w:color w:val="auto"/>
          <w:highlight w:val="none"/>
        </w:rPr>
        <w:t>及服务过程中包含的不可预见等全部费用。</w:t>
      </w:r>
    </w:p>
    <w:p w14:paraId="5E28092C">
      <w:pPr>
        <w:bidi w:val="0"/>
        <w:rPr>
          <w:rFonts w:hint="eastAsia" w:ascii="宋体" w:hAnsi="宋体" w:eastAsia="宋体" w:cs="宋体"/>
          <w:color w:val="auto"/>
          <w:highlight w:val="none"/>
        </w:rPr>
      </w:pPr>
    </w:p>
    <w:p w14:paraId="7CD6ABDC">
      <w:pPr>
        <w:bidi w:val="0"/>
        <w:rPr>
          <w:rFonts w:hint="eastAsia" w:ascii="宋体" w:hAnsi="宋体" w:eastAsia="宋体" w:cs="宋体"/>
          <w:color w:val="auto"/>
          <w:highlight w:val="none"/>
        </w:rPr>
      </w:pPr>
    </w:p>
    <w:p w14:paraId="13E5586A">
      <w:pPr>
        <w:bidi w:val="0"/>
        <w:rPr>
          <w:rFonts w:hint="eastAsia" w:ascii="宋体" w:hAnsi="宋体" w:eastAsia="宋体" w:cs="宋体"/>
          <w:color w:val="auto"/>
          <w:highlight w:val="none"/>
        </w:rPr>
      </w:pPr>
    </w:p>
    <w:p w14:paraId="04BD14D1">
      <w:pPr>
        <w:bidi w:val="0"/>
        <w:rPr>
          <w:rFonts w:hint="eastAsia" w:ascii="宋体" w:hAnsi="宋体" w:eastAsia="宋体" w:cs="宋体"/>
          <w:color w:val="auto"/>
          <w:highlight w:val="none"/>
        </w:rPr>
      </w:pPr>
    </w:p>
    <w:p w14:paraId="79836AF1">
      <w:pPr>
        <w:bidi w:val="0"/>
        <w:rPr>
          <w:rFonts w:hint="eastAsia" w:ascii="宋体" w:hAnsi="宋体" w:eastAsia="宋体" w:cs="宋体"/>
          <w:color w:val="auto"/>
          <w:highlight w:val="none"/>
        </w:rPr>
      </w:pPr>
    </w:p>
    <w:p w14:paraId="1D665A9D">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0E6D6C98">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71F917F7">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1BC0B83E">
      <w:pPr>
        <w:bidi w:val="0"/>
        <w:rPr>
          <w:rFonts w:hint="eastAsia" w:ascii="宋体" w:hAnsi="宋体" w:eastAsia="宋体" w:cs="宋体"/>
          <w:color w:val="auto"/>
          <w:highlight w:val="none"/>
          <w:lang w:val="zh-CN"/>
        </w:rPr>
      </w:pPr>
    </w:p>
    <w:p w14:paraId="3931FA25">
      <w:pPr>
        <w:pStyle w:val="86"/>
        <w:ind w:firstLine="442"/>
        <w:rPr>
          <w:rFonts w:hint="eastAsia" w:ascii="宋体" w:hAnsi="宋体" w:eastAsia="宋体" w:cs="宋体"/>
          <w:b/>
          <w:bCs/>
          <w:color w:val="auto"/>
          <w:highlight w:val="none"/>
          <w:lang w:val="zh-CN"/>
        </w:rPr>
      </w:pPr>
    </w:p>
    <w:p w14:paraId="47F024EA">
      <w:pPr>
        <w:rPr>
          <w:rFonts w:hint="eastAsia" w:ascii="宋体" w:hAnsi="宋体" w:eastAsia="宋体" w:cs="宋体"/>
          <w:b/>
          <w:bCs/>
          <w:color w:val="auto"/>
          <w:highlight w:val="none"/>
          <w:lang w:val="zh-CN"/>
        </w:rPr>
      </w:pPr>
    </w:p>
    <w:p w14:paraId="278B88DE">
      <w:pPr>
        <w:pStyle w:val="2"/>
        <w:ind w:firstLine="482"/>
        <w:rPr>
          <w:rFonts w:hint="eastAsia" w:ascii="宋体" w:hAnsi="宋体" w:eastAsia="宋体" w:cs="宋体"/>
          <w:b/>
          <w:bCs/>
          <w:color w:val="auto"/>
          <w:highlight w:val="none"/>
          <w:lang w:val="zh-CN"/>
        </w:rPr>
      </w:pPr>
    </w:p>
    <w:p w14:paraId="2F732FF4">
      <w:pPr>
        <w:pStyle w:val="2"/>
        <w:ind w:firstLine="482"/>
        <w:rPr>
          <w:rFonts w:hint="eastAsia" w:ascii="宋体" w:hAnsi="宋体" w:eastAsia="宋体" w:cs="宋体"/>
          <w:b/>
          <w:bCs/>
          <w:color w:val="auto"/>
          <w:highlight w:val="none"/>
          <w:lang w:val="zh-CN"/>
        </w:rPr>
      </w:pPr>
    </w:p>
    <w:p w14:paraId="6917BEAF">
      <w:pPr>
        <w:ind w:left="0" w:leftChars="0" w:firstLine="0" w:firstLineChars="0"/>
        <w:rPr>
          <w:rFonts w:hint="eastAsia" w:ascii="宋体" w:hAnsi="宋体" w:eastAsia="宋体" w:cs="宋体"/>
          <w:color w:val="auto"/>
          <w:highlight w:val="none"/>
          <w:lang w:val="zh-CN"/>
        </w:rPr>
      </w:pPr>
    </w:p>
    <w:p w14:paraId="5DCB931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7C3E4B">
      <w:pPr>
        <w:pStyle w:val="5"/>
        <w:bidi w:val="0"/>
        <w:jc w:val="both"/>
        <w:rPr>
          <w:rFonts w:hint="eastAsia" w:ascii="宋体" w:hAnsi="宋体" w:eastAsia="宋体" w:cs="宋体"/>
          <w:color w:val="auto"/>
          <w:highlight w:val="none"/>
        </w:rPr>
      </w:pPr>
      <w:bookmarkStart w:id="134" w:name="_Toc10913"/>
      <w:r>
        <w:rPr>
          <w:rFonts w:hint="eastAsia" w:ascii="宋体" w:hAnsi="宋体" w:eastAsia="宋体" w:cs="宋体"/>
          <w:color w:val="auto"/>
          <w:highlight w:val="none"/>
        </w:rPr>
        <w:t>附件5：服务条款偏离表</w:t>
      </w:r>
      <w:bookmarkEnd w:id="134"/>
    </w:p>
    <w:p w14:paraId="3C8CB4B5">
      <w:pPr>
        <w:bidi w:val="0"/>
        <w:rPr>
          <w:rFonts w:hint="eastAsia" w:ascii="宋体" w:hAnsi="宋体" w:eastAsia="宋体" w:cs="宋体"/>
          <w:color w:val="auto"/>
          <w:highlight w:val="none"/>
        </w:rPr>
      </w:pPr>
    </w:p>
    <w:p w14:paraId="39F568EA">
      <w:pPr>
        <w:bidi w:val="0"/>
        <w:ind w:left="0" w:leftChars="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zh-CN"/>
        </w:rPr>
        <w:t>服务条款偏离表</w:t>
      </w:r>
    </w:p>
    <w:tbl>
      <w:tblPr>
        <w:tblStyle w:val="67"/>
        <w:tblW w:w="85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9"/>
        <w:gridCol w:w="2126"/>
        <w:gridCol w:w="2126"/>
        <w:gridCol w:w="1560"/>
        <w:gridCol w:w="992"/>
        <w:gridCol w:w="992"/>
      </w:tblGrid>
      <w:tr w14:paraId="06867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09" w:type="dxa"/>
            <w:vAlign w:val="center"/>
          </w:tcPr>
          <w:p w14:paraId="6C54EA31">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126" w:type="dxa"/>
            <w:vAlign w:val="center"/>
          </w:tcPr>
          <w:p w14:paraId="36A8365D">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磋商文件服务内容</w:t>
            </w:r>
          </w:p>
        </w:tc>
        <w:tc>
          <w:tcPr>
            <w:tcW w:w="2126" w:type="dxa"/>
          </w:tcPr>
          <w:p w14:paraId="20C01AEA">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响应文件服务内容</w:t>
            </w:r>
          </w:p>
        </w:tc>
        <w:tc>
          <w:tcPr>
            <w:tcW w:w="1560" w:type="dxa"/>
            <w:vAlign w:val="center"/>
          </w:tcPr>
          <w:p w14:paraId="140B7E97">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响应情况</w:t>
            </w:r>
          </w:p>
        </w:tc>
        <w:tc>
          <w:tcPr>
            <w:tcW w:w="992" w:type="dxa"/>
            <w:vAlign w:val="center"/>
          </w:tcPr>
          <w:p w14:paraId="4F62A768">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92" w:type="dxa"/>
            <w:vAlign w:val="center"/>
          </w:tcPr>
          <w:p w14:paraId="532DA96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08D8F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9" w:type="dxa"/>
            <w:vAlign w:val="center"/>
          </w:tcPr>
          <w:p w14:paraId="51AF4D9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126" w:type="dxa"/>
            <w:vAlign w:val="center"/>
          </w:tcPr>
          <w:p w14:paraId="5063CEA1">
            <w:pPr>
              <w:pStyle w:val="13"/>
              <w:bidi w:val="0"/>
              <w:rPr>
                <w:rFonts w:hint="eastAsia" w:ascii="宋体" w:hAnsi="宋体" w:eastAsia="宋体" w:cs="宋体"/>
                <w:color w:val="auto"/>
                <w:highlight w:val="none"/>
              </w:rPr>
            </w:pPr>
          </w:p>
        </w:tc>
        <w:tc>
          <w:tcPr>
            <w:tcW w:w="2126" w:type="dxa"/>
          </w:tcPr>
          <w:p w14:paraId="3A655DDE">
            <w:pPr>
              <w:pStyle w:val="13"/>
              <w:bidi w:val="0"/>
              <w:rPr>
                <w:rFonts w:hint="eastAsia" w:ascii="宋体" w:hAnsi="宋体" w:eastAsia="宋体" w:cs="宋体"/>
                <w:color w:val="auto"/>
                <w:highlight w:val="none"/>
              </w:rPr>
            </w:pPr>
          </w:p>
        </w:tc>
        <w:tc>
          <w:tcPr>
            <w:tcW w:w="1560" w:type="dxa"/>
            <w:vAlign w:val="center"/>
          </w:tcPr>
          <w:p w14:paraId="0678C11E">
            <w:pPr>
              <w:pStyle w:val="13"/>
              <w:bidi w:val="0"/>
              <w:rPr>
                <w:rFonts w:hint="eastAsia" w:ascii="宋体" w:hAnsi="宋体" w:eastAsia="宋体" w:cs="宋体"/>
                <w:color w:val="auto"/>
                <w:highlight w:val="none"/>
              </w:rPr>
            </w:pPr>
          </w:p>
        </w:tc>
        <w:tc>
          <w:tcPr>
            <w:tcW w:w="992" w:type="dxa"/>
            <w:vAlign w:val="center"/>
          </w:tcPr>
          <w:p w14:paraId="1CECB4D1">
            <w:pPr>
              <w:pStyle w:val="13"/>
              <w:bidi w:val="0"/>
              <w:rPr>
                <w:rFonts w:hint="eastAsia" w:ascii="宋体" w:hAnsi="宋体" w:eastAsia="宋体" w:cs="宋体"/>
                <w:color w:val="auto"/>
                <w:highlight w:val="none"/>
              </w:rPr>
            </w:pPr>
          </w:p>
        </w:tc>
        <w:tc>
          <w:tcPr>
            <w:tcW w:w="992" w:type="dxa"/>
            <w:vAlign w:val="center"/>
          </w:tcPr>
          <w:p w14:paraId="00BD50F8">
            <w:pPr>
              <w:pStyle w:val="13"/>
              <w:bidi w:val="0"/>
              <w:rPr>
                <w:rFonts w:hint="eastAsia" w:ascii="宋体" w:hAnsi="宋体" w:eastAsia="宋体" w:cs="宋体"/>
                <w:color w:val="auto"/>
                <w:highlight w:val="none"/>
              </w:rPr>
            </w:pPr>
          </w:p>
        </w:tc>
      </w:tr>
      <w:tr w14:paraId="32263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9" w:type="dxa"/>
            <w:vAlign w:val="center"/>
          </w:tcPr>
          <w:p w14:paraId="6FBC9637">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126" w:type="dxa"/>
            <w:vAlign w:val="center"/>
          </w:tcPr>
          <w:p w14:paraId="4E571F53">
            <w:pPr>
              <w:pStyle w:val="13"/>
              <w:bidi w:val="0"/>
              <w:rPr>
                <w:rFonts w:hint="eastAsia" w:ascii="宋体" w:hAnsi="宋体" w:eastAsia="宋体" w:cs="宋体"/>
                <w:color w:val="auto"/>
                <w:highlight w:val="none"/>
              </w:rPr>
            </w:pPr>
          </w:p>
        </w:tc>
        <w:tc>
          <w:tcPr>
            <w:tcW w:w="2126" w:type="dxa"/>
          </w:tcPr>
          <w:p w14:paraId="6F8DE6B5">
            <w:pPr>
              <w:pStyle w:val="13"/>
              <w:bidi w:val="0"/>
              <w:rPr>
                <w:rFonts w:hint="eastAsia" w:ascii="宋体" w:hAnsi="宋体" w:eastAsia="宋体" w:cs="宋体"/>
                <w:color w:val="auto"/>
                <w:highlight w:val="none"/>
              </w:rPr>
            </w:pPr>
          </w:p>
        </w:tc>
        <w:tc>
          <w:tcPr>
            <w:tcW w:w="1560" w:type="dxa"/>
            <w:vAlign w:val="center"/>
          </w:tcPr>
          <w:p w14:paraId="685125BD">
            <w:pPr>
              <w:pStyle w:val="13"/>
              <w:bidi w:val="0"/>
              <w:rPr>
                <w:rFonts w:hint="eastAsia" w:ascii="宋体" w:hAnsi="宋体" w:eastAsia="宋体" w:cs="宋体"/>
                <w:color w:val="auto"/>
                <w:highlight w:val="none"/>
              </w:rPr>
            </w:pPr>
          </w:p>
        </w:tc>
        <w:tc>
          <w:tcPr>
            <w:tcW w:w="992" w:type="dxa"/>
            <w:vAlign w:val="center"/>
          </w:tcPr>
          <w:p w14:paraId="319AE194">
            <w:pPr>
              <w:pStyle w:val="13"/>
              <w:bidi w:val="0"/>
              <w:rPr>
                <w:rFonts w:hint="eastAsia" w:ascii="宋体" w:hAnsi="宋体" w:eastAsia="宋体" w:cs="宋体"/>
                <w:color w:val="auto"/>
                <w:highlight w:val="none"/>
              </w:rPr>
            </w:pPr>
          </w:p>
        </w:tc>
        <w:tc>
          <w:tcPr>
            <w:tcW w:w="992" w:type="dxa"/>
            <w:vAlign w:val="center"/>
          </w:tcPr>
          <w:p w14:paraId="5E52A399">
            <w:pPr>
              <w:pStyle w:val="13"/>
              <w:bidi w:val="0"/>
              <w:rPr>
                <w:rFonts w:hint="eastAsia" w:ascii="宋体" w:hAnsi="宋体" w:eastAsia="宋体" w:cs="宋体"/>
                <w:color w:val="auto"/>
                <w:highlight w:val="none"/>
              </w:rPr>
            </w:pPr>
          </w:p>
        </w:tc>
      </w:tr>
      <w:tr w14:paraId="69831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9" w:type="dxa"/>
            <w:vAlign w:val="center"/>
          </w:tcPr>
          <w:p w14:paraId="3BCFB6D0">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126" w:type="dxa"/>
            <w:vAlign w:val="center"/>
          </w:tcPr>
          <w:p w14:paraId="4541482F">
            <w:pPr>
              <w:pStyle w:val="13"/>
              <w:bidi w:val="0"/>
              <w:rPr>
                <w:rFonts w:hint="eastAsia" w:ascii="宋体" w:hAnsi="宋体" w:eastAsia="宋体" w:cs="宋体"/>
                <w:color w:val="auto"/>
                <w:highlight w:val="none"/>
              </w:rPr>
            </w:pPr>
          </w:p>
        </w:tc>
        <w:tc>
          <w:tcPr>
            <w:tcW w:w="2126" w:type="dxa"/>
          </w:tcPr>
          <w:p w14:paraId="3DD57A15">
            <w:pPr>
              <w:pStyle w:val="13"/>
              <w:bidi w:val="0"/>
              <w:rPr>
                <w:rFonts w:hint="eastAsia" w:ascii="宋体" w:hAnsi="宋体" w:eastAsia="宋体" w:cs="宋体"/>
                <w:color w:val="auto"/>
                <w:highlight w:val="none"/>
              </w:rPr>
            </w:pPr>
          </w:p>
        </w:tc>
        <w:tc>
          <w:tcPr>
            <w:tcW w:w="1560" w:type="dxa"/>
            <w:vAlign w:val="center"/>
          </w:tcPr>
          <w:p w14:paraId="4FF98852">
            <w:pPr>
              <w:pStyle w:val="13"/>
              <w:bidi w:val="0"/>
              <w:rPr>
                <w:rFonts w:hint="eastAsia" w:ascii="宋体" w:hAnsi="宋体" w:eastAsia="宋体" w:cs="宋体"/>
                <w:color w:val="auto"/>
                <w:highlight w:val="none"/>
              </w:rPr>
            </w:pPr>
          </w:p>
        </w:tc>
        <w:tc>
          <w:tcPr>
            <w:tcW w:w="992" w:type="dxa"/>
            <w:vAlign w:val="center"/>
          </w:tcPr>
          <w:p w14:paraId="5EE332FA">
            <w:pPr>
              <w:pStyle w:val="13"/>
              <w:bidi w:val="0"/>
              <w:rPr>
                <w:rFonts w:hint="eastAsia" w:ascii="宋体" w:hAnsi="宋体" w:eastAsia="宋体" w:cs="宋体"/>
                <w:color w:val="auto"/>
                <w:highlight w:val="none"/>
              </w:rPr>
            </w:pPr>
          </w:p>
        </w:tc>
        <w:tc>
          <w:tcPr>
            <w:tcW w:w="992" w:type="dxa"/>
            <w:vAlign w:val="center"/>
          </w:tcPr>
          <w:p w14:paraId="06E705F1">
            <w:pPr>
              <w:pStyle w:val="13"/>
              <w:bidi w:val="0"/>
              <w:rPr>
                <w:rFonts w:hint="eastAsia" w:ascii="宋体" w:hAnsi="宋体" w:eastAsia="宋体" w:cs="宋体"/>
                <w:color w:val="auto"/>
                <w:highlight w:val="none"/>
              </w:rPr>
            </w:pPr>
          </w:p>
        </w:tc>
      </w:tr>
      <w:tr w14:paraId="47797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09" w:type="dxa"/>
            <w:vAlign w:val="center"/>
          </w:tcPr>
          <w:p w14:paraId="1308870C">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126" w:type="dxa"/>
            <w:vAlign w:val="center"/>
          </w:tcPr>
          <w:p w14:paraId="1E7181B9">
            <w:pPr>
              <w:pStyle w:val="13"/>
              <w:bidi w:val="0"/>
              <w:rPr>
                <w:rFonts w:hint="eastAsia" w:ascii="宋体" w:hAnsi="宋体" w:eastAsia="宋体" w:cs="宋体"/>
                <w:color w:val="auto"/>
                <w:highlight w:val="none"/>
              </w:rPr>
            </w:pPr>
          </w:p>
        </w:tc>
        <w:tc>
          <w:tcPr>
            <w:tcW w:w="2126" w:type="dxa"/>
          </w:tcPr>
          <w:p w14:paraId="59687A84">
            <w:pPr>
              <w:pStyle w:val="13"/>
              <w:bidi w:val="0"/>
              <w:rPr>
                <w:rFonts w:hint="eastAsia" w:ascii="宋体" w:hAnsi="宋体" w:eastAsia="宋体" w:cs="宋体"/>
                <w:color w:val="auto"/>
                <w:highlight w:val="none"/>
              </w:rPr>
            </w:pPr>
          </w:p>
        </w:tc>
        <w:tc>
          <w:tcPr>
            <w:tcW w:w="1560" w:type="dxa"/>
            <w:vAlign w:val="center"/>
          </w:tcPr>
          <w:p w14:paraId="5D141950">
            <w:pPr>
              <w:pStyle w:val="13"/>
              <w:bidi w:val="0"/>
              <w:rPr>
                <w:rFonts w:hint="eastAsia" w:ascii="宋体" w:hAnsi="宋体" w:eastAsia="宋体" w:cs="宋体"/>
                <w:color w:val="auto"/>
                <w:highlight w:val="none"/>
              </w:rPr>
            </w:pPr>
          </w:p>
        </w:tc>
        <w:tc>
          <w:tcPr>
            <w:tcW w:w="992" w:type="dxa"/>
            <w:vAlign w:val="center"/>
          </w:tcPr>
          <w:p w14:paraId="0D40EA35">
            <w:pPr>
              <w:pStyle w:val="13"/>
              <w:bidi w:val="0"/>
              <w:rPr>
                <w:rFonts w:hint="eastAsia" w:ascii="宋体" w:hAnsi="宋体" w:eastAsia="宋体" w:cs="宋体"/>
                <w:color w:val="auto"/>
                <w:highlight w:val="none"/>
              </w:rPr>
            </w:pPr>
          </w:p>
        </w:tc>
        <w:tc>
          <w:tcPr>
            <w:tcW w:w="992" w:type="dxa"/>
            <w:vAlign w:val="center"/>
          </w:tcPr>
          <w:p w14:paraId="2A0F275A">
            <w:pPr>
              <w:pStyle w:val="13"/>
              <w:bidi w:val="0"/>
              <w:rPr>
                <w:rFonts w:hint="eastAsia" w:ascii="宋体" w:hAnsi="宋体" w:eastAsia="宋体" w:cs="宋体"/>
                <w:color w:val="auto"/>
                <w:highlight w:val="none"/>
              </w:rPr>
            </w:pPr>
          </w:p>
        </w:tc>
      </w:tr>
    </w:tbl>
    <w:p w14:paraId="1112A7D3">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注：1.本表应</w:t>
      </w:r>
      <w:r>
        <w:rPr>
          <w:rFonts w:hint="eastAsia" w:ascii="宋体" w:hAnsi="宋体" w:eastAsia="宋体" w:cs="宋体"/>
          <w:color w:val="auto"/>
          <w:highlight w:val="none"/>
          <w:lang w:val="en-US" w:eastAsia="zh-CN"/>
        </w:rPr>
        <w:t>依照</w:t>
      </w:r>
      <w:r>
        <w:rPr>
          <w:rFonts w:hint="eastAsia" w:ascii="宋体" w:hAnsi="宋体" w:eastAsia="宋体" w:cs="宋体"/>
          <w:color w:val="auto"/>
          <w:highlight w:val="none"/>
          <w:lang w:val="zh-CN"/>
        </w:rPr>
        <w:t>“</w:t>
      </w:r>
      <w:r>
        <w:rPr>
          <w:rFonts w:hint="eastAsia" w:ascii="宋体" w:hAnsi="宋体" w:eastAsia="宋体" w:cs="宋体"/>
          <w:color w:val="auto"/>
          <w:highlight w:val="none"/>
        </w:rPr>
        <w:t>第六部分 磋商及采购项目技术要求</w:t>
      </w:r>
      <w:r>
        <w:rPr>
          <w:rFonts w:hint="eastAsia" w:ascii="宋体" w:hAnsi="宋体" w:eastAsia="宋体" w:cs="宋体"/>
          <w:color w:val="auto"/>
          <w:highlight w:val="none"/>
          <w:lang w:val="zh-CN"/>
        </w:rPr>
        <w:t>”</w:t>
      </w:r>
      <w:r>
        <w:rPr>
          <w:rFonts w:hint="eastAsia" w:ascii="宋体" w:hAnsi="宋体" w:cs="宋体"/>
          <w:color w:val="auto"/>
          <w:highlight w:val="none"/>
          <w:lang w:val="en-US" w:eastAsia="zh-CN"/>
        </w:rPr>
        <w:t>中的4.采购需求</w:t>
      </w:r>
      <w:r>
        <w:rPr>
          <w:rFonts w:hint="eastAsia" w:ascii="宋体" w:hAnsi="宋体" w:eastAsia="宋体" w:cs="宋体"/>
          <w:color w:val="auto"/>
          <w:highlight w:val="none"/>
          <w:lang w:val="zh-CN"/>
        </w:rPr>
        <w:t>中</w:t>
      </w:r>
      <w:r>
        <w:rPr>
          <w:rFonts w:hint="eastAsia" w:ascii="宋体" w:hAnsi="宋体" w:cs="宋体"/>
          <w:color w:val="auto"/>
          <w:highlight w:val="none"/>
          <w:lang w:val="en-US" w:eastAsia="zh-CN"/>
        </w:rPr>
        <w:t>所有</w:t>
      </w:r>
      <w:r>
        <w:rPr>
          <w:rFonts w:hint="eastAsia" w:ascii="宋体" w:hAnsi="宋体" w:eastAsia="宋体" w:cs="宋体"/>
          <w:color w:val="auto"/>
          <w:highlight w:val="none"/>
          <w:lang w:val="zh-CN"/>
        </w:rPr>
        <w:t>指标</w:t>
      </w:r>
      <w:r>
        <w:rPr>
          <w:rFonts w:hint="eastAsia" w:ascii="宋体" w:hAnsi="宋体" w:eastAsia="宋体" w:cs="宋体"/>
          <w:color w:val="auto"/>
          <w:highlight w:val="none"/>
          <w:lang w:val="en-US" w:eastAsia="zh-CN"/>
        </w:rPr>
        <w:t>逐项</w:t>
      </w:r>
      <w:r>
        <w:rPr>
          <w:rFonts w:hint="eastAsia" w:ascii="宋体" w:hAnsi="宋体" w:eastAsia="宋体" w:cs="宋体"/>
          <w:color w:val="auto"/>
          <w:highlight w:val="none"/>
          <w:lang w:val="zh-CN"/>
        </w:rPr>
        <w:t>填写，不得遗漏，</w:t>
      </w:r>
      <w:r>
        <w:rPr>
          <w:rFonts w:hint="eastAsia" w:ascii="宋体" w:hAnsi="宋体" w:eastAsia="宋体" w:cs="宋体"/>
          <w:color w:val="auto"/>
          <w:highlight w:val="none"/>
        </w:rPr>
        <w:t>否则，按无效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处理。</w:t>
      </w:r>
    </w:p>
    <w:p w14:paraId="648D5549">
      <w:pPr>
        <w:bidi w:val="0"/>
        <w:rPr>
          <w:rFonts w:hint="eastAsia" w:ascii="宋体" w:hAnsi="宋体" w:eastAsia="宋体" w:cs="宋体"/>
          <w:color w:val="auto"/>
          <w:highlight w:val="none"/>
          <w:lang w:val="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zh-CN"/>
        </w:rPr>
        <w:t>填写此表时以</w:t>
      </w:r>
      <w:r>
        <w:rPr>
          <w:rFonts w:hint="eastAsia" w:ascii="宋体" w:hAnsi="宋体" w:eastAsia="宋体" w:cs="宋体"/>
          <w:color w:val="auto"/>
          <w:highlight w:val="none"/>
        </w:rPr>
        <w:t>磋商文件第六部分 “磋商及采购项目技术要求”</w:t>
      </w:r>
      <w:r>
        <w:rPr>
          <w:rFonts w:hint="eastAsia" w:ascii="宋体" w:hAnsi="宋体" w:cs="宋体"/>
          <w:color w:val="auto"/>
          <w:highlight w:val="none"/>
          <w:lang w:val="en-US" w:eastAsia="zh-CN"/>
        </w:rPr>
        <w:t>中的4.采购需求指标</w:t>
      </w:r>
      <w:r>
        <w:rPr>
          <w:rFonts w:hint="eastAsia" w:ascii="宋体" w:hAnsi="宋体" w:eastAsia="宋体" w:cs="宋体"/>
          <w:color w:val="auto"/>
          <w:highlight w:val="none"/>
          <w:lang w:val="zh-CN"/>
        </w:rPr>
        <w:t>为基本要求，满足</w:t>
      </w:r>
      <w:r>
        <w:rPr>
          <w:rFonts w:hint="eastAsia" w:ascii="宋体" w:hAnsi="宋体" w:eastAsia="宋体" w:cs="宋体"/>
          <w:color w:val="auto"/>
          <w:highlight w:val="none"/>
        </w:rPr>
        <w:t>磋商文件第六部分 “磋商及采购项目技术要求”</w:t>
      </w:r>
      <w:r>
        <w:rPr>
          <w:rFonts w:hint="eastAsia" w:ascii="宋体" w:hAnsi="宋体" w:cs="宋体"/>
          <w:color w:val="auto"/>
          <w:highlight w:val="none"/>
          <w:lang w:val="en-US" w:eastAsia="zh-CN"/>
        </w:rPr>
        <w:t>中</w:t>
      </w:r>
      <w:r>
        <w:rPr>
          <w:rFonts w:hint="eastAsia" w:ascii="宋体" w:hAnsi="宋体" w:eastAsia="宋体" w:cs="宋体"/>
          <w:color w:val="auto"/>
          <w:highlight w:val="none"/>
          <w:lang w:val="zh-CN"/>
        </w:rPr>
        <w:t>的</w:t>
      </w:r>
      <w:r>
        <w:rPr>
          <w:rFonts w:hint="eastAsia" w:ascii="宋体" w:hAnsi="宋体" w:cs="宋体"/>
          <w:color w:val="auto"/>
          <w:highlight w:val="none"/>
          <w:lang w:val="en-US" w:eastAsia="zh-CN"/>
        </w:rPr>
        <w:t>4.采购需求</w:t>
      </w:r>
      <w:r>
        <w:rPr>
          <w:rFonts w:hint="eastAsia" w:ascii="宋体" w:hAnsi="宋体" w:eastAsia="宋体" w:cs="宋体"/>
          <w:color w:val="auto"/>
          <w:highlight w:val="none"/>
          <w:lang w:val="zh-CN"/>
        </w:rPr>
        <w:t>指标需列出“</w:t>
      </w:r>
      <w:r>
        <w:rPr>
          <w:rFonts w:hint="eastAsia" w:ascii="宋体" w:hAnsi="宋体" w:eastAsia="宋体" w:cs="宋体"/>
          <w:color w:val="auto"/>
          <w:highlight w:val="none"/>
        </w:rPr>
        <w:t>0</w:t>
      </w:r>
      <w:r>
        <w:rPr>
          <w:rFonts w:hint="eastAsia" w:ascii="宋体" w:hAnsi="宋体" w:eastAsia="宋体" w:cs="宋体"/>
          <w:color w:val="auto"/>
          <w:highlight w:val="none"/>
          <w:lang w:val="zh-CN"/>
        </w:rPr>
        <w:t>”；超出、不满足招标项目参数要求的指标需列出“+”、“-”偏差，并做出详细说明；如果只注明“+”、“-”或未填写，将视为该项指标不响应。</w:t>
      </w:r>
    </w:p>
    <w:p w14:paraId="6CDDD467">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3</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val="zh-CN"/>
        </w:rPr>
        <w:t>响应采购需求应具体、明确，含糊不清、不确切或伪造、编造证明材料的，按照实质性不响应处理。对伪造、编造证明材料的，将报告本级财政部门。</w:t>
      </w:r>
    </w:p>
    <w:p w14:paraId="63A7E098">
      <w:pPr>
        <w:bidi w:val="0"/>
        <w:rPr>
          <w:rFonts w:hint="eastAsia" w:ascii="宋体" w:hAnsi="宋体" w:eastAsia="宋体" w:cs="宋体"/>
          <w:color w:val="auto"/>
          <w:highlight w:val="none"/>
        </w:rPr>
      </w:pPr>
    </w:p>
    <w:p w14:paraId="359CBA1F">
      <w:pPr>
        <w:bidi w:val="0"/>
        <w:rPr>
          <w:rFonts w:hint="eastAsia" w:ascii="宋体" w:hAnsi="宋体" w:eastAsia="宋体" w:cs="宋体"/>
          <w:color w:val="auto"/>
          <w:highlight w:val="none"/>
        </w:rPr>
      </w:pPr>
    </w:p>
    <w:p w14:paraId="0D8341F8">
      <w:pPr>
        <w:bidi w:val="0"/>
        <w:rPr>
          <w:rFonts w:hint="eastAsia" w:ascii="宋体" w:hAnsi="宋体" w:eastAsia="宋体" w:cs="宋体"/>
          <w:color w:val="auto"/>
          <w:highlight w:val="none"/>
        </w:rPr>
      </w:pPr>
    </w:p>
    <w:p w14:paraId="5D614F25">
      <w:pPr>
        <w:bidi w:val="0"/>
        <w:rPr>
          <w:rFonts w:hint="eastAsia" w:ascii="宋体" w:hAnsi="宋体" w:eastAsia="宋体" w:cs="宋体"/>
          <w:color w:val="auto"/>
          <w:highlight w:val="none"/>
        </w:rPr>
      </w:pPr>
    </w:p>
    <w:p w14:paraId="2F903736">
      <w:pPr>
        <w:bidi w:val="0"/>
        <w:rPr>
          <w:rFonts w:hint="eastAsia" w:ascii="宋体" w:hAnsi="宋体" w:eastAsia="宋体" w:cs="宋体"/>
          <w:color w:val="auto"/>
          <w:highlight w:val="none"/>
        </w:rPr>
      </w:pPr>
    </w:p>
    <w:p w14:paraId="33B198E8">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6BFD42A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5D9CE2A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5C1E8367">
      <w:pPr>
        <w:bidi w:val="0"/>
        <w:rPr>
          <w:rFonts w:hint="eastAsia" w:ascii="宋体" w:hAnsi="宋体" w:eastAsia="宋体" w:cs="宋体"/>
          <w:color w:val="auto"/>
          <w:highlight w:val="none"/>
        </w:rPr>
      </w:pPr>
    </w:p>
    <w:p w14:paraId="3EF45064">
      <w:pPr>
        <w:bidi w:val="0"/>
        <w:rPr>
          <w:rFonts w:hint="eastAsia" w:ascii="宋体" w:hAnsi="宋体" w:eastAsia="宋体" w:cs="宋体"/>
          <w:color w:val="auto"/>
          <w:highlight w:val="none"/>
        </w:rPr>
      </w:pPr>
    </w:p>
    <w:p w14:paraId="6B9EE06B">
      <w:pPr>
        <w:bidi w:val="0"/>
        <w:rPr>
          <w:rFonts w:hint="eastAsia" w:ascii="宋体" w:hAnsi="宋体" w:eastAsia="宋体" w:cs="宋体"/>
          <w:color w:val="auto"/>
          <w:highlight w:val="none"/>
        </w:rPr>
      </w:pPr>
      <w:bookmarkStart w:id="135" w:name="_Toc30481"/>
    </w:p>
    <w:p w14:paraId="513FC0BA">
      <w:pPr>
        <w:pStyle w:val="5"/>
        <w:bidi w:val="0"/>
        <w:jc w:val="both"/>
        <w:rPr>
          <w:rFonts w:hint="eastAsia" w:ascii="宋体" w:hAnsi="宋体" w:eastAsia="宋体" w:cs="宋体"/>
          <w:color w:val="auto"/>
          <w:highlight w:val="none"/>
        </w:rPr>
      </w:pPr>
      <w:bookmarkStart w:id="136" w:name="_Toc13528"/>
      <w:r>
        <w:rPr>
          <w:rFonts w:hint="eastAsia" w:ascii="宋体" w:hAnsi="宋体" w:eastAsia="宋体" w:cs="宋体"/>
          <w:color w:val="auto"/>
          <w:highlight w:val="none"/>
        </w:rPr>
        <w:t>附件6：商务条款偏离表</w:t>
      </w:r>
      <w:bookmarkEnd w:id="135"/>
      <w:bookmarkEnd w:id="136"/>
    </w:p>
    <w:p w14:paraId="4DCFE260">
      <w:pPr>
        <w:bidi w:val="0"/>
        <w:rPr>
          <w:rFonts w:hint="eastAsia" w:ascii="宋体" w:hAnsi="宋体" w:eastAsia="宋体" w:cs="宋体"/>
          <w:color w:val="auto"/>
          <w:highlight w:val="none"/>
        </w:rPr>
      </w:pPr>
    </w:p>
    <w:p w14:paraId="6EA76F95">
      <w:pPr>
        <w:bidi w:val="0"/>
        <w:ind w:left="0" w:leftChars="0" w:firstLine="0" w:firstLineChars="0"/>
        <w:jc w:val="center"/>
        <w:rPr>
          <w:rFonts w:hint="eastAsia" w:ascii="宋体" w:hAnsi="宋体" w:eastAsia="宋体" w:cs="宋体"/>
          <w:color w:val="auto"/>
          <w:highlight w:val="none"/>
        </w:rPr>
      </w:pPr>
      <w:bookmarkStart w:id="137" w:name="_Toc21393"/>
      <w:r>
        <w:rPr>
          <w:rFonts w:hint="eastAsia" w:ascii="宋体" w:hAnsi="宋体" w:eastAsia="宋体" w:cs="宋体"/>
          <w:b/>
          <w:bCs/>
          <w:color w:val="auto"/>
          <w:sz w:val="32"/>
          <w:szCs w:val="32"/>
          <w:highlight w:val="none"/>
          <w:lang w:val="zh-CN"/>
        </w:rPr>
        <w:t>商务条款偏离表</w:t>
      </w:r>
      <w:bookmarkEnd w:id="137"/>
    </w:p>
    <w:tbl>
      <w:tblPr>
        <w:tblStyle w:val="67"/>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2647"/>
        <w:gridCol w:w="2599"/>
        <w:gridCol w:w="852"/>
        <w:gridCol w:w="1160"/>
      </w:tblGrid>
      <w:tr w14:paraId="0517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339" w:type="dxa"/>
            <w:noWrap/>
            <w:vAlign w:val="center"/>
          </w:tcPr>
          <w:p w14:paraId="535A6A7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7" w:type="dxa"/>
            <w:noWrap/>
            <w:vAlign w:val="center"/>
          </w:tcPr>
          <w:p w14:paraId="2C435A8C">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磋商文件的商务条款（商务要求）</w:t>
            </w:r>
          </w:p>
        </w:tc>
        <w:tc>
          <w:tcPr>
            <w:tcW w:w="2599" w:type="dxa"/>
            <w:noWrap/>
            <w:vAlign w:val="center"/>
          </w:tcPr>
          <w:p w14:paraId="6FB7B3F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响应文件的商务条款</w:t>
            </w:r>
          </w:p>
        </w:tc>
        <w:tc>
          <w:tcPr>
            <w:tcW w:w="852" w:type="dxa"/>
            <w:noWrap/>
            <w:vAlign w:val="center"/>
          </w:tcPr>
          <w:p w14:paraId="463000B0">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160" w:type="dxa"/>
            <w:noWrap/>
            <w:vAlign w:val="center"/>
          </w:tcPr>
          <w:p w14:paraId="7F0C04FF">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3E4B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5C1703E3">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647" w:type="dxa"/>
            <w:noWrap/>
            <w:vAlign w:val="center"/>
          </w:tcPr>
          <w:p w14:paraId="525CBAEB">
            <w:pPr>
              <w:pStyle w:val="13"/>
              <w:bidi w:val="0"/>
              <w:rPr>
                <w:rFonts w:hint="eastAsia" w:ascii="宋体" w:hAnsi="宋体" w:eastAsia="宋体" w:cs="宋体"/>
                <w:color w:val="auto"/>
                <w:highlight w:val="none"/>
              </w:rPr>
            </w:pPr>
          </w:p>
        </w:tc>
        <w:tc>
          <w:tcPr>
            <w:tcW w:w="2599" w:type="dxa"/>
            <w:noWrap/>
            <w:vAlign w:val="center"/>
          </w:tcPr>
          <w:p w14:paraId="5E66E09C">
            <w:pPr>
              <w:pStyle w:val="13"/>
              <w:bidi w:val="0"/>
              <w:rPr>
                <w:rFonts w:hint="eastAsia" w:ascii="宋体" w:hAnsi="宋体" w:eastAsia="宋体" w:cs="宋体"/>
                <w:color w:val="auto"/>
                <w:highlight w:val="none"/>
              </w:rPr>
            </w:pPr>
          </w:p>
        </w:tc>
        <w:tc>
          <w:tcPr>
            <w:tcW w:w="852" w:type="dxa"/>
            <w:noWrap/>
            <w:vAlign w:val="center"/>
          </w:tcPr>
          <w:p w14:paraId="5026E53F">
            <w:pPr>
              <w:pStyle w:val="13"/>
              <w:bidi w:val="0"/>
              <w:rPr>
                <w:rFonts w:hint="eastAsia" w:ascii="宋体" w:hAnsi="宋体" w:eastAsia="宋体" w:cs="宋体"/>
                <w:color w:val="auto"/>
                <w:highlight w:val="none"/>
              </w:rPr>
            </w:pPr>
          </w:p>
        </w:tc>
        <w:tc>
          <w:tcPr>
            <w:tcW w:w="1160" w:type="dxa"/>
            <w:noWrap/>
            <w:vAlign w:val="center"/>
          </w:tcPr>
          <w:p w14:paraId="2FDAF3A6">
            <w:pPr>
              <w:pStyle w:val="13"/>
              <w:bidi w:val="0"/>
              <w:rPr>
                <w:rFonts w:hint="eastAsia" w:ascii="宋体" w:hAnsi="宋体" w:eastAsia="宋体" w:cs="宋体"/>
                <w:color w:val="auto"/>
                <w:highlight w:val="none"/>
              </w:rPr>
            </w:pPr>
          </w:p>
        </w:tc>
      </w:tr>
      <w:tr w14:paraId="3E95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6F27F87A">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647" w:type="dxa"/>
            <w:noWrap/>
            <w:vAlign w:val="center"/>
          </w:tcPr>
          <w:p w14:paraId="77326229">
            <w:pPr>
              <w:pStyle w:val="13"/>
              <w:bidi w:val="0"/>
              <w:rPr>
                <w:rFonts w:hint="eastAsia" w:ascii="宋体" w:hAnsi="宋体" w:eastAsia="宋体" w:cs="宋体"/>
                <w:color w:val="auto"/>
                <w:highlight w:val="none"/>
              </w:rPr>
            </w:pPr>
          </w:p>
        </w:tc>
        <w:tc>
          <w:tcPr>
            <w:tcW w:w="2599" w:type="dxa"/>
            <w:noWrap/>
            <w:vAlign w:val="center"/>
          </w:tcPr>
          <w:p w14:paraId="726EE440">
            <w:pPr>
              <w:pStyle w:val="13"/>
              <w:bidi w:val="0"/>
              <w:rPr>
                <w:rFonts w:hint="eastAsia" w:ascii="宋体" w:hAnsi="宋体" w:eastAsia="宋体" w:cs="宋体"/>
                <w:color w:val="auto"/>
                <w:highlight w:val="none"/>
              </w:rPr>
            </w:pPr>
          </w:p>
        </w:tc>
        <w:tc>
          <w:tcPr>
            <w:tcW w:w="852" w:type="dxa"/>
            <w:noWrap/>
            <w:vAlign w:val="center"/>
          </w:tcPr>
          <w:p w14:paraId="4365844C">
            <w:pPr>
              <w:pStyle w:val="13"/>
              <w:bidi w:val="0"/>
              <w:rPr>
                <w:rFonts w:hint="eastAsia" w:ascii="宋体" w:hAnsi="宋体" w:eastAsia="宋体" w:cs="宋体"/>
                <w:color w:val="auto"/>
                <w:highlight w:val="none"/>
              </w:rPr>
            </w:pPr>
          </w:p>
        </w:tc>
        <w:tc>
          <w:tcPr>
            <w:tcW w:w="1160" w:type="dxa"/>
            <w:noWrap/>
            <w:vAlign w:val="center"/>
          </w:tcPr>
          <w:p w14:paraId="790F917F">
            <w:pPr>
              <w:pStyle w:val="13"/>
              <w:bidi w:val="0"/>
              <w:rPr>
                <w:rFonts w:hint="eastAsia" w:ascii="宋体" w:hAnsi="宋体" w:eastAsia="宋体" w:cs="宋体"/>
                <w:color w:val="auto"/>
                <w:highlight w:val="none"/>
              </w:rPr>
            </w:pPr>
          </w:p>
        </w:tc>
      </w:tr>
      <w:tr w14:paraId="20BF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5B5224EF">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647" w:type="dxa"/>
            <w:noWrap/>
            <w:vAlign w:val="center"/>
          </w:tcPr>
          <w:p w14:paraId="0A80844E">
            <w:pPr>
              <w:pStyle w:val="13"/>
              <w:bidi w:val="0"/>
              <w:rPr>
                <w:rFonts w:hint="eastAsia" w:ascii="宋体" w:hAnsi="宋体" w:eastAsia="宋体" w:cs="宋体"/>
                <w:color w:val="auto"/>
                <w:highlight w:val="none"/>
              </w:rPr>
            </w:pPr>
          </w:p>
        </w:tc>
        <w:tc>
          <w:tcPr>
            <w:tcW w:w="2599" w:type="dxa"/>
            <w:noWrap/>
            <w:vAlign w:val="center"/>
          </w:tcPr>
          <w:p w14:paraId="18F0B5B0">
            <w:pPr>
              <w:pStyle w:val="13"/>
              <w:bidi w:val="0"/>
              <w:rPr>
                <w:rFonts w:hint="eastAsia" w:ascii="宋体" w:hAnsi="宋体" w:eastAsia="宋体" w:cs="宋体"/>
                <w:color w:val="auto"/>
                <w:highlight w:val="none"/>
              </w:rPr>
            </w:pPr>
          </w:p>
        </w:tc>
        <w:tc>
          <w:tcPr>
            <w:tcW w:w="852" w:type="dxa"/>
            <w:noWrap/>
            <w:vAlign w:val="center"/>
          </w:tcPr>
          <w:p w14:paraId="17E3554E">
            <w:pPr>
              <w:pStyle w:val="13"/>
              <w:bidi w:val="0"/>
              <w:rPr>
                <w:rFonts w:hint="eastAsia" w:ascii="宋体" w:hAnsi="宋体" w:eastAsia="宋体" w:cs="宋体"/>
                <w:color w:val="auto"/>
                <w:highlight w:val="none"/>
              </w:rPr>
            </w:pPr>
          </w:p>
        </w:tc>
        <w:tc>
          <w:tcPr>
            <w:tcW w:w="1160" w:type="dxa"/>
            <w:noWrap/>
            <w:vAlign w:val="center"/>
          </w:tcPr>
          <w:p w14:paraId="0C46BAAA">
            <w:pPr>
              <w:pStyle w:val="13"/>
              <w:bidi w:val="0"/>
              <w:rPr>
                <w:rFonts w:hint="eastAsia" w:ascii="宋体" w:hAnsi="宋体" w:eastAsia="宋体" w:cs="宋体"/>
                <w:color w:val="auto"/>
                <w:highlight w:val="none"/>
              </w:rPr>
            </w:pPr>
          </w:p>
        </w:tc>
      </w:tr>
      <w:tr w14:paraId="45A9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4A843861">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647" w:type="dxa"/>
            <w:noWrap/>
            <w:vAlign w:val="center"/>
          </w:tcPr>
          <w:p w14:paraId="13E0BE59">
            <w:pPr>
              <w:pStyle w:val="13"/>
              <w:bidi w:val="0"/>
              <w:rPr>
                <w:rFonts w:hint="eastAsia" w:ascii="宋体" w:hAnsi="宋体" w:eastAsia="宋体" w:cs="宋体"/>
                <w:color w:val="auto"/>
                <w:highlight w:val="none"/>
              </w:rPr>
            </w:pPr>
          </w:p>
        </w:tc>
        <w:tc>
          <w:tcPr>
            <w:tcW w:w="2599" w:type="dxa"/>
            <w:noWrap/>
            <w:vAlign w:val="center"/>
          </w:tcPr>
          <w:p w14:paraId="4456096D">
            <w:pPr>
              <w:pStyle w:val="13"/>
              <w:bidi w:val="0"/>
              <w:rPr>
                <w:rFonts w:hint="eastAsia" w:ascii="宋体" w:hAnsi="宋体" w:eastAsia="宋体" w:cs="宋体"/>
                <w:color w:val="auto"/>
                <w:highlight w:val="none"/>
              </w:rPr>
            </w:pPr>
          </w:p>
        </w:tc>
        <w:tc>
          <w:tcPr>
            <w:tcW w:w="852" w:type="dxa"/>
            <w:noWrap/>
            <w:vAlign w:val="center"/>
          </w:tcPr>
          <w:p w14:paraId="32A445CC">
            <w:pPr>
              <w:pStyle w:val="13"/>
              <w:bidi w:val="0"/>
              <w:rPr>
                <w:rFonts w:hint="eastAsia" w:ascii="宋体" w:hAnsi="宋体" w:eastAsia="宋体" w:cs="宋体"/>
                <w:color w:val="auto"/>
                <w:highlight w:val="none"/>
              </w:rPr>
            </w:pPr>
          </w:p>
        </w:tc>
        <w:tc>
          <w:tcPr>
            <w:tcW w:w="1160" w:type="dxa"/>
            <w:noWrap/>
            <w:vAlign w:val="center"/>
          </w:tcPr>
          <w:p w14:paraId="4DFA6D84">
            <w:pPr>
              <w:pStyle w:val="13"/>
              <w:bidi w:val="0"/>
              <w:rPr>
                <w:rFonts w:hint="eastAsia" w:ascii="宋体" w:hAnsi="宋体" w:eastAsia="宋体" w:cs="宋体"/>
                <w:color w:val="auto"/>
                <w:highlight w:val="none"/>
              </w:rPr>
            </w:pPr>
          </w:p>
        </w:tc>
      </w:tr>
      <w:tr w14:paraId="56F8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39" w:type="dxa"/>
            <w:noWrap/>
            <w:vAlign w:val="center"/>
          </w:tcPr>
          <w:p w14:paraId="4102B8D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47" w:type="dxa"/>
            <w:noWrap/>
            <w:vAlign w:val="center"/>
          </w:tcPr>
          <w:p w14:paraId="12917A52">
            <w:pPr>
              <w:pStyle w:val="13"/>
              <w:bidi w:val="0"/>
              <w:rPr>
                <w:rFonts w:hint="eastAsia" w:ascii="宋体" w:hAnsi="宋体" w:eastAsia="宋体" w:cs="宋体"/>
                <w:color w:val="auto"/>
                <w:highlight w:val="none"/>
              </w:rPr>
            </w:pPr>
          </w:p>
        </w:tc>
        <w:tc>
          <w:tcPr>
            <w:tcW w:w="2599" w:type="dxa"/>
            <w:noWrap/>
            <w:vAlign w:val="center"/>
          </w:tcPr>
          <w:p w14:paraId="5B3A7D4A">
            <w:pPr>
              <w:pStyle w:val="13"/>
              <w:bidi w:val="0"/>
              <w:rPr>
                <w:rFonts w:hint="eastAsia" w:ascii="宋体" w:hAnsi="宋体" w:eastAsia="宋体" w:cs="宋体"/>
                <w:color w:val="auto"/>
                <w:highlight w:val="none"/>
              </w:rPr>
            </w:pPr>
          </w:p>
        </w:tc>
        <w:tc>
          <w:tcPr>
            <w:tcW w:w="852" w:type="dxa"/>
            <w:noWrap/>
            <w:vAlign w:val="center"/>
          </w:tcPr>
          <w:p w14:paraId="0B16C9B7">
            <w:pPr>
              <w:pStyle w:val="13"/>
              <w:bidi w:val="0"/>
              <w:rPr>
                <w:rFonts w:hint="eastAsia" w:ascii="宋体" w:hAnsi="宋体" w:eastAsia="宋体" w:cs="宋体"/>
                <w:color w:val="auto"/>
                <w:highlight w:val="none"/>
              </w:rPr>
            </w:pPr>
          </w:p>
        </w:tc>
        <w:tc>
          <w:tcPr>
            <w:tcW w:w="1160" w:type="dxa"/>
            <w:noWrap/>
            <w:vAlign w:val="center"/>
          </w:tcPr>
          <w:p w14:paraId="2CD5F6D2">
            <w:pPr>
              <w:pStyle w:val="13"/>
              <w:bidi w:val="0"/>
              <w:rPr>
                <w:rFonts w:hint="eastAsia" w:ascii="宋体" w:hAnsi="宋体" w:eastAsia="宋体" w:cs="宋体"/>
                <w:color w:val="auto"/>
                <w:highlight w:val="none"/>
              </w:rPr>
            </w:pPr>
          </w:p>
        </w:tc>
      </w:tr>
    </w:tbl>
    <w:p w14:paraId="16FEC579">
      <w:pPr>
        <w:bidi w:val="0"/>
        <w:rPr>
          <w:rFonts w:hint="eastAsia" w:ascii="宋体" w:hAnsi="宋体" w:eastAsia="宋体" w:cs="宋体"/>
          <w:color w:val="auto"/>
          <w:highlight w:val="none"/>
        </w:rPr>
      </w:pPr>
    </w:p>
    <w:p w14:paraId="3AE053C1">
      <w:pPr>
        <w:bidi w:val="0"/>
        <w:rPr>
          <w:rFonts w:hint="eastAsia" w:ascii="宋体" w:hAnsi="宋体" w:eastAsia="宋体" w:cs="宋体"/>
          <w:color w:val="auto"/>
          <w:highlight w:val="none"/>
        </w:rPr>
      </w:pPr>
      <w:r>
        <w:rPr>
          <w:rFonts w:hint="eastAsia" w:ascii="宋体" w:hAnsi="宋体" w:eastAsia="宋体" w:cs="宋体"/>
          <w:color w:val="auto"/>
          <w:highlight w:val="none"/>
        </w:rPr>
        <w:t>说明：此表应根据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第六部分 </w:t>
      </w:r>
      <w:r>
        <w:rPr>
          <w:rFonts w:hint="eastAsia" w:ascii="宋体" w:hAnsi="宋体" w:eastAsia="宋体" w:cs="宋体"/>
          <w:color w:val="auto"/>
          <w:highlight w:val="none"/>
        </w:rPr>
        <w:t>磋商及采购项目</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中的商务要求填写，若全部无偏离的，则标明所有商务条款无偏离；若有偏离的则需逐项说明。</w:t>
      </w:r>
    </w:p>
    <w:p w14:paraId="5DF42904">
      <w:pPr>
        <w:bidi w:val="0"/>
        <w:rPr>
          <w:rFonts w:hint="eastAsia" w:ascii="宋体" w:hAnsi="宋体" w:eastAsia="宋体" w:cs="宋体"/>
          <w:color w:val="auto"/>
          <w:highlight w:val="none"/>
        </w:rPr>
      </w:pPr>
    </w:p>
    <w:p w14:paraId="02A7F93B">
      <w:pPr>
        <w:bidi w:val="0"/>
        <w:rPr>
          <w:rFonts w:hint="eastAsia" w:ascii="宋体" w:hAnsi="宋体" w:eastAsia="宋体" w:cs="宋体"/>
          <w:color w:val="auto"/>
          <w:highlight w:val="none"/>
        </w:rPr>
      </w:pPr>
    </w:p>
    <w:p w14:paraId="6E86E52C">
      <w:pPr>
        <w:bidi w:val="0"/>
        <w:rPr>
          <w:rFonts w:hint="eastAsia" w:ascii="宋体" w:hAnsi="宋体" w:eastAsia="宋体" w:cs="宋体"/>
          <w:color w:val="auto"/>
          <w:highlight w:val="none"/>
        </w:rPr>
      </w:pPr>
    </w:p>
    <w:p w14:paraId="4333E326">
      <w:pPr>
        <w:bidi w:val="0"/>
        <w:rPr>
          <w:rFonts w:hint="eastAsia" w:ascii="宋体" w:hAnsi="宋体" w:eastAsia="宋体" w:cs="宋体"/>
          <w:color w:val="auto"/>
          <w:highlight w:val="none"/>
        </w:rPr>
      </w:pPr>
    </w:p>
    <w:p w14:paraId="67DC039F">
      <w:pPr>
        <w:bidi w:val="0"/>
        <w:rPr>
          <w:rFonts w:hint="eastAsia" w:ascii="宋体" w:hAnsi="宋体" w:eastAsia="宋体" w:cs="宋体"/>
          <w:color w:val="auto"/>
          <w:highlight w:val="none"/>
        </w:rPr>
      </w:pPr>
    </w:p>
    <w:p w14:paraId="59FD71A5">
      <w:pPr>
        <w:bidi w:val="0"/>
        <w:rPr>
          <w:rFonts w:hint="eastAsia" w:ascii="宋体" w:hAnsi="宋体" w:eastAsia="宋体" w:cs="宋体"/>
          <w:color w:val="auto"/>
          <w:highlight w:val="none"/>
        </w:rPr>
      </w:pPr>
    </w:p>
    <w:p w14:paraId="4A8B1891">
      <w:pPr>
        <w:bidi w:val="0"/>
        <w:rPr>
          <w:rFonts w:hint="eastAsia" w:ascii="宋体" w:hAnsi="宋体" w:eastAsia="宋体" w:cs="宋体"/>
          <w:color w:val="auto"/>
          <w:highlight w:val="none"/>
        </w:rPr>
      </w:pPr>
    </w:p>
    <w:p w14:paraId="66192B73">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535A389A">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77779A7C">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7C7B92F6">
      <w:pPr>
        <w:bidi w:val="0"/>
        <w:rPr>
          <w:rFonts w:hint="eastAsia" w:ascii="宋体" w:hAnsi="宋体" w:eastAsia="宋体" w:cs="宋体"/>
          <w:color w:val="auto"/>
          <w:highlight w:val="none"/>
        </w:rPr>
      </w:pPr>
    </w:p>
    <w:p w14:paraId="771DFAAE">
      <w:pPr>
        <w:bidi w:val="0"/>
        <w:rPr>
          <w:rFonts w:hint="eastAsia" w:ascii="宋体" w:hAnsi="宋体" w:eastAsia="宋体" w:cs="宋体"/>
          <w:color w:val="auto"/>
          <w:highlight w:val="none"/>
        </w:rPr>
      </w:pPr>
    </w:p>
    <w:p w14:paraId="38B4EFCE">
      <w:pPr>
        <w:bidi w:val="0"/>
        <w:rPr>
          <w:rFonts w:hint="eastAsia" w:ascii="宋体" w:hAnsi="宋体" w:eastAsia="宋体" w:cs="宋体"/>
          <w:color w:val="auto"/>
          <w:highlight w:val="none"/>
        </w:rPr>
      </w:pPr>
    </w:p>
    <w:p w14:paraId="25FB08C0">
      <w:pPr>
        <w:rPr>
          <w:rFonts w:hint="eastAsia" w:ascii="宋体" w:hAnsi="宋体" w:eastAsia="宋体" w:cs="宋体"/>
          <w:color w:val="auto"/>
          <w:sz w:val="28"/>
          <w:szCs w:val="28"/>
          <w:highlight w:val="none"/>
        </w:rPr>
      </w:pPr>
      <w:bookmarkStart w:id="138" w:name="_Toc31923"/>
    </w:p>
    <w:p w14:paraId="6E6ABB32">
      <w:pPr>
        <w:pStyle w:val="5"/>
        <w:bidi w:val="0"/>
        <w:jc w:val="both"/>
        <w:rPr>
          <w:rFonts w:hint="eastAsia" w:ascii="宋体" w:hAnsi="宋体" w:eastAsia="宋体" w:cs="宋体"/>
          <w:color w:val="auto"/>
          <w:highlight w:val="none"/>
        </w:rPr>
      </w:pPr>
      <w:bookmarkStart w:id="139" w:name="_Toc21630"/>
      <w:r>
        <w:rPr>
          <w:rFonts w:hint="eastAsia" w:ascii="宋体" w:hAnsi="宋体" w:eastAsia="宋体" w:cs="宋体"/>
          <w:color w:val="auto"/>
          <w:highlight w:val="none"/>
        </w:rPr>
        <w:t>附件</w:t>
      </w:r>
      <w:bookmarkStart w:id="140" w:name="_Toc325726043"/>
      <w:bookmarkStart w:id="141" w:name="_Toc376936774"/>
      <w:bookmarkStart w:id="142" w:name="_Toc376936773"/>
      <w:bookmarkStart w:id="143" w:name="_Toc325726042"/>
      <w:r>
        <w:rPr>
          <w:rFonts w:hint="eastAsia" w:ascii="宋体" w:hAnsi="宋体" w:eastAsia="宋体" w:cs="宋体"/>
          <w:color w:val="auto"/>
          <w:highlight w:val="none"/>
        </w:rPr>
        <w:t>7：法定代表人证明书</w:t>
      </w:r>
      <w:bookmarkEnd w:id="138"/>
      <w:bookmarkEnd w:id="139"/>
      <w:bookmarkEnd w:id="140"/>
      <w:bookmarkEnd w:id="141"/>
    </w:p>
    <w:p w14:paraId="7FFA9487">
      <w:pPr>
        <w:bidi w:val="0"/>
        <w:rPr>
          <w:rFonts w:hint="eastAsia" w:ascii="宋体" w:hAnsi="宋体" w:eastAsia="宋体" w:cs="宋体"/>
          <w:color w:val="auto"/>
          <w:highlight w:val="none"/>
        </w:rPr>
      </w:pPr>
    </w:p>
    <w:p w14:paraId="01F7E054">
      <w:pPr>
        <w:bidi w:val="0"/>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lang w:val="zh-CN"/>
        </w:rPr>
        <w:t>法定代表人证明书</w:t>
      </w:r>
    </w:p>
    <w:bookmarkEnd w:id="142"/>
    <w:bookmarkEnd w:id="143"/>
    <w:p w14:paraId="7CAE9403">
      <w:pPr>
        <w:bidi w:val="0"/>
        <w:ind w:left="0" w:leftChars="0" w:firstLine="0" w:firstLineChars="0"/>
        <w:rPr>
          <w:rFonts w:hint="eastAsia" w:ascii="宋体" w:hAnsi="宋体" w:eastAsia="宋体" w:cs="宋体"/>
          <w:b/>
          <w:bCs/>
          <w:color w:val="auto"/>
          <w:highlight w:val="none"/>
        </w:rPr>
      </w:pPr>
      <w:bookmarkStart w:id="144" w:name="_Toc324756736"/>
      <w:bookmarkStart w:id="145" w:name="_Toc201287639"/>
      <w:r>
        <w:rPr>
          <w:rFonts w:hint="eastAsia" w:ascii="宋体" w:hAnsi="宋体" w:eastAsia="宋体" w:cs="宋体"/>
          <w:b/>
          <w:bCs/>
          <w:color w:val="auto"/>
          <w:highlight w:val="none"/>
        </w:rPr>
        <w:t>致：青海联祥招标代理有限公司</w:t>
      </w:r>
    </w:p>
    <w:p w14:paraId="557C3928">
      <w:pPr>
        <w:bidi w:val="0"/>
        <w:rPr>
          <w:rFonts w:hint="eastAsia" w:ascii="宋体" w:hAnsi="宋体" w:eastAsia="宋体" w:cs="宋体"/>
          <w:color w:val="auto"/>
          <w:highlight w:val="none"/>
          <w:lang w:val="zh-CN"/>
        </w:rPr>
      </w:pPr>
    </w:p>
    <w:p w14:paraId="42FE8EAB">
      <w:pPr>
        <w:bidi w:val="0"/>
        <w:rPr>
          <w:rFonts w:hint="eastAsia" w:ascii="宋体" w:hAnsi="宋体" w:eastAsia="宋体" w:cs="宋体"/>
          <w:color w:val="auto"/>
          <w:highlight w:val="none"/>
          <w:lang w:val="zh-CN"/>
        </w:rPr>
      </w:pPr>
      <w:r>
        <w:rPr>
          <w:rFonts w:hint="eastAsia" w:ascii="宋体" w:hAnsi="宋体" w:eastAsia="宋体" w:cs="宋体"/>
          <w:color w:val="auto"/>
          <w:highlight w:val="none"/>
          <w:u w:val="single"/>
          <w:lang w:val="zh-CN"/>
        </w:rPr>
        <w:t>（法定代表人姓名）</w:t>
      </w:r>
      <w:r>
        <w:rPr>
          <w:rFonts w:hint="eastAsia" w:ascii="宋体" w:hAnsi="宋体" w:eastAsia="宋体" w:cs="宋体"/>
          <w:color w:val="auto"/>
          <w:highlight w:val="none"/>
          <w:lang w:val="zh-CN"/>
        </w:rPr>
        <w:t>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zh-CN"/>
        </w:rPr>
        <w:t>职务，为法定代表人，特此证明。</w:t>
      </w:r>
    </w:p>
    <w:p w14:paraId="3AD0FC5F">
      <w:pPr>
        <w:bidi w:val="0"/>
        <w:rPr>
          <w:rFonts w:hint="eastAsia" w:ascii="宋体" w:hAnsi="宋体" w:eastAsia="宋体" w:cs="宋体"/>
          <w:color w:val="auto"/>
          <w:highlight w:val="none"/>
          <w:lang w:val="zh-CN"/>
        </w:rPr>
      </w:pPr>
    </w:p>
    <w:p w14:paraId="65F6E76A">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法定代表人基本情况：</w:t>
      </w:r>
    </w:p>
    <w:p w14:paraId="69C8825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性别：                  年龄：                民族：</w:t>
      </w:r>
      <w:r>
        <w:rPr>
          <w:rFonts w:hint="eastAsia" w:ascii="宋体" w:hAnsi="宋体" w:eastAsia="宋体" w:cs="宋体"/>
          <w:color w:val="auto"/>
          <w:highlight w:val="none"/>
          <w:lang w:val="en-US" w:eastAsia="zh-CN"/>
        </w:rPr>
        <w:t xml:space="preserve">  </w:t>
      </w:r>
    </w:p>
    <w:p w14:paraId="449589C2">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地址：</w:t>
      </w:r>
    </w:p>
    <w:p w14:paraId="674E9583">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身份证号码：</w:t>
      </w:r>
    </w:p>
    <w:p w14:paraId="38195DCB">
      <w:pPr>
        <w:bidi w:val="0"/>
        <w:rPr>
          <w:rFonts w:hint="eastAsia" w:ascii="宋体" w:hAnsi="宋体" w:eastAsia="宋体" w:cs="宋体"/>
          <w:color w:val="auto"/>
          <w:highlight w:val="none"/>
          <w:lang w:val="zh-CN"/>
        </w:rPr>
      </w:pPr>
    </w:p>
    <w:p w14:paraId="119DECE4">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附法定代表人第二代身份证双面扫描（或复印）件</w:t>
      </w:r>
    </w:p>
    <w:p w14:paraId="3FA41839">
      <w:pPr>
        <w:bidi w:val="0"/>
        <w:rPr>
          <w:rFonts w:hint="eastAsia" w:ascii="宋体" w:hAnsi="宋体" w:eastAsia="宋体" w:cs="宋体"/>
          <w:color w:val="auto"/>
          <w:highlight w:val="none"/>
          <w:lang w:val="zh-CN"/>
        </w:rPr>
      </w:pPr>
    </w:p>
    <w:p w14:paraId="6C890C49">
      <w:pPr>
        <w:bidi w:val="0"/>
        <w:rPr>
          <w:rFonts w:hint="eastAsia" w:ascii="宋体" w:hAnsi="宋体" w:eastAsia="宋体" w:cs="宋体"/>
          <w:color w:val="auto"/>
          <w:highlight w:val="none"/>
          <w:lang w:val="zh-CN"/>
        </w:rPr>
      </w:pPr>
    </w:p>
    <w:p w14:paraId="44F330B5">
      <w:pPr>
        <w:bidi w:val="0"/>
        <w:rPr>
          <w:rFonts w:hint="eastAsia" w:ascii="宋体" w:hAnsi="宋体" w:eastAsia="宋体" w:cs="宋体"/>
          <w:color w:val="auto"/>
          <w:highlight w:val="none"/>
          <w:lang w:val="zh-CN"/>
        </w:rPr>
      </w:pPr>
    </w:p>
    <w:p w14:paraId="39A108C8">
      <w:pPr>
        <w:bidi w:val="0"/>
        <w:rPr>
          <w:rFonts w:hint="eastAsia" w:ascii="宋体" w:hAnsi="宋体" w:eastAsia="宋体" w:cs="宋体"/>
          <w:color w:val="auto"/>
          <w:highlight w:val="none"/>
          <w:lang w:val="zh-CN"/>
        </w:rPr>
      </w:pPr>
    </w:p>
    <w:p w14:paraId="397D7206">
      <w:pPr>
        <w:bidi w:val="0"/>
        <w:rPr>
          <w:rFonts w:hint="eastAsia" w:ascii="宋体" w:hAnsi="宋体" w:eastAsia="宋体" w:cs="宋体"/>
          <w:color w:val="auto"/>
          <w:highlight w:val="none"/>
          <w:lang w:val="zh-CN"/>
        </w:rPr>
      </w:pPr>
    </w:p>
    <w:p w14:paraId="6B735ED2">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245C7FE7">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62D3A053">
      <w:pPr>
        <w:bidi w:val="0"/>
        <w:rPr>
          <w:rFonts w:hint="eastAsia" w:ascii="宋体" w:hAnsi="宋体" w:eastAsia="宋体" w:cs="宋体"/>
          <w:color w:val="auto"/>
          <w:highlight w:val="none"/>
        </w:rPr>
      </w:pPr>
    </w:p>
    <w:p w14:paraId="0008A68B">
      <w:pPr>
        <w:bidi w:val="0"/>
        <w:rPr>
          <w:rFonts w:hint="eastAsia" w:ascii="宋体" w:hAnsi="宋体" w:eastAsia="宋体" w:cs="宋体"/>
          <w:color w:val="auto"/>
          <w:highlight w:val="none"/>
        </w:rPr>
      </w:pPr>
    </w:p>
    <w:p w14:paraId="279F9B80">
      <w:pPr>
        <w:bidi w:val="0"/>
        <w:rPr>
          <w:rFonts w:hint="eastAsia" w:ascii="宋体" w:hAnsi="宋体" w:eastAsia="宋体" w:cs="宋体"/>
          <w:color w:val="auto"/>
          <w:highlight w:val="none"/>
        </w:rPr>
      </w:pPr>
    </w:p>
    <w:p w14:paraId="51435ADF">
      <w:pPr>
        <w:bidi w:val="0"/>
        <w:rPr>
          <w:rFonts w:hint="eastAsia" w:ascii="宋体" w:hAnsi="宋体" w:eastAsia="宋体" w:cs="宋体"/>
          <w:color w:val="auto"/>
          <w:highlight w:val="none"/>
        </w:rPr>
      </w:pPr>
    </w:p>
    <w:p w14:paraId="1E0FA2F7">
      <w:pPr>
        <w:bidi w:val="0"/>
        <w:rPr>
          <w:rFonts w:hint="eastAsia" w:ascii="宋体" w:hAnsi="宋体" w:eastAsia="宋体" w:cs="宋体"/>
          <w:color w:val="auto"/>
          <w:highlight w:val="none"/>
        </w:rPr>
      </w:pPr>
    </w:p>
    <w:p w14:paraId="1B9B1740">
      <w:pPr>
        <w:bidi w:val="0"/>
        <w:rPr>
          <w:rFonts w:hint="eastAsia" w:ascii="宋体" w:hAnsi="宋体" w:eastAsia="宋体" w:cs="宋体"/>
          <w:color w:val="auto"/>
          <w:highlight w:val="none"/>
        </w:rPr>
      </w:pPr>
    </w:p>
    <w:p w14:paraId="6AB7FBC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B7711F5">
      <w:pPr>
        <w:pStyle w:val="5"/>
        <w:bidi w:val="0"/>
        <w:jc w:val="both"/>
        <w:rPr>
          <w:rFonts w:hint="eastAsia" w:ascii="宋体" w:hAnsi="宋体" w:eastAsia="宋体" w:cs="宋体"/>
          <w:color w:val="auto"/>
          <w:highlight w:val="none"/>
        </w:rPr>
      </w:pPr>
      <w:bookmarkStart w:id="146" w:name="_Toc7198"/>
      <w:r>
        <w:rPr>
          <w:rFonts w:hint="eastAsia" w:ascii="宋体" w:hAnsi="宋体" w:eastAsia="宋体" w:cs="宋体"/>
          <w:color w:val="auto"/>
          <w:highlight w:val="none"/>
        </w:rPr>
        <w:t>附件</w:t>
      </w:r>
      <w:bookmarkEnd w:id="144"/>
      <w:bookmarkEnd w:id="145"/>
      <w:r>
        <w:rPr>
          <w:rFonts w:hint="eastAsia" w:ascii="宋体" w:hAnsi="宋体" w:eastAsia="宋体" w:cs="宋体"/>
          <w:color w:val="auto"/>
          <w:highlight w:val="none"/>
        </w:rPr>
        <w:t>8：法定代表人授权书</w:t>
      </w:r>
      <w:bookmarkEnd w:id="146"/>
    </w:p>
    <w:p w14:paraId="3102DA7E">
      <w:pPr>
        <w:bidi w:val="0"/>
        <w:rPr>
          <w:rFonts w:hint="eastAsia" w:ascii="宋体" w:hAnsi="宋体" w:eastAsia="宋体" w:cs="宋体"/>
          <w:color w:val="auto"/>
          <w:highlight w:val="none"/>
          <w:lang w:val="zh-CN"/>
        </w:rPr>
      </w:pPr>
    </w:p>
    <w:p w14:paraId="26B8FEB3">
      <w:pPr>
        <w:bidi w:val="0"/>
        <w:ind w:left="0" w:leftChars="0" w:firstLine="0" w:firstLineChars="0"/>
        <w:jc w:val="center"/>
        <w:rPr>
          <w:rFonts w:hint="eastAsia" w:ascii="宋体" w:hAnsi="宋体" w:eastAsia="宋体" w:cs="宋体"/>
          <w:color w:val="auto"/>
          <w:highlight w:val="none"/>
        </w:rPr>
      </w:pPr>
      <w:bookmarkStart w:id="147" w:name="_Toc25817"/>
      <w:r>
        <w:rPr>
          <w:rFonts w:hint="eastAsia" w:ascii="宋体" w:hAnsi="宋体" w:eastAsia="宋体" w:cs="宋体"/>
          <w:b/>
          <w:bCs/>
          <w:color w:val="auto"/>
          <w:sz w:val="32"/>
          <w:szCs w:val="32"/>
          <w:highlight w:val="none"/>
          <w:lang w:val="zh-CN"/>
        </w:rPr>
        <w:t>法定代表人授权书</w:t>
      </w:r>
    </w:p>
    <w:p w14:paraId="5E056923">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致：青海联祥招标代理有限公司</w:t>
      </w:r>
    </w:p>
    <w:p w14:paraId="03120C01">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供应商</w:t>
      </w:r>
      <w:r>
        <w:rPr>
          <w:rFonts w:hint="eastAsia" w:ascii="宋体" w:hAnsi="宋体" w:eastAsia="宋体" w:cs="宋体"/>
          <w:color w:val="auto"/>
          <w:highlight w:val="none"/>
          <w:u w:val="single"/>
        </w:rPr>
        <w:t xml:space="preserve">名称）  </w:t>
      </w:r>
      <w:r>
        <w:rPr>
          <w:rFonts w:hint="eastAsia" w:ascii="宋体" w:hAnsi="宋体" w:eastAsia="宋体" w:cs="宋体"/>
          <w:color w:val="auto"/>
          <w:highlight w:val="none"/>
        </w:rPr>
        <w:t>系中华人民共和国合法企业，法定地址：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C14B4D9">
      <w:pPr>
        <w:bidi w:val="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（法定代表人姓名）  </w:t>
      </w:r>
      <w:r>
        <w:rPr>
          <w:rFonts w:hint="eastAsia" w:ascii="宋体" w:hAnsi="宋体" w:eastAsia="宋体" w:cs="宋体"/>
          <w:color w:val="auto"/>
          <w:highlight w:val="none"/>
        </w:rPr>
        <w:t xml:space="preserve"> 特授权 </w:t>
      </w:r>
      <w:r>
        <w:rPr>
          <w:rFonts w:hint="eastAsia" w:ascii="宋体" w:hAnsi="宋体" w:eastAsia="宋体" w:cs="宋体"/>
          <w:color w:val="auto"/>
          <w:highlight w:val="none"/>
          <w:u w:val="single"/>
        </w:rPr>
        <w:t xml:space="preserve">（委托代理人姓名）  </w:t>
      </w:r>
      <w:r>
        <w:rPr>
          <w:rFonts w:hint="eastAsia" w:ascii="宋体" w:hAnsi="宋体" w:eastAsia="宋体" w:cs="宋体"/>
          <w:color w:val="auto"/>
          <w:highlight w:val="none"/>
        </w:rPr>
        <w:t>代表我单位全权办理针对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项目的投标、答疑等具体工作，并签署全部有关的文件、资料。</w:t>
      </w:r>
    </w:p>
    <w:p w14:paraId="67428974">
      <w:pPr>
        <w:bidi w:val="0"/>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我单位对被授权人的签名负全部责任。</w:t>
      </w:r>
    </w:p>
    <w:p w14:paraId="722343B8">
      <w:pPr>
        <w:bidi w:val="0"/>
        <w:rPr>
          <w:rFonts w:hint="eastAsia" w:ascii="宋体" w:hAnsi="宋体" w:eastAsia="宋体" w:cs="宋体"/>
          <w:color w:val="auto"/>
          <w:highlight w:val="none"/>
        </w:rPr>
      </w:pPr>
      <w:r>
        <w:rPr>
          <w:rFonts w:hint="eastAsia" w:ascii="宋体" w:hAnsi="宋体" w:eastAsia="宋体" w:cs="宋体"/>
          <w:color w:val="auto"/>
          <w:highlight w:val="none"/>
        </w:rPr>
        <w:t>在撤销授权的书面通知以前，本授权书一直有效，被授权人签署的所有文件（在授权书有效期内签署的）不因授权的撤销而失效。</w:t>
      </w:r>
    </w:p>
    <w:p w14:paraId="3312E4C2">
      <w:pPr>
        <w:bidi w:val="0"/>
        <w:rPr>
          <w:rFonts w:hint="eastAsia" w:ascii="宋体" w:hAnsi="宋体" w:eastAsia="宋体" w:cs="宋体"/>
          <w:color w:val="auto"/>
          <w:highlight w:val="none"/>
        </w:rPr>
      </w:pPr>
    </w:p>
    <w:p w14:paraId="2A72C681">
      <w:pPr>
        <w:bidi w:val="0"/>
        <w:rPr>
          <w:rFonts w:hint="eastAsia" w:ascii="宋体" w:hAnsi="宋体" w:eastAsia="宋体" w:cs="宋体"/>
          <w:color w:val="auto"/>
          <w:highlight w:val="none"/>
        </w:rPr>
      </w:pPr>
      <w:r>
        <w:rPr>
          <w:rFonts w:hint="eastAsia" w:ascii="宋体" w:hAnsi="宋体" w:eastAsia="宋体" w:cs="宋体"/>
          <w:color w:val="auto"/>
          <w:highlight w:val="none"/>
        </w:rPr>
        <w:t>被授权人联系电话：</w:t>
      </w:r>
    </w:p>
    <w:p w14:paraId="70180E98">
      <w:pPr>
        <w:bidi w:val="0"/>
        <w:rPr>
          <w:rFonts w:hint="eastAsia" w:ascii="宋体" w:hAnsi="宋体" w:eastAsia="宋体" w:cs="宋体"/>
          <w:color w:val="auto"/>
          <w:highlight w:val="none"/>
        </w:rPr>
      </w:pPr>
    </w:p>
    <w:p w14:paraId="0AC1C83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被授权人（委托代理人）签字或盖章：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职务：</w:t>
      </w:r>
    </w:p>
    <w:p w14:paraId="2897E7EF">
      <w:pPr>
        <w:bidi w:val="0"/>
        <w:rPr>
          <w:rFonts w:hint="eastAsia" w:ascii="宋体" w:hAnsi="宋体" w:eastAsia="宋体" w:cs="宋体"/>
          <w:color w:val="auto"/>
          <w:highlight w:val="none"/>
        </w:rPr>
      </w:pPr>
    </w:p>
    <w:p w14:paraId="5C66C2E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授权人（法定代表人）签字或盖章：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职务：</w:t>
      </w:r>
    </w:p>
    <w:p w14:paraId="0A7251E7">
      <w:pPr>
        <w:bidi w:val="0"/>
        <w:rPr>
          <w:rFonts w:hint="eastAsia" w:ascii="宋体" w:hAnsi="宋体" w:eastAsia="宋体" w:cs="宋体"/>
          <w:color w:val="auto"/>
          <w:highlight w:val="none"/>
        </w:rPr>
      </w:pPr>
    </w:p>
    <w:p w14:paraId="2497EE30">
      <w:pPr>
        <w:bidi w:val="0"/>
        <w:rPr>
          <w:rFonts w:hint="eastAsia" w:ascii="宋体" w:hAnsi="宋体" w:eastAsia="宋体" w:cs="宋体"/>
          <w:color w:val="auto"/>
          <w:highlight w:val="none"/>
        </w:rPr>
      </w:pPr>
      <w:r>
        <w:rPr>
          <w:rFonts w:hint="eastAsia" w:ascii="宋体" w:hAnsi="宋体" w:eastAsia="宋体" w:cs="宋体"/>
          <w:color w:val="auto"/>
          <w:highlight w:val="none"/>
        </w:rPr>
        <w:t>附被授权人第二代身份证双面扫描（或复印）件</w:t>
      </w:r>
    </w:p>
    <w:p w14:paraId="4950FF94">
      <w:pPr>
        <w:bidi w:val="0"/>
        <w:rPr>
          <w:rFonts w:hint="eastAsia" w:ascii="宋体" w:hAnsi="宋体" w:eastAsia="宋体" w:cs="宋体"/>
          <w:color w:val="auto"/>
          <w:highlight w:val="none"/>
        </w:rPr>
      </w:pPr>
    </w:p>
    <w:p w14:paraId="1E18CB94">
      <w:pPr>
        <w:bidi w:val="0"/>
        <w:rPr>
          <w:rFonts w:hint="eastAsia" w:ascii="宋体" w:hAnsi="宋体" w:eastAsia="宋体" w:cs="宋体"/>
          <w:color w:val="auto"/>
          <w:highlight w:val="none"/>
          <w:lang w:val="zh-CN"/>
        </w:rPr>
      </w:pPr>
    </w:p>
    <w:p w14:paraId="2A9FEE92">
      <w:pPr>
        <w:bidi w:val="0"/>
        <w:rPr>
          <w:rFonts w:hint="eastAsia" w:ascii="宋体" w:hAnsi="宋体" w:eastAsia="宋体" w:cs="宋体"/>
          <w:color w:val="auto"/>
          <w:highlight w:val="none"/>
          <w:lang w:val="zh-CN"/>
        </w:rPr>
      </w:pPr>
    </w:p>
    <w:p w14:paraId="7866471C">
      <w:pPr>
        <w:bidi w:val="0"/>
        <w:rPr>
          <w:rFonts w:hint="eastAsia" w:ascii="宋体" w:hAnsi="宋体" w:eastAsia="宋体" w:cs="宋体"/>
          <w:color w:val="auto"/>
          <w:highlight w:val="none"/>
          <w:lang w:val="zh-CN"/>
        </w:rPr>
      </w:pPr>
    </w:p>
    <w:p w14:paraId="35C9032C">
      <w:pPr>
        <w:bidi w:val="0"/>
        <w:rPr>
          <w:rFonts w:hint="eastAsia" w:ascii="宋体" w:hAnsi="宋体" w:eastAsia="宋体" w:cs="宋体"/>
          <w:color w:val="auto"/>
          <w:highlight w:val="none"/>
          <w:lang w:val="zh-CN"/>
        </w:rPr>
      </w:pPr>
    </w:p>
    <w:p w14:paraId="26AF15D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2D2903D3">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1DAFCB65">
      <w:pPr>
        <w:bidi w:val="0"/>
        <w:rPr>
          <w:rFonts w:hint="eastAsia" w:ascii="宋体" w:hAnsi="宋体" w:eastAsia="宋体" w:cs="宋体"/>
          <w:color w:val="auto"/>
          <w:highlight w:val="none"/>
          <w:lang w:val="zh-CN"/>
        </w:rPr>
      </w:pPr>
    </w:p>
    <w:p w14:paraId="75323C2E">
      <w:pPr>
        <w:bidi w:val="0"/>
        <w:rPr>
          <w:rFonts w:hint="eastAsia" w:ascii="宋体" w:hAnsi="宋体" w:eastAsia="宋体" w:cs="宋体"/>
          <w:color w:val="auto"/>
          <w:highlight w:val="none"/>
          <w:lang w:val="zh-CN"/>
        </w:rPr>
      </w:pPr>
    </w:p>
    <w:p w14:paraId="1AA24355">
      <w:pPr>
        <w:bidi w:val="0"/>
        <w:rPr>
          <w:rFonts w:hint="eastAsia" w:ascii="宋体" w:hAnsi="宋体" w:eastAsia="宋体" w:cs="宋体"/>
          <w:color w:val="auto"/>
          <w:highlight w:val="none"/>
        </w:rPr>
      </w:pPr>
    </w:p>
    <w:p w14:paraId="6292A470">
      <w:pPr>
        <w:pStyle w:val="5"/>
        <w:bidi w:val="0"/>
        <w:jc w:val="both"/>
        <w:rPr>
          <w:rFonts w:hint="eastAsia" w:ascii="宋体" w:hAnsi="宋体" w:eastAsia="宋体" w:cs="宋体"/>
          <w:color w:val="auto"/>
          <w:highlight w:val="none"/>
        </w:rPr>
      </w:pPr>
      <w:bookmarkStart w:id="148" w:name="_Toc27956"/>
      <w:r>
        <w:rPr>
          <w:rFonts w:hint="eastAsia" w:ascii="宋体" w:hAnsi="宋体" w:eastAsia="宋体" w:cs="宋体"/>
          <w:color w:val="auto"/>
          <w:highlight w:val="none"/>
        </w:rPr>
        <w:t>附件9：供应商承诺函</w:t>
      </w:r>
      <w:bookmarkEnd w:id="147"/>
      <w:bookmarkEnd w:id="148"/>
    </w:p>
    <w:p w14:paraId="675A83A3">
      <w:pPr>
        <w:bidi w:val="0"/>
        <w:rPr>
          <w:rFonts w:hint="eastAsia" w:ascii="宋体" w:hAnsi="宋体" w:eastAsia="宋体" w:cs="宋体"/>
          <w:color w:val="auto"/>
          <w:highlight w:val="none"/>
        </w:rPr>
      </w:pPr>
    </w:p>
    <w:p w14:paraId="290B610F">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供应商承诺函</w:t>
      </w:r>
    </w:p>
    <w:p w14:paraId="1105372F">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致：青海联祥招标代理有限公司</w:t>
      </w:r>
    </w:p>
    <w:p w14:paraId="6787F0CB">
      <w:pPr>
        <w:bidi w:val="0"/>
        <w:rPr>
          <w:rFonts w:hint="eastAsia" w:ascii="宋体" w:hAnsi="宋体" w:eastAsia="宋体" w:cs="宋体"/>
          <w:color w:val="auto"/>
          <w:highlight w:val="none"/>
        </w:rPr>
      </w:pPr>
      <w:r>
        <w:rPr>
          <w:rFonts w:hint="eastAsia" w:ascii="宋体" w:hAnsi="宋体" w:eastAsia="宋体" w:cs="宋体"/>
          <w:color w:val="auto"/>
          <w:highlight w:val="none"/>
        </w:rPr>
        <w:t>关于贵方</w:t>
      </w:r>
      <w:r>
        <w:rPr>
          <w:rFonts w:hint="eastAsia" w:ascii="宋体" w:hAnsi="宋体" w:eastAsia="宋体" w:cs="宋体"/>
          <w:color w:val="auto"/>
          <w:highlight w:val="none"/>
          <w:u w:val="single"/>
        </w:rPr>
        <w:t xml:space="preserve">   年  月  日 （项目名称） </w:t>
      </w:r>
      <w:r>
        <w:rPr>
          <w:rFonts w:hint="eastAsia" w:ascii="宋体" w:hAnsi="宋体" w:eastAsia="宋体" w:cs="宋体"/>
          <w:color w:val="auto"/>
          <w:highlight w:val="none"/>
        </w:rPr>
        <w:t>采购项目，本签字人愿意参加磋商，提供采购项目技术要求的所有服务，并证实提交的所有资料是准确的和真实的。同时，我代表</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w:t>
      </w:r>
      <w:r>
        <w:rPr>
          <w:rFonts w:hint="eastAsia" w:ascii="宋体" w:hAnsi="宋体" w:eastAsia="宋体" w:cs="宋体"/>
          <w:color w:val="auto"/>
          <w:highlight w:val="none"/>
        </w:rPr>
        <w:t>，在此作如下承诺：</w:t>
      </w:r>
    </w:p>
    <w:p w14:paraId="0993F44F">
      <w:pPr>
        <w:numPr>
          <w:ilvl w:val="0"/>
          <w:numId w:val="0"/>
        </w:numPr>
        <w:bidi w:val="0"/>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highlight w:val="none"/>
        </w:rPr>
        <w:t>完全理解和接受磋商文件的一切规定和要求；</w:t>
      </w:r>
    </w:p>
    <w:p w14:paraId="64A8B78C">
      <w:pPr>
        <w:numPr>
          <w:ilvl w:val="0"/>
          <w:numId w:val="0"/>
        </w:numPr>
        <w:bidi w:val="0"/>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104D435C">
      <w:pPr>
        <w:bidi w:val="0"/>
        <w:rPr>
          <w:rFonts w:hint="eastAsia" w:ascii="宋体" w:hAnsi="宋体" w:eastAsia="宋体" w:cs="宋体"/>
          <w:color w:val="auto"/>
          <w:highlight w:val="none"/>
        </w:rPr>
      </w:pPr>
      <w:r>
        <w:rPr>
          <w:rFonts w:hint="eastAsia" w:ascii="宋体" w:hAnsi="宋体" w:eastAsia="宋体" w:cs="宋体"/>
          <w:color w:val="auto"/>
          <w:highlight w:val="none"/>
        </w:rPr>
        <w:t>3、我方保证甲方在使用该产品或其任何一部分时，不受第三方提出的侵犯专利权、著作权、商标权和工业设计权等知识产权的起诉，若有违犯，愿承担相应的一切责任。</w:t>
      </w:r>
    </w:p>
    <w:p w14:paraId="021BA961">
      <w:pPr>
        <w:bidi w:val="0"/>
        <w:rPr>
          <w:rFonts w:hint="eastAsia" w:ascii="宋体" w:hAnsi="宋体" w:eastAsia="宋体" w:cs="宋体"/>
          <w:color w:val="auto"/>
          <w:highlight w:val="none"/>
        </w:rPr>
      </w:pPr>
      <w:r>
        <w:rPr>
          <w:rFonts w:hint="eastAsia" w:ascii="宋体" w:hAnsi="宋体" w:eastAsia="宋体" w:cs="宋体"/>
          <w:color w:val="auto"/>
          <w:highlight w:val="none"/>
        </w:rPr>
        <w:t>4、我方承诺，除招标文件中规定的进口产品外，所投的产品均为国产产品，且均符合国家强制性标准。若有不实，愿承担相应的责任。</w:t>
      </w:r>
    </w:p>
    <w:p w14:paraId="013305A3">
      <w:pPr>
        <w:bidi w:val="0"/>
        <w:rPr>
          <w:rFonts w:hint="eastAsia" w:ascii="宋体" w:hAnsi="宋体" w:eastAsia="宋体" w:cs="宋体"/>
          <w:color w:val="auto"/>
          <w:highlight w:val="none"/>
        </w:rPr>
      </w:pPr>
      <w:r>
        <w:rPr>
          <w:rFonts w:hint="eastAsia" w:ascii="宋体" w:hAnsi="宋体" w:eastAsia="宋体" w:cs="宋体"/>
          <w:color w:val="auto"/>
          <w:highlight w:val="none"/>
        </w:rPr>
        <w:t>5、针对本项目，我方承诺具备履行合同所</w:t>
      </w:r>
      <w:r>
        <w:rPr>
          <w:rFonts w:hint="eastAsia" w:ascii="宋体" w:hAnsi="宋体" w:cs="宋体"/>
          <w:color w:val="auto"/>
          <w:highlight w:val="none"/>
          <w:lang w:val="en-US" w:eastAsia="zh-CN"/>
        </w:rPr>
        <w:t>必须</w:t>
      </w:r>
      <w:r>
        <w:rPr>
          <w:rFonts w:hint="eastAsia" w:ascii="宋体" w:hAnsi="宋体" w:eastAsia="宋体" w:cs="宋体"/>
          <w:color w:val="auto"/>
          <w:highlight w:val="none"/>
        </w:rPr>
        <w:t>的设备和专业技术能力。</w:t>
      </w:r>
    </w:p>
    <w:p w14:paraId="3DF57A3F">
      <w:pPr>
        <w:bidi w:val="0"/>
        <w:rPr>
          <w:rFonts w:hint="eastAsia" w:ascii="宋体" w:hAnsi="宋体" w:eastAsia="宋体" w:cs="宋体"/>
          <w:color w:val="auto"/>
          <w:highlight w:val="none"/>
        </w:rPr>
      </w:pPr>
      <w:r>
        <w:rPr>
          <w:rFonts w:hint="eastAsia" w:ascii="宋体" w:hAnsi="宋体" w:eastAsia="宋体" w:cs="宋体"/>
          <w:color w:val="auto"/>
          <w:highlight w:val="none"/>
        </w:rPr>
        <w:t>6、在整个磋商过程中我方若有违规行为，贵方可按磋商文件之规定给予处罚，我方完全接受。</w:t>
      </w:r>
    </w:p>
    <w:p w14:paraId="56175FAA">
      <w:pPr>
        <w:bidi w:val="0"/>
        <w:rPr>
          <w:rFonts w:hint="eastAsia" w:ascii="宋体" w:hAnsi="宋体" w:eastAsia="宋体" w:cs="宋体"/>
          <w:color w:val="auto"/>
          <w:highlight w:val="none"/>
        </w:rPr>
      </w:pPr>
      <w:r>
        <w:rPr>
          <w:rFonts w:hint="eastAsia" w:ascii="宋体" w:hAnsi="宋体" w:eastAsia="宋体" w:cs="宋体"/>
          <w:color w:val="auto"/>
          <w:highlight w:val="none"/>
        </w:rPr>
        <w:t>7、若成交，本承诺将成为合同不可分割的一部分，与合同具有同等的法律效力。</w:t>
      </w:r>
    </w:p>
    <w:p w14:paraId="48604158">
      <w:pPr>
        <w:bidi w:val="0"/>
        <w:rPr>
          <w:rFonts w:hint="eastAsia" w:ascii="宋体" w:hAnsi="宋体" w:eastAsia="宋体" w:cs="宋体"/>
          <w:color w:val="auto"/>
          <w:highlight w:val="none"/>
        </w:rPr>
      </w:pPr>
    </w:p>
    <w:p w14:paraId="18896032">
      <w:pPr>
        <w:bidi w:val="0"/>
        <w:rPr>
          <w:rFonts w:hint="eastAsia" w:ascii="宋体" w:hAnsi="宋体" w:eastAsia="宋体" w:cs="宋体"/>
          <w:color w:val="auto"/>
          <w:highlight w:val="none"/>
          <w:lang w:val="zh-CN"/>
        </w:rPr>
      </w:pPr>
    </w:p>
    <w:p w14:paraId="56C79B5E">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29B197B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117B1D7A">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21C9B2F3">
      <w:pPr>
        <w:pStyle w:val="2"/>
        <w:ind w:firstLine="482"/>
        <w:rPr>
          <w:rFonts w:hint="eastAsia" w:ascii="宋体" w:hAnsi="宋体" w:eastAsia="宋体" w:cs="宋体"/>
          <w:b/>
          <w:bCs/>
          <w:color w:val="auto"/>
          <w:highlight w:val="none"/>
          <w:lang w:val="zh-CN"/>
        </w:rPr>
      </w:pPr>
    </w:p>
    <w:p w14:paraId="75E6B700">
      <w:pPr>
        <w:pStyle w:val="2"/>
        <w:ind w:firstLine="482"/>
        <w:rPr>
          <w:rFonts w:hint="eastAsia" w:ascii="宋体" w:hAnsi="宋体" w:eastAsia="宋体" w:cs="宋体"/>
          <w:b/>
          <w:bCs/>
          <w:color w:val="auto"/>
          <w:highlight w:val="none"/>
          <w:lang w:val="zh-CN"/>
        </w:rPr>
      </w:pPr>
    </w:p>
    <w:p w14:paraId="4173BD7C">
      <w:pPr>
        <w:rPr>
          <w:rFonts w:hint="eastAsia" w:ascii="宋体" w:hAnsi="宋体" w:eastAsia="宋体" w:cs="宋体"/>
          <w:b/>
          <w:bCs/>
          <w:color w:val="auto"/>
          <w:highlight w:val="none"/>
        </w:rPr>
      </w:pPr>
    </w:p>
    <w:p w14:paraId="54478155">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附件9.1：单位负责人为同一人或者存在直接控股、管理关系的不同</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rPr>
        <w:t>，不得参加同一合同项下的政府采购活动的承诺函。</w:t>
      </w:r>
    </w:p>
    <w:p w14:paraId="0235D5BD">
      <w:pPr>
        <w:bidi w:val="0"/>
        <w:rPr>
          <w:rFonts w:hint="eastAsia" w:ascii="宋体" w:hAnsi="宋体" w:eastAsia="宋体" w:cs="宋体"/>
          <w:color w:val="auto"/>
          <w:highlight w:val="none"/>
        </w:rPr>
      </w:pPr>
    </w:p>
    <w:p w14:paraId="2D3956F9">
      <w:pPr>
        <w:bidi w:val="0"/>
        <w:rPr>
          <w:rFonts w:hint="eastAsia" w:ascii="宋体" w:hAnsi="宋体" w:eastAsia="宋体" w:cs="宋体"/>
          <w:color w:val="auto"/>
          <w:highlight w:val="none"/>
        </w:rPr>
      </w:pPr>
    </w:p>
    <w:p w14:paraId="3BD282A2">
      <w:pPr>
        <w:bidi w:val="0"/>
        <w:rPr>
          <w:rFonts w:hint="eastAsia" w:ascii="宋体" w:hAnsi="宋体" w:eastAsia="宋体" w:cs="宋体"/>
          <w:color w:val="auto"/>
          <w:highlight w:val="none"/>
        </w:rPr>
      </w:pPr>
      <w:bookmarkStart w:id="149" w:name="_Toc5930"/>
      <w:bookmarkStart w:id="150" w:name="_Toc83829270"/>
      <w:bookmarkStart w:id="151" w:name="_Toc69898412"/>
      <w:bookmarkStart w:id="152" w:name="_Toc74901838"/>
      <w:r>
        <w:rPr>
          <w:rFonts w:hint="eastAsia" w:ascii="宋体" w:hAnsi="宋体" w:eastAsia="宋体" w:cs="宋体"/>
          <w:color w:val="auto"/>
          <w:highlight w:val="none"/>
        </w:rPr>
        <w:t>格式自拟。</w:t>
      </w:r>
      <w:bookmarkEnd w:id="149"/>
      <w:bookmarkEnd w:id="150"/>
      <w:bookmarkEnd w:id="151"/>
      <w:bookmarkEnd w:id="152"/>
    </w:p>
    <w:p w14:paraId="6A06A7AE">
      <w:pPr>
        <w:bidi w:val="0"/>
        <w:rPr>
          <w:rFonts w:hint="eastAsia" w:ascii="宋体" w:hAnsi="宋体" w:eastAsia="宋体" w:cs="宋体"/>
          <w:color w:val="auto"/>
          <w:highlight w:val="none"/>
        </w:rPr>
      </w:pPr>
    </w:p>
    <w:p w14:paraId="5C8DE956">
      <w:pPr>
        <w:bidi w:val="0"/>
        <w:rPr>
          <w:rFonts w:hint="eastAsia" w:ascii="宋体" w:hAnsi="宋体" w:eastAsia="宋体" w:cs="宋体"/>
          <w:color w:val="auto"/>
          <w:highlight w:val="none"/>
        </w:rPr>
      </w:pPr>
    </w:p>
    <w:p w14:paraId="184D992C">
      <w:pPr>
        <w:bidi w:val="0"/>
        <w:rPr>
          <w:rFonts w:hint="eastAsia" w:ascii="宋体" w:hAnsi="宋体" w:eastAsia="宋体" w:cs="宋体"/>
          <w:color w:val="auto"/>
          <w:highlight w:val="none"/>
        </w:rPr>
      </w:pPr>
    </w:p>
    <w:p w14:paraId="46ABBFDE">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附件9.2：为本采购项目提供整体设计、规范编制或者项目管理、监理、检测等服务的</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rPr>
        <w:t>，不得再参加该采购项目的其他采购活动的承诺函。</w:t>
      </w:r>
    </w:p>
    <w:p w14:paraId="4D1DEE32">
      <w:pPr>
        <w:bidi w:val="0"/>
        <w:rPr>
          <w:rFonts w:hint="eastAsia" w:ascii="宋体" w:hAnsi="宋体" w:eastAsia="宋体" w:cs="宋体"/>
          <w:color w:val="auto"/>
          <w:highlight w:val="none"/>
        </w:rPr>
      </w:pPr>
    </w:p>
    <w:p w14:paraId="16133845">
      <w:pPr>
        <w:bidi w:val="0"/>
        <w:rPr>
          <w:rFonts w:hint="eastAsia" w:ascii="宋体" w:hAnsi="宋体" w:eastAsia="宋体" w:cs="宋体"/>
          <w:color w:val="auto"/>
          <w:highlight w:val="none"/>
        </w:rPr>
      </w:pPr>
    </w:p>
    <w:p w14:paraId="6D2D7B9C">
      <w:pPr>
        <w:bidi w:val="0"/>
        <w:rPr>
          <w:rFonts w:hint="eastAsia" w:ascii="宋体" w:hAnsi="宋体" w:eastAsia="宋体" w:cs="宋体"/>
          <w:color w:val="auto"/>
          <w:highlight w:val="none"/>
        </w:rPr>
      </w:pPr>
      <w:r>
        <w:rPr>
          <w:rFonts w:hint="eastAsia" w:ascii="宋体" w:hAnsi="宋体" w:eastAsia="宋体" w:cs="宋体"/>
          <w:color w:val="auto"/>
          <w:highlight w:val="none"/>
        </w:rPr>
        <w:t>格式自拟。</w:t>
      </w:r>
    </w:p>
    <w:p w14:paraId="0AFA8A71">
      <w:pPr>
        <w:bidi w:val="0"/>
        <w:rPr>
          <w:rFonts w:hint="eastAsia" w:ascii="宋体" w:hAnsi="宋体" w:eastAsia="宋体" w:cs="宋体"/>
          <w:color w:val="auto"/>
          <w:highlight w:val="none"/>
        </w:rPr>
      </w:pPr>
    </w:p>
    <w:p w14:paraId="21CFDBE3">
      <w:pPr>
        <w:bidi w:val="0"/>
        <w:rPr>
          <w:rFonts w:hint="eastAsia" w:ascii="宋体" w:hAnsi="宋体" w:eastAsia="宋体" w:cs="宋体"/>
          <w:color w:val="auto"/>
          <w:highlight w:val="none"/>
        </w:rPr>
      </w:pPr>
    </w:p>
    <w:p w14:paraId="43905CAA">
      <w:pPr>
        <w:bidi w:val="0"/>
        <w:rPr>
          <w:rFonts w:hint="eastAsia" w:ascii="宋体" w:hAnsi="宋体" w:eastAsia="宋体" w:cs="宋体"/>
          <w:color w:val="auto"/>
          <w:highlight w:val="none"/>
        </w:rPr>
      </w:pPr>
    </w:p>
    <w:p w14:paraId="7EA60790">
      <w:pPr>
        <w:bidi w:val="0"/>
        <w:rPr>
          <w:rFonts w:hint="eastAsia" w:ascii="宋体" w:hAnsi="宋体" w:eastAsia="宋体" w:cs="宋体"/>
          <w:color w:val="auto"/>
          <w:highlight w:val="none"/>
        </w:rPr>
      </w:pPr>
    </w:p>
    <w:p w14:paraId="535CF5E9">
      <w:pPr>
        <w:bidi w:val="0"/>
        <w:rPr>
          <w:rFonts w:hint="eastAsia" w:ascii="宋体" w:hAnsi="宋体" w:eastAsia="宋体" w:cs="宋体"/>
          <w:color w:val="auto"/>
          <w:highlight w:val="none"/>
        </w:rPr>
      </w:pPr>
    </w:p>
    <w:p w14:paraId="38F7E71A">
      <w:pPr>
        <w:bidi w:val="0"/>
        <w:rPr>
          <w:rFonts w:hint="eastAsia" w:ascii="宋体" w:hAnsi="宋体" w:eastAsia="宋体" w:cs="宋体"/>
          <w:color w:val="auto"/>
          <w:highlight w:val="none"/>
        </w:rPr>
      </w:pPr>
      <w:bookmarkStart w:id="153" w:name="_Toc25458"/>
    </w:p>
    <w:p w14:paraId="28EA902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0C4BB1">
      <w:pPr>
        <w:pStyle w:val="5"/>
        <w:bidi w:val="0"/>
        <w:jc w:val="both"/>
        <w:rPr>
          <w:rFonts w:hint="eastAsia" w:ascii="宋体" w:hAnsi="宋体" w:eastAsia="宋体" w:cs="宋体"/>
          <w:color w:val="auto"/>
          <w:highlight w:val="none"/>
        </w:rPr>
      </w:pPr>
      <w:bookmarkStart w:id="154" w:name="_Toc28415"/>
      <w:r>
        <w:rPr>
          <w:rFonts w:hint="eastAsia" w:ascii="宋体" w:hAnsi="宋体" w:eastAsia="宋体" w:cs="宋体"/>
          <w:color w:val="auto"/>
          <w:highlight w:val="none"/>
        </w:rPr>
        <w:t>附件</w:t>
      </w:r>
      <w:bookmarkStart w:id="155" w:name="_Toc351475542"/>
      <w:bookmarkStart w:id="156" w:name="_Toc376936779"/>
      <w:bookmarkStart w:id="157" w:name="_Toc365019584"/>
      <w:r>
        <w:rPr>
          <w:rFonts w:hint="eastAsia" w:ascii="宋体" w:hAnsi="宋体" w:eastAsia="宋体" w:cs="宋体"/>
          <w:color w:val="auto"/>
          <w:highlight w:val="none"/>
        </w:rPr>
        <w:t>10：供应商诚信承诺书</w:t>
      </w:r>
      <w:bookmarkEnd w:id="153"/>
      <w:bookmarkEnd w:id="154"/>
      <w:bookmarkEnd w:id="155"/>
      <w:bookmarkEnd w:id="156"/>
      <w:bookmarkEnd w:id="157"/>
    </w:p>
    <w:p w14:paraId="4FB5D9EC">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供应商诚信承诺书</w:t>
      </w:r>
    </w:p>
    <w:p w14:paraId="47054592">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致：青海联祥招标代理有限公司</w:t>
      </w:r>
    </w:p>
    <w:p w14:paraId="7A48A461">
      <w:pPr>
        <w:bidi w:val="0"/>
        <w:rPr>
          <w:rFonts w:hint="eastAsia" w:ascii="宋体" w:hAnsi="宋体" w:eastAsia="宋体" w:cs="宋体"/>
          <w:color w:val="auto"/>
          <w:highlight w:val="none"/>
        </w:rPr>
      </w:pPr>
      <w:r>
        <w:rPr>
          <w:rFonts w:hint="eastAsia" w:ascii="宋体" w:hAnsi="宋体" w:eastAsia="宋体" w:cs="宋体"/>
          <w:color w:val="auto"/>
          <w:highlight w:val="none"/>
        </w:rPr>
        <w:t>为了诚实、客观、有序地参与青海省政府采购活动，愿就以下内容作出承诺：</w:t>
      </w:r>
    </w:p>
    <w:p w14:paraId="381841CE">
      <w:pPr>
        <w:bidi w:val="0"/>
        <w:rPr>
          <w:rFonts w:hint="eastAsia" w:ascii="宋体" w:hAnsi="宋体" w:eastAsia="宋体" w:cs="宋体"/>
          <w:color w:val="auto"/>
          <w:highlight w:val="none"/>
        </w:rPr>
      </w:pPr>
      <w:r>
        <w:rPr>
          <w:rFonts w:hint="eastAsia" w:ascii="宋体" w:hAnsi="宋体" w:eastAsia="宋体" w:cs="宋体"/>
          <w:color w:val="auto"/>
          <w:highlight w:val="none"/>
        </w:rPr>
        <w:t>一、自觉遵守各项法律、法规、规章、制度以及社会公德，维护廉洁环境，与同场竞争的供应商平等参加政府采购活动。</w:t>
      </w:r>
    </w:p>
    <w:p w14:paraId="1F9F95DA">
      <w:pPr>
        <w:bidi w:val="0"/>
        <w:rPr>
          <w:rFonts w:hint="eastAsia" w:ascii="宋体" w:hAnsi="宋体" w:eastAsia="宋体" w:cs="宋体"/>
          <w:color w:val="auto"/>
          <w:highlight w:val="none"/>
        </w:rPr>
      </w:pPr>
      <w:r>
        <w:rPr>
          <w:rFonts w:hint="eastAsia" w:ascii="宋体" w:hAnsi="宋体" w:eastAsia="宋体" w:cs="宋体"/>
          <w:color w:val="auto"/>
          <w:highlight w:val="none"/>
        </w:rPr>
        <w:t>二、参加青海联祥招标代理有限公司组织的政府采购活动时，严格按照磋商文件的规定和要求提供所需的相关材料，并对所提供的各类资料的真实性负责，不虚假应标，不虚列业绩。</w:t>
      </w:r>
    </w:p>
    <w:p w14:paraId="1AD5A4D4">
      <w:pPr>
        <w:bidi w:val="0"/>
        <w:rPr>
          <w:rFonts w:hint="eastAsia" w:ascii="宋体" w:hAnsi="宋体" w:eastAsia="宋体" w:cs="宋体"/>
          <w:color w:val="auto"/>
          <w:highlight w:val="none"/>
        </w:rPr>
      </w:pPr>
      <w:r>
        <w:rPr>
          <w:rFonts w:hint="eastAsia" w:ascii="宋体" w:hAnsi="宋体" w:eastAsia="宋体" w:cs="宋体"/>
          <w:color w:val="auto"/>
          <w:highlight w:val="none"/>
        </w:rPr>
        <w:t>三、尊重参与政府采购活动各相关方的合法行为，接受政府采购活动依法形成的意见、结果。</w:t>
      </w:r>
    </w:p>
    <w:p w14:paraId="010A2818">
      <w:pPr>
        <w:bidi w:val="0"/>
        <w:rPr>
          <w:rFonts w:hint="eastAsia" w:ascii="宋体" w:hAnsi="宋体" w:eastAsia="宋体" w:cs="宋体"/>
          <w:color w:val="auto"/>
          <w:highlight w:val="none"/>
        </w:rPr>
      </w:pPr>
      <w:r>
        <w:rPr>
          <w:rFonts w:hint="eastAsia" w:ascii="宋体" w:hAnsi="宋体" w:eastAsia="宋体" w:cs="宋体"/>
          <w:color w:val="auto"/>
          <w:highlight w:val="none"/>
        </w:rPr>
        <w:t>四、依法参加政府采购活动，不围标、串标，维护市场秩序，不提供“三无”产品、以次充好。</w:t>
      </w:r>
    </w:p>
    <w:p w14:paraId="53304EDD">
      <w:pPr>
        <w:bidi w:val="0"/>
        <w:rPr>
          <w:rFonts w:hint="eastAsia" w:ascii="宋体" w:hAnsi="宋体" w:eastAsia="宋体" w:cs="宋体"/>
          <w:color w:val="auto"/>
          <w:highlight w:val="none"/>
        </w:rPr>
      </w:pPr>
      <w:r>
        <w:rPr>
          <w:rFonts w:hint="eastAsia" w:ascii="宋体" w:hAnsi="宋体" w:eastAsia="宋体" w:cs="宋体"/>
          <w:color w:val="auto"/>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65FE35C1">
      <w:pPr>
        <w:bidi w:val="0"/>
        <w:rPr>
          <w:rFonts w:hint="eastAsia" w:ascii="宋体" w:hAnsi="宋体" w:eastAsia="宋体" w:cs="宋体"/>
          <w:color w:val="auto"/>
          <w:highlight w:val="none"/>
        </w:rPr>
      </w:pPr>
      <w:r>
        <w:rPr>
          <w:rFonts w:hint="eastAsia" w:ascii="宋体" w:hAnsi="宋体" w:eastAsia="宋体" w:cs="宋体"/>
          <w:color w:val="auto"/>
          <w:highlight w:val="none"/>
        </w:rPr>
        <w:t>六、认真履行成交供应商应承担的责任和义务，全面执行采购合同规定的各项内容，保质保量地按时提供采购服务。</w:t>
      </w:r>
    </w:p>
    <w:p w14:paraId="30A3CCB8">
      <w:pPr>
        <w:bidi w:val="0"/>
        <w:rPr>
          <w:rFonts w:hint="eastAsia" w:ascii="宋体" w:hAnsi="宋体" w:eastAsia="宋体" w:cs="宋体"/>
          <w:color w:val="auto"/>
          <w:highlight w:val="none"/>
        </w:rPr>
      </w:pPr>
      <w:r>
        <w:rPr>
          <w:rFonts w:hint="eastAsia" w:ascii="宋体" w:hAnsi="宋体" w:eastAsia="宋体" w:cs="宋体"/>
          <w:color w:val="auto"/>
          <w:highlight w:val="none"/>
        </w:rPr>
        <w:t>若本企业（单位）发生有悖于上述承诺的行为，愿意接受《中华人民共和国政府采购法》和《政府采购法实施条例》中对供应商的相关处理。</w:t>
      </w:r>
    </w:p>
    <w:p w14:paraId="15E31C1C">
      <w:pPr>
        <w:bidi w:val="0"/>
        <w:rPr>
          <w:rFonts w:hint="eastAsia" w:ascii="宋体" w:hAnsi="宋体" w:eastAsia="宋体" w:cs="宋体"/>
          <w:color w:val="auto"/>
          <w:highlight w:val="none"/>
        </w:rPr>
      </w:pPr>
      <w:r>
        <w:rPr>
          <w:rFonts w:hint="eastAsia" w:ascii="宋体" w:hAnsi="宋体" w:eastAsia="宋体" w:cs="宋体"/>
          <w:color w:val="auto"/>
          <w:highlight w:val="none"/>
        </w:rPr>
        <w:t>本承诺是采购项目磋商响应文件的组成部分。</w:t>
      </w:r>
    </w:p>
    <w:p w14:paraId="463AF9DC">
      <w:pPr>
        <w:bidi w:val="0"/>
        <w:rPr>
          <w:rFonts w:hint="eastAsia" w:ascii="宋体" w:hAnsi="宋体" w:eastAsia="宋体" w:cs="宋体"/>
          <w:color w:val="auto"/>
          <w:highlight w:val="none"/>
        </w:rPr>
      </w:pPr>
    </w:p>
    <w:p w14:paraId="7DA1920A">
      <w:pPr>
        <w:bidi w:val="0"/>
        <w:rPr>
          <w:rFonts w:hint="eastAsia" w:ascii="宋体" w:hAnsi="宋体" w:eastAsia="宋体" w:cs="宋体"/>
          <w:color w:val="auto"/>
          <w:highlight w:val="none"/>
        </w:rPr>
      </w:pPr>
    </w:p>
    <w:p w14:paraId="3CED22BC">
      <w:pPr>
        <w:bidi w:val="0"/>
        <w:jc w:val="center"/>
        <w:rPr>
          <w:rFonts w:hint="eastAsia" w:ascii="宋体" w:hAnsi="宋体" w:eastAsia="宋体" w:cs="宋体"/>
          <w:b/>
          <w:bCs/>
          <w:color w:val="auto"/>
          <w:highlight w:val="none"/>
          <w:lang w:val="zh-CN"/>
        </w:rPr>
      </w:pPr>
      <w:bookmarkStart w:id="158" w:name="_Toc23931"/>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7609291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70E6BD67">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423D1DD0">
      <w:pPr>
        <w:bidi w:val="0"/>
        <w:rPr>
          <w:rFonts w:hint="eastAsia" w:ascii="宋体" w:hAnsi="宋体" w:eastAsia="宋体" w:cs="宋体"/>
          <w:color w:val="auto"/>
          <w:highlight w:val="none"/>
        </w:rPr>
      </w:pPr>
    </w:p>
    <w:p w14:paraId="2E01EA7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434732">
      <w:pPr>
        <w:pStyle w:val="5"/>
        <w:bidi w:val="0"/>
        <w:jc w:val="both"/>
        <w:rPr>
          <w:rFonts w:hint="eastAsia" w:ascii="宋体" w:hAnsi="宋体" w:eastAsia="宋体" w:cs="宋体"/>
          <w:color w:val="auto"/>
          <w:highlight w:val="none"/>
        </w:rPr>
      </w:pPr>
      <w:bookmarkStart w:id="159" w:name="_Toc937"/>
      <w:r>
        <w:rPr>
          <w:rFonts w:hint="eastAsia" w:ascii="宋体" w:hAnsi="宋体" w:eastAsia="宋体" w:cs="宋体"/>
          <w:color w:val="auto"/>
          <w:highlight w:val="none"/>
        </w:rPr>
        <w:t>附件11：资格证明材料</w:t>
      </w:r>
      <w:bookmarkEnd w:id="158"/>
      <w:bookmarkEnd w:id="159"/>
    </w:p>
    <w:p w14:paraId="52AEF5FF">
      <w:pPr>
        <w:bidi w:val="0"/>
        <w:rPr>
          <w:rFonts w:hint="eastAsia" w:ascii="宋体" w:hAnsi="宋体" w:eastAsia="宋体" w:cs="宋体"/>
          <w:color w:val="auto"/>
          <w:highlight w:val="none"/>
        </w:rPr>
      </w:pPr>
    </w:p>
    <w:p w14:paraId="6BCC37A6">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资格证明材料</w:t>
      </w:r>
    </w:p>
    <w:p w14:paraId="68662971">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资格证明材料包括：</w:t>
      </w:r>
    </w:p>
    <w:p w14:paraId="6936A8D9">
      <w:pPr>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提供有效的营业执照、税务登记证、机构代码证或三证（五证）合一统一社会代码证及其他资格证明文件（扫描或复印件）；</w:t>
      </w:r>
    </w:p>
    <w:p w14:paraId="76F3BF20">
      <w:pPr>
        <w:bidi w:val="0"/>
        <w:rPr>
          <w:rFonts w:hint="eastAsia" w:ascii="宋体" w:hAnsi="宋体" w:eastAsia="宋体" w:cs="宋体"/>
          <w:color w:val="auto"/>
          <w:highlight w:val="none"/>
        </w:rPr>
      </w:pPr>
      <w:r>
        <w:rPr>
          <w:rFonts w:hint="eastAsia" w:ascii="宋体" w:hAnsi="宋体" w:eastAsia="宋体" w:cs="宋体"/>
          <w:color w:val="auto"/>
          <w:highlight w:val="none"/>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69EACD5C">
      <w:pPr>
        <w:bidi w:val="0"/>
        <w:rPr>
          <w:rFonts w:hint="eastAsia" w:ascii="宋体" w:hAnsi="宋体" w:eastAsia="宋体" w:cs="宋体"/>
          <w:color w:val="auto"/>
          <w:highlight w:val="none"/>
        </w:rPr>
      </w:pPr>
      <w:r>
        <w:rPr>
          <w:rFonts w:hint="eastAsia" w:ascii="宋体" w:hAnsi="宋体" w:eastAsia="宋体" w:cs="宋体"/>
          <w:color w:val="auto"/>
          <w:highlight w:val="none"/>
        </w:rPr>
        <w:t>分支机构参与本项目政府采购活动须提供总公司针对本项目的授权,同时提供总公司和分支机构营业执照副本复印件。（银行、保险、电信、电力、石油石化、邮政、铁路等特殊行业，可出具总公司的有关文件或制度等能够证明总公司授权其独立开展业务的证明）</w:t>
      </w:r>
    </w:p>
    <w:p w14:paraId="2DF8968D">
      <w:pPr>
        <w:bidi w:val="0"/>
        <w:rPr>
          <w:rFonts w:hint="eastAsia" w:ascii="宋体" w:hAnsi="宋体" w:eastAsia="宋体" w:cs="宋体"/>
          <w:color w:val="auto"/>
          <w:highlight w:val="none"/>
        </w:rPr>
      </w:pPr>
      <w:r>
        <w:rPr>
          <w:rFonts w:hint="eastAsia" w:ascii="宋体" w:hAnsi="宋体" w:eastAsia="宋体" w:cs="宋体"/>
          <w:color w:val="auto"/>
          <w:highlight w:val="none"/>
        </w:rPr>
        <w:t>（2）磋商文件规定的有关资格证书、许可证书、认证等；</w:t>
      </w:r>
    </w:p>
    <w:p w14:paraId="2CA795D9">
      <w:pPr>
        <w:bidi w:val="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认为有必要提供的其他资格证明文件。</w:t>
      </w:r>
    </w:p>
    <w:p w14:paraId="17ECE63D">
      <w:pPr>
        <w:bidi w:val="0"/>
        <w:rPr>
          <w:rFonts w:hint="eastAsia" w:ascii="宋体" w:hAnsi="宋体" w:eastAsia="宋体" w:cs="宋体"/>
          <w:color w:val="auto"/>
          <w:highlight w:val="none"/>
        </w:rPr>
      </w:pPr>
    </w:p>
    <w:p w14:paraId="18F2EE90">
      <w:pPr>
        <w:bidi w:val="0"/>
        <w:rPr>
          <w:rFonts w:hint="eastAsia" w:ascii="宋体" w:hAnsi="宋体" w:eastAsia="宋体" w:cs="宋体"/>
          <w:color w:val="auto"/>
          <w:highlight w:val="none"/>
        </w:rPr>
      </w:pPr>
    </w:p>
    <w:p w14:paraId="2CDD525D">
      <w:pPr>
        <w:bidi w:val="0"/>
        <w:rPr>
          <w:rFonts w:hint="eastAsia" w:ascii="宋体" w:hAnsi="宋体" w:eastAsia="宋体" w:cs="宋体"/>
          <w:color w:val="auto"/>
          <w:highlight w:val="none"/>
        </w:rPr>
      </w:pPr>
    </w:p>
    <w:p w14:paraId="15A8059E">
      <w:pPr>
        <w:bidi w:val="0"/>
        <w:rPr>
          <w:rFonts w:hint="eastAsia" w:ascii="宋体" w:hAnsi="宋体" w:eastAsia="宋体" w:cs="宋体"/>
          <w:color w:val="auto"/>
          <w:highlight w:val="none"/>
        </w:rPr>
      </w:pPr>
    </w:p>
    <w:p w14:paraId="79D19C89">
      <w:pPr>
        <w:bidi w:val="0"/>
        <w:rPr>
          <w:rFonts w:hint="eastAsia" w:ascii="宋体" w:hAnsi="宋体" w:eastAsia="宋体" w:cs="宋体"/>
          <w:color w:val="auto"/>
          <w:highlight w:val="none"/>
        </w:rPr>
      </w:pPr>
    </w:p>
    <w:p w14:paraId="5FAA15A8">
      <w:pPr>
        <w:bidi w:val="0"/>
        <w:rPr>
          <w:rFonts w:hint="eastAsia" w:ascii="宋体" w:hAnsi="宋体" w:eastAsia="宋体" w:cs="宋体"/>
          <w:color w:val="auto"/>
          <w:highlight w:val="none"/>
        </w:rPr>
      </w:pPr>
    </w:p>
    <w:p w14:paraId="67941292">
      <w:pPr>
        <w:bidi w:val="0"/>
        <w:rPr>
          <w:rFonts w:hint="eastAsia" w:ascii="宋体" w:hAnsi="宋体" w:eastAsia="宋体" w:cs="宋体"/>
          <w:color w:val="auto"/>
          <w:highlight w:val="none"/>
        </w:rPr>
      </w:pPr>
    </w:p>
    <w:p w14:paraId="6315FB1F">
      <w:pPr>
        <w:bidi w:val="0"/>
        <w:rPr>
          <w:rFonts w:hint="eastAsia" w:ascii="宋体" w:hAnsi="宋体" w:eastAsia="宋体" w:cs="宋体"/>
          <w:color w:val="auto"/>
          <w:highlight w:val="none"/>
        </w:rPr>
      </w:pPr>
    </w:p>
    <w:p w14:paraId="3361F52B">
      <w:pPr>
        <w:rPr>
          <w:rFonts w:hint="eastAsia" w:ascii="宋体" w:hAnsi="宋体" w:eastAsia="宋体" w:cs="宋体"/>
          <w:color w:val="auto"/>
          <w:highlight w:val="none"/>
        </w:rPr>
      </w:pPr>
      <w:bookmarkStart w:id="160" w:name="_Toc32025"/>
    </w:p>
    <w:p w14:paraId="02BBDB06">
      <w:pPr>
        <w:pStyle w:val="5"/>
        <w:bidi w:val="0"/>
        <w:jc w:val="both"/>
        <w:rPr>
          <w:rFonts w:hint="eastAsia" w:ascii="宋体" w:hAnsi="宋体" w:eastAsia="宋体" w:cs="宋体"/>
          <w:color w:val="auto"/>
          <w:highlight w:val="none"/>
        </w:rPr>
      </w:pPr>
      <w:bookmarkStart w:id="161" w:name="_Toc19453"/>
      <w:r>
        <w:rPr>
          <w:rFonts w:hint="eastAsia" w:ascii="宋体" w:hAnsi="宋体" w:eastAsia="宋体" w:cs="宋体"/>
          <w:color w:val="auto"/>
          <w:highlight w:val="none"/>
        </w:rPr>
        <w:t>附件12：财务状况、缴纳税收和社会保障资金证明</w:t>
      </w:r>
      <w:bookmarkEnd w:id="160"/>
      <w:bookmarkEnd w:id="161"/>
    </w:p>
    <w:p w14:paraId="0C1C1E56">
      <w:pPr>
        <w:bidi w:val="0"/>
        <w:rPr>
          <w:rFonts w:hint="eastAsia" w:ascii="宋体" w:hAnsi="宋体" w:eastAsia="宋体" w:cs="宋体"/>
          <w:color w:val="auto"/>
          <w:highlight w:val="none"/>
        </w:rPr>
      </w:pPr>
    </w:p>
    <w:p w14:paraId="7F0D1B15">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财务状况、缴纳税收和社会保障资金证明</w:t>
      </w:r>
    </w:p>
    <w:p w14:paraId="2600C815">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按照《政府采购法》第22条规定提供以下相关材料：</w:t>
      </w:r>
    </w:p>
    <w:p w14:paraId="525EDCB1">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1、供应商是法人的，提供基本开户银行</w:t>
      </w:r>
      <w:r>
        <w:rPr>
          <w:rFonts w:hint="eastAsia" w:ascii="宋体" w:hAnsi="宋体" w:eastAsia="宋体" w:cs="宋体"/>
          <w:color w:val="auto"/>
          <w:highlight w:val="none"/>
        </w:rPr>
        <w:t>开标前</w:t>
      </w:r>
      <w:r>
        <w:rPr>
          <w:rFonts w:hint="eastAsia" w:ascii="宋体" w:hAnsi="宋体" w:eastAsia="宋体" w:cs="宋体"/>
          <w:color w:val="auto"/>
          <w:highlight w:val="none"/>
          <w:lang w:val="zh-CN"/>
        </w:rPr>
        <w:t>近三个月内出具的资信证明（同时提供基本账户开户许可证或基本账户信息）</w:t>
      </w:r>
      <w:r>
        <w:rPr>
          <w:rFonts w:hint="eastAsia" w:ascii="宋体" w:hAnsi="宋体" w:eastAsia="宋体" w:cs="宋体"/>
          <w:color w:val="auto"/>
          <w:highlight w:val="none"/>
          <w:lang w:val="en-US" w:eastAsia="zh-CN"/>
        </w:rPr>
        <w:t>或</w:t>
      </w:r>
      <w:r>
        <w:rPr>
          <w:rFonts w:hint="eastAsia" w:ascii="宋体" w:hAnsi="宋体" w:cs="宋体"/>
          <w:color w:val="auto"/>
          <w:highlight w:val="none"/>
          <w:lang w:val="en-US" w:eastAsia="zh-CN"/>
        </w:rPr>
        <w:t>2025年度</w:t>
      </w:r>
      <w:r>
        <w:rPr>
          <w:rFonts w:hint="eastAsia" w:ascii="宋体" w:hAnsi="宋体" w:eastAsia="宋体" w:cs="宋体"/>
          <w:color w:val="auto"/>
          <w:highlight w:val="none"/>
        </w:rPr>
        <w:t>经第三方审计的财务状况报告</w:t>
      </w:r>
      <w:r>
        <w:rPr>
          <w:rFonts w:hint="eastAsia" w:ascii="宋体" w:hAnsi="宋体" w:eastAsia="宋体" w:cs="宋体"/>
          <w:color w:val="auto"/>
          <w:highlight w:val="none"/>
          <w:lang w:val="zh-CN"/>
        </w:rPr>
        <w:t>（扫描或复印件应全面、完整、清晰），包括资产负债表、现金流量表、利润表和财务（会计）报表附注</w:t>
      </w:r>
      <w:r>
        <w:rPr>
          <w:rFonts w:hint="eastAsia" w:ascii="宋体" w:hAnsi="宋体" w:eastAsia="宋体" w:cs="宋体"/>
          <w:color w:val="auto"/>
          <w:highlight w:val="none"/>
        </w:rPr>
        <w:t>，</w:t>
      </w:r>
      <w:r>
        <w:rPr>
          <w:rFonts w:hint="eastAsia" w:ascii="宋体" w:hAnsi="宋体" w:eastAsia="宋体" w:cs="宋体"/>
          <w:color w:val="auto"/>
          <w:highlight w:val="none"/>
          <w:lang w:val="zh-CN"/>
        </w:rPr>
        <w:t>并提供第三方机构的营业执照、执业证书、</w:t>
      </w:r>
      <w:r>
        <w:rPr>
          <w:rFonts w:hint="eastAsia" w:ascii="宋体" w:hAnsi="宋体" w:eastAsia="宋体" w:cs="宋体"/>
          <w:color w:val="auto"/>
          <w:highlight w:val="none"/>
        </w:rPr>
        <w:t>注册会计师证书</w:t>
      </w:r>
      <w:r>
        <w:rPr>
          <w:rFonts w:hint="eastAsia" w:ascii="宋体" w:hAnsi="宋体" w:eastAsia="宋体" w:cs="宋体"/>
          <w:color w:val="auto"/>
          <w:highlight w:val="none"/>
          <w:lang w:val="zh-CN"/>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是其他组织和自然人，没有经审计的财务报告，可以提供基本开户银行出具的资信证明（同时提供基本账户开户许可证</w:t>
      </w:r>
      <w:r>
        <w:rPr>
          <w:rFonts w:hint="eastAsia" w:ascii="宋体" w:hAnsi="宋体" w:eastAsia="宋体" w:cs="宋体"/>
          <w:color w:val="auto"/>
          <w:highlight w:val="none"/>
          <w:lang w:val="zh-CN"/>
        </w:rPr>
        <w:t>或基本账户信息</w:t>
      </w:r>
      <w:r>
        <w:rPr>
          <w:rFonts w:hint="eastAsia" w:ascii="宋体" w:hAnsi="宋体" w:eastAsia="宋体" w:cs="宋体"/>
          <w:color w:val="auto"/>
          <w:highlight w:val="none"/>
        </w:rPr>
        <w:t>）。</w:t>
      </w:r>
    </w:p>
    <w:p w14:paraId="7FA4F1C7">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2、开标前近半年内任意三个月的依法缴纳税收</w:t>
      </w:r>
      <w:r>
        <w:rPr>
          <w:rFonts w:hint="eastAsia" w:ascii="宋体" w:hAnsi="宋体" w:cs="宋体"/>
          <w:color w:val="auto"/>
          <w:highlight w:val="none"/>
          <w:lang w:val="zh-CN"/>
        </w:rPr>
        <w:t>(不含个人所得税)</w:t>
      </w:r>
      <w:r>
        <w:rPr>
          <w:rFonts w:hint="eastAsia" w:ascii="宋体" w:hAnsi="宋体" w:eastAsia="宋体" w:cs="宋体"/>
          <w:color w:val="auto"/>
          <w:highlight w:val="none"/>
          <w:lang w:val="zh-CN"/>
        </w:rPr>
        <w:t>和社会保障资金记录的证明材料；依法免税或不需要缴纳社会保障资金的供应商须提供相应文件证明其依法免税或不需要缴纳社会保障资金。（成立时间不足三个月的公司按成立月份提供）</w:t>
      </w:r>
    </w:p>
    <w:p w14:paraId="729A7931">
      <w:pPr>
        <w:bidi w:val="0"/>
        <w:rPr>
          <w:rFonts w:hint="eastAsia" w:ascii="宋体" w:hAnsi="宋体" w:eastAsia="宋体" w:cs="宋体"/>
          <w:color w:val="auto"/>
          <w:highlight w:val="none"/>
        </w:rPr>
      </w:pPr>
    </w:p>
    <w:p w14:paraId="0FE22A42">
      <w:pPr>
        <w:bidi w:val="0"/>
        <w:rPr>
          <w:rFonts w:hint="eastAsia" w:ascii="宋体" w:hAnsi="宋体" w:eastAsia="宋体" w:cs="宋体"/>
          <w:color w:val="auto"/>
          <w:highlight w:val="none"/>
        </w:rPr>
      </w:pPr>
    </w:p>
    <w:p w14:paraId="635D9D4F">
      <w:pPr>
        <w:bidi w:val="0"/>
        <w:rPr>
          <w:rFonts w:hint="eastAsia" w:ascii="宋体" w:hAnsi="宋体" w:eastAsia="宋体" w:cs="宋体"/>
          <w:color w:val="auto"/>
          <w:highlight w:val="none"/>
        </w:rPr>
      </w:pPr>
    </w:p>
    <w:p w14:paraId="2056907F">
      <w:pPr>
        <w:bidi w:val="0"/>
        <w:rPr>
          <w:rFonts w:hint="eastAsia" w:ascii="宋体" w:hAnsi="宋体" w:eastAsia="宋体" w:cs="宋体"/>
          <w:color w:val="auto"/>
          <w:highlight w:val="none"/>
        </w:rPr>
      </w:pPr>
    </w:p>
    <w:p w14:paraId="3361582C">
      <w:pPr>
        <w:bidi w:val="0"/>
        <w:rPr>
          <w:rFonts w:hint="eastAsia" w:ascii="宋体" w:hAnsi="宋体" w:eastAsia="宋体" w:cs="宋体"/>
          <w:color w:val="auto"/>
          <w:highlight w:val="none"/>
        </w:rPr>
      </w:pPr>
    </w:p>
    <w:p w14:paraId="07BB4813">
      <w:pPr>
        <w:bidi w:val="0"/>
        <w:rPr>
          <w:rFonts w:hint="eastAsia" w:ascii="宋体" w:hAnsi="宋体" w:eastAsia="宋体" w:cs="宋体"/>
          <w:color w:val="auto"/>
          <w:highlight w:val="none"/>
        </w:rPr>
      </w:pPr>
    </w:p>
    <w:p w14:paraId="3085D3C5">
      <w:pPr>
        <w:bidi w:val="0"/>
        <w:rPr>
          <w:rFonts w:hint="eastAsia" w:ascii="宋体" w:hAnsi="宋体" w:eastAsia="宋体" w:cs="宋体"/>
          <w:color w:val="auto"/>
          <w:highlight w:val="none"/>
        </w:rPr>
      </w:pPr>
    </w:p>
    <w:p w14:paraId="4BE25CF2">
      <w:pPr>
        <w:bidi w:val="0"/>
        <w:rPr>
          <w:rFonts w:hint="eastAsia" w:ascii="宋体" w:hAnsi="宋体" w:eastAsia="宋体" w:cs="宋体"/>
          <w:color w:val="auto"/>
          <w:highlight w:val="none"/>
        </w:rPr>
      </w:pPr>
    </w:p>
    <w:p w14:paraId="6BD8EAEA">
      <w:pPr>
        <w:bidi w:val="0"/>
        <w:rPr>
          <w:rFonts w:hint="eastAsia" w:ascii="宋体" w:hAnsi="宋体" w:eastAsia="宋体" w:cs="宋体"/>
          <w:color w:val="auto"/>
          <w:highlight w:val="none"/>
        </w:rPr>
      </w:pPr>
    </w:p>
    <w:p w14:paraId="0662A7DD">
      <w:pPr>
        <w:bidi w:val="0"/>
        <w:rPr>
          <w:rFonts w:hint="eastAsia" w:ascii="宋体" w:hAnsi="宋体" w:eastAsia="宋体" w:cs="宋体"/>
          <w:color w:val="auto"/>
          <w:highlight w:val="none"/>
        </w:rPr>
      </w:pPr>
    </w:p>
    <w:p w14:paraId="5D41E82D">
      <w:pPr>
        <w:bidi w:val="0"/>
        <w:rPr>
          <w:rFonts w:hint="eastAsia" w:ascii="宋体" w:hAnsi="宋体" w:eastAsia="宋体" w:cs="宋体"/>
          <w:color w:val="auto"/>
          <w:highlight w:val="none"/>
        </w:rPr>
      </w:pPr>
      <w:bookmarkStart w:id="162" w:name="_Toc26496"/>
    </w:p>
    <w:p w14:paraId="2AA4030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8E5156D">
      <w:pPr>
        <w:pStyle w:val="5"/>
        <w:bidi w:val="0"/>
        <w:jc w:val="both"/>
        <w:rPr>
          <w:rFonts w:hint="eastAsia" w:ascii="宋体" w:hAnsi="宋体" w:eastAsia="宋体" w:cs="宋体"/>
          <w:smallCaps/>
          <w:color w:val="auto"/>
          <w:spacing w:val="20"/>
          <w:kern w:val="2"/>
          <w:sz w:val="28"/>
          <w:szCs w:val="28"/>
          <w:highlight w:val="none"/>
          <w:lang w:val="zh-CN"/>
        </w:rPr>
      </w:pPr>
      <w:bookmarkStart w:id="163" w:name="_Toc8894"/>
      <w:r>
        <w:rPr>
          <w:rFonts w:hint="eastAsia" w:ascii="宋体" w:hAnsi="宋体" w:eastAsia="宋体" w:cs="宋体"/>
          <w:color w:val="auto"/>
          <w:sz w:val="28"/>
          <w:szCs w:val="28"/>
          <w:highlight w:val="none"/>
        </w:rPr>
        <w:t>附件</w:t>
      </w:r>
      <w:r>
        <w:rPr>
          <w:rFonts w:hint="eastAsia" w:ascii="宋体" w:hAnsi="宋体" w:eastAsia="宋体" w:cs="宋体"/>
          <w:smallCaps/>
          <w:color w:val="auto"/>
          <w:spacing w:val="20"/>
          <w:kern w:val="2"/>
          <w:sz w:val="28"/>
          <w:szCs w:val="28"/>
          <w:highlight w:val="none"/>
        </w:rPr>
        <w:t>13：</w:t>
      </w:r>
      <w:bookmarkEnd w:id="162"/>
      <w:r>
        <w:rPr>
          <w:rFonts w:hint="eastAsia" w:ascii="宋体" w:hAnsi="宋体" w:eastAsia="宋体" w:cs="宋体"/>
          <w:smallCaps/>
          <w:color w:val="auto"/>
          <w:spacing w:val="20"/>
          <w:kern w:val="2"/>
          <w:sz w:val="28"/>
          <w:szCs w:val="28"/>
          <w:highlight w:val="none"/>
          <w:lang w:val="zh-CN"/>
        </w:rPr>
        <w:t>具备履行合同所必须的设备和专业技术能力证明</w:t>
      </w:r>
      <w:bookmarkEnd w:id="163"/>
    </w:p>
    <w:p w14:paraId="7CFE1EB4">
      <w:pPr>
        <w:bidi w:val="0"/>
        <w:rPr>
          <w:rFonts w:hint="eastAsia" w:ascii="宋体" w:hAnsi="宋体" w:eastAsia="宋体" w:cs="宋体"/>
          <w:color w:val="auto"/>
          <w:highlight w:val="none"/>
          <w:lang w:val="zh-CN"/>
        </w:rPr>
      </w:pPr>
    </w:p>
    <w:p w14:paraId="42F8ECE3">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具备履行合同所必须的设备和专业技术能力证明</w:t>
      </w:r>
    </w:p>
    <w:p w14:paraId="2577C857">
      <w:pPr>
        <w:bidi w:val="0"/>
        <w:rPr>
          <w:rFonts w:hint="eastAsia" w:ascii="宋体" w:hAnsi="宋体" w:eastAsia="宋体" w:cs="宋体"/>
          <w:color w:val="auto"/>
          <w:highlight w:val="none"/>
          <w:lang w:val="zh-CN"/>
        </w:rPr>
      </w:pPr>
    </w:p>
    <w:p w14:paraId="2CA6716F">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为保证本项目合同的顺利履行，供应商必须具备履行合同的设备和专业技术能力，须提供必须具备履行合同的设备和专业技术能力的承诺函（格式自拟）或提供相关设备的购置发票或相关人员的职称证书、用工合同等证明材料。</w:t>
      </w:r>
    </w:p>
    <w:p w14:paraId="0488F0FF">
      <w:pPr>
        <w:bidi w:val="0"/>
        <w:rPr>
          <w:rFonts w:hint="eastAsia" w:ascii="宋体" w:hAnsi="宋体" w:eastAsia="宋体" w:cs="宋体"/>
          <w:color w:val="auto"/>
          <w:highlight w:val="none"/>
          <w:lang w:val="zh-CN"/>
        </w:rPr>
      </w:pPr>
    </w:p>
    <w:p w14:paraId="417D8F85">
      <w:pPr>
        <w:bidi w:val="0"/>
        <w:rPr>
          <w:rFonts w:hint="eastAsia" w:ascii="宋体" w:hAnsi="宋体" w:eastAsia="宋体" w:cs="宋体"/>
          <w:color w:val="auto"/>
          <w:highlight w:val="none"/>
          <w:lang w:val="zh-CN" w:eastAsia="zh-CN"/>
        </w:rPr>
        <w:sectPr>
          <w:headerReference r:id="rId12" w:type="first"/>
          <w:footerReference r:id="rId15" w:type="first"/>
          <w:headerReference r:id="rId10" w:type="default"/>
          <w:footerReference r:id="rId13" w:type="default"/>
          <w:headerReference r:id="rId11" w:type="even"/>
          <w:footerReference r:id="rId14" w:type="even"/>
          <w:pgSz w:w="11849" w:h="16781"/>
          <w:pgMar w:top="1440" w:right="1800" w:bottom="1440" w:left="1800" w:header="624" w:footer="992" w:gutter="0"/>
          <w:pgNumType w:start="1"/>
          <w:cols w:space="720" w:num="1"/>
          <w:docGrid w:linePitch="397" w:charSpace="0"/>
        </w:sectPr>
      </w:pPr>
    </w:p>
    <w:p w14:paraId="23A70246">
      <w:pPr>
        <w:pStyle w:val="5"/>
        <w:bidi w:val="0"/>
        <w:jc w:val="both"/>
        <w:rPr>
          <w:rFonts w:hint="eastAsia" w:ascii="宋体" w:hAnsi="宋体" w:eastAsia="宋体" w:cs="宋体"/>
          <w:color w:val="auto"/>
          <w:highlight w:val="none"/>
        </w:rPr>
      </w:pPr>
      <w:bookmarkStart w:id="164" w:name="_Toc1842"/>
      <w:r>
        <w:rPr>
          <w:rFonts w:hint="eastAsia" w:ascii="宋体" w:hAnsi="宋体" w:eastAsia="宋体" w:cs="宋体"/>
          <w:color w:val="auto"/>
          <w:highlight w:val="none"/>
        </w:rPr>
        <w:t>附件14：无重大违法记录声明</w:t>
      </w:r>
      <w:bookmarkEnd w:id="164"/>
    </w:p>
    <w:p w14:paraId="0E28934A">
      <w:pPr>
        <w:bidi w:val="0"/>
        <w:rPr>
          <w:rFonts w:hint="eastAsia" w:ascii="宋体" w:hAnsi="宋体" w:eastAsia="宋体" w:cs="宋体"/>
          <w:color w:val="auto"/>
          <w:highlight w:val="none"/>
        </w:rPr>
      </w:pPr>
    </w:p>
    <w:p w14:paraId="3829B9FA">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无重大违法记录声明</w:t>
      </w:r>
    </w:p>
    <w:p w14:paraId="214DA379">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致：青海联祥招标代理有限公司</w:t>
      </w:r>
    </w:p>
    <w:p w14:paraId="291722B6">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提供参加政府采购活动前3年内在经营活动中没有重大违法记录的书面声明（格式可自定）。</w:t>
      </w:r>
    </w:p>
    <w:p w14:paraId="154A6A81">
      <w:pPr>
        <w:tabs>
          <w:tab w:val="left" w:pos="168"/>
        </w:tabs>
        <w:adjustRightInd w:val="0"/>
        <w:textAlignment w:val="baseline"/>
        <w:rPr>
          <w:rFonts w:hint="eastAsia" w:ascii="宋体" w:hAnsi="宋体" w:eastAsia="宋体" w:cs="宋体"/>
          <w:b/>
          <w:bCs/>
          <w:color w:val="auto"/>
          <w:highlight w:val="none"/>
        </w:rPr>
      </w:pPr>
    </w:p>
    <w:p w14:paraId="68A2468A">
      <w:pPr>
        <w:tabs>
          <w:tab w:val="left" w:pos="168"/>
        </w:tabs>
        <w:adjustRightInd w:val="0"/>
        <w:textAlignment w:val="baseline"/>
        <w:rPr>
          <w:rFonts w:hint="eastAsia" w:ascii="宋体" w:hAnsi="宋体" w:eastAsia="宋体" w:cs="宋体"/>
          <w:b/>
          <w:bCs/>
          <w:color w:val="auto"/>
          <w:highlight w:val="none"/>
        </w:rPr>
      </w:pPr>
    </w:p>
    <w:p w14:paraId="6EA2175E">
      <w:pPr>
        <w:tabs>
          <w:tab w:val="left" w:pos="168"/>
        </w:tabs>
        <w:adjustRightInd w:val="0"/>
        <w:textAlignment w:val="baseline"/>
        <w:rPr>
          <w:rFonts w:hint="eastAsia" w:ascii="宋体" w:hAnsi="宋体" w:eastAsia="宋体" w:cs="宋体"/>
          <w:b/>
          <w:bCs/>
          <w:color w:val="auto"/>
          <w:highlight w:val="none"/>
        </w:rPr>
      </w:pPr>
    </w:p>
    <w:p w14:paraId="5E4408B6">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6E29739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5EE2C8B0">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36568A74">
      <w:pPr>
        <w:tabs>
          <w:tab w:val="left" w:pos="168"/>
        </w:tabs>
        <w:adjustRightInd w:val="0"/>
        <w:textAlignment w:val="baseline"/>
        <w:rPr>
          <w:rFonts w:hint="eastAsia" w:ascii="宋体" w:hAnsi="宋体" w:eastAsia="宋体" w:cs="宋体"/>
          <w:color w:val="auto"/>
          <w:highlight w:val="none"/>
        </w:rPr>
      </w:pPr>
    </w:p>
    <w:p w14:paraId="10829891">
      <w:pPr>
        <w:tabs>
          <w:tab w:val="left" w:pos="168"/>
        </w:tabs>
        <w:adjustRightInd w:val="0"/>
        <w:textAlignment w:val="baseline"/>
        <w:rPr>
          <w:rFonts w:hint="eastAsia" w:ascii="宋体" w:hAnsi="宋体" w:eastAsia="宋体" w:cs="宋体"/>
          <w:b/>
          <w:bCs/>
          <w:color w:val="auto"/>
          <w:highlight w:val="none"/>
        </w:rPr>
      </w:pPr>
    </w:p>
    <w:p w14:paraId="658232E6">
      <w:pPr>
        <w:tabs>
          <w:tab w:val="left" w:pos="168"/>
        </w:tabs>
        <w:adjustRightInd w:val="0"/>
        <w:textAlignment w:val="baseline"/>
        <w:rPr>
          <w:rFonts w:hint="eastAsia" w:ascii="宋体" w:hAnsi="宋体" w:eastAsia="宋体" w:cs="宋体"/>
          <w:b/>
          <w:bCs/>
          <w:color w:val="auto"/>
          <w:highlight w:val="none"/>
        </w:rPr>
      </w:pPr>
    </w:p>
    <w:p w14:paraId="23074260">
      <w:pPr>
        <w:tabs>
          <w:tab w:val="left" w:pos="168"/>
        </w:tabs>
        <w:adjustRightInd w:val="0"/>
        <w:textAlignment w:val="baseline"/>
        <w:rPr>
          <w:rFonts w:hint="eastAsia" w:ascii="宋体" w:hAnsi="宋体" w:eastAsia="宋体" w:cs="宋体"/>
          <w:b/>
          <w:bCs/>
          <w:color w:val="auto"/>
          <w:highlight w:val="none"/>
        </w:rPr>
      </w:pPr>
    </w:p>
    <w:p w14:paraId="1A05B151">
      <w:pPr>
        <w:tabs>
          <w:tab w:val="left" w:pos="168"/>
        </w:tabs>
        <w:adjustRightInd w:val="0"/>
        <w:textAlignment w:val="baseline"/>
        <w:rPr>
          <w:rFonts w:hint="eastAsia" w:ascii="宋体" w:hAnsi="宋体" w:eastAsia="宋体" w:cs="宋体"/>
          <w:b/>
          <w:bCs/>
          <w:color w:val="auto"/>
          <w:highlight w:val="none"/>
        </w:rPr>
      </w:pPr>
    </w:p>
    <w:p w14:paraId="68E1A57E">
      <w:pPr>
        <w:tabs>
          <w:tab w:val="left" w:pos="168"/>
        </w:tabs>
        <w:adjustRightInd w:val="0"/>
        <w:textAlignment w:val="baseline"/>
        <w:rPr>
          <w:rFonts w:hint="eastAsia" w:ascii="宋体" w:hAnsi="宋体" w:eastAsia="宋体" w:cs="宋体"/>
          <w:b/>
          <w:bCs/>
          <w:color w:val="auto"/>
          <w:highlight w:val="none"/>
        </w:rPr>
      </w:pPr>
    </w:p>
    <w:p w14:paraId="7A4EBA9F">
      <w:pPr>
        <w:bidi w:val="0"/>
        <w:rPr>
          <w:rFonts w:hint="eastAsia" w:ascii="宋体" w:hAnsi="宋体" w:eastAsia="宋体" w:cs="宋体"/>
          <w:color w:val="auto"/>
          <w:highlight w:val="none"/>
        </w:rPr>
      </w:pPr>
      <w:bookmarkStart w:id="165" w:name="_Toc22940"/>
    </w:p>
    <w:p w14:paraId="7645F7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DDC9B7D">
      <w:pPr>
        <w:pStyle w:val="5"/>
        <w:bidi w:val="0"/>
        <w:jc w:val="both"/>
        <w:rPr>
          <w:rFonts w:hint="eastAsia" w:ascii="宋体" w:hAnsi="宋体" w:eastAsia="宋体" w:cs="宋体"/>
          <w:color w:val="auto"/>
          <w:highlight w:val="none"/>
        </w:rPr>
      </w:pPr>
      <w:bookmarkStart w:id="166" w:name="_Toc30685"/>
      <w:r>
        <w:rPr>
          <w:rFonts w:hint="eastAsia" w:ascii="宋体" w:hAnsi="宋体" w:eastAsia="宋体" w:cs="宋体"/>
          <w:color w:val="auto"/>
          <w:highlight w:val="none"/>
        </w:rPr>
        <w:t>附件15：</w:t>
      </w:r>
      <w:bookmarkEnd w:id="165"/>
      <w:r>
        <w:rPr>
          <w:rFonts w:hint="eastAsia" w:ascii="宋体" w:hAnsi="宋体" w:eastAsia="宋体" w:cs="宋体"/>
          <w:color w:val="auto"/>
          <w:highlight w:val="none"/>
        </w:rPr>
        <w:t>类似业绩证明材料</w:t>
      </w:r>
      <w:bookmarkEnd w:id="166"/>
    </w:p>
    <w:p w14:paraId="5D9A7746">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类似业绩证明材料</w:t>
      </w:r>
    </w:p>
    <w:p w14:paraId="31D898DF">
      <w:pPr>
        <w:bidi w:val="0"/>
        <w:rPr>
          <w:rFonts w:hint="eastAsia" w:ascii="宋体" w:hAnsi="宋体" w:eastAsia="宋体" w:cs="宋体"/>
          <w:color w:val="auto"/>
          <w:highlight w:val="none"/>
        </w:rPr>
      </w:pPr>
    </w:p>
    <w:p w14:paraId="0FB2FDCF">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提供</w:t>
      </w:r>
      <w:r>
        <w:rPr>
          <w:rFonts w:hint="eastAsia" w:ascii="宋体" w:hAnsi="Cambria" w:eastAsia="宋体" w:cs="宋体"/>
          <w:color w:val="auto"/>
          <w:kern w:val="0"/>
          <w:sz w:val="24"/>
          <w:szCs w:val="22"/>
          <w:highlight w:val="none"/>
          <w:lang w:val="zh-CN" w:eastAsia="zh-CN" w:bidi="ar-SA"/>
        </w:rPr>
        <w:t xml:space="preserve"> 20</w:t>
      </w:r>
      <w:r>
        <w:rPr>
          <w:rFonts w:hint="eastAsia" w:ascii="宋体" w:hAnsi="Cambria" w:cs="宋体"/>
          <w:color w:val="auto"/>
          <w:kern w:val="0"/>
          <w:sz w:val="24"/>
          <w:szCs w:val="22"/>
          <w:highlight w:val="none"/>
          <w:lang w:val="en-US" w:eastAsia="zh-CN" w:bidi="ar-SA"/>
        </w:rPr>
        <w:t>23</w:t>
      </w:r>
      <w:r>
        <w:rPr>
          <w:rFonts w:hint="eastAsia" w:ascii="宋体" w:hAnsi="Cambria" w:eastAsia="宋体" w:cs="宋体"/>
          <w:color w:val="auto"/>
          <w:kern w:val="0"/>
          <w:sz w:val="24"/>
          <w:szCs w:val="22"/>
          <w:highlight w:val="none"/>
          <w:lang w:val="zh-CN" w:eastAsia="zh-CN" w:bidi="ar-SA"/>
        </w:rPr>
        <w:t>年</w:t>
      </w:r>
      <w:r>
        <w:rPr>
          <w:rFonts w:hint="eastAsia" w:ascii="宋体" w:hAnsi="Cambria" w:cs="宋体"/>
          <w:color w:val="auto"/>
          <w:kern w:val="0"/>
          <w:sz w:val="24"/>
          <w:szCs w:val="22"/>
          <w:highlight w:val="none"/>
          <w:lang w:val="en-US" w:eastAsia="zh-CN" w:bidi="ar-SA"/>
        </w:rPr>
        <w:t>1月1日</w:t>
      </w:r>
      <w:r>
        <w:rPr>
          <w:rFonts w:hint="eastAsia" w:ascii="宋体" w:hAnsi="Cambria" w:eastAsia="宋体" w:cs="宋体"/>
          <w:color w:val="auto"/>
          <w:kern w:val="0"/>
          <w:sz w:val="24"/>
          <w:szCs w:val="22"/>
          <w:highlight w:val="none"/>
          <w:lang w:val="zh-CN" w:eastAsia="zh-CN" w:bidi="ar-SA"/>
        </w:rPr>
        <w:t>以来的</w:t>
      </w:r>
      <w:r>
        <w:rPr>
          <w:rFonts w:hint="eastAsia" w:ascii="宋体" w:hAnsi="宋体" w:eastAsia="宋体" w:cs="宋体"/>
          <w:color w:val="auto"/>
          <w:highlight w:val="none"/>
        </w:rPr>
        <w:t>类似业绩证明材料（</w:t>
      </w:r>
      <w:r>
        <w:rPr>
          <w:rFonts w:hint="eastAsia" w:ascii="宋体" w:hAnsi="宋体" w:cs="宋体"/>
          <w:spacing w:val="1"/>
          <w:sz w:val="24"/>
          <w:szCs w:val="24"/>
          <w:highlight w:val="none"/>
          <w:lang w:val="en-US" w:eastAsia="zh-CN"/>
        </w:rPr>
        <w:t>合同(以合同签订时间为准)，合同</w:t>
      </w:r>
      <w:r>
        <w:rPr>
          <w:rFonts w:hint="eastAsia" w:ascii="宋体" w:hAnsi="宋体" w:cs="宋体"/>
          <w:spacing w:val="1"/>
          <w:sz w:val="24"/>
          <w:szCs w:val="24"/>
          <w:highlight w:val="none"/>
          <w:lang w:val="zh-CN"/>
        </w:rPr>
        <w:t>需提供包含合同首页、标的及金额所在页、签字盖章页的合同复印(扫描)件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674AE499">
      <w:pPr>
        <w:bidi w:val="0"/>
        <w:rPr>
          <w:rFonts w:hint="eastAsia" w:ascii="宋体" w:hAnsi="宋体" w:eastAsia="宋体" w:cs="宋体"/>
          <w:color w:val="auto"/>
          <w:highlight w:val="none"/>
        </w:rPr>
      </w:pPr>
    </w:p>
    <w:p w14:paraId="378D10CD">
      <w:pPr>
        <w:bidi w:val="0"/>
        <w:rPr>
          <w:rFonts w:hint="eastAsia" w:ascii="宋体" w:hAnsi="宋体" w:eastAsia="宋体" w:cs="宋体"/>
          <w:color w:val="auto"/>
          <w:highlight w:val="none"/>
        </w:rPr>
      </w:pPr>
    </w:p>
    <w:p w14:paraId="0D581EDC">
      <w:pPr>
        <w:bidi w:val="0"/>
        <w:rPr>
          <w:rFonts w:hint="eastAsia" w:ascii="宋体" w:hAnsi="宋体" w:eastAsia="宋体" w:cs="宋体"/>
          <w:color w:val="auto"/>
          <w:highlight w:val="none"/>
        </w:rPr>
      </w:pPr>
    </w:p>
    <w:p w14:paraId="180AAF2A">
      <w:pPr>
        <w:bidi w:val="0"/>
        <w:rPr>
          <w:rFonts w:hint="eastAsia" w:ascii="宋体" w:hAnsi="宋体" w:eastAsia="宋体" w:cs="宋体"/>
          <w:color w:val="auto"/>
          <w:highlight w:val="none"/>
        </w:rPr>
      </w:pPr>
    </w:p>
    <w:p w14:paraId="2659275A">
      <w:pPr>
        <w:bidi w:val="0"/>
        <w:rPr>
          <w:rFonts w:hint="eastAsia" w:ascii="宋体" w:hAnsi="宋体" w:eastAsia="宋体" w:cs="宋体"/>
          <w:color w:val="auto"/>
          <w:highlight w:val="none"/>
        </w:rPr>
      </w:pPr>
    </w:p>
    <w:p w14:paraId="7DCFB0DC">
      <w:pPr>
        <w:bidi w:val="0"/>
        <w:rPr>
          <w:rFonts w:hint="eastAsia" w:ascii="宋体" w:hAnsi="宋体" w:eastAsia="宋体" w:cs="宋体"/>
          <w:color w:val="auto"/>
          <w:highlight w:val="none"/>
        </w:rPr>
      </w:pPr>
    </w:p>
    <w:p w14:paraId="487B40D9">
      <w:pPr>
        <w:bidi w:val="0"/>
        <w:rPr>
          <w:rFonts w:hint="eastAsia" w:ascii="宋体" w:hAnsi="宋体" w:eastAsia="宋体" w:cs="宋体"/>
          <w:color w:val="auto"/>
          <w:highlight w:val="none"/>
        </w:rPr>
      </w:pPr>
    </w:p>
    <w:p w14:paraId="7097E347">
      <w:pPr>
        <w:bidi w:val="0"/>
        <w:rPr>
          <w:rFonts w:hint="eastAsia" w:ascii="宋体" w:hAnsi="宋体" w:eastAsia="宋体" w:cs="宋体"/>
          <w:color w:val="auto"/>
          <w:highlight w:val="none"/>
        </w:rPr>
      </w:pPr>
    </w:p>
    <w:p w14:paraId="3D7AFD06">
      <w:pPr>
        <w:bidi w:val="0"/>
        <w:rPr>
          <w:rFonts w:hint="eastAsia" w:ascii="宋体" w:hAnsi="宋体" w:eastAsia="宋体" w:cs="宋体"/>
          <w:color w:val="auto"/>
          <w:highlight w:val="none"/>
        </w:rPr>
      </w:pPr>
    </w:p>
    <w:p w14:paraId="10632357">
      <w:pPr>
        <w:bidi w:val="0"/>
        <w:rPr>
          <w:rFonts w:hint="eastAsia" w:ascii="宋体" w:hAnsi="宋体" w:eastAsia="宋体" w:cs="宋体"/>
          <w:color w:val="auto"/>
          <w:highlight w:val="none"/>
        </w:rPr>
      </w:pPr>
    </w:p>
    <w:p w14:paraId="57C0AA34">
      <w:pPr>
        <w:bidi w:val="0"/>
        <w:rPr>
          <w:rFonts w:hint="eastAsia" w:ascii="宋体" w:hAnsi="宋体" w:eastAsia="宋体" w:cs="宋体"/>
          <w:color w:val="auto"/>
          <w:highlight w:val="none"/>
        </w:rPr>
      </w:pPr>
    </w:p>
    <w:p w14:paraId="404E2898">
      <w:pPr>
        <w:bidi w:val="0"/>
        <w:rPr>
          <w:rFonts w:hint="eastAsia" w:ascii="宋体" w:hAnsi="宋体" w:eastAsia="宋体" w:cs="宋体"/>
          <w:color w:val="auto"/>
          <w:highlight w:val="none"/>
        </w:rPr>
      </w:pPr>
    </w:p>
    <w:p w14:paraId="64479A1C">
      <w:pPr>
        <w:bidi w:val="0"/>
        <w:rPr>
          <w:rFonts w:hint="eastAsia" w:ascii="宋体" w:hAnsi="宋体" w:eastAsia="宋体" w:cs="宋体"/>
          <w:color w:val="auto"/>
          <w:highlight w:val="none"/>
        </w:rPr>
      </w:pPr>
    </w:p>
    <w:p w14:paraId="27D71402">
      <w:pPr>
        <w:bidi w:val="0"/>
        <w:rPr>
          <w:rFonts w:hint="eastAsia" w:ascii="宋体" w:hAnsi="宋体" w:eastAsia="宋体" w:cs="宋体"/>
          <w:color w:val="auto"/>
          <w:highlight w:val="none"/>
        </w:rPr>
      </w:pPr>
    </w:p>
    <w:p w14:paraId="491F03EE">
      <w:pPr>
        <w:bidi w:val="0"/>
        <w:rPr>
          <w:rFonts w:hint="eastAsia" w:ascii="宋体" w:hAnsi="宋体" w:eastAsia="宋体" w:cs="宋体"/>
          <w:color w:val="auto"/>
          <w:highlight w:val="none"/>
        </w:rPr>
      </w:pPr>
    </w:p>
    <w:p w14:paraId="5DF137F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C47DF60">
      <w:pPr>
        <w:pStyle w:val="5"/>
        <w:bidi w:val="0"/>
        <w:jc w:val="both"/>
        <w:rPr>
          <w:rFonts w:hint="eastAsia" w:ascii="宋体" w:hAnsi="宋体" w:eastAsia="宋体" w:cs="宋体"/>
          <w:color w:val="auto"/>
          <w:highlight w:val="none"/>
        </w:rPr>
      </w:pPr>
      <w:bookmarkStart w:id="167" w:name="_Toc824"/>
      <w:r>
        <w:rPr>
          <w:rFonts w:hint="eastAsia" w:ascii="宋体" w:hAnsi="宋体" w:eastAsia="宋体" w:cs="宋体"/>
          <w:color w:val="auto"/>
          <w:highlight w:val="none"/>
        </w:rPr>
        <w:t>附件1</w:t>
      </w:r>
      <w:bookmarkStart w:id="168" w:name="_Toc376936781"/>
      <w:bookmarkStart w:id="169" w:name="_Toc325726049"/>
      <w:r>
        <w:rPr>
          <w:rFonts w:hint="eastAsia" w:ascii="宋体" w:hAnsi="宋体" w:cs="宋体"/>
          <w:color w:val="auto"/>
          <w:highlight w:val="none"/>
          <w:lang w:val="en-US" w:eastAsia="zh-CN"/>
        </w:rPr>
        <w:t>6</w:t>
      </w:r>
      <w:r>
        <w:rPr>
          <w:rFonts w:hint="eastAsia" w:ascii="宋体" w:hAnsi="宋体" w:eastAsia="宋体" w:cs="宋体"/>
          <w:color w:val="auto"/>
          <w:highlight w:val="none"/>
        </w:rPr>
        <w:t>：</w:t>
      </w:r>
      <w:bookmarkEnd w:id="168"/>
      <w:bookmarkEnd w:id="169"/>
      <w:r>
        <w:rPr>
          <w:rFonts w:hint="eastAsia" w:ascii="宋体" w:hAnsi="宋体" w:eastAsia="宋体" w:cs="宋体"/>
          <w:color w:val="auto"/>
          <w:highlight w:val="none"/>
        </w:rPr>
        <w:t>服务能力与方案</w:t>
      </w:r>
      <w:bookmarkEnd w:id="167"/>
      <w:bookmarkStart w:id="170" w:name="_Toc91517357"/>
      <w:bookmarkStart w:id="171" w:name="_Toc91517563"/>
      <w:bookmarkStart w:id="172" w:name="_Toc416363470"/>
      <w:bookmarkStart w:id="173" w:name="_Toc21098"/>
    </w:p>
    <w:p w14:paraId="118D4549">
      <w:pPr>
        <w:pStyle w:val="8"/>
        <w:rPr>
          <w:rFonts w:hint="eastAsia"/>
          <w:highlight w:val="none"/>
        </w:rPr>
      </w:pPr>
    </w:p>
    <w:p w14:paraId="25211596">
      <w:pPr>
        <w:bidi w:val="0"/>
        <w:rPr>
          <w:rFonts w:hint="eastAsia" w:ascii="宋体" w:hAnsi="宋体" w:eastAsia="宋体" w:cs="宋体"/>
          <w:color w:val="auto"/>
          <w:highlight w:val="none"/>
        </w:rPr>
      </w:pPr>
      <w:r>
        <w:rPr>
          <w:rFonts w:hint="eastAsia" w:ascii="宋体" w:hAnsi="宋体" w:eastAsia="宋体" w:cs="宋体"/>
          <w:color w:val="auto"/>
          <w:highlight w:val="none"/>
        </w:rPr>
        <w:t>根据采购项目内容及评分标准，提供详细的服务方案等。</w:t>
      </w:r>
      <w:bookmarkEnd w:id="170"/>
      <w:bookmarkEnd w:id="171"/>
    </w:p>
    <w:p w14:paraId="18710DEF">
      <w:pPr>
        <w:bidi w:val="0"/>
        <w:rPr>
          <w:rFonts w:hint="eastAsia" w:ascii="宋体" w:hAnsi="宋体" w:eastAsia="宋体" w:cs="宋体"/>
          <w:color w:val="auto"/>
          <w:highlight w:val="none"/>
          <w:lang w:val="zh-CN"/>
        </w:rPr>
      </w:pPr>
    </w:p>
    <w:p w14:paraId="0426F772">
      <w:pPr>
        <w:bidi w:val="0"/>
        <w:rPr>
          <w:rFonts w:hint="eastAsia" w:ascii="宋体" w:hAnsi="宋体" w:eastAsia="宋体" w:cs="宋体"/>
          <w:color w:val="auto"/>
          <w:highlight w:val="none"/>
          <w:lang w:val="zh-CN"/>
        </w:rPr>
      </w:pPr>
    </w:p>
    <w:p w14:paraId="0089CBB0">
      <w:pPr>
        <w:bidi w:val="0"/>
        <w:rPr>
          <w:rFonts w:hint="eastAsia" w:ascii="宋体" w:hAnsi="宋体" w:eastAsia="宋体" w:cs="宋体"/>
          <w:color w:val="auto"/>
          <w:highlight w:val="none"/>
          <w:lang w:val="zh-CN"/>
        </w:rPr>
      </w:pPr>
    </w:p>
    <w:p w14:paraId="4DD1E143">
      <w:pPr>
        <w:bidi w:val="0"/>
        <w:rPr>
          <w:rFonts w:hint="eastAsia" w:ascii="宋体" w:hAnsi="宋体" w:eastAsia="宋体" w:cs="宋体"/>
          <w:color w:val="auto"/>
          <w:highlight w:val="none"/>
          <w:lang w:val="zh-CN"/>
        </w:rPr>
      </w:pPr>
    </w:p>
    <w:p w14:paraId="20C088EE">
      <w:pPr>
        <w:bidi w:val="0"/>
        <w:rPr>
          <w:rFonts w:hint="eastAsia" w:ascii="宋体" w:hAnsi="宋体" w:eastAsia="宋体" w:cs="宋体"/>
          <w:color w:val="auto"/>
          <w:highlight w:val="none"/>
          <w:lang w:val="zh-CN"/>
        </w:rPr>
      </w:pPr>
    </w:p>
    <w:p w14:paraId="6049E927">
      <w:pPr>
        <w:bidi w:val="0"/>
        <w:rPr>
          <w:rFonts w:hint="eastAsia" w:ascii="宋体" w:hAnsi="宋体" w:eastAsia="宋体" w:cs="宋体"/>
          <w:color w:val="auto"/>
          <w:highlight w:val="none"/>
          <w:lang w:val="zh-CN"/>
        </w:rPr>
      </w:pPr>
    </w:p>
    <w:p w14:paraId="5EA26501">
      <w:pPr>
        <w:bidi w:val="0"/>
        <w:rPr>
          <w:rFonts w:hint="eastAsia" w:ascii="宋体" w:hAnsi="宋体" w:eastAsia="宋体" w:cs="宋体"/>
          <w:color w:val="auto"/>
          <w:highlight w:val="none"/>
          <w:lang w:val="zh-CN"/>
        </w:rPr>
      </w:pPr>
    </w:p>
    <w:p w14:paraId="3F702F60">
      <w:pPr>
        <w:bidi w:val="0"/>
        <w:rPr>
          <w:rFonts w:hint="eastAsia" w:ascii="宋体" w:hAnsi="宋体" w:eastAsia="宋体" w:cs="宋体"/>
          <w:color w:val="auto"/>
          <w:highlight w:val="none"/>
          <w:lang w:val="zh-CN"/>
        </w:rPr>
      </w:pPr>
    </w:p>
    <w:p w14:paraId="6D0A333A">
      <w:pPr>
        <w:bidi w:val="0"/>
        <w:rPr>
          <w:rFonts w:hint="eastAsia" w:ascii="宋体" w:hAnsi="宋体" w:eastAsia="宋体" w:cs="宋体"/>
          <w:color w:val="auto"/>
          <w:highlight w:val="none"/>
          <w:lang w:val="zh-CN"/>
        </w:rPr>
      </w:pPr>
    </w:p>
    <w:p w14:paraId="28CF29BA">
      <w:pPr>
        <w:bidi w:val="0"/>
        <w:rPr>
          <w:rFonts w:hint="eastAsia" w:ascii="宋体" w:hAnsi="宋体" w:eastAsia="宋体" w:cs="宋体"/>
          <w:color w:val="auto"/>
          <w:highlight w:val="none"/>
          <w:lang w:val="zh-CN"/>
        </w:rPr>
      </w:pPr>
    </w:p>
    <w:p w14:paraId="137BF0A4">
      <w:pPr>
        <w:bidi w:val="0"/>
        <w:rPr>
          <w:rFonts w:hint="eastAsia" w:ascii="宋体" w:hAnsi="宋体" w:eastAsia="宋体" w:cs="宋体"/>
          <w:color w:val="auto"/>
          <w:highlight w:val="none"/>
          <w:lang w:val="zh-CN"/>
        </w:rPr>
      </w:pPr>
    </w:p>
    <w:p w14:paraId="3B8BB3B1">
      <w:pPr>
        <w:bidi w:val="0"/>
        <w:rPr>
          <w:rFonts w:hint="eastAsia" w:ascii="宋体" w:hAnsi="宋体" w:eastAsia="宋体" w:cs="宋体"/>
          <w:color w:val="auto"/>
          <w:highlight w:val="none"/>
          <w:lang w:val="zh-CN"/>
        </w:rPr>
      </w:pPr>
    </w:p>
    <w:p w14:paraId="519A8B2D">
      <w:pPr>
        <w:bidi w:val="0"/>
        <w:rPr>
          <w:rFonts w:hint="eastAsia" w:ascii="宋体" w:hAnsi="宋体" w:eastAsia="宋体" w:cs="宋体"/>
          <w:color w:val="auto"/>
          <w:highlight w:val="none"/>
          <w:lang w:val="zh-CN"/>
        </w:rPr>
      </w:pPr>
    </w:p>
    <w:p w14:paraId="47A79799">
      <w:pPr>
        <w:bidi w:val="0"/>
        <w:rPr>
          <w:rFonts w:hint="eastAsia" w:ascii="宋体" w:hAnsi="宋体" w:eastAsia="宋体" w:cs="宋体"/>
          <w:color w:val="auto"/>
          <w:highlight w:val="none"/>
          <w:lang w:val="zh-CN"/>
        </w:rPr>
      </w:pPr>
    </w:p>
    <w:p w14:paraId="5C9D6921">
      <w:pPr>
        <w:bidi w:val="0"/>
        <w:rPr>
          <w:rFonts w:hint="eastAsia" w:ascii="宋体" w:hAnsi="宋体" w:eastAsia="宋体" w:cs="宋体"/>
          <w:color w:val="auto"/>
          <w:highlight w:val="none"/>
          <w:lang w:val="zh-CN"/>
        </w:rPr>
      </w:pPr>
    </w:p>
    <w:p w14:paraId="64EA45E8">
      <w:pPr>
        <w:bidi w:val="0"/>
        <w:rPr>
          <w:rFonts w:hint="eastAsia" w:ascii="宋体" w:hAnsi="宋体" w:eastAsia="宋体" w:cs="宋体"/>
          <w:color w:val="auto"/>
          <w:highlight w:val="none"/>
          <w:lang w:val="zh-CN"/>
        </w:rPr>
      </w:pPr>
    </w:p>
    <w:p w14:paraId="44129D9A">
      <w:pPr>
        <w:bidi w:val="0"/>
        <w:rPr>
          <w:rFonts w:hint="eastAsia" w:ascii="宋体" w:hAnsi="宋体" w:eastAsia="宋体" w:cs="宋体"/>
          <w:color w:val="auto"/>
          <w:highlight w:val="none"/>
          <w:lang w:val="zh-CN"/>
        </w:rPr>
      </w:pPr>
    </w:p>
    <w:p w14:paraId="05EFB87D">
      <w:pPr>
        <w:bidi w:val="0"/>
        <w:rPr>
          <w:rFonts w:hint="eastAsia" w:ascii="宋体" w:hAnsi="宋体" w:eastAsia="宋体" w:cs="宋体"/>
          <w:color w:val="auto"/>
          <w:highlight w:val="none"/>
        </w:rPr>
      </w:pPr>
    </w:p>
    <w:p w14:paraId="398DCBE9">
      <w:pPr>
        <w:bidi w:val="0"/>
        <w:rPr>
          <w:rFonts w:hint="eastAsia" w:ascii="宋体" w:hAnsi="宋体" w:eastAsia="宋体" w:cs="宋体"/>
          <w:color w:val="auto"/>
          <w:highlight w:val="none"/>
        </w:rPr>
      </w:pPr>
    </w:p>
    <w:p w14:paraId="1D5FA273">
      <w:pPr>
        <w:bidi w:val="0"/>
        <w:rPr>
          <w:rFonts w:hint="eastAsia" w:ascii="宋体" w:hAnsi="宋体" w:eastAsia="宋体" w:cs="宋体"/>
          <w:color w:val="auto"/>
          <w:highlight w:val="none"/>
        </w:rPr>
      </w:pPr>
    </w:p>
    <w:p w14:paraId="5AB5022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55B8B5B">
      <w:pPr>
        <w:pStyle w:val="5"/>
        <w:bidi w:val="0"/>
        <w:jc w:val="both"/>
        <w:rPr>
          <w:rFonts w:hint="eastAsia" w:ascii="宋体" w:hAnsi="宋体" w:eastAsia="宋体" w:cs="宋体"/>
          <w:color w:val="auto"/>
          <w:highlight w:val="none"/>
        </w:rPr>
      </w:pPr>
      <w:bookmarkStart w:id="174" w:name="_Toc25285"/>
      <w:r>
        <w:rPr>
          <w:rFonts w:hint="eastAsia" w:ascii="宋体" w:hAnsi="宋体" w:eastAsia="宋体" w:cs="宋体"/>
          <w:color w:val="auto"/>
          <w:highlight w:val="none"/>
        </w:rPr>
        <w:t>附件1</w:t>
      </w:r>
      <w:r>
        <w:rPr>
          <w:rFonts w:hint="eastAsia" w:ascii="宋体" w:hAnsi="宋体" w:cs="宋体"/>
          <w:color w:val="auto"/>
          <w:highlight w:val="none"/>
          <w:lang w:val="en-US" w:eastAsia="zh-CN"/>
        </w:rPr>
        <w:t>7</w:t>
      </w:r>
      <w:r>
        <w:rPr>
          <w:rFonts w:hint="eastAsia" w:ascii="宋体" w:hAnsi="宋体" w:eastAsia="宋体" w:cs="宋体"/>
          <w:color w:val="auto"/>
          <w:highlight w:val="none"/>
        </w:rPr>
        <w:t>：最终报价表</w:t>
      </w:r>
      <w:bookmarkEnd w:id="172"/>
      <w:bookmarkEnd w:id="173"/>
      <w:bookmarkEnd w:id="174"/>
    </w:p>
    <w:p w14:paraId="3C9F0295">
      <w:pPr>
        <w:bidi w:val="0"/>
        <w:rPr>
          <w:rFonts w:hint="eastAsia" w:ascii="宋体" w:hAnsi="宋体" w:eastAsia="宋体" w:cs="宋体"/>
          <w:color w:val="auto"/>
          <w:highlight w:val="none"/>
        </w:rPr>
      </w:pPr>
    </w:p>
    <w:p w14:paraId="175D21DA">
      <w:pPr>
        <w:bidi w:val="0"/>
        <w:ind w:left="0" w:leftChars="0" w:firstLine="0" w:firstLineChars="0"/>
        <w:jc w:val="center"/>
        <w:rPr>
          <w:rFonts w:hint="eastAsia" w:ascii="宋体" w:hAnsi="宋体" w:eastAsia="宋体" w:cs="宋体"/>
          <w:b/>
          <w:bCs/>
          <w:color w:val="auto"/>
          <w:sz w:val="32"/>
          <w:szCs w:val="32"/>
          <w:highlight w:val="none"/>
          <w:lang w:val="zh-CN"/>
        </w:rPr>
      </w:pPr>
      <w:bookmarkStart w:id="175" w:name="_Toc408326292"/>
      <w:r>
        <w:rPr>
          <w:rFonts w:hint="eastAsia" w:ascii="宋体" w:hAnsi="宋体" w:eastAsia="宋体" w:cs="宋体"/>
          <w:b/>
          <w:bCs/>
          <w:color w:val="auto"/>
          <w:sz w:val="32"/>
          <w:szCs w:val="32"/>
          <w:highlight w:val="none"/>
          <w:lang w:val="zh-CN"/>
        </w:rPr>
        <w:t>最终报价</w:t>
      </w:r>
      <w:bookmarkEnd w:id="175"/>
      <w:r>
        <w:rPr>
          <w:rFonts w:hint="eastAsia" w:ascii="宋体" w:hAnsi="宋体" w:eastAsia="宋体" w:cs="宋体"/>
          <w:b/>
          <w:bCs/>
          <w:color w:val="auto"/>
          <w:sz w:val="32"/>
          <w:szCs w:val="32"/>
          <w:highlight w:val="none"/>
          <w:lang w:val="zh-CN"/>
        </w:rPr>
        <w:t>表</w:t>
      </w:r>
    </w:p>
    <w:p w14:paraId="08F3FD1E">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val="en-US" w:eastAsia="zh-CN"/>
        </w:rPr>
        <w:t xml:space="preserve">                                                </w:t>
      </w:r>
    </w:p>
    <w:tbl>
      <w:tblPr>
        <w:tblStyle w:val="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6318"/>
      </w:tblGrid>
      <w:tr w14:paraId="7B81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vAlign w:val="center"/>
          </w:tcPr>
          <w:p w14:paraId="17EC3C46">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6318" w:type="dxa"/>
            <w:vAlign w:val="center"/>
          </w:tcPr>
          <w:p w14:paraId="145F67CF">
            <w:pPr>
              <w:pStyle w:val="13"/>
              <w:bidi w:val="0"/>
              <w:rPr>
                <w:rFonts w:hint="eastAsia" w:ascii="宋体" w:hAnsi="宋体" w:eastAsia="宋体" w:cs="宋体"/>
                <w:color w:val="auto"/>
                <w:highlight w:val="none"/>
              </w:rPr>
            </w:pPr>
          </w:p>
        </w:tc>
      </w:tr>
      <w:tr w14:paraId="035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vAlign w:val="center"/>
          </w:tcPr>
          <w:p w14:paraId="77E924A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eastAsia="宋体" w:cs="宋体"/>
                <w:color w:val="auto"/>
                <w:highlight w:val="none"/>
                <w:lang w:val="zh-CN"/>
              </w:rPr>
              <w:t>报价（</w:t>
            </w:r>
            <w:r>
              <w:rPr>
                <w:rFonts w:hint="eastAsia" w:ascii="宋体" w:hAnsi="宋体" w:eastAsia="宋体" w:cs="宋体"/>
                <w:color w:val="auto"/>
                <w:highlight w:val="none"/>
              </w:rPr>
              <w:t>元</w:t>
            </w:r>
            <w:r>
              <w:rPr>
                <w:rFonts w:hint="eastAsia" w:ascii="宋体" w:hAnsi="宋体" w:eastAsia="宋体" w:cs="宋体"/>
                <w:color w:val="auto"/>
                <w:highlight w:val="none"/>
                <w:lang w:val="zh-CN"/>
              </w:rPr>
              <w:t>）</w:t>
            </w:r>
          </w:p>
        </w:tc>
        <w:tc>
          <w:tcPr>
            <w:tcW w:w="6318" w:type="dxa"/>
            <w:vAlign w:val="center"/>
          </w:tcPr>
          <w:p w14:paraId="6AA53E6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w:t>
            </w:r>
          </w:p>
          <w:p w14:paraId="31B267DF">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zh-CN"/>
              </w:rPr>
              <w:t>小写：</w:t>
            </w:r>
          </w:p>
        </w:tc>
      </w:tr>
      <w:tr w14:paraId="1160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vAlign w:val="center"/>
          </w:tcPr>
          <w:p w14:paraId="4CDA9056">
            <w:pPr>
              <w:bidi w:val="0"/>
              <w:ind w:left="0" w:leftChars="0" w:firstLine="0" w:firstLineChars="0"/>
              <w:rPr>
                <w:rFonts w:hint="eastAsia" w:ascii="宋体" w:hAnsi="宋体" w:eastAsia="宋体" w:cs="宋体"/>
                <w:color w:val="auto"/>
                <w:highlight w:val="none"/>
                <w:lang w:val="en-US" w:eastAsia="zh-CN"/>
              </w:rPr>
            </w:pPr>
            <w:r>
              <w:rPr>
                <w:rFonts w:hint="eastAsia" w:ascii="宋体" w:hAnsi="宋体"/>
                <w:color w:val="auto"/>
                <w:sz w:val="24"/>
                <w:highlight w:val="none"/>
              </w:rPr>
              <w:t>服务期：</w:t>
            </w:r>
          </w:p>
        </w:tc>
        <w:tc>
          <w:tcPr>
            <w:tcW w:w="6318" w:type="dxa"/>
            <w:vAlign w:val="center"/>
          </w:tcPr>
          <w:p w14:paraId="22FCC173">
            <w:pPr>
              <w:pStyle w:val="13"/>
              <w:bidi w:val="0"/>
              <w:rPr>
                <w:rFonts w:hint="eastAsia" w:ascii="宋体" w:hAnsi="宋体" w:eastAsia="宋体" w:cs="宋体"/>
                <w:color w:val="auto"/>
                <w:highlight w:val="none"/>
              </w:rPr>
            </w:pPr>
          </w:p>
        </w:tc>
      </w:tr>
      <w:tr w14:paraId="0A75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vAlign w:val="center"/>
          </w:tcPr>
          <w:p w14:paraId="21B48200">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优惠承诺及其他</w:t>
            </w:r>
          </w:p>
        </w:tc>
        <w:tc>
          <w:tcPr>
            <w:tcW w:w="6318" w:type="dxa"/>
            <w:vAlign w:val="center"/>
          </w:tcPr>
          <w:p w14:paraId="06447AAB">
            <w:pPr>
              <w:pStyle w:val="13"/>
              <w:bidi w:val="0"/>
              <w:rPr>
                <w:rFonts w:hint="eastAsia" w:ascii="宋体" w:hAnsi="宋体" w:eastAsia="宋体" w:cs="宋体"/>
                <w:color w:val="auto"/>
                <w:highlight w:val="none"/>
              </w:rPr>
            </w:pPr>
          </w:p>
        </w:tc>
      </w:tr>
    </w:tbl>
    <w:p w14:paraId="21E15D8E">
      <w:pPr>
        <w:bidi w:val="0"/>
        <w:rPr>
          <w:rFonts w:hint="eastAsia" w:ascii="宋体" w:hAnsi="宋体" w:eastAsia="宋体" w:cs="宋体"/>
          <w:color w:val="auto"/>
          <w:highlight w:val="none"/>
        </w:rPr>
      </w:pPr>
      <w:r>
        <w:rPr>
          <w:rFonts w:hint="eastAsia" w:ascii="宋体" w:hAnsi="宋体" w:eastAsia="宋体" w:cs="宋体"/>
          <w:color w:val="auto"/>
          <w:highlight w:val="none"/>
        </w:rPr>
        <w:t>注：1、磋商报价为总报价。必须包括</w:t>
      </w:r>
      <w:r>
        <w:rPr>
          <w:rFonts w:hint="eastAsia" w:ascii="宋体" w:hAnsi="宋体" w:cs="宋体"/>
          <w:color w:val="auto"/>
          <w:highlight w:val="none"/>
          <w:lang w:val="en-US" w:eastAsia="zh-CN"/>
        </w:rPr>
        <w:t>设备租赁费、</w:t>
      </w:r>
      <w:r>
        <w:rPr>
          <w:rFonts w:hint="eastAsia" w:ascii="宋体" w:hAnsi="宋体" w:eastAsia="宋体" w:cs="宋体"/>
          <w:color w:val="auto"/>
          <w:highlight w:val="none"/>
        </w:rPr>
        <w:t>服务费、人员工资、管理费、</w:t>
      </w:r>
      <w:r>
        <w:rPr>
          <w:rFonts w:hint="eastAsia" w:ascii="宋体" w:hAnsi="宋体" w:cs="宋体"/>
          <w:color w:val="auto"/>
          <w:highlight w:val="none"/>
          <w:lang w:val="en-US" w:eastAsia="zh-CN"/>
        </w:rPr>
        <w:t>培训费、</w:t>
      </w:r>
      <w:r>
        <w:rPr>
          <w:rFonts w:hint="eastAsia" w:ascii="宋体" w:hAnsi="宋体" w:eastAsia="宋体" w:cs="宋体"/>
          <w:color w:val="auto"/>
          <w:highlight w:val="none"/>
        </w:rPr>
        <w:t>验收费、手续费、保险费、</w:t>
      </w:r>
      <w:r>
        <w:rPr>
          <w:rFonts w:hint="eastAsia" w:ascii="宋体" w:hAnsi="宋体" w:cs="宋体"/>
          <w:color w:val="auto"/>
          <w:highlight w:val="none"/>
          <w:lang w:eastAsia="zh-CN"/>
        </w:rPr>
        <w:t>差旅费、</w:t>
      </w:r>
      <w:r>
        <w:rPr>
          <w:rFonts w:hint="eastAsia" w:ascii="宋体" w:hAnsi="宋体" w:eastAsia="宋体" w:cs="宋体"/>
          <w:color w:val="auto"/>
          <w:highlight w:val="none"/>
          <w:lang w:eastAsia="zh-CN"/>
        </w:rPr>
        <w:t>成交服务费</w:t>
      </w:r>
      <w:r>
        <w:rPr>
          <w:rFonts w:hint="eastAsia" w:ascii="宋体" w:hAnsi="宋体" w:eastAsia="宋体" w:cs="宋体"/>
          <w:color w:val="auto"/>
          <w:highlight w:val="none"/>
        </w:rPr>
        <w:t>及服务过程中包含的不可预见等全部费用。</w:t>
      </w:r>
    </w:p>
    <w:p w14:paraId="6194F6C7">
      <w:pPr>
        <w:bidi w:val="0"/>
        <w:rPr>
          <w:rFonts w:hint="eastAsia" w:ascii="宋体" w:hAnsi="宋体" w:eastAsia="宋体" w:cs="宋体"/>
          <w:color w:val="auto"/>
          <w:highlight w:val="none"/>
        </w:rPr>
      </w:pPr>
      <w:r>
        <w:rPr>
          <w:rFonts w:hint="eastAsia" w:ascii="宋体" w:hAnsi="宋体" w:eastAsia="宋体" w:cs="宋体"/>
          <w:b/>
          <w:bCs/>
          <w:color w:val="auto"/>
          <w:highlight w:val="none"/>
        </w:rPr>
        <w:t>2、此表在磋商期间，由磋商小组确定合格的供应商后，在政采云平台线上填写。</w:t>
      </w:r>
    </w:p>
    <w:p w14:paraId="059FE57E">
      <w:pPr>
        <w:bidi w:val="0"/>
        <w:rPr>
          <w:rFonts w:hint="eastAsia" w:ascii="宋体" w:hAnsi="宋体" w:eastAsia="宋体" w:cs="宋体"/>
          <w:color w:val="auto"/>
          <w:highlight w:val="none"/>
        </w:rPr>
      </w:pPr>
    </w:p>
    <w:p w14:paraId="4F1AE434">
      <w:pPr>
        <w:bidi w:val="0"/>
        <w:rPr>
          <w:rFonts w:hint="eastAsia" w:ascii="宋体" w:hAnsi="宋体" w:eastAsia="宋体" w:cs="宋体"/>
          <w:color w:val="auto"/>
          <w:highlight w:val="none"/>
        </w:rPr>
      </w:pPr>
    </w:p>
    <w:p w14:paraId="249F577D">
      <w:pPr>
        <w:bidi w:val="0"/>
        <w:rPr>
          <w:rFonts w:hint="eastAsia" w:ascii="宋体" w:hAnsi="宋体" w:eastAsia="宋体" w:cs="宋体"/>
          <w:color w:val="auto"/>
          <w:highlight w:val="none"/>
        </w:rPr>
      </w:pPr>
    </w:p>
    <w:p w14:paraId="17327620">
      <w:pPr>
        <w:bidi w:val="0"/>
        <w:jc w:val="center"/>
        <w:rPr>
          <w:rFonts w:hint="eastAsia" w:ascii="宋体" w:hAnsi="宋体" w:eastAsia="宋体" w:cs="宋体"/>
          <w:b/>
          <w:bCs/>
          <w:color w:val="auto"/>
          <w:highlight w:val="none"/>
          <w:lang w:val="zh-CN"/>
        </w:rPr>
      </w:pPr>
      <w:bookmarkStart w:id="176" w:name="_Toc31842"/>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65563C7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0A0EB073">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6E418D07">
      <w:pPr>
        <w:bidi w:val="0"/>
        <w:rPr>
          <w:rFonts w:hint="eastAsia" w:ascii="宋体" w:hAnsi="宋体" w:eastAsia="宋体" w:cs="宋体"/>
          <w:color w:val="auto"/>
          <w:highlight w:val="none"/>
        </w:rPr>
      </w:pPr>
    </w:p>
    <w:p w14:paraId="10558F84">
      <w:pPr>
        <w:bidi w:val="0"/>
        <w:rPr>
          <w:rFonts w:hint="eastAsia" w:ascii="宋体" w:hAnsi="宋体" w:eastAsia="宋体" w:cs="宋体"/>
          <w:color w:val="auto"/>
          <w:highlight w:val="none"/>
        </w:rPr>
      </w:pPr>
    </w:p>
    <w:p w14:paraId="531F4D36">
      <w:pPr>
        <w:bidi w:val="0"/>
        <w:rPr>
          <w:rFonts w:hint="eastAsia" w:ascii="宋体" w:hAnsi="宋体" w:eastAsia="宋体" w:cs="宋体"/>
          <w:color w:val="auto"/>
          <w:highlight w:val="none"/>
        </w:rPr>
      </w:pPr>
    </w:p>
    <w:p w14:paraId="7417DB13">
      <w:pPr>
        <w:bidi w:val="0"/>
        <w:rPr>
          <w:rFonts w:hint="eastAsia" w:ascii="宋体" w:hAnsi="宋体" w:eastAsia="宋体" w:cs="宋体"/>
          <w:color w:val="auto"/>
          <w:highlight w:val="none"/>
        </w:rPr>
      </w:pPr>
    </w:p>
    <w:p w14:paraId="414BC1EA">
      <w:pPr>
        <w:bidi w:val="0"/>
        <w:rPr>
          <w:rFonts w:hint="eastAsia" w:ascii="宋体" w:hAnsi="宋体" w:eastAsia="宋体" w:cs="宋体"/>
          <w:color w:val="auto"/>
          <w:highlight w:val="none"/>
        </w:rPr>
      </w:pPr>
    </w:p>
    <w:p w14:paraId="41BF5DAF">
      <w:pPr>
        <w:bidi w:val="0"/>
        <w:rPr>
          <w:rFonts w:hint="eastAsia" w:ascii="宋体" w:hAnsi="宋体" w:eastAsia="宋体" w:cs="宋体"/>
          <w:color w:val="auto"/>
          <w:highlight w:val="none"/>
        </w:rPr>
      </w:pPr>
    </w:p>
    <w:p w14:paraId="7478917B">
      <w:pPr>
        <w:bidi w:val="0"/>
        <w:ind w:left="0" w:leftChars="0" w:firstLine="0" w:firstLineChars="0"/>
        <w:rPr>
          <w:rFonts w:hint="eastAsia" w:ascii="宋体" w:hAnsi="宋体" w:eastAsia="宋体" w:cs="宋体"/>
          <w:color w:val="auto"/>
          <w:highlight w:val="none"/>
        </w:rPr>
      </w:pPr>
    </w:p>
    <w:p w14:paraId="4FD77F8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4CD897">
      <w:pPr>
        <w:pStyle w:val="5"/>
        <w:bidi w:val="0"/>
        <w:jc w:val="both"/>
        <w:rPr>
          <w:rFonts w:hint="eastAsia" w:ascii="宋体" w:hAnsi="宋体" w:eastAsia="宋体" w:cs="宋体"/>
          <w:color w:val="auto"/>
          <w:highlight w:val="none"/>
          <w:lang w:eastAsia="zh-CN"/>
        </w:rPr>
      </w:pPr>
      <w:bookmarkStart w:id="177" w:name="_Toc12846"/>
      <w:r>
        <w:rPr>
          <w:rFonts w:hint="eastAsia" w:ascii="宋体" w:hAnsi="宋体" w:eastAsia="宋体" w:cs="宋体"/>
          <w:color w:val="auto"/>
          <w:highlight w:val="none"/>
        </w:rPr>
        <w:t>附件1</w:t>
      </w:r>
      <w:r>
        <w:rPr>
          <w:rFonts w:hint="eastAsia" w:ascii="宋体" w:hAnsi="宋体" w:cs="宋体"/>
          <w:color w:val="auto"/>
          <w:highlight w:val="none"/>
          <w:lang w:val="en-US" w:eastAsia="zh-CN"/>
        </w:rPr>
        <w:t>8</w:t>
      </w:r>
      <w:r>
        <w:rPr>
          <w:rFonts w:hint="eastAsia" w:ascii="宋体" w:hAnsi="宋体" w:eastAsia="宋体" w:cs="宋体"/>
          <w:color w:val="auto"/>
          <w:highlight w:val="none"/>
        </w:rPr>
        <w:t>：</w:t>
      </w:r>
      <w:bookmarkEnd w:id="176"/>
      <w:r>
        <w:rPr>
          <w:rFonts w:hint="eastAsia" w:ascii="宋体" w:hAnsi="宋体" w:eastAsia="宋体" w:cs="宋体"/>
          <w:color w:val="auto"/>
          <w:highlight w:val="none"/>
          <w:lang w:eastAsia="zh-CN"/>
        </w:rPr>
        <w:t>供应商认为在其他方面有必要说明的事项</w:t>
      </w:r>
      <w:bookmarkEnd w:id="177"/>
    </w:p>
    <w:p w14:paraId="442B88F5">
      <w:pPr>
        <w:bidi w:val="0"/>
        <w:ind w:left="0" w:leftChars="0" w:firstLine="0" w:firstLineChars="0"/>
        <w:jc w:val="center"/>
        <w:rPr>
          <w:rFonts w:hint="eastAsia" w:ascii="宋体" w:hAnsi="宋体" w:eastAsia="宋体" w:cs="宋体"/>
          <w:b/>
          <w:bCs/>
          <w:color w:val="auto"/>
          <w:sz w:val="32"/>
          <w:szCs w:val="32"/>
          <w:highlight w:val="none"/>
          <w:lang w:val="zh-CN"/>
        </w:rPr>
      </w:pPr>
    </w:p>
    <w:p w14:paraId="59CEE6A7">
      <w:pPr>
        <w:bidi w:val="0"/>
        <w:ind w:left="0" w:leftChars="0" w:firstLine="0" w:firstLineChars="0"/>
        <w:jc w:val="center"/>
        <w:rPr>
          <w:rFonts w:hint="eastAsia" w:ascii="宋体" w:hAnsi="宋体" w:eastAsia="宋体" w:cs="宋体"/>
          <w:b/>
          <w:bCs/>
          <w:color w:val="auto"/>
          <w:sz w:val="32"/>
          <w:szCs w:val="32"/>
          <w:highlight w:val="none"/>
          <w:lang w:val="zh-CN"/>
        </w:rPr>
      </w:pPr>
    </w:p>
    <w:p w14:paraId="33365594">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供应商认为在其他方面有必要说明的事项</w:t>
      </w:r>
    </w:p>
    <w:p w14:paraId="4E97888D">
      <w:pPr>
        <w:bidi w:val="0"/>
        <w:rPr>
          <w:rFonts w:hint="eastAsia" w:ascii="宋体" w:hAnsi="宋体" w:eastAsia="宋体" w:cs="宋体"/>
          <w:color w:val="auto"/>
          <w:highlight w:val="none"/>
          <w:lang w:val="zh-CN"/>
        </w:rPr>
      </w:pPr>
      <w:bookmarkStart w:id="178" w:name="_Toc25058"/>
      <w:bookmarkStart w:id="179" w:name="_Toc74901848"/>
      <w:bookmarkStart w:id="180" w:name="_Toc69898423"/>
    </w:p>
    <w:p w14:paraId="7F3E6F11">
      <w:pPr>
        <w:bidi w:val="0"/>
        <w:rPr>
          <w:rFonts w:hint="eastAsia" w:ascii="宋体" w:hAnsi="宋体" w:eastAsia="宋体" w:cs="宋体"/>
          <w:color w:val="auto"/>
          <w:highlight w:val="none"/>
          <w:lang w:val="zh-CN"/>
        </w:rPr>
      </w:pPr>
    </w:p>
    <w:p w14:paraId="781E306D">
      <w:pPr>
        <w:bidi w:val="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格式自拟</w:t>
      </w:r>
      <w:bookmarkEnd w:id="178"/>
    </w:p>
    <w:p w14:paraId="5F82EA68">
      <w:pPr>
        <w:bidi w:val="0"/>
        <w:rPr>
          <w:rFonts w:hint="eastAsia" w:ascii="宋体" w:hAnsi="宋体" w:eastAsia="宋体" w:cs="宋体"/>
          <w:color w:val="auto"/>
          <w:highlight w:val="none"/>
          <w:lang w:val="zh-CN"/>
        </w:rPr>
      </w:pPr>
    </w:p>
    <w:bookmarkEnd w:id="179"/>
    <w:bookmarkEnd w:id="180"/>
    <w:p w14:paraId="3228E932">
      <w:pPr>
        <w:bidi w:val="0"/>
        <w:rPr>
          <w:rFonts w:hint="eastAsia" w:ascii="宋体" w:hAnsi="宋体" w:eastAsia="宋体" w:cs="宋体"/>
          <w:color w:val="auto"/>
          <w:highlight w:val="none"/>
          <w:lang w:val="zh-CN" w:eastAsia="zh-CN"/>
        </w:rPr>
      </w:pPr>
      <w:bookmarkStart w:id="181" w:name="_Toc6454"/>
      <w:bookmarkStart w:id="182" w:name="_Toc22784_WPSOffice_Level3"/>
      <w:bookmarkStart w:id="183" w:name="_Toc31539"/>
      <w:bookmarkStart w:id="184" w:name="_Toc325726051"/>
      <w:bookmarkStart w:id="185" w:name="_Toc376936782"/>
    </w:p>
    <w:p w14:paraId="6AB366E8">
      <w:pPr>
        <w:bidi w:val="0"/>
        <w:rPr>
          <w:rFonts w:hint="eastAsia" w:ascii="宋体" w:hAnsi="宋体" w:eastAsia="宋体" w:cs="宋体"/>
          <w:color w:val="auto"/>
          <w:highlight w:val="none"/>
          <w:lang w:val="zh-CN"/>
        </w:rPr>
      </w:pPr>
    </w:p>
    <w:p w14:paraId="718BC45C">
      <w:pPr>
        <w:bidi w:val="0"/>
        <w:rPr>
          <w:rFonts w:hint="eastAsia" w:ascii="宋体" w:hAnsi="宋体" w:eastAsia="宋体" w:cs="宋体"/>
          <w:color w:val="auto"/>
          <w:highlight w:val="none"/>
          <w:lang w:val="zh-CN"/>
        </w:rPr>
      </w:pPr>
    </w:p>
    <w:p w14:paraId="592854C5">
      <w:pPr>
        <w:bidi w:val="0"/>
        <w:rPr>
          <w:rFonts w:hint="eastAsia" w:ascii="宋体" w:hAnsi="宋体" w:eastAsia="宋体" w:cs="宋体"/>
          <w:color w:val="auto"/>
          <w:highlight w:val="none"/>
          <w:lang w:val="zh-CN"/>
        </w:rPr>
      </w:pPr>
    </w:p>
    <w:p w14:paraId="0F75D769">
      <w:pPr>
        <w:bidi w:val="0"/>
        <w:rPr>
          <w:rFonts w:hint="eastAsia" w:ascii="宋体" w:hAnsi="宋体" w:eastAsia="宋体" w:cs="宋体"/>
          <w:color w:val="auto"/>
          <w:highlight w:val="none"/>
          <w:lang w:val="zh-CN"/>
        </w:rPr>
      </w:pPr>
    </w:p>
    <w:p w14:paraId="4D905F71">
      <w:pPr>
        <w:bidi w:val="0"/>
        <w:rPr>
          <w:rFonts w:hint="eastAsia" w:ascii="宋体" w:hAnsi="宋体" w:eastAsia="宋体" w:cs="宋体"/>
          <w:color w:val="auto"/>
          <w:highlight w:val="none"/>
          <w:lang w:val="zh-CN"/>
        </w:rPr>
      </w:pPr>
    </w:p>
    <w:p w14:paraId="6D5328C1">
      <w:pPr>
        <w:bidi w:val="0"/>
        <w:rPr>
          <w:rFonts w:hint="eastAsia" w:ascii="宋体" w:hAnsi="宋体" w:eastAsia="宋体" w:cs="宋体"/>
          <w:color w:val="auto"/>
          <w:highlight w:val="none"/>
          <w:lang w:val="zh-CN"/>
        </w:rPr>
      </w:pPr>
    </w:p>
    <w:p w14:paraId="5BAD77C4">
      <w:pPr>
        <w:bidi w:val="0"/>
        <w:rPr>
          <w:rFonts w:hint="eastAsia" w:ascii="宋体" w:hAnsi="宋体" w:eastAsia="宋体" w:cs="宋体"/>
          <w:color w:val="auto"/>
          <w:highlight w:val="none"/>
          <w:lang w:val="zh-CN"/>
        </w:rPr>
      </w:pPr>
    </w:p>
    <w:p w14:paraId="14566D19">
      <w:pPr>
        <w:bidi w:val="0"/>
        <w:rPr>
          <w:rFonts w:hint="eastAsia" w:ascii="宋体" w:hAnsi="宋体" w:eastAsia="宋体" w:cs="宋体"/>
          <w:color w:val="auto"/>
          <w:highlight w:val="none"/>
          <w:lang w:val="zh-CN"/>
        </w:rPr>
      </w:pPr>
    </w:p>
    <w:p w14:paraId="0D19838C">
      <w:pPr>
        <w:bidi w:val="0"/>
        <w:rPr>
          <w:rFonts w:hint="eastAsia" w:ascii="宋体" w:hAnsi="宋体" w:eastAsia="宋体" w:cs="宋体"/>
          <w:color w:val="auto"/>
          <w:highlight w:val="none"/>
          <w:lang w:val="zh-CN"/>
        </w:rPr>
      </w:pPr>
    </w:p>
    <w:p w14:paraId="64F9A8BA">
      <w:pPr>
        <w:bidi w:val="0"/>
        <w:rPr>
          <w:rFonts w:hint="eastAsia" w:ascii="宋体" w:hAnsi="宋体" w:eastAsia="宋体" w:cs="宋体"/>
          <w:color w:val="auto"/>
          <w:highlight w:val="none"/>
          <w:lang w:val="zh-CN"/>
        </w:rPr>
      </w:pPr>
    </w:p>
    <w:p w14:paraId="75C1C16F">
      <w:pPr>
        <w:bidi w:val="0"/>
        <w:rPr>
          <w:rFonts w:hint="eastAsia" w:ascii="宋体" w:hAnsi="宋体" w:eastAsia="宋体" w:cs="宋体"/>
          <w:color w:val="auto"/>
          <w:highlight w:val="none"/>
          <w:lang w:val="zh-CN"/>
        </w:rPr>
      </w:pPr>
    </w:p>
    <w:p w14:paraId="482FDDAE">
      <w:pPr>
        <w:bidi w:val="0"/>
        <w:rPr>
          <w:rFonts w:hint="eastAsia" w:ascii="宋体" w:hAnsi="宋体" w:eastAsia="宋体" w:cs="宋体"/>
          <w:color w:val="auto"/>
          <w:highlight w:val="none"/>
          <w:lang w:val="zh-CN"/>
        </w:rPr>
      </w:pPr>
    </w:p>
    <w:p w14:paraId="75956D3C">
      <w:pPr>
        <w:bidi w:val="0"/>
        <w:rPr>
          <w:rFonts w:hint="eastAsia" w:ascii="宋体" w:hAnsi="宋体" w:eastAsia="宋体" w:cs="宋体"/>
          <w:color w:val="auto"/>
          <w:highlight w:val="none"/>
          <w:lang w:val="zh-CN"/>
        </w:rPr>
      </w:pPr>
    </w:p>
    <w:p w14:paraId="6738F024">
      <w:pPr>
        <w:bidi w:val="0"/>
        <w:rPr>
          <w:rFonts w:hint="eastAsia" w:ascii="宋体" w:hAnsi="宋体" w:eastAsia="宋体" w:cs="宋体"/>
          <w:color w:val="auto"/>
          <w:highlight w:val="none"/>
          <w:lang w:val="zh-CN"/>
        </w:rPr>
      </w:pPr>
    </w:p>
    <w:p w14:paraId="3EAE4034">
      <w:pPr>
        <w:bidi w:val="0"/>
        <w:rPr>
          <w:rFonts w:hint="eastAsia" w:ascii="宋体" w:hAnsi="宋体" w:eastAsia="宋体" w:cs="宋体"/>
          <w:color w:val="auto"/>
          <w:highlight w:val="none"/>
          <w:lang w:val="zh-CN"/>
        </w:rPr>
      </w:pPr>
    </w:p>
    <w:p w14:paraId="71ACCC87">
      <w:pPr>
        <w:bidi w:val="0"/>
        <w:rPr>
          <w:rFonts w:hint="eastAsia" w:ascii="宋体" w:hAnsi="宋体" w:eastAsia="宋体" w:cs="宋体"/>
          <w:color w:val="auto"/>
          <w:highlight w:val="none"/>
          <w:lang w:val="zh-CN"/>
        </w:rPr>
      </w:pPr>
    </w:p>
    <w:p w14:paraId="1841A4C9">
      <w:pPr>
        <w:bidi w:val="0"/>
        <w:rPr>
          <w:rFonts w:hint="eastAsia" w:ascii="宋体" w:hAnsi="宋体" w:eastAsia="宋体" w:cs="宋体"/>
          <w:color w:val="auto"/>
          <w:highlight w:val="none"/>
          <w:lang w:val="zh-CN"/>
        </w:rPr>
      </w:pPr>
    </w:p>
    <w:p w14:paraId="321D9ED6">
      <w:pPr>
        <w:rPr>
          <w:rFonts w:hint="eastAsia" w:ascii="宋体" w:hAnsi="宋体" w:eastAsia="宋体" w:cs="宋体"/>
          <w:smallCaps/>
          <w:color w:val="auto"/>
          <w:spacing w:val="20"/>
          <w:sz w:val="28"/>
          <w:szCs w:val="28"/>
          <w:highlight w:val="none"/>
        </w:rPr>
      </w:pPr>
      <w:r>
        <w:rPr>
          <w:rFonts w:hint="eastAsia" w:ascii="宋体" w:hAnsi="宋体" w:eastAsia="宋体" w:cs="宋体"/>
          <w:smallCaps/>
          <w:color w:val="auto"/>
          <w:spacing w:val="20"/>
          <w:sz w:val="28"/>
          <w:szCs w:val="28"/>
          <w:highlight w:val="none"/>
        </w:rPr>
        <w:br w:type="page"/>
      </w:r>
    </w:p>
    <w:p w14:paraId="589D2452">
      <w:pPr>
        <w:pStyle w:val="5"/>
        <w:bidi w:val="0"/>
        <w:jc w:val="both"/>
        <w:rPr>
          <w:rFonts w:hint="eastAsia" w:ascii="宋体" w:hAnsi="宋体" w:eastAsia="宋体" w:cs="宋体"/>
          <w:color w:val="auto"/>
          <w:highlight w:val="none"/>
        </w:rPr>
      </w:pPr>
      <w:bookmarkStart w:id="186" w:name="_Toc24821"/>
      <w:r>
        <w:rPr>
          <w:rFonts w:hint="eastAsia" w:ascii="宋体" w:hAnsi="宋体" w:eastAsia="宋体" w:cs="宋体"/>
          <w:color w:val="auto"/>
          <w:highlight w:val="none"/>
        </w:rPr>
        <w:t>附件</w:t>
      </w:r>
      <w:r>
        <w:rPr>
          <w:rFonts w:hint="eastAsia" w:ascii="宋体" w:hAnsi="宋体" w:cs="宋体"/>
          <w:color w:val="auto"/>
          <w:highlight w:val="none"/>
          <w:lang w:val="en-US" w:eastAsia="zh-CN"/>
        </w:rPr>
        <w:t>19</w:t>
      </w:r>
      <w:r>
        <w:rPr>
          <w:rFonts w:hint="eastAsia" w:ascii="宋体" w:hAnsi="宋体" w:eastAsia="宋体" w:cs="宋体"/>
          <w:color w:val="auto"/>
          <w:highlight w:val="none"/>
        </w:rPr>
        <w:t>：享受政府采购政策优惠的证明资料</w:t>
      </w:r>
      <w:bookmarkEnd w:id="186"/>
    </w:p>
    <w:p w14:paraId="6C9AAD9E">
      <w:pPr>
        <w:bidi w:val="0"/>
        <w:ind w:left="0" w:leftChars="0" w:firstLine="0" w:firstLineChars="0"/>
        <w:rPr>
          <w:rFonts w:hint="eastAsia" w:ascii="宋体" w:hAnsi="宋体" w:eastAsia="宋体" w:cs="宋体"/>
          <w:color w:val="auto"/>
          <w:highlight w:val="none"/>
        </w:rPr>
      </w:pPr>
    </w:p>
    <w:p w14:paraId="5D0A1B1F">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1.中小企业声明函</w:t>
      </w:r>
      <w:bookmarkEnd w:id="181"/>
      <w:bookmarkEnd w:id="182"/>
      <w:bookmarkEnd w:id="183"/>
      <w:r>
        <w:rPr>
          <w:rFonts w:hint="eastAsia" w:ascii="宋体" w:hAnsi="宋体" w:eastAsia="宋体" w:cs="宋体"/>
          <w:b/>
          <w:bCs/>
          <w:color w:val="auto"/>
          <w:sz w:val="32"/>
          <w:szCs w:val="32"/>
          <w:highlight w:val="none"/>
          <w:lang w:val="zh-CN"/>
        </w:rPr>
        <w:t>（服务）</w:t>
      </w:r>
    </w:p>
    <w:p w14:paraId="14169680">
      <w:pPr>
        <w:bidi w:val="0"/>
        <w:rPr>
          <w:rFonts w:hint="eastAsia" w:ascii="宋体" w:hAnsi="宋体" w:eastAsia="宋体" w:cs="宋体"/>
          <w:color w:val="auto"/>
          <w:highlight w:val="none"/>
        </w:rPr>
      </w:pPr>
      <w:bookmarkStart w:id="187" w:name="_Toc16462_WPSOffice_Level2"/>
      <w:bookmarkStart w:id="188" w:name="_Toc22185_WPSOffice_Level2"/>
      <w:bookmarkStart w:id="189" w:name="_Toc17607_WPSOffice_Level2"/>
      <w:r>
        <w:rPr>
          <w:rFonts w:hint="eastAsia" w:ascii="宋体" w:hAnsi="宋体" w:eastAsia="宋体" w:cs="宋体"/>
          <w:color w:val="auto"/>
          <w:highlight w:val="none"/>
        </w:rPr>
        <w:t>本公司郑重声明，根据《政府采购促进中小企业发展管理办法》（财库﹝2020﹞46 号）的规定，本公司参加</w:t>
      </w:r>
      <w:r>
        <w:rPr>
          <w:rFonts w:hint="eastAsia" w:ascii="宋体" w:hAnsi="宋体" w:cs="宋体"/>
          <w:color w:val="auto"/>
          <w:highlight w:val="none"/>
          <w:u w:val="single"/>
          <w:lang w:eastAsia="zh-CN"/>
        </w:rPr>
        <w:t>青海省财政厅</w:t>
      </w:r>
      <w:r>
        <w:rPr>
          <w:rFonts w:hint="eastAsia" w:ascii="宋体" w:hAnsi="宋体" w:eastAsia="宋体" w:cs="宋体"/>
          <w:color w:val="auto"/>
          <w:highlight w:val="none"/>
        </w:rPr>
        <w:t>的</w:t>
      </w:r>
      <w:r>
        <w:rPr>
          <w:rFonts w:hint="eastAsia" w:ascii="宋体" w:hAnsi="宋体" w:cs="宋体"/>
          <w:color w:val="auto"/>
          <w:highlight w:val="none"/>
          <w:u w:val="single"/>
          <w:lang w:val="zh-CN"/>
        </w:rPr>
        <w:t>青海省财政厅信息机房设备维保服务项目</w:t>
      </w:r>
      <w:r>
        <w:rPr>
          <w:rFonts w:hint="eastAsia" w:ascii="宋体" w:hAnsi="宋体" w:eastAsia="宋体" w:cs="宋体"/>
          <w:color w:val="auto"/>
          <w:highlight w:val="none"/>
        </w:rPr>
        <w:t>采购活动，服务全部由符合政策要求的中小企业承接。相关企业的具体情况如下：</w:t>
      </w:r>
    </w:p>
    <w:p w14:paraId="0578596F">
      <w:pPr>
        <w:bidi w:val="0"/>
        <w:rPr>
          <w:rFonts w:hint="eastAsia" w:ascii="宋体" w:hAnsi="宋体" w:eastAsia="宋体" w:cs="宋体"/>
          <w:color w:val="auto"/>
          <w:highlight w:val="none"/>
        </w:rPr>
      </w:pPr>
      <w:r>
        <w:rPr>
          <w:rFonts w:hint="eastAsia" w:ascii="宋体" w:hAnsi="宋体" w:cs="宋体"/>
          <w:color w:val="auto"/>
          <w:highlight w:val="none"/>
          <w:u w:val="single"/>
          <w:lang w:val="zh-CN"/>
        </w:rPr>
        <w:t>青海省财政厅信息机房设备维保服务项目</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软件和信息技术服务业</w:t>
      </w:r>
      <w:r>
        <w:rPr>
          <w:rFonts w:hint="eastAsia" w:ascii="宋体" w:hAnsi="宋体" w:eastAsia="宋体" w:cs="宋体"/>
          <w:color w:val="auto"/>
          <w:highlight w:val="none"/>
          <w:u w:val="single"/>
        </w:rPr>
        <w:t>）</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（中型企业、小型企业、微型企业）</w:t>
      </w:r>
      <w:r>
        <w:rPr>
          <w:rFonts w:hint="eastAsia" w:ascii="宋体" w:hAnsi="宋体" w:eastAsia="宋体" w:cs="宋体"/>
          <w:color w:val="auto"/>
          <w:highlight w:val="none"/>
        </w:rPr>
        <w:t>；</w:t>
      </w:r>
    </w:p>
    <w:p w14:paraId="31B38AF5">
      <w:pPr>
        <w:bidi w:val="0"/>
        <w:rPr>
          <w:rFonts w:hint="eastAsia" w:ascii="宋体" w:hAnsi="宋体" w:eastAsia="宋体" w:cs="宋体"/>
          <w:color w:val="auto"/>
          <w:highlight w:val="none"/>
        </w:rPr>
      </w:pPr>
    </w:p>
    <w:p w14:paraId="5A6779FF">
      <w:pPr>
        <w:bidi w:val="0"/>
        <w:rPr>
          <w:rFonts w:hint="eastAsia" w:ascii="宋体" w:hAnsi="宋体" w:eastAsia="宋体" w:cs="宋体"/>
          <w:color w:val="auto"/>
          <w:highlight w:val="none"/>
        </w:rPr>
      </w:pPr>
      <w:r>
        <w:rPr>
          <w:rFonts w:hint="eastAsia" w:ascii="宋体" w:hAnsi="宋体" w:eastAsia="宋体" w:cs="宋体"/>
          <w:color w:val="auto"/>
          <w:highlight w:val="none"/>
        </w:rPr>
        <w:t>……</w:t>
      </w:r>
    </w:p>
    <w:p w14:paraId="478B13D9">
      <w:pPr>
        <w:bidi w:val="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1E75839F">
      <w:pPr>
        <w:bidi w:val="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5AC11BD">
      <w:pPr>
        <w:bidi w:val="0"/>
        <w:rPr>
          <w:rFonts w:hint="eastAsia" w:ascii="宋体" w:hAnsi="宋体" w:eastAsia="宋体" w:cs="宋体"/>
          <w:color w:val="auto"/>
          <w:highlight w:val="none"/>
        </w:rPr>
      </w:pPr>
    </w:p>
    <w:p w14:paraId="7ABA54D8">
      <w:pPr>
        <w:bidi w:val="0"/>
        <w:rPr>
          <w:rFonts w:hint="eastAsia" w:ascii="宋体" w:hAnsi="宋体" w:eastAsia="宋体" w:cs="宋体"/>
          <w:color w:val="auto"/>
          <w:highlight w:val="none"/>
        </w:rPr>
      </w:pPr>
    </w:p>
    <w:p w14:paraId="31ABB073">
      <w:pPr>
        <w:bidi w:val="0"/>
        <w:rPr>
          <w:rFonts w:hint="eastAsia" w:ascii="宋体" w:hAnsi="宋体" w:eastAsia="宋体" w:cs="宋体"/>
          <w:color w:val="auto"/>
          <w:highlight w:val="none"/>
        </w:rPr>
      </w:pPr>
    </w:p>
    <w:p w14:paraId="707B6D03">
      <w:pPr>
        <w:wordWrap w:val="0"/>
        <w:bidi w:val="0"/>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企业名称（盖章）：</w:t>
      </w:r>
      <w:r>
        <w:rPr>
          <w:rFonts w:hint="eastAsia" w:ascii="宋体" w:hAnsi="宋体" w:eastAsia="宋体" w:cs="宋体"/>
          <w:color w:val="auto"/>
          <w:highlight w:val="none"/>
          <w:lang w:val="en-US" w:eastAsia="zh-CN"/>
        </w:rPr>
        <w:t xml:space="preserve">   </w:t>
      </w:r>
    </w:p>
    <w:p w14:paraId="7B167C77">
      <w:pPr>
        <w:wordWrap w:val="0"/>
        <w:bidi w:val="0"/>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日 期：</w:t>
      </w:r>
      <w:r>
        <w:rPr>
          <w:rFonts w:hint="eastAsia" w:ascii="宋体" w:hAnsi="宋体" w:eastAsia="宋体" w:cs="宋体"/>
          <w:color w:val="auto"/>
          <w:highlight w:val="none"/>
          <w:lang w:val="en-US" w:eastAsia="zh-CN"/>
        </w:rPr>
        <w:t xml:space="preserve">   </w:t>
      </w:r>
    </w:p>
    <w:p w14:paraId="22BF9DFA">
      <w:pPr>
        <w:bidi w:val="0"/>
        <w:rPr>
          <w:rFonts w:hint="eastAsia" w:ascii="宋体" w:hAnsi="宋体" w:eastAsia="宋体" w:cs="宋体"/>
          <w:color w:val="auto"/>
          <w:highlight w:val="none"/>
        </w:rPr>
      </w:pPr>
    </w:p>
    <w:p w14:paraId="5E21790E">
      <w:pPr>
        <w:bidi w:val="0"/>
        <w:rPr>
          <w:rFonts w:hint="eastAsia" w:ascii="宋体" w:hAnsi="宋体" w:eastAsia="宋体" w:cs="宋体"/>
          <w:color w:val="auto"/>
          <w:highlight w:val="none"/>
        </w:rPr>
      </w:pPr>
    </w:p>
    <w:p w14:paraId="19237C56">
      <w:pPr>
        <w:bidi w:val="0"/>
        <w:rPr>
          <w:rFonts w:hint="eastAsia" w:ascii="宋体" w:hAnsi="宋体" w:eastAsia="宋体" w:cs="宋体"/>
          <w:color w:val="auto"/>
          <w:highlight w:val="none"/>
        </w:rPr>
      </w:pPr>
    </w:p>
    <w:p w14:paraId="3898017C">
      <w:pPr>
        <w:bidi w:val="0"/>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vertAlign w:val="superscript"/>
        </w:rPr>
        <w:t>1</w:t>
      </w:r>
      <w:r>
        <w:rPr>
          <w:rFonts w:hint="eastAsia" w:ascii="宋体" w:hAnsi="宋体" w:eastAsia="宋体" w:cs="宋体"/>
          <w:color w:val="auto"/>
          <w:highlight w:val="none"/>
        </w:rPr>
        <w:t>从业人员、营业收入、资产总额填报上一年度数据，无上一年度数据的新成立企业可不填报。</w:t>
      </w:r>
    </w:p>
    <w:p w14:paraId="0AF5AE2C">
      <w:pPr>
        <w:bidi w:val="0"/>
        <w:rPr>
          <w:rFonts w:hint="default" w:ascii="宋体" w:hAnsi="宋体" w:eastAsia="宋体" w:cs="宋体"/>
          <w:color w:val="auto"/>
          <w:highlight w:val="none"/>
          <w:lang w:val="en-US" w:eastAsia="zh-CN"/>
        </w:rPr>
      </w:pPr>
    </w:p>
    <w:p w14:paraId="17D122BE">
      <w:pPr>
        <w:bidi w:val="0"/>
        <w:rPr>
          <w:rFonts w:hint="eastAsia" w:ascii="宋体" w:hAnsi="宋体" w:eastAsia="宋体" w:cs="宋体"/>
          <w:color w:val="auto"/>
          <w:highlight w:val="none"/>
        </w:rPr>
      </w:pPr>
      <w:r>
        <w:rPr>
          <w:rFonts w:hint="eastAsia" w:ascii="宋体" w:hAnsi="宋体" w:eastAsia="宋体" w:cs="宋体"/>
          <w:color w:val="auto"/>
          <w:highlight w:val="none"/>
        </w:rPr>
        <w:t>若无此项内容，可不提供此函。</w:t>
      </w:r>
    </w:p>
    <w:bookmarkEnd w:id="187"/>
    <w:bookmarkEnd w:id="188"/>
    <w:bookmarkEnd w:id="189"/>
    <w:p w14:paraId="2AE0FF46">
      <w:pPr>
        <w:pStyle w:val="8"/>
        <w:rPr>
          <w:rFonts w:hint="eastAsia" w:ascii="宋体" w:hAnsi="宋体" w:eastAsia="宋体" w:cs="宋体"/>
          <w:color w:val="auto"/>
          <w:highlight w:val="none"/>
        </w:rPr>
      </w:pPr>
      <w:bookmarkStart w:id="190" w:name="_Toc11740"/>
      <w:bookmarkStart w:id="191" w:name="_Toc12160"/>
      <w:bookmarkStart w:id="192" w:name="_Toc14211_WPSOffice_Level3"/>
    </w:p>
    <w:p w14:paraId="4D931612">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2.残疾人福利性单位声明函</w:t>
      </w:r>
      <w:bookmarkEnd w:id="190"/>
      <w:bookmarkEnd w:id="191"/>
      <w:bookmarkEnd w:id="192"/>
    </w:p>
    <w:p w14:paraId="07DC928F">
      <w:pPr>
        <w:bidi w:val="0"/>
        <w:rPr>
          <w:rFonts w:hint="eastAsia" w:ascii="宋体" w:hAnsi="宋体" w:eastAsia="宋体" w:cs="宋体"/>
          <w:color w:val="auto"/>
          <w:highlight w:val="none"/>
        </w:rPr>
      </w:pPr>
    </w:p>
    <w:p w14:paraId="4B07945E">
      <w:pPr>
        <w:bidi w:val="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单位的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项目采购活动提供本单位制造的货物（由本单位承担工程/提供服务），或者提供其他残疾人福利性单位制造的货物（不包括使用非残疾人福利性单位注册商标的货物）。</w:t>
      </w:r>
    </w:p>
    <w:p w14:paraId="66A0D614">
      <w:pPr>
        <w:bidi w:val="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37FA673C">
      <w:pPr>
        <w:bidi w:val="0"/>
        <w:rPr>
          <w:rFonts w:hint="eastAsia" w:ascii="宋体" w:hAnsi="宋体" w:eastAsia="宋体" w:cs="宋体"/>
          <w:color w:val="auto"/>
          <w:highlight w:val="none"/>
        </w:rPr>
      </w:pPr>
    </w:p>
    <w:p w14:paraId="3B52ADEC">
      <w:pPr>
        <w:pStyle w:val="2"/>
        <w:ind w:firstLine="480"/>
        <w:rPr>
          <w:rFonts w:hint="eastAsia" w:ascii="宋体" w:hAnsi="宋体" w:eastAsia="宋体" w:cs="宋体"/>
          <w:color w:val="auto"/>
          <w:highlight w:val="none"/>
        </w:rPr>
      </w:pPr>
    </w:p>
    <w:p w14:paraId="59E08B2C">
      <w:pPr>
        <w:pStyle w:val="2"/>
        <w:ind w:firstLine="480"/>
        <w:rPr>
          <w:rFonts w:hint="eastAsia" w:ascii="宋体" w:hAnsi="宋体" w:eastAsia="宋体" w:cs="宋体"/>
          <w:color w:val="auto"/>
          <w:highlight w:val="none"/>
        </w:rPr>
      </w:pPr>
    </w:p>
    <w:p w14:paraId="28424206">
      <w:pPr>
        <w:pStyle w:val="2"/>
        <w:ind w:firstLine="480"/>
        <w:rPr>
          <w:rFonts w:hint="eastAsia" w:ascii="宋体" w:hAnsi="宋体" w:eastAsia="宋体" w:cs="宋体"/>
          <w:color w:val="auto"/>
          <w:highlight w:val="none"/>
        </w:rPr>
      </w:pPr>
    </w:p>
    <w:p w14:paraId="6FE34FED">
      <w:pPr>
        <w:pStyle w:val="2"/>
        <w:ind w:firstLine="480"/>
        <w:rPr>
          <w:rFonts w:hint="eastAsia" w:ascii="宋体" w:hAnsi="宋体" w:eastAsia="宋体" w:cs="宋体"/>
          <w:color w:val="auto"/>
          <w:highlight w:val="none"/>
        </w:rPr>
      </w:pPr>
    </w:p>
    <w:p w14:paraId="4BC17D63">
      <w:pPr>
        <w:bidi w:val="0"/>
        <w:rPr>
          <w:rFonts w:hint="eastAsia" w:ascii="宋体" w:hAnsi="宋体" w:eastAsia="宋体" w:cs="宋体"/>
          <w:color w:val="auto"/>
          <w:highlight w:val="none"/>
        </w:rPr>
      </w:pPr>
    </w:p>
    <w:p w14:paraId="33BBEAA9">
      <w:pPr>
        <w:bidi w:val="0"/>
        <w:rPr>
          <w:rFonts w:hint="eastAsia" w:ascii="宋体" w:hAnsi="宋体" w:eastAsia="宋体" w:cs="宋体"/>
          <w:color w:val="auto"/>
          <w:highlight w:val="none"/>
        </w:rPr>
      </w:pPr>
      <w:bookmarkStart w:id="193" w:name="_Toc9477"/>
      <w:bookmarkStart w:id="194" w:name="_Toc30801"/>
    </w:p>
    <w:p w14:paraId="34FCCF03">
      <w:pPr>
        <w:bidi w:val="0"/>
        <w:rPr>
          <w:rFonts w:hint="eastAsia" w:ascii="宋体" w:hAnsi="宋体" w:eastAsia="宋体" w:cs="宋体"/>
          <w:color w:val="auto"/>
          <w:highlight w:val="none"/>
        </w:rPr>
      </w:pPr>
    </w:p>
    <w:p w14:paraId="4365C41C">
      <w:pPr>
        <w:bidi w:val="0"/>
        <w:rPr>
          <w:rFonts w:hint="eastAsia" w:ascii="宋体" w:hAnsi="宋体" w:eastAsia="宋体" w:cs="宋体"/>
          <w:color w:val="auto"/>
          <w:highlight w:val="none"/>
        </w:rPr>
      </w:pPr>
    </w:p>
    <w:p w14:paraId="6DF19A54">
      <w:pPr>
        <w:bidi w:val="0"/>
        <w:rPr>
          <w:rFonts w:hint="eastAsia" w:ascii="宋体" w:hAnsi="宋体" w:eastAsia="宋体" w:cs="宋体"/>
          <w:color w:val="auto"/>
          <w:highlight w:val="none"/>
        </w:rPr>
      </w:pPr>
      <w:r>
        <w:rPr>
          <w:rFonts w:hint="eastAsia" w:ascii="宋体" w:hAnsi="宋体" w:eastAsia="宋体" w:cs="宋体"/>
          <w:color w:val="auto"/>
          <w:highlight w:val="none"/>
        </w:rPr>
        <w:t>若无此项内容，可不提供此函。</w:t>
      </w:r>
    </w:p>
    <w:p w14:paraId="0B1CBAA0">
      <w:pPr>
        <w:bidi w:val="0"/>
        <w:rPr>
          <w:rFonts w:hint="eastAsia" w:ascii="宋体" w:hAnsi="宋体" w:eastAsia="宋体" w:cs="宋体"/>
          <w:color w:val="auto"/>
          <w:highlight w:val="none"/>
        </w:rPr>
      </w:pPr>
    </w:p>
    <w:p w14:paraId="4E0D2B22">
      <w:pPr>
        <w:bidi w:val="0"/>
        <w:rPr>
          <w:rFonts w:hint="eastAsia" w:ascii="宋体" w:hAnsi="宋体" w:eastAsia="宋体" w:cs="宋体"/>
          <w:color w:val="auto"/>
          <w:highlight w:val="none"/>
        </w:rPr>
      </w:pPr>
    </w:p>
    <w:p w14:paraId="0269E03E">
      <w:pPr>
        <w:bidi w:val="0"/>
        <w:rPr>
          <w:rFonts w:hint="eastAsia" w:ascii="宋体" w:hAnsi="宋体" w:eastAsia="宋体" w:cs="宋体"/>
          <w:color w:val="auto"/>
          <w:highlight w:val="none"/>
        </w:rPr>
      </w:pPr>
    </w:p>
    <w:p w14:paraId="682F9AE4">
      <w:pPr>
        <w:bidi w:val="0"/>
        <w:rPr>
          <w:rFonts w:hint="eastAsia" w:ascii="宋体" w:hAnsi="宋体" w:eastAsia="宋体" w:cs="宋体"/>
          <w:color w:val="auto"/>
          <w:highlight w:val="none"/>
        </w:rPr>
      </w:pPr>
    </w:p>
    <w:p w14:paraId="7F238541">
      <w:pPr>
        <w:bidi w:val="0"/>
        <w:rPr>
          <w:rFonts w:hint="eastAsia" w:ascii="宋体" w:hAnsi="宋体" w:eastAsia="宋体" w:cs="宋体"/>
          <w:color w:val="auto"/>
          <w:highlight w:val="none"/>
        </w:rPr>
      </w:pPr>
    </w:p>
    <w:p w14:paraId="425246D8">
      <w:pPr>
        <w:bidi w:val="0"/>
        <w:rPr>
          <w:rFonts w:hint="eastAsia" w:ascii="宋体" w:hAnsi="宋体" w:eastAsia="宋体" w:cs="宋体"/>
          <w:color w:val="auto"/>
          <w:highlight w:val="none"/>
        </w:rPr>
      </w:pPr>
    </w:p>
    <w:p w14:paraId="4D8D2D23">
      <w:pPr>
        <w:bidi w:val="0"/>
        <w:rPr>
          <w:rFonts w:hint="eastAsia" w:ascii="宋体" w:hAnsi="宋体" w:eastAsia="宋体" w:cs="宋体"/>
          <w:color w:val="auto"/>
          <w:highlight w:val="none"/>
        </w:rPr>
      </w:pPr>
    </w:p>
    <w:p w14:paraId="4053DEDF">
      <w:pPr>
        <w:bidi w:val="0"/>
        <w:rPr>
          <w:rFonts w:hint="eastAsia" w:ascii="宋体" w:hAnsi="宋体" w:eastAsia="宋体" w:cs="宋体"/>
          <w:color w:val="auto"/>
          <w:highlight w:val="none"/>
        </w:rPr>
      </w:pPr>
    </w:p>
    <w:p w14:paraId="1F022FE5">
      <w:pPr>
        <w:pStyle w:val="80"/>
        <w:rPr>
          <w:rFonts w:hint="eastAsia" w:ascii="宋体" w:hAnsi="宋体" w:eastAsia="宋体" w:cs="宋体"/>
          <w:color w:val="auto"/>
          <w:highlight w:val="none"/>
        </w:rPr>
      </w:pPr>
    </w:p>
    <w:p w14:paraId="7195CDAA">
      <w:pPr>
        <w:pStyle w:val="80"/>
        <w:rPr>
          <w:rFonts w:hint="eastAsia" w:ascii="宋体" w:hAnsi="宋体" w:eastAsia="宋体" w:cs="宋体"/>
          <w:color w:val="auto"/>
          <w:highlight w:val="none"/>
        </w:rPr>
      </w:pPr>
    </w:p>
    <w:p w14:paraId="31AE2632">
      <w:pPr>
        <w:pStyle w:val="80"/>
        <w:rPr>
          <w:rFonts w:hint="eastAsia" w:ascii="宋体" w:hAnsi="宋体" w:eastAsia="宋体" w:cs="宋体"/>
          <w:color w:val="auto"/>
          <w:highlight w:val="none"/>
        </w:rPr>
      </w:pPr>
    </w:p>
    <w:p w14:paraId="3B162AB7">
      <w:pPr>
        <w:pStyle w:val="80"/>
        <w:rPr>
          <w:rFonts w:hint="eastAsia" w:ascii="宋体" w:hAnsi="宋体" w:eastAsia="宋体" w:cs="宋体"/>
          <w:color w:val="auto"/>
          <w:highlight w:val="none"/>
        </w:rPr>
      </w:pPr>
    </w:p>
    <w:p w14:paraId="756BD7FE">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3.监狱企业证明资料</w:t>
      </w:r>
      <w:bookmarkEnd w:id="193"/>
      <w:bookmarkEnd w:id="194"/>
    </w:p>
    <w:p w14:paraId="4908B25A">
      <w:pPr>
        <w:bidi w:val="0"/>
        <w:rPr>
          <w:rFonts w:hint="eastAsia" w:ascii="宋体" w:hAnsi="宋体" w:eastAsia="宋体" w:cs="宋体"/>
          <w:color w:val="auto"/>
          <w:highlight w:val="none"/>
        </w:rPr>
      </w:pPr>
    </w:p>
    <w:p w14:paraId="47D1E3A6">
      <w:pPr>
        <w:bidi w:val="0"/>
        <w:rPr>
          <w:rFonts w:hint="eastAsia" w:ascii="宋体" w:hAnsi="宋体" w:eastAsia="宋体" w:cs="宋体"/>
          <w:color w:val="auto"/>
          <w:highlight w:val="none"/>
        </w:rPr>
      </w:pPr>
      <w:r>
        <w:rPr>
          <w:rFonts w:hint="eastAsia" w:ascii="宋体" w:hAnsi="宋体" w:eastAsia="宋体" w:cs="宋体"/>
          <w:color w:val="auto"/>
          <w:highlight w:val="none"/>
        </w:rPr>
        <w:t>备注：按《财政部 司法部关于政府采购支持监狱企业发展有关问题的通知》(财库〔2014〕68号)文件规定提供证明文件（复印件）。</w:t>
      </w:r>
    </w:p>
    <w:p w14:paraId="2249E3CD">
      <w:pPr>
        <w:bidi w:val="0"/>
        <w:rPr>
          <w:rFonts w:hint="eastAsia" w:ascii="宋体" w:hAnsi="宋体" w:eastAsia="宋体" w:cs="宋体"/>
          <w:color w:val="auto"/>
          <w:highlight w:val="none"/>
        </w:rPr>
      </w:pPr>
      <w:bookmarkStart w:id="195" w:name="_Toc22071_WPSOffice_Level3"/>
    </w:p>
    <w:p w14:paraId="1F03B238">
      <w:pPr>
        <w:bidi w:val="0"/>
        <w:rPr>
          <w:rFonts w:hint="eastAsia" w:ascii="宋体" w:hAnsi="宋体" w:eastAsia="宋体" w:cs="宋体"/>
          <w:color w:val="auto"/>
          <w:highlight w:val="none"/>
        </w:rPr>
      </w:pPr>
    </w:p>
    <w:p w14:paraId="30B88B40">
      <w:pPr>
        <w:bidi w:val="0"/>
        <w:rPr>
          <w:rFonts w:hint="eastAsia" w:ascii="宋体" w:hAnsi="宋体" w:eastAsia="宋体" w:cs="宋体"/>
          <w:color w:val="auto"/>
          <w:highlight w:val="none"/>
        </w:rPr>
      </w:pPr>
    </w:p>
    <w:bookmarkEnd w:id="195"/>
    <w:p w14:paraId="381FBE03">
      <w:pPr>
        <w:bidi w:val="0"/>
        <w:rPr>
          <w:rFonts w:hint="eastAsia" w:ascii="宋体" w:hAnsi="宋体" w:eastAsia="宋体" w:cs="宋体"/>
          <w:color w:val="auto"/>
          <w:highlight w:val="none"/>
        </w:rPr>
      </w:pPr>
    </w:p>
    <w:p w14:paraId="6DC3EC76">
      <w:pPr>
        <w:bidi w:val="0"/>
        <w:rPr>
          <w:rFonts w:hint="eastAsia" w:ascii="宋体" w:hAnsi="宋体" w:eastAsia="宋体" w:cs="宋体"/>
          <w:color w:val="auto"/>
          <w:highlight w:val="none"/>
        </w:rPr>
      </w:pPr>
      <w:r>
        <w:rPr>
          <w:rFonts w:hint="eastAsia" w:ascii="宋体" w:hAnsi="宋体" w:eastAsia="宋体" w:cs="宋体"/>
          <w:color w:val="auto"/>
          <w:highlight w:val="none"/>
        </w:rPr>
        <w:t>若无此项内容，可不提供此函。</w:t>
      </w:r>
    </w:p>
    <w:p w14:paraId="5D26EDDE">
      <w:pPr>
        <w:bidi w:val="0"/>
        <w:rPr>
          <w:rFonts w:hint="eastAsia" w:ascii="宋体" w:hAnsi="宋体" w:eastAsia="宋体" w:cs="宋体"/>
          <w:color w:val="auto"/>
          <w:highlight w:val="none"/>
        </w:rPr>
      </w:pPr>
    </w:p>
    <w:p w14:paraId="0B78C666">
      <w:pPr>
        <w:bidi w:val="0"/>
        <w:rPr>
          <w:rFonts w:hint="eastAsia" w:ascii="宋体" w:hAnsi="宋体" w:eastAsia="宋体" w:cs="宋体"/>
          <w:color w:val="auto"/>
          <w:highlight w:val="none"/>
        </w:rPr>
      </w:pPr>
    </w:p>
    <w:p w14:paraId="5F45584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6AE622">
      <w:pPr>
        <w:pStyle w:val="3"/>
        <w:numPr>
          <w:ilvl w:val="0"/>
          <w:numId w:val="0"/>
        </w:numPr>
        <w:bidi w:val="0"/>
        <w:ind w:leftChars="0"/>
        <w:jc w:val="center"/>
        <w:rPr>
          <w:rFonts w:hint="eastAsia" w:ascii="宋体" w:hAnsi="宋体" w:eastAsia="宋体" w:cs="宋体"/>
          <w:color w:val="auto"/>
          <w:highlight w:val="none"/>
        </w:rPr>
      </w:pPr>
      <w:bookmarkStart w:id="196" w:name="_Toc2063"/>
      <w:r>
        <w:rPr>
          <w:rFonts w:hint="eastAsia" w:ascii="宋体" w:hAnsi="宋体" w:eastAsia="宋体" w:cs="宋体"/>
          <w:color w:val="auto"/>
          <w:highlight w:val="none"/>
        </w:rPr>
        <w:t xml:space="preserve">第六部分 </w:t>
      </w:r>
      <w:bookmarkEnd w:id="184"/>
      <w:bookmarkEnd w:id="185"/>
      <w:r>
        <w:rPr>
          <w:rFonts w:hint="eastAsia" w:ascii="宋体" w:hAnsi="宋体" w:eastAsia="宋体" w:cs="宋体"/>
          <w:color w:val="auto"/>
          <w:highlight w:val="none"/>
        </w:rPr>
        <w:t>磋商及采购项目技术要求</w:t>
      </w:r>
      <w:bookmarkEnd w:id="196"/>
    </w:p>
    <w:p w14:paraId="283C2B1B">
      <w:pPr>
        <w:ind w:firstLine="542"/>
        <w:outlineLvl w:val="1"/>
        <w:rPr>
          <w:rFonts w:ascii="宋体" w:hAnsi="宋体"/>
          <w:b/>
          <w:bCs/>
          <w:color w:val="auto"/>
          <w:sz w:val="27"/>
          <w:szCs w:val="27"/>
          <w:highlight w:val="none"/>
        </w:rPr>
      </w:pPr>
      <w:bookmarkStart w:id="197" w:name="_Toc376936784"/>
      <w:bookmarkStart w:id="198" w:name="_Toc19303"/>
      <w:bookmarkStart w:id="199" w:name="_Toc325726053"/>
      <w:bookmarkStart w:id="200" w:name="_Toc75964243"/>
      <w:bookmarkStart w:id="201" w:name="_Toc5555_WPSOffice_Level2"/>
      <w:bookmarkStart w:id="202" w:name="_Toc75964802"/>
      <w:bookmarkStart w:id="203" w:name="_Toc416183246"/>
      <w:bookmarkStart w:id="204" w:name="_Toc5173845"/>
      <w:bookmarkStart w:id="205" w:name="_Toc88839798"/>
      <w:bookmarkStart w:id="206" w:name="_Toc26595"/>
      <w:bookmarkStart w:id="207" w:name="_Toc24290"/>
      <w:bookmarkStart w:id="208" w:name="_Toc78299222"/>
      <w:bookmarkStart w:id="209" w:name="_Toc6431"/>
      <w:bookmarkStart w:id="210" w:name="_Toc73113615"/>
      <w:bookmarkStart w:id="211" w:name="_Toc118812027"/>
      <w:r>
        <w:rPr>
          <w:rFonts w:hint="eastAsia" w:ascii="宋体" w:hAnsi="宋体"/>
          <w:b/>
          <w:bCs/>
          <w:color w:val="auto"/>
          <w:sz w:val="27"/>
          <w:szCs w:val="27"/>
          <w:highlight w:val="none"/>
        </w:rPr>
        <w:t>1、投标说明</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5FB47E1">
      <w:pPr>
        <w:spacing w:line="360" w:lineRule="auto"/>
        <w:ind w:firstLine="470" w:firstLineChars="196"/>
        <w:rPr>
          <w:rFonts w:ascii="宋体" w:hAnsi="宋体"/>
          <w:color w:val="auto"/>
          <w:highlight w:val="none"/>
          <w:lang w:val="zh-CN"/>
        </w:rPr>
      </w:pPr>
      <w:r>
        <w:rPr>
          <w:rFonts w:hint="eastAsia" w:ascii="宋体" w:hAnsi="宋体"/>
          <w:color w:val="auto"/>
          <w:highlight w:val="none"/>
          <w:lang w:val="zh-CN"/>
        </w:rPr>
        <w:t>1.1</w:t>
      </w:r>
      <w:r>
        <w:rPr>
          <w:rFonts w:hint="eastAsia" w:ascii="宋体" w:hAnsi="宋体"/>
          <w:color w:val="auto"/>
          <w:highlight w:val="none"/>
        </w:rPr>
        <w:t>供应商必须对磋商文件中所有内容作为一个整体进行投标，不能拆分或少报。否则，投标无效。</w:t>
      </w:r>
    </w:p>
    <w:p w14:paraId="3D09BF09">
      <w:pPr>
        <w:widowControl w:val="0"/>
        <w:autoSpaceDE w:val="0"/>
        <w:autoSpaceDN w:val="0"/>
        <w:spacing w:line="360" w:lineRule="auto"/>
        <w:ind w:firstLine="480" w:firstLineChars="200"/>
        <w:jc w:val="both"/>
        <w:rPr>
          <w:rFonts w:hint="eastAsia" w:ascii="宋体" w:hAnsi="宋体" w:eastAsia="宋体"/>
          <w:color w:val="auto"/>
          <w:highlight w:val="none"/>
          <w:lang w:eastAsia="zh-CN"/>
        </w:rPr>
      </w:pPr>
      <w:r>
        <w:rPr>
          <w:rFonts w:hint="eastAsia" w:ascii="宋体" w:hAnsi="宋体"/>
          <w:color w:val="auto"/>
          <w:highlight w:val="none"/>
          <w:lang w:val="zh-CN"/>
        </w:rPr>
        <w:t>1.2</w:t>
      </w:r>
      <w:r>
        <w:rPr>
          <w:rFonts w:hint="eastAsia" w:ascii="宋体" w:hAnsi="宋体"/>
          <w:color w:val="auto"/>
          <w:highlight w:val="none"/>
        </w:rPr>
        <w:t>磋商报价为总报价。</w:t>
      </w:r>
      <w:r>
        <w:rPr>
          <w:rFonts w:hint="eastAsia" w:ascii="宋体" w:hAnsi="宋体" w:eastAsia="宋体" w:cs="宋体"/>
          <w:color w:val="auto"/>
          <w:highlight w:val="none"/>
        </w:rPr>
        <w:t>必须包括</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设备租赁费、</w:t>
      </w:r>
      <w:r>
        <w:rPr>
          <w:rFonts w:hint="eastAsia" w:ascii="宋体" w:hAnsi="宋体" w:eastAsia="宋体" w:cs="宋体"/>
          <w:color w:val="auto"/>
          <w:highlight w:val="none"/>
        </w:rPr>
        <w:t>服务费、人员工资、管理费、</w:t>
      </w:r>
      <w:r>
        <w:rPr>
          <w:rFonts w:hint="eastAsia" w:ascii="宋体" w:hAnsi="宋体" w:cs="宋体"/>
          <w:color w:val="auto"/>
          <w:highlight w:val="none"/>
          <w:lang w:val="en-US" w:eastAsia="zh-CN"/>
        </w:rPr>
        <w:t>培训费、</w:t>
      </w:r>
      <w:r>
        <w:rPr>
          <w:rFonts w:hint="eastAsia" w:ascii="宋体" w:hAnsi="宋体" w:eastAsia="宋体" w:cs="宋体"/>
          <w:color w:val="auto"/>
          <w:highlight w:val="none"/>
        </w:rPr>
        <w:t>验收费、手续费、保险费、</w:t>
      </w:r>
      <w:r>
        <w:rPr>
          <w:rFonts w:hint="eastAsia" w:ascii="宋体" w:hAnsi="宋体" w:cs="宋体"/>
          <w:color w:val="auto"/>
          <w:highlight w:val="none"/>
          <w:lang w:eastAsia="zh-CN"/>
        </w:rPr>
        <w:t>差旅费、</w:t>
      </w:r>
      <w:r>
        <w:rPr>
          <w:rFonts w:hint="eastAsia" w:ascii="宋体" w:hAnsi="宋体" w:eastAsia="宋体" w:cs="宋体"/>
          <w:color w:val="auto"/>
          <w:highlight w:val="none"/>
          <w:lang w:eastAsia="zh-CN"/>
        </w:rPr>
        <w:t>成交服务费</w:t>
      </w:r>
      <w:r>
        <w:rPr>
          <w:rFonts w:hint="eastAsia" w:ascii="宋体" w:hAnsi="宋体" w:eastAsia="宋体" w:cs="宋体"/>
          <w:color w:val="auto"/>
          <w:highlight w:val="none"/>
        </w:rPr>
        <w:t>及服务过程中包含的不可预见等全部费用。</w:t>
      </w:r>
    </w:p>
    <w:p w14:paraId="61A85723">
      <w:pPr>
        <w:spacing w:line="360" w:lineRule="auto"/>
        <w:ind w:firstLine="470" w:firstLineChars="196"/>
        <w:rPr>
          <w:rFonts w:ascii="宋体" w:hAnsi="宋体"/>
          <w:color w:val="auto"/>
          <w:highlight w:val="none"/>
          <w:lang w:val="zh-CN"/>
        </w:rPr>
      </w:pPr>
      <w:r>
        <w:rPr>
          <w:rFonts w:hint="eastAsia" w:ascii="宋体" w:hAnsi="宋体"/>
          <w:color w:val="auto"/>
          <w:highlight w:val="none"/>
          <w:lang w:val="zh-CN"/>
        </w:rPr>
        <w:t>1.</w:t>
      </w:r>
      <w:r>
        <w:rPr>
          <w:rFonts w:hint="eastAsia" w:ascii="宋体" w:hAnsi="宋体"/>
          <w:color w:val="auto"/>
          <w:highlight w:val="none"/>
        </w:rPr>
        <w:t>3 所</w:t>
      </w:r>
      <w:r>
        <w:rPr>
          <w:rFonts w:hint="eastAsia" w:ascii="宋体" w:hAnsi="宋体"/>
          <w:color w:val="auto"/>
          <w:highlight w:val="none"/>
          <w:lang w:val="en-US" w:eastAsia="zh-CN"/>
        </w:rPr>
        <w:t>提供的服务</w:t>
      </w:r>
      <w:r>
        <w:rPr>
          <w:rFonts w:hint="eastAsia" w:ascii="宋体" w:hAnsi="宋体"/>
          <w:color w:val="auto"/>
          <w:highlight w:val="none"/>
        </w:rPr>
        <w:t>或其任何一部分不得侵犯专利权、著作权、商标权和工业设计权等知识产权。</w:t>
      </w:r>
    </w:p>
    <w:p w14:paraId="7D9D8B02">
      <w:pPr>
        <w:spacing w:line="360" w:lineRule="auto"/>
        <w:ind w:firstLine="480"/>
        <w:rPr>
          <w:rFonts w:ascii="宋体" w:hAnsi="宋体"/>
          <w:color w:val="auto"/>
          <w:highlight w:val="none"/>
          <w:lang w:val="zh-CN"/>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 xml:space="preserve"> 项目中标</w:t>
      </w:r>
      <w:r>
        <w:rPr>
          <w:rFonts w:hint="eastAsia" w:ascii="宋体" w:hAnsi="宋体"/>
          <w:color w:val="auto"/>
          <w:highlight w:val="none"/>
          <w:lang w:val="zh-CN"/>
        </w:rPr>
        <w:t>后分包情况：不允许。</w:t>
      </w:r>
    </w:p>
    <w:p w14:paraId="2A79A8B9">
      <w:pPr>
        <w:ind w:firstLine="542"/>
        <w:outlineLvl w:val="1"/>
        <w:rPr>
          <w:rFonts w:ascii="宋体" w:hAnsi="宋体"/>
          <w:b/>
          <w:bCs/>
          <w:color w:val="auto"/>
          <w:sz w:val="27"/>
          <w:szCs w:val="27"/>
          <w:highlight w:val="none"/>
        </w:rPr>
      </w:pPr>
      <w:bookmarkStart w:id="212" w:name="_Toc88839799"/>
      <w:bookmarkStart w:id="213" w:name="_Toc19498_WPSOffice_Level2"/>
      <w:bookmarkStart w:id="214" w:name="_Toc10416"/>
      <w:bookmarkStart w:id="215" w:name="_Toc21995"/>
      <w:bookmarkStart w:id="216" w:name="_Toc12483"/>
      <w:r>
        <w:rPr>
          <w:rFonts w:hint="eastAsia" w:ascii="宋体" w:hAnsi="宋体"/>
          <w:b/>
          <w:bCs/>
          <w:color w:val="auto"/>
          <w:sz w:val="27"/>
          <w:szCs w:val="27"/>
          <w:highlight w:val="none"/>
        </w:rPr>
        <w:t>2、报价说明</w:t>
      </w:r>
      <w:bookmarkEnd w:id="212"/>
      <w:bookmarkEnd w:id="213"/>
      <w:bookmarkEnd w:id="214"/>
      <w:bookmarkEnd w:id="215"/>
      <w:bookmarkEnd w:id="216"/>
    </w:p>
    <w:p w14:paraId="258BD4FE">
      <w:pPr>
        <w:numPr>
          <w:ilvl w:val="0"/>
          <w:numId w:val="0"/>
        </w:numPr>
        <w:autoSpaceDE w:val="0"/>
        <w:autoSpaceDN w:val="0"/>
        <w:spacing w:line="360" w:lineRule="auto"/>
        <w:ind w:firstLine="480" w:firstLineChars="200"/>
        <w:rPr>
          <w:rFonts w:hint="eastAsia" w:ascii="宋体" w:hAnsi="宋体" w:cs="宋体"/>
          <w:b/>
          <w:bCs/>
          <w:color w:val="auto"/>
          <w:kern w:val="0"/>
          <w:highlight w:val="none"/>
          <w:lang w:val="zh-CN"/>
        </w:rPr>
      </w:pPr>
      <w:r>
        <w:rPr>
          <w:rFonts w:hint="eastAsia" w:ascii="宋体" w:hAnsi="宋体" w:cs="宋体"/>
          <w:color w:val="auto"/>
          <w:kern w:val="0"/>
          <w:highlight w:val="none"/>
        </w:rPr>
        <w:t>2</w:t>
      </w:r>
      <w:r>
        <w:rPr>
          <w:rFonts w:hint="eastAsia" w:ascii="宋体" w:hAnsi="宋体" w:cs="宋体"/>
          <w:color w:val="auto"/>
          <w:kern w:val="0"/>
          <w:highlight w:val="none"/>
          <w:lang w:val="zh-CN"/>
        </w:rPr>
        <w:t>.1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采购需求中带有“★”号标注的技术参数为实质性响应，必须满足，否则将视为无效</w:t>
      </w:r>
      <w:r>
        <w:rPr>
          <w:rFonts w:hint="eastAsia" w:ascii="宋体" w:hAnsi="宋体" w:cs="宋体"/>
          <w:color w:val="auto"/>
          <w:kern w:val="0"/>
          <w:highlight w:val="none"/>
          <w:lang w:val="en-US" w:eastAsia="zh-CN"/>
        </w:rPr>
        <w:t>响应</w:t>
      </w:r>
      <w:r>
        <w:rPr>
          <w:rFonts w:hint="eastAsia" w:ascii="宋体" w:hAnsi="宋体" w:cs="宋体"/>
          <w:color w:val="auto"/>
          <w:kern w:val="0"/>
          <w:highlight w:val="none"/>
          <w:lang w:val="zh-CN"/>
        </w:rPr>
        <w:t>。</w:t>
      </w:r>
      <w:r>
        <w:rPr>
          <w:rFonts w:hint="eastAsia" w:hAnsi="宋体" w:cs="宋体"/>
          <w:color w:val="000000"/>
          <w:kern w:val="0"/>
          <w:sz w:val="24"/>
          <w:szCs w:val="24"/>
          <w:highlight w:val="none"/>
          <w:lang w:val="zh-CN"/>
        </w:rPr>
        <w:t>“</w:t>
      </w:r>
      <w:r>
        <w:rPr>
          <w:rFonts w:hint="eastAsia" w:ascii="微软雅黑" w:hAnsi="微软雅黑" w:eastAsia="微软雅黑" w:cs="微软雅黑"/>
          <w:bCs/>
          <w:sz w:val="24"/>
          <w:szCs w:val="24"/>
          <w:highlight w:val="none"/>
          <w:lang w:val="en-US" w:eastAsia="zh-CN"/>
        </w:rPr>
        <w:t>▲</w:t>
      </w:r>
      <w:r>
        <w:rPr>
          <w:rFonts w:hint="eastAsia" w:hAnsi="宋体" w:cs="宋体"/>
          <w:color w:val="000000"/>
          <w:kern w:val="0"/>
          <w:sz w:val="24"/>
          <w:szCs w:val="24"/>
          <w:highlight w:val="none"/>
          <w:lang w:val="zh-CN"/>
        </w:rPr>
        <w:t>”</w:t>
      </w:r>
      <w:r>
        <w:rPr>
          <w:rFonts w:hint="eastAsia" w:hAnsi="宋体" w:cs="宋体"/>
          <w:color w:val="000000"/>
          <w:kern w:val="0"/>
          <w:sz w:val="24"/>
          <w:szCs w:val="24"/>
          <w:highlight w:val="none"/>
          <w:lang w:val="en-US" w:eastAsia="zh-CN"/>
        </w:rPr>
        <w:t>为重要参数，每有一项不满足，按负偏离计分。</w:t>
      </w:r>
    </w:p>
    <w:p w14:paraId="090A7FAF">
      <w:pPr>
        <w:spacing w:line="360" w:lineRule="auto"/>
        <w:ind w:left="-2" w:leftChars="-1" w:firstLine="480" w:firstLineChars="200"/>
        <w:rPr>
          <w:rFonts w:ascii="宋体" w:hAnsi="宋体" w:cs="宋体"/>
          <w:color w:val="auto"/>
          <w:highlight w:val="none"/>
        </w:rPr>
      </w:pPr>
      <w:r>
        <w:rPr>
          <w:rFonts w:hint="eastAsia" w:ascii="宋体" w:hAnsi="宋体" w:cs="宋体"/>
          <w:color w:val="auto"/>
          <w:highlight w:val="none"/>
          <w:lang w:val="en-US" w:eastAsia="zh-CN"/>
        </w:rPr>
        <w:t>2.2</w:t>
      </w:r>
      <w:r>
        <w:rPr>
          <w:rFonts w:hint="eastAsia" w:ascii="宋体" w:hAnsi="宋体" w:cs="宋体"/>
          <w:color w:val="auto"/>
          <w:highlight w:val="none"/>
        </w:rPr>
        <w:t>本次</w:t>
      </w:r>
      <w:r>
        <w:rPr>
          <w:rFonts w:hint="eastAsia" w:ascii="宋体" w:hAnsi="宋体" w:cs="宋体"/>
          <w:color w:val="auto"/>
          <w:highlight w:val="none"/>
          <w:lang w:val="en-US" w:eastAsia="zh-CN"/>
        </w:rPr>
        <w:t>磋商</w:t>
      </w:r>
      <w:r>
        <w:rPr>
          <w:rFonts w:hint="eastAsia" w:ascii="宋体" w:hAnsi="宋体" w:cs="宋体"/>
          <w:color w:val="auto"/>
          <w:highlight w:val="none"/>
        </w:rPr>
        <w:t>文件中规定的</w:t>
      </w:r>
      <w:r>
        <w:rPr>
          <w:rFonts w:hint="eastAsia" w:ascii="宋体" w:hAnsi="宋体" w:cs="宋体"/>
          <w:color w:val="auto"/>
          <w:kern w:val="0"/>
          <w:highlight w:val="none"/>
        </w:rPr>
        <w:t>最高限价</w:t>
      </w:r>
      <w:r>
        <w:rPr>
          <w:rFonts w:hint="eastAsia" w:ascii="宋体" w:hAnsi="宋体" w:cs="宋体"/>
          <w:color w:val="auto"/>
          <w:highlight w:val="none"/>
        </w:rPr>
        <w:t>为</w:t>
      </w:r>
      <w:r>
        <w:rPr>
          <w:rFonts w:hint="eastAsia" w:ascii="宋体" w:hAnsi="宋体" w:cs="宋体"/>
          <w:color w:val="auto"/>
          <w:highlight w:val="none"/>
          <w:lang w:val="en-US" w:eastAsia="zh-CN"/>
        </w:rPr>
        <w:t>项目</w:t>
      </w:r>
      <w:r>
        <w:rPr>
          <w:rFonts w:hint="eastAsia" w:ascii="宋体" w:hAnsi="宋体" w:cs="宋体"/>
          <w:color w:val="auto"/>
          <w:highlight w:val="none"/>
        </w:rPr>
        <w:t>最高限价，</w:t>
      </w:r>
      <w:r>
        <w:rPr>
          <w:rFonts w:hint="eastAsia" w:ascii="宋体" w:hAnsi="宋体" w:cs="宋体"/>
          <w:color w:val="auto"/>
          <w:highlight w:val="none"/>
          <w:lang w:val="en-US" w:eastAsia="zh-CN"/>
        </w:rPr>
        <w:t>供应商</w:t>
      </w:r>
      <w:r>
        <w:rPr>
          <w:rFonts w:hint="eastAsia" w:ascii="宋体" w:hAnsi="宋体" w:cs="宋体"/>
          <w:color w:val="auto"/>
          <w:highlight w:val="none"/>
        </w:rPr>
        <w:t>的报价不得超出此额度。否则，</w:t>
      </w:r>
      <w:r>
        <w:rPr>
          <w:rFonts w:hint="eastAsia" w:ascii="宋体" w:hAnsi="宋体" w:cs="宋体"/>
          <w:color w:val="auto"/>
          <w:highlight w:val="none"/>
          <w:lang w:val="en-US" w:eastAsia="zh-CN"/>
        </w:rPr>
        <w:t>响应</w:t>
      </w:r>
      <w:r>
        <w:rPr>
          <w:rFonts w:hint="eastAsia" w:ascii="宋体" w:hAnsi="宋体" w:cs="宋体"/>
          <w:color w:val="auto"/>
          <w:highlight w:val="none"/>
        </w:rPr>
        <w:t>无效。</w:t>
      </w:r>
      <w:r>
        <w:rPr>
          <w:rFonts w:hint="eastAsia" w:ascii="宋体" w:hAnsi="宋体" w:cs="宋体"/>
          <w:color w:val="auto"/>
          <w:highlight w:val="none"/>
          <w:lang w:val="en-US" w:eastAsia="zh-CN"/>
        </w:rPr>
        <w:t xml:space="preserve"> </w:t>
      </w:r>
    </w:p>
    <w:bookmarkEnd w:id="211"/>
    <w:p w14:paraId="123698F9">
      <w:pPr>
        <w:ind w:firstLine="542"/>
        <w:outlineLvl w:val="1"/>
        <w:rPr>
          <w:rFonts w:hint="eastAsia" w:ascii="宋体" w:hAnsi="宋体"/>
          <w:b/>
          <w:bCs/>
          <w:color w:val="auto"/>
          <w:sz w:val="27"/>
          <w:szCs w:val="27"/>
          <w:highlight w:val="none"/>
        </w:rPr>
      </w:pPr>
      <w:bookmarkStart w:id="217" w:name="_Toc22145_WPSOffice_Level2"/>
      <w:bookmarkStart w:id="218" w:name="_Toc78299223"/>
      <w:bookmarkStart w:id="219" w:name="_Toc10090"/>
      <w:bookmarkStart w:id="220" w:name="_Toc88839800"/>
      <w:bookmarkStart w:id="221" w:name="_Toc31207"/>
      <w:bookmarkStart w:id="222" w:name="_Toc12173"/>
      <w:r>
        <w:rPr>
          <w:rFonts w:hint="eastAsia" w:ascii="宋体" w:hAnsi="宋体"/>
          <w:b/>
          <w:bCs/>
          <w:color w:val="auto"/>
          <w:sz w:val="27"/>
          <w:szCs w:val="27"/>
          <w:highlight w:val="none"/>
        </w:rPr>
        <w:t>3、商务要求</w:t>
      </w:r>
      <w:bookmarkEnd w:id="217"/>
      <w:bookmarkEnd w:id="218"/>
      <w:bookmarkEnd w:id="219"/>
      <w:bookmarkEnd w:id="220"/>
      <w:bookmarkEnd w:id="221"/>
      <w:bookmarkEnd w:id="222"/>
    </w:p>
    <w:p w14:paraId="14F56A82">
      <w:pPr>
        <w:spacing w:line="30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olor w:val="auto"/>
          <w:sz w:val="24"/>
          <w:highlight w:val="none"/>
        </w:rPr>
        <w:t>服务期：</w:t>
      </w:r>
      <w:r>
        <w:rPr>
          <w:rFonts w:hint="eastAsia" w:ascii="宋体" w:hAnsi="宋体"/>
          <w:color w:val="auto"/>
          <w:sz w:val="24"/>
          <w:highlight w:val="none"/>
          <w:lang w:val="en-US" w:eastAsia="zh-CN"/>
        </w:rPr>
        <w:t>1年</w:t>
      </w:r>
    </w:p>
    <w:p w14:paraId="700D5F51">
      <w:pPr>
        <w:pStyle w:val="2"/>
        <w:rPr>
          <w:rFonts w:hint="default"/>
          <w:color w:val="auto"/>
          <w:highlight w:val="none"/>
          <w:lang w:val="en-US" w:eastAsia="zh-CN"/>
        </w:rPr>
      </w:pPr>
      <w:r>
        <w:rPr>
          <w:rFonts w:hint="eastAsia"/>
          <w:color w:val="auto"/>
          <w:highlight w:val="none"/>
          <w:lang w:val="en-US" w:eastAsia="zh-CN"/>
        </w:rPr>
        <w:t>2.服务地点：</w:t>
      </w:r>
      <w:r>
        <w:rPr>
          <w:rFonts w:hint="eastAsia" w:ascii="宋体" w:hAnsi="宋体" w:eastAsia="宋体" w:cs="宋体"/>
          <w:lang w:val="zh-CN"/>
        </w:rPr>
        <w:t>青海省财政厅指定地点</w:t>
      </w:r>
      <w:r>
        <w:rPr>
          <w:rFonts w:hint="eastAsia" w:ascii="宋体" w:hAnsi="宋体" w:eastAsia="宋体" w:cs="宋体"/>
          <w:lang w:val="en-US" w:eastAsia="zh-CN"/>
        </w:rPr>
        <w:t>。</w:t>
      </w:r>
    </w:p>
    <w:p w14:paraId="0054B630">
      <w:pPr>
        <w:bidi w:val="0"/>
        <w:rPr>
          <w:rFonts w:hint="eastAsia" w:ascii="宋体" w:hAnsi="Cambria" w:eastAsia="宋体" w:cs="宋体"/>
          <w:color w:val="auto"/>
          <w:kern w:val="0"/>
          <w:sz w:val="24"/>
          <w:highlight w:val="none"/>
          <w:lang w:val="en-US" w:eastAsia="zh-CN"/>
        </w:rPr>
      </w:pPr>
      <w:r>
        <w:rPr>
          <w:rFonts w:hint="eastAsia" w:ascii="宋体" w:hAnsi="Cambria" w:cs="宋体"/>
          <w:color w:val="auto"/>
          <w:kern w:val="0"/>
          <w:sz w:val="24"/>
          <w:highlight w:val="none"/>
          <w:lang w:val="en-US" w:eastAsia="zh-CN"/>
        </w:rPr>
        <w:t>3</w:t>
      </w:r>
      <w:r>
        <w:rPr>
          <w:rFonts w:hint="eastAsia" w:ascii="宋体" w:hAnsi="Cambria" w:eastAsia="宋体" w:cs="宋体"/>
          <w:color w:val="auto"/>
          <w:kern w:val="0"/>
          <w:sz w:val="24"/>
          <w:highlight w:val="none"/>
          <w:lang w:val="en-US" w:eastAsia="zh-CN"/>
        </w:rPr>
        <w:t>.付款方式：</w:t>
      </w:r>
    </w:p>
    <w:p w14:paraId="7A70054E">
      <w:pPr>
        <w:bidi w:val="0"/>
        <w:rPr>
          <w:rFonts w:hint="eastAsia" w:ascii="宋体" w:hAnsi="宋体" w:eastAsia="宋体" w:cs="宋体"/>
          <w:highlight w:val="none"/>
          <w:lang w:val="zh-CN" w:eastAsia="zh-CN"/>
        </w:rPr>
      </w:pPr>
      <w:r>
        <w:rPr>
          <w:rFonts w:hint="eastAsia" w:ascii="宋体" w:hAnsi="宋体" w:cs="宋体"/>
          <w:highlight w:val="none"/>
          <w:lang w:val="en-US" w:eastAsia="zh-CN"/>
        </w:rPr>
        <w:t>（1）</w:t>
      </w:r>
      <w:r>
        <w:rPr>
          <w:rFonts w:hint="eastAsia" w:ascii="宋体" w:hAnsi="宋体" w:eastAsia="宋体" w:cs="宋体"/>
          <w:highlight w:val="none"/>
          <w:lang w:val="zh-CN" w:eastAsia="zh-CN"/>
        </w:rPr>
        <w:t>合同签订前，乙方向甲方缴纳合同总金额的10%作为履约保证金，待项目验收合格后，甲方向乙方返还，不计利息。</w:t>
      </w:r>
    </w:p>
    <w:p w14:paraId="2AE26E35">
      <w:pPr>
        <w:bidi w:val="0"/>
        <w:rPr>
          <w:rFonts w:hint="eastAsia" w:ascii="宋体" w:hAnsi="宋体" w:eastAsia="宋体" w:cs="宋体"/>
          <w:color w:val="auto"/>
          <w:sz w:val="24"/>
          <w:szCs w:val="24"/>
          <w:highlight w:val="none"/>
          <w:lang w:val="zh-CN"/>
        </w:rPr>
      </w:pPr>
      <w:r>
        <w:rPr>
          <w:rFonts w:hint="eastAsia" w:ascii="宋体" w:hAnsi="宋体" w:eastAsia="宋体" w:cs="宋体"/>
          <w:highlight w:val="none"/>
          <w:lang w:val="zh-CN"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合同签订后，乙方提交开具的正规发票及采购人财务部门要求的其他付款凭据后，10个工作日内，甲方向乙方支付合同总金额的</w:t>
      </w:r>
      <w:r>
        <w:rPr>
          <w:rFonts w:hint="eastAsia" w:ascii="宋体" w:hAnsi="宋体" w:eastAsia="宋体" w:cs="宋体"/>
          <w:highlight w:val="none"/>
          <w:lang w:val="en-US" w:eastAsia="zh-CN"/>
        </w:rPr>
        <w:t>50</w:t>
      </w:r>
      <w:r>
        <w:rPr>
          <w:rFonts w:hint="eastAsia" w:ascii="宋体" w:hAnsi="宋体" w:eastAsia="宋体" w:cs="宋体"/>
          <w:highlight w:val="none"/>
          <w:lang w:val="zh-CN" w:eastAsia="zh-CN"/>
        </w:rPr>
        <w:t>%，验收通过后支付剩余50%。</w:t>
      </w:r>
      <w:r>
        <w:rPr>
          <w:rFonts w:hint="eastAsia" w:ascii="宋体" w:hAnsi="宋体" w:eastAsia="宋体" w:cs="宋体"/>
          <w:color w:val="auto"/>
          <w:sz w:val="24"/>
          <w:szCs w:val="24"/>
          <w:highlight w:val="none"/>
          <w:lang w:val="zh-CN"/>
        </w:rPr>
        <w:br w:type="page"/>
      </w:r>
    </w:p>
    <w:p w14:paraId="6EAF3E0E">
      <w:pPr>
        <w:ind w:firstLine="542"/>
        <w:outlineLvl w:val="1"/>
        <w:rPr>
          <w:rFonts w:hint="eastAsia" w:ascii="宋体" w:hAnsi="宋体"/>
          <w:b/>
          <w:bCs/>
          <w:color w:val="auto"/>
          <w:sz w:val="27"/>
          <w:szCs w:val="27"/>
          <w:highlight w:val="none"/>
          <w:lang w:val="en-US" w:eastAsia="zh-CN"/>
        </w:rPr>
      </w:pPr>
      <w:bookmarkStart w:id="223" w:name="_Toc12159"/>
      <w:r>
        <w:rPr>
          <w:rFonts w:hint="eastAsia" w:ascii="宋体" w:hAnsi="宋体"/>
          <w:b/>
          <w:bCs/>
          <w:color w:val="auto"/>
          <w:sz w:val="27"/>
          <w:szCs w:val="27"/>
          <w:highlight w:val="none"/>
          <w:lang w:val="en-US" w:eastAsia="zh-CN"/>
        </w:rPr>
        <w:t>4.采购需求</w:t>
      </w:r>
      <w:bookmarkEnd w:id="223"/>
      <w:bookmarkStart w:id="224" w:name="_Toc4707"/>
    </w:p>
    <w:p w14:paraId="2C2EA0F6">
      <w:pPr>
        <w:pStyle w:val="673"/>
        <w:numPr>
          <w:ilvl w:val="0"/>
          <w:numId w:val="0"/>
        </w:numPr>
        <w:spacing w:line="360" w:lineRule="auto"/>
        <w:ind w:firstLine="482" w:firstLineChars="200"/>
        <w:outlineLvl w:val="9"/>
        <w:rPr>
          <w:rFonts w:hint="eastAsia" w:ascii="宋体" w:hAnsi="宋体" w:eastAsia="宋体" w:cs="宋体"/>
          <w:b/>
          <w:bCs/>
          <w:color w:val="auto"/>
          <w:spacing w:val="0"/>
          <w:kern w:val="2"/>
          <w:sz w:val="24"/>
          <w:szCs w:val="24"/>
          <w:lang w:val="zh-CN" w:eastAsia="zh-CN" w:bidi="ar-SA"/>
        </w:rPr>
      </w:pPr>
      <w:r>
        <w:rPr>
          <w:rFonts w:hint="eastAsia" w:ascii="宋体" w:hAnsi="宋体" w:eastAsia="宋体" w:cs="宋体"/>
          <w:b/>
          <w:bCs/>
          <w:color w:val="auto"/>
          <w:spacing w:val="0"/>
          <w:kern w:val="2"/>
          <w:sz w:val="24"/>
          <w:szCs w:val="24"/>
          <w:lang w:val="en-US" w:eastAsia="zh-CN" w:bidi="ar-SA"/>
        </w:rPr>
        <w:t>1.</w:t>
      </w:r>
      <w:r>
        <w:rPr>
          <w:rFonts w:hint="eastAsia" w:ascii="宋体" w:hAnsi="宋体" w:eastAsia="宋体" w:cs="宋体"/>
          <w:b/>
          <w:bCs/>
          <w:color w:val="auto"/>
          <w:spacing w:val="0"/>
          <w:kern w:val="2"/>
          <w:sz w:val="24"/>
          <w:szCs w:val="24"/>
          <w:lang w:val="zh-CN" w:eastAsia="zh-CN" w:bidi="ar-SA"/>
        </w:rPr>
        <w:t>项目概况</w:t>
      </w:r>
      <w:bookmarkStart w:id="225" w:name="_Toc376936789"/>
    </w:p>
    <w:p w14:paraId="7ABD0A93">
      <w:pPr>
        <w:pStyle w:val="673"/>
        <w:numPr>
          <w:ilvl w:val="0"/>
          <w:numId w:val="0"/>
        </w:numPr>
        <w:spacing w:line="360" w:lineRule="auto"/>
        <w:ind w:firstLine="480" w:firstLineChars="200"/>
        <w:outlineLvl w:val="9"/>
        <w:rPr>
          <w:rFonts w:hint="eastAsia" w:ascii="宋体" w:hAnsi="宋体" w:eastAsia="宋体" w:cs="宋体"/>
          <w:b w:val="0"/>
          <w:bCs w:val="0"/>
          <w:sz w:val="24"/>
          <w:szCs w:val="24"/>
          <w:lang w:val="zh-CN"/>
        </w:rPr>
      </w:pPr>
      <w:r>
        <w:rPr>
          <w:rFonts w:hint="eastAsia" w:ascii="宋体" w:hAnsi="宋体" w:eastAsia="宋体" w:cs="宋体"/>
          <w:b w:val="0"/>
          <w:bCs w:val="0"/>
          <w:color w:val="auto"/>
          <w:spacing w:val="0"/>
          <w:kern w:val="2"/>
          <w:sz w:val="24"/>
          <w:szCs w:val="24"/>
          <w:lang w:val="en-US" w:eastAsia="zh-CN" w:bidi="ar-SA"/>
        </w:rPr>
        <w:t>青海省财政厅信息中心机房内在线运行的服务器、存储和相关软硬件等设备保修已到期，为保障系统正常运行</w:t>
      </w:r>
      <w:r>
        <w:rPr>
          <w:rFonts w:hint="eastAsia" w:ascii="宋体" w:hAnsi="宋体" w:eastAsia="宋体" w:cs="宋体"/>
          <w:b w:val="0"/>
          <w:bCs w:val="0"/>
          <w:sz w:val="24"/>
          <w:szCs w:val="24"/>
        </w:rPr>
        <w:t>，这批系统相关设备要进行维保采购。</w:t>
      </w:r>
      <w:bookmarkEnd w:id="225"/>
    </w:p>
    <w:p w14:paraId="461001F9">
      <w:pPr>
        <w:spacing w:line="360" w:lineRule="auto"/>
        <w:ind w:firstLine="964"/>
        <w:jc w:val="both"/>
        <w:outlineLvl w:val="9"/>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val="zh-CN"/>
        </w:rPr>
        <w:t>维保清单</w:t>
      </w:r>
    </w:p>
    <w:p w14:paraId="7AD837B5">
      <w:pPr>
        <w:pStyle w:val="673"/>
        <w:numPr>
          <w:ilvl w:val="0"/>
          <w:numId w:val="0"/>
        </w:numPr>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设备清单</w:t>
      </w:r>
    </w:p>
    <w:p w14:paraId="75A2D77C">
      <w:pPr>
        <w:pStyle w:val="673"/>
        <w:numPr>
          <w:ilvl w:val="0"/>
          <w:numId w:val="0"/>
        </w:numPr>
        <w:spacing w:line="360" w:lineRule="auto"/>
        <w:ind w:firstLine="241" w:firstLineChars="100"/>
        <w:outlineLvl w:val="9"/>
        <w:rPr>
          <w:rFonts w:hint="eastAsia" w:ascii="宋体" w:hAnsi="宋体" w:eastAsia="宋体" w:cs="宋体"/>
          <w:sz w:val="24"/>
          <w:szCs w:val="24"/>
        </w:rPr>
      </w:pPr>
      <w:r>
        <w:rPr>
          <w:rFonts w:hint="eastAsia" w:ascii="宋体" w:hAnsi="宋体" w:cs="宋体"/>
          <w:sz w:val="24"/>
          <w:szCs w:val="24"/>
          <w:lang w:val="en-US" w:eastAsia="zh-CN"/>
        </w:rPr>
        <w:t>2.1.1</w:t>
      </w:r>
      <w:r>
        <w:rPr>
          <w:rFonts w:hint="eastAsia" w:ascii="宋体" w:hAnsi="宋体" w:eastAsia="宋体" w:cs="宋体"/>
          <w:sz w:val="24"/>
          <w:szCs w:val="24"/>
        </w:rPr>
        <w:t>本地机房维保类</w:t>
      </w:r>
    </w:p>
    <w:tbl>
      <w:tblPr>
        <w:tblStyle w:val="67"/>
        <w:tblW w:w="10098" w:type="dxa"/>
        <w:tblInd w:w="-5" w:type="dxa"/>
        <w:tblLayout w:type="fixed"/>
        <w:tblCellMar>
          <w:top w:w="0" w:type="dxa"/>
          <w:left w:w="108" w:type="dxa"/>
          <w:bottom w:w="0" w:type="dxa"/>
          <w:right w:w="108" w:type="dxa"/>
        </w:tblCellMar>
      </w:tblPr>
      <w:tblGrid>
        <w:gridCol w:w="692"/>
        <w:gridCol w:w="1661"/>
        <w:gridCol w:w="2253"/>
        <w:gridCol w:w="762"/>
        <w:gridCol w:w="1521"/>
        <w:gridCol w:w="1101"/>
        <w:gridCol w:w="2108"/>
      </w:tblGrid>
      <w:tr w14:paraId="66908AA2">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D46FB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序号</w:t>
            </w:r>
          </w:p>
        </w:tc>
        <w:tc>
          <w:tcPr>
            <w:tcW w:w="1661" w:type="dxa"/>
            <w:tcBorders>
              <w:top w:val="single" w:color="auto" w:sz="4" w:space="0"/>
              <w:left w:val="nil"/>
              <w:bottom w:val="single" w:color="auto" w:sz="4" w:space="0"/>
              <w:right w:val="single" w:color="auto" w:sz="4" w:space="0"/>
            </w:tcBorders>
            <w:shd w:val="clear" w:color="auto" w:fill="auto"/>
            <w:vAlign w:val="center"/>
          </w:tcPr>
          <w:p w14:paraId="5180D3E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2253" w:type="dxa"/>
            <w:tcBorders>
              <w:top w:val="single" w:color="auto" w:sz="4" w:space="0"/>
              <w:left w:val="nil"/>
              <w:bottom w:val="single" w:color="auto" w:sz="4" w:space="0"/>
              <w:right w:val="single" w:color="auto" w:sz="4" w:space="0"/>
            </w:tcBorders>
            <w:shd w:val="clear" w:color="auto" w:fill="auto"/>
            <w:vAlign w:val="center"/>
          </w:tcPr>
          <w:p w14:paraId="08B7DB5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设备型号</w:t>
            </w:r>
          </w:p>
        </w:tc>
        <w:tc>
          <w:tcPr>
            <w:tcW w:w="762" w:type="dxa"/>
            <w:tcBorders>
              <w:top w:val="single" w:color="auto" w:sz="4" w:space="0"/>
              <w:left w:val="nil"/>
              <w:bottom w:val="single" w:color="auto" w:sz="4" w:space="0"/>
              <w:right w:val="single" w:color="auto" w:sz="4" w:space="0"/>
            </w:tcBorders>
            <w:shd w:val="clear" w:color="auto" w:fill="auto"/>
            <w:vAlign w:val="center"/>
          </w:tcPr>
          <w:p w14:paraId="2FEC0D0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521" w:type="dxa"/>
            <w:tcBorders>
              <w:top w:val="single" w:color="auto" w:sz="4" w:space="0"/>
              <w:left w:val="nil"/>
              <w:bottom w:val="single" w:color="auto" w:sz="4" w:space="0"/>
              <w:right w:val="single" w:color="auto" w:sz="4" w:space="0"/>
            </w:tcBorders>
            <w:shd w:val="clear" w:color="auto" w:fill="auto"/>
            <w:vAlign w:val="center"/>
          </w:tcPr>
          <w:p w14:paraId="535E37B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设备机柜位置</w:t>
            </w:r>
          </w:p>
        </w:tc>
        <w:tc>
          <w:tcPr>
            <w:tcW w:w="1101" w:type="dxa"/>
            <w:tcBorders>
              <w:top w:val="single" w:color="auto" w:sz="4" w:space="0"/>
              <w:left w:val="nil"/>
              <w:bottom w:val="single" w:color="auto" w:sz="4" w:space="0"/>
              <w:right w:val="single" w:color="auto" w:sz="4" w:space="0"/>
            </w:tcBorders>
            <w:shd w:val="clear" w:color="auto" w:fill="auto"/>
            <w:vAlign w:val="center"/>
          </w:tcPr>
          <w:p w14:paraId="0C22D26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维保期限</w:t>
            </w:r>
          </w:p>
        </w:tc>
        <w:tc>
          <w:tcPr>
            <w:tcW w:w="2108" w:type="dxa"/>
            <w:tcBorders>
              <w:top w:val="single" w:color="auto" w:sz="4" w:space="0"/>
              <w:left w:val="nil"/>
              <w:bottom w:val="single" w:color="auto" w:sz="4" w:space="0"/>
              <w:right w:val="single" w:color="auto" w:sz="4" w:space="0"/>
            </w:tcBorders>
            <w:shd w:val="clear" w:color="auto" w:fill="auto"/>
            <w:vAlign w:val="center"/>
          </w:tcPr>
          <w:p w14:paraId="5F73E41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服务内容</w:t>
            </w:r>
          </w:p>
        </w:tc>
      </w:tr>
      <w:tr w14:paraId="7D8A3341">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665B008">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1C952B4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5E449F2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SR550 SIP服务器含软件</w:t>
            </w:r>
          </w:p>
        </w:tc>
        <w:tc>
          <w:tcPr>
            <w:tcW w:w="762" w:type="dxa"/>
            <w:tcBorders>
              <w:top w:val="nil"/>
              <w:left w:val="nil"/>
              <w:bottom w:val="single" w:color="auto" w:sz="4" w:space="0"/>
              <w:right w:val="single" w:color="auto" w:sz="4" w:space="0"/>
            </w:tcBorders>
            <w:shd w:val="clear" w:color="auto" w:fill="auto"/>
            <w:vAlign w:val="center"/>
          </w:tcPr>
          <w:p w14:paraId="57B62B5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907757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CZ-A-31</w:t>
            </w:r>
          </w:p>
        </w:tc>
        <w:tc>
          <w:tcPr>
            <w:tcW w:w="1101" w:type="dxa"/>
            <w:tcBorders>
              <w:top w:val="nil"/>
              <w:left w:val="nil"/>
              <w:bottom w:val="single" w:color="auto" w:sz="4" w:space="0"/>
              <w:right w:val="single" w:color="auto" w:sz="4" w:space="0"/>
            </w:tcBorders>
            <w:shd w:val="clear" w:color="auto" w:fill="auto"/>
            <w:vAlign w:val="center"/>
          </w:tcPr>
          <w:p w14:paraId="7B1A2A4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restart"/>
            <w:tcBorders>
              <w:top w:val="nil"/>
              <w:left w:val="single" w:color="auto" w:sz="4" w:space="0"/>
              <w:bottom w:val="single" w:color="000000" w:sz="4" w:space="0"/>
              <w:right w:val="single" w:color="auto" w:sz="4" w:space="0"/>
            </w:tcBorders>
            <w:shd w:val="clear" w:color="auto" w:fill="auto"/>
            <w:vAlign w:val="center"/>
          </w:tcPr>
          <w:p w14:paraId="29ABD18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硬件保修包含整机上面所有配件（如CPU、内存、硬盘、网卡、HBA卡、主板、电源等）,本地工程师现场支持要求时间为7*24小时*2小时到达，所需配件24小时内送达。</w:t>
            </w:r>
          </w:p>
        </w:tc>
      </w:tr>
      <w:tr w14:paraId="34B9F8FE">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7CE9EC9">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7C584B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0109B37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TAISHAN 2280K</w:t>
            </w:r>
          </w:p>
        </w:tc>
        <w:tc>
          <w:tcPr>
            <w:tcW w:w="762" w:type="dxa"/>
            <w:tcBorders>
              <w:top w:val="nil"/>
              <w:left w:val="nil"/>
              <w:bottom w:val="single" w:color="auto" w:sz="4" w:space="0"/>
              <w:right w:val="single" w:color="auto" w:sz="4" w:space="0"/>
            </w:tcBorders>
            <w:shd w:val="clear" w:color="auto" w:fill="auto"/>
            <w:vAlign w:val="center"/>
          </w:tcPr>
          <w:p w14:paraId="300D952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07A507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CZ-A-27</w:t>
            </w:r>
          </w:p>
        </w:tc>
        <w:tc>
          <w:tcPr>
            <w:tcW w:w="1101" w:type="dxa"/>
            <w:tcBorders>
              <w:top w:val="nil"/>
              <w:left w:val="nil"/>
              <w:bottom w:val="single" w:color="auto" w:sz="4" w:space="0"/>
              <w:right w:val="single" w:color="auto" w:sz="4" w:space="0"/>
            </w:tcBorders>
            <w:shd w:val="clear" w:color="auto" w:fill="auto"/>
            <w:vAlign w:val="center"/>
          </w:tcPr>
          <w:p w14:paraId="5C4C21A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288ADE9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39FF244">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D28BB38">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3ABD192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4ABCDEC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TAISHAN 2280K</w:t>
            </w:r>
          </w:p>
        </w:tc>
        <w:tc>
          <w:tcPr>
            <w:tcW w:w="762" w:type="dxa"/>
            <w:tcBorders>
              <w:top w:val="nil"/>
              <w:left w:val="nil"/>
              <w:bottom w:val="single" w:color="auto" w:sz="4" w:space="0"/>
              <w:right w:val="single" w:color="auto" w:sz="4" w:space="0"/>
            </w:tcBorders>
            <w:shd w:val="clear" w:color="auto" w:fill="auto"/>
            <w:vAlign w:val="center"/>
          </w:tcPr>
          <w:p w14:paraId="1C59549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CF5A1E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CZ-A-27</w:t>
            </w:r>
          </w:p>
        </w:tc>
        <w:tc>
          <w:tcPr>
            <w:tcW w:w="1101" w:type="dxa"/>
            <w:tcBorders>
              <w:top w:val="nil"/>
              <w:left w:val="nil"/>
              <w:bottom w:val="single" w:color="auto" w:sz="4" w:space="0"/>
              <w:right w:val="single" w:color="auto" w:sz="4" w:space="0"/>
            </w:tcBorders>
            <w:shd w:val="clear" w:color="auto" w:fill="auto"/>
            <w:vAlign w:val="center"/>
          </w:tcPr>
          <w:p w14:paraId="3513CF7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6CA1C52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77ABEAE4">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236E27C">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46C83A1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4792D6C7">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TAISHAN 2280K</w:t>
            </w:r>
          </w:p>
        </w:tc>
        <w:tc>
          <w:tcPr>
            <w:tcW w:w="762" w:type="dxa"/>
            <w:tcBorders>
              <w:top w:val="nil"/>
              <w:left w:val="nil"/>
              <w:bottom w:val="single" w:color="auto" w:sz="4" w:space="0"/>
              <w:right w:val="single" w:color="auto" w:sz="4" w:space="0"/>
            </w:tcBorders>
            <w:shd w:val="clear" w:color="auto" w:fill="auto"/>
            <w:vAlign w:val="center"/>
          </w:tcPr>
          <w:p w14:paraId="00D57FC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BF643E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CZ-A-27</w:t>
            </w:r>
          </w:p>
        </w:tc>
        <w:tc>
          <w:tcPr>
            <w:tcW w:w="1101" w:type="dxa"/>
            <w:tcBorders>
              <w:top w:val="nil"/>
              <w:left w:val="nil"/>
              <w:bottom w:val="single" w:color="auto" w:sz="4" w:space="0"/>
              <w:right w:val="single" w:color="auto" w:sz="4" w:space="0"/>
            </w:tcBorders>
            <w:shd w:val="clear" w:color="auto" w:fill="auto"/>
            <w:vAlign w:val="center"/>
          </w:tcPr>
          <w:p w14:paraId="0CF5332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7F9CC8A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78C61559">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A568669">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6DCA534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59FA539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TAISHAN 2280K</w:t>
            </w:r>
          </w:p>
        </w:tc>
        <w:tc>
          <w:tcPr>
            <w:tcW w:w="762" w:type="dxa"/>
            <w:tcBorders>
              <w:top w:val="nil"/>
              <w:left w:val="nil"/>
              <w:bottom w:val="single" w:color="auto" w:sz="4" w:space="0"/>
              <w:right w:val="single" w:color="auto" w:sz="4" w:space="0"/>
            </w:tcBorders>
            <w:shd w:val="clear" w:color="auto" w:fill="auto"/>
            <w:vAlign w:val="center"/>
          </w:tcPr>
          <w:p w14:paraId="08B8534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49DC17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CZ-A-27</w:t>
            </w:r>
          </w:p>
        </w:tc>
        <w:tc>
          <w:tcPr>
            <w:tcW w:w="1101" w:type="dxa"/>
            <w:tcBorders>
              <w:top w:val="nil"/>
              <w:left w:val="nil"/>
              <w:bottom w:val="single" w:color="auto" w:sz="4" w:space="0"/>
              <w:right w:val="single" w:color="auto" w:sz="4" w:space="0"/>
            </w:tcBorders>
            <w:shd w:val="clear" w:color="auto" w:fill="auto"/>
            <w:vAlign w:val="center"/>
          </w:tcPr>
          <w:p w14:paraId="420628C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3299620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2FCD741">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21DE046E">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2239C16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0BAF6A4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TAISHAN 2280K</w:t>
            </w:r>
          </w:p>
        </w:tc>
        <w:tc>
          <w:tcPr>
            <w:tcW w:w="762" w:type="dxa"/>
            <w:tcBorders>
              <w:top w:val="nil"/>
              <w:left w:val="nil"/>
              <w:bottom w:val="single" w:color="auto" w:sz="4" w:space="0"/>
              <w:right w:val="single" w:color="auto" w:sz="4" w:space="0"/>
            </w:tcBorders>
            <w:shd w:val="clear" w:color="auto" w:fill="auto"/>
            <w:vAlign w:val="center"/>
          </w:tcPr>
          <w:p w14:paraId="1B4D4E0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451340F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CZ-A-27</w:t>
            </w:r>
          </w:p>
        </w:tc>
        <w:tc>
          <w:tcPr>
            <w:tcW w:w="1101" w:type="dxa"/>
            <w:tcBorders>
              <w:top w:val="nil"/>
              <w:left w:val="nil"/>
              <w:bottom w:val="single" w:color="auto" w:sz="4" w:space="0"/>
              <w:right w:val="single" w:color="auto" w:sz="4" w:space="0"/>
            </w:tcBorders>
            <w:shd w:val="clear" w:color="auto" w:fill="auto"/>
            <w:vAlign w:val="center"/>
          </w:tcPr>
          <w:p w14:paraId="391D455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2739BEB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B342A18">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2F2DB75E">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2778D25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7BED693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2488HV5</w:t>
            </w:r>
          </w:p>
        </w:tc>
        <w:tc>
          <w:tcPr>
            <w:tcW w:w="762" w:type="dxa"/>
            <w:tcBorders>
              <w:top w:val="nil"/>
              <w:left w:val="nil"/>
              <w:bottom w:val="single" w:color="auto" w:sz="4" w:space="0"/>
              <w:right w:val="single" w:color="auto" w:sz="4" w:space="0"/>
            </w:tcBorders>
            <w:shd w:val="clear" w:color="auto" w:fill="auto"/>
            <w:vAlign w:val="center"/>
          </w:tcPr>
          <w:p w14:paraId="02D78EC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998240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227BC52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538FDD0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0BB36F89">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4A71DE4">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6609D84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6FB425B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2488HV5</w:t>
            </w:r>
          </w:p>
        </w:tc>
        <w:tc>
          <w:tcPr>
            <w:tcW w:w="762" w:type="dxa"/>
            <w:tcBorders>
              <w:top w:val="nil"/>
              <w:left w:val="nil"/>
              <w:bottom w:val="single" w:color="auto" w:sz="4" w:space="0"/>
              <w:right w:val="single" w:color="auto" w:sz="4" w:space="0"/>
            </w:tcBorders>
            <w:shd w:val="clear" w:color="auto" w:fill="auto"/>
            <w:vAlign w:val="center"/>
          </w:tcPr>
          <w:p w14:paraId="0858ACA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42617F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7745186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5F3C0B0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6FFDA1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325ADBB">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5250EEC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30059FB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2488HV5</w:t>
            </w:r>
          </w:p>
        </w:tc>
        <w:tc>
          <w:tcPr>
            <w:tcW w:w="762" w:type="dxa"/>
            <w:tcBorders>
              <w:top w:val="nil"/>
              <w:left w:val="nil"/>
              <w:bottom w:val="single" w:color="auto" w:sz="4" w:space="0"/>
              <w:right w:val="single" w:color="auto" w:sz="4" w:space="0"/>
            </w:tcBorders>
            <w:shd w:val="clear" w:color="auto" w:fill="auto"/>
            <w:vAlign w:val="center"/>
          </w:tcPr>
          <w:p w14:paraId="6B3A06C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53C793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CZ-B-07</w:t>
            </w:r>
          </w:p>
        </w:tc>
        <w:tc>
          <w:tcPr>
            <w:tcW w:w="1101" w:type="dxa"/>
            <w:tcBorders>
              <w:top w:val="nil"/>
              <w:left w:val="nil"/>
              <w:bottom w:val="single" w:color="auto" w:sz="4" w:space="0"/>
              <w:right w:val="single" w:color="auto" w:sz="4" w:space="0"/>
            </w:tcBorders>
            <w:shd w:val="clear" w:color="auto" w:fill="auto"/>
            <w:vAlign w:val="center"/>
          </w:tcPr>
          <w:p w14:paraId="4069980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4824BE8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5FB7CFB0">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D1EBFA1">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FC4179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40C3D400">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2488HV5</w:t>
            </w:r>
          </w:p>
        </w:tc>
        <w:tc>
          <w:tcPr>
            <w:tcW w:w="762" w:type="dxa"/>
            <w:tcBorders>
              <w:top w:val="nil"/>
              <w:left w:val="nil"/>
              <w:bottom w:val="single" w:color="auto" w:sz="4" w:space="0"/>
              <w:right w:val="single" w:color="auto" w:sz="4" w:space="0"/>
            </w:tcBorders>
            <w:shd w:val="clear" w:color="auto" w:fill="auto"/>
            <w:vAlign w:val="center"/>
          </w:tcPr>
          <w:p w14:paraId="49BF218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04D94D3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CZ-B-07</w:t>
            </w:r>
          </w:p>
        </w:tc>
        <w:tc>
          <w:tcPr>
            <w:tcW w:w="1101" w:type="dxa"/>
            <w:tcBorders>
              <w:top w:val="nil"/>
              <w:left w:val="nil"/>
              <w:bottom w:val="single" w:color="auto" w:sz="4" w:space="0"/>
              <w:right w:val="single" w:color="auto" w:sz="4" w:space="0"/>
            </w:tcBorders>
            <w:shd w:val="clear" w:color="auto" w:fill="auto"/>
            <w:vAlign w:val="center"/>
          </w:tcPr>
          <w:p w14:paraId="6BC5A27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4630149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BB97C4D">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57FA049C">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3C3787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2BBF7DE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2488HV5</w:t>
            </w:r>
          </w:p>
        </w:tc>
        <w:tc>
          <w:tcPr>
            <w:tcW w:w="762" w:type="dxa"/>
            <w:tcBorders>
              <w:top w:val="nil"/>
              <w:left w:val="nil"/>
              <w:bottom w:val="single" w:color="auto" w:sz="4" w:space="0"/>
              <w:right w:val="single" w:color="auto" w:sz="4" w:space="0"/>
            </w:tcBorders>
            <w:shd w:val="clear" w:color="auto" w:fill="auto"/>
            <w:vAlign w:val="center"/>
          </w:tcPr>
          <w:p w14:paraId="3B4AC9D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062BF51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CZ-B-07</w:t>
            </w:r>
          </w:p>
        </w:tc>
        <w:tc>
          <w:tcPr>
            <w:tcW w:w="1101" w:type="dxa"/>
            <w:tcBorders>
              <w:top w:val="nil"/>
              <w:left w:val="nil"/>
              <w:bottom w:val="single" w:color="auto" w:sz="4" w:space="0"/>
              <w:right w:val="single" w:color="auto" w:sz="4" w:space="0"/>
            </w:tcBorders>
            <w:shd w:val="clear" w:color="auto" w:fill="auto"/>
            <w:vAlign w:val="center"/>
          </w:tcPr>
          <w:p w14:paraId="460DCBA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121F27D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56A9A289">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BF7C605">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1F5BAA3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0F084B64">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2488HV5</w:t>
            </w:r>
          </w:p>
        </w:tc>
        <w:tc>
          <w:tcPr>
            <w:tcW w:w="762" w:type="dxa"/>
            <w:tcBorders>
              <w:top w:val="nil"/>
              <w:left w:val="nil"/>
              <w:bottom w:val="single" w:color="auto" w:sz="4" w:space="0"/>
              <w:right w:val="single" w:color="auto" w:sz="4" w:space="0"/>
            </w:tcBorders>
            <w:shd w:val="clear" w:color="auto" w:fill="auto"/>
            <w:vAlign w:val="center"/>
          </w:tcPr>
          <w:p w14:paraId="1A8EAE1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A3FFDD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CZ-B-07</w:t>
            </w:r>
          </w:p>
        </w:tc>
        <w:tc>
          <w:tcPr>
            <w:tcW w:w="1101" w:type="dxa"/>
            <w:tcBorders>
              <w:top w:val="nil"/>
              <w:left w:val="nil"/>
              <w:bottom w:val="single" w:color="auto" w:sz="4" w:space="0"/>
              <w:right w:val="single" w:color="auto" w:sz="4" w:space="0"/>
            </w:tcBorders>
            <w:shd w:val="clear" w:color="auto" w:fill="auto"/>
            <w:vAlign w:val="center"/>
          </w:tcPr>
          <w:p w14:paraId="0129036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24764B5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ECF224F">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04661AB8">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2485620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0416E96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88HV5</w:t>
            </w:r>
          </w:p>
        </w:tc>
        <w:tc>
          <w:tcPr>
            <w:tcW w:w="762" w:type="dxa"/>
            <w:tcBorders>
              <w:top w:val="nil"/>
              <w:left w:val="nil"/>
              <w:bottom w:val="single" w:color="auto" w:sz="4" w:space="0"/>
              <w:right w:val="single" w:color="auto" w:sz="4" w:space="0"/>
            </w:tcBorders>
            <w:shd w:val="clear" w:color="auto" w:fill="auto"/>
            <w:vAlign w:val="center"/>
          </w:tcPr>
          <w:p w14:paraId="483095F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A18EA9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CZ-B-31</w:t>
            </w:r>
          </w:p>
        </w:tc>
        <w:tc>
          <w:tcPr>
            <w:tcW w:w="1101" w:type="dxa"/>
            <w:tcBorders>
              <w:top w:val="nil"/>
              <w:left w:val="nil"/>
              <w:bottom w:val="single" w:color="auto" w:sz="4" w:space="0"/>
              <w:right w:val="single" w:color="auto" w:sz="4" w:space="0"/>
            </w:tcBorders>
            <w:shd w:val="clear" w:color="auto" w:fill="auto"/>
            <w:vAlign w:val="center"/>
          </w:tcPr>
          <w:p w14:paraId="18715C7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62084FE7">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1179711">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1500002">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270FD41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2F91727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88HV5</w:t>
            </w:r>
          </w:p>
        </w:tc>
        <w:tc>
          <w:tcPr>
            <w:tcW w:w="762" w:type="dxa"/>
            <w:tcBorders>
              <w:top w:val="nil"/>
              <w:left w:val="nil"/>
              <w:bottom w:val="single" w:color="auto" w:sz="4" w:space="0"/>
              <w:right w:val="single" w:color="auto" w:sz="4" w:space="0"/>
            </w:tcBorders>
            <w:shd w:val="clear" w:color="auto" w:fill="auto"/>
            <w:vAlign w:val="center"/>
          </w:tcPr>
          <w:p w14:paraId="7E73178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4C4D443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CZ-B-31</w:t>
            </w:r>
          </w:p>
        </w:tc>
        <w:tc>
          <w:tcPr>
            <w:tcW w:w="1101" w:type="dxa"/>
            <w:tcBorders>
              <w:top w:val="nil"/>
              <w:left w:val="nil"/>
              <w:bottom w:val="single" w:color="auto" w:sz="4" w:space="0"/>
              <w:right w:val="single" w:color="auto" w:sz="4" w:space="0"/>
            </w:tcBorders>
            <w:shd w:val="clear" w:color="auto" w:fill="auto"/>
            <w:vAlign w:val="center"/>
          </w:tcPr>
          <w:p w14:paraId="1608B39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42395F5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0C302ACC">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AD3B087">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2BEE50F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458C9817">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88HV5</w:t>
            </w:r>
          </w:p>
        </w:tc>
        <w:tc>
          <w:tcPr>
            <w:tcW w:w="762" w:type="dxa"/>
            <w:tcBorders>
              <w:top w:val="nil"/>
              <w:left w:val="nil"/>
              <w:bottom w:val="single" w:color="auto" w:sz="4" w:space="0"/>
              <w:right w:val="single" w:color="auto" w:sz="4" w:space="0"/>
            </w:tcBorders>
            <w:shd w:val="clear" w:color="auto" w:fill="auto"/>
            <w:vAlign w:val="center"/>
          </w:tcPr>
          <w:p w14:paraId="10B6342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1D2B2F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CZ-B-32</w:t>
            </w:r>
          </w:p>
        </w:tc>
        <w:tc>
          <w:tcPr>
            <w:tcW w:w="1101" w:type="dxa"/>
            <w:tcBorders>
              <w:top w:val="nil"/>
              <w:left w:val="nil"/>
              <w:bottom w:val="single" w:color="auto" w:sz="4" w:space="0"/>
              <w:right w:val="single" w:color="auto" w:sz="4" w:space="0"/>
            </w:tcBorders>
            <w:shd w:val="clear" w:color="auto" w:fill="auto"/>
            <w:vAlign w:val="center"/>
          </w:tcPr>
          <w:p w14:paraId="7D66028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0F2EA2B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7CD1CD4C">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08B9514">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541BB15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4F6FDC2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88HV5</w:t>
            </w:r>
          </w:p>
        </w:tc>
        <w:tc>
          <w:tcPr>
            <w:tcW w:w="762" w:type="dxa"/>
            <w:tcBorders>
              <w:top w:val="nil"/>
              <w:left w:val="nil"/>
              <w:bottom w:val="single" w:color="auto" w:sz="4" w:space="0"/>
              <w:right w:val="single" w:color="auto" w:sz="4" w:space="0"/>
            </w:tcBorders>
            <w:shd w:val="clear" w:color="auto" w:fill="auto"/>
            <w:vAlign w:val="center"/>
          </w:tcPr>
          <w:p w14:paraId="510760C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67E13D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CZ-B-32</w:t>
            </w:r>
          </w:p>
        </w:tc>
        <w:tc>
          <w:tcPr>
            <w:tcW w:w="1101" w:type="dxa"/>
            <w:tcBorders>
              <w:top w:val="nil"/>
              <w:left w:val="nil"/>
              <w:bottom w:val="single" w:color="auto" w:sz="4" w:space="0"/>
              <w:right w:val="single" w:color="auto" w:sz="4" w:space="0"/>
            </w:tcBorders>
            <w:shd w:val="clear" w:color="auto" w:fill="auto"/>
            <w:vAlign w:val="center"/>
          </w:tcPr>
          <w:p w14:paraId="3D49192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7B8A915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5E11157">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0A2888D7">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69E13B3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6ADACBD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RH5885H V3</w:t>
            </w:r>
          </w:p>
        </w:tc>
        <w:tc>
          <w:tcPr>
            <w:tcW w:w="762" w:type="dxa"/>
            <w:tcBorders>
              <w:top w:val="nil"/>
              <w:left w:val="nil"/>
              <w:bottom w:val="single" w:color="auto" w:sz="4" w:space="0"/>
              <w:right w:val="single" w:color="auto" w:sz="4" w:space="0"/>
            </w:tcBorders>
            <w:shd w:val="clear" w:color="auto" w:fill="auto"/>
            <w:vAlign w:val="center"/>
          </w:tcPr>
          <w:p w14:paraId="678E813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7FBAC9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CZ-B-09</w:t>
            </w:r>
          </w:p>
        </w:tc>
        <w:tc>
          <w:tcPr>
            <w:tcW w:w="1101" w:type="dxa"/>
            <w:tcBorders>
              <w:top w:val="nil"/>
              <w:left w:val="nil"/>
              <w:bottom w:val="single" w:color="auto" w:sz="4" w:space="0"/>
              <w:right w:val="single" w:color="auto" w:sz="4" w:space="0"/>
            </w:tcBorders>
            <w:shd w:val="clear" w:color="auto" w:fill="auto"/>
            <w:vAlign w:val="center"/>
          </w:tcPr>
          <w:p w14:paraId="6FBB0CB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5200AAC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B8A1BF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B7B1AE9">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1979A4D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7E10668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RH5885H V3</w:t>
            </w:r>
          </w:p>
        </w:tc>
        <w:tc>
          <w:tcPr>
            <w:tcW w:w="762" w:type="dxa"/>
            <w:tcBorders>
              <w:top w:val="nil"/>
              <w:left w:val="nil"/>
              <w:bottom w:val="single" w:color="auto" w:sz="4" w:space="0"/>
              <w:right w:val="single" w:color="auto" w:sz="4" w:space="0"/>
            </w:tcBorders>
            <w:shd w:val="clear" w:color="auto" w:fill="auto"/>
            <w:vAlign w:val="center"/>
          </w:tcPr>
          <w:p w14:paraId="3EFEB28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0DC4503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CZ-B-09</w:t>
            </w:r>
          </w:p>
        </w:tc>
        <w:tc>
          <w:tcPr>
            <w:tcW w:w="1101" w:type="dxa"/>
            <w:tcBorders>
              <w:top w:val="nil"/>
              <w:left w:val="nil"/>
              <w:bottom w:val="single" w:color="auto" w:sz="4" w:space="0"/>
              <w:right w:val="single" w:color="auto" w:sz="4" w:space="0"/>
            </w:tcBorders>
            <w:shd w:val="clear" w:color="auto" w:fill="auto"/>
            <w:vAlign w:val="center"/>
          </w:tcPr>
          <w:p w14:paraId="6EA0806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0ADC98E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524B6021">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74D9339">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69EFBC8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1C1DFC0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RH5885H V3</w:t>
            </w:r>
          </w:p>
        </w:tc>
        <w:tc>
          <w:tcPr>
            <w:tcW w:w="762" w:type="dxa"/>
            <w:tcBorders>
              <w:top w:val="nil"/>
              <w:left w:val="nil"/>
              <w:bottom w:val="single" w:color="auto" w:sz="4" w:space="0"/>
              <w:right w:val="single" w:color="auto" w:sz="4" w:space="0"/>
            </w:tcBorders>
            <w:shd w:val="clear" w:color="auto" w:fill="auto"/>
            <w:vAlign w:val="center"/>
          </w:tcPr>
          <w:p w14:paraId="0E7B0A2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FD691A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CZ-B-09</w:t>
            </w:r>
          </w:p>
        </w:tc>
        <w:tc>
          <w:tcPr>
            <w:tcW w:w="1101" w:type="dxa"/>
            <w:tcBorders>
              <w:top w:val="nil"/>
              <w:left w:val="nil"/>
              <w:bottom w:val="single" w:color="auto" w:sz="4" w:space="0"/>
              <w:right w:val="single" w:color="auto" w:sz="4" w:space="0"/>
            </w:tcBorders>
            <w:shd w:val="clear" w:color="auto" w:fill="auto"/>
            <w:vAlign w:val="center"/>
          </w:tcPr>
          <w:p w14:paraId="4753890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3E4B1CD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5C81BC0F">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86668F4">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7CAC9D7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707B0CE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RH5885H V3</w:t>
            </w:r>
          </w:p>
        </w:tc>
        <w:tc>
          <w:tcPr>
            <w:tcW w:w="762" w:type="dxa"/>
            <w:tcBorders>
              <w:top w:val="nil"/>
              <w:left w:val="nil"/>
              <w:bottom w:val="single" w:color="auto" w:sz="4" w:space="0"/>
              <w:right w:val="single" w:color="auto" w:sz="4" w:space="0"/>
            </w:tcBorders>
            <w:shd w:val="clear" w:color="auto" w:fill="auto"/>
            <w:vAlign w:val="center"/>
          </w:tcPr>
          <w:p w14:paraId="0ACD3F3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EB25C5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CZ-B-09</w:t>
            </w:r>
          </w:p>
        </w:tc>
        <w:tc>
          <w:tcPr>
            <w:tcW w:w="1101" w:type="dxa"/>
            <w:tcBorders>
              <w:top w:val="nil"/>
              <w:left w:val="nil"/>
              <w:bottom w:val="single" w:color="auto" w:sz="4" w:space="0"/>
              <w:right w:val="single" w:color="auto" w:sz="4" w:space="0"/>
            </w:tcBorders>
            <w:shd w:val="clear" w:color="auto" w:fill="auto"/>
            <w:vAlign w:val="center"/>
          </w:tcPr>
          <w:p w14:paraId="6044A8E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370AC5F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73A7801">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0CE00078">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3F23133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033B4EB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DELL R710</w:t>
            </w:r>
          </w:p>
        </w:tc>
        <w:tc>
          <w:tcPr>
            <w:tcW w:w="762" w:type="dxa"/>
            <w:tcBorders>
              <w:top w:val="nil"/>
              <w:left w:val="nil"/>
              <w:bottom w:val="single" w:color="auto" w:sz="4" w:space="0"/>
              <w:right w:val="single" w:color="auto" w:sz="4" w:space="0"/>
            </w:tcBorders>
            <w:shd w:val="clear" w:color="auto" w:fill="auto"/>
            <w:vAlign w:val="center"/>
          </w:tcPr>
          <w:p w14:paraId="14B87CF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9A25F9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CZ-B-27</w:t>
            </w:r>
          </w:p>
        </w:tc>
        <w:tc>
          <w:tcPr>
            <w:tcW w:w="1101" w:type="dxa"/>
            <w:tcBorders>
              <w:top w:val="nil"/>
              <w:left w:val="nil"/>
              <w:bottom w:val="single" w:color="auto" w:sz="4" w:space="0"/>
              <w:right w:val="single" w:color="auto" w:sz="4" w:space="0"/>
            </w:tcBorders>
            <w:shd w:val="clear" w:color="auto" w:fill="auto"/>
            <w:vAlign w:val="center"/>
          </w:tcPr>
          <w:p w14:paraId="3C5257B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20464709">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E3474AA">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4F08BC4">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7A7CFAD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0384D551">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 X3650</w:t>
            </w:r>
          </w:p>
        </w:tc>
        <w:tc>
          <w:tcPr>
            <w:tcW w:w="762" w:type="dxa"/>
            <w:tcBorders>
              <w:top w:val="nil"/>
              <w:left w:val="nil"/>
              <w:bottom w:val="single" w:color="auto" w:sz="4" w:space="0"/>
              <w:right w:val="single" w:color="auto" w:sz="4" w:space="0"/>
            </w:tcBorders>
            <w:shd w:val="clear" w:color="auto" w:fill="auto"/>
            <w:vAlign w:val="center"/>
          </w:tcPr>
          <w:p w14:paraId="3E9040B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EE79A8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CZ-B-28</w:t>
            </w:r>
          </w:p>
        </w:tc>
        <w:tc>
          <w:tcPr>
            <w:tcW w:w="1101" w:type="dxa"/>
            <w:tcBorders>
              <w:top w:val="nil"/>
              <w:left w:val="nil"/>
              <w:bottom w:val="single" w:color="auto" w:sz="4" w:space="0"/>
              <w:right w:val="single" w:color="auto" w:sz="4" w:space="0"/>
            </w:tcBorders>
            <w:shd w:val="clear" w:color="auto" w:fill="auto"/>
            <w:vAlign w:val="center"/>
          </w:tcPr>
          <w:p w14:paraId="2125470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64DFF6C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F90BD42">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A2C072E">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12437D2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1AD654F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 X3850X5</w:t>
            </w:r>
          </w:p>
        </w:tc>
        <w:tc>
          <w:tcPr>
            <w:tcW w:w="762" w:type="dxa"/>
            <w:tcBorders>
              <w:top w:val="nil"/>
              <w:left w:val="nil"/>
              <w:bottom w:val="single" w:color="auto" w:sz="4" w:space="0"/>
              <w:right w:val="single" w:color="auto" w:sz="4" w:space="0"/>
            </w:tcBorders>
            <w:shd w:val="clear" w:color="auto" w:fill="auto"/>
            <w:vAlign w:val="center"/>
          </w:tcPr>
          <w:p w14:paraId="72CDA02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FFD796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CZ-B-28</w:t>
            </w:r>
          </w:p>
        </w:tc>
        <w:tc>
          <w:tcPr>
            <w:tcW w:w="1101" w:type="dxa"/>
            <w:tcBorders>
              <w:top w:val="nil"/>
              <w:left w:val="nil"/>
              <w:bottom w:val="single" w:color="auto" w:sz="4" w:space="0"/>
              <w:right w:val="single" w:color="auto" w:sz="4" w:space="0"/>
            </w:tcBorders>
            <w:shd w:val="clear" w:color="auto" w:fill="auto"/>
            <w:vAlign w:val="center"/>
          </w:tcPr>
          <w:p w14:paraId="37E2A60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091ED799">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F39D2C3">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AB3EB85">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7129DD1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服务器</w:t>
            </w:r>
          </w:p>
        </w:tc>
        <w:tc>
          <w:tcPr>
            <w:tcW w:w="2253" w:type="dxa"/>
            <w:tcBorders>
              <w:top w:val="nil"/>
              <w:left w:val="nil"/>
              <w:bottom w:val="single" w:color="auto" w:sz="4" w:space="0"/>
              <w:right w:val="single" w:color="auto" w:sz="4" w:space="0"/>
            </w:tcBorders>
            <w:shd w:val="clear" w:color="auto" w:fill="auto"/>
            <w:vAlign w:val="center"/>
          </w:tcPr>
          <w:p w14:paraId="09C5663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 X3850X5</w:t>
            </w:r>
          </w:p>
        </w:tc>
        <w:tc>
          <w:tcPr>
            <w:tcW w:w="762" w:type="dxa"/>
            <w:tcBorders>
              <w:top w:val="nil"/>
              <w:left w:val="nil"/>
              <w:bottom w:val="single" w:color="auto" w:sz="4" w:space="0"/>
              <w:right w:val="single" w:color="auto" w:sz="4" w:space="0"/>
            </w:tcBorders>
            <w:shd w:val="clear" w:color="auto" w:fill="auto"/>
            <w:vAlign w:val="center"/>
          </w:tcPr>
          <w:p w14:paraId="22CAB35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FF9E64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CZ-B-28</w:t>
            </w:r>
          </w:p>
        </w:tc>
        <w:tc>
          <w:tcPr>
            <w:tcW w:w="1101" w:type="dxa"/>
            <w:tcBorders>
              <w:top w:val="nil"/>
              <w:left w:val="nil"/>
              <w:bottom w:val="single" w:color="auto" w:sz="4" w:space="0"/>
              <w:right w:val="single" w:color="auto" w:sz="4" w:space="0"/>
            </w:tcBorders>
            <w:shd w:val="clear" w:color="auto" w:fill="auto"/>
            <w:vAlign w:val="center"/>
          </w:tcPr>
          <w:p w14:paraId="2BEFE0F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5932DC44">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735E634">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1D20094">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4A4452F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54FB513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3par StoreServ7200</w:t>
            </w:r>
          </w:p>
        </w:tc>
        <w:tc>
          <w:tcPr>
            <w:tcW w:w="762" w:type="dxa"/>
            <w:tcBorders>
              <w:top w:val="nil"/>
              <w:left w:val="nil"/>
              <w:bottom w:val="single" w:color="auto" w:sz="4" w:space="0"/>
              <w:right w:val="single" w:color="auto" w:sz="4" w:space="0"/>
            </w:tcBorders>
            <w:shd w:val="clear" w:color="auto" w:fill="auto"/>
            <w:vAlign w:val="center"/>
          </w:tcPr>
          <w:p w14:paraId="09F0942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FB70BE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CZ-B-08</w:t>
            </w:r>
          </w:p>
        </w:tc>
        <w:tc>
          <w:tcPr>
            <w:tcW w:w="1101" w:type="dxa"/>
            <w:tcBorders>
              <w:top w:val="nil"/>
              <w:left w:val="nil"/>
              <w:bottom w:val="single" w:color="auto" w:sz="4" w:space="0"/>
              <w:right w:val="single" w:color="auto" w:sz="4" w:space="0"/>
            </w:tcBorders>
            <w:shd w:val="clear" w:color="auto" w:fill="auto"/>
            <w:vAlign w:val="center"/>
          </w:tcPr>
          <w:p w14:paraId="7A9A80E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restart"/>
            <w:tcBorders>
              <w:top w:val="nil"/>
              <w:left w:val="single" w:color="auto" w:sz="4" w:space="0"/>
              <w:bottom w:val="single" w:color="auto" w:sz="4" w:space="0"/>
              <w:right w:val="single" w:color="auto" w:sz="4" w:space="0"/>
            </w:tcBorders>
            <w:shd w:val="clear" w:color="auto" w:fill="auto"/>
            <w:vAlign w:val="center"/>
          </w:tcPr>
          <w:p w14:paraId="3D3A1D0A">
            <w:pPr>
              <w:keepNext w:val="0"/>
              <w:keepLines w:val="0"/>
              <w:widowControl/>
              <w:suppressLineNumbers w:val="0"/>
              <w:spacing w:before="0" w:beforeAutospacing="0" w:after="0" w:afterAutospacing="0" w:line="240" w:lineRule="auto"/>
              <w:ind w:left="0" w:right="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硬件保修包含整机上面所有配件（如控制器、硬盘、磁盘笼、电源、连接线缆等）, 本地工程师现场支持要求时间为7*24小时*2小时到达，所需配件24小时内送达。</w:t>
            </w:r>
          </w:p>
        </w:tc>
      </w:tr>
      <w:tr w14:paraId="1B12860C">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EC7C355">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49CE2F5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54EC280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华为 5800v3</w:t>
            </w:r>
          </w:p>
        </w:tc>
        <w:tc>
          <w:tcPr>
            <w:tcW w:w="762" w:type="dxa"/>
            <w:tcBorders>
              <w:top w:val="nil"/>
              <w:left w:val="nil"/>
              <w:bottom w:val="single" w:color="auto" w:sz="4" w:space="0"/>
              <w:right w:val="single" w:color="auto" w:sz="4" w:space="0"/>
            </w:tcBorders>
            <w:shd w:val="clear" w:color="auto" w:fill="auto"/>
            <w:vAlign w:val="center"/>
          </w:tcPr>
          <w:p w14:paraId="6CF0742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3B80CE2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CZ-B-08</w:t>
            </w:r>
          </w:p>
        </w:tc>
        <w:tc>
          <w:tcPr>
            <w:tcW w:w="1101" w:type="dxa"/>
            <w:tcBorders>
              <w:top w:val="nil"/>
              <w:left w:val="nil"/>
              <w:bottom w:val="single" w:color="auto" w:sz="4" w:space="0"/>
              <w:right w:val="single" w:color="auto" w:sz="4" w:space="0"/>
            </w:tcBorders>
            <w:shd w:val="clear" w:color="auto" w:fill="auto"/>
            <w:vAlign w:val="center"/>
          </w:tcPr>
          <w:p w14:paraId="60BED16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73EF803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C842367">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53C41E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0A70B21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21DE872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5800v3 扩展盘柜</w:t>
            </w:r>
          </w:p>
        </w:tc>
        <w:tc>
          <w:tcPr>
            <w:tcW w:w="762" w:type="dxa"/>
            <w:tcBorders>
              <w:top w:val="nil"/>
              <w:left w:val="nil"/>
              <w:bottom w:val="single" w:color="auto" w:sz="4" w:space="0"/>
              <w:right w:val="single" w:color="auto" w:sz="4" w:space="0"/>
            </w:tcBorders>
            <w:shd w:val="clear" w:color="auto" w:fill="auto"/>
            <w:vAlign w:val="center"/>
          </w:tcPr>
          <w:p w14:paraId="63023CC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8E06C9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CZ-B-08</w:t>
            </w:r>
          </w:p>
        </w:tc>
        <w:tc>
          <w:tcPr>
            <w:tcW w:w="1101" w:type="dxa"/>
            <w:tcBorders>
              <w:top w:val="nil"/>
              <w:left w:val="nil"/>
              <w:bottom w:val="single" w:color="auto" w:sz="4" w:space="0"/>
              <w:right w:val="single" w:color="auto" w:sz="4" w:space="0"/>
            </w:tcBorders>
            <w:shd w:val="clear" w:color="auto" w:fill="auto"/>
            <w:vAlign w:val="center"/>
          </w:tcPr>
          <w:p w14:paraId="7D7014D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2F98953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5B3A9A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556649E">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0ADEA8C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0C8C21F7">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HUAWEI OCEANSTOR 5500V5</w:t>
            </w:r>
          </w:p>
        </w:tc>
        <w:tc>
          <w:tcPr>
            <w:tcW w:w="762" w:type="dxa"/>
            <w:tcBorders>
              <w:top w:val="nil"/>
              <w:left w:val="nil"/>
              <w:bottom w:val="single" w:color="auto" w:sz="4" w:space="0"/>
              <w:right w:val="single" w:color="auto" w:sz="4" w:space="0"/>
            </w:tcBorders>
            <w:shd w:val="clear" w:color="auto" w:fill="auto"/>
            <w:vAlign w:val="center"/>
          </w:tcPr>
          <w:p w14:paraId="4BF1DC7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0962201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516B99F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24FCDA21">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B0CEA0A">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7152EFD">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05405FE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4F51985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HUAWEI OCEANSTOR 5500V5 扩展柜</w:t>
            </w:r>
          </w:p>
        </w:tc>
        <w:tc>
          <w:tcPr>
            <w:tcW w:w="762" w:type="dxa"/>
            <w:tcBorders>
              <w:top w:val="nil"/>
              <w:left w:val="nil"/>
              <w:bottom w:val="single" w:color="auto" w:sz="4" w:space="0"/>
              <w:right w:val="single" w:color="auto" w:sz="4" w:space="0"/>
            </w:tcBorders>
            <w:shd w:val="clear" w:color="auto" w:fill="auto"/>
            <w:vAlign w:val="center"/>
          </w:tcPr>
          <w:p w14:paraId="10D791F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4BE62F6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007ED0F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6E3D7D2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16343CC">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A75BB97">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6E5312C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56444D6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HUAWEI OCEANSTOR 6800V5 </w:t>
            </w:r>
          </w:p>
        </w:tc>
        <w:tc>
          <w:tcPr>
            <w:tcW w:w="762" w:type="dxa"/>
            <w:tcBorders>
              <w:top w:val="nil"/>
              <w:left w:val="nil"/>
              <w:bottom w:val="single" w:color="auto" w:sz="4" w:space="0"/>
              <w:right w:val="single" w:color="auto" w:sz="4" w:space="0"/>
            </w:tcBorders>
            <w:shd w:val="clear" w:color="auto" w:fill="auto"/>
            <w:vAlign w:val="center"/>
          </w:tcPr>
          <w:p w14:paraId="40480B8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447982B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CZ-B-06</w:t>
            </w:r>
          </w:p>
        </w:tc>
        <w:tc>
          <w:tcPr>
            <w:tcW w:w="1101" w:type="dxa"/>
            <w:tcBorders>
              <w:top w:val="nil"/>
              <w:left w:val="nil"/>
              <w:bottom w:val="single" w:color="auto" w:sz="4" w:space="0"/>
              <w:right w:val="single" w:color="auto" w:sz="4" w:space="0"/>
            </w:tcBorders>
            <w:shd w:val="clear" w:color="auto" w:fill="auto"/>
            <w:vAlign w:val="center"/>
          </w:tcPr>
          <w:p w14:paraId="42E2253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7D04C631">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7E8BE3B">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0D75BC8E">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382F746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19F797A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HUAWEI OCEANSTOR 6800V5 扩展柜</w:t>
            </w:r>
          </w:p>
        </w:tc>
        <w:tc>
          <w:tcPr>
            <w:tcW w:w="762" w:type="dxa"/>
            <w:tcBorders>
              <w:top w:val="nil"/>
              <w:left w:val="nil"/>
              <w:bottom w:val="single" w:color="auto" w:sz="4" w:space="0"/>
              <w:right w:val="single" w:color="auto" w:sz="4" w:space="0"/>
            </w:tcBorders>
            <w:shd w:val="clear" w:color="auto" w:fill="auto"/>
            <w:vAlign w:val="center"/>
          </w:tcPr>
          <w:p w14:paraId="7DE17DD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F8019F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CZ-B-06</w:t>
            </w:r>
          </w:p>
        </w:tc>
        <w:tc>
          <w:tcPr>
            <w:tcW w:w="1101" w:type="dxa"/>
            <w:tcBorders>
              <w:top w:val="nil"/>
              <w:left w:val="nil"/>
              <w:bottom w:val="single" w:color="auto" w:sz="4" w:space="0"/>
              <w:right w:val="single" w:color="auto" w:sz="4" w:space="0"/>
            </w:tcBorders>
            <w:shd w:val="clear" w:color="auto" w:fill="auto"/>
            <w:vAlign w:val="center"/>
          </w:tcPr>
          <w:p w14:paraId="098F09B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1220FF6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04C8C2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5E3BEEB">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2C8753E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6147300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HUAWEI OCEANSTOR 6800V5 扩展柜</w:t>
            </w:r>
          </w:p>
        </w:tc>
        <w:tc>
          <w:tcPr>
            <w:tcW w:w="762" w:type="dxa"/>
            <w:tcBorders>
              <w:top w:val="nil"/>
              <w:left w:val="nil"/>
              <w:bottom w:val="single" w:color="auto" w:sz="4" w:space="0"/>
              <w:right w:val="single" w:color="auto" w:sz="4" w:space="0"/>
            </w:tcBorders>
            <w:shd w:val="clear" w:color="auto" w:fill="auto"/>
            <w:vAlign w:val="center"/>
          </w:tcPr>
          <w:p w14:paraId="71989E5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3562A5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CZ-B-06</w:t>
            </w:r>
          </w:p>
        </w:tc>
        <w:tc>
          <w:tcPr>
            <w:tcW w:w="1101" w:type="dxa"/>
            <w:tcBorders>
              <w:top w:val="nil"/>
              <w:left w:val="nil"/>
              <w:bottom w:val="single" w:color="auto" w:sz="4" w:space="0"/>
              <w:right w:val="single" w:color="auto" w:sz="4" w:space="0"/>
            </w:tcBorders>
            <w:shd w:val="clear" w:color="auto" w:fill="auto"/>
            <w:vAlign w:val="center"/>
          </w:tcPr>
          <w:p w14:paraId="69949EA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55056F1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2FA78BE">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3B39E2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695FA0A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587B14D0">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HUAWEI OCEANSTOR 6800V5 扩展柜</w:t>
            </w:r>
          </w:p>
        </w:tc>
        <w:tc>
          <w:tcPr>
            <w:tcW w:w="762" w:type="dxa"/>
            <w:tcBorders>
              <w:top w:val="nil"/>
              <w:left w:val="nil"/>
              <w:bottom w:val="single" w:color="auto" w:sz="4" w:space="0"/>
              <w:right w:val="single" w:color="auto" w:sz="4" w:space="0"/>
            </w:tcBorders>
            <w:shd w:val="clear" w:color="auto" w:fill="auto"/>
            <w:vAlign w:val="center"/>
          </w:tcPr>
          <w:p w14:paraId="4ECC1B0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0D4B7B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CZ-B-06</w:t>
            </w:r>
          </w:p>
        </w:tc>
        <w:tc>
          <w:tcPr>
            <w:tcW w:w="1101" w:type="dxa"/>
            <w:tcBorders>
              <w:top w:val="nil"/>
              <w:left w:val="nil"/>
              <w:bottom w:val="single" w:color="auto" w:sz="4" w:space="0"/>
              <w:right w:val="single" w:color="auto" w:sz="4" w:space="0"/>
            </w:tcBorders>
            <w:shd w:val="clear" w:color="auto" w:fill="auto"/>
            <w:vAlign w:val="center"/>
          </w:tcPr>
          <w:p w14:paraId="55D9202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121815D4">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58D5D5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5BFE01A">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6ED8AC6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7575F990">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HUAWEI OCEANSTOR 6800V5 扩展柜</w:t>
            </w:r>
          </w:p>
        </w:tc>
        <w:tc>
          <w:tcPr>
            <w:tcW w:w="762" w:type="dxa"/>
            <w:tcBorders>
              <w:top w:val="nil"/>
              <w:left w:val="nil"/>
              <w:bottom w:val="single" w:color="auto" w:sz="4" w:space="0"/>
              <w:right w:val="single" w:color="auto" w:sz="4" w:space="0"/>
            </w:tcBorders>
            <w:shd w:val="clear" w:color="auto" w:fill="auto"/>
            <w:vAlign w:val="center"/>
          </w:tcPr>
          <w:p w14:paraId="68E3CE7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1E4A4D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CZ-B-06</w:t>
            </w:r>
          </w:p>
        </w:tc>
        <w:tc>
          <w:tcPr>
            <w:tcW w:w="1101" w:type="dxa"/>
            <w:tcBorders>
              <w:top w:val="nil"/>
              <w:left w:val="nil"/>
              <w:bottom w:val="single" w:color="auto" w:sz="4" w:space="0"/>
              <w:right w:val="single" w:color="auto" w:sz="4" w:space="0"/>
            </w:tcBorders>
            <w:shd w:val="clear" w:color="auto" w:fill="auto"/>
            <w:vAlign w:val="center"/>
          </w:tcPr>
          <w:p w14:paraId="77407C3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4895F6F1">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87E0279">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B5E51AC">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39A3E00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29E530B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HUAWEI OCEANSTOR 5510V5 </w:t>
            </w:r>
          </w:p>
        </w:tc>
        <w:tc>
          <w:tcPr>
            <w:tcW w:w="762" w:type="dxa"/>
            <w:tcBorders>
              <w:top w:val="nil"/>
              <w:left w:val="nil"/>
              <w:bottom w:val="single" w:color="auto" w:sz="4" w:space="0"/>
              <w:right w:val="single" w:color="auto" w:sz="4" w:space="0"/>
            </w:tcBorders>
            <w:shd w:val="clear" w:color="auto" w:fill="auto"/>
            <w:vAlign w:val="center"/>
          </w:tcPr>
          <w:p w14:paraId="3D5C4FC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49E92C4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CZ-B-13</w:t>
            </w:r>
          </w:p>
        </w:tc>
        <w:tc>
          <w:tcPr>
            <w:tcW w:w="1101" w:type="dxa"/>
            <w:tcBorders>
              <w:top w:val="nil"/>
              <w:left w:val="nil"/>
              <w:bottom w:val="single" w:color="auto" w:sz="4" w:space="0"/>
              <w:right w:val="single" w:color="auto" w:sz="4" w:space="0"/>
            </w:tcBorders>
            <w:shd w:val="clear" w:color="auto" w:fill="auto"/>
            <w:vAlign w:val="center"/>
          </w:tcPr>
          <w:p w14:paraId="503BA0F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4DC50759">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45C8168">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65C4823">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2361D7B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存储</w:t>
            </w:r>
          </w:p>
        </w:tc>
        <w:tc>
          <w:tcPr>
            <w:tcW w:w="2253" w:type="dxa"/>
            <w:tcBorders>
              <w:top w:val="nil"/>
              <w:left w:val="nil"/>
              <w:bottom w:val="single" w:color="auto" w:sz="4" w:space="0"/>
              <w:right w:val="single" w:color="auto" w:sz="4" w:space="0"/>
            </w:tcBorders>
            <w:shd w:val="clear" w:color="auto" w:fill="auto"/>
            <w:vAlign w:val="center"/>
          </w:tcPr>
          <w:p w14:paraId="2E2729F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HUAWEI OCEANSTOR 5510V5 扩展柜</w:t>
            </w:r>
          </w:p>
        </w:tc>
        <w:tc>
          <w:tcPr>
            <w:tcW w:w="762" w:type="dxa"/>
            <w:tcBorders>
              <w:top w:val="nil"/>
              <w:left w:val="nil"/>
              <w:bottom w:val="single" w:color="auto" w:sz="4" w:space="0"/>
              <w:right w:val="single" w:color="auto" w:sz="4" w:space="0"/>
            </w:tcBorders>
            <w:shd w:val="clear" w:color="auto" w:fill="auto"/>
            <w:vAlign w:val="center"/>
          </w:tcPr>
          <w:p w14:paraId="71C159F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8A748A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CZ-B-13</w:t>
            </w:r>
          </w:p>
        </w:tc>
        <w:tc>
          <w:tcPr>
            <w:tcW w:w="1101" w:type="dxa"/>
            <w:tcBorders>
              <w:top w:val="nil"/>
              <w:left w:val="nil"/>
              <w:bottom w:val="single" w:color="auto" w:sz="4" w:space="0"/>
              <w:right w:val="single" w:color="auto" w:sz="4" w:space="0"/>
            </w:tcBorders>
            <w:shd w:val="clear" w:color="auto" w:fill="auto"/>
            <w:vAlign w:val="center"/>
          </w:tcPr>
          <w:p w14:paraId="5AF3BEB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58CD69E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02A82E7">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9C6D287">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2AF74E0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609EBEC7">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HP STORAGEWORKS 8/8 SAN SWITCH</w:t>
            </w:r>
          </w:p>
        </w:tc>
        <w:tc>
          <w:tcPr>
            <w:tcW w:w="762" w:type="dxa"/>
            <w:tcBorders>
              <w:top w:val="nil"/>
              <w:left w:val="nil"/>
              <w:bottom w:val="single" w:color="auto" w:sz="4" w:space="0"/>
              <w:right w:val="single" w:color="auto" w:sz="4" w:space="0"/>
            </w:tcBorders>
            <w:shd w:val="clear" w:color="auto" w:fill="auto"/>
            <w:vAlign w:val="center"/>
          </w:tcPr>
          <w:p w14:paraId="6E5D8DD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BF959E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CZ-B-08</w:t>
            </w:r>
          </w:p>
        </w:tc>
        <w:tc>
          <w:tcPr>
            <w:tcW w:w="1101" w:type="dxa"/>
            <w:tcBorders>
              <w:top w:val="nil"/>
              <w:left w:val="nil"/>
              <w:bottom w:val="single" w:color="auto" w:sz="4" w:space="0"/>
              <w:right w:val="single" w:color="auto" w:sz="4" w:space="0"/>
            </w:tcBorders>
            <w:shd w:val="clear" w:color="auto" w:fill="auto"/>
            <w:vAlign w:val="center"/>
          </w:tcPr>
          <w:p w14:paraId="49788DD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restart"/>
            <w:tcBorders>
              <w:top w:val="nil"/>
              <w:left w:val="single" w:color="auto" w:sz="4" w:space="0"/>
              <w:bottom w:val="single" w:color="000000" w:sz="4" w:space="0"/>
              <w:right w:val="single" w:color="auto" w:sz="4" w:space="0"/>
            </w:tcBorders>
            <w:shd w:val="clear" w:color="auto" w:fill="auto"/>
            <w:vAlign w:val="center"/>
          </w:tcPr>
          <w:p w14:paraId="63F3123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硬件保修包含整机上面所有配件（如主机、电源、风扇、配置调整等）, 本地工程师现场支持要求时间为7*24小时*2小时到达，所需配件24小时内送达。</w:t>
            </w:r>
          </w:p>
        </w:tc>
      </w:tr>
      <w:tr w14:paraId="36D82289">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F46E8B1">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7D2CF6A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701F8D6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HP STORAGEWORKS 8/8 SAN SWITCH</w:t>
            </w:r>
          </w:p>
        </w:tc>
        <w:tc>
          <w:tcPr>
            <w:tcW w:w="762" w:type="dxa"/>
            <w:tcBorders>
              <w:top w:val="nil"/>
              <w:left w:val="nil"/>
              <w:bottom w:val="single" w:color="auto" w:sz="4" w:space="0"/>
              <w:right w:val="single" w:color="auto" w:sz="4" w:space="0"/>
            </w:tcBorders>
            <w:shd w:val="clear" w:color="auto" w:fill="auto"/>
            <w:vAlign w:val="center"/>
          </w:tcPr>
          <w:p w14:paraId="6E51C26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8D1844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CZ-B-08</w:t>
            </w:r>
          </w:p>
        </w:tc>
        <w:tc>
          <w:tcPr>
            <w:tcW w:w="1101" w:type="dxa"/>
            <w:tcBorders>
              <w:top w:val="nil"/>
              <w:left w:val="nil"/>
              <w:bottom w:val="single" w:color="auto" w:sz="4" w:space="0"/>
              <w:right w:val="single" w:color="auto" w:sz="4" w:space="0"/>
            </w:tcBorders>
            <w:shd w:val="clear" w:color="auto" w:fill="auto"/>
            <w:vAlign w:val="center"/>
          </w:tcPr>
          <w:p w14:paraId="459C084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6BEF869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DCC57FB">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C51890B">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38C4591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6B78054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HP STORAGEWORKS 8/24 SAN SWITCH</w:t>
            </w:r>
          </w:p>
        </w:tc>
        <w:tc>
          <w:tcPr>
            <w:tcW w:w="762" w:type="dxa"/>
            <w:tcBorders>
              <w:top w:val="nil"/>
              <w:left w:val="nil"/>
              <w:bottom w:val="single" w:color="auto" w:sz="4" w:space="0"/>
              <w:right w:val="single" w:color="auto" w:sz="4" w:space="0"/>
            </w:tcBorders>
            <w:shd w:val="clear" w:color="auto" w:fill="auto"/>
            <w:vAlign w:val="center"/>
          </w:tcPr>
          <w:p w14:paraId="6C96271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152E5E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4B20ED4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38E8A01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EDE17D4">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062EE32B">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6C445A3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13D9B18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HP STORAGEWORKS 8/24 SAN SWITCH</w:t>
            </w:r>
          </w:p>
        </w:tc>
        <w:tc>
          <w:tcPr>
            <w:tcW w:w="762" w:type="dxa"/>
            <w:tcBorders>
              <w:top w:val="nil"/>
              <w:left w:val="nil"/>
              <w:bottom w:val="single" w:color="auto" w:sz="4" w:space="0"/>
              <w:right w:val="single" w:color="auto" w:sz="4" w:space="0"/>
            </w:tcBorders>
            <w:shd w:val="clear" w:color="auto" w:fill="auto"/>
            <w:vAlign w:val="center"/>
          </w:tcPr>
          <w:p w14:paraId="10202EE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3BB26E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55DA7CE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16EDF8F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7DE61EC">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DB57AD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55A35FB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77DD2C7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G610</w:t>
            </w:r>
          </w:p>
        </w:tc>
        <w:tc>
          <w:tcPr>
            <w:tcW w:w="762" w:type="dxa"/>
            <w:tcBorders>
              <w:top w:val="nil"/>
              <w:left w:val="nil"/>
              <w:bottom w:val="single" w:color="auto" w:sz="4" w:space="0"/>
              <w:right w:val="single" w:color="auto" w:sz="4" w:space="0"/>
            </w:tcBorders>
            <w:shd w:val="clear" w:color="auto" w:fill="auto"/>
            <w:vAlign w:val="center"/>
          </w:tcPr>
          <w:p w14:paraId="0C04193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EBBC38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7C08787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4DCD391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43D4C5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0FB7422">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396DD08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533C136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G610</w:t>
            </w:r>
          </w:p>
        </w:tc>
        <w:tc>
          <w:tcPr>
            <w:tcW w:w="762" w:type="dxa"/>
            <w:tcBorders>
              <w:top w:val="nil"/>
              <w:left w:val="nil"/>
              <w:bottom w:val="single" w:color="auto" w:sz="4" w:space="0"/>
              <w:right w:val="single" w:color="auto" w:sz="4" w:space="0"/>
            </w:tcBorders>
            <w:shd w:val="clear" w:color="auto" w:fill="auto"/>
            <w:vAlign w:val="center"/>
          </w:tcPr>
          <w:p w14:paraId="0EA04C2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A7F5AE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CZ-A-28</w:t>
            </w:r>
          </w:p>
        </w:tc>
        <w:tc>
          <w:tcPr>
            <w:tcW w:w="1101" w:type="dxa"/>
            <w:tcBorders>
              <w:top w:val="nil"/>
              <w:left w:val="nil"/>
              <w:bottom w:val="single" w:color="auto" w:sz="4" w:space="0"/>
              <w:right w:val="single" w:color="auto" w:sz="4" w:space="0"/>
            </w:tcBorders>
            <w:shd w:val="clear" w:color="auto" w:fill="auto"/>
            <w:vAlign w:val="center"/>
          </w:tcPr>
          <w:p w14:paraId="73332F3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7614229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289C90C">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5833BD3">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66272F3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bottom"/>
          </w:tcPr>
          <w:p w14:paraId="2CD9376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OceanStor </w:t>
            </w:r>
            <w:r>
              <w:rPr>
                <w:rFonts w:hint="eastAsia" w:ascii="宋体" w:hAnsi="宋体" w:eastAsia="宋体" w:cs="宋体"/>
                <w:kern w:val="0"/>
                <w:sz w:val="24"/>
                <w:szCs w:val="24"/>
                <w:u w:val="single"/>
              </w:rPr>
              <w:t>SNS2224</w:t>
            </w:r>
          </w:p>
        </w:tc>
        <w:tc>
          <w:tcPr>
            <w:tcW w:w="762" w:type="dxa"/>
            <w:tcBorders>
              <w:top w:val="nil"/>
              <w:left w:val="nil"/>
              <w:bottom w:val="single" w:color="auto" w:sz="4" w:space="0"/>
              <w:right w:val="single" w:color="auto" w:sz="4" w:space="0"/>
            </w:tcBorders>
            <w:shd w:val="clear" w:color="auto" w:fill="auto"/>
            <w:vAlign w:val="center"/>
          </w:tcPr>
          <w:p w14:paraId="2476F86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224E0AC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w:t>
            </w:r>
            <w:r>
              <w:rPr>
                <w:rFonts w:hint="eastAsia" w:ascii="宋体" w:hAnsi="宋体" w:eastAsia="宋体" w:cs="宋体"/>
                <w:color w:val="000000"/>
                <w:kern w:val="0"/>
                <w:sz w:val="24"/>
                <w:szCs w:val="24"/>
                <w:lang w:val="en-US" w:eastAsia="zh-CN"/>
              </w:rPr>
              <w:t>13</w:t>
            </w:r>
          </w:p>
        </w:tc>
        <w:tc>
          <w:tcPr>
            <w:tcW w:w="1101" w:type="dxa"/>
            <w:tcBorders>
              <w:top w:val="nil"/>
              <w:left w:val="nil"/>
              <w:bottom w:val="single" w:color="auto" w:sz="4" w:space="0"/>
              <w:right w:val="single" w:color="auto" w:sz="4" w:space="0"/>
            </w:tcBorders>
            <w:shd w:val="clear" w:color="auto" w:fill="auto"/>
            <w:vAlign w:val="center"/>
          </w:tcPr>
          <w:p w14:paraId="7B4338F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0ED5639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BD804A9">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FBE603A">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0B136DB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bottom"/>
          </w:tcPr>
          <w:p w14:paraId="4FD9DA4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OceanStor </w:t>
            </w:r>
            <w:r>
              <w:rPr>
                <w:rFonts w:hint="eastAsia" w:ascii="宋体" w:hAnsi="宋体" w:eastAsia="宋体" w:cs="宋体"/>
                <w:kern w:val="0"/>
                <w:sz w:val="24"/>
                <w:szCs w:val="24"/>
                <w:u w:val="single"/>
              </w:rPr>
              <w:t>SNS2224</w:t>
            </w:r>
          </w:p>
        </w:tc>
        <w:tc>
          <w:tcPr>
            <w:tcW w:w="762" w:type="dxa"/>
            <w:tcBorders>
              <w:top w:val="nil"/>
              <w:left w:val="nil"/>
              <w:bottom w:val="single" w:color="auto" w:sz="4" w:space="0"/>
              <w:right w:val="single" w:color="auto" w:sz="4" w:space="0"/>
            </w:tcBorders>
            <w:shd w:val="clear" w:color="auto" w:fill="auto"/>
            <w:vAlign w:val="center"/>
          </w:tcPr>
          <w:p w14:paraId="5986139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5FA6B7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w:t>
            </w:r>
            <w:r>
              <w:rPr>
                <w:rFonts w:hint="eastAsia" w:ascii="宋体" w:hAnsi="宋体" w:eastAsia="宋体" w:cs="宋体"/>
                <w:color w:val="000000"/>
                <w:kern w:val="0"/>
                <w:sz w:val="24"/>
                <w:szCs w:val="24"/>
                <w:lang w:val="en-US" w:eastAsia="zh-CN"/>
              </w:rPr>
              <w:t>13</w:t>
            </w:r>
          </w:p>
        </w:tc>
        <w:tc>
          <w:tcPr>
            <w:tcW w:w="1101" w:type="dxa"/>
            <w:tcBorders>
              <w:top w:val="nil"/>
              <w:left w:val="nil"/>
              <w:bottom w:val="single" w:color="auto" w:sz="4" w:space="0"/>
              <w:right w:val="single" w:color="auto" w:sz="4" w:space="0"/>
            </w:tcBorders>
            <w:shd w:val="clear" w:color="auto" w:fill="auto"/>
            <w:vAlign w:val="center"/>
          </w:tcPr>
          <w:p w14:paraId="13F768B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11AB876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5C243D2">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22A61194">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3E55390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54166640">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CN3300B</w:t>
            </w:r>
          </w:p>
        </w:tc>
        <w:tc>
          <w:tcPr>
            <w:tcW w:w="762" w:type="dxa"/>
            <w:tcBorders>
              <w:top w:val="nil"/>
              <w:left w:val="nil"/>
              <w:bottom w:val="single" w:color="auto" w:sz="4" w:space="0"/>
              <w:right w:val="single" w:color="auto" w:sz="4" w:space="0"/>
            </w:tcBorders>
            <w:shd w:val="clear" w:color="auto" w:fill="auto"/>
            <w:vAlign w:val="center"/>
          </w:tcPr>
          <w:p w14:paraId="12F253B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75B568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w:t>
            </w:r>
            <w:r>
              <w:rPr>
                <w:rFonts w:hint="eastAsia" w:ascii="宋体" w:hAnsi="宋体" w:eastAsia="宋体" w:cs="宋体"/>
                <w:color w:val="000000"/>
                <w:kern w:val="0"/>
                <w:sz w:val="24"/>
                <w:szCs w:val="24"/>
                <w:lang w:val="en-US" w:eastAsia="zh-CN"/>
              </w:rPr>
              <w:t>6</w:t>
            </w:r>
          </w:p>
        </w:tc>
        <w:tc>
          <w:tcPr>
            <w:tcW w:w="1101" w:type="dxa"/>
            <w:tcBorders>
              <w:top w:val="nil"/>
              <w:left w:val="nil"/>
              <w:bottom w:val="single" w:color="auto" w:sz="4" w:space="0"/>
              <w:right w:val="single" w:color="auto" w:sz="4" w:space="0"/>
            </w:tcBorders>
            <w:shd w:val="clear" w:color="auto" w:fill="auto"/>
            <w:vAlign w:val="center"/>
          </w:tcPr>
          <w:p w14:paraId="092BEFB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6DFBAAA0">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7DE4FFED">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2788BFA">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1591D10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光纤交换机</w:t>
            </w:r>
          </w:p>
        </w:tc>
        <w:tc>
          <w:tcPr>
            <w:tcW w:w="2253" w:type="dxa"/>
            <w:tcBorders>
              <w:top w:val="nil"/>
              <w:left w:val="nil"/>
              <w:bottom w:val="single" w:color="auto" w:sz="4" w:space="0"/>
              <w:right w:val="single" w:color="auto" w:sz="4" w:space="0"/>
            </w:tcBorders>
            <w:shd w:val="clear" w:color="auto" w:fill="auto"/>
            <w:vAlign w:val="center"/>
          </w:tcPr>
          <w:p w14:paraId="0202765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CN3300B</w:t>
            </w:r>
          </w:p>
        </w:tc>
        <w:tc>
          <w:tcPr>
            <w:tcW w:w="762" w:type="dxa"/>
            <w:tcBorders>
              <w:top w:val="nil"/>
              <w:left w:val="nil"/>
              <w:bottom w:val="single" w:color="auto" w:sz="4" w:space="0"/>
              <w:right w:val="single" w:color="auto" w:sz="4" w:space="0"/>
            </w:tcBorders>
            <w:shd w:val="clear" w:color="auto" w:fill="auto"/>
            <w:vAlign w:val="center"/>
          </w:tcPr>
          <w:p w14:paraId="3649D04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EFBFEB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w:t>
            </w:r>
            <w:r>
              <w:rPr>
                <w:rFonts w:hint="eastAsia" w:ascii="宋体" w:hAnsi="宋体" w:eastAsia="宋体" w:cs="宋体"/>
                <w:color w:val="000000"/>
                <w:kern w:val="0"/>
                <w:sz w:val="24"/>
                <w:szCs w:val="24"/>
                <w:lang w:val="en-US" w:eastAsia="zh-CN"/>
              </w:rPr>
              <w:t>6</w:t>
            </w:r>
          </w:p>
        </w:tc>
        <w:tc>
          <w:tcPr>
            <w:tcW w:w="1101" w:type="dxa"/>
            <w:tcBorders>
              <w:top w:val="nil"/>
              <w:left w:val="nil"/>
              <w:bottom w:val="single" w:color="auto" w:sz="4" w:space="0"/>
              <w:right w:val="single" w:color="auto" w:sz="4" w:space="0"/>
            </w:tcBorders>
            <w:shd w:val="clear" w:color="auto" w:fill="auto"/>
            <w:vAlign w:val="center"/>
          </w:tcPr>
          <w:p w14:paraId="2466535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2FEE1FD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48E44FC">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CAA9049">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409BC1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汇聚交换机</w:t>
            </w:r>
          </w:p>
        </w:tc>
        <w:tc>
          <w:tcPr>
            <w:tcW w:w="2253" w:type="dxa"/>
            <w:tcBorders>
              <w:top w:val="nil"/>
              <w:left w:val="nil"/>
              <w:bottom w:val="single" w:color="auto" w:sz="4" w:space="0"/>
              <w:right w:val="single" w:color="auto" w:sz="4" w:space="0"/>
            </w:tcBorders>
            <w:shd w:val="clear" w:color="auto" w:fill="auto"/>
            <w:vAlign w:val="bottom"/>
          </w:tcPr>
          <w:p w14:paraId="781A4C3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S7506E</w:t>
            </w:r>
          </w:p>
        </w:tc>
        <w:tc>
          <w:tcPr>
            <w:tcW w:w="762" w:type="dxa"/>
            <w:tcBorders>
              <w:top w:val="nil"/>
              <w:left w:val="nil"/>
              <w:bottom w:val="single" w:color="auto" w:sz="4" w:space="0"/>
              <w:right w:val="single" w:color="auto" w:sz="4" w:space="0"/>
            </w:tcBorders>
            <w:shd w:val="clear" w:color="auto" w:fill="auto"/>
            <w:vAlign w:val="center"/>
          </w:tcPr>
          <w:p w14:paraId="0E5BF1E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509C17F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CZ-A-33</w:t>
            </w:r>
          </w:p>
        </w:tc>
        <w:tc>
          <w:tcPr>
            <w:tcW w:w="1101" w:type="dxa"/>
            <w:tcBorders>
              <w:top w:val="nil"/>
              <w:left w:val="nil"/>
              <w:bottom w:val="single" w:color="auto" w:sz="4" w:space="0"/>
              <w:right w:val="single" w:color="auto" w:sz="4" w:space="0"/>
            </w:tcBorders>
            <w:shd w:val="clear" w:color="auto" w:fill="auto"/>
            <w:vAlign w:val="center"/>
          </w:tcPr>
          <w:p w14:paraId="10360A8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restart"/>
            <w:tcBorders>
              <w:top w:val="nil"/>
              <w:left w:val="single" w:color="auto" w:sz="4" w:space="0"/>
              <w:bottom w:val="single" w:color="000000" w:sz="4" w:space="0"/>
              <w:right w:val="single" w:color="auto" w:sz="4" w:space="0"/>
            </w:tcBorders>
            <w:shd w:val="clear" w:color="auto" w:fill="auto"/>
            <w:vAlign w:val="center"/>
          </w:tcPr>
          <w:p w14:paraId="7308CA49">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硬件保修包含整机上面所有配件（如主控板、交换矩阵、电源、风扇、配置调整等）, 本地工程师现场支持要求时间为7*24小时*2小时到达，所需配件24小时内送达。</w:t>
            </w:r>
          </w:p>
        </w:tc>
      </w:tr>
      <w:tr w14:paraId="67FA55B1">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399BA12">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1560F5B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汇聚交换机</w:t>
            </w:r>
          </w:p>
        </w:tc>
        <w:tc>
          <w:tcPr>
            <w:tcW w:w="2253" w:type="dxa"/>
            <w:tcBorders>
              <w:top w:val="nil"/>
              <w:left w:val="nil"/>
              <w:bottom w:val="single" w:color="auto" w:sz="4" w:space="0"/>
              <w:right w:val="single" w:color="auto" w:sz="4" w:space="0"/>
            </w:tcBorders>
            <w:shd w:val="clear" w:color="auto" w:fill="auto"/>
            <w:vAlign w:val="bottom"/>
          </w:tcPr>
          <w:p w14:paraId="598DC23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S7506E</w:t>
            </w:r>
          </w:p>
        </w:tc>
        <w:tc>
          <w:tcPr>
            <w:tcW w:w="762" w:type="dxa"/>
            <w:tcBorders>
              <w:top w:val="nil"/>
              <w:left w:val="nil"/>
              <w:bottom w:val="single" w:color="auto" w:sz="4" w:space="0"/>
              <w:right w:val="single" w:color="auto" w:sz="4" w:space="0"/>
            </w:tcBorders>
            <w:shd w:val="clear" w:color="auto" w:fill="auto"/>
            <w:vAlign w:val="center"/>
          </w:tcPr>
          <w:p w14:paraId="67102BA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3A910BC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CZ-A-33</w:t>
            </w:r>
          </w:p>
        </w:tc>
        <w:tc>
          <w:tcPr>
            <w:tcW w:w="1101" w:type="dxa"/>
            <w:tcBorders>
              <w:top w:val="nil"/>
              <w:left w:val="nil"/>
              <w:bottom w:val="single" w:color="auto" w:sz="4" w:space="0"/>
              <w:right w:val="single" w:color="auto" w:sz="4" w:space="0"/>
            </w:tcBorders>
            <w:shd w:val="clear" w:color="auto" w:fill="auto"/>
            <w:vAlign w:val="center"/>
          </w:tcPr>
          <w:p w14:paraId="5BD9EDA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46463C9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04D17B5">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0F6240F">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3448D63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汇聚交换机</w:t>
            </w:r>
          </w:p>
        </w:tc>
        <w:tc>
          <w:tcPr>
            <w:tcW w:w="2253" w:type="dxa"/>
            <w:tcBorders>
              <w:top w:val="nil"/>
              <w:left w:val="nil"/>
              <w:bottom w:val="single" w:color="auto" w:sz="4" w:space="0"/>
              <w:right w:val="single" w:color="auto" w:sz="4" w:space="0"/>
            </w:tcBorders>
            <w:shd w:val="clear" w:color="auto" w:fill="auto"/>
            <w:vAlign w:val="bottom"/>
          </w:tcPr>
          <w:p w14:paraId="42CBD89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S7506E</w:t>
            </w:r>
          </w:p>
        </w:tc>
        <w:tc>
          <w:tcPr>
            <w:tcW w:w="762" w:type="dxa"/>
            <w:tcBorders>
              <w:top w:val="nil"/>
              <w:left w:val="nil"/>
              <w:bottom w:val="single" w:color="auto" w:sz="4" w:space="0"/>
              <w:right w:val="single" w:color="auto" w:sz="4" w:space="0"/>
            </w:tcBorders>
            <w:shd w:val="clear" w:color="auto" w:fill="auto"/>
            <w:vAlign w:val="center"/>
          </w:tcPr>
          <w:p w14:paraId="431D40B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0C8C8EB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CZ-B-04</w:t>
            </w:r>
          </w:p>
        </w:tc>
        <w:tc>
          <w:tcPr>
            <w:tcW w:w="1101" w:type="dxa"/>
            <w:tcBorders>
              <w:top w:val="nil"/>
              <w:left w:val="nil"/>
              <w:bottom w:val="single" w:color="auto" w:sz="4" w:space="0"/>
              <w:right w:val="single" w:color="auto" w:sz="4" w:space="0"/>
            </w:tcBorders>
            <w:shd w:val="clear" w:color="auto" w:fill="auto"/>
            <w:vAlign w:val="center"/>
          </w:tcPr>
          <w:p w14:paraId="111E2A2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7EF55C6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A00E9D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0275818F">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6B962D9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汇聚交换机</w:t>
            </w:r>
          </w:p>
        </w:tc>
        <w:tc>
          <w:tcPr>
            <w:tcW w:w="2253" w:type="dxa"/>
            <w:tcBorders>
              <w:top w:val="nil"/>
              <w:left w:val="nil"/>
              <w:bottom w:val="single" w:color="auto" w:sz="4" w:space="0"/>
              <w:right w:val="single" w:color="auto" w:sz="4" w:space="0"/>
            </w:tcBorders>
            <w:shd w:val="clear" w:color="auto" w:fill="auto"/>
            <w:vAlign w:val="bottom"/>
          </w:tcPr>
          <w:p w14:paraId="1B546B6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S7506E</w:t>
            </w:r>
          </w:p>
        </w:tc>
        <w:tc>
          <w:tcPr>
            <w:tcW w:w="762" w:type="dxa"/>
            <w:tcBorders>
              <w:top w:val="nil"/>
              <w:left w:val="nil"/>
              <w:bottom w:val="single" w:color="auto" w:sz="4" w:space="0"/>
              <w:right w:val="single" w:color="auto" w:sz="4" w:space="0"/>
            </w:tcBorders>
            <w:shd w:val="clear" w:color="auto" w:fill="auto"/>
            <w:vAlign w:val="center"/>
          </w:tcPr>
          <w:p w14:paraId="3FFBBB2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464EE07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CZ-B-04</w:t>
            </w:r>
          </w:p>
        </w:tc>
        <w:tc>
          <w:tcPr>
            <w:tcW w:w="1101" w:type="dxa"/>
            <w:tcBorders>
              <w:top w:val="nil"/>
              <w:left w:val="nil"/>
              <w:bottom w:val="single" w:color="auto" w:sz="4" w:space="0"/>
              <w:right w:val="single" w:color="auto" w:sz="4" w:space="0"/>
            </w:tcBorders>
            <w:shd w:val="clear" w:color="auto" w:fill="auto"/>
            <w:vAlign w:val="center"/>
          </w:tcPr>
          <w:p w14:paraId="0AEBB9E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06024B19">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7DD0B309">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3C4FE22">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44B062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无线控制器</w:t>
            </w:r>
          </w:p>
        </w:tc>
        <w:tc>
          <w:tcPr>
            <w:tcW w:w="2253" w:type="dxa"/>
            <w:tcBorders>
              <w:top w:val="nil"/>
              <w:left w:val="nil"/>
              <w:bottom w:val="single" w:color="auto" w:sz="4" w:space="0"/>
              <w:right w:val="single" w:color="auto" w:sz="4" w:space="0"/>
            </w:tcBorders>
            <w:shd w:val="clear" w:color="auto" w:fill="auto"/>
            <w:vAlign w:val="bottom"/>
          </w:tcPr>
          <w:p w14:paraId="734E0C6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WX3510H </w:t>
            </w:r>
          </w:p>
        </w:tc>
        <w:tc>
          <w:tcPr>
            <w:tcW w:w="762" w:type="dxa"/>
            <w:tcBorders>
              <w:top w:val="nil"/>
              <w:left w:val="nil"/>
              <w:bottom w:val="single" w:color="auto" w:sz="4" w:space="0"/>
              <w:right w:val="single" w:color="auto" w:sz="4" w:space="0"/>
            </w:tcBorders>
            <w:shd w:val="clear" w:color="auto" w:fill="auto"/>
            <w:vAlign w:val="center"/>
          </w:tcPr>
          <w:p w14:paraId="5B027FE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3917BE6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CZ-A-33</w:t>
            </w:r>
          </w:p>
        </w:tc>
        <w:tc>
          <w:tcPr>
            <w:tcW w:w="1101" w:type="dxa"/>
            <w:tcBorders>
              <w:top w:val="nil"/>
              <w:left w:val="nil"/>
              <w:bottom w:val="single" w:color="auto" w:sz="4" w:space="0"/>
              <w:right w:val="single" w:color="auto" w:sz="4" w:space="0"/>
            </w:tcBorders>
            <w:shd w:val="clear" w:color="auto" w:fill="auto"/>
            <w:vAlign w:val="center"/>
          </w:tcPr>
          <w:p w14:paraId="185966B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6A9104F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358E575">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94EF115">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189FB32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负载均衡</w:t>
            </w:r>
          </w:p>
        </w:tc>
        <w:tc>
          <w:tcPr>
            <w:tcW w:w="2253" w:type="dxa"/>
            <w:tcBorders>
              <w:top w:val="nil"/>
              <w:left w:val="nil"/>
              <w:bottom w:val="single" w:color="auto" w:sz="4" w:space="0"/>
              <w:right w:val="single" w:color="auto" w:sz="4" w:space="0"/>
            </w:tcBorders>
            <w:shd w:val="clear" w:color="auto" w:fill="auto"/>
            <w:vAlign w:val="bottom"/>
          </w:tcPr>
          <w:p w14:paraId="4B063FB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SECPATH L1000-E</w:t>
            </w:r>
          </w:p>
        </w:tc>
        <w:tc>
          <w:tcPr>
            <w:tcW w:w="762" w:type="dxa"/>
            <w:tcBorders>
              <w:top w:val="nil"/>
              <w:left w:val="nil"/>
              <w:bottom w:val="single" w:color="auto" w:sz="4" w:space="0"/>
              <w:right w:val="single" w:color="auto" w:sz="4" w:space="0"/>
            </w:tcBorders>
            <w:shd w:val="clear" w:color="auto" w:fill="auto"/>
            <w:vAlign w:val="center"/>
          </w:tcPr>
          <w:p w14:paraId="35B824D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44163DA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CZ-A-34</w:t>
            </w:r>
          </w:p>
        </w:tc>
        <w:tc>
          <w:tcPr>
            <w:tcW w:w="1101" w:type="dxa"/>
            <w:tcBorders>
              <w:top w:val="nil"/>
              <w:left w:val="nil"/>
              <w:bottom w:val="single" w:color="auto" w:sz="4" w:space="0"/>
              <w:right w:val="single" w:color="auto" w:sz="4" w:space="0"/>
            </w:tcBorders>
            <w:shd w:val="clear" w:color="auto" w:fill="auto"/>
            <w:vAlign w:val="center"/>
          </w:tcPr>
          <w:p w14:paraId="674B51B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19640A8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1D49824">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3F3507B">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5B858F6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语音网关</w:t>
            </w:r>
          </w:p>
        </w:tc>
        <w:tc>
          <w:tcPr>
            <w:tcW w:w="2253" w:type="dxa"/>
            <w:tcBorders>
              <w:top w:val="nil"/>
              <w:left w:val="nil"/>
              <w:bottom w:val="single" w:color="auto" w:sz="4" w:space="0"/>
              <w:right w:val="single" w:color="auto" w:sz="4" w:space="0"/>
            </w:tcBorders>
            <w:shd w:val="clear" w:color="auto" w:fill="auto"/>
            <w:vAlign w:val="bottom"/>
          </w:tcPr>
          <w:p w14:paraId="3C925D5E">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MyPower VG M6500</w:t>
            </w:r>
          </w:p>
        </w:tc>
        <w:tc>
          <w:tcPr>
            <w:tcW w:w="762" w:type="dxa"/>
            <w:tcBorders>
              <w:top w:val="nil"/>
              <w:left w:val="nil"/>
              <w:bottom w:val="single" w:color="auto" w:sz="4" w:space="0"/>
              <w:right w:val="single" w:color="auto" w:sz="4" w:space="0"/>
            </w:tcBorders>
            <w:shd w:val="clear" w:color="auto" w:fill="auto"/>
            <w:vAlign w:val="center"/>
          </w:tcPr>
          <w:p w14:paraId="20043F7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6BECD4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CZ-A-31</w:t>
            </w:r>
          </w:p>
        </w:tc>
        <w:tc>
          <w:tcPr>
            <w:tcW w:w="1101" w:type="dxa"/>
            <w:tcBorders>
              <w:top w:val="nil"/>
              <w:left w:val="nil"/>
              <w:bottom w:val="single" w:color="auto" w:sz="4" w:space="0"/>
              <w:right w:val="single" w:color="auto" w:sz="4" w:space="0"/>
            </w:tcBorders>
            <w:shd w:val="clear" w:color="auto" w:fill="auto"/>
            <w:vAlign w:val="center"/>
          </w:tcPr>
          <w:p w14:paraId="737FFDD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6A62FCE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2AC0B88">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337341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1795735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路由器</w:t>
            </w:r>
          </w:p>
        </w:tc>
        <w:tc>
          <w:tcPr>
            <w:tcW w:w="2253" w:type="dxa"/>
            <w:tcBorders>
              <w:top w:val="nil"/>
              <w:left w:val="nil"/>
              <w:bottom w:val="single" w:color="auto" w:sz="4" w:space="0"/>
              <w:right w:val="single" w:color="auto" w:sz="4" w:space="0"/>
            </w:tcBorders>
            <w:shd w:val="clear" w:color="auto" w:fill="auto"/>
            <w:vAlign w:val="bottom"/>
          </w:tcPr>
          <w:p w14:paraId="63A0209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MSR 36-40</w:t>
            </w:r>
          </w:p>
        </w:tc>
        <w:tc>
          <w:tcPr>
            <w:tcW w:w="762" w:type="dxa"/>
            <w:tcBorders>
              <w:top w:val="nil"/>
              <w:left w:val="nil"/>
              <w:bottom w:val="single" w:color="auto" w:sz="4" w:space="0"/>
              <w:right w:val="single" w:color="auto" w:sz="4" w:space="0"/>
            </w:tcBorders>
            <w:shd w:val="clear" w:color="auto" w:fill="auto"/>
            <w:vAlign w:val="center"/>
          </w:tcPr>
          <w:p w14:paraId="5676D9D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B86F4C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CZ-A-03</w:t>
            </w:r>
          </w:p>
        </w:tc>
        <w:tc>
          <w:tcPr>
            <w:tcW w:w="1101" w:type="dxa"/>
            <w:tcBorders>
              <w:top w:val="nil"/>
              <w:left w:val="nil"/>
              <w:bottom w:val="single" w:color="auto" w:sz="4" w:space="0"/>
              <w:right w:val="single" w:color="auto" w:sz="4" w:space="0"/>
            </w:tcBorders>
            <w:shd w:val="clear" w:color="auto" w:fill="auto"/>
            <w:vAlign w:val="center"/>
          </w:tcPr>
          <w:p w14:paraId="04A4EFF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5F19700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D1A2842">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5CFB68E1">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0EC31AD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路由器</w:t>
            </w:r>
          </w:p>
        </w:tc>
        <w:tc>
          <w:tcPr>
            <w:tcW w:w="2253" w:type="dxa"/>
            <w:tcBorders>
              <w:top w:val="nil"/>
              <w:left w:val="nil"/>
              <w:bottom w:val="single" w:color="auto" w:sz="4" w:space="0"/>
              <w:right w:val="single" w:color="auto" w:sz="4" w:space="0"/>
            </w:tcBorders>
            <w:shd w:val="clear" w:color="auto" w:fill="auto"/>
            <w:vAlign w:val="bottom"/>
          </w:tcPr>
          <w:p w14:paraId="6479558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MSR 36-40</w:t>
            </w:r>
          </w:p>
        </w:tc>
        <w:tc>
          <w:tcPr>
            <w:tcW w:w="762" w:type="dxa"/>
            <w:tcBorders>
              <w:top w:val="nil"/>
              <w:left w:val="nil"/>
              <w:bottom w:val="single" w:color="auto" w:sz="4" w:space="0"/>
              <w:right w:val="single" w:color="auto" w:sz="4" w:space="0"/>
            </w:tcBorders>
            <w:shd w:val="clear" w:color="auto" w:fill="auto"/>
            <w:vAlign w:val="center"/>
          </w:tcPr>
          <w:p w14:paraId="75E1316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7D95C5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CZ-A-03</w:t>
            </w:r>
          </w:p>
        </w:tc>
        <w:tc>
          <w:tcPr>
            <w:tcW w:w="1101" w:type="dxa"/>
            <w:tcBorders>
              <w:top w:val="nil"/>
              <w:left w:val="nil"/>
              <w:bottom w:val="single" w:color="auto" w:sz="4" w:space="0"/>
              <w:right w:val="single" w:color="auto" w:sz="4" w:space="0"/>
            </w:tcBorders>
            <w:shd w:val="clear" w:color="auto" w:fill="auto"/>
            <w:vAlign w:val="center"/>
          </w:tcPr>
          <w:p w14:paraId="2121EAE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46C7961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79BB3842">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74402F0">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178EB35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路由器</w:t>
            </w:r>
          </w:p>
        </w:tc>
        <w:tc>
          <w:tcPr>
            <w:tcW w:w="2253" w:type="dxa"/>
            <w:tcBorders>
              <w:top w:val="nil"/>
              <w:left w:val="nil"/>
              <w:bottom w:val="single" w:color="auto" w:sz="4" w:space="0"/>
              <w:right w:val="single" w:color="auto" w:sz="4" w:space="0"/>
            </w:tcBorders>
            <w:shd w:val="clear" w:color="auto" w:fill="auto"/>
            <w:vAlign w:val="bottom"/>
          </w:tcPr>
          <w:p w14:paraId="279B40D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MSR 56-20</w:t>
            </w:r>
          </w:p>
        </w:tc>
        <w:tc>
          <w:tcPr>
            <w:tcW w:w="762" w:type="dxa"/>
            <w:tcBorders>
              <w:top w:val="nil"/>
              <w:left w:val="nil"/>
              <w:bottom w:val="single" w:color="auto" w:sz="4" w:space="0"/>
              <w:right w:val="single" w:color="auto" w:sz="4" w:space="0"/>
            </w:tcBorders>
            <w:shd w:val="clear" w:color="auto" w:fill="auto"/>
            <w:vAlign w:val="center"/>
          </w:tcPr>
          <w:p w14:paraId="1753965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7618C0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CZ-A-03</w:t>
            </w:r>
          </w:p>
        </w:tc>
        <w:tc>
          <w:tcPr>
            <w:tcW w:w="1101" w:type="dxa"/>
            <w:tcBorders>
              <w:top w:val="nil"/>
              <w:left w:val="nil"/>
              <w:bottom w:val="single" w:color="auto" w:sz="4" w:space="0"/>
              <w:right w:val="single" w:color="auto" w:sz="4" w:space="0"/>
            </w:tcBorders>
            <w:shd w:val="clear" w:color="auto" w:fill="auto"/>
            <w:vAlign w:val="center"/>
          </w:tcPr>
          <w:p w14:paraId="5FF2526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0C66717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2B033FB">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EEA4DCC">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3ACE051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路由器</w:t>
            </w:r>
          </w:p>
        </w:tc>
        <w:tc>
          <w:tcPr>
            <w:tcW w:w="2253" w:type="dxa"/>
            <w:tcBorders>
              <w:top w:val="nil"/>
              <w:left w:val="nil"/>
              <w:bottom w:val="single" w:color="auto" w:sz="4" w:space="0"/>
              <w:right w:val="single" w:color="auto" w:sz="4" w:space="0"/>
            </w:tcBorders>
            <w:shd w:val="clear" w:color="auto" w:fill="auto"/>
            <w:vAlign w:val="bottom"/>
          </w:tcPr>
          <w:p w14:paraId="51D662D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MSR 56-20</w:t>
            </w:r>
          </w:p>
        </w:tc>
        <w:tc>
          <w:tcPr>
            <w:tcW w:w="762" w:type="dxa"/>
            <w:tcBorders>
              <w:top w:val="nil"/>
              <w:left w:val="nil"/>
              <w:bottom w:val="single" w:color="auto" w:sz="4" w:space="0"/>
              <w:right w:val="single" w:color="auto" w:sz="4" w:space="0"/>
            </w:tcBorders>
            <w:shd w:val="clear" w:color="auto" w:fill="auto"/>
            <w:vAlign w:val="center"/>
          </w:tcPr>
          <w:p w14:paraId="0D7A23E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2A637C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CZ-A-03</w:t>
            </w:r>
          </w:p>
        </w:tc>
        <w:tc>
          <w:tcPr>
            <w:tcW w:w="1101" w:type="dxa"/>
            <w:tcBorders>
              <w:top w:val="nil"/>
              <w:left w:val="nil"/>
              <w:bottom w:val="single" w:color="auto" w:sz="4" w:space="0"/>
              <w:right w:val="single" w:color="auto" w:sz="4" w:space="0"/>
            </w:tcBorders>
            <w:shd w:val="clear" w:color="auto" w:fill="auto"/>
            <w:vAlign w:val="center"/>
          </w:tcPr>
          <w:p w14:paraId="6A22B43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000000" w:sz="4" w:space="0"/>
              <w:right w:val="single" w:color="auto" w:sz="4" w:space="0"/>
            </w:tcBorders>
            <w:vAlign w:val="center"/>
          </w:tcPr>
          <w:p w14:paraId="208B1227">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FB0DF41">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65A4B5F">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7CADB6F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center"/>
          </w:tcPr>
          <w:p w14:paraId="3080BEB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华为S6720-30C-EI-24S-AC</w:t>
            </w:r>
          </w:p>
        </w:tc>
        <w:tc>
          <w:tcPr>
            <w:tcW w:w="762" w:type="dxa"/>
            <w:tcBorders>
              <w:top w:val="nil"/>
              <w:left w:val="nil"/>
              <w:bottom w:val="single" w:color="auto" w:sz="4" w:space="0"/>
              <w:right w:val="single" w:color="auto" w:sz="4" w:space="0"/>
            </w:tcBorders>
            <w:shd w:val="clear" w:color="auto" w:fill="auto"/>
            <w:vAlign w:val="center"/>
          </w:tcPr>
          <w:p w14:paraId="287562E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62AB4A8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CZ-B-09</w:t>
            </w:r>
          </w:p>
        </w:tc>
        <w:tc>
          <w:tcPr>
            <w:tcW w:w="1101" w:type="dxa"/>
            <w:tcBorders>
              <w:top w:val="nil"/>
              <w:left w:val="nil"/>
              <w:bottom w:val="single" w:color="auto" w:sz="4" w:space="0"/>
              <w:right w:val="single" w:color="auto" w:sz="4" w:space="0"/>
            </w:tcBorders>
            <w:shd w:val="clear" w:color="auto" w:fill="auto"/>
            <w:vAlign w:val="center"/>
          </w:tcPr>
          <w:p w14:paraId="10A93CC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restart"/>
            <w:tcBorders>
              <w:top w:val="nil"/>
              <w:left w:val="single" w:color="auto" w:sz="4" w:space="0"/>
              <w:bottom w:val="single" w:color="auto" w:sz="4" w:space="0"/>
              <w:right w:val="single" w:color="auto" w:sz="4" w:space="0"/>
            </w:tcBorders>
            <w:shd w:val="clear" w:color="auto" w:fill="auto"/>
            <w:vAlign w:val="center"/>
          </w:tcPr>
          <w:p w14:paraId="6B04A21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硬件保修包含整机上面所有配件（如主机、电源、风扇、配置调整等）, 工程师现场支持要求时间为7*24小时*2小时到达，所需配件24小时内送达。</w:t>
            </w:r>
          </w:p>
        </w:tc>
      </w:tr>
      <w:tr w14:paraId="2BAF5D2B">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C8FFE97">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center"/>
          </w:tcPr>
          <w:p w14:paraId="2C076C9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center"/>
          </w:tcPr>
          <w:p w14:paraId="42FAC679">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华为S6720-30C-EI-24S-AC</w:t>
            </w:r>
          </w:p>
        </w:tc>
        <w:tc>
          <w:tcPr>
            <w:tcW w:w="762" w:type="dxa"/>
            <w:tcBorders>
              <w:top w:val="nil"/>
              <w:left w:val="nil"/>
              <w:bottom w:val="single" w:color="auto" w:sz="4" w:space="0"/>
              <w:right w:val="single" w:color="auto" w:sz="4" w:space="0"/>
            </w:tcBorders>
            <w:shd w:val="clear" w:color="auto" w:fill="auto"/>
            <w:vAlign w:val="center"/>
          </w:tcPr>
          <w:p w14:paraId="30F5478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11E4D23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CZ-B-09</w:t>
            </w:r>
          </w:p>
        </w:tc>
        <w:tc>
          <w:tcPr>
            <w:tcW w:w="1101" w:type="dxa"/>
            <w:tcBorders>
              <w:top w:val="nil"/>
              <w:left w:val="nil"/>
              <w:bottom w:val="single" w:color="auto" w:sz="4" w:space="0"/>
              <w:right w:val="single" w:color="auto" w:sz="4" w:space="0"/>
            </w:tcBorders>
            <w:shd w:val="clear" w:color="auto" w:fill="auto"/>
            <w:vAlign w:val="center"/>
          </w:tcPr>
          <w:p w14:paraId="2B2C1AC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013C0201">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EAED484">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2D185DB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06BB1DE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659D337D">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S5130S-52P-EI</w:t>
            </w:r>
          </w:p>
        </w:tc>
        <w:tc>
          <w:tcPr>
            <w:tcW w:w="762" w:type="dxa"/>
            <w:tcBorders>
              <w:top w:val="nil"/>
              <w:left w:val="nil"/>
              <w:bottom w:val="single" w:color="auto" w:sz="4" w:space="0"/>
              <w:right w:val="single" w:color="auto" w:sz="4" w:space="0"/>
            </w:tcBorders>
            <w:shd w:val="clear" w:color="auto" w:fill="auto"/>
            <w:vAlign w:val="bottom"/>
          </w:tcPr>
          <w:p w14:paraId="4AF6E91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521" w:type="dxa"/>
            <w:tcBorders>
              <w:top w:val="nil"/>
              <w:left w:val="nil"/>
              <w:bottom w:val="single" w:color="auto" w:sz="4" w:space="0"/>
              <w:right w:val="single" w:color="auto" w:sz="4" w:space="0"/>
            </w:tcBorders>
            <w:shd w:val="clear" w:color="auto" w:fill="auto"/>
            <w:vAlign w:val="center"/>
          </w:tcPr>
          <w:p w14:paraId="0EE622F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152A586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5820B8D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FAB715A">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6456BC50">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0B313F7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29EFD5F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S6520X-26C-SI</w:t>
            </w:r>
          </w:p>
        </w:tc>
        <w:tc>
          <w:tcPr>
            <w:tcW w:w="762" w:type="dxa"/>
            <w:tcBorders>
              <w:top w:val="nil"/>
              <w:left w:val="nil"/>
              <w:bottom w:val="single" w:color="auto" w:sz="4" w:space="0"/>
              <w:right w:val="single" w:color="auto" w:sz="4" w:space="0"/>
            </w:tcBorders>
            <w:shd w:val="clear" w:color="auto" w:fill="auto"/>
            <w:vAlign w:val="bottom"/>
          </w:tcPr>
          <w:p w14:paraId="710E4CF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521" w:type="dxa"/>
            <w:tcBorders>
              <w:top w:val="nil"/>
              <w:left w:val="nil"/>
              <w:bottom w:val="single" w:color="auto" w:sz="4" w:space="0"/>
              <w:right w:val="single" w:color="auto" w:sz="4" w:space="0"/>
            </w:tcBorders>
            <w:shd w:val="clear" w:color="auto" w:fill="auto"/>
            <w:vAlign w:val="center"/>
          </w:tcPr>
          <w:p w14:paraId="5EFB66B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0021C07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2F22050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6596A3B">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E02CD03">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292C768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0C9F20C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S5130S-28P-EI</w:t>
            </w:r>
          </w:p>
        </w:tc>
        <w:tc>
          <w:tcPr>
            <w:tcW w:w="762" w:type="dxa"/>
            <w:tcBorders>
              <w:top w:val="nil"/>
              <w:left w:val="nil"/>
              <w:bottom w:val="single" w:color="auto" w:sz="4" w:space="0"/>
              <w:right w:val="single" w:color="auto" w:sz="4" w:space="0"/>
            </w:tcBorders>
            <w:shd w:val="clear" w:color="auto" w:fill="auto"/>
            <w:vAlign w:val="bottom"/>
          </w:tcPr>
          <w:p w14:paraId="594B5D5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521" w:type="dxa"/>
            <w:tcBorders>
              <w:top w:val="nil"/>
              <w:left w:val="nil"/>
              <w:bottom w:val="single" w:color="auto" w:sz="4" w:space="0"/>
              <w:right w:val="single" w:color="auto" w:sz="4" w:space="0"/>
            </w:tcBorders>
            <w:shd w:val="clear" w:color="auto" w:fill="auto"/>
            <w:vAlign w:val="center"/>
          </w:tcPr>
          <w:p w14:paraId="7C0BDB2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405F574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46FD7371">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1D1212A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C89B80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0E53C77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2D9B160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S3600-28TP-SI</w:t>
            </w:r>
          </w:p>
        </w:tc>
        <w:tc>
          <w:tcPr>
            <w:tcW w:w="762" w:type="dxa"/>
            <w:tcBorders>
              <w:top w:val="nil"/>
              <w:left w:val="nil"/>
              <w:bottom w:val="single" w:color="auto" w:sz="4" w:space="0"/>
              <w:right w:val="single" w:color="auto" w:sz="4" w:space="0"/>
            </w:tcBorders>
            <w:shd w:val="clear" w:color="auto" w:fill="auto"/>
            <w:vAlign w:val="bottom"/>
          </w:tcPr>
          <w:p w14:paraId="5347EA6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521" w:type="dxa"/>
            <w:tcBorders>
              <w:top w:val="nil"/>
              <w:left w:val="nil"/>
              <w:bottom w:val="single" w:color="auto" w:sz="4" w:space="0"/>
              <w:right w:val="single" w:color="auto" w:sz="4" w:space="0"/>
            </w:tcBorders>
            <w:shd w:val="clear" w:color="auto" w:fill="auto"/>
            <w:vAlign w:val="center"/>
          </w:tcPr>
          <w:p w14:paraId="0BC7048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5601A50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70222B0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6805E716">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129C1D9C">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7B08E6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5F93967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S5120V2-28P-LI</w:t>
            </w:r>
          </w:p>
        </w:tc>
        <w:tc>
          <w:tcPr>
            <w:tcW w:w="762" w:type="dxa"/>
            <w:tcBorders>
              <w:top w:val="nil"/>
              <w:left w:val="nil"/>
              <w:bottom w:val="single" w:color="auto" w:sz="4" w:space="0"/>
              <w:right w:val="single" w:color="auto" w:sz="4" w:space="0"/>
            </w:tcBorders>
            <w:shd w:val="clear" w:color="auto" w:fill="auto"/>
            <w:vAlign w:val="bottom"/>
          </w:tcPr>
          <w:p w14:paraId="550544F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nil"/>
              <w:left w:val="nil"/>
              <w:bottom w:val="single" w:color="auto" w:sz="4" w:space="0"/>
              <w:right w:val="single" w:color="auto" w:sz="4" w:space="0"/>
            </w:tcBorders>
            <w:shd w:val="clear" w:color="auto" w:fill="auto"/>
            <w:vAlign w:val="center"/>
          </w:tcPr>
          <w:p w14:paraId="7D7C2B7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030E342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6CA6B69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4ED13644">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7B6F2883">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184DD3B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5AC6DD26">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S5130S-52P-EI</w:t>
            </w:r>
          </w:p>
        </w:tc>
        <w:tc>
          <w:tcPr>
            <w:tcW w:w="762" w:type="dxa"/>
            <w:tcBorders>
              <w:top w:val="nil"/>
              <w:left w:val="nil"/>
              <w:bottom w:val="single" w:color="auto" w:sz="4" w:space="0"/>
              <w:right w:val="single" w:color="auto" w:sz="4" w:space="0"/>
            </w:tcBorders>
            <w:shd w:val="clear" w:color="auto" w:fill="auto"/>
            <w:vAlign w:val="bottom"/>
          </w:tcPr>
          <w:p w14:paraId="4C34F18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1521" w:type="dxa"/>
            <w:tcBorders>
              <w:top w:val="nil"/>
              <w:left w:val="nil"/>
              <w:bottom w:val="single" w:color="auto" w:sz="4" w:space="0"/>
              <w:right w:val="single" w:color="auto" w:sz="4" w:space="0"/>
            </w:tcBorders>
            <w:shd w:val="clear" w:color="auto" w:fill="auto"/>
            <w:vAlign w:val="center"/>
          </w:tcPr>
          <w:p w14:paraId="3A4BEF9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0A896D3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1EBE1D34">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72939DD8">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5768FD1C">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268590E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635DBF8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S5130S-52P-EI</w:t>
            </w:r>
          </w:p>
        </w:tc>
        <w:tc>
          <w:tcPr>
            <w:tcW w:w="762" w:type="dxa"/>
            <w:tcBorders>
              <w:top w:val="nil"/>
              <w:left w:val="nil"/>
              <w:bottom w:val="single" w:color="auto" w:sz="4" w:space="0"/>
              <w:right w:val="single" w:color="auto" w:sz="4" w:space="0"/>
            </w:tcBorders>
            <w:shd w:val="clear" w:color="auto" w:fill="auto"/>
            <w:vAlign w:val="bottom"/>
          </w:tcPr>
          <w:p w14:paraId="69786DD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1521" w:type="dxa"/>
            <w:tcBorders>
              <w:top w:val="nil"/>
              <w:left w:val="nil"/>
              <w:bottom w:val="single" w:color="auto" w:sz="4" w:space="0"/>
              <w:right w:val="single" w:color="auto" w:sz="4" w:space="0"/>
            </w:tcBorders>
            <w:shd w:val="clear" w:color="auto" w:fill="auto"/>
            <w:vAlign w:val="center"/>
          </w:tcPr>
          <w:p w14:paraId="6E73763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360308D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331329C9">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7B9474B">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077974FB">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BD4354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6E95791C">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S5048PV3-EI-PWR</w:t>
            </w:r>
          </w:p>
        </w:tc>
        <w:tc>
          <w:tcPr>
            <w:tcW w:w="762" w:type="dxa"/>
            <w:tcBorders>
              <w:top w:val="nil"/>
              <w:left w:val="nil"/>
              <w:bottom w:val="single" w:color="auto" w:sz="4" w:space="0"/>
              <w:right w:val="single" w:color="auto" w:sz="4" w:space="0"/>
            </w:tcBorders>
            <w:shd w:val="clear" w:color="auto" w:fill="auto"/>
            <w:vAlign w:val="bottom"/>
          </w:tcPr>
          <w:p w14:paraId="405CFF5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1521" w:type="dxa"/>
            <w:tcBorders>
              <w:top w:val="nil"/>
              <w:left w:val="nil"/>
              <w:bottom w:val="single" w:color="auto" w:sz="4" w:space="0"/>
              <w:right w:val="single" w:color="auto" w:sz="4" w:space="0"/>
            </w:tcBorders>
            <w:shd w:val="clear" w:color="auto" w:fill="auto"/>
            <w:vAlign w:val="center"/>
          </w:tcPr>
          <w:p w14:paraId="6F7D595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4B93021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3D9E058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0E283B6D">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D2B835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19549A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大AP</w:t>
            </w:r>
          </w:p>
        </w:tc>
        <w:tc>
          <w:tcPr>
            <w:tcW w:w="2253" w:type="dxa"/>
            <w:tcBorders>
              <w:top w:val="nil"/>
              <w:left w:val="nil"/>
              <w:bottom w:val="single" w:color="auto" w:sz="4" w:space="0"/>
              <w:right w:val="single" w:color="auto" w:sz="4" w:space="0"/>
            </w:tcBorders>
            <w:shd w:val="clear" w:color="auto" w:fill="auto"/>
            <w:vAlign w:val="bottom"/>
          </w:tcPr>
          <w:p w14:paraId="7D15E0F3">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SW5530-FIT</w:t>
            </w:r>
          </w:p>
        </w:tc>
        <w:tc>
          <w:tcPr>
            <w:tcW w:w="762" w:type="dxa"/>
            <w:tcBorders>
              <w:top w:val="nil"/>
              <w:left w:val="nil"/>
              <w:bottom w:val="single" w:color="auto" w:sz="4" w:space="0"/>
              <w:right w:val="single" w:color="auto" w:sz="4" w:space="0"/>
            </w:tcBorders>
            <w:shd w:val="clear" w:color="auto" w:fill="auto"/>
            <w:vAlign w:val="bottom"/>
          </w:tcPr>
          <w:p w14:paraId="49AAE16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521" w:type="dxa"/>
            <w:tcBorders>
              <w:top w:val="nil"/>
              <w:left w:val="nil"/>
              <w:bottom w:val="single" w:color="auto" w:sz="4" w:space="0"/>
              <w:right w:val="single" w:color="auto" w:sz="4" w:space="0"/>
            </w:tcBorders>
            <w:shd w:val="clear" w:color="auto" w:fill="auto"/>
            <w:vAlign w:val="center"/>
          </w:tcPr>
          <w:p w14:paraId="7097026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45DCEDF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5C2322DB">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29264BFE">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363FF882">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7329A29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小AP</w:t>
            </w:r>
          </w:p>
        </w:tc>
        <w:tc>
          <w:tcPr>
            <w:tcW w:w="2253" w:type="dxa"/>
            <w:tcBorders>
              <w:top w:val="nil"/>
              <w:left w:val="nil"/>
              <w:bottom w:val="single" w:color="auto" w:sz="4" w:space="0"/>
              <w:right w:val="single" w:color="auto" w:sz="4" w:space="0"/>
            </w:tcBorders>
            <w:shd w:val="clear" w:color="auto" w:fill="auto"/>
            <w:vAlign w:val="bottom"/>
          </w:tcPr>
          <w:p w14:paraId="2BA2930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WA5320I-FIT</w:t>
            </w:r>
          </w:p>
        </w:tc>
        <w:tc>
          <w:tcPr>
            <w:tcW w:w="762" w:type="dxa"/>
            <w:tcBorders>
              <w:top w:val="nil"/>
              <w:left w:val="nil"/>
              <w:bottom w:val="single" w:color="auto" w:sz="4" w:space="0"/>
              <w:right w:val="single" w:color="auto" w:sz="4" w:space="0"/>
            </w:tcBorders>
            <w:shd w:val="clear" w:color="auto" w:fill="auto"/>
            <w:vAlign w:val="bottom"/>
          </w:tcPr>
          <w:p w14:paraId="05E02BB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1521" w:type="dxa"/>
            <w:tcBorders>
              <w:top w:val="nil"/>
              <w:left w:val="nil"/>
              <w:bottom w:val="single" w:color="auto" w:sz="4" w:space="0"/>
              <w:right w:val="single" w:color="auto" w:sz="4" w:space="0"/>
            </w:tcBorders>
            <w:shd w:val="clear" w:color="auto" w:fill="auto"/>
            <w:vAlign w:val="center"/>
          </w:tcPr>
          <w:p w14:paraId="6A7848C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6BF5C1E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4C2E2E2F">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5C8C68D0">
        <w:tblPrEx>
          <w:tblCellMar>
            <w:top w:w="0" w:type="dxa"/>
            <w:left w:w="108" w:type="dxa"/>
            <w:bottom w:w="0" w:type="dxa"/>
            <w:right w:w="108" w:type="dxa"/>
          </w:tblCellMar>
        </w:tblPrEx>
        <w:trPr>
          <w:trHeight w:val="90" w:hRule="atLeast"/>
        </w:trPr>
        <w:tc>
          <w:tcPr>
            <w:tcW w:w="692" w:type="dxa"/>
            <w:tcBorders>
              <w:top w:val="nil"/>
              <w:left w:val="single" w:color="auto" w:sz="4" w:space="0"/>
              <w:bottom w:val="single" w:color="auto" w:sz="4" w:space="0"/>
              <w:right w:val="single" w:color="auto" w:sz="4" w:space="0"/>
            </w:tcBorders>
            <w:shd w:val="clear" w:color="auto" w:fill="auto"/>
            <w:vAlign w:val="bottom"/>
          </w:tcPr>
          <w:p w14:paraId="46D05CBF">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nil"/>
              <w:left w:val="nil"/>
              <w:bottom w:val="single" w:color="auto" w:sz="4" w:space="0"/>
              <w:right w:val="single" w:color="auto" w:sz="4" w:space="0"/>
            </w:tcBorders>
            <w:shd w:val="clear" w:color="auto" w:fill="auto"/>
            <w:vAlign w:val="bottom"/>
          </w:tcPr>
          <w:p w14:paraId="0E64CF3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接入交换机</w:t>
            </w:r>
          </w:p>
        </w:tc>
        <w:tc>
          <w:tcPr>
            <w:tcW w:w="2253" w:type="dxa"/>
            <w:tcBorders>
              <w:top w:val="nil"/>
              <w:left w:val="nil"/>
              <w:bottom w:val="single" w:color="auto" w:sz="4" w:space="0"/>
              <w:right w:val="single" w:color="auto" w:sz="4" w:space="0"/>
            </w:tcBorders>
            <w:shd w:val="clear" w:color="auto" w:fill="auto"/>
            <w:vAlign w:val="bottom"/>
          </w:tcPr>
          <w:p w14:paraId="04920824">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S5130S-10P-HPWR-EI</w:t>
            </w:r>
          </w:p>
        </w:tc>
        <w:tc>
          <w:tcPr>
            <w:tcW w:w="762" w:type="dxa"/>
            <w:tcBorders>
              <w:top w:val="nil"/>
              <w:left w:val="nil"/>
              <w:bottom w:val="single" w:color="auto" w:sz="4" w:space="0"/>
              <w:right w:val="single" w:color="auto" w:sz="4" w:space="0"/>
            </w:tcBorders>
            <w:shd w:val="clear" w:color="auto" w:fill="auto"/>
            <w:vAlign w:val="bottom"/>
          </w:tcPr>
          <w:p w14:paraId="1D81867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521" w:type="dxa"/>
            <w:tcBorders>
              <w:top w:val="nil"/>
              <w:left w:val="nil"/>
              <w:bottom w:val="single" w:color="auto" w:sz="4" w:space="0"/>
              <w:right w:val="single" w:color="auto" w:sz="4" w:space="0"/>
            </w:tcBorders>
            <w:shd w:val="clear" w:color="auto" w:fill="auto"/>
            <w:vAlign w:val="center"/>
          </w:tcPr>
          <w:p w14:paraId="45FF73A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各楼层</w:t>
            </w:r>
          </w:p>
        </w:tc>
        <w:tc>
          <w:tcPr>
            <w:tcW w:w="1101" w:type="dxa"/>
            <w:tcBorders>
              <w:top w:val="nil"/>
              <w:left w:val="nil"/>
              <w:bottom w:val="single" w:color="auto" w:sz="4" w:space="0"/>
              <w:right w:val="single" w:color="auto" w:sz="4" w:space="0"/>
            </w:tcBorders>
            <w:shd w:val="clear" w:color="auto" w:fill="auto"/>
            <w:vAlign w:val="center"/>
          </w:tcPr>
          <w:p w14:paraId="2BC69AA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nil"/>
              <w:left w:val="single" w:color="auto" w:sz="4" w:space="0"/>
              <w:bottom w:val="single" w:color="auto" w:sz="4" w:space="0"/>
              <w:right w:val="single" w:color="auto" w:sz="4" w:space="0"/>
            </w:tcBorders>
            <w:vAlign w:val="center"/>
          </w:tcPr>
          <w:p w14:paraId="37BDB3B5">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3735BBB0">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bottom"/>
          </w:tcPr>
          <w:p w14:paraId="77846A4F">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bottom"/>
          </w:tcPr>
          <w:p w14:paraId="092AAE8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虚拟化</w:t>
            </w:r>
            <w:r>
              <w:rPr>
                <w:rFonts w:hint="eastAsia" w:ascii="宋体" w:hAnsi="宋体" w:eastAsia="宋体" w:cs="宋体"/>
                <w:color w:val="000000"/>
                <w:kern w:val="0"/>
                <w:sz w:val="24"/>
                <w:szCs w:val="24"/>
              </w:rPr>
              <w:t>软件</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bottom"/>
          </w:tcPr>
          <w:p w14:paraId="13DDDEC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VMware vsphere 6.5</w:t>
            </w:r>
          </w:p>
        </w:tc>
        <w:tc>
          <w:tcPr>
            <w:tcW w:w="762" w:type="dxa"/>
            <w:tcBorders>
              <w:top w:val="single" w:color="auto" w:sz="4" w:space="0"/>
              <w:left w:val="single" w:color="auto" w:sz="4" w:space="0"/>
              <w:bottom w:val="single" w:color="auto" w:sz="4" w:space="0"/>
              <w:right w:val="single" w:color="auto" w:sz="4" w:space="0"/>
            </w:tcBorders>
            <w:shd w:val="clear" w:color="auto" w:fill="auto"/>
            <w:vAlign w:val="bottom"/>
          </w:tcPr>
          <w:p w14:paraId="70312C9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bottom"/>
          </w:tcPr>
          <w:p w14:paraId="437FE75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92C841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0E9F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w:t>
            </w:r>
            <w:r>
              <w:rPr>
                <w:rFonts w:hint="eastAsia" w:ascii="宋体" w:hAnsi="宋体" w:eastAsia="宋体" w:cs="宋体"/>
                <w:color w:val="000000"/>
                <w:kern w:val="0"/>
                <w:sz w:val="24"/>
                <w:szCs w:val="24"/>
                <w:lang w:eastAsia="zh-CN"/>
              </w:rPr>
              <w:t>虚拟化平台</w:t>
            </w:r>
            <w:r>
              <w:rPr>
                <w:rFonts w:hint="eastAsia" w:ascii="宋体" w:hAnsi="宋体" w:eastAsia="宋体" w:cs="宋体"/>
                <w:color w:val="000000"/>
                <w:kern w:val="0"/>
                <w:sz w:val="24"/>
                <w:szCs w:val="24"/>
              </w:rPr>
              <w:t>故障诊断、问题解决以及运维服务，提供虚拟机迁移备份服务，现场巡检服务，工程师现场支持要求时间为7*24小时*2小时到达现场.</w:t>
            </w:r>
          </w:p>
        </w:tc>
      </w:tr>
      <w:tr w14:paraId="0D652621">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bottom"/>
          </w:tcPr>
          <w:p w14:paraId="75630B9C">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bottom"/>
          </w:tcPr>
          <w:p w14:paraId="510266C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虚拟化</w:t>
            </w:r>
            <w:r>
              <w:rPr>
                <w:rFonts w:hint="eastAsia" w:ascii="宋体" w:hAnsi="宋体" w:eastAsia="宋体" w:cs="宋体"/>
                <w:color w:val="000000"/>
                <w:kern w:val="0"/>
                <w:sz w:val="24"/>
                <w:szCs w:val="24"/>
              </w:rPr>
              <w:t>软件</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bottom"/>
          </w:tcPr>
          <w:p w14:paraId="2F2D9C9A">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FusionCompute 6.5.1</w:t>
            </w:r>
          </w:p>
        </w:tc>
        <w:tc>
          <w:tcPr>
            <w:tcW w:w="762" w:type="dxa"/>
            <w:tcBorders>
              <w:top w:val="single" w:color="auto" w:sz="4" w:space="0"/>
              <w:left w:val="single" w:color="auto" w:sz="4" w:space="0"/>
              <w:bottom w:val="single" w:color="auto" w:sz="4" w:space="0"/>
              <w:right w:val="single" w:color="auto" w:sz="4" w:space="0"/>
            </w:tcBorders>
            <w:shd w:val="clear" w:color="auto" w:fill="auto"/>
            <w:vAlign w:val="bottom"/>
          </w:tcPr>
          <w:p w14:paraId="564637D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bottom"/>
          </w:tcPr>
          <w:p w14:paraId="1DF4261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67A79B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single" w:color="auto" w:sz="4" w:space="0"/>
              <w:left w:val="single" w:color="auto" w:sz="4" w:space="0"/>
              <w:bottom w:val="single" w:color="auto" w:sz="4" w:space="0"/>
              <w:right w:val="single" w:color="auto" w:sz="4" w:space="0"/>
            </w:tcBorders>
            <w:vAlign w:val="center"/>
          </w:tcPr>
          <w:p w14:paraId="26B35B42">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r w14:paraId="0892F1BA">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BF27C6">
            <w:pPr>
              <w:keepNext w:val="0"/>
              <w:keepLines w:val="0"/>
              <w:widowControl/>
              <w:numPr>
                <w:ilvl w:val="0"/>
                <w:numId w:val="27"/>
              </w:numPr>
              <w:suppressLineNumbers w:val="0"/>
              <w:spacing w:before="0" w:beforeAutospacing="0" w:after="0" w:afterAutospacing="0" w:line="240" w:lineRule="auto"/>
              <w:ind w:left="425" w:leftChars="0" w:right="0" w:hanging="425" w:firstLineChars="0"/>
              <w:jc w:val="center"/>
              <w:rPr>
                <w:rFonts w:hint="eastAsia" w:ascii="宋体" w:hAnsi="宋体" w:eastAsia="宋体" w:cs="宋体"/>
                <w:color w:val="000000"/>
                <w:kern w:val="0"/>
                <w:sz w:val="24"/>
                <w:szCs w:val="24"/>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ADE95B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虚拟化</w:t>
            </w:r>
            <w:r>
              <w:rPr>
                <w:rFonts w:hint="eastAsia" w:ascii="宋体" w:hAnsi="宋体" w:eastAsia="宋体" w:cs="宋体"/>
                <w:color w:val="000000"/>
                <w:kern w:val="0"/>
                <w:sz w:val="24"/>
                <w:szCs w:val="24"/>
              </w:rPr>
              <w:t>软件</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1C1E76D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"https://www.baidu.com/link?url=XdR3CUGXHIlrNstZ3mX_PUCUHLhJW8uoJfl842kBURmTDFmWbvat8FySemfyWCLesualcYD98Rh_DNeIWJJ5da&amp;wd=&amp;eqid=85640ef10008aa520000000364e71195" \o "https://www.baidu.com/link?url=XdR3CUGXHIlrNstZ3mX_PUCUHLhJW8uoJfl842kBURmTDFmWbvat8FySemfyWCLesualcYD98Rh_DNeIWJJ5da&amp;wd=&amp;eqid=85640ef10008aa520000000364e71195" </w:instrText>
            </w:r>
            <w:r>
              <w:rPr>
                <w:rFonts w:hint="eastAsia" w:ascii="宋体" w:hAnsi="宋体" w:eastAsia="宋体" w:cs="宋体"/>
                <w:sz w:val="24"/>
                <w:szCs w:val="24"/>
              </w:rPr>
              <w:fldChar w:fldCharType="separate"/>
            </w:r>
            <w:r>
              <w:rPr>
                <w:rFonts w:hint="eastAsia" w:ascii="宋体" w:hAnsi="宋体" w:eastAsia="宋体" w:cs="宋体"/>
                <w:color w:val="000000"/>
                <w:kern w:val="0"/>
                <w:sz w:val="24"/>
                <w:szCs w:val="24"/>
              </w:rPr>
              <w:t>FusionCompute 8</w:t>
            </w:r>
            <w:r>
              <w:rPr>
                <w:rFonts w:hint="eastAsia" w:ascii="宋体" w:hAnsi="宋体" w:eastAsia="宋体" w:cs="宋体"/>
                <w:color w:val="000000"/>
                <w:kern w:val="0"/>
                <w:sz w:val="24"/>
                <w:szCs w:val="24"/>
              </w:rPr>
              <w:fldChar w:fldCharType="end"/>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AEBF8E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3AE073C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E7B7E5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2108" w:type="dxa"/>
            <w:vMerge w:val="continue"/>
            <w:tcBorders>
              <w:top w:val="single" w:color="auto" w:sz="4" w:space="0"/>
              <w:left w:val="single" w:color="auto" w:sz="4" w:space="0"/>
              <w:bottom w:val="single" w:color="auto" w:sz="4" w:space="0"/>
              <w:right w:val="single" w:color="auto" w:sz="4" w:space="0"/>
            </w:tcBorders>
            <w:vAlign w:val="center"/>
          </w:tcPr>
          <w:p w14:paraId="76AD4D88">
            <w:pPr>
              <w:keepNext w:val="0"/>
              <w:keepLines w:val="0"/>
              <w:widowControl/>
              <w:suppressLineNumbers w:val="0"/>
              <w:spacing w:before="0" w:beforeAutospacing="0" w:after="0" w:afterAutospacing="0" w:line="240" w:lineRule="auto"/>
              <w:ind w:left="0" w:right="0" w:firstLine="0" w:firstLineChars="0"/>
              <w:rPr>
                <w:rFonts w:hint="eastAsia" w:ascii="宋体" w:hAnsi="宋体" w:eastAsia="宋体" w:cs="宋体"/>
                <w:color w:val="000000"/>
                <w:kern w:val="0"/>
                <w:sz w:val="24"/>
                <w:szCs w:val="24"/>
              </w:rPr>
            </w:pPr>
          </w:p>
        </w:tc>
      </w:tr>
    </w:tbl>
    <w:p w14:paraId="524A6302">
      <w:pPr>
        <w:ind w:firstLine="480"/>
        <w:rPr>
          <w:rFonts w:hint="eastAsia" w:ascii="宋体" w:hAnsi="宋体" w:eastAsia="宋体" w:cs="宋体"/>
          <w:sz w:val="24"/>
          <w:szCs w:val="24"/>
        </w:rPr>
        <w:sectPr>
          <w:headerReference r:id="rId16" w:type="default"/>
          <w:footerReference r:id="rId17" w:type="default"/>
          <w:pgSz w:w="11906" w:h="16838"/>
          <w:pgMar w:top="1440" w:right="1797" w:bottom="1440" w:left="1418" w:header="851" w:footer="992" w:gutter="0"/>
          <w:pgBorders>
            <w:top w:val="none" w:sz="0" w:space="0"/>
            <w:left w:val="none" w:sz="0" w:space="0"/>
            <w:bottom w:val="none" w:sz="0" w:space="0"/>
            <w:right w:val="none" w:sz="0" w:space="0"/>
          </w:pgBorders>
          <w:cols w:space="425" w:num="1"/>
          <w:docGrid w:type="lines" w:linePitch="326" w:charSpace="0"/>
        </w:sectPr>
      </w:pPr>
    </w:p>
    <w:p w14:paraId="18A79A3C">
      <w:pPr>
        <w:pStyle w:val="673"/>
        <w:numPr>
          <w:ilvl w:val="0"/>
          <w:numId w:val="0"/>
        </w:numPr>
        <w:spacing w:line="360" w:lineRule="auto"/>
        <w:outlineLvl w:val="9"/>
        <w:rPr>
          <w:rFonts w:hint="eastAsia" w:ascii="宋体" w:hAnsi="宋体" w:eastAsia="宋体" w:cs="宋体"/>
          <w:sz w:val="24"/>
          <w:szCs w:val="24"/>
        </w:rPr>
      </w:pPr>
      <w:r>
        <w:rPr>
          <w:rFonts w:hint="eastAsia" w:ascii="宋体" w:hAnsi="宋体" w:cs="宋体"/>
          <w:sz w:val="24"/>
          <w:szCs w:val="24"/>
          <w:lang w:val="en-US" w:eastAsia="zh-CN"/>
        </w:rPr>
        <w:t>2.1.2</w:t>
      </w:r>
      <w:r>
        <w:rPr>
          <w:rFonts w:hint="eastAsia" w:ascii="宋体" w:hAnsi="宋体" w:eastAsia="宋体" w:cs="宋体"/>
          <w:sz w:val="24"/>
          <w:szCs w:val="24"/>
        </w:rPr>
        <w:t>人行机房维保类</w:t>
      </w:r>
    </w:p>
    <w:tbl>
      <w:tblPr>
        <w:tblStyle w:val="67"/>
        <w:tblW w:w="10136" w:type="dxa"/>
        <w:tblInd w:w="-289" w:type="dxa"/>
        <w:tblLayout w:type="fixed"/>
        <w:tblCellMar>
          <w:top w:w="0" w:type="dxa"/>
          <w:left w:w="108" w:type="dxa"/>
          <w:bottom w:w="0" w:type="dxa"/>
          <w:right w:w="108" w:type="dxa"/>
        </w:tblCellMar>
      </w:tblPr>
      <w:tblGrid>
        <w:gridCol w:w="842"/>
        <w:gridCol w:w="1259"/>
        <w:gridCol w:w="1889"/>
        <w:gridCol w:w="579"/>
        <w:gridCol w:w="1342"/>
        <w:gridCol w:w="2037"/>
        <w:gridCol w:w="982"/>
        <w:gridCol w:w="1206"/>
      </w:tblGrid>
      <w:tr w14:paraId="22BE4F62">
        <w:tblPrEx>
          <w:tblCellMar>
            <w:top w:w="0" w:type="dxa"/>
            <w:left w:w="108" w:type="dxa"/>
            <w:bottom w:w="0" w:type="dxa"/>
            <w:right w:w="108" w:type="dxa"/>
          </w:tblCellMar>
        </w:tblPrEx>
        <w:trPr>
          <w:trHeight w:val="938" w:hRule="atLeast"/>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6728F0F7">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59" w:type="dxa"/>
            <w:tcBorders>
              <w:top w:val="single" w:color="auto" w:sz="4" w:space="0"/>
              <w:left w:val="nil"/>
              <w:bottom w:val="single" w:color="auto" w:sz="4" w:space="0"/>
              <w:right w:val="single" w:color="auto" w:sz="4" w:space="0"/>
            </w:tcBorders>
            <w:shd w:val="clear" w:color="auto" w:fill="auto"/>
            <w:vAlign w:val="center"/>
          </w:tcPr>
          <w:p w14:paraId="10050293">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1889" w:type="dxa"/>
            <w:tcBorders>
              <w:top w:val="single" w:color="auto" w:sz="4" w:space="0"/>
              <w:left w:val="nil"/>
              <w:bottom w:val="single" w:color="auto" w:sz="4" w:space="0"/>
              <w:right w:val="single" w:color="auto" w:sz="4" w:space="0"/>
            </w:tcBorders>
            <w:shd w:val="clear" w:color="auto" w:fill="auto"/>
            <w:vAlign w:val="center"/>
          </w:tcPr>
          <w:p w14:paraId="0D274BD9">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设备型号</w:t>
            </w:r>
          </w:p>
        </w:tc>
        <w:tc>
          <w:tcPr>
            <w:tcW w:w="579" w:type="dxa"/>
            <w:tcBorders>
              <w:top w:val="single" w:color="auto" w:sz="4" w:space="0"/>
              <w:left w:val="nil"/>
              <w:bottom w:val="single" w:color="auto" w:sz="4" w:space="0"/>
              <w:right w:val="single" w:color="auto" w:sz="4" w:space="0"/>
            </w:tcBorders>
            <w:shd w:val="clear" w:color="auto" w:fill="auto"/>
            <w:vAlign w:val="center"/>
          </w:tcPr>
          <w:p w14:paraId="1C51040E">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342" w:type="dxa"/>
            <w:tcBorders>
              <w:top w:val="single" w:color="auto" w:sz="4" w:space="0"/>
              <w:left w:val="nil"/>
              <w:bottom w:val="single" w:color="auto" w:sz="4" w:space="0"/>
              <w:right w:val="single" w:color="auto" w:sz="4" w:space="0"/>
            </w:tcBorders>
            <w:shd w:val="clear" w:color="auto" w:fill="auto"/>
            <w:vAlign w:val="center"/>
          </w:tcPr>
          <w:p w14:paraId="23F585D1">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设备位置</w:t>
            </w:r>
          </w:p>
        </w:tc>
        <w:tc>
          <w:tcPr>
            <w:tcW w:w="2037" w:type="dxa"/>
            <w:tcBorders>
              <w:top w:val="single" w:color="auto" w:sz="4" w:space="0"/>
              <w:left w:val="nil"/>
              <w:bottom w:val="single" w:color="auto" w:sz="4" w:space="0"/>
              <w:right w:val="single" w:color="auto" w:sz="4" w:space="0"/>
            </w:tcBorders>
            <w:shd w:val="clear" w:color="auto" w:fill="auto"/>
            <w:vAlign w:val="center"/>
          </w:tcPr>
          <w:p w14:paraId="039D9DBD">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序列号</w:t>
            </w:r>
          </w:p>
        </w:tc>
        <w:tc>
          <w:tcPr>
            <w:tcW w:w="982" w:type="dxa"/>
            <w:tcBorders>
              <w:top w:val="single" w:color="auto" w:sz="4" w:space="0"/>
              <w:left w:val="nil"/>
              <w:bottom w:val="single" w:color="auto" w:sz="4" w:space="0"/>
              <w:right w:val="single" w:color="auto" w:sz="4" w:space="0"/>
            </w:tcBorders>
            <w:shd w:val="clear" w:color="auto" w:fill="auto"/>
            <w:vAlign w:val="center"/>
          </w:tcPr>
          <w:p w14:paraId="3E83C89D">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维保期限</w:t>
            </w:r>
          </w:p>
        </w:tc>
        <w:tc>
          <w:tcPr>
            <w:tcW w:w="1206" w:type="dxa"/>
            <w:tcBorders>
              <w:top w:val="single" w:color="auto" w:sz="4" w:space="0"/>
              <w:left w:val="nil"/>
              <w:bottom w:val="single" w:color="auto" w:sz="4" w:space="0"/>
              <w:right w:val="single" w:color="auto" w:sz="4" w:space="0"/>
            </w:tcBorders>
            <w:shd w:val="clear" w:color="auto" w:fill="auto"/>
            <w:vAlign w:val="center"/>
          </w:tcPr>
          <w:p w14:paraId="784B8B10">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服务内容</w:t>
            </w:r>
          </w:p>
        </w:tc>
      </w:tr>
      <w:tr w14:paraId="066F7CEF">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0571F27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59" w:type="dxa"/>
            <w:tcBorders>
              <w:top w:val="nil"/>
              <w:left w:val="nil"/>
              <w:bottom w:val="single" w:color="auto" w:sz="4" w:space="0"/>
              <w:right w:val="single" w:color="auto" w:sz="4" w:space="0"/>
            </w:tcBorders>
            <w:shd w:val="clear" w:color="auto" w:fill="auto"/>
            <w:vAlign w:val="center"/>
          </w:tcPr>
          <w:p w14:paraId="2761AA9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IBM服务器</w:t>
            </w:r>
          </w:p>
        </w:tc>
        <w:tc>
          <w:tcPr>
            <w:tcW w:w="1889" w:type="dxa"/>
            <w:tcBorders>
              <w:top w:val="nil"/>
              <w:left w:val="nil"/>
              <w:bottom w:val="single" w:color="auto" w:sz="4" w:space="0"/>
              <w:right w:val="single" w:color="auto" w:sz="4" w:space="0"/>
            </w:tcBorders>
            <w:shd w:val="clear" w:color="auto" w:fill="auto"/>
            <w:vAlign w:val="center"/>
          </w:tcPr>
          <w:p w14:paraId="1E28461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X3650 M4</w:t>
            </w:r>
          </w:p>
        </w:tc>
        <w:tc>
          <w:tcPr>
            <w:tcW w:w="579" w:type="dxa"/>
            <w:tcBorders>
              <w:top w:val="nil"/>
              <w:left w:val="nil"/>
              <w:bottom w:val="single" w:color="auto" w:sz="4" w:space="0"/>
              <w:right w:val="single" w:color="auto" w:sz="4" w:space="0"/>
            </w:tcBorders>
            <w:shd w:val="clear" w:color="auto" w:fill="auto"/>
            <w:vAlign w:val="center"/>
          </w:tcPr>
          <w:p w14:paraId="27FB3C4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62DBD43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5062C20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06ANRWA</w:t>
            </w:r>
          </w:p>
        </w:tc>
        <w:tc>
          <w:tcPr>
            <w:tcW w:w="982" w:type="dxa"/>
            <w:tcBorders>
              <w:top w:val="nil"/>
              <w:left w:val="nil"/>
              <w:bottom w:val="single" w:color="auto" w:sz="4" w:space="0"/>
              <w:right w:val="single" w:color="auto" w:sz="4" w:space="0"/>
            </w:tcBorders>
            <w:shd w:val="clear" w:color="auto" w:fill="auto"/>
            <w:vAlign w:val="center"/>
          </w:tcPr>
          <w:p w14:paraId="1263C3D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restart"/>
            <w:tcBorders>
              <w:top w:val="nil"/>
              <w:left w:val="single" w:color="auto" w:sz="4" w:space="0"/>
              <w:right w:val="single" w:color="auto" w:sz="4" w:space="0"/>
            </w:tcBorders>
            <w:shd w:val="clear" w:color="auto" w:fill="auto"/>
            <w:vAlign w:val="center"/>
          </w:tcPr>
          <w:p w14:paraId="40AD02B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保修包含主机上面所有配件（如CPU、内存、硬盘、网卡、HBA卡、主板、电源、控制器、硬盘、磁盘笼、电源、连接线缆等等）,本地工程师现场支持要求时间为7*24小时*2小时到达，所需配件24小时内到位。</w:t>
            </w:r>
          </w:p>
        </w:tc>
      </w:tr>
      <w:tr w14:paraId="472CFD9A">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4F7135E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59" w:type="dxa"/>
            <w:tcBorders>
              <w:top w:val="nil"/>
              <w:left w:val="nil"/>
              <w:bottom w:val="single" w:color="auto" w:sz="4" w:space="0"/>
              <w:right w:val="single" w:color="auto" w:sz="4" w:space="0"/>
            </w:tcBorders>
            <w:shd w:val="clear" w:color="auto" w:fill="auto"/>
            <w:vAlign w:val="center"/>
          </w:tcPr>
          <w:p w14:paraId="72FD633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IBM服务器</w:t>
            </w:r>
          </w:p>
        </w:tc>
        <w:tc>
          <w:tcPr>
            <w:tcW w:w="1889" w:type="dxa"/>
            <w:tcBorders>
              <w:top w:val="nil"/>
              <w:left w:val="nil"/>
              <w:bottom w:val="single" w:color="auto" w:sz="4" w:space="0"/>
              <w:right w:val="single" w:color="auto" w:sz="4" w:space="0"/>
            </w:tcBorders>
            <w:shd w:val="clear" w:color="auto" w:fill="auto"/>
            <w:vAlign w:val="center"/>
          </w:tcPr>
          <w:p w14:paraId="6FC4E54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X3650 M4</w:t>
            </w:r>
          </w:p>
        </w:tc>
        <w:tc>
          <w:tcPr>
            <w:tcW w:w="579" w:type="dxa"/>
            <w:tcBorders>
              <w:top w:val="nil"/>
              <w:left w:val="nil"/>
              <w:bottom w:val="single" w:color="auto" w:sz="4" w:space="0"/>
              <w:right w:val="single" w:color="auto" w:sz="4" w:space="0"/>
            </w:tcBorders>
            <w:shd w:val="clear" w:color="auto" w:fill="auto"/>
            <w:vAlign w:val="center"/>
          </w:tcPr>
          <w:p w14:paraId="27F75AF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1B2CEDD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6830E3C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06ZYGR1</w:t>
            </w:r>
          </w:p>
        </w:tc>
        <w:tc>
          <w:tcPr>
            <w:tcW w:w="982" w:type="dxa"/>
            <w:tcBorders>
              <w:top w:val="nil"/>
              <w:left w:val="nil"/>
              <w:bottom w:val="single" w:color="auto" w:sz="4" w:space="0"/>
              <w:right w:val="single" w:color="auto" w:sz="4" w:space="0"/>
            </w:tcBorders>
            <w:shd w:val="clear" w:color="auto" w:fill="auto"/>
            <w:vAlign w:val="center"/>
          </w:tcPr>
          <w:p w14:paraId="2F6558B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663725A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5BB2508F">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76BC0E1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59" w:type="dxa"/>
            <w:tcBorders>
              <w:top w:val="nil"/>
              <w:left w:val="nil"/>
              <w:bottom w:val="single" w:color="auto" w:sz="4" w:space="0"/>
              <w:right w:val="single" w:color="auto" w:sz="4" w:space="0"/>
            </w:tcBorders>
            <w:shd w:val="clear" w:color="auto" w:fill="auto"/>
            <w:vAlign w:val="center"/>
          </w:tcPr>
          <w:p w14:paraId="070E7DA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IBM服务器</w:t>
            </w:r>
          </w:p>
        </w:tc>
        <w:tc>
          <w:tcPr>
            <w:tcW w:w="1889" w:type="dxa"/>
            <w:tcBorders>
              <w:top w:val="nil"/>
              <w:left w:val="nil"/>
              <w:bottom w:val="single" w:color="auto" w:sz="4" w:space="0"/>
              <w:right w:val="single" w:color="auto" w:sz="4" w:space="0"/>
            </w:tcBorders>
            <w:shd w:val="clear" w:color="auto" w:fill="auto"/>
            <w:vAlign w:val="center"/>
          </w:tcPr>
          <w:p w14:paraId="6EDF901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X3650 M4</w:t>
            </w:r>
          </w:p>
        </w:tc>
        <w:tc>
          <w:tcPr>
            <w:tcW w:w="579" w:type="dxa"/>
            <w:tcBorders>
              <w:top w:val="nil"/>
              <w:left w:val="nil"/>
              <w:bottom w:val="single" w:color="auto" w:sz="4" w:space="0"/>
              <w:right w:val="single" w:color="auto" w:sz="4" w:space="0"/>
            </w:tcBorders>
            <w:shd w:val="clear" w:color="auto" w:fill="auto"/>
            <w:vAlign w:val="center"/>
          </w:tcPr>
          <w:p w14:paraId="2042286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023A62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4E53E50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06ANRVR</w:t>
            </w:r>
          </w:p>
        </w:tc>
        <w:tc>
          <w:tcPr>
            <w:tcW w:w="982" w:type="dxa"/>
            <w:tcBorders>
              <w:top w:val="nil"/>
              <w:left w:val="nil"/>
              <w:bottom w:val="single" w:color="auto" w:sz="4" w:space="0"/>
              <w:right w:val="single" w:color="auto" w:sz="4" w:space="0"/>
            </w:tcBorders>
            <w:shd w:val="clear" w:color="auto" w:fill="auto"/>
            <w:vAlign w:val="center"/>
          </w:tcPr>
          <w:p w14:paraId="1114C6B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53AFE31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0503C12D">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7500F28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59" w:type="dxa"/>
            <w:tcBorders>
              <w:top w:val="nil"/>
              <w:left w:val="nil"/>
              <w:bottom w:val="single" w:color="auto" w:sz="4" w:space="0"/>
              <w:right w:val="single" w:color="auto" w:sz="4" w:space="0"/>
            </w:tcBorders>
            <w:shd w:val="clear" w:color="auto" w:fill="auto"/>
            <w:vAlign w:val="center"/>
          </w:tcPr>
          <w:p w14:paraId="7F6619A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IBM服务器</w:t>
            </w:r>
          </w:p>
        </w:tc>
        <w:tc>
          <w:tcPr>
            <w:tcW w:w="1889" w:type="dxa"/>
            <w:tcBorders>
              <w:top w:val="nil"/>
              <w:left w:val="nil"/>
              <w:bottom w:val="single" w:color="auto" w:sz="4" w:space="0"/>
              <w:right w:val="single" w:color="auto" w:sz="4" w:space="0"/>
            </w:tcBorders>
            <w:shd w:val="clear" w:color="auto" w:fill="auto"/>
            <w:vAlign w:val="center"/>
          </w:tcPr>
          <w:p w14:paraId="2559504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X3650 M4</w:t>
            </w:r>
          </w:p>
        </w:tc>
        <w:tc>
          <w:tcPr>
            <w:tcW w:w="579" w:type="dxa"/>
            <w:tcBorders>
              <w:top w:val="nil"/>
              <w:left w:val="nil"/>
              <w:bottom w:val="single" w:color="auto" w:sz="4" w:space="0"/>
              <w:right w:val="single" w:color="auto" w:sz="4" w:space="0"/>
            </w:tcBorders>
            <w:shd w:val="clear" w:color="auto" w:fill="auto"/>
            <w:vAlign w:val="center"/>
          </w:tcPr>
          <w:p w14:paraId="4558523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405B61A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7D90C2A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06ANRVP</w:t>
            </w:r>
          </w:p>
        </w:tc>
        <w:tc>
          <w:tcPr>
            <w:tcW w:w="982" w:type="dxa"/>
            <w:tcBorders>
              <w:top w:val="nil"/>
              <w:left w:val="nil"/>
              <w:bottom w:val="single" w:color="auto" w:sz="4" w:space="0"/>
              <w:right w:val="single" w:color="auto" w:sz="4" w:space="0"/>
            </w:tcBorders>
            <w:shd w:val="clear" w:color="auto" w:fill="auto"/>
            <w:vAlign w:val="center"/>
          </w:tcPr>
          <w:p w14:paraId="1392E38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32D08CE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32EE612A">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77D25A3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59" w:type="dxa"/>
            <w:tcBorders>
              <w:top w:val="nil"/>
              <w:left w:val="nil"/>
              <w:bottom w:val="single" w:color="auto" w:sz="4" w:space="0"/>
              <w:right w:val="single" w:color="auto" w:sz="4" w:space="0"/>
            </w:tcBorders>
            <w:shd w:val="clear" w:color="auto" w:fill="auto"/>
            <w:vAlign w:val="center"/>
          </w:tcPr>
          <w:p w14:paraId="414C0F2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加密机</w:t>
            </w:r>
          </w:p>
        </w:tc>
        <w:tc>
          <w:tcPr>
            <w:tcW w:w="1889" w:type="dxa"/>
            <w:tcBorders>
              <w:top w:val="nil"/>
              <w:left w:val="nil"/>
              <w:bottom w:val="single" w:color="auto" w:sz="4" w:space="0"/>
              <w:right w:val="single" w:color="auto" w:sz="4" w:space="0"/>
            </w:tcBorders>
            <w:shd w:val="clear" w:color="auto" w:fill="auto"/>
            <w:vAlign w:val="center"/>
          </w:tcPr>
          <w:p w14:paraId="7F78145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吉大正元 V5000-C</w:t>
            </w:r>
          </w:p>
        </w:tc>
        <w:tc>
          <w:tcPr>
            <w:tcW w:w="579" w:type="dxa"/>
            <w:tcBorders>
              <w:top w:val="nil"/>
              <w:left w:val="nil"/>
              <w:bottom w:val="single" w:color="auto" w:sz="4" w:space="0"/>
              <w:right w:val="single" w:color="auto" w:sz="4" w:space="0"/>
            </w:tcBorders>
            <w:shd w:val="clear" w:color="auto" w:fill="auto"/>
            <w:vAlign w:val="center"/>
          </w:tcPr>
          <w:p w14:paraId="51F95CB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3FD0721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2650449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LZ084782</w:t>
            </w:r>
          </w:p>
        </w:tc>
        <w:tc>
          <w:tcPr>
            <w:tcW w:w="982" w:type="dxa"/>
            <w:tcBorders>
              <w:top w:val="nil"/>
              <w:left w:val="nil"/>
              <w:bottom w:val="single" w:color="auto" w:sz="4" w:space="0"/>
              <w:right w:val="single" w:color="auto" w:sz="4" w:space="0"/>
            </w:tcBorders>
            <w:shd w:val="clear" w:color="auto" w:fill="auto"/>
            <w:vAlign w:val="center"/>
          </w:tcPr>
          <w:p w14:paraId="5D5241A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1B78656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33DE845B">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41DF70E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259" w:type="dxa"/>
            <w:tcBorders>
              <w:top w:val="nil"/>
              <w:left w:val="nil"/>
              <w:bottom w:val="single" w:color="auto" w:sz="4" w:space="0"/>
              <w:right w:val="single" w:color="auto" w:sz="4" w:space="0"/>
            </w:tcBorders>
            <w:shd w:val="clear" w:color="auto" w:fill="auto"/>
            <w:vAlign w:val="center"/>
          </w:tcPr>
          <w:p w14:paraId="273E5FE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加密机</w:t>
            </w:r>
          </w:p>
        </w:tc>
        <w:tc>
          <w:tcPr>
            <w:tcW w:w="1889" w:type="dxa"/>
            <w:tcBorders>
              <w:top w:val="nil"/>
              <w:left w:val="nil"/>
              <w:bottom w:val="single" w:color="auto" w:sz="4" w:space="0"/>
              <w:right w:val="single" w:color="auto" w:sz="4" w:space="0"/>
            </w:tcBorders>
            <w:shd w:val="clear" w:color="auto" w:fill="auto"/>
            <w:vAlign w:val="center"/>
          </w:tcPr>
          <w:p w14:paraId="0E2E8EB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吉大正元 V5000-C</w:t>
            </w:r>
          </w:p>
        </w:tc>
        <w:tc>
          <w:tcPr>
            <w:tcW w:w="579" w:type="dxa"/>
            <w:tcBorders>
              <w:top w:val="nil"/>
              <w:left w:val="nil"/>
              <w:bottom w:val="single" w:color="auto" w:sz="4" w:space="0"/>
              <w:right w:val="single" w:color="auto" w:sz="4" w:space="0"/>
            </w:tcBorders>
            <w:shd w:val="clear" w:color="auto" w:fill="auto"/>
            <w:vAlign w:val="center"/>
          </w:tcPr>
          <w:p w14:paraId="1D95694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49511D5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2929447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LZ1811Q717</w:t>
            </w:r>
          </w:p>
        </w:tc>
        <w:tc>
          <w:tcPr>
            <w:tcW w:w="982" w:type="dxa"/>
            <w:tcBorders>
              <w:top w:val="nil"/>
              <w:left w:val="nil"/>
              <w:bottom w:val="single" w:color="auto" w:sz="4" w:space="0"/>
              <w:right w:val="single" w:color="auto" w:sz="4" w:space="0"/>
            </w:tcBorders>
            <w:shd w:val="clear" w:color="auto" w:fill="auto"/>
            <w:vAlign w:val="center"/>
          </w:tcPr>
          <w:p w14:paraId="268EDB8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68EDC1C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4183A3C1">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4800BED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259" w:type="dxa"/>
            <w:tcBorders>
              <w:top w:val="nil"/>
              <w:left w:val="nil"/>
              <w:bottom w:val="single" w:color="auto" w:sz="4" w:space="0"/>
              <w:right w:val="single" w:color="auto" w:sz="4" w:space="0"/>
            </w:tcBorders>
            <w:shd w:val="clear" w:color="auto" w:fill="auto"/>
            <w:vAlign w:val="center"/>
          </w:tcPr>
          <w:p w14:paraId="152986B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加密机</w:t>
            </w:r>
          </w:p>
        </w:tc>
        <w:tc>
          <w:tcPr>
            <w:tcW w:w="1889" w:type="dxa"/>
            <w:tcBorders>
              <w:top w:val="nil"/>
              <w:left w:val="nil"/>
              <w:bottom w:val="single" w:color="auto" w:sz="4" w:space="0"/>
              <w:right w:val="single" w:color="auto" w:sz="4" w:space="0"/>
            </w:tcBorders>
            <w:shd w:val="clear" w:color="auto" w:fill="auto"/>
            <w:vAlign w:val="center"/>
          </w:tcPr>
          <w:p w14:paraId="2D585AD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吉大正元 V5000-C</w:t>
            </w:r>
          </w:p>
        </w:tc>
        <w:tc>
          <w:tcPr>
            <w:tcW w:w="579" w:type="dxa"/>
            <w:tcBorders>
              <w:top w:val="nil"/>
              <w:left w:val="nil"/>
              <w:bottom w:val="single" w:color="auto" w:sz="4" w:space="0"/>
              <w:right w:val="single" w:color="auto" w:sz="4" w:space="0"/>
            </w:tcBorders>
            <w:shd w:val="clear" w:color="auto" w:fill="auto"/>
            <w:vAlign w:val="center"/>
          </w:tcPr>
          <w:p w14:paraId="4FB3411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65C9626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3C682B5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LZ1811Q718</w:t>
            </w:r>
          </w:p>
        </w:tc>
        <w:tc>
          <w:tcPr>
            <w:tcW w:w="982" w:type="dxa"/>
            <w:tcBorders>
              <w:top w:val="nil"/>
              <w:left w:val="nil"/>
              <w:bottom w:val="single" w:color="auto" w:sz="4" w:space="0"/>
              <w:right w:val="single" w:color="auto" w:sz="4" w:space="0"/>
            </w:tcBorders>
            <w:shd w:val="clear" w:color="auto" w:fill="auto"/>
            <w:vAlign w:val="center"/>
          </w:tcPr>
          <w:p w14:paraId="50BEC65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41AB816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0BC97CF0">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04388DB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259" w:type="dxa"/>
            <w:tcBorders>
              <w:top w:val="nil"/>
              <w:left w:val="nil"/>
              <w:bottom w:val="single" w:color="auto" w:sz="4" w:space="0"/>
              <w:right w:val="single" w:color="auto" w:sz="4" w:space="0"/>
            </w:tcBorders>
            <w:shd w:val="clear" w:color="auto" w:fill="auto"/>
            <w:vAlign w:val="center"/>
          </w:tcPr>
          <w:p w14:paraId="0CA4155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SAN交换机</w:t>
            </w:r>
          </w:p>
        </w:tc>
        <w:tc>
          <w:tcPr>
            <w:tcW w:w="1889" w:type="dxa"/>
            <w:tcBorders>
              <w:top w:val="nil"/>
              <w:left w:val="nil"/>
              <w:bottom w:val="single" w:color="auto" w:sz="4" w:space="0"/>
              <w:right w:val="single" w:color="auto" w:sz="4" w:space="0"/>
            </w:tcBorders>
            <w:shd w:val="clear" w:color="auto" w:fill="auto"/>
            <w:vAlign w:val="center"/>
          </w:tcPr>
          <w:p w14:paraId="18E3F5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 2498-B24</w:t>
            </w:r>
          </w:p>
        </w:tc>
        <w:tc>
          <w:tcPr>
            <w:tcW w:w="579" w:type="dxa"/>
            <w:tcBorders>
              <w:top w:val="nil"/>
              <w:left w:val="nil"/>
              <w:bottom w:val="single" w:color="auto" w:sz="4" w:space="0"/>
              <w:right w:val="single" w:color="auto" w:sz="4" w:space="0"/>
            </w:tcBorders>
            <w:shd w:val="clear" w:color="auto" w:fill="auto"/>
            <w:vAlign w:val="center"/>
          </w:tcPr>
          <w:p w14:paraId="1D9F917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0FAAA30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30BEBF4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10364CK</w:t>
            </w:r>
          </w:p>
        </w:tc>
        <w:tc>
          <w:tcPr>
            <w:tcW w:w="982" w:type="dxa"/>
            <w:tcBorders>
              <w:top w:val="nil"/>
              <w:left w:val="nil"/>
              <w:bottom w:val="single" w:color="auto" w:sz="4" w:space="0"/>
              <w:right w:val="single" w:color="auto" w:sz="4" w:space="0"/>
            </w:tcBorders>
            <w:shd w:val="clear" w:color="auto" w:fill="auto"/>
            <w:vAlign w:val="center"/>
          </w:tcPr>
          <w:p w14:paraId="2D47825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45B154D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7711D761">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584C0CD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259" w:type="dxa"/>
            <w:tcBorders>
              <w:top w:val="nil"/>
              <w:left w:val="nil"/>
              <w:bottom w:val="single" w:color="auto" w:sz="4" w:space="0"/>
              <w:right w:val="single" w:color="auto" w:sz="4" w:space="0"/>
            </w:tcBorders>
            <w:shd w:val="clear" w:color="auto" w:fill="auto"/>
            <w:vAlign w:val="center"/>
          </w:tcPr>
          <w:p w14:paraId="0F7E98E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SAN交换机</w:t>
            </w:r>
          </w:p>
        </w:tc>
        <w:tc>
          <w:tcPr>
            <w:tcW w:w="1889" w:type="dxa"/>
            <w:tcBorders>
              <w:top w:val="nil"/>
              <w:left w:val="nil"/>
              <w:bottom w:val="single" w:color="auto" w:sz="4" w:space="0"/>
              <w:right w:val="single" w:color="auto" w:sz="4" w:space="0"/>
            </w:tcBorders>
            <w:shd w:val="clear" w:color="auto" w:fill="auto"/>
            <w:vAlign w:val="center"/>
          </w:tcPr>
          <w:p w14:paraId="26B7273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 2498-B24</w:t>
            </w:r>
          </w:p>
        </w:tc>
        <w:tc>
          <w:tcPr>
            <w:tcW w:w="579" w:type="dxa"/>
            <w:tcBorders>
              <w:top w:val="nil"/>
              <w:left w:val="nil"/>
              <w:bottom w:val="single" w:color="auto" w:sz="4" w:space="0"/>
              <w:right w:val="single" w:color="auto" w:sz="4" w:space="0"/>
            </w:tcBorders>
            <w:shd w:val="clear" w:color="auto" w:fill="auto"/>
            <w:vAlign w:val="center"/>
          </w:tcPr>
          <w:p w14:paraId="02F85FA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68CDE13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4701B69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10365KB</w:t>
            </w:r>
          </w:p>
        </w:tc>
        <w:tc>
          <w:tcPr>
            <w:tcW w:w="982" w:type="dxa"/>
            <w:tcBorders>
              <w:top w:val="nil"/>
              <w:left w:val="nil"/>
              <w:bottom w:val="single" w:color="auto" w:sz="4" w:space="0"/>
              <w:right w:val="single" w:color="auto" w:sz="4" w:space="0"/>
            </w:tcBorders>
            <w:shd w:val="clear" w:color="auto" w:fill="auto"/>
            <w:vAlign w:val="center"/>
          </w:tcPr>
          <w:p w14:paraId="677D3B5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4CC2133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678BC174">
        <w:tblPrEx>
          <w:tblCellMar>
            <w:top w:w="0" w:type="dxa"/>
            <w:left w:w="108" w:type="dxa"/>
            <w:bottom w:w="0" w:type="dxa"/>
            <w:right w:w="108" w:type="dxa"/>
          </w:tblCellMar>
        </w:tblPrEx>
        <w:trPr>
          <w:trHeight w:val="938" w:hRule="atLeast"/>
        </w:trPr>
        <w:tc>
          <w:tcPr>
            <w:tcW w:w="842" w:type="dxa"/>
            <w:tcBorders>
              <w:top w:val="nil"/>
              <w:left w:val="single" w:color="auto" w:sz="4" w:space="0"/>
              <w:bottom w:val="single" w:color="auto" w:sz="4" w:space="0"/>
              <w:right w:val="single" w:color="auto" w:sz="4" w:space="0"/>
            </w:tcBorders>
            <w:shd w:val="clear" w:color="auto" w:fill="auto"/>
            <w:vAlign w:val="center"/>
          </w:tcPr>
          <w:p w14:paraId="348076E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259" w:type="dxa"/>
            <w:tcBorders>
              <w:top w:val="nil"/>
              <w:left w:val="nil"/>
              <w:bottom w:val="single" w:color="auto" w:sz="4" w:space="0"/>
              <w:right w:val="single" w:color="auto" w:sz="4" w:space="0"/>
            </w:tcBorders>
            <w:shd w:val="clear" w:color="auto" w:fill="auto"/>
            <w:vAlign w:val="center"/>
          </w:tcPr>
          <w:p w14:paraId="6FFCB32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网络交换机</w:t>
            </w:r>
          </w:p>
        </w:tc>
        <w:tc>
          <w:tcPr>
            <w:tcW w:w="1889" w:type="dxa"/>
            <w:tcBorders>
              <w:top w:val="nil"/>
              <w:left w:val="nil"/>
              <w:bottom w:val="single" w:color="auto" w:sz="4" w:space="0"/>
              <w:right w:val="single" w:color="auto" w:sz="4" w:space="0"/>
            </w:tcBorders>
            <w:shd w:val="clear" w:color="auto" w:fill="auto"/>
            <w:vAlign w:val="center"/>
          </w:tcPr>
          <w:p w14:paraId="15FBB60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H3C S5500</w:t>
            </w:r>
          </w:p>
        </w:tc>
        <w:tc>
          <w:tcPr>
            <w:tcW w:w="579" w:type="dxa"/>
            <w:tcBorders>
              <w:top w:val="nil"/>
              <w:left w:val="nil"/>
              <w:bottom w:val="single" w:color="auto" w:sz="4" w:space="0"/>
              <w:right w:val="single" w:color="auto" w:sz="4" w:space="0"/>
            </w:tcBorders>
            <w:shd w:val="clear" w:color="auto" w:fill="auto"/>
            <w:vAlign w:val="center"/>
          </w:tcPr>
          <w:p w14:paraId="1348BA1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nil"/>
              <w:left w:val="nil"/>
              <w:bottom w:val="single" w:color="auto" w:sz="4" w:space="0"/>
              <w:right w:val="single" w:color="auto" w:sz="4" w:space="0"/>
            </w:tcBorders>
            <w:shd w:val="clear" w:color="auto" w:fill="auto"/>
            <w:vAlign w:val="center"/>
          </w:tcPr>
          <w:p w14:paraId="0EB6B83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nil"/>
              <w:left w:val="nil"/>
              <w:bottom w:val="single" w:color="auto" w:sz="4" w:space="0"/>
              <w:right w:val="single" w:color="auto" w:sz="4" w:space="0"/>
            </w:tcBorders>
            <w:shd w:val="clear" w:color="auto" w:fill="auto"/>
            <w:vAlign w:val="center"/>
          </w:tcPr>
          <w:p w14:paraId="5235D31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210235A252C148000291</w:t>
            </w:r>
          </w:p>
        </w:tc>
        <w:tc>
          <w:tcPr>
            <w:tcW w:w="982" w:type="dxa"/>
            <w:tcBorders>
              <w:top w:val="nil"/>
              <w:left w:val="nil"/>
              <w:bottom w:val="single" w:color="auto" w:sz="4" w:space="0"/>
              <w:right w:val="single" w:color="auto" w:sz="4" w:space="0"/>
            </w:tcBorders>
            <w:shd w:val="clear" w:color="auto" w:fill="auto"/>
            <w:vAlign w:val="center"/>
          </w:tcPr>
          <w:p w14:paraId="3A2E071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217E0B8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342F385C">
        <w:tblPrEx>
          <w:tblCellMar>
            <w:top w:w="0" w:type="dxa"/>
            <w:left w:w="108" w:type="dxa"/>
            <w:bottom w:w="0" w:type="dxa"/>
            <w:right w:w="108" w:type="dxa"/>
          </w:tblCellMar>
        </w:tblPrEx>
        <w:trPr>
          <w:trHeight w:val="938" w:hRule="atLeast"/>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4F154C8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14BC2BA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网络交换机</w:t>
            </w:r>
          </w:p>
        </w:tc>
        <w:tc>
          <w:tcPr>
            <w:tcW w:w="1889" w:type="dxa"/>
            <w:tcBorders>
              <w:top w:val="single" w:color="auto" w:sz="4" w:space="0"/>
              <w:left w:val="single" w:color="auto" w:sz="4" w:space="0"/>
              <w:bottom w:val="single" w:color="auto" w:sz="4" w:space="0"/>
              <w:right w:val="single" w:color="auto" w:sz="4" w:space="0"/>
            </w:tcBorders>
            <w:shd w:val="clear" w:color="auto" w:fill="auto"/>
            <w:vAlign w:val="center"/>
          </w:tcPr>
          <w:p w14:paraId="2B23CD3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H3C S5500</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4020501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0171746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14:paraId="2C7E812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210235A252C148000531</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1F099E3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right w:val="single" w:color="auto" w:sz="4" w:space="0"/>
            </w:tcBorders>
            <w:vAlign w:val="center"/>
          </w:tcPr>
          <w:p w14:paraId="5777345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r w14:paraId="79B8D54B">
        <w:tblPrEx>
          <w:tblCellMar>
            <w:top w:w="0" w:type="dxa"/>
            <w:left w:w="108" w:type="dxa"/>
            <w:bottom w:w="0" w:type="dxa"/>
            <w:right w:w="108" w:type="dxa"/>
          </w:tblCellMar>
        </w:tblPrEx>
        <w:trPr>
          <w:trHeight w:val="484" w:hRule="atLeast"/>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14:paraId="075C2C1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59C6833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IBM存储</w:t>
            </w:r>
          </w:p>
        </w:tc>
        <w:tc>
          <w:tcPr>
            <w:tcW w:w="1889" w:type="dxa"/>
            <w:tcBorders>
              <w:top w:val="single" w:color="auto" w:sz="4" w:space="0"/>
              <w:left w:val="single" w:color="auto" w:sz="4" w:space="0"/>
              <w:bottom w:val="single" w:color="auto" w:sz="4" w:space="0"/>
              <w:right w:val="single" w:color="auto" w:sz="4" w:space="0"/>
            </w:tcBorders>
            <w:shd w:val="clear" w:color="auto" w:fill="auto"/>
            <w:vAlign w:val="center"/>
          </w:tcPr>
          <w:p w14:paraId="2BD832E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V3500</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25168F7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ECB872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人行机房</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14:paraId="117F55C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2071CU3</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41B0052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1年</w:t>
            </w:r>
          </w:p>
        </w:tc>
        <w:tc>
          <w:tcPr>
            <w:tcW w:w="1206" w:type="dxa"/>
            <w:vMerge w:val="continue"/>
            <w:tcBorders>
              <w:left w:val="single" w:color="auto" w:sz="4" w:space="0"/>
              <w:bottom w:val="single" w:color="auto" w:sz="4" w:space="0"/>
              <w:right w:val="single" w:color="auto" w:sz="4" w:space="0"/>
            </w:tcBorders>
            <w:vAlign w:val="center"/>
          </w:tcPr>
          <w:p w14:paraId="7C3ECB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000000"/>
                <w:kern w:val="0"/>
                <w:sz w:val="24"/>
                <w:szCs w:val="24"/>
              </w:rPr>
            </w:pPr>
          </w:p>
        </w:tc>
      </w:tr>
    </w:tbl>
    <w:p w14:paraId="2372FB42">
      <w:pPr>
        <w:pStyle w:val="8"/>
        <w:ind w:firstLine="0" w:firstLineChars="0"/>
        <w:rPr>
          <w:rFonts w:hint="eastAsia" w:ascii="宋体" w:hAnsi="宋体" w:eastAsia="宋体" w:cs="宋体"/>
          <w:sz w:val="24"/>
          <w:szCs w:val="24"/>
          <w:lang w:val="en-US" w:eastAsia="zh-CN"/>
        </w:rPr>
      </w:pPr>
    </w:p>
    <w:p w14:paraId="047351F4">
      <w:pPr>
        <w:pStyle w:val="673"/>
        <w:numPr>
          <w:ilvl w:val="0"/>
          <w:numId w:val="0"/>
        </w:numPr>
        <w:spacing w:line="360" w:lineRule="auto"/>
        <w:ind w:firstLine="241" w:firstLineChars="1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服务总体要求</w:t>
      </w:r>
    </w:p>
    <w:p w14:paraId="0FC98545">
      <w:pPr>
        <w:snapToGrid w:val="0"/>
        <w:ind w:firstLine="480"/>
        <w:rPr>
          <w:rFonts w:hint="eastAsia" w:ascii="宋体" w:hAnsi="宋体" w:eastAsia="宋体" w:cs="宋体"/>
          <w:sz w:val="24"/>
          <w:szCs w:val="24"/>
        </w:rPr>
      </w:pPr>
      <w:r>
        <w:rPr>
          <w:rFonts w:hint="eastAsia" w:ascii="宋体" w:hAnsi="宋体" w:eastAsia="宋体" w:cs="宋体"/>
          <w:sz w:val="24"/>
          <w:szCs w:val="24"/>
        </w:rPr>
        <w:t>计算存储类基础设施日常运维管理工作主要对机房内的服务器、虚拟化资源池、数据存储及其网络、安装在上述设备上的操作系统和管理系统的巡检和日常管理处置，主要完成以下工作：</w:t>
      </w:r>
    </w:p>
    <w:p w14:paraId="3D5DA3BD">
      <w:pPr>
        <w:snapToGrid w:val="0"/>
        <w:ind w:firstLine="480"/>
        <w:rPr>
          <w:rFonts w:hint="eastAsia" w:ascii="宋体" w:hAnsi="宋体" w:eastAsia="宋体" w:cs="宋体"/>
          <w:sz w:val="24"/>
          <w:szCs w:val="24"/>
        </w:rPr>
      </w:pPr>
      <w:r>
        <w:rPr>
          <w:rFonts w:hint="eastAsia" w:ascii="宋体" w:hAnsi="宋体" w:eastAsia="宋体" w:cs="宋体"/>
          <w:sz w:val="24"/>
          <w:szCs w:val="24"/>
        </w:rPr>
        <w:t>（一）建立和维护计算存储类基础设施配置信息库，制定计算存储类基础设施日常运维管理流程。</w:t>
      </w:r>
    </w:p>
    <w:p w14:paraId="3AF43676">
      <w:pPr>
        <w:snapToGrid w:val="0"/>
        <w:ind w:firstLine="480"/>
        <w:rPr>
          <w:rFonts w:hint="eastAsia" w:ascii="宋体" w:hAnsi="宋体" w:eastAsia="宋体" w:cs="宋体"/>
          <w:sz w:val="24"/>
          <w:szCs w:val="24"/>
        </w:rPr>
      </w:pPr>
      <w:r>
        <w:rPr>
          <w:rFonts w:hint="eastAsia" w:ascii="宋体" w:hAnsi="宋体" w:eastAsia="宋体" w:cs="宋体"/>
          <w:sz w:val="24"/>
          <w:szCs w:val="24"/>
        </w:rPr>
        <w:t>（二）落实计算存储类基础设施日常监控工作，包括硬件状态监控、系统状态监控、性能指标监控等。</w:t>
      </w:r>
    </w:p>
    <w:p w14:paraId="3B62340C">
      <w:pPr>
        <w:snapToGrid w:val="0"/>
        <w:ind w:firstLine="480"/>
        <w:rPr>
          <w:rFonts w:hint="eastAsia" w:ascii="宋体" w:hAnsi="宋体" w:eastAsia="宋体" w:cs="宋体"/>
          <w:sz w:val="24"/>
          <w:szCs w:val="24"/>
        </w:rPr>
      </w:pPr>
      <w:r>
        <w:rPr>
          <w:rFonts w:hint="eastAsia" w:ascii="宋体" w:hAnsi="宋体" w:eastAsia="宋体" w:cs="宋体"/>
          <w:sz w:val="24"/>
          <w:szCs w:val="24"/>
        </w:rPr>
        <w:t>（三）开展计算存储类基础设施健康检查工作，包括检查硬件设备状况、检查资源配置情况、检查系统运行情况等。</w:t>
      </w:r>
    </w:p>
    <w:p w14:paraId="5A2FB58E">
      <w:pPr>
        <w:snapToGrid w:val="0"/>
        <w:ind w:firstLine="480"/>
        <w:rPr>
          <w:rFonts w:hint="eastAsia" w:ascii="宋体" w:hAnsi="宋体" w:eastAsia="宋体" w:cs="宋体"/>
          <w:sz w:val="24"/>
          <w:szCs w:val="24"/>
        </w:rPr>
      </w:pPr>
      <w:r>
        <w:rPr>
          <w:rFonts w:hint="eastAsia" w:ascii="宋体" w:hAnsi="宋体" w:eastAsia="宋体" w:cs="宋体"/>
          <w:sz w:val="24"/>
          <w:szCs w:val="24"/>
        </w:rPr>
        <w:t>（四）执行计算存储类基础设施例行维护工作，包括定期备份系统数据、定期核对配置信息、定期维护硬件设备等。</w:t>
      </w:r>
    </w:p>
    <w:p w14:paraId="2377BF4C">
      <w:pPr>
        <w:snapToGrid w:val="0"/>
        <w:ind w:firstLine="480"/>
        <w:rPr>
          <w:rFonts w:hint="eastAsia" w:ascii="宋体" w:hAnsi="宋体" w:eastAsia="宋体" w:cs="宋体"/>
          <w:sz w:val="24"/>
          <w:szCs w:val="24"/>
        </w:rPr>
      </w:pPr>
      <w:r>
        <w:rPr>
          <w:rFonts w:hint="eastAsia" w:ascii="宋体" w:hAnsi="宋体" w:eastAsia="宋体" w:cs="宋体"/>
          <w:sz w:val="24"/>
          <w:szCs w:val="24"/>
        </w:rPr>
        <w:t>（五）做好计算存储类基础设施故障处理工作，包括排查故障隐患、处理硬件故障、处理软件故障等。</w:t>
      </w:r>
    </w:p>
    <w:p w14:paraId="7D1E0810">
      <w:pPr>
        <w:snapToGrid w:val="0"/>
        <w:ind w:firstLine="480"/>
        <w:rPr>
          <w:rFonts w:hint="eastAsia" w:ascii="宋体" w:hAnsi="宋体" w:eastAsia="宋体" w:cs="宋体"/>
          <w:sz w:val="24"/>
          <w:szCs w:val="24"/>
        </w:rPr>
      </w:pPr>
      <w:r>
        <w:rPr>
          <w:rFonts w:hint="eastAsia" w:ascii="宋体" w:hAnsi="宋体" w:eastAsia="宋体" w:cs="宋体"/>
          <w:sz w:val="24"/>
          <w:szCs w:val="24"/>
        </w:rPr>
        <w:t>（六）定期开展计算存储类基础设施运行情况分析，编制运行报告，提出资源配置需求及系统优化建议等。</w:t>
      </w:r>
    </w:p>
    <w:p w14:paraId="43711DAC">
      <w:pPr>
        <w:snapToGrid w:val="0"/>
        <w:ind w:firstLine="480"/>
        <w:rPr>
          <w:rFonts w:hint="eastAsia" w:ascii="宋体" w:hAnsi="宋体" w:eastAsia="宋体" w:cs="宋体"/>
          <w:sz w:val="24"/>
          <w:szCs w:val="24"/>
        </w:rPr>
      </w:pPr>
      <w:r>
        <w:rPr>
          <w:rFonts w:hint="eastAsia" w:ascii="宋体" w:hAnsi="宋体" w:eastAsia="宋体" w:cs="宋体"/>
          <w:sz w:val="24"/>
          <w:szCs w:val="24"/>
        </w:rPr>
        <w:t>（七）做好日常监控记录、故障处理记录、例行维护报告、健康检查报告等文档管理工作。</w:t>
      </w:r>
    </w:p>
    <w:p w14:paraId="44846448">
      <w:pPr>
        <w:snapToGrid w:val="0"/>
        <w:ind w:firstLine="480"/>
        <w:rPr>
          <w:rFonts w:hint="eastAsia" w:ascii="宋体" w:hAnsi="宋体" w:eastAsia="宋体" w:cs="宋体"/>
          <w:sz w:val="24"/>
          <w:szCs w:val="24"/>
        </w:rPr>
      </w:pPr>
      <w:r>
        <w:rPr>
          <w:rFonts w:hint="eastAsia" w:ascii="宋体" w:hAnsi="宋体" w:eastAsia="宋体" w:cs="宋体"/>
          <w:sz w:val="24"/>
          <w:szCs w:val="24"/>
        </w:rPr>
        <w:t>（八）按甲方方要求，参与完成相关系统运维的配合、支持和保障工作。</w:t>
      </w:r>
    </w:p>
    <w:p w14:paraId="02CB9D28">
      <w:pPr>
        <w:pStyle w:val="671"/>
        <w:numPr>
          <w:ilvl w:val="1"/>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需要完成的配置表如下：</w:t>
      </w:r>
    </w:p>
    <w:p w14:paraId="168A305E">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服务器基本信息表</w:t>
      </w:r>
    </w:p>
    <w:tbl>
      <w:tblPr>
        <w:tblStyle w:val="67"/>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2694"/>
        <w:gridCol w:w="4938"/>
      </w:tblGrid>
      <w:tr w14:paraId="7D21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1AD9E20A">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94" w:type="dxa"/>
          </w:tcPr>
          <w:p w14:paraId="2AB48487">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属性</w:t>
            </w:r>
          </w:p>
        </w:tc>
        <w:tc>
          <w:tcPr>
            <w:tcW w:w="4938" w:type="dxa"/>
          </w:tcPr>
          <w:p w14:paraId="5A019A15">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描述</w:t>
            </w:r>
          </w:p>
        </w:tc>
      </w:tr>
      <w:tr w14:paraId="0DC7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3C5791E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01</w:t>
            </w:r>
          </w:p>
        </w:tc>
        <w:tc>
          <w:tcPr>
            <w:tcW w:w="2694" w:type="dxa"/>
          </w:tcPr>
          <w:p w14:paraId="0D8507E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配置项编号</w:t>
            </w:r>
          </w:p>
        </w:tc>
        <w:tc>
          <w:tcPr>
            <w:tcW w:w="4938" w:type="dxa"/>
          </w:tcPr>
          <w:p w14:paraId="1F04611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配置项的唯一编号</w:t>
            </w:r>
          </w:p>
        </w:tc>
      </w:tr>
      <w:tr w14:paraId="1E2D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28C836C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02</w:t>
            </w:r>
          </w:p>
        </w:tc>
        <w:tc>
          <w:tcPr>
            <w:tcW w:w="2694" w:type="dxa"/>
          </w:tcPr>
          <w:p w14:paraId="1CC1A7A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服务器名称</w:t>
            </w:r>
          </w:p>
        </w:tc>
        <w:tc>
          <w:tcPr>
            <w:tcW w:w="4938" w:type="dxa"/>
          </w:tcPr>
          <w:p w14:paraId="4A1737C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自定义名称或财政厅规范要求</w:t>
            </w:r>
          </w:p>
        </w:tc>
      </w:tr>
      <w:tr w14:paraId="0942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535FBF1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03</w:t>
            </w:r>
          </w:p>
        </w:tc>
        <w:tc>
          <w:tcPr>
            <w:tcW w:w="2694" w:type="dxa"/>
          </w:tcPr>
          <w:p w14:paraId="4F1C1CB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序列号</w:t>
            </w:r>
          </w:p>
        </w:tc>
        <w:tc>
          <w:tcPr>
            <w:tcW w:w="4938" w:type="dxa"/>
          </w:tcPr>
          <w:p w14:paraId="68CF87A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物理设备的唯一标识</w:t>
            </w:r>
          </w:p>
        </w:tc>
      </w:tr>
      <w:tr w14:paraId="0078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254264D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04</w:t>
            </w:r>
          </w:p>
        </w:tc>
        <w:tc>
          <w:tcPr>
            <w:tcW w:w="2694" w:type="dxa"/>
          </w:tcPr>
          <w:p w14:paraId="5AFD10C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品牌型号</w:t>
            </w:r>
          </w:p>
        </w:tc>
        <w:tc>
          <w:tcPr>
            <w:tcW w:w="4938" w:type="dxa"/>
          </w:tcPr>
          <w:p w14:paraId="2CA4DDA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服务器品牌型号</w:t>
            </w:r>
          </w:p>
        </w:tc>
      </w:tr>
      <w:tr w14:paraId="069E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4F29F4F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05</w:t>
            </w:r>
          </w:p>
        </w:tc>
        <w:tc>
          <w:tcPr>
            <w:tcW w:w="2694" w:type="dxa"/>
          </w:tcPr>
          <w:p w14:paraId="3EDF117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CPU</w:t>
            </w:r>
          </w:p>
        </w:tc>
        <w:tc>
          <w:tcPr>
            <w:tcW w:w="4938" w:type="dxa"/>
          </w:tcPr>
          <w:p w14:paraId="3DD88DE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CPU型号、数量、频率</w:t>
            </w:r>
          </w:p>
        </w:tc>
      </w:tr>
      <w:tr w14:paraId="0D39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55E5B25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06</w:t>
            </w:r>
          </w:p>
        </w:tc>
        <w:tc>
          <w:tcPr>
            <w:tcW w:w="2694" w:type="dxa"/>
          </w:tcPr>
          <w:p w14:paraId="69A257A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内存</w:t>
            </w:r>
          </w:p>
        </w:tc>
        <w:tc>
          <w:tcPr>
            <w:tcW w:w="4938" w:type="dxa"/>
          </w:tcPr>
          <w:p w14:paraId="1CAD584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内存容量（GB）、频率</w:t>
            </w:r>
          </w:p>
        </w:tc>
      </w:tr>
      <w:tr w14:paraId="5DCA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1DC5A96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07</w:t>
            </w:r>
          </w:p>
        </w:tc>
        <w:tc>
          <w:tcPr>
            <w:tcW w:w="2694" w:type="dxa"/>
          </w:tcPr>
          <w:p w14:paraId="196700B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硬盘</w:t>
            </w:r>
          </w:p>
        </w:tc>
        <w:tc>
          <w:tcPr>
            <w:tcW w:w="4938" w:type="dxa"/>
          </w:tcPr>
          <w:p w14:paraId="4ED1CAC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硬盘类型，如SAS，转速（K）、硬盘容量（GB）</w:t>
            </w:r>
          </w:p>
        </w:tc>
      </w:tr>
      <w:tr w14:paraId="0E61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6B13B4E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08</w:t>
            </w:r>
          </w:p>
        </w:tc>
        <w:tc>
          <w:tcPr>
            <w:tcW w:w="2694" w:type="dxa"/>
          </w:tcPr>
          <w:p w14:paraId="61E9F4B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操作系统</w:t>
            </w:r>
          </w:p>
        </w:tc>
        <w:tc>
          <w:tcPr>
            <w:tcW w:w="4938" w:type="dxa"/>
          </w:tcPr>
          <w:p w14:paraId="3025B3D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物理服务器操作系统信息</w:t>
            </w:r>
          </w:p>
        </w:tc>
      </w:tr>
      <w:tr w14:paraId="5CA1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1E48C00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09</w:t>
            </w:r>
          </w:p>
        </w:tc>
        <w:tc>
          <w:tcPr>
            <w:tcW w:w="2694" w:type="dxa"/>
          </w:tcPr>
          <w:p w14:paraId="5B33681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机房编号</w:t>
            </w:r>
          </w:p>
        </w:tc>
        <w:tc>
          <w:tcPr>
            <w:tcW w:w="4938" w:type="dxa"/>
          </w:tcPr>
          <w:p w14:paraId="7556FE1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机柜所在机房编号</w:t>
            </w:r>
          </w:p>
        </w:tc>
      </w:tr>
      <w:tr w14:paraId="3D2D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246694F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10</w:t>
            </w:r>
          </w:p>
        </w:tc>
        <w:tc>
          <w:tcPr>
            <w:tcW w:w="2694" w:type="dxa"/>
          </w:tcPr>
          <w:p w14:paraId="4F4729E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机柜位置</w:t>
            </w:r>
          </w:p>
        </w:tc>
        <w:tc>
          <w:tcPr>
            <w:tcW w:w="4938" w:type="dxa"/>
          </w:tcPr>
          <w:p w14:paraId="0748C9F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每一个机柜编号都有唯一的编号</w:t>
            </w:r>
          </w:p>
        </w:tc>
      </w:tr>
      <w:tr w14:paraId="17C5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1933E49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11</w:t>
            </w:r>
          </w:p>
        </w:tc>
        <w:tc>
          <w:tcPr>
            <w:tcW w:w="2694" w:type="dxa"/>
          </w:tcPr>
          <w:p w14:paraId="030E6E4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起始U位</w:t>
            </w:r>
          </w:p>
        </w:tc>
        <w:tc>
          <w:tcPr>
            <w:tcW w:w="4938" w:type="dxa"/>
          </w:tcPr>
          <w:p w14:paraId="6D59315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物理设备所在机柜U位，最小值1，最大42</w:t>
            </w:r>
          </w:p>
        </w:tc>
      </w:tr>
      <w:tr w14:paraId="4D1E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009D7E7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12</w:t>
            </w:r>
          </w:p>
        </w:tc>
        <w:tc>
          <w:tcPr>
            <w:tcW w:w="2694" w:type="dxa"/>
          </w:tcPr>
          <w:p w14:paraId="0E390DF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结束U位</w:t>
            </w:r>
          </w:p>
        </w:tc>
        <w:tc>
          <w:tcPr>
            <w:tcW w:w="4938" w:type="dxa"/>
          </w:tcPr>
          <w:p w14:paraId="062105D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物理设备所在机柜U位，最小值1，最大42</w:t>
            </w:r>
          </w:p>
        </w:tc>
      </w:tr>
      <w:tr w14:paraId="78EF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0E7A836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13</w:t>
            </w:r>
          </w:p>
        </w:tc>
        <w:tc>
          <w:tcPr>
            <w:tcW w:w="2694" w:type="dxa"/>
          </w:tcPr>
          <w:p w14:paraId="62ACA6F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虚拟化资源池</w:t>
            </w:r>
          </w:p>
        </w:tc>
        <w:tc>
          <w:tcPr>
            <w:tcW w:w="4938" w:type="dxa"/>
          </w:tcPr>
          <w:p w14:paraId="244DCE9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如做虚拟化使用，填写资源池名称</w:t>
            </w:r>
          </w:p>
        </w:tc>
      </w:tr>
      <w:tr w14:paraId="2FC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15A8835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14</w:t>
            </w:r>
          </w:p>
        </w:tc>
        <w:tc>
          <w:tcPr>
            <w:tcW w:w="2694" w:type="dxa"/>
          </w:tcPr>
          <w:p w14:paraId="6AB5D92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业务系统</w:t>
            </w:r>
          </w:p>
        </w:tc>
        <w:tc>
          <w:tcPr>
            <w:tcW w:w="4938" w:type="dxa"/>
          </w:tcPr>
          <w:p w14:paraId="6697B44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服务器部署的业务系统名称及用途。</w:t>
            </w:r>
          </w:p>
          <w:p w14:paraId="0F5F989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包括：XX系统中间件、XX系统数据库</w:t>
            </w:r>
          </w:p>
        </w:tc>
      </w:tr>
      <w:tr w14:paraId="1079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2EF1B42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15</w:t>
            </w:r>
          </w:p>
        </w:tc>
        <w:tc>
          <w:tcPr>
            <w:tcW w:w="2694" w:type="dxa"/>
          </w:tcPr>
          <w:p w14:paraId="00A01B5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IP地址</w:t>
            </w:r>
          </w:p>
        </w:tc>
        <w:tc>
          <w:tcPr>
            <w:tcW w:w="4938" w:type="dxa"/>
          </w:tcPr>
          <w:p w14:paraId="27D4381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业务服务IP地址和管理IP地址</w:t>
            </w:r>
          </w:p>
        </w:tc>
      </w:tr>
      <w:tr w14:paraId="7747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7A2828E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16</w:t>
            </w:r>
          </w:p>
        </w:tc>
        <w:tc>
          <w:tcPr>
            <w:tcW w:w="2694" w:type="dxa"/>
          </w:tcPr>
          <w:p w14:paraId="2F63991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网卡数量</w:t>
            </w:r>
          </w:p>
        </w:tc>
        <w:tc>
          <w:tcPr>
            <w:tcW w:w="4938" w:type="dxa"/>
          </w:tcPr>
          <w:p w14:paraId="003DC60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网卡数量</w:t>
            </w:r>
          </w:p>
        </w:tc>
      </w:tr>
      <w:tr w14:paraId="4839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4FFABB6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17</w:t>
            </w:r>
          </w:p>
        </w:tc>
        <w:tc>
          <w:tcPr>
            <w:tcW w:w="2694" w:type="dxa"/>
          </w:tcPr>
          <w:p w14:paraId="25777B9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HBA卡数量</w:t>
            </w:r>
          </w:p>
        </w:tc>
        <w:tc>
          <w:tcPr>
            <w:tcW w:w="4938" w:type="dxa"/>
          </w:tcPr>
          <w:p w14:paraId="11D2EAA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HBA卡数量</w:t>
            </w:r>
          </w:p>
        </w:tc>
      </w:tr>
      <w:tr w14:paraId="43D6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5068262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18</w:t>
            </w:r>
          </w:p>
        </w:tc>
        <w:tc>
          <w:tcPr>
            <w:tcW w:w="2694" w:type="dxa"/>
          </w:tcPr>
          <w:p w14:paraId="4F78913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存储空间</w:t>
            </w:r>
          </w:p>
        </w:tc>
        <w:tc>
          <w:tcPr>
            <w:tcW w:w="4938" w:type="dxa"/>
          </w:tcPr>
          <w:p w14:paraId="15D576F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挂载的存储空间</w:t>
            </w:r>
          </w:p>
        </w:tc>
      </w:tr>
      <w:tr w14:paraId="114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7456E0A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19</w:t>
            </w:r>
          </w:p>
        </w:tc>
        <w:tc>
          <w:tcPr>
            <w:tcW w:w="2694" w:type="dxa"/>
          </w:tcPr>
          <w:p w14:paraId="31E5EAD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维保信息</w:t>
            </w:r>
          </w:p>
        </w:tc>
        <w:tc>
          <w:tcPr>
            <w:tcW w:w="4938" w:type="dxa"/>
          </w:tcPr>
          <w:p w14:paraId="422C819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维保厂商，维保截止日期</w:t>
            </w:r>
          </w:p>
        </w:tc>
      </w:tr>
      <w:tr w14:paraId="6BB3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 w:type="dxa"/>
          </w:tcPr>
          <w:p w14:paraId="67268ED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20</w:t>
            </w:r>
          </w:p>
        </w:tc>
        <w:tc>
          <w:tcPr>
            <w:tcW w:w="2694" w:type="dxa"/>
          </w:tcPr>
          <w:p w14:paraId="1017012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安装日期</w:t>
            </w:r>
          </w:p>
        </w:tc>
        <w:tc>
          <w:tcPr>
            <w:tcW w:w="4938" w:type="dxa"/>
          </w:tcPr>
          <w:p w14:paraId="5B993AA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设备安装加电日期</w:t>
            </w:r>
          </w:p>
        </w:tc>
      </w:tr>
    </w:tbl>
    <w:p w14:paraId="6CD363CF">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3.1.2</w:t>
      </w:r>
      <w:r>
        <w:rPr>
          <w:rFonts w:hint="eastAsia" w:ascii="宋体" w:hAnsi="宋体" w:eastAsia="宋体" w:cs="宋体"/>
          <w:sz w:val="24"/>
          <w:szCs w:val="24"/>
        </w:rPr>
        <w:t>虚拟机配置信息表</w:t>
      </w:r>
    </w:p>
    <w:tbl>
      <w:tblPr>
        <w:tblStyle w:val="67"/>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496"/>
        <w:gridCol w:w="4753"/>
      </w:tblGrid>
      <w:tr w14:paraId="374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45C7B6C6">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96" w:type="dxa"/>
          </w:tcPr>
          <w:p w14:paraId="54E333A2">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属性</w:t>
            </w:r>
          </w:p>
        </w:tc>
        <w:tc>
          <w:tcPr>
            <w:tcW w:w="4753" w:type="dxa"/>
          </w:tcPr>
          <w:p w14:paraId="50BE0B96">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描述</w:t>
            </w:r>
          </w:p>
        </w:tc>
      </w:tr>
      <w:tr w14:paraId="794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3FF117E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01</w:t>
            </w:r>
          </w:p>
        </w:tc>
        <w:tc>
          <w:tcPr>
            <w:tcW w:w="2496" w:type="dxa"/>
          </w:tcPr>
          <w:p w14:paraId="158E30B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配置项编号</w:t>
            </w:r>
          </w:p>
        </w:tc>
        <w:tc>
          <w:tcPr>
            <w:tcW w:w="4753" w:type="dxa"/>
          </w:tcPr>
          <w:p w14:paraId="4911E82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配置项的唯一编号</w:t>
            </w:r>
          </w:p>
        </w:tc>
      </w:tr>
      <w:tr w14:paraId="3E7C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3DAE72C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02</w:t>
            </w:r>
          </w:p>
        </w:tc>
        <w:tc>
          <w:tcPr>
            <w:tcW w:w="2496" w:type="dxa"/>
          </w:tcPr>
          <w:p w14:paraId="7C219B1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虚拟机名称</w:t>
            </w:r>
          </w:p>
        </w:tc>
        <w:tc>
          <w:tcPr>
            <w:tcW w:w="4753" w:type="dxa"/>
          </w:tcPr>
          <w:p w14:paraId="43A757E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自定义名称或参照财政厅规范要求</w:t>
            </w:r>
          </w:p>
        </w:tc>
      </w:tr>
      <w:tr w14:paraId="3D01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6B5864D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03</w:t>
            </w:r>
          </w:p>
        </w:tc>
        <w:tc>
          <w:tcPr>
            <w:tcW w:w="2496" w:type="dxa"/>
          </w:tcPr>
          <w:p w14:paraId="6FB12B0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资源池</w:t>
            </w:r>
          </w:p>
        </w:tc>
        <w:tc>
          <w:tcPr>
            <w:tcW w:w="4753" w:type="dxa"/>
          </w:tcPr>
          <w:p w14:paraId="181946C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虚拟机所在资源池名称</w:t>
            </w:r>
          </w:p>
        </w:tc>
      </w:tr>
      <w:tr w14:paraId="2289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27177EE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04</w:t>
            </w:r>
          </w:p>
        </w:tc>
        <w:tc>
          <w:tcPr>
            <w:tcW w:w="2496" w:type="dxa"/>
          </w:tcPr>
          <w:p w14:paraId="2305EC3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CPU</w:t>
            </w:r>
          </w:p>
        </w:tc>
        <w:tc>
          <w:tcPr>
            <w:tcW w:w="4753" w:type="dxa"/>
          </w:tcPr>
          <w:p w14:paraId="075891B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CPU型号、数量、频率</w:t>
            </w:r>
          </w:p>
        </w:tc>
      </w:tr>
      <w:tr w14:paraId="5839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3B7083C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05</w:t>
            </w:r>
          </w:p>
        </w:tc>
        <w:tc>
          <w:tcPr>
            <w:tcW w:w="2496" w:type="dxa"/>
          </w:tcPr>
          <w:p w14:paraId="50D1DC1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内存</w:t>
            </w:r>
          </w:p>
        </w:tc>
        <w:tc>
          <w:tcPr>
            <w:tcW w:w="4753" w:type="dxa"/>
          </w:tcPr>
          <w:p w14:paraId="793D85A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内存容量（GB）、频率</w:t>
            </w:r>
          </w:p>
        </w:tc>
      </w:tr>
      <w:tr w14:paraId="0F0B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023FA48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06</w:t>
            </w:r>
          </w:p>
        </w:tc>
        <w:tc>
          <w:tcPr>
            <w:tcW w:w="2496" w:type="dxa"/>
          </w:tcPr>
          <w:p w14:paraId="1B850E3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硬盘</w:t>
            </w:r>
          </w:p>
        </w:tc>
        <w:tc>
          <w:tcPr>
            <w:tcW w:w="4753" w:type="dxa"/>
          </w:tcPr>
          <w:p w14:paraId="192C0C2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硬盘类型，如SAS，转速（K）、硬盘容量（GB）</w:t>
            </w:r>
          </w:p>
        </w:tc>
      </w:tr>
      <w:tr w14:paraId="6EB8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790756C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07</w:t>
            </w:r>
          </w:p>
        </w:tc>
        <w:tc>
          <w:tcPr>
            <w:tcW w:w="2496" w:type="dxa"/>
          </w:tcPr>
          <w:p w14:paraId="373DA5B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操作系统</w:t>
            </w:r>
          </w:p>
        </w:tc>
        <w:tc>
          <w:tcPr>
            <w:tcW w:w="4753" w:type="dxa"/>
          </w:tcPr>
          <w:p w14:paraId="5828659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虚拟机操作系统信息</w:t>
            </w:r>
          </w:p>
        </w:tc>
      </w:tr>
      <w:tr w14:paraId="7B3C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1B94F85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08</w:t>
            </w:r>
          </w:p>
        </w:tc>
        <w:tc>
          <w:tcPr>
            <w:tcW w:w="2496" w:type="dxa"/>
          </w:tcPr>
          <w:p w14:paraId="6C9958D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业务系统</w:t>
            </w:r>
          </w:p>
        </w:tc>
        <w:tc>
          <w:tcPr>
            <w:tcW w:w="4753" w:type="dxa"/>
          </w:tcPr>
          <w:p w14:paraId="47397C0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虚拟机部署的业务系统名称及用途。</w:t>
            </w:r>
          </w:p>
          <w:p w14:paraId="7CC1AB2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包括XX系统中间件、XX系统数据库</w:t>
            </w:r>
          </w:p>
        </w:tc>
      </w:tr>
      <w:tr w14:paraId="3482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9" w:type="dxa"/>
          </w:tcPr>
          <w:p w14:paraId="77984B5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09</w:t>
            </w:r>
          </w:p>
        </w:tc>
        <w:tc>
          <w:tcPr>
            <w:tcW w:w="2496" w:type="dxa"/>
          </w:tcPr>
          <w:p w14:paraId="417F348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IP地址</w:t>
            </w:r>
          </w:p>
        </w:tc>
        <w:tc>
          <w:tcPr>
            <w:tcW w:w="4753" w:type="dxa"/>
          </w:tcPr>
          <w:p w14:paraId="6D5DB8E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虚拟机的IP地址</w:t>
            </w:r>
          </w:p>
        </w:tc>
      </w:tr>
    </w:tbl>
    <w:p w14:paraId="33674BBD">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3.1.3</w:t>
      </w:r>
      <w:r>
        <w:rPr>
          <w:rFonts w:hint="eastAsia" w:ascii="宋体" w:hAnsi="宋体" w:eastAsia="宋体" w:cs="宋体"/>
          <w:sz w:val="24"/>
          <w:szCs w:val="24"/>
        </w:rPr>
        <w:t>操作系统用户信息表</w:t>
      </w:r>
    </w:p>
    <w:tbl>
      <w:tblPr>
        <w:tblStyle w:val="6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868"/>
        <w:gridCol w:w="4694"/>
      </w:tblGrid>
      <w:tr w14:paraId="6D0A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tcPr>
          <w:p w14:paraId="7670027B">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868" w:type="dxa"/>
          </w:tcPr>
          <w:p w14:paraId="259F968D">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属性</w:t>
            </w:r>
          </w:p>
        </w:tc>
        <w:tc>
          <w:tcPr>
            <w:tcW w:w="4694" w:type="dxa"/>
          </w:tcPr>
          <w:p w14:paraId="4555FAF4">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描述</w:t>
            </w:r>
          </w:p>
        </w:tc>
      </w:tr>
      <w:tr w14:paraId="575D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tcPr>
          <w:p w14:paraId="5A812BA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01</w:t>
            </w:r>
          </w:p>
        </w:tc>
        <w:tc>
          <w:tcPr>
            <w:tcW w:w="2868" w:type="dxa"/>
          </w:tcPr>
          <w:p w14:paraId="24BE3F3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用户所属服务器的名称</w:t>
            </w:r>
          </w:p>
        </w:tc>
        <w:tc>
          <w:tcPr>
            <w:tcW w:w="4694" w:type="dxa"/>
          </w:tcPr>
          <w:p w14:paraId="1935D98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用户所在的服务器或虚拟机的名称</w:t>
            </w:r>
          </w:p>
        </w:tc>
      </w:tr>
      <w:tr w14:paraId="504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tcPr>
          <w:p w14:paraId="6E59409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02</w:t>
            </w:r>
          </w:p>
        </w:tc>
        <w:tc>
          <w:tcPr>
            <w:tcW w:w="2868" w:type="dxa"/>
          </w:tcPr>
          <w:p w14:paraId="478FD51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用户名</w:t>
            </w:r>
          </w:p>
        </w:tc>
        <w:tc>
          <w:tcPr>
            <w:tcW w:w="4694" w:type="dxa"/>
          </w:tcPr>
          <w:p w14:paraId="2D23771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用户名称</w:t>
            </w:r>
          </w:p>
        </w:tc>
      </w:tr>
      <w:tr w14:paraId="72A9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tcPr>
          <w:p w14:paraId="13124EA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03</w:t>
            </w:r>
          </w:p>
        </w:tc>
        <w:tc>
          <w:tcPr>
            <w:tcW w:w="2868" w:type="dxa"/>
          </w:tcPr>
          <w:p w14:paraId="5BE4841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用户描述</w:t>
            </w:r>
          </w:p>
        </w:tc>
        <w:tc>
          <w:tcPr>
            <w:tcW w:w="4694" w:type="dxa"/>
          </w:tcPr>
          <w:p w14:paraId="36EC58E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用户的具体用途。</w:t>
            </w:r>
          </w:p>
          <w:p w14:paraId="4DE222F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例如管理员、应用系统账户、监控账户</w:t>
            </w:r>
          </w:p>
        </w:tc>
      </w:tr>
      <w:tr w14:paraId="4EF8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tcPr>
          <w:p w14:paraId="4AD633E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04</w:t>
            </w:r>
          </w:p>
        </w:tc>
        <w:tc>
          <w:tcPr>
            <w:tcW w:w="2868" w:type="dxa"/>
          </w:tcPr>
          <w:p w14:paraId="34E1D11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责任人</w:t>
            </w:r>
          </w:p>
        </w:tc>
        <w:tc>
          <w:tcPr>
            <w:tcW w:w="4694" w:type="dxa"/>
          </w:tcPr>
          <w:p w14:paraId="69D1A1C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用户名对应的实际管理人</w:t>
            </w:r>
          </w:p>
        </w:tc>
      </w:tr>
    </w:tbl>
    <w:p w14:paraId="17BE3ECC">
      <w:pPr>
        <w:pStyle w:val="681"/>
        <w:numPr>
          <w:ilvl w:val="2"/>
          <w:numId w:val="0"/>
        </w:numPr>
        <w:spacing w:line="360" w:lineRule="auto"/>
        <w:outlineLvl w:val="9"/>
        <w:rPr>
          <w:rFonts w:hint="eastAsia" w:ascii="宋体" w:hAnsi="宋体" w:eastAsia="宋体" w:cs="宋体"/>
          <w:b/>
          <w:bCs/>
          <w:sz w:val="24"/>
          <w:szCs w:val="24"/>
        </w:rPr>
      </w:pPr>
      <w:r>
        <w:rPr>
          <w:rFonts w:hint="eastAsia" w:ascii="宋体" w:hAnsi="宋体" w:eastAsia="宋体" w:cs="宋体"/>
          <w:sz w:val="24"/>
          <w:szCs w:val="24"/>
          <w:lang w:val="en-US" w:eastAsia="zh-CN"/>
        </w:rPr>
        <w:t>3.1.4</w:t>
      </w:r>
      <w:r>
        <w:rPr>
          <w:rFonts w:hint="eastAsia" w:ascii="宋体" w:hAnsi="宋体" w:eastAsia="宋体" w:cs="宋体"/>
          <w:sz w:val="24"/>
          <w:szCs w:val="24"/>
        </w:rPr>
        <w:t>虚拟化资源池配置信息表</w:t>
      </w:r>
    </w:p>
    <w:tbl>
      <w:tblPr>
        <w:tblStyle w:val="67"/>
        <w:tblW w:w="849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265"/>
        <w:gridCol w:w="5038"/>
      </w:tblGrid>
      <w:tr w14:paraId="1B36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96" w:type="dxa"/>
          </w:tcPr>
          <w:p w14:paraId="402174FB">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65" w:type="dxa"/>
          </w:tcPr>
          <w:p w14:paraId="59B70CB3">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属性</w:t>
            </w:r>
          </w:p>
        </w:tc>
        <w:tc>
          <w:tcPr>
            <w:tcW w:w="5038" w:type="dxa"/>
          </w:tcPr>
          <w:p w14:paraId="6F40FF1E">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描述</w:t>
            </w:r>
          </w:p>
        </w:tc>
      </w:tr>
      <w:tr w14:paraId="6EE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96" w:type="dxa"/>
            <w:vAlign w:val="center"/>
          </w:tcPr>
          <w:p w14:paraId="56AA236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01</w:t>
            </w:r>
          </w:p>
        </w:tc>
        <w:tc>
          <w:tcPr>
            <w:tcW w:w="2265" w:type="dxa"/>
          </w:tcPr>
          <w:p w14:paraId="466A63A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配置项编号</w:t>
            </w:r>
          </w:p>
        </w:tc>
        <w:tc>
          <w:tcPr>
            <w:tcW w:w="5038" w:type="dxa"/>
          </w:tcPr>
          <w:p w14:paraId="7782423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配置项的唯一编号</w:t>
            </w:r>
          </w:p>
        </w:tc>
      </w:tr>
      <w:tr w14:paraId="6D38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96" w:type="dxa"/>
            <w:vAlign w:val="center"/>
          </w:tcPr>
          <w:p w14:paraId="07BE80D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02</w:t>
            </w:r>
          </w:p>
        </w:tc>
        <w:tc>
          <w:tcPr>
            <w:tcW w:w="2265" w:type="dxa"/>
          </w:tcPr>
          <w:p w14:paraId="7C65EAF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资源池名称</w:t>
            </w:r>
          </w:p>
        </w:tc>
        <w:tc>
          <w:tcPr>
            <w:tcW w:w="5038" w:type="dxa"/>
          </w:tcPr>
          <w:p w14:paraId="47B7D55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虚拟化池名称</w:t>
            </w:r>
          </w:p>
        </w:tc>
      </w:tr>
      <w:tr w14:paraId="384D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96" w:type="dxa"/>
            <w:vAlign w:val="center"/>
          </w:tcPr>
          <w:p w14:paraId="295860A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03</w:t>
            </w:r>
          </w:p>
        </w:tc>
        <w:tc>
          <w:tcPr>
            <w:tcW w:w="2265" w:type="dxa"/>
          </w:tcPr>
          <w:p w14:paraId="0A96B89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机器数量</w:t>
            </w:r>
          </w:p>
        </w:tc>
        <w:tc>
          <w:tcPr>
            <w:tcW w:w="5038" w:type="dxa"/>
          </w:tcPr>
          <w:p w14:paraId="107C4BC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池中物理机数量</w:t>
            </w:r>
          </w:p>
        </w:tc>
      </w:tr>
      <w:tr w14:paraId="16FD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96" w:type="dxa"/>
            <w:vAlign w:val="center"/>
          </w:tcPr>
          <w:p w14:paraId="7FE4C86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04</w:t>
            </w:r>
          </w:p>
        </w:tc>
        <w:tc>
          <w:tcPr>
            <w:tcW w:w="2265" w:type="dxa"/>
          </w:tcPr>
          <w:p w14:paraId="7476AFD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虚拟化产品</w:t>
            </w:r>
          </w:p>
        </w:tc>
        <w:tc>
          <w:tcPr>
            <w:tcW w:w="5038" w:type="dxa"/>
          </w:tcPr>
          <w:p w14:paraId="31632ED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虚拟化池类型，如VMware</w:t>
            </w:r>
          </w:p>
        </w:tc>
      </w:tr>
      <w:tr w14:paraId="2B37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96" w:type="dxa"/>
            <w:vAlign w:val="center"/>
          </w:tcPr>
          <w:p w14:paraId="1C05722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05</w:t>
            </w:r>
          </w:p>
        </w:tc>
        <w:tc>
          <w:tcPr>
            <w:tcW w:w="2265" w:type="dxa"/>
          </w:tcPr>
          <w:p w14:paraId="4EC7007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HA</w:t>
            </w:r>
          </w:p>
        </w:tc>
        <w:tc>
          <w:tcPr>
            <w:tcW w:w="5038" w:type="dxa"/>
          </w:tcPr>
          <w:p w14:paraId="46368C8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是否配置HA</w:t>
            </w:r>
          </w:p>
        </w:tc>
      </w:tr>
      <w:tr w14:paraId="163D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96" w:type="dxa"/>
            <w:vAlign w:val="center"/>
          </w:tcPr>
          <w:p w14:paraId="456C9D9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06</w:t>
            </w:r>
          </w:p>
        </w:tc>
        <w:tc>
          <w:tcPr>
            <w:tcW w:w="2265" w:type="dxa"/>
          </w:tcPr>
          <w:p w14:paraId="647452B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存储空间</w:t>
            </w:r>
          </w:p>
        </w:tc>
        <w:tc>
          <w:tcPr>
            <w:tcW w:w="5038" w:type="dxa"/>
          </w:tcPr>
          <w:p w14:paraId="35A6C3E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虚拟化池挂载的存储设备及空间</w:t>
            </w:r>
          </w:p>
        </w:tc>
      </w:tr>
    </w:tbl>
    <w:p w14:paraId="156BCF53">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3.1.5</w:t>
      </w:r>
      <w:r>
        <w:rPr>
          <w:rFonts w:hint="eastAsia" w:ascii="宋体" w:hAnsi="宋体" w:eastAsia="宋体" w:cs="宋体"/>
          <w:sz w:val="24"/>
          <w:szCs w:val="24"/>
        </w:rPr>
        <w:t>磁盘阵列基本信息表</w:t>
      </w:r>
    </w:p>
    <w:tbl>
      <w:tblPr>
        <w:tblStyle w:val="67"/>
        <w:tblW w:w="837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82"/>
        <w:gridCol w:w="5953"/>
      </w:tblGrid>
      <w:tr w14:paraId="6C1A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5" w:type="dxa"/>
          </w:tcPr>
          <w:p w14:paraId="01202459">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82" w:type="dxa"/>
          </w:tcPr>
          <w:p w14:paraId="219CB45E">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属性</w:t>
            </w:r>
          </w:p>
        </w:tc>
        <w:tc>
          <w:tcPr>
            <w:tcW w:w="5953" w:type="dxa"/>
          </w:tcPr>
          <w:p w14:paraId="48F1DA6C">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描述</w:t>
            </w:r>
          </w:p>
        </w:tc>
      </w:tr>
      <w:tr w14:paraId="63FB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2DF99DE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01</w:t>
            </w:r>
          </w:p>
        </w:tc>
        <w:tc>
          <w:tcPr>
            <w:tcW w:w="1682" w:type="dxa"/>
          </w:tcPr>
          <w:p w14:paraId="483F7F6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配置项编号</w:t>
            </w:r>
          </w:p>
        </w:tc>
        <w:tc>
          <w:tcPr>
            <w:tcW w:w="5953" w:type="dxa"/>
          </w:tcPr>
          <w:p w14:paraId="27C7F8E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配置项的唯一编号</w:t>
            </w:r>
          </w:p>
        </w:tc>
      </w:tr>
      <w:tr w14:paraId="1103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6262636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02</w:t>
            </w:r>
          </w:p>
        </w:tc>
        <w:tc>
          <w:tcPr>
            <w:tcW w:w="1682" w:type="dxa"/>
          </w:tcPr>
          <w:p w14:paraId="199C696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磁盘阵列名称</w:t>
            </w:r>
          </w:p>
        </w:tc>
        <w:tc>
          <w:tcPr>
            <w:tcW w:w="5953" w:type="dxa"/>
          </w:tcPr>
          <w:p w14:paraId="1F4BA6E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自定义名称或参照财政厅规范要求</w:t>
            </w:r>
          </w:p>
        </w:tc>
      </w:tr>
      <w:tr w14:paraId="5A7D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1A472EC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03</w:t>
            </w:r>
          </w:p>
        </w:tc>
        <w:tc>
          <w:tcPr>
            <w:tcW w:w="1682" w:type="dxa"/>
          </w:tcPr>
          <w:p w14:paraId="1EBAAAB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序列号</w:t>
            </w:r>
          </w:p>
        </w:tc>
        <w:tc>
          <w:tcPr>
            <w:tcW w:w="5953" w:type="dxa"/>
          </w:tcPr>
          <w:p w14:paraId="30F24D8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物理设备的唯一标识</w:t>
            </w:r>
          </w:p>
        </w:tc>
      </w:tr>
      <w:tr w14:paraId="0637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7C74AD9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04</w:t>
            </w:r>
          </w:p>
        </w:tc>
        <w:tc>
          <w:tcPr>
            <w:tcW w:w="1682" w:type="dxa"/>
          </w:tcPr>
          <w:p w14:paraId="726A298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品牌类型</w:t>
            </w:r>
          </w:p>
        </w:tc>
        <w:tc>
          <w:tcPr>
            <w:tcW w:w="5953" w:type="dxa"/>
          </w:tcPr>
          <w:p w14:paraId="19565B9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品牌类型</w:t>
            </w:r>
          </w:p>
        </w:tc>
      </w:tr>
      <w:tr w14:paraId="24E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5078B8B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05</w:t>
            </w:r>
          </w:p>
        </w:tc>
        <w:tc>
          <w:tcPr>
            <w:tcW w:w="1682" w:type="dxa"/>
          </w:tcPr>
          <w:p w14:paraId="7F5375B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管理地址</w:t>
            </w:r>
          </w:p>
        </w:tc>
        <w:tc>
          <w:tcPr>
            <w:tcW w:w="5953" w:type="dxa"/>
          </w:tcPr>
          <w:p w14:paraId="43D325F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管理IP地址</w:t>
            </w:r>
          </w:p>
        </w:tc>
      </w:tr>
      <w:tr w14:paraId="769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3E6FF02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06</w:t>
            </w:r>
          </w:p>
        </w:tc>
        <w:tc>
          <w:tcPr>
            <w:tcW w:w="1682" w:type="dxa"/>
          </w:tcPr>
          <w:p w14:paraId="4C8DA94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容量</w:t>
            </w:r>
          </w:p>
        </w:tc>
        <w:tc>
          <w:tcPr>
            <w:tcW w:w="5953" w:type="dxa"/>
          </w:tcPr>
          <w:p w14:paraId="0E4DBAC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磁盘阵列容量</w:t>
            </w:r>
          </w:p>
        </w:tc>
      </w:tr>
      <w:tr w14:paraId="37DC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652582D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07</w:t>
            </w:r>
          </w:p>
        </w:tc>
        <w:tc>
          <w:tcPr>
            <w:tcW w:w="1682" w:type="dxa"/>
          </w:tcPr>
          <w:p w14:paraId="5D49193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机房编号</w:t>
            </w:r>
          </w:p>
        </w:tc>
        <w:tc>
          <w:tcPr>
            <w:tcW w:w="5953" w:type="dxa"/>
          </w:tcPr>
          <w:p w14:paraId="7DC28AD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机柜所在机房编号</w:t>
            </w:r>
          </w:p>
        </w:tc>
      </w:tr>
      <w:tr w14:paraId="497C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290E9B3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08</w:t>
            </w:r>
          </w:p>
        </w:tc>
        <w:tc>
          <w:tcPr>
            <w:tcW w:w="1682" w:type="dxa"/>
          </w:tcPr>
          <w:p w14:paraId="270578C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机柜位置</w:t>
            </w:r>
          </w:p>
        </w:tc>
        <w:tc>
          <w:tcPr>
            <w:tcW w:w="5953" w:type="dxa"/>
          </w:tcPr>
          <w:p w14:paraId="183FD30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每一个机柜编号都有唯一的编号</w:t>
            </w:r>
          </w:p>
        </w:tc>
      </w:tr>
      <w:tr w14:paraId="028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4022CE1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09</w:t>
            </w:r>
          </w:p>
        </w:tc>
        <w:tc>
          <w:tcPr>
            <w:tcW w:w="1682" w:type="dxa"/>
          </w:tcPr>
          <w:p w14:paraId="10AD4C6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维保信息</w:t>
            </w:r>
          </w:p>
        </w:tc>
        <w:tc>
          <w:tcPr>
            <w:tcW w:w="5953" w:type="dxa"/>
          </w:tcPr>
          <w:p w14:paraId="42A440F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维保厂商，维保截止日期</w:t>
            </w:r>
          </w:p>
        </w:tc>
      </w:tr>
      <w:tr w14:paraId="72F3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5E2C2E7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10</w:t>
            </w:r>
          </w:p>
        </w:tc>
        <w:tc>
          <w:tcPr>
            <w:tcW w:w="1682" w:type="dxa"/>
          </w:tcPr>
          <w:p w14:paraId="17A1D5B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安装日期</w:t>
            </w:r>
          </w:p>
        </w:tc>
        <w:tc>
          <w:tcPr>
            <w:tcW w:w="5953" w:type="dxa"/>
          </w:tcPr>
          <w:p w14:paraId="2455B83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设备安装加电日期</w:t>
            </w:r>
          </w:p>
        </w:tc>
      </w:tr>
    </w:tbl>
    <w:p w14:paraId="2A7C0985">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3.1.6 </w:t>
      </w:r>
      <w:r>
        <w:rPr>
          <w:rFonts w:hint="eastAsia" w:ascii="宋体" w:hAnsi="宋体" w:eastAsia="宋体" w:cs="宋体"/>
          <w:sz w:val="24"/>
          <w:szCs w:val="24"/>
        </w:rPr>
        <w:t>NAS设备基本信息表</w:t>
      </w:r>
    </w:p>
    <w:tbl>
      <w:tblPr>
        <w:tblStyle w:val="67"/>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85"/>
        <w:gridCol w:w="5320"/>
      </w:tblGrid>
      <w:tr w14:paraId="34E9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0F29C046">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85" w:type="dxa"/>
          </w:tcPr>
          <w:p w14:paraId="39B3A496">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属性</w:t>
            </w:r>
          </w:p>
        </w:tc>
        <w:tc>
          <w:tcPr>
            <w:tcW w:w="5320" w:type="dxa"/>
          </w:tcPr>
          <w:p w14:paraId="2A545F20">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描述</w:t>
            </w:r>
          </w:p>
        </w:tc>
      </w:tr>
      <w:tr w14:paraId="6EF0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49EC008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01</w:t>
            </w:r>
          </w:p>
        </w:tc>
        <w:tc>
          <w:tcPr>
            <w:tcW w:w="1785" w:type="dxa"/>
          </w:tcPr>
          <w:p w14:paraId="5559415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配置项编号</w:t>
            </w:r>
          </w:p>
        </w:tc>
        <w:tc>
          <w:tcPr>
            <w:tcW w:w="5320" w:type="dxa"/>
          </w:tcPr>
          <w:p w14:paraId="0B23EB4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配置项的唯一编号</w:t>
            </w:r>
          </w:p>
        </w:tc>
      </w:tr>
      <w:tr w14:paraId="08CF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646B6CA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02</w:t>
            </w:r>
          </w:p>
        </w:tc>
        <w:tc>
          <w:tcPr>
            <w:tcW w:w="1785" w:type="dxa"/>
          </w:tcPr>
          <w:p w14:paraId="1843CE7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NAS名称</w:t>
            </w:r>
          </w:p>
        </w:tc>
        <w:tc>
          <w:tcPr>
            <w:tcW w:w="5320" w:type="dxa"/>
          </w:tcPr>
          <w:p w14:paraId="7767293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自定义名称或参照财政厅规范要求</w:t>
            </w:r>
          </w:p>
        </w:tc>
      </w:tr>
      <w:tr w14:paraId="25BE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630B057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03</w:t>
            </w:r>
          </w:p>
        </w:tc>
        <w:tc>
          <w:tcPr>
            <w:tcW w:w="1785" w:type="dxa"/>
          </w:tcPr>
          <w:p w14:paraId="20552E1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序列号</w:t>
            </w:r>
          </w:p>
        </w:tc>
        <w:tc>
          <w:tcPr>
            <w:tcW w:w="5320" w:type="dxa"/>
          </w:tcPr>
          <w:p w14:paraId="1EE77BE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物理设备唯一标识</w:t>
            </w:r>
          </w:p>
        </w:tc>
      </w:tr>
      <w:tr w14:paraId="12A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60DB0CF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04</w:t>
            </w:r>
          </w:p>
        </w:tc>
        <w:tc>
          <w:tcPr>
            <w:tcW w:w="1785" w:type="dxa"/>
          </w:tcPr>
          <w:p w14:paraId="3616F64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品牌类型</w:t>
            </w:r>
          </w:p>
        </w:tc>
        <w:tc>
          <w:tcPr>
            <w:tcW w:w="5320" w:type="dxa"/>
          </w:tcPr>
          <w:p w14:paraId="4720446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品牌类型</w:t>
            </w:r>
          </w:p>
        </w:tc>
      </w:tr>
      <w:tr w14:paraId="299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1790FE9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05</w:t>
            </w:r>
          </w:p>
        </w:tc>
        <w:tc>
          <w:tcPr>
            <w:tcW w:w="1785" w:type="dxa"/>
          </w:tcPr>
          <w:p w14:paraId="4F38AE2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管理地址</w:t>
            </w:r>
          </w:p>
        </w:tc>
        <w:tc>
          <w:tcPr>
            <w:tcW w:w="5320" w:type="dxa"/>
          </w:tcPr>
          <w:p w14:paraId="5A1EADE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管理IP地址</w:t>
            </w:r>
          </w:p>
        </w:tc>
      </w:tr>
      <w:tr w14:paraId="4279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7101C38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06</w:t>
            </w:r>
          </w:p>
        </w:tc>
        <w:tc>
          <w:tcPr>
            <w:tcW w:w="1785" w:type="dxa"/>
          </w:tcPr>
          <w:p w14:paraId="733D8D6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服务地址</w:t>
            </w:r>
          </w:p>
        </w:tc>
        <w:tc>
          <w:tcPr>
            <w:tcW w:w="5320" w:type="dxa"/>
          </w:tcPr>
          <w:p w14:paraId="6260ADC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服务IP地址</w:t>
            </w:r>
          </w:p>
        </w:tc>
      </w:tr>
      <w:tr w14:paraId="51AE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361080C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07</w:t>
            </w:r>
          </w:p>
        </w:tc>
        <w:tc>
          <w:tcPr>
            <w:tcW w:w="1785" w:type="dxa"/>
          </w:tcPr>
          <w:p w14:paraId="58CAF50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容量</w:t>
            </w:r>
          </w:p>
        </w:tc>
        <w:tc>
          <w:tcPr>
            <w:tcW w:w="5320" w:type="dxa"/>
          </w:tcPr>
          <w:p w14:paraId="1A6924C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磁盘阵列容量</w:t>
            </w:r>
          </w:p>
        </w:tc>
      </w:tr>
      <w:tr w14:paraId="56E8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7B3620A0">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08</w:t>
            </w:r>
          </w:p>
        </w:tc>
        <w:tc>
          <w:tcPr>
            <w:tcW w:w="1785" w:type="dxa"/>
          </w:tcPr>
          <w:p w14:paraId="2E14105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机房编号</w:t>
            </w:r>
          </w:p>
        </w:tc>
        <w:tc>
          <w:tcPr>
            <w:tcW w:w="5320" w:type="dxa"/>
          </w:tcPr>
          <w:p w14:paraId="48E36D8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机柜所在机房编号</w:t>
            </w:r>
          </w:p>
        </w:tc>
      </w:tr>
      <w:tr w14:paraId="3076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73F7191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09</w:t>
            </w:r>
          </w:p>
        </w:tc>
        <w:tc>
          <w:tcPr>
            <w:tcW w:w="1785" w:type="dxa"/>
          </w:tcPr>
          <w:p w14:paraId="327D263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机柜位置</w:t>
            </w:r>
          </w:p>
        </w:tc>
        <w:tc>
          <w:tcPr>
            <w:tcW w:w="5320" w:type="dxa"/>
          </w:tcPr>
          <w:p w14:paraId="459A256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每一个机柜编号都有唯一的编号</w:t>
            </w:r>
          </w:p>
        </w:tc>
      </w:tr>
      <w:tr w14:paraId="2454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7785011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10</w:t>
            </w:r>
          </w:p>
        </w:tc>
        <w:tc>
          <w:tcPr>
            <w:tcW w:w="1785" w:type="dxa"/>
          </w:tcPr>
          <w:p w14:paraId="58C3859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维保信息</w:t>
            </w:r>
          </w:p>
        </w:tc>
        <w:tc>
          <w:tcPr>
            <w:tcW w:w="5320" w:type="dxa"/>
          </w:tcPr>
          <w:p w14:paraId="41473FF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维保厂商，维保截止日期</w:t>
            </w:r>
          </w:p>
        </w:tc>
      </w:tr>
      <w:tr w14:paraId="2A35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3" w:type="dxa"/>
          </w:tcPr>
          <w:p w14:paraId="3B16B19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11</w:t>
            </w:r>
          </w:p>
        </w:tc>
        <w:tc>
          <w:tcPr>
            <w:tcW w:w="1785" w:type="dxa"/>
          </w:tcPr>
          <w:p w14:paraId="5215422C">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安装日期</w:t>
            </w:r>
          </w:p>
        </w:tc>
        <w:tc>
          <w:tcPr>
            <w:tcW w:w="5320" w:type="dxa"/>
          </w:tcPr>
          <w:p w14:paraId="6372570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设备安装加电日期</w:t>
            </w:r>
          </w:p>
        </w:tc>
      </w:tr>
    </w:tbl>
    <w:p w14:paraId="0C225A16">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3.1.7</w:t>
      </w:r>
      <w:r>
        <w:rPr>
          <w:rFonts w:hint="eastAsia" w:ascii="宋体" w:hAnsi="宋体" w:eastAsia="宋体" w:cs="宋体"/>
          <w:sz w:val="24"/>
          <w:szCs w:val="24"/>
        </w:rPr>
        <w:t>SAN交换机基本信息表</w:t>
      </w:r>
    </w:p>
    <w:tbl>
      <w:tblPr>
        <w:tblStyle w:val="67"/>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952"/>
        <w:gridCol w:w="5263"/>
      </w:tblGrid>
      <w:tr w14:paraId="3791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419C53D7">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952" w:type="dxa"/>
          </w:tcPr>
          <w:p w14:paraId="4768C53E">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属性</w:t>
            </w:r>
          </w:p>
        </w:tc>
        <w:tc>
          <w:tcPr>
            <w:tcW w:w="5263" w:type="dxa"/>
          </w:tcPr>
          <w:p w14:paraId="7A57BCC1">
            <w:pPr>
              <w:keepNext w:val="0"/>
              <w:keepLines w:val="0"/>
              <w:suppressLineNumbers w:val="0"/>
              <w:spacing w:before="0" w:beforeAutospacing="0" w:after="0" w:afterAutospacing="0"/>
              <w:ind w:left="0" w:right="0" w:firstLine="0" w:firstLineChars="0"/>
              <w:rPr>
                <w:rFonts w:hint="eastAsia" w:ascii="宋体" w:hAnsi="宋体" w:eastAsia="宋体" w:cs="宋体"/>
                <w:b/>
                <w:bCs/>
                <w:sz w:val="24"/>
                <w:szCs w:val="24"/>
              </w:rPr>
            </w:pPr>
            <w:r>
              <w:rPr>
                <w:rFonts w:hint="eastAsia" w:ascii="宋体" w:hAnsi="宋体" w:eastAsia="宋体" w:cs="宋体"/>
                <w:b/>
                <w:bCs/>
                <w:sz w:val="24"/>
                <w:szCs w:val="24"/>
              </w:rPr>
              <w:t>描述</w:t>
            </w:r>
          </w:p>
        </w:tc>
      </w:tr>
      <w:tr w14:paraId="2A89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666FC8E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01</w:t>
            </w:r>
          </w:p>
        </w:tc>
        <w:tc>
          <w:tcPr>
            <w:tcW w:w="1952" w:type="dxa"/>
          </w:tcPr>
          <w:p w14:paraId="3E8A9DF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配置项编号</w:t>
            </w:r>
          </w:p>
        </w:tc>
        <w:tc>
          <w:tcPr>
            <w:tcW w:w="5263" w:type="dxa"/>
          </w:tcPr>
          <w:p w14:paraId="015CB4C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配置项的唯一编号</w:t>
            </w:r>
          </w:p>
        </w:tc>
      </w:tr>
      <w:tr w14:paraId="0FA6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12A17B1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02</w:t>
            </w:r>
          </w:p>
        </w:tc>
        <w:tc>
          <w:tcPr>
            <w:tcW w:w="1952" w:type="dxa"/>
          </w:tcPr>
          <w:p w14:paraId="1F631E3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SAN交换机名称</w:t>
            </w:r>
          </w:p>
        </w:tc>
        <w:tc>
          <w:tcPr>
            <w:tcW w:w="5263" w:type="dxa"/>
          </w:tcPr>
          <w:p w14:paraId="2BD187A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自定义名称或参照财政厅规范要求</w:t>
            </w:r>
          </w:p>
        </w:tc>
      </w:tr>
      <w:tr w14:paraId="6FBE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2DB4010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03</w:t>
            </w:r>
          </w:p>
        </w:tc>
        <w:tc>
          <w:tcPr>
            <w:tcW w:w="1952" w:type="dxa"/>
          </w:tcPr>
          <w:p w14:paraId="7AB740F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序列号</w:t>
            </w:r>
          </w:p>
        </w:tc>
        <w:tc>
          <w:tcPr>
            <w:tcW w:w="5263" w:type="dxa"/>
          </w:tcPr>
          <w:p w14:paraId="5949D50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物理设备的唯一标识</w:t>
            </w:r>
          </w:p>
        </w:tc>
      </w:tr>
      <w:tr w14:paraId="1E21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1C7B477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04</w:t>
            </w:r>
          </w:p>
        </w:tc>
        <w:tc>
          <w:tcPr>
            <w:tcW w:w="1952" w:type="dxa"/>
          </w:tcPr>
          <w:p w14:paraId="0546EE0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品牌类型</w:t>
            </w:r>
          </w:p>
        </w:tc>
        <w:tc>
          <w:tcPr>
            <w:tcW w:w="5263" w:type="dxa"/>
          </w:tcPr>
          <w:p w14:paraId="10801871">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品牌类型</w:t>
            </w:r>
          </w:p>
        </w:tc>
      </w:tr>
      <w:tr w14:paraId="1BE5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0CEEA0D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05</w:t>
            </w:r>
          </w:p>
        </w:tc>
        <w:tc>
          <w:tcPr>
            <w:tcW w:w="1952" w:type="dxa"/>
          </w:tcPr>
          <w:p w14:paraId="6492716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管理地址</w:t>
            </w:r>
          </w:p>
        </w:tc>
        <w:tc>
          <w:tcPr>
            <w:tcW w:w="5263" w:type="dxa"/>
          </w:tcPr>
          <w:p w14:paraId="6818FFE3">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管理IP地址</w:t>
            </w:r>
          </w:p>
        </w:tc>
      </w:tr>
      <w:tr w14:paraId="4C83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7C248B6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06</w:t>
            </w:r>
          </w:p>
        </w:tc>
        <w:tc>
          <w:tcPr>
            <w:tcW w:w="1952" w:type="dxa"/>
          </w:tcPr>
          <w:p w14:paraId="5555BD7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端口数量</w:t>
            </w:r>
          </w:p>
        </w:tc>
        <w:tc>
          <w:tcPr>
            <w:tcW w:w="5263" w:type="dxa"/>
          </w:tcPr>
          <w:p w14:paraId="4782C2A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SAN交换机端口数量</w:t>
            </w:r>
          </w:p>
        </w:tc>
      </w:tr>
      <w:tr w14:paraId="685F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4BC7F97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07</w:t>
            </w:r>
          </w:p>
        </w:tc>
        <w:tc>
          <w:tcPr>
            <w:tcW w:w="1952" w:type="dxa"/>
          </w:tcPr>
          <w:p w14:paraId="220DC7F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速率</w:t>
            </w:r>
          </w:p>
        </w:tc>
        <w:tc>
          <w:tcPr>
            <w:tcW w:w="5263" w:type="dxa"/>
          </w:tcPr>
          <w:p w14:paraId="4631D85A">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SAN交换机速率</w:t>
            </w:r>
          </w:p>
        </w:tc>
      </w:tr>
      <w:tr w14:paraId="2B45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3B4EF43D">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08</w:t>
            </w:r>
          </w:p>
        </w:tc>
        <w:tc>
          <w:tcPr>
            <w:tcW w:w="1952" w:type="dxa"/>
          </w:tcPr>
          <w:p w14:paraId="7AD1B9AE">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存储信息</w:t>
            </w:r>
          </w:p>
        </w:tc>
        <w:tc>
          <w:tcPr>
            <w:tcW w:w="5263" w:type="dxa"/>
          </w:tcPr>
          <w:p w14:paraId="60A9FB98">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连接存储设备信息</w:t>
            </w:r>
          </w:p>
        </w:tc>
      </w:tr>
      <w:tr w14:paraId="7CB1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03EBA6C6">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09</w:t>
            </w:r>
          </w:p>
        </w:tc>
        <w:tc>
          <w:tcPr>
            <w:tcW w:w="1952" w:type="dxa"/>
          </w:tcPr>
          <w:p w14:paraId="25F687E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机房编号</w:t>
            </w:r>
          </w:p>
        </w:tc>
        <w:tc>
          <w:tcPr>
            <w:tcW w:w="5263" w:type="dxa"/>
          </w:tcPr>
          <w:p w14:paraId="2769A29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机柜所在机房编号</w:t>
            </w:r>
          </w:p>
        </w:tc>
      </w:tr>
      <w:tr w14:paraId="760F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7DB0930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10</w:t>
            </w:r>
          </w:p>
        </w:tc>
        <w:tc>
          <w:tcPr>
            <w:tcW w:w="1952" w:type="dxa"/>
          </w:tcPr>
          <w:p w14:paraId="2F3A9889">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机柜位置</w:t>
            </w:r>
          </w:p>
        </w:tc>
        <w:tc>
          <w:tcPr>
            <w:tcW w:w="5263" w:type="dxa"/>
          </w:tcPr>
          <w:p w14:paraId="721F098F">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每一个机柜编号都有唯一的编号</w:t>
            </w:r>
          </w:p>
        </w:tc>
      </w:tr>
      <w:tr w14:paraId="3AD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3712123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11</w:t>
            </w:r>
          </w:p>
        </w:tc>
        <w:tc>
          <w:tcPr>
            <w:tcW w:w="1952" w:type="dxa"/>
          </w:tcPr>
          <w:p w14:paraId="12D7D234">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维保信息</w:t>
            </w:r>
          </w:p>
        </w:tc>
        <w:tc>
          <w:tcPr>
            <w:tcW w:w="5263" w:type="dxa"/>
          </w:tcPr>
          <w:p w14:paraId="53ED0A5B">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维保厂商，维保截止日期</w:t>
            </w:r>
          </w:p>
        </w:tc>
      </w:tr>
      <w:tr w14:paraId="33E1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tcPr>
          <w:p w14:paraId="26DF1B42">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12</w:t>
            </w:r>
          </w:p>
        </w:tc>
        <w:tc>
          <w:tcPr>
            <w:tcW w:w="1952" w:type="dxa"/>
          </w:tcPr>
          <w:p w14:paraId="45A9C855">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安装日期</w:t>
            </w:r>
          </w:p>
        </w:tc>
        <w:tc>
          <w:tcPr>
            <w:tcW w:w="5263" w:type="dxa"/>
          </w:tcPr>
          <w:p w14:paraId="4F3229F7">
            <w:pPr>
              <w:keepNext w:val="0"/>
              <w:keepLines w:val="0"/>
              <w:suppressLineNumbers w:val="0"/>
              <w:spacing w:before="0" w:beforeAutospacing="0" w:after="0" w:afterAutospacing="0"/>
              <w:ind w:left="0" w:right="0" w:firstLine="0" w:firstLineChars="0"/>
              <w:rPr>
                <w:rFonts w:hint="eastAsia" w:ascii="宋体" w:hAnsi="宋体" w:eastAsia="宋体" w:cs="宋体"/>
                <w:sz w:val="24"/>
                <w:szCs w:val="24"/>
              </w:rPr>
            </w:pPr>
            <w:r>
              <w:rPr>
                <w:rFonts w:hint="eastAsia" w:ascii="宋体" w:hAnsi="宋体" w:eastAsia="宋体" w:cs="宋体"/>
                <w:sz w:val="24"/>
                <w:szCs w:val="24"/>
              </w:rPr>
              <w:t>设备安装加电日期</w:t>
            </w:r>
          </w:p>
        </w:tc>
      </w:tr>
    </w:tbl>
    <w:p w14:paraId="2AE46F4E">
      <w:pPr>
        <w:pStyle w:val="671"/>
        <w:numPr>
          <w:ilvl w:val="1"/>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配置信息更新</w:t>
      </w:r>
    </w:p>
    <w:p w14:paraId="73A224D4">
      <w:pPr>
        <w:snapToGrid w:val="0"/>
        <w:ind w:firstLine="480"/>
        <w:rPr>
          <w:rFonts w:hint="eastAsia" w:ascii="宋体" w:hAnsi="宋体" w:eastAsia="宋体" w:cs="宋体"/>
          <w:sz w:val="24"/>
          <w:szCs w:val="24"/>
        </w:rPr>
      </w:pPr>
      <w:r>
        <w:rPr>
          <w:rFonts w:hint="eastAsia" w:ascii="宋体" w:hAnsi="宋体" w:eastAsia="宋体" w:cs="宋体"/>
          <w:sz w:val="24"/>
          <w:szCs w:val="24"/>
        </w:rPr>
        <w:t>在计算存储资源的日常运维管理中，如上述配置信息项发生了变化，必须在变更操作完成后，将变更信息及时更新到相应配置信息库中。涉及重大信息变更的，应制定变更计划、操作流程和回退方案，并在事前审批后进行实施，实施验证后，完成相应配置信息的更新。</w:t>
      </w:r>
    </w:p>
    <w:p w14:paraId="53EAE611">
      <w:pPr>
        <w:pStyle w:val="671"/>
        <w:numPr>
          <w:ilvl w:val="1"/>
          <w:numId w:val="0"/>
        </w:numPr>
        <w:spacing w:line="360" w:lineRule="auto"/>
        <w:outlineLvl w:val="9"/>
        <w:rPr>
          <w:rFonts w:hint="eastAsia" w:ascii="宋体" w:hAnsi="宋体" w:eastAsia="宋体" w:cs="宋体"/>
          <w:bCs/>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运行监控</w:t>
      </w:r>
    </w:p>
    <w:p w14:paraId="1F46F4A1">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服务器及虚拟化资源池运行监控</w:t>
      </w:r>
    </w:p>
    <w:p w14:paraId="002DAB78">
      <w:pPr>
        <w:adjustRightInd w:val="0"/>
        <w:snapToGrid w:val="0"/>
        <w:spacing w:before="163" w:beforeLines="50" w:after="163" w:afterLines="50" w:line="360" w:lineRule="auto"/>
        <w:ind w:left="0" w:firstLine="720" w:firstLineChars="300"/>
        <w:outlineLvl w:val="9"/>
        <w:rPr>
          <w:rFonts w:hint="eastAsia" w:ascii="宋体" w:hAnsi="宋体" w:eastAsia="宋体" w:cs="宋体"/>
          <w:sz w:val="24"/>
          <w:szCs w:val="24"/>
        </w:rPr>
      </w:pPr>
      <w:r>
        <w:rPr>
          <w:rFonts w:hint="eastAsia" w:ascii="宋体" w:hAnsi="宋体" w:eastAsia="宋体" w:cs="宋体"/>
          <w:sz w:val="24"/>
          <w:szCs w:val="24"/>
        </w:rPr>
        <w:t>每周监控</w:t>
      </w:r>
    </w:p>
    <w:p w14:paraId="2E0A5E2A">
      <w:pPr>
        <w:snapToGrid w:val="0"/>
        <w:ind w:firstLine="480"/>
        <w:rPr>
          <w:rFonts w:hint="eastAsia" w:ascii="宋体" w:hAnsi="宋体" w:eastAsia="宋体" w:cs="宋体"/>
          <w:sz w:val="24"/>
          <w:szCs w:val="24"/>
        </w:rPr>
      </w:pPr>
      <w:r>
        <w:rPr>
          <w:rFonts w:hint="eastAsia" w:ascii="宋体" w:hAnsi="宋体" w:eastAsia="宋体" w:cs="宋体"/>
          <w:sz w:val="24"/>
          <w:szCs w:val="24"/>
        </w:rPr>
        <w:t>监控内容：</w:t>
      </w:r>
    </w:p>
    <w:p w14:paraId="2B6B6A84">
      <w:pPr>
        <w:snapToGrid w:val="0"/>
        <w:ind w:firstLine="480"/>
        <w:rPr>
          <w:rFonts w:hint="eastAsia" w:ascii="宋体" w:hAnsi="宋体" w:eastAsia="宋体" w:cs="宋体"/>
          <w:sz w:val="24"/>
          <w:szCs w:val="24"/>
        </w:rPr>
      </w:pPr>
      <w:r>
        <w:rPr>
          <w:rFonts w:hint="eastAsia" w:ascii="宋体" w:hAnsi="宋体" w:eastAsia="宋体" w:cs="宋体"/>
          <w:sz w:val="24"/>
          <w:szCs w:val="24"/>
        </w:rPr>
        <w:t>1）.服务器运行状况。主要指通过观察服务器硬件指示灯等方式获取硬件运行状态。</w:t>
      </w:r>
    </w:p>
    <w:p w14:paraId="48343769">
      <w:pPr>
        <w:snapToGrid w:val="0"/>
        <w:ind w:firstLine="480"/>
        <w:rPr>
          <w:rFonts w:hint="eastAsia" w:ascii="宋体" w:hAnsi="宋体" w:eastAsia="宋体" w:cs="宋体"/>
          <w:sz w:val="24"/>
          <w:szCs w:val="24"/>
        </w:rPr>
      </w:pPr>
      <w:r>
        <w:rPr>
          <w:rFonts w:hint="eastAsia" w:ascii="宋体" w:hAnsi="宋体" w:eastAsia="宋体" w:cs="宋体"/>
          <w:sz w:val="24"/>
          <w:szCs w:val="24"/>
        </w:rPr>
        <w:t>2）.虚拟化平台运行状况。主要包括虚拟化软件的运行状态和虚拟化管理平台的运行状态等信息。</w:t>
      </w:r>
    </w:p>
    <w:p w14:paraId="2BCBD169">
      <w:pPr>
        <w:snapToGrid w:val="0"/>
        <w:ind w:firstLine="480"/>
        <w:rPr>
          <w:rFonts w:hint="eastAsia" w:ascii="宋体" w:hAnsi="宋体" w:eastAsia="宋体" w:cs="宋体"/>
          <w:sz w:val="24"/>
          <w:szCs w:val="24"/>
        </w:rPr>
      </w:pPr>
      <w:r>
        <w:rPr>
          <w:rFonts w:hint="eastAsia" w:ascii="宋体" w:hAnsi="宋体" w:eastAsia="宋体" w:cs="宋体"/>
          <w:sz w:val="24"/>
          <w:szCs w:val="24"/>
        </w:rPr>
        <w:t>3）.网络和存储连通状况。主要包括服务器与接入交换机之间网络连通状态和服务器与存储间的连通状态等信息。</w:t>
      </w:r>
    </w:p>
    <w:p w14:paraId="5A2B8EC2">
      <w:pPr>
        <w:adjustRightInd w:val="0"/>
        <w:snapToGrid w:val="0"/>
        <w:spacing w:before="163" w:beforeLines="50" w:after="163" w:afterLines="50" w:line="360" w:lineRule="auto"/>
        <w:ind w:firstLine="240" w:firstLineChars="100"/>
        <w:outlineLvl w:val="9"/>
        <w:rPr>
          <w:rFonts w:hint="eastAsia" w:ascii="宋体" w:hAnsi="宋体" w:eastAsia="宋体" w:cs="宋体"/>
          <w:sz w:val="24"/>
          <w:szCs w:val="24"/>
        </w:rPr>
      </w:pPr>
      <w:r>
        <w:rPr>
          <w:rFonts w:hint="eastAsia" w:ascii="宋体" w:hAnsi="宋体" w:eastAsia="宋体" w:cs="宋体"/>
          <w:sz w:val="24"/>
          <w:szCs w:val="24"/>
        </w:rPr>
        <w:t>每周监控</w:t>
      </w:r>
    </w:p>
    <w:p w14:paraId="7A4F3B9A">
      <w:pPr>
        <w:snapToGrid w:val="0"/>
        <w:ind w:firstLine="480"/>
        <w:rPr>
          <w:rFonts w:hint="eastAsia" w:ascii="宋体" w:hAnsi="宋体" w:eastAsia="宋体" w:cs="宋体"/>
          <w:sz w:val="24"/>
          <w:szCs w:val="24"/>
        </w:rPr>
      </w:pPr>
      <w:r>
        <w:rPr>
          <w:rFonts w:hint="eastAsia" w:ascii="宋体" w:hAnsi="宋体" w:eastAsia="宋体" w:cs="宋体"/>
          <w:sz w:val="24"/>
          <w:szCs w:val="24"/>
        </w:rPr>
        <w:t>监控内容：</w:t>
      </w:r>
    </w:p>
    <w:p w14:paraId="5F420A06">
      <w:pPr>
        <w:snapToGrid w:val="0"/>
        <w:ind w:firstLine="480"/>
        <w:rPr>
          <w:rFonts w:hint="eastAsia" w:ascii="宋体" w:hAnsi="宋体" w:eastAsia="宋体" w:cs="宋体"/>
          <w:sz w:val="24"/>
          <w:szCs w:val="24"/>
        </w:rPr>
      </w:pPr>
      <w:r>
        <w:rPr>
          <w:rFonts w:hint="eastAsia" w:ascii="宋体" w:hAnsi="宋体" w:eastAsia="宋体" w:cs="宋体"/>
          <w:sz w:val="24"/>
          <w:szCs w:val="24"/>
        </w:rPr>
        <w:t>1）.虚拟化平台的高可用状态。主要指配置了高可用的虚拟化资源池中高可用的状态信息。</w:t>
      </w:r>
    </w:p>
    <w:p w14:paraId="5EC26338">
      <w:pPr>
        <w:snapToGrid w:val="0"/>
        <w:ind w:firstLine="480"/>
        <w:rPr>
          <w:rFonts w:hint="eastAsia" w:ascii="宋体" w:hAnsi="宋体" w:eastAsia="宋体" w:cs="宋体"/>
          <w:sz w:val="24"/>
          <w:szCs w:val="24"/>
        </w:rPr>
      </w:pPr>
      <w:r>
        <w:rPr>
          <w:rFonts w:hint="eastAsia" w:ascii="宋体" w:hAnsi="宋体" w:eastAsia="宋体" w:cs="宋体"/>
          <w:sz w:val="24"/>
          <w:szCs w:val="24"/>
        </w:rPr>
        <w:t>2）.虚拟化平台的多路径状态。主要指虚拟化资源池中服务器与存储之间多路径运行状态等信息。</w:t>
      </w:r>
    </w:p>
    <w:p w14:paraId="5F9D20A2">
      <w:pPr>
        <w:snapToGrid w:val="0"/>
        <w:ind w:firstLine="480"/>
        <w:rPr>
          <w:rFonts w:hint="eastAsia" w:ascii="宋体" w:hAnsi="宋体" w:eastAsia="宋体" w:cs="宋体"/>
          <w:sz w:val="24"/>
          <w:szCs w:val="24"/>
        </w:rPr>
      </w:pPr>
      <w:r>
        <w:rPr>
          <w:rFonts w:hint="eastAsia" w:ascii="宋体" w:hAnsi="宋体" w:eastAsia="宋体" w:cs="宋体"/>
          <w:sz w:val="24"/>
          <w:szCs w:val="24"/>
        </w:rPr>
        <w:t>3）.虚拟化资源池的资源使用率。主要包括虚拟化资源池中CPU使用率、内存使用率、存储空间使用率等信息。</w:t>
      </w:r>
    </w:p>
    <w:p w14:paraId="425D69ED">
      <w:pPr>
        <w:adjustRightInd w:val="0"/>
        <w:snapToGrid w:val="0"/>
        <w:spacing w:before="163" w:beforeLines="50" w:after="163" w:afterLines="50" w:line="360" w:lineRule="auto"/>
        <w:ind w:firstLine="240" w:firstLineChars="100"/>
        <w:outlineLvl w:val="9"/>
        <w:rPr>
          <w:rFonts w:hint="eastAsia" w:ascii="宋体" w:hAnsi="宋体" w:eastAsia="宋体" w:cs="宋体"/>
          <w:sz w:val="24"/>
          <w:szCs w:val="24"/>
        </w:rPr>
      </w:pPr>
      <w:r>
        <w:rPr>
          <w:rFonts w:hint="eastAsia" w:ascii="宋体" w:hAnsi="宋体" w:eastAsia="宋体" w:cs="宋体"/>
          <w:sz w:val="24"/>
          <w:szCs w:val="24"/>
        </w:rPr>
        <w:t>每月监控</w:t>
      </w:r>
    </w:p>
    <w:p w14:paraId="75E408BE">
      <w:pPr>
        <w:snapToGrid w:val="0"/>
        <w:ind w:firstLine="480"/>
        <w:rPr>
          <w:rFonts w:hint="eastAsia" w:ascii="宋体" w:hAnsi="宋体" w:eastAsia="宋体" w:cs="宋体"/>
          <w:sz w:val="24"/>
          <w:szCs w:val="24"/>
        </w:rPr>
      </w:pPr>
      <w:r>
        <w:rPr>
          <w:rFonts w:hint="eastAsia" w:ascii="宋体" w:hAnsi="宋体" w:eastAsia="宋体" w:cs="宋体"/>
          <w:sz w:val="24"/>
          <w:szCs w:val="24"/>
        </w:rPr>
        <w:t>监控内容：</w:t>
      </w:r>
    </w:p>
    <w:p w14:paraId="12ED6FE1">
      <w:pPr>
        <w:snapToGrid w:val="0"/>
        <w:ind w:firstLine="480"/>
        <w:rPr>
          <w:rFonts w:hint="eastAsia" w:ascii="宋体" w:hAnsi="宋体" w:eastAsia="宋体" w:cs="宋体"/>
          <w:sz w:val="24"/>
          <w:szCs w:val="24"/>
        </w:rPr>
      </w:pPr>
      <w:r>
        <w:rPr>
          <w:rFonts w:hint="eastAsia" w:ascii="宋体" w:hAnsi="宋体" w:eastAsia="宋体" w:cs="宋体"/>
          <w:sz w:val="24"/>
          <w:szCs w:val="24"/>
        </w:rPr>
        <w:t>1）.本月内更换部件的设备。主要对本月内因故障更换部件的设备进行重点查看，监控其运行状态及运行稳定性。</w:t>
      </w:r>
    </w:p>
    <w:p w14:paraId="2CE86E4D">
      <w:pPr>
        <w:snapToGrid w:val="0"/>
        <w:ind w:firstLine="480"/>
        <w:rPr>
          <w:rFonts w:hint="eastAsia" w:ascii="宋体" w:hAnsi="宋体" w:eastAsia="宋体" w:cs="宋体"/>
          <w:sz w:val="24"/>
          <w:szCs w:val="24"/>
        </w:rPr>
      </w:pPr>
      <w:r>
        <w:rPr>
          <w:rFonts w:hint="eastAsia" w:ascii="宋体" w:hAnsi="宋体" w:eastAsia="宋体" w:cs="宋体"/>
          <w:sz w:val="24"/>
          <w:szCs w:val="24"/>
        </w:rPr>
        <w:t>2）.各文件系统节点使用率。</w:t>
      </w:r>
    </w:p>
    <w:p w14:paraId="76CEE2E6">
      <w:pPr>
        <w:pStyle w:val="681"/>
        <w:numPr>
          <w:ilvl w:val="2"/>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存储资源运行监控</w:t>
      </w:r>
    </w:p>
    <w:p w14:paraId="29FE5590">
      <w:pPr>
        <w:adjustRightInd w:val="0"/>
        <w:snapToGrid w:val="0"/>
        <w:spacing w:before="163" w:beforeLines="50" w:after="163" w:afterLines="50" w:line="360" w:lineRule="auto"/>
        <w:ind w:left="0" w:firstLine="720" w:firstLineChars="300"/>
        <w:outlineLvl w:val="9"/>
        <w:rPr>
          <w:rFonts w:hint="eastAsia" w:ascii="宋体" w:hAnsi="宋体" w:eastAsia="宋体" w:cs="宋体"/>
          <w:sz w:val="24"/>
          <w:szCs w:val="24"/>
        </w:rPr>
      </w:pPr>
      <w:r>
        <w:rPr>
          <w:rFonts w:hint="eastAsia" w:ascii="宋体" w:hAnsi="宋体" w:eastAsia="宋体" w:cs="宋体"/>
          <w:sz w:val="24"/>
          <w:szCs w:val="24"/>
        </w:rPr>
        <w:t>每周监控</w:t>
      </w:r>
    </w:p>
    <w:p w14:paraId="66E6BC09">
      <w:pPr>
        <w:snapToGrid w:val="0"/>
        <w:ind w:firstLine="480"/>
        <w:rPr>
          <w:rFonts w:hint="eastAsia" w:ascii="宋体" w:hAnsi="宋体" w:eastAsia="宋体" w:cs="宋体"/>
          <w:sz w:val="24"/>
          <w:szCs w:val="24"/>
        </w:rPr>
      </w:pPr>
      <w:r>
        <w:rPr>
          <w:rFonts w:hint="eastAsia" w:ascii="宋体" w:hAnsi="宋体" w:eastAsia="宋体" w:cs="宋体"/>
          <w:sz w:val="24"/>
          <w:szCs w:val="24"/>
        </w:rPr>
        <w:t>监控内容：</w:t>
      </w:r>
    </w:p>
    <w:p w14:paraId="72E6CF08">
      <w:pPr>
        <w:snapToGrid w:val="0"/>
        <w:ind w:firstLine="480"/>
        <w:rPr>
          <w:rFonts w:hint="eastAsia" w:ascii="宋体" w:hAnsi="宋体" w:eastAsia="宋体" w:cs="宋体"/>
          <w:sz w:val="24"/>
          <w:szCs w:val="24"/>
        </w:rPr>
      </w:pPr>
      <w:r>
        <w:rPr>
          <w:rFonts w:hint="eastAsia" w:ascii="宋体" w:hAnsi="宋体" w:eastAsia="宋体" w:cs="宋体"/>
          <w:sz w:val="24"/>
          <w:szCs w:val="24"/>
        </w:rPr>
        <w:t>1）.磁盘阵列、NAS设备运行状态。主要指通过观察磁盘阵列、NAS设备硬件指示灯等方式获取硬件运行状态。</w:t>
      </w:r>
    </w:p>
    <w:p w14:paraId="2C8325BF">
      <w:pPr>
        <w:snapToGrid w:val="0"/>
        <w:ind w:firstLine="480"/>
        <w:rPr>
          <w:rFonts w:hint="eastAsia" w:ascii="宋体" w:hAnsi="宋体" w:eastAsia="宋体" w:cs="宋体"/>
          <w:sz w:val="24"/>
          <w:szCs w:val="24"/>
        </w:rPr>
      </w:pPr>
      <w:r>
        <w:rPr>
          <w:rFonts w:hint="eastAsia" w:ascii="宋体" w:hAnsi="宋体" w:eastAsia="宋体" w:cs="宋体"/>
          <w:sz w:val="24"/>
          <w:szCs w:val="24"/>
        </w:rPr>
        <w:t>2）.存储设备管理系统的日志。主要包括磁盘阵列、NAS设备管理控制台的运行相关日志。</w:t>
      </w:r>
    </w:p>
    <w:p w14:paraId="2C129757">
      <w:pPr>
        <w:adjustRightInd w:val="0"/>
        <w:snapToGrid w:val="0"/>
        <w:spacing w:before="163" w:beforeLines="50" w:after="163" w:afterLines="50" w:line="360" w:lineRule="auto"/>
        <w:ind w:left="0" w:firstLine="720" w:firstLineChars="300"/>
        <w:outlineLvl w:val="9"/>
        <w:rPr>
          <w:rFonts w:hint="eastAsia" w:ascii="宋体" w:hAnsi="宋体" w:eastAsia="宋体" w:cs="宋体"/>
          <w:sz w:val="24"/>
          <w:szCs w:val="24"/>
        </w:rPr>
      </w:pPr>
      <w:r>
        <w:rPr>
          <w:rFonts w:hint="eastAsia" w:ascii="宋体" w:hAnsi="宋体" w:eastAsia="宋体" w:cs="宋体"/>
          <w:sz w:val="24"/>
          <w:szCs w:val="24"/>
        </w:rPr>
        <w:t>每周监控</w:t>
      </w:r>
    </w:p>
    <w:p w14:paraId="7524A133">
      <w:pPr>
        <w:snapToGrid w:val="0"/>
        <w:ind w:firstLine="480"/>
        <w:rPr>
          <w:rFonts w:hint="eastAsia" w:ascii="宋体" w:hAnsi="宋体" w:eastAsia="宋体" w:cs="宋体"/>
          <w:sz w:val="24"/>
          <w:szCs w:val="24"/>
        </w:rPr>
      </w:pPr>
      <w:r>
        <w:rPr>
          <w:rFonts w:hint="eastAsia" w:ascii="宋体" w:hAnsi="宋体" w:eastAsia="宋体" w:cs="宋体"/>
          <w:sz w:val="24"/>
          <w:szCs w:val="24"/>
        </w:rPr>
        <w:t>监控内容：</w:t>
      </w:r>
    </w:p>
    <w:p w14:paraId="55A5E376">
      <w:pPr>
        <w:snapToGrid w:val="0"/>
        <w:ind w:firstLine="480"/>
        <w:rPr>
          <w:rFonts w:hint="eastAsia" w:ascii="宋体" w:hAnsi="宋体" w:eastAsia="宋体" w:cs="宋体"/>
          <w:sz w:val="24"/>
          <w:szCs w:val="24"/>
        </w:rPr>
      </w:pPr>
      <w:r>
        <w:rPr>
          <w:rFonts w:hint="eastAsia" w:ascii="宋体" w:hAnsi="宋体" w:eastAsia="宋体" w:cs="宋体"/>
          <w:sz w:val="24"/>
          <w:szCs w:val="24"/>
        </w:rPr>
        <w:t>1）.SAN交换机硬件及端口状态。主要指通过观察SAN交换机设备及各端口指示灯等方式获取硬件运行状态。</w:t>
      </w:r>
    </w:p>
    <w:p w14:paraId="1FE896C0">
      <w:pPr>
        <w:snapToGrid w:val="0"/>
        <w:ind w:firstLine="480"/>
        <w:rPr>
          <w:rFonts w:hint="eastAsia" w:ascii="宋体" w:hAnsi="宋体" w:eastAsia="宋体" w:cs="宋体"/>
          <w:sz w:val="24"/>
          <w:szCs w:val="24"/>
        </w:rPr>
      </w:pPr>
      <w:r>
        <w:rPr>
          <w:rFonts w:hint="eastAsia" w:ascii="宋体" w:hAnsi="宋体" w:eastAsia="宋体" w:cs="宋体"/>
          <w:sz w:val="24"/>
          <w:szCs w:val="24"/>
        </w:rPr>
        <w:t>2）.磁带库硬件状态。主要指通过观察磁带库设备指示灯和登录磁带库管理系统等方式获取硬件运行状态。</w:t>
      </w:r>
    </w:p>
    <w:p w14:paraId="060989B8">
      <w:pPr>
        <w:adjustRightInd w:val="0"/>
        <w:snapToGrid w:val="0"/>
        <w:spacing w:before="163" w:beforeLines="50" w:after="163" w:afterLines="50" w:line="360" w:lineRule="auto"/>
        <w:ind w:left="0" w:firstLine="720" w:firstLineChars="300"/>
        <w:outlineLvl w:val="9"/>
        <w:rPr>
          <w:rFonts w:hint="eastAsia" w:ascii="宋体" w:hAnsi="宋体" w:eastAsia="宋体" w:cs="宋体"/>
          <w:sz w:val="24"/>
          <w:szCs w:val="24"/>
        </w:rPr>
      </w:pPr>
      <w:r>
        <w:rPr>
          <w:rFonts w:hint="eastAsia" w:ascii="宋体" w:hAnsi="宋体" w:eastAsia="宋体" w:cs="宋体"/>
          <w:sz w:val="24"/>
          <w:szCs w:val="24"/>
        </w:rPr>
        <w:t>每月监控</w:t>
      </w:r>
    </w:p>
    <w:p w14:paraId="32757310">
      <w:pPr>
        <w:snapToGrid w:val="0"/>
        <w:ind w:firstLine="480"/>
        <w:rPr>
          <w:rFonts w:hint="eastAsia" w:ascii="宋体" w:hAnsi="宋体" w:eastAsia="宋体" w:cs="宋体"/>
          <w:sz w:val="24"/>
          <w:szCs w:val="24"/>
        </w:rPr>
      </w:pPr>
      <w:r>
        <w:rPr>
          <w:rFonts w:hint="eastAsia" w:ascii="宋体" w:hAnsi="宋体" w:eastAsia="宋体" w:cs="宋体"/>
          <w:sz w:val="24"/>
          <w:szCs w:val="24"/>
        </w:rPr>
        <w:t>监控内容：</w:t>
      </w:r>
    </w:p>
    <w:p w14:paraId="1A4A5DF2">
      <w:pPr>
        <w:snapToGrid w:val="0"/>
        <w:ind w:firstLine="480"/>
        <w:rPr>
          <w:rFonts w:hint="eastAsia" w:ascii="宋体" w:hAnsi="宋体" w:eastAsia="宋体" w:cs="宋体"/>
          <w:sz w:val="24"/>
          <w:szCs w:val="24"/>
        </w:rPr>
      </w:pPr>
      <w:r>
        <w:rPr>
          <w:rFonts w:hint="eastAsia" w:ascii="宋体" w:hAnsi="宋体" w:eastAsia="宋体" w:cs="宋体"/>
          <w:sz w:val="24"/>
          <w:szCs w:val="24"/>
        </w:rPr>
        <w:t>1）.磁盘容量使用情况。主要包括存储未分配容量、已分配容量、已分配未使用容量等信息。</w:t>
      </w:r>
    </w:p>
    <w:p w14:paraId="0F9E53D0">
      <w:pPr>
        <w:snapToGrid w:val="0"/>
        <w:ind w:firstLine="480"/>
        <w:rPr>
          <w:rFonts w:hint="eastAsia" w:ascii="宋体" w:hAnsi="宋体" w:eastAsia="宋体" w:cs="宋体"/>
          <w:sz w:val="24"/>
          <w:szCs w:val="24"/>
        </w:rPr>
      </w:pPr>
      <w:r>
        <w:rPr>
          <w:rFonts w:hint="eastAsia" w:ascii="宋体" w:hAnsi="宋体" w:eastAsia="宋体" w:cs="宋体"/>
          <w:sz w:val="24"/>
          <w:szCs w:val="24"/>
        </w:rPr>
        <w:t>2）.SAN交换机日志信息。主要包括SAN交换机端口日志信息和设备日志信息等。</w:t>
      </w:r>
    </w:p>
    <w:p w14:paraId="2C3DF53C">
      <w:pPr>
        <w:pStyle w:val="671"/>
        <w:numPr>
          <w:ilvl w:val="1"/>
          <w:numId w:val="0"/>
        </w:numPr>
        <w:spacing w:line="360" w:lineRule="auto"/>
        <w:outlineLvl w:val="9"/>
        <w:rPr>
          <w:rFonts w:hint="eastAsia" w:ascii="宋体" w:hAnsi="宋体" w:eastAsia="宋体" w:cs="宋体"/>
          <w:sz w:val="24"/>
          <w:szCs w:val="24"/>
          <w:lang w:val="en-US"/>
        </w:rPr>
      </w:pPr>
      <w:r>
        <w:rPr>
          <w:rFonts w:hint="eastAsia" w:ascii="宋体" w:hAnsi="宋体" w:eastAsia="宋体" w:cs="宋体"/>
          <w:sz w:val="24"/>
          <w:szCs w:val="24"/>
          <w:lang w:val="en-US" w:eastAsia="zh-CN"/>
        </w:rPr>
        <w:t>3.4信息安全与保密要求</w:t>
      </w:r>
    </w:p>
    <w:p w14:paraId="7D7E0DDD">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招标人对信息网络和数据安全高度敏感，投标人的运维人员必须持有信息安全保障员资质，运维人员需跟招标人签署安全保密协议，中标供应商签署该员工离职后的无限连带责任。</w:t>
      </w:r>
    </w:p>
    <w:p w14:paraId="781DCC6F">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（1）网络安全要求：严格遵循采购人的网络安全管理要求，不能随意接入采购人内网；不得私拉网线；不能同时连接内外网。</w:t>
      </w:r>
    </w:p>
    <w:p w14:paraId="11525F18">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2）移动存储设备安全：未经采购人允许，投标人服务人员不得擅自接入移动存储设备，包括但不限于：U盘、光盘、软盘/虚拟软盘、CF卡等。一经发现，无论是否造成网络安全损害，都将没收相关设备，并对造成的损害进行评估，追究投标人及其服务人员的赔偿责任。</w:t>
      </w:r>
    </w:p>
    <w:p w14:paraId="5AE53FF1">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（3）密码安全：投标人服务人员不得擅自修改密码或者隐匿不告。任何密码都不得以明文形式保存。</w:t>
      </w:r>
    </w:p>
    <w:p w14:paraId="423757A8">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（4）防病毒与防火墙管理：任何投标人需要使用的设备接入采购人信息网络前都需要先进行杀毒。投标人接入采购人信息网络的设备必须定期接受病毒扫描和漏洞扫描。</w:t>
      </w:r>
    </w:p>
    <w:p w14:paraId="37727557">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（5）设备安全：中标人接入采购人信息系统的电脑设备应保持固定，只有经过采购人安全认证的电脑设备才能接入网络。</w:t>
      </w:r>
    </w:p>
    <w:p w14:paraId="30DD2006">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6）保密要求：中标人与采购人在签订本项目合同的同时必须按照青海省财政厅信息安全保密的相关规定签署保密协议。中标人服务人员不得试图获取不在服务范围内的信息；不能下载、查阅财政业务数据；不能泄露、窃取采购人相关业务数据或者数据资产；不能分发、散布、拷贝、出售其在工作期间接触的业务数据。中标人服务人员有违反本条款规定行为的，采购人有权单方面解除合同，并保留追究中标人法律责任的权利。</w:t>
      </w:r>
    </w:p>
    <w:p w14:paraId="03E16389">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7）数据脱敏：对于中标人需要进行离线分析、调试运维数据或者日志等信息的，必须先经过数据脱敏处理，去除涉及采购人的设备名、IP地址、业务信息等内容后才能下载。不得从青海省财政厅信息系统网络提取任何业务数据或运维数据。</w:t>
      </w:r>
    </w:p>
    <w:p w14:paraId="3A0158DF">
      <w:pPr>
        <w:snapToGrid w:val="0"/>
        <w:ind w:firstLine="480"/>
        <w:rPr>
          <w:rFonts w:hint="eastAsia" w:ascii="宋体" w:hAnsi="宋体" w:eastAsia="宋体" w:cs="宋体"/>
          <w:sz w:val="24"/>
          <w:szCs w:val="24"/>
          <w:lang w:val="en-US"/>
        </w:rPr>
      </w:pPr>
      <w:r>
        <w:rPr>
          <w:rFonts w:hint="eastAsia" w:ascii="宋体" w:hAnsi="宋体" w:eastAsia="宋体" w:cs="宋体"/>
          <w:sz w:val="24"/>
          <w:szCs w:val="24"/>
          <w:lang w:val="en-US" w:eastAsia="zh-CN"/>
        </w:rPr>
        <w:t>（8）其他要求</w:t>
      </w:r>
    </w:p>
    <w:p w14:paraId="121E1A78">
      <w:pPr>
        <w:snapToGrid w:val="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为确保项目服务质量，切实保障响应的服务能力，投标人应提供本项目关键设备（华三网络设备、华为计算存储设备）原厂商不少于1年的售后服务支持。</w:t>
      </w:r>
    </w:p>
    <w:p w14:paraId="7B9B4E3D">
      <w:pPr>
        <w:pStyle w:val="671"/>
        <w:numPr>
          <w:ilvl w:val="1"/>
          <w:numId w:val="0"/>
        </w:numPr>
        <w:spacing w:line="360" w:lineRule="auto"/>
        <w:outlineLvl w:val="9"/>
        <w:rPr>
          <w:rFonts w:hint="eastAsia" w:ascii="宋体" w:hAnsi="宋体" w:eastAsia="宋体" w:cs="宋体"/>
          <w:sz w:val="24"/>
          <w:szCs w:val="24"/>
        </w:rPr>
      </w:pPr>
      <w:r>
        <w:rPr>
          <w:rFonts w:hint="eastAsia" w:ascii="宋体" w:hAnsi="宋体" w:eastAsia="宋体" w:cs="宋体"/>
          <w:bCs/>
          <w:sz w:val="24"/>
          <w:szCs w:val="24"/>
          <w:lang w:val="en-US" w:eastAsia="zh-CN"/>
        </w:rPr>
        <w:t>3.5</w:t>
      </w:r>
      <w:r>
        <w:rPr>
          <w:rFonts w:hint="eastAsia" w:ascii="宋体" w:hAnsi="宋体" w:eastAsia="宋体" w:cs="宋体"/>
          <w:bCs/>
          <w:sz w:val="24"/>
          <w:szCs w:val="24"/>
        </w:rPr>
        <w:t>健康检查、</w:t>
      </w:r>
      <w:r>
        <w:rPr>
          <w:rFonts w:hint="eastAsia" w:ascii="宋体" w:hAnsi="宋体" w:eastAsia="宋体" w:cs="宋体"/>
          <w:sz w:val="24"/>
          <w:szCs w:val="24"/>
        </w:rPr>
        <w:t>例行维护、故障管理、分析与报告</w:t>
      </w:r>
    </w:p>
    <w:p w14:paraId="10858565">
      <w:pPr>
        <w:snapToGrid w:val="0"/>
        <w:ind w:firstLine="480"/>
        <w:rPr>
          <w:rFonts w:hint="eastAsia" w:ascii="宋体" w:hAnsi="宋体" w:eastAsia="宋体" w:cs="宋体"/>
          <w:sz w:val="24"/>
          <w:szCs w:val="24"/>
        </w:rPr>
      </w:pPr>
      <w:r>
        <w:rPr>
          <w:rFonts w:hint="eastAsia" w:ascii="宋体" w:hAnsi="宋体" w:eastAsia="宋体" w:cs="宋体"/>
          <w:sz w:val="24"/>
          <w:szCs w:val="24"/>
        </w:rPr>
        <w:t>服务提供方应根据自身青海省财政厅实际情况，制定计算存储设备健康检查方案，定期开展健康检查和预防性维护，定期开展健康检查和预防性维护，尽早发现计算存储资源可能存在的缺陷和安全隐患，识别可能影响运行状态的故障隐患，以便制定计算存储资源维护升级计划，为开展计算存储资源的维护、改造、扩容提供依据，避免潜在问题拖延导致严重故障。按照检查方案组织开展健康性检查，记录健康检查结果，提出改进建议，编制健康检查报告。</w:t>
      </w:r>
    </w:p>
    <w:p w14:paraId="1F35CE1F">
      <w:pPr>
        <w:snapToGrid w:val="0"/>
        <w:ind w:firstLine="480"/>
        <w:rPr>
          <w:rFonts w:hint="eastAsia" w:ascii="宋体" w:hAnsi="宋体" w:eastAsia="宋体" w:cs="宋体"/>
          <w:sz w:val="24"/>
          <w:szCs w:val="24"/>
        </w:rPr>
      </w:pPr>
      <w:r>
        <w:rPr>
          <w:rFonts w:hint="eastAsia" w:ascii="宋体" w:hAnsi="宋体" w:eastAsia="宋体" w:cs="宋体"/>
          <w:sz w:val="24"/>
          <w:szCs w:val="24"/>
        </w:rPr>
        <w:t>依据计算存储类基础设施的运维管理需要，定期开展设备及系统的例行维护，排除其可能存在的安全隐患，保障系统稳定运行，提升系统健壮性。</w:t>
      </w:r>
    </w:p>
    <w:p w14:paraId="566FC286">
      <w:pPr>
        <w:snapToGrid w:val="0"/>
        <w:ind w:firstLine="480"/>
        <w:rPr>
          <w:rFonts w:hint="eastAsia" w:ascii="宋体" w:hAnsi="宋体" w:eastAsia="宋体" w:cs="宋体"/>
          <w:sz w:val="24"/>
          <w:szCs w:val="24"/>
        </w:rPr>
      </w:pPr>
      <w:r>
        <w:rPr>
          <w:rFonts w:hint="eastAsia" w:ascii="宋体" w:hAnsi="宋体" w:eastAsia="宋体" w:cs="宋体"/>
          <w:sz w:val="24"/>
          <w:szCs w:val="24"/>
        </w:rPr>
        <w:t>通过观察计算存储资源的故障现象，收集故障信息，定位故障原因，找到对各类常见故障的解决办法，形成较为完善的各类问题解决方案，为运维人员的后续故障解决提供参考和帮助，加强其主动发现问题和快速解决问题的能力，进而提升运维人员自身的运维水平和系统运维效率，并力求将计算存储资源故障对业务的影响减到最低，防止与这些故障相关的事故再度发生。</w:t>
      </w:r>
    </w:p>
    <w:p w14:paraId="1F1C5B11">
      <w:pPr>
        <w:snapToGrid w:val="0"/>
        <w:ind w:firstLine="480"/>
        <w:rPr>
          <w:rFonts w:hint="eastAsia" w:ascii="宋体" w:hAnsi="宋体" w:eastAsia="宋体" w:cs="宋体"/>
          <w:sz w:val="24"/>
          <w:szCs w:val="24"/>
        </w:rPr>
      </w:pPr>
      <w:r>
        <w:rPr>
          <w:rFonts w:hint="eastAsia" w:ascii="宋体" w:hAnsi="宋体" w:eastAsia="宋体" w:cs="宋体"/>
          <w:sz w:val="24"/>
          <w:szCs w:val="24"/>
        </w:rPr>
        <w:t>通过对计算存储资源的运行状况、性能状况、容量状况和故障状况等方面进行分析，及时发现计算存储资源存在的运行问题、性能瓶颈和故障隐患，总结故障处理经验，提高故障的响应时间和处理速度，有针对性的提出整改和优化方案，确保计算存储资源的健康、高效、稳定运行，为计算存储资源的升级、更新和报废提供决策性指导意见。</w:t>
      </w:r>
    </w:p>
    <w:p w14:paraId="4ECD1B21">
      <w:pPr>
        <w:snapToGrid w:val="0"/>
        <w:ind w:left="0" w:leftChars="0" w:firstLine="0" w:firstLineChars="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3.6</w:t>
      </w:r>
      <w:r>
        <w:rPr>
          <w:rFonts w:hint="eastAsia" w:ascii="宋体" w:hAnsi="宋体" w:eastAsia="宋体" w:cs="宋体"/>
          <w:b/>
          <w:bCs/>
          <w:sz w:val="24"/>
          <w:szCs w:val="24"/>
        </w:rPr>
        <w:t>服务产出</w:t>
      </w:r>
    </w:p>
    <w:p w14:paraId="7E5CF43A">
      <w:pPr>
        <w:snapToGrid w:val="0"/>
        <w:ind w:firstLine="480"/>
        <w:rPr>
          <w:rFonts w:hint="eastAsia" w:ascii="宋体" w:hAnsi="宋体" w:eastAsia="宋体" w:cs="宋体"/>
          <w:sz w:val="24"/>
          <w:szCs w:val="24"/>
        </w:rPr>
      </w:pPr>
      <w:r>
        <w:rPr>
          <w:rFonts w:hint="eastAsia" w:ascii="宋体" w:hAnsi="宋体" w:eastAsia="宋体" w:cs="宋体"/>
          <w:sz w:val="24"/>
          <w:szCs w:val="24"/>
        </w:rPr>
        <w:t>按配置管理的要求，分类记录并及时更新《服务器基本信息表》、《虚拟机配置信息表》、《操作系统用户信息表》、《虚拟化资源池配置信息表》、《磁盘阵列基本信息表》、《NAS设备基本信息表》、《SAN交换机基本信息表》；按运行监控的要求，按月记录好各类计算存储类基础设施的运行监控数据；按健康巡检的要求，每月《服务器系统健康检查报告》；按例行维护的要求，第月对计算存储类设备进行一次例行维护，并做好维护记录；按故障处理实际情况记录《计算存储故障处理情况表》；《计算存储资源运行监控月报》；按分析与报告的要求，按月形成《计算存储资源运行监控月报》；《计算存储资源季度运行分析报告》；按文档管理的要求，做好计算存储类基础设施及运维过程中形成的各种文档记录和归档。</w:t>
      </w:r>
    </w:p>
    <w:p w14:paraId="047CF857">
      <w:pPr>
        <w:pStyle w:val="671"/>
        <w:numPr>
          <w:ilvl w:val="1"/>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巡检要求</w:t>
      </w:r>
    </w:p>
    <w:p w14:paraId="5C9B14B2">
      <w:pPr>
        <w:snapToGrid w:val="0"/>
        <w:ind w:firstLine="480"/>
        <w:rPr>
          <w:rFonts w:hint="eastAsia" w:ascii="宋体" w:hAnsi="宋体" w:eastAsia="宋体" w:cs="宋体"/>
          <w:sz w:val="24"/>
          <w:szCs w:val="24"/>
        </w:rPr>
      </w:pPr>
      <w:r>
        <w:rPr>
          <w:rFonts w:hint="eastAsia" w:ascii="宋体" w:hAnsi="宋体" w:eastAsia="宋体" w:cs="宋体"/>
          <w:sz w:val="24"/>
          <w:szCs w:val="24"/>
        </w:rPr>
        <w:t>1、每周进行一次机房内设备巡检，并在巡检完成后向用户报告现场巡检情况，进行记录。</w:t>
      </w:r>
    </w:p>
    <w:p w14:paraId="239F5BA9">
      <w:pPr>
        <w:snapToGrid w:val="0"/>
        <w:ind w:firstLine="480"/>
        <w:rPr>
          <w:rFonts w:hint="eastAsia" w:ascii="宋体" w:hAnsi="宋体" w:eastAsia="宋体" w:cs="宋体"/>
          <w:sz w:val="24"/>
          <w:szCs w:val="24"/>
        </w:rPr>
      </w:pPr>
      <w:r>
        <w:rPr>
          <w:rFonts w:hint="eastAsia" w:ascii="宋体" w:hAnsi="宋体" w:eastAsia="宋体" w:cs="宋体"/>
          <w:sz w:val="24"/>
          <w:szCs w:val="24"/>
        </w:rPr>
        <w:t>2、每月进行一次月度汇总，巡检完成后三个工作日内向用户提供月巡检报告，季度装订成册。</w:t>
      </w:r>
    </w:p>
    <w:p w14:paraId="753D094C">
      <w:pPr>
        <w:snapToGrid w:val="0"/>
        <w:ind w:firstLine="480"/>
        <w:rPr>
          <w:rFonts w:hint="eastAsia" w:ascii="宋体" w:hAnsi="宋体" w:eastAsia="宋体" w:cs="宋体"/>
          <w:sz w:val="24"/>
          <w:szCs w:val="24"/>
        </w:rPr>
      </w:pPr>
      <w:r>
        <w:rPr>
          <w:rFonts w:hint="eastAsia" w:ascii="宋体" w:hAnsi="宋体" w:eastAsia="宋体" w:cs="宋体"/>
          <w:sz w:val="24"/>
          <w:szCs w:val="24"/>
        </w:rPr>
        <w:t>3、每半年出具半年度服务报告及服务汇总，并与客户进行沟通、汇总汇报。</w:t>
      </w:r>
    </w:p>
    <w:p w14:paraId="57F3C8D8">
      <w:pPr>
        <w:snapToGrid w:val="0"/>
        <w:ind w:firstLine="480"/>
        <w:rPr>
          <w:rFonts w:hint="eastAsia" w:ascii="宋体" w:hAnsi="宋体" w:eastAsia="宋体" w:cs="宋体"/>
          <w:sz w:val="24"/>
          <w:szCs w:val="24"/>
        </w:rPr>
      </w:pPr>
      <w:r>
        <w:rPr>
          <w:rFonts w:hint="eastAsia" w:ascii="宋体" w:hAnsi="宋体" w:eastAsia="宋体" w:cs="宋体"/>
          <w:sz w:val="24"/>
          <w:szCs w:val="24"/>
        </w:rPr>
        <w:t>4、年度出具年度汇总服务报告，并向客户进行汇报。</w:t>
      </w:r>
    </w:p>
    <w:p w14:paraId="7F789F12">
      <w:pPr>
        <w:snapToGrid w:val="0"/>
        <w:ind w:firstLine="480"/>
        <w:rPr>
          <w:rFonts w:hint="eastAsia" w:ascii="宋体" w:hAnsi="宋体" w:eastAsia="宋体" w:cs="宋体"/>
          <w:sz w:val="24"/>
          <w:szCs w:val="24"/>
        </w:rPr>
      </w:pPr>
      <w:r>
        <w:rPr>
          <w:rFonts w:hint="eastAsia" w:ascii="宋体" w:hAnsi="宋体" w:eastAsia="宋体" w:cs="宋体"/>
          <w:sz w:val="24"/>
          <w:szCs w:val="24"/>
        </w:rPr>
        <w:t>5、重大节假日前对所有设备及软件进行巡检，重大节假日、重要事件现场保障。</w:t>
      </w:r>
    </w:p>
    <w:p w14:paraId="434543AF">
      <w:pPr>
        <w:snapToGrid w:val="0"/>
        <w:ind w:firstLine="480"/>
        <w:rPr>
          <w:rFonts w:hint="eastAsia" w:ascii="宋体" w:hAnsi="宋体" w:eastAsia="宋体" w:cs="宋体"/>
          <w:sz w:val="24"/>
          <w:szCs w:val="24"/>
        </w:rPr>
      </w:pPr>
      <w:r>
        <w:rPr>
          <w:rFonts w:hint="eastAsia" w:ascii="宋体" w:hAnsi="宋体" w:eastAsia="宋体" w:cs="宋体"/>
          <w:sz w:val="24"/>
          <w:szCs w:val="24"/>
        </w:rPr>
        <w:t>6、针对巡检问题分析，分级处置，备件及时更换，当有突发或并发事件发生时，及时调用本地工程师并在最短的时间内用最快的方式处置。</w:t>
      </w:r>
    </w:p>
    <w:p w14:paraId="60C00EAB">
      <w:pPr>
        <w:pStyle w:val="671"/>
        <w:numPr>
          <w:ilvl w:val="1"/>
          <w:numId w:val="0"/>
        </w:numPr>
        <w:spacing w:line="360" w:lineRule="auto"/>
        <w:outlineLvl w:val="9"/>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现场故障排除</w:t>
      </w:r>
    </w:p>
    <w:p w14:paraId="78FD6854">
      <w:pPr>
        <w:pStyle w:val="671"/>
        <w:numPr>
          <w:ilvl w:val="1"/>
          <w:numId w:val="0"/>
        </w:numPr>
        <w:spacing w:line="360" w:lineRule="auto"/>
        <w:ind w:firstLine="480" w:firstLineChars="200"/>
        <w:outlineLvl w:val="9"/>
        <w:rPr>
          <w:rFonts w:hint="eastAsia"/>
          <w:b w:val="0"/>
          <w:bCs/>
          <w:color w:val="auto"/>
          <w:sz w:val="24"/>
          <w:szCs w:val="24"/>
          <w:highlight w:val="none"/>
          <w:lang w:val="zh-CN"/>
        </w:rPr>
      </w:pPr>
      <w:r>
        <w:rPr>
          <w:rFonts w:hint="eastAsia" w:ascii="宋体" w:hAnsi="宋体" w:eastAsia="宋体" w:cs="宋体"/>
          <w:b w:val="0"/>
          <w:bCs/>
          <w:sz w:val="24"/>
          <w:szCs w:val="24"/>
        </w:rPr>
        <w:t>发生异常现象时，服务方必须及时响应（7x24小时服务，2小时到达现场，设备配件24小时内到位）。一般性简单故障应在1个工作日内排查、处理完毕；复杂性故障应在1-3个工作日内排查、处理完毕。涉及设备配件需维修或采购供应时，应提供替代设备，确保各类应用正常运行</w:t>
      </w:r>
      <w:bookmarkEnd w:id="224"/>
    </w:p>
    <w:sectPr>
      <w:pgSz w:w="11906" w:h="16838"/>
      <w:pgMar w:top="1440" w:right="1800" w:bottom="1440" w:left="1800" w:header="56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_GB2312">
    <w:panose1 w:val="02010609030101010101"/>
    <w:charset w:val="7A"/>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Arial Black">
    <w:panose1 w:val="020B0A04020102020204"/>
    <w:charset w:val="00"/>
    <w:family w:val="swiss"/>
    <w:pitch w:val="default"/>
    <w:sig w:usb0="A00002AF" w:usb1="400078FB" w:usb2="00000000" w:usb3="00000000" w:csb0="6000009F" w:csb1="DFD70000"/>
  </w:font>
  <w:font w:name="长城仿宋">
    <w:altName w:val="宋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Baskerville">
    <w:altName w:val="Georgia"/>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ヒラギノ角ゴ Pro W3">
    <w:altName w:val="MS Gothic"/>
    <w:panose1 w:val="00000000000000000000"/>
    <w:charset w:val="80"/>
    <w:family w:val="auto"/>
    <w:pitch w:val="default"/>
    <w:sig w:usb0="00000000" w:usb1="00000000" w:usb2="01000407" w:usb3="00000000" w:csb0="00020000" w:csb1="00000000"/>
  </w:font>
  <w:font w:name="MS Gothic">
    <w:panose1 w:val="020B0609070205080204"/>
    <w:charset w:val="80"/>
    <w:family w:val="auto"/>
    <w:pitch w:val="default"/>
    <w:sig w:usb0="E00002FF" w:usb1="6AC7FDFB" w:usb2="08000012" w:usb3="00000000" w:csb0="4002009F" w:csb1="DFD70000"/>
  </w:font>
  <w:font w:name="Arial Narrow">
    <w:panose1 w:val="020B0606020202030204"/>
    <w:charset w:val="00"/>
    <w:family w:val="swiss"/>
    <w:pitch w:val="default"/>
    <w:sig w:usb0="00000287" w:usb1="00000800" w:usb2="00000000" w:usb3="00000000" w:csb0="2000009F" w:csb1="DFD70000"/>
  </w:font>
  <w:font w:name="小标宋">
    <w:altName w:val="宋体"/>
    <w:panose1 w:val="00000000000000000000"/>
    <w:charset w:val="86"/>
    <w:family w:val="roma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wift-Light">
    <w:altName w:val="Times New Roman"/>
    <w:panose1 w:val="00000000000000000000"/>
    <w:charset w:val="4D"/>
    <w:family w:val="auto"/>
    <w:pitch w:val="default"/>
    <w:sig w:usb0="00000000" w:usb1="00000000" w:usb2="00000000" w:usb3="00000000" w:csb0="00000001" w:csb1="00000000"/>
  </w:font>
  <w:font w:name="Univers 57 Condensed">
    <w:altName w:val="Times New Roman"/>
    <w:panose1 w:val="00000000000000000000"/>
    <w:charset w:val="4D"/>
    <w:family w:val="auto"/>
    <w:pitch w:val="default"/>
    <w:sig w:usb0="00000000" w:usb1="00000000" w:usb2="00000000" w:usb3="00000000" w:csb0="00000001" w:csb1="00000000"/>
  </w:font>
  <w:font w:name="Univers 67 CondensedBold">
    <w:altName w:val="Times New Roman"/>
    <w:panose1 w:val="00000000000000000000"/>
    <w:charset w:val="4D"/>
    <w:family w:val="auto"/>
    <w:pitch w:val="default"/>
    <w:sig w:usb0="00000000" w:usb1="00000000" w:usb2="00000000" w:usb3="00000000" w:csb0="00000001" w:csb1="00000000"/>
  </w:font>
  <w:font w:name="Univers 67 CondensedBoldOblique">
    <w:altName w:val="Times New Roman"/>
    <w:panose1 w:val="00000000000000000000"/>
    <w:charset w:val="4D"/>
    <w:family w:val="auto"/>
    <w:pitch w:val="default"/>
    <w:sig w:usb0="00000000" w:usb1="00000000" w:usb2="00000000" w:usb3="00000000" w:csb0="00000001" w:csb1="00000000"/>
  </w:font>
  <w:font w:name="ITCCenturyBookT">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5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3913">
    <w:pPr>
      <w:pStyle w:val="4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8309">
    <w:pPr>
      <w:pStyle w:val="40"/>
      <w:framePr w:wrap="around" w:vAnchor="text" w:hAnchor="margin" w:y="1"/>
      <w:ind w:firstLine="360"/>
      <w:rPr>
        <w:rStyle w:val="74"/>
      </w:rPr>
    </w:pPr>
    <w:r>
      <w:rPr>
        <w:rStyle w:val="74"/>
      </w:rPr>
      <w:fldChar w:fldCharType="begin"/>
    </w:r>
    <w:r>
      <w:rPr>
        <w:rStyle w:val="74"/>
      </w:rPr>
      <w:instrText xml:space="preserve">PAGE  </w:instrText>
    </w:r>
    <w:r>
      <w:rPr>
        <w:rStyle w:val="74"/>
      </w:rPr>
      <w:fldChar w:fldCharType="end"/>
    </w:r>
  </w:p>
  <w:p w14:paraId="33D0EBB3">
    <w:pPr>
      <w:pStyle w:val="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C268">
    <w:pPr>
      <w:pStyle w:val="40"/>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E1F4">
    <w:pPr>
      <w:pStyle w:val="4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7BD845">
                          <w:pPr>
                            <w:pStyle w:val="40"/>
                            <w:ind w:firstLine="36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57BD845">
                    <w:pPr>
                      <w:pStyle w:val="40"/>
                      <w:ind w:firstLine="36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7D7D">
    <w:pPr>
      <w:pStyle w:val="4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77B7">
    <w:pPr>
      <w:pStyle w:val="4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833268"/>
    </w:sdtPr>
    <w:sdtContent>
      <w:sdt>
        <w:sdtPr>
          <w:id w:val="642014152"/>
        </w:sdtPr>
        <w:sdtContent>
          <w:p w14:paraId="28CEF5C3">
            <w:pPr>
              <w:pStyle w:val="4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32</w:t>
            </w:r>
            <w:r>
              <w:rPr>
                <w:b/>
                <w:bCs/>
                <w:sz w:val="24"/>
                <w:szCs w:val="24"/>
              </w:rPr>
              <w:fldChar w:fldCharType="end"/>
            </w:r>
          </w:p>
        </w:sdtContent>
      </w:sdt>
    </w:sdtContent>
  </w:sdt>
  <w:p w14:paraId="54664B1D">
    <w:pPr>
      <w:pStyle w:val="4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32D7">
    <w:pPr>
      <w:pStyle w:val="41"/>
      <w:ind w:left="0" w:leftChars="0" w:firstLine="0" w:firstLineChars="0"/>
      <w:jc w:val="both"/>
      <w:rPr>
        <w:rFonts w:hint="default" w:ascii="仿宋" w:hAnsi="仿宋" w:eastAsia="宋体" w:cs="仿宋"/>
        <w:sz w:val="21"/>
        <w:szCs w:val="21"/>
        <w:lang w:val="en-US" w:eastAsia="zh-CN"/>
      </w:rPr>
    </w:pPr>
    <w:r>
      <w:drawing>
        <wp:inline distT="0" distB="0" distL="0" distR="0">
          <wp:extent cx="2415540" cy="243840"/>
          <wp:effectExtent l="0" t="0" r="3810" b="3810"/>
          <wp:docPr id="1" name="图片 1" descr="公司图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图标5.jpg"/>
                  <pic:cNvPicPr>
                    <a:picLocks noChangeAspect="1" noChangeArrowheads="1"/>
                  </pic:cNvPicPr>
                </pic:nvPicPr>
                <pic:blipFill>
                  <a:blip r:embed="rId1"/>
                  <a:srcRect/>
                  <a:stretch>
                    <a:fillRect/>
                  </a:stretch>
                </pic:blipFill>
                <pic:spPr>
                  <a:xfrm>
                    <a:off x="0" y="0"/>
                    <a:ext cx="2415540" cy="243840"/>
                  </a:xfrm>
                  <a:prstGeom prst="rect">
                    <a:avLst/>
                  </a:prstGeom>
                  <a:noFill/>
                  <a:ln w="9525">
                    <a:noFill/>
                    <a:miter lim="800000"/>
                    <a:headEnd/>
                    <a:tailEnd/>
                  </a:ln>
                </pic:spPr>
              </pic:pic>
            </a:graphicData>
          </a:graphic>
        </wp:inline>
      </w:drawing>
    </w:r>
    <w:r>
      <w:rPr>
        <w:rFonts w:hint="eastAsia"/>
      </w:rPr>
      <w:t xml:space="preserve">      </w:t>
    </w:r>
    <w:r>
      <w:rPr>
        <w:rFonts w:hint="eastAsia"/>
        <w:lang w:val="en-US" w:eastAsia="zh-CN"/>
      </w:rPr>
      <w:t xml:space="preserve">   </w:t>
    </w:r>
    <w:r>
      <w:rPr>
        <w:rFonts w:hint="eastAsia"/>
      </w:rPr>
      <w:t xml:space="preserve">      </w:t>
    </w:r>
    <w:r>
      <w:rPr>
        <w:rFonts w:hint="eastAsia" w:ascii="宋体" w:hAnsi="宋体" w:cs="宋体"/>
        <w:sz w:val="21"/>
        <w:szCs w:val="21"/>
        <w:lang w:val="zh-CN"/>
      </w:rPr>
      <w:t>青海联祥磋商（服务）2026-057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A382">
    <w:pPr>
      <w:ind w:left="0" w:leftChars="0" w:firstLine="0" w:firstLineChars="0"/>
    </w:pPr>
    <w:r>
      <w:drawing>
        <wp:inline distT="0" distB="0" distL="0" distR="0">
          <wp:extent cx="2415540" cy="228600"/>
          <wp:effectExtent l="0" t="0" r="3810" b="0"/>
          <wp:docPr id="2" name="图片 2" descr="公司图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图标5.jpg"/>
                  <pic:cNvPicPr>
                    <a:picLocks noChangeAspect="1" noChangeArrowheads="1"/>
                  </pic:cNvPicPr>
                </pic:nvPicPr>
                <pic:blipFill>
                  <a:blip r:embed="rId1"/>
                  <a:srcRect/>
                  <a:stretch>
                    <a:fillRect/>
                  </a:stretch>
                </pic:blipFill>
                <pic:spPr>
                  <a:xfrm>
                    <a:off x="0" y="0"/>
                    <a:ext cx="2415540" cy="2286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210E">
    <w:pPr>
      <w:pStyle w:val="41"/>
      <w:keepNext w:val="0"/>
      <w:keepLines w:val="0"/>
      <w:pageBreakBefore w:val="0"/>
      <w:widowControl w:val="0"/>
      <w:kinsoku/>
      <w:wordWrap/>
      <w:overflowPunct/>
      <w:topLinePunct w:val="0"/>
      <w:bidi w:val="0"/>
      <w:adjustRightInd/>
      <w:snapToGrid w:val="0"/>
      <w:ind w:left="0" w:leftChars="0" w:firstLine="0" w:firstLineChars="0"/>
      <w:jc w:val="both"/>
      <w:textAlignment w:val="auto"/>
      <w:rPr>
        <w:rFonts w:hint="default" w:eastAsia="仿宋_GB2312"/>
        <w:lang w:val="en-US" w:eastAsia="zh-CN"/>
      </w:rPr>
    </w:pPr>
    <w:r>
      <w:drawing>
        <wp:inline distT="0" distB="0" distL="0" distR="0">
          <wp:extent cx="2415540" cy="243840"/>
          <wp:effectExtent l="0" t="0" r="3810" b="3810"/>
          <wp:docPr id="4" name="图片 4" descr="公司图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图标5.jpg"/>
                  <pic:cNvPicPr>
                    <a:picLocks noChangeAspect="1" noChangeArrowheads="1"/>
                  </pic:cNvPicPr>
                </pic:nvPicPr>
                <pic:blipFill>
                  <a:blip r:embed="rId1"/>
                  <a:srcRect/>
                  <a:stretch>
                    <a:fillRect/>
                  </a:stretch>
                </pic:blipFill>
                <pic:spPr>
                  <a:xfrm>
                    <a:off x="0" y="0"/>
                    <a:ext cx="2415540" cy="243840"/>
                  </a:xfrm>
                  <a:prstGeom prst="rect">
                    <a:avLst/>
                  </a:prstGeom>
                  <a:noFill/>
                  <a:ln w="9525">
                    <a:noFill/>
                    <a:miter lim="800000"/>
                    <a:headEnd/>
                    <a:tailEnd/>
                  </a:ln>
                </pic:spPr>
              </pic:pic>
            </a:graphicData>
          </a:graphic>
        </wp:inline>
      </w:drawing>
    </w:r>
    <w:r>
      <w:rPr>
        <w:rFonts w:hint="eastAsia"/>
      </w:rPr>
      <w:t xml:space="preserve">             </w:t>
    </w:r>
    <w:r>
      <w:rPr>
        <w:rFonts w:hint="eastAsia" w:ascii="宋体" w:hAnsi="宋体" w:cs="宋体"/>
        <w:sz w:val="21"/>
        <w:szCs w:val="21"/>
        <w:lang w:val="zh-CN"/>
      </w:rPr>
      <w:t>青海联祥磋商（服务）2026-057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803E">
    <w:pPr>
      <w:pStyle w:val="4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69DA">
    <w:pPr>
      <w:pStyle w:val="4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7777">
    <w:pPr>
      <w:pStyle w:val="4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DA80D"/>
    <w:multiLevelType w:val="singleLevel"/>
    <w:tmpl w:val="8EDDA80D"/>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A888BE09"/>
    <w:multiLevelType w:val="singleLevel"/>
    <w:tmpl w:val="A888BE09"/>
    <w:lvl w:ilvl="0" w:tentative="0">
      <w:start w:val="1"/>
      <w:numFmt w:val="decimal"/>
      <w:pStyle w:val="28"/>
      <w:lvlText w:val="%1."/>
      <w:lvlJc w:val="left"/>
      <w:pPr>
        <w:tabs>
          <w:tab w:val="left" w:pos="1200"/>
        </w:tabs>
        <w:ind w:left="1200" w:hanging="360"/>
      </w:pPr>
    </w:lvl>
  </w:abstractNum>
  <w:abstractNum w:abstractNumId="2">
    <w:nsid w:val="C5EF427C"/>
    <w:multiLevelType w:val="singleLevel"/>
    <w:tmpl w:val="C5EF427C"/>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3">
    <w:nsid w:val="DF9E23AF"/>
    <w:multiLevelType w:val="singleLevel"/>
    <w:tmpl w:val="DF9E23AF"/>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4">
    <w:nsid w:val="00A14B4A"/>
    <w:multiLevelType w:val="multilevel"/>
    <w:tmpl w:val="00A14B4A"/>
    <w:lvl w:ilvl="0" w:tentative="0">
      <w:start w:val="1"/>
      <w:numFmt w:val="decimal"/>
      <w:pStyle w:val="893"/>
      <w:suff w:val="nothing"/>
      <w:lvlText w:val="%1."/>
      <w:lvlJc w:val="left"/>
      <w:pPr>
        <w:ind w:left="0" w:firstLine="0"/>
      </w:pPr>
      <w:rPr>
        <w:rFonts w:hint="eastAsia"/>
      </w:rPr>
    </w:lvl>
    <w:lvl w:ilvl="1" w:tentative="0">
      <w:start w:val="1"/>
      <w:numFmt w:val="decimal"/>
      <w:pStyle w:val="892"/>
      <w:suff w:val="nothing"/>
      <w:lvlText w:val="%1.%2."/>
      <w:lvlJc w:val="left"/>
      <w:pPr>
        <w:ind w:left="0" w:firstLine="0"/>
      </w:pPr>
      <w:rPr>
        <w:rFonts w:hint="eastAsia"/>
      </w:rPr>
    </w:lvl>
    <w:lvl w:ilvl="2" w:tentative="0">
      <w:start w:val="1"/>
      <w:numFmt w:val="decimal"/>
      <w:pStyle w:val="891"/>
      <w:suff w:val="nothing"/>
      <w:lvlText w:val="%1.%2.%3."/>
      <w:lvlJc w:val="left"/>
      <w:pPr>
        <w:ind w:left="852"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nothing"/>
      <w:lvlText w:val="%1.%2.%3.%4."/>
      <w:lvlJc w:val="left"/>
      <w:pPr>
        <w:ind w:left="0" w:firstLine="0"/>
      </w:pPr>
      <w:rPr>
        <w:rFonts w:hint="eastAsia"/>
        <w:b/>
      </w:rPr>
    </w:lvl>
    <w:lvl w:ilvl="4" w:tentative="0">
      <w:start w:val="1"/>
      <w:numFmt w:val="decimal"/>
      <w:lvlText w:val="%1.%2.%3.%4.%5."/>
      <w:lvlJc w:val="left"/>
      <w:pPr>
        <w:ind w:left="0" w:firstLine="0"/>
      </w:pPr>
      <w:rPr>
        <w:rFonts w:hint="eastAsia"/>
        <w:b/>
        <w:bCs/>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07724F5B"/>
    <w:multiLevelType w:val="multilevel"/>
    <w:tmpl w:val="07724F5B"/>
    <w:lvl w:ilvl="0" w:tentative="0">
      <w:start w:val="1"/>
      <w:numFmt w:val="decimal"/>
      <w:pStyle w:val="245"/>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8"/>
        </w:tabs>
        <w:ind w:left="1418" w:hanging="567"/>
      </w:pPr>
      <w:rPr>
        <w:rFonts w:cs="Times New Roman"/>
      </w:rPr>
    </w:lvl>
    <w:lvl w:ilvl="3" w:tentative="0">
      <w:start w:val="1"/>
      <w:numFmt w:val="decimal"/>
      <w:pStyle w:val="196"/>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6">
    <w:nsid w:val="09BE6CC9"/>
    <w:multiLevelType w:val="multilevel"/>
    <w:tmpl w:val="09BE6CC9"/>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pStyle w:val="4"/>
      <w:suff w:val="nothing"/>
      <w:lvlText w:val="%3．"/>
      <w:lvlJc w:val="left"/>
      <w:pPr>
        <w:ind w:left="0" w:firstLine="400"/>
      </w:pPr>
      <w:rPr>
        <w:rFonts w:hint="eastAsia" w:ascii="黑体" w:hAnsi="黑体" w:eastAsia="黑体"/>
      </w:rPr>
    </w:lvl>
    <w:lvl w:ilvl="3" w:tentative="0">
      <w:start w:val="1"/>
      <w:numFmt w:val="decimal"/>
      <w:pStyle w:val="7"/>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9"/>
      <w:suff w:val="nothing"/>
      <w:lvlText w:val="%5"/>
      <w:lvlJc w:val="left"/>
      <w:pPr>
        <w:tabs>
          <w:tab w:val="left" w:pos="0"/>
        </w:tabs>
        <w:ind w:left="0" w:firstLine="402"/>
      </w:pPr>
      <w:rPr>
        <w:rFonts w:hint="eastAsia" w:ascii="黑体" w:hAnsi="黑体" w:eastAsia="黑体"/>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6"/>
      <w:suff w:val="nothing"/>
      <w:lvlText w:val="%9 "/>
      <w:lvlJc w:val="left"/>
      <w:pPr>
        <w:ind w:left="0" w:firstLine="402"/>
      </w:pPr>
      <w:rPr>
        <w:rFonts w:hint="eastAsia"/>
      </w:rPr>
    </w:lvl>
  </w:abstractNum>
  <w:abstractNum w:abstractNumId="7">
    <w:nsid w:val="17DA37AD"/>
    <w:multiLevelType w:val="multilevel"/>
    <w:tmpl w:val="17DA37AD"/>
    <w:lvl w:ilvl="0" w:tentative="0">
      <w:start w:val="1"/>
      <w:numFmt w:val="decimal"/>
      <w:pStyle w:val="35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BBA491D"/>
    <w:multiLevelType w:val="multilevel"/>
    <w:tmpl w:val="2BBA491D"/>
    <w:lvl w:ilvl="0" w:tentative="0">
      <w:start w:val="1"/>
      <w:numFmt w:val="decimal"/>
      <w:pStyle w:val="35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E965F2D"/>
    <w:multiLevelType w:val="multilevel"/>
    <w:tmpl w:val="2E965F2D"/>
    <w:lvl w:ilvl="0" w:tentative="0">
      <w:start w:val="1"/>
      <w:numFmt w:val="decimal"/>
      <w:pStyle w:val="673"/>
      <w:lvlText w:val="%1."/>
      <w:lvlJc w:val="left"/>
      <w:pPr>
        <w:ind w:left="987" w:hanging="420"/>
      </w:pPr>
      <w:rPr>
        <w:rFonts w:hint="eastAsia"/>
      </w:rPr>
    </w:lvl>
    <w:lvl w:ilvl="1" w:tentative="0">
      <w:start w:val="1"/>
      <w:numFmt w:val="decimal"/>
      <w:pStyle w:val="671"/>
      <w:lvlText w:val="%1.%2"/>
      <w:lvlJc w:val="left"/>
      <w:pPr>
        <w:ind w:left="992" w:hanging="567"/>
      </w:pPr>
      <w:rPr>
        <w:rFonts w:hint="eastAsia"/>
      </w:rPr>
    </w:lvl>
    <w:lvl w:ilvl="2" w:tentative="0">
      <w:start w:val="1"/>
      <w:numFmt w:val="decimal"/>
      <w:pStyle w:val="681"/>
      <w:lvlText w:val="%1.%2.%3"/>
      <w:lvlJc w:val="left"/>
      <w:pPr>
        <w:ind w:left="2694" w:hanging="567"/>
      </w:pPr>
      <w:rPr>
        <w:rFonts w:hint="eastAsia"/>
      </w:rPr>
    </w:lvl>
    <w:lvl w:ilvl="3" w:tentative="0">
      <w:start w:val="1"/>
      <w:numFmt w:val="decimal"/>
      <w:pStyle w:val="683"/>
      <w:lvlText w:val="%1.%2.%3.%4"/>
      <w:lvlJc w:val="left"/>
      <w:pPr>
        <w:ind w:left="3119" w:hanging="708"/>
      </w:pPr>
      <w:rPr>
        <w:rFonts w:hint="eastAsia"/>
      </w:rPr>
    </w:lvl>
    <w:lvl w:ilvl="4" w:tentative="0">
      <w:start w:val="1"/>
      <w:numFmt w:val="decimal"/>
      <w:pStyle w:val="867"/>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01F4884"/>
    <w:multiLevelType w:val="multilevel"/>
    <w:tmpl w:val="301F4884"/>
    <w:lvl w:ilvl="0" w:tentative="0">
      <w:start w:val="2"/>
      <w:numFmt w:val="decimal"/>
      <w:pStyle w:val="413"/>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32EF3B4D"/>
    <w:multiLevelType w:val="multilevel"/>
    <w:tmpl w:val="32EF3B4D"/>
    <w:lvl w:ilvl="0" w:tentative="0">
      <w:start w:val="1"/>
      <w:numFmt w:val="decimal"/>
      <w:pStyle w:val="447"/>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746462F"/>
    <w:multiLevelType w:val="multilevel"/>
    <w:tmpl w:val="3746462F"/>
    <w:lvl w:ilvl="0" w:tentative="0">
      <w:start w:val="1"/>
      <w:numFmt w:val="decimal"/>
      <w:pStyle w:val="851"/>
      <w:lvlText w:val="%1."/>
      <w:lvlJc w:val="left"/>
      <w:pPr>
        <w:tabs>
          <w:tab w:val="left" w:pos="360"/>
        </w:tabs>
        <w:ind w:left="360" w:hanging="360"/>
      </w:pPr>
    </w:lvl>
    <w:lvl w:ilvl="1" w:tentative="0">
      <w:start w:val="1"/>
      <w:numFmt w:val="lowerLetter"/>
      <w:pStyle w:val="856"/>
      <w:lvlText w:val="%2)"/>
      <w:lvlJc w:val="left"/>
      <w:pPr>
        <w:tabs>
          <w:tab w:val="left" w:pos="360"/>
        </w:tabs>
        <w:ind w:left="360" w:hanging="360"/>
      </w:pPr>
    </w:lvl>
    <w:lvl w:ilvl="2" w:tentative="0">
      <w:start w:val="1"/>
      <w:numFmt w:val="lowerRoman"/>
      <w:pStyle w:val="857"/>
      <w:lvlText w:val="%3)"/>
      <w:lvlJc w:val="left"/>
      <w:pPr>
        <w:tabs>
          <w:tab w:val="left" w:pos="720"/>
        </w:tabs>
        <w:ind w:left="360" w:hanging="360"/>
      </w:pPr>
    </w:lvl>
    <w:lvl w:ilvl="3" w:tentative="0">
      <w:start w:val="1"/>
      <w:numFmt w:val="none"/>
      <w:lvlText w:val=""/>
      <w:lvlJc w:val="left"/>
      <w:pPr>
        <w:tabs>
          <w:tab w:val="left" w:pos="1440"/>
        </w:tabs>
        <w:ind w:left="1440" w:hanging="360"/>
      </w:pPr>
    </w:lvl>
    <w:lvl w:ilvl="4" w:tentative="0">
      <w:start w:val="1"/>
      <w:numFmt w:val="none"/>
      <w:lvlText w:val=""/>
      <w:lvlJc w:val="left"/>
      <w:pPr>
        <w:tabs>
          <w:tab w:val="left" w:pos="1800"/>
        </w:tabs>
        <w:ind w:left="1800" w:hanging="360"/>
      </w:pPr>
    </w:lvl>
    <w:lvl w:ilvl="5" w:tentative="0">
      <w:start w:val="1"/>
      <w:numFmt w:val="none"/>
      <w:lvlText w:val=""/>
      <w:lvlJc w:val="left"/>
      <w:pPr>
        <w:tabs>
          <w:tab w:val="left" w:pos="2160"/>
        </w:tabs>
        <w:ind w:left="2160" w:hanging="360"/>
      </w:pPr>
    </w:lvl>
    <w:lvl w:ilvl="6" w:tentative="0">
      <w:start w:val="1"/>
      <w:numFmt w:val="none"/>
      <w:lvlText w:val=""/>
      <w:lvlJc w:val="left"/>
      <w:pPr>
        <w:tabs>
          <w:tab w:val="left" w:pos="2520"/>
        </w:tabs>
        <w:ind w:left="2520" w:hanging="360"/>
      </w:pPr>
    </w:lvl>
    <w:lvl w:ilvl="7" w:tentative="0">
      <w:start w:val="1"/>
      <w:numFmt w:val="none"/>
      <w:lvlText w:val=""/>
      <w:lvlJc w:val="left"/>
      <w:pPr>
        <w:tabs>
          <w:tab w:val="left" w:pos="2880"/>
        </w:tabs>
        <w:ind w:left="2880" w:hanging="360"/>
      </w:pPr>
    </w:lvl>
    <w:lvl w:ilvl="8" w:tentative="0">
      <w:start w:val="1"/>
      <w:numFmt w:val="none"/>
      <w:lvlText w:val=""/>
      <w:lvlJc w:val="left"/>
      <w:pPr>
        <w:tabs>
          <w:tab w:val="left" w:pos="3240"/>
        </w:tabs>
        <w:ind w:left="3240" w:hanging="360"/>
      </w:pPr>
    </w:lvl>
  </w:abstractNum>
  <w:abstractNum w:abstractNumId="13">
    <w:nsid w:val="3B0163A1"/>
    <w:multiLevelType w:val="multilevel"/>
    <w:tmpl w:val="3B0163A1"/>
    <w:lvl w:ilvl="0" w:tentative="0">
      <w:start w:val="1"/>
      <w:numFmt w:val="decimal"/>
      <w:lvlText w:val="%1."/>
      <w:lvlJc w:val="left"/>
      <w:pPr>
        <w:tabs>
          <w:tab w:val="left" w:pos="360"/>
        </w:tabs>
        <w:ind w:left="360" w:hanging="360"/>
      </w:pPr>
      <w:rPr>
        <w:rFonts w:hint="default" w:cs="Times New Roman"/>
      </w:rPr>
    </w:lvl>
    <w:lvl w:ilvl="1" w:tentative="0">
      <w:start w:val="1"/>
      <w:numFmt w:val="decimal"/>
      <w:pStyle w:val="453"/>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4185C42F"/>
    <w:multiLevelType w:val="singleLevel"/>
    <w:tmpl w:val="4185C42F"/>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15">
    <w:nsid w:val="42E45F04"/>
    <w:multiLevelType w:val="multilevel"/>
    <w:tmpl w:val="42E45F04"/>
    <w:lvl w:ilvl="0" w:tentative="0">
      <w:start w:val="1"/>
      <w:numFmt w:val="decimal"/>
      <w:pStyle w:val="465"/>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44BC128B"/>
    <w:multiLevelType w:val="multilevel"/>
    <w:tmpl w:val="44BC128B"/>
    <w:lvl w:ilvl="0" w:tentative="0">
      <w:start w:val="1"/>
      <w:numFmt w:val="bullet"/>
      <w:pStyle w:val="70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7">
    <w:nsid w:val="48174DE5"/>
    <w:multiLevelType w:val="multilevel"/>
    <w:tmpl w:val="48174DE5"/>
    <w:lvl w:ilvl="0" w:tentative="0">
      <w:start w:val="1"/>
      <w:numFmt w:val="decimal"/>
      <w:pStyle w:val="174"/>
      <w:lvlText w:val="%1、"/>
      <w:lvlJc w:val="left"/>
      <w:pPr>
        <w:tabs>
          <w:tab w:val="left" w:pos="360"/>
        </w:tabs>
        <w:ind w:left="360" w:hanging="360"/>
      </w:pPr>
      <w:rPr>
        <w:rFonts w:hint="default"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4B9D13A2"/>
    <w:multiLevelType w:val="multilevel"/>
    <w:tmpl w:val="4B9D13A2"/>
    <w:lvl w:ilvl="0" w:tentative="0">
      <w:start w:val="1"/>
      <w:numFmt w:val="bullet"/>
      <w:pStyle w:val="16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2F0A5E"/>
    <w:multiLevelType w:val="multilevel"/>
    <w:tmpl w:val="522F0A5E"/>
    <w:lvl w:ilvl="0" w:tentative="0">
      <w:start w:val="1"/>
      <w:numFmt w:val="bullet"/>
      <w:pStyle w:val="831"/>
      <w:lvlText w:val=""/>
      <w:lvlJc w:val="left"/>
      <w:pPr>
        <w:tabs>
          <w:tab w:val="left" w:pos="360"/>
        </w:tabs>
        <w:ind w:left="360" w:hanging="360"/>
      </w:pPr>
      <w:rPr>
        <w:rFonts w:hint="default" w:ascii="Wingdings" w:hAnsi="Wingdings"/>
        <w:b w:val="0"/>
        <w:i w:val="0"/>
        <w:color w:val="CC9900"/>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2CC104B"/>
    <w:multiLevelType w:val="multilevel"/>
    <w:tmpl w:val="52CC104B"/>
    <w:lvl w:ilvl="0" w:tentative="0">
      <w:start w:val="1"/>
      <w:numFmt w:val="decimal"/>
      <w:pStyle w:val="35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54DE11A5"/>
    <w:multiLevelType w:val="multilevel"/>
    <w:tmpl w:val="54DE11A5"/>
    <w:lvl w:ilvl="0" w:tentative="0">
      <w:start w:val="1"/>
      <w:numFmt w:val="bullet"/>
      <w:pStyle w:val="761"/>
      <w:lvlText w:val=""/>
      <w:lvlJc w:val="left"/>
      <w:pPr>
        <w:tabs>
          <w:tab w:val="left" w:pos="360"/>
        </w:tabs>
        <w:ind w:left="36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63075CD5"/>
    <w:multiLevelType w:val="singleLevel"/>
    <w:tmpl w:val="63075CD5"/>
    <w:lvl w:ilvl="0" w:tentative="0">
      <w:start w:val="1"/>
      <w:numFmt w:val="bullet"/>
      <w:pStyle w:val="865"/>
      <w:lvlText w:val=""/>
      <w:lvlJc w:val="left"/>
      <w:pPr>
        <w:tabs>
          <w:tab w:val="left" w:pos="1440"/>
        </w:tabs>
        <w:ind w:left="1440" w:hanging="360"/>
      </w:pPr>
      <w:rPr>
        <w:rFonts w:hint="default" w:ascii="Symbol" w:hAnsi="Symbol"/>
        <w:b w:val="0"/>
        <w:i w:val="0"/>
        <w:sz w:val="12"/>
      </w:rPr>
    </w:lvl>
  </w:abstractNum>
  <w:abstractNum w:abstractNumId="23">
    <w:nsid w:val="68070870"/>
    <w:multiLevelType w:val="singleLevel"/>
    <w:tmpl w:val="68070870"/>
    <w:lvl w:ilvl="0" w:tentative="0">
      <w:start w:val="1"/>
      <w:numFmt w:val="decimal"/>
      <w:suff w:val="nothing"/>
      <w:lvlText w:val="%1"/>
      <w:lvlJc w:val="left"/>
      <w:pPr>
        <w:tabs>
          <w:tab w:val="left" w:pos="0"/>
        </w:tabs>
        <w:ind w:left="425" w:leftChars="0" w:hanging="425" w:firstLineChars="0"/>
      </w:pPr>
      <w:rPr>
        <w:rFonts w:hint="default"/>
      </w:rPr>
    </w:lvl>
  </w:abstractNum>
  <w:abstractNum w:abstractNumId="24">
    <w:nsid w:val="6D1D48D6"/>
    <w:multiLevelType w:val="multilevel"/>
    <w:tmpl w:val="6D1D48D6"/>
    <w:lvl w:ilvl="0" w:tentative="0">
      <w:start w:val="1"/>
      <w:numFmt w:val="decimal"/>
      <w:pStyle w:val="38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6E2143A3"/>
    <w:multiLevelType w:val="multilevel"/>
    <w:tmpl w:val="6E2143A3"/>
    <w:lvl w:ilvl="0" w:tentative="0">
      <w:start w:val="1"/>
      <w:numFmt w:val="bullet"/>
      <w:pStyle w:val="147"/>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rPr>
        <w:rFonts w:cs="Times New Roman"/>
      </w:rPr>
    </w:lvl>
    <w:lvl w:ilvl="2" w:tentative="0">
      <w:start w:val="1"/>
      <w:numFmt w:val="japaneseCounting"/>
      <w:pStyle w:val="298"/>
      <w:lvlText w:val="（%3）"/>
      <w:lvlJc w:val="left"/>
      <w:pPr>
        <w:tabs>
          <w:tab w:val="left" w:pos="1560"/>
        </w:tabs>
        <w:ind w:left="1560" w:hanging="720"/>
      </w:pPr>
      <w:rPr>
        <w:rFonts w:hint="eastAsia" w:cs="Times New Roman"/>
      </w:rPr>
    </w:lvl>
    <w:lvl w:ilvl="3" w:tentative="0">
      <w:start w:val="1"/>
      <w:numFmt w:val="decimal"/>
      <w:pStyle w:val="186"/>
      <w:lvlText w:val="%4)"/>
      <w:lvlJc w:val="left"/>
      <w:pPr>
        <w:tabs>
          <w:tab w:val="left" w:pos="1680"/>
        </w:tabs>
        <w:ind w:left="1680" w:hanging="420"/>
      </w:pPr>
      <w:rPr>
        <w:rFonts w:cs="Times New Roman"/>
      </w:rPr>
    </w:lvl>
    <w:lvl w:ilvl="4" w:tentative="0">
      <w:start w:val="1"/>
      <w:numFmt w:val="decimal"/>
      <w:lvlText w:val="（%5）"/>
      <w:lvlJc w:val="left"/>
      <w:pPr>
        <w:tabs>
          <w:tab w:val="left" w:pos="2865"/>
        </w:tabs>
        <w:ind w:left="2865" w:hanging="1185"/>
      </w:pPr>
      <w:rPr>
        <w:rFonts w:hint="eastAsia" w:cs="Times New Roman"/>
      </w:rPr>
    </w:lvl>
    <w:lvl w:ilvl="5" w:tentative="0">
      <w:start w:val="1"/>
      <w:numFmt w:val="decimal"/>
      <w:lvlText w:val="%6）"/>
      <w:lvlJc w:val="left"/>
      <w:pPr>
        <w:tabs>
          <w:tab w:val="left" w:pos="2460"/>
        </w:tabs>
        <w:ind w:left="2460" w:hanging="360"/>
      </w:pPr>
      <w:rPr>
        <w:rFonts w:hint="eastAsia" w:cs="Times New Roman"/>
      </w:rPr>
    </w:lvl>
    <w:lvl w:ilvl="6" w:tentative="0">
      <w:start w:val="1"/>
      <w:numFmt w:val="decimal"/>
      <w:lvlText w:val="%7、"/>
      <w:lvlJc w:val="left"/>
      <w:pPr>
        <w:tabs>
          <w:tab w:val="left" w:pos="3465"/>
        </w:tabs>
        <w:ind w:left="3465" w:hanging="945"/>
      </w:pPr>
      <w:rPr>
        <w:rFonts w:hint="eastAsia" w:cs="Times New Roman"/>
      </w:rPr>
    </w:lvl>
    <w:lvl w:ilvl="7" w:tentative="0">
      <w:start w:val="3"/>
      <w:numFmt w:val="japaneseCounting"/>
      <w:lvlText w:val="%8、"/>
      <w:lvlJc w:val="left"/>
      <w:pPr>
        <w:tabs>
          <w:tab w:val="left" w:pos="3660"/>
        </w:tabs>
        <w:ind w:left="3660" w:hanging="720"/>
      </w:pPr>
      <w:rPr>
        <w:rFonts w:hint="default" w:cs="Times New Roman"/>
      </w:rPr>
    </w:lvl>
    <w:lvl w:ilvl="8" w:tentative="0">
      <w:start w:val="2"/>
      <w:numFmt w:val="decimal"/>
      <w:lvlText w:val="%9．"/>
      <w:lvlJc w:val="left"/>
      <w:pPr>
        <w:tabs>
          <w:tab w:val="left" w:pos="3720"/>
        </w:tabs>
        <w:ind w:left="3720" w:hanging="360"/>
      </w:pPr>
      <w:rPr>
        <w:rFonts w:hint="default" w:cs="Times New Roman"/>
      </w:rPr>
    </w:lvl>
  </w:abstractNum>
  <w:abstractNum w:abstractNumId="26">
    <w:nsid w:val="7B151701"/>
    <w:multiLevelType w:val="multilevel"/>
    <w:tmpl w:val="7B151701"/>
    <w:lvl w:ilvl="0" w:tentative="0">
      <w:start w:val="1"/>
      <w:numFmt w:val="decimal"/>
      <w:lvlText w:val="%1."/>
      <w:lvlJc w:val="left"/>
      <w:pPr>
        <w:tabs>
          <w:tab w:val="left" w:pos="0"/>
        </w:tabs>
        <w:ind w:left="420" w:hanging="420"/>
      </w:pPr>
      <w:rPr>
        <w:rFonts w:hint="eastAsia" w:cs="Times New Roman"/>
      </w:rPr>
    </w:lvl>
    <w:lvl w:ilvl="1" w:tentative="0">
      <w:start w:val="1"/>
      <w:numFmt w:val="decimal"/>
      <w:pStyle w:val="535"/>
      <w:lvlText w:val="%1.%2"/>
      <w:lvlJc w:val="left"/>
      <w:pPr>
        <w:tabs>
          <w:tab w:val="left" w:pos="700"/>
        </w:tabs>
        <w:ind w:left="700" w:hanging="700"/>
      </w:pPr>
      <w:rPr>
        <w:rFonts w:hint="eastAsia" w:cs="Times New Roman"/>
      </w:rPr>
    </w:lvl>
    <w:lvl w:ilvl="2" w:tentative="0">
      <w:start w:val="1"/>
      <w:numFmt w:val="decimal"/>
      <w:lvlText w:val="%1.%2.%3"/>
      <w:lvlJc w:val="left"/>
      <w:pPr>
        <w:tabs>
          <w:tab w:val="left" w:pos="0"/>
        </w:tabs>
        <w:ind w:left="1418" w:hanging="1418"/>
      </w:pPr>
      <w:rPr>
        <w:rFonts w:hint="eastAsia" w:cs="Times New Roman"/>
      </w:rPr>
    </w:lvl>
    <w:lvl w:ilvl="3" w:tentative="0">
      <w:start w:val="1"/>
      <w:numFmt w:val="decimal"/>
      <w:lvlText w:val="%1.%2.%3.%4"/>
      <w:lvlJc w:val="left"/>
      <w:pPr>
        <w:tabs>
          <w:tab w:val="left" w:pos="0"/>
        </w:tabs>
        <w:ind w:left="1984" w:hanging="1984"/>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6"/>
  </w:num>
  <w:num w:numId="2">
    <w:abstractNumId w:val="0"/>
  </w:num>
  <w:num w:numId="3">
    <w:abstractNumId w:val="3"/>
  </w:num>
  <w:num w:numId="4">
    <w:abstractNumId w:val="14"/>
  </w:num>
  <w:num w:numId="5">
    <w:abstractNumId w:val="1"/>
  </w:num>
  <w:num w:numId="6">
    <w:abstractNumId w:val="2"/>
  </w:num>
  <w:num w:numId="7">
    <w:abstractNumId w:val="25"/>
  </w:num>
  <w:num w:numId="8">
    <w:abstractNumId w:val="18"/>
  </w:num>
  <w:num w:numId="9">
    <w:abstractNumId w:val="17"/>
  </w:num>
  <w:num w:numId="10">
    <w:abstractNumId w:val="5"/>
  </w:num>
  <w:num w:numId="11">
    <w:abstractNumId w:val="8"/>
  </w:num>
  <w:num w:numId="12">
    <w:abstractNumId w:val="20"/>
  </w:num>
  <w:num w:numId="13">
    <w:abstractNumId w:val="7"/>
  </w:num>
  <w:num w:numId="14">
    <w:abstractNumId w:val="24"/>
  </w:num>
  <w:num w:numId="15">
    <w:abstractNumId w:val="10"/>
  </w:num>
  <w:num w:numId="16">
    <w:abstractNumId w:val="11"/>
  </w:num>
  <w:num w:numId="17">
    <w:abstractNumId w:val="13"/>
  </w:num>
  <w:num w:numId="18">
    <w:abstractNumId w:val="15"/>
  </w:num>
  <w:num w:numId="19">
    <w:abstractNumId w:val="26"/>
  </w:num>
  <w:num w:numId="20">
    <w:abstractNumId w:val="9"/>
  </w:num>
  <w:num w:numId="21">
    <w:abstractNumId w:val="16"/>
  </w:num>
  <w:num w:numId="22">
    <w:abstractNumId w:val="21"/>
  </w:num>
  <w:num w:numId="23">
    <w:abstractNumId w:val="19"/>
  </w:num>
  <w:num w:numId="24">
    <w:abstractNumId w:val="12"/>
  </w:num>
  <w:num w:numId="25">
    <w:abstractNumId w:val="22"/>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jcyZGNmODdjYTYzN2QxZDRmN2EyZjUzOTIwNzMifQ=="/>
  </w:docVars>
  <w:rsids>
    <w:rsidRoot w:val="0018706E"/>
    <w:rsid w:val="00004AB6"/>
    <w:rsid w:val="0000646B"/>
    <w:rsid w:val="00007388"/>
    <w:rsid w:val="00010118"/>
    <w:rsid w:val="00010DC1"/>
    <w:rsid w:val="00013E49"/>
    <w:rsid w:val="00014059"/>
    <w:rsid w:val="0001485F"/>
    <w:rsid w:val="0001531B"/>
    <w:rsid w:val="00017A64"/>
    <w:rsid w:val="00017B07"/>
    <w:rsid w:val="00021687"/>
    <w:rsid w:val="0002385C"/>
    <w:rsid w:val="000263BB"/>
    <w:rsid w:val="0003085D"/>
    <w:rsid w:val="00030C77"/>
    <w:rsid w:val="00030FE3"/>
    <w:rsid w:val="0003207D"/>
    <w:rsid w:val="00035255"/>
    <w:rsid w:val="00035BB1"/>
    <w:rsid w:val="00037C9D"/>
    <w:rsid w:val="00042D24"/>
    <w:rsid w:val="00044243"/>
    <w:rsid w:val="00044278"/>
    <w:rsid w:val="000449CB"/>
    <w:rsid w:val="00044ACA"/>
    <w:rsid w:val="00046FE0"/>
    <w:rsid w:val="000548FE"/>
    <w:rsid w:val="00055B69"/>
    <w:rsid w:val="000577AF"/>
    <w:rsid w:val="0005784B"/>
    <w:rsid w:val="00057AD6"/>
    <w:rsid w:val="00060E1F"/>
    <w:rsid w:val="00065FFA"/>
    <w:rsid w:val="0007179E"/>
    <w:rsid w:val="00072C12"/>
    <w:rsid w:val="00072E08"/>
    <w:rsid w:val="00073ACC"/>
    <w:rsid w:val="00074D15"/>
    <w:rsid w:val="00083554"/>
    <w:rsid w:val="00085A5C"/>
    <w:rsid w:val="00087AD2"/>
    <w:rsid w:val="000907F9"/>
    <w:rsid w:val="00090C2E"/>
    <w:rsid w:val="000930E6"/>
    <w:rsid w:val="00094321"/>
    <w:rsid w:val="00094922"/>
    <w:rsid w:val="000966A7"/>
    <w:rsid w:val="00097501"/>
    <w:rsid w:val="0009788E"/>
    <w:rsid w:val="000A0651"/>
    <w:rsid w:val="000A0F35"/>
    <w:rsid w:val="000A257E"/>
    <w:rsid w:val="000A2934"/>
    <w:rsid w:val="000A573E"/>
    <w:rsid w:val="000B0376"/>
    <w:rsid w:val="000B1BCB"/>
    <w:rsid w:val="000B467E"/>
    <w:rsid w:val="000B5468"/>
    <w:rsid w:val="000C07BE"/>
    <w:rsid w:val="000C3AC6"/>
    <w:rsid w:val="000C4C06"/>
    <w:rsid w:val="000C503A"/>
    <w:rsid w:val="000C6D61"/>
    <w:rsid w:val="000D137F"/>
    <w:rsid w:val="000D2618"/>
    <w:rsid w:val="000D3A78"/>
    <w:rsid w:val="000D3E5A"/>
    <w:rsid w:val="000D49E1"/>
    <w:rsid w:val="000D4A25"/>
    <w:rsid w:val="000D7166"/>
    <w:rsid w:val="000E004B"/>
    <w:rsid w:val="000E058F"/>
    <w:rsid w:val="000E09B7"/>
    <w:rsid w:val="000E1477"/>
    <w:rsid w:val="000E215F"/>
    <w:rsid w:val="000E3438"/>
    <w:rsid w:val="000E3A95"/>
    <w:rsid w:val="000E4403"/>
    <w:rsid w:val="000E4FEC"/>
    <w:rsid w:val="000E5BCD"/>
    <w:rsid w:val="000E6809"/>
    <w:rsid w:val="000E7149"/>
    <w:rsid w:val="000F1818"/>
    <w:rsid w:val="000F222A"/>
    <w:rsid w:val="000F24C3"/>
    <w:rsid w:val="000F2C9B"/>
    <w:rsid w:val="000F38E3"/>
    <w:rsid w:val="000F5824"/>
    <w:rsid w:val="000F7C55"/>
    <w:rsid w:val="00100E38"/>
    <w:rsid w:val="00101796"/>
    <w:rsid w:val="00101C04"/>
    <w:rsid w:val="00103F6B"/>
    <w:rsid w:val="0010409F"/>
    <w:rsid w:val="00106E96"/>
    <w:rsid w:val="00106EAB"/>
    <w:rsid w:val="00107D21"/>
    <w:rsid w:val="00107DCB"/>
    <w:rsid w:val="00110D0C"/>
    <w:rsid w:val="0011118B"/>
    <w:rsid w:val="00111CCA"/>
    <w:rsid w:val="00115461"/>
    <w:rsid w:val="00116079"/>
    <w:rsid w:val="00121225"/>
    <w:rsid w:val="001224FD"/>
    <w:rsid w:val="001260F0"/>
    <w:rsid w:val="00130731"/>
    <w:rsid w:val="0013081B"/>
    <w:rsid w:val="00131614"/>
    <w:rsid w:val="00131855"/>
    <w:rsid w:val="00134C20"/>
    <w:rsid w:val="001352CF"/>
    <w:rsid w:val="0013558E"/>
    <w:rsid w:val="001365D5"/>
    <w:rsid w:val="00140E5A"/>
    <w:rsid w:val="00142A1A"/>
    <w:rsid w:val="00143ACC"/>
    <w:rsid w:val="00143CCF"/>
    <w:rsid w:val="0014595F"/>
    <w:rsid w:val="001459F8"/>
    <w:rsid w:val="00147CFB"/>
    <w:rsid w:val="00151210"/>
    <w:rsid w:val="0015133A"/>
    <w:rsid w:val="001523AF"/>
    <w:rsid w:val="0015242F"/>
    <w:rsid w:val="001528A2"/>
    <w:rsid w:val="00153802"/>
    <w:rsid w:val="0015386D"/>
    <w:rsid w:val="0015460C"/>
    <w:rsid w:val="001574E3"/>
    <w:rsid w:val="00157E83"/>
    <w:rsid w:val="00160FC2"/>
    <w:rsid w:val="00162EC8"/>
    <w:rsid w:val="001640B3"/>
    <w:rsid w:val="0016477E"/>
    <w:rsid w:val="001668A8"/>
    <w:rsid w:val="001678A3"/>
    <w:rsid w:val="00167A84"/>
    <w:rsid w:val="00167AC4"/>
    <w:rsid w:val="001722EA"/>
    <w:rsid w:val="00174822"/>
    <w:rsid w:val="001760B6"/>
    <w:rsid w:val="00177381"/>
    <w:rsid w:val="00180204"/>
    <w:rsid w:val="00183EBD"/>
    <w:rsid w:val="00184410"/>
    <w:rsid w:val="00184FBA"/>
    <w:rsid w:val="00185891"/>
    <w:rsid w:val="00185D1A"/>
    <w:rsid w:val="0018706E"/>
    <w:rsid w:val="001926B8"/>
    <w:rsid w:val="00193AF8"/>
    <w:rsid w:val="001948CE"/>
    <w:rsid w:val="001951A7"/>
    <w:rsid w:val="00195451"/>
    <w:rsid w:val="001A0D80"/>
    <w:rsid w:val="001A268E"/>
    <w:rsid w:val="001A490C"/>
    <w:rsid w:val="001A7214"/>
    <w:rsid w:val="001A7600"/>
    <w:rsid w:val="001A79CF"/>
    <w:rsid w:val="001B23AE"/>
    <w:rsid w:val="001B3DC6"/>
    <w:rsid w:val="001B440A"/>
    <w:rsid w:val="001B52F9"/>
    <w:rsid w:val="001B6256"/>
    <w:rsid w:val="001B7113"/>
    <w:rsid w:val="001B7D39"/>
    <w:rsid w:val="001C17BB"/>
    <w:rsid w:val="001C3D20"/>
    <w:rsid w:val="001C58C5"/>
    <w:rsid w:val="001C5DFA"/>
    <w:rsid w:val="001D1520"/>
    <w:rsid w:val="001D176A"/>
    <w:rsid w:val="001D5FB4"/>
    <w:rsid w:val="001D6720"/>
    <w:rsid w:val="001D6C70"/>
    <w:rsid w:val="001D6D9C"/>
    <w:rsid w:val="001E0483"/>
    <w:rsid w:val="001E0777"/>
    <w:rsid w:val="001E4D70"/>
    <w:rsid w:val="001E7A0E"/>
    <w:rsid w:val="001F18C8"/>
    <w:rsid w:val="001F5012"/>
    <w:rsid w:val="001F50F4"/>
    <w:rsid w:val="001F5A01"/>
    <w:rsid w:val="001F6F44"/>
    <w:rsid w:val="001F792F"/>
    <w:rsid w:val="00202E39"/>
    <w:rsid w:val="00204363"/>
    <w:rsid w:val="002047AC"/>
    <w:rsid w:val="002049FA"/>
    <w:rsid w:val="00206129"/>
    <w:rsid w:val="002061B2"/>
    <w:rsid w:val="00210B8B"/>
    <w:rsid w:val="00210C58"/>
    <w:rsid w:val="002125F8"/>
    <w:rsid w:val="0021339B"/>
    <w:rsid w:val="00215412"/>
    <w:rsid w:val="00215575"/>
    <w:rsid w:val="00215EA1"/>
    <w:rsid w:val="00215EFD"/>
    <w:rsid w:val="0022037D"/>
    <w:rsid w:val="002203A1"/>
    <w:rsid w:val="002229C7"/>
    <w:rsid w:val="00227EEC"/>
    <w:rsid w:val="00230585"/>
    <w:rsid w:val="0023102E"/>
    <w:rsid w:val="00235D53"/>
    <w:rsid w:val="00241C21"/>
    <w:rsid w:val="00242D7B"/>
    <w:rsid w:val="002437CE"/>
    <w:rsid w:val="002440EC"/>
    <w:rsid w:val="002471C2"/>
    <w:rsid w:val="0025153C"/>
    <w:rsid w:val="00251B1E"/>
    <w:rsid w:val="0025358E"/>
    <w:rsid w:val="00254086"/>
    <w:rsid w:val="002544E4"/>
    <w:rsid w:val="00255188"/>
    <w:rsid w:val="0025696A"/>
    <w:rsid w:val="00257723"/>
    <w:rsid w:val="00257E00"/>
    <w:rsid w:val="00262E26"/>
    <w:rsid w:val="00263546"/>
    <w:rsid w:val="00265E0C"/>
    <w:rsid w:val="00265F6E"/>
    <w:rsid w:val="00266324"/>
    <w:rsid w:val="002731B9"/>
    <w:rsid w:val="002737B1"/>
    <w:rsid w:val="00275389"/>
    <w:rsid w:val="002802F7"/>
    <w:rsid w:val="00280D02"/>
    <w:rsid w:val="00282975"/>
    <w:rsid w:val="00284A86"/>
    <w:rsid w:val="00285013"/>
    <w:rsid w:val="00287C0E"/>
    <w:rsid w:val="0029078F"/>
    <w:rsid w:val="002916D2"/>
    <w:rsid w:val="00291714"/>
    <w:rsid w:val="002940C3"/>
    <w:rsid w:val="00294A64"/>
    <w:rsid w:val="00295E02"/>
    <w:rsid w:val="002A3626"/>
    <w:rsid w:val="002A5404"/>
    <w:rsid w:val="002B0857"/>
    <w:rsid w:val="002B20BC"/>
    <w:rsid w:val="002B2569"/>
    <w:rsid w:val="002B4717"/>
    <w:rsid w:val="002B5C0D"/>
    <w:rsid w:val="002B630D"/>
    <w:rsid w:val="002B7CF6"/>
    <w:rsid w:val="002C3E38"/>
    <w:rsid w:val="002C441A"/>
    <w:rsid w:val="002C4A4A"/>
    <w:rsid w:val="002C5A90"/>
    <w:rsid w:val="002C6CA7"/>
    <w:rsid w:val="002C6FCD"/>
    <w:rsid w:val="002D34B1"/>
    <w:rsid w:val="002D366F"/>
    <w:rsid w:val="002D4DDF"/>
    <w:rsid w:val="002D56BF"/>
    <w:rsid w:val="002D79DE"/>
    <w:rsid w:val="002E006F"/>
    <w:rsid w:val="002E0C3A"/>
    <w:rsid w:val="002E4D7A"/>
    <w:rsid w:val="002E7326"/>
    <w:rsid w:val="002E77C7"/>
    <w:rsid w:val="002F0A32"/>
    <w:rsid w:val="002F26F4"/>
    <w:rsid w:val="002F3691"/>
    <w:rsid w:val="002F4C85"/>
    <w:rsid w:val="002F53BA"/>
    <w:rsid w:val="002F7767"/>
    <w:rsid w:val="002F7862"/>
    <w:rsid w:val="002F7CCF"/>
    <w:rsid w:val="003008C0"/>
    <w:rsid w:val="003011AE"/>
    <w:rsid w:val="00302CCD"/>
    <w:rsid w:val="00304EEB"/>
    <w:rsid w:val="0030515C"/>
    <w:rsid w:val="003053DC"/>
    <w:rsid w:val="003135BA"/>
    <w:rsid w:val="003139C8"/>
    <w:rsid w:val="00314B51"/>
    <w:rsid w:val="00314D34"/>
    <w:rsid w:val="003155FD"/>
    <w:rsid w:val="00316B71"/>
    <w:rsid w:val="00316FA9"/>
    <w:rsid w:val="003230DF"/>
    <w:rsid w:val="00323487"/>
    <w:rsid w:val="00326FE3"/>
    <w:rsid w:val="00327BC7"/>
    <w:rsid w:val="0033300E"/>
    <w:rsid w:val="00335036"/>
    <w:rsid w:val="00337C3E"/>
    <w:rsid w:val="00340132"/>
    <w:rsid w:val="003405CD"/>
    <w:rsid w:val="0034323A"/>
    <w:rsid w:val="003447F7"/>
    <w:rsid w:val="003453AB"/>
    <w:rsid w:val="00347225"/>
    <w:rsid w:val="00347DD8"/>
    <w:rsid w:val="00350AB7"/>
    <w:rsid w:val="00351551"/>
    <w:rsid w:val="00352660"/>
    <w:rsid w:val="00353686"/>
    <w:rsid w:val="00353BDC"/>
    <w:rsid w:val="003565D2"/>
    <w:rsid w:val="003577C6"/>
    <w:rsid w:val="00360226"/>
    <w:rsid w:val="00360900"/>
    <w:rsid w:val="00362076"/>
    <w:rsid w:val="003623AC"/>
    <w:rsid w:val="0036316D"/>
    <w:rsid w:val="00364141"/>
    <w:rsid w:val="00365B5B"/>
    <w:rsid w:val="003673E1"/>
    <w:rsid w:val="003733C6"/>
    <w:rsid w:val="00376316"/>
    <w:rsid w:val="0037667B"/>
    <w:rsid w:val="00377EBD"/>
    <w:rsid w:val="00381721"/>
    <w:rsid w:val="00381BA4"/>
    <w:rsid w:val="00381BD1"/>
    <w:rsid w:val="0038239C"/>
    <w:rsid w:val="0038244D"/>
    <w:rsid w:val="00383642"/>
    <w:rsid w:val="00386A38"/>
    <w:rsid w:val="003977FC"/>
    <w:rsid w:val="003A0091"/>
    <w:rsid w:val="003A1832"/>
    <w:rsid w:val="003A1EBE"/>
    <w:rsid w:val="003A26F1"/>
    <w:rsid w:val="003A2FBB"/>
    <w:rsid w:val="003A5AB1"/>
    <w:rsid w:val="003B10BB"/>
    <w:rsid w:val="003B1F04"/>
    <w:rsid w:val="003B21F7"/>
    <w:rsid w:val="003B40B1"/>
    <w:rsid w:val="003B417A"/>
    <w:rsid w:val="003B4837"/>
    <w:rsid w:val="003B5C43"/>
    <w:rsid w:val="003B5E00"/>
    <w:rsid w:val="003B6790"/>
    <w:rsid w:val="003C4FFD"/>
    <w:rsid w:val="003C7A11"/>
    <w:rsid w:val="003D0744"/>
    <w:rsid w:val="003D0EA9"/>
    <w:rsid w:val="003D1FCD"/>
    <w:rsid w:val="003D38C5"/>
    <w:rsid w:val="003D3F92"/>
    <w:rsid w:val="003D40D8"/>
    <w:rsid w:val="003D693A"/>
    <w:rsid w:val="003D6A32"/>
    <w:rsid w:val="003D76DA"/>
    <w:rsid w:val="003E0DA6"/>
    <w:rsid w:val="003E2AFC"/>
    <w:rsid w:val="003E4763"/>
    <w:rsid w:val="003E6EEF"/>
    <w:rsid w:val="003F18A4"/>
    <w:rsid w:val="003F206E"/>
    <w:rsid w:val="003F444E"/>
    <w:rsid w:val="003F5E8D"/>
    <w:rsid w:val="003F676A"/>
    <w:rsid w:val="0040070E"/>
    <w:rsid w:val="00401175"/>
    <w:rsid w:val="00401EAE"/>
    <w:rsid w:val="0040388A"/>
    <w:rsid w:val="00403AC4"/>
    <w:rsid w:val="0040641B"/>
    <w:rsid w:val="00406662"/>
    <w:rsid w:val="00406709"/>
    <w:rsid w:val="00411945"/>
    <w:rsid w:val="00413A20"/>
    <w:rsid w:val="00417454"/>
    <w:rsid w:val="00420316"/>
    <w:rsid w:val="0042251A"/>
    <w:rsid w:val="0042320E"/>
    <w:rsid w:val="00425272"/>
    <w:rsid w:val="004259FB"/>
    <w:rsid w:val="004261EC"/>
    <w:rsid w:val="004262EA"/>
    <w:rsid w:val="00427828"/>
    <w:rsid w:val="00430C89"/>
    <w:rsid w:val="00430CD0"/>
    <w:rsid w:val="004311C4"/>
    <w:rsid w:val="0043288D"/>
    <w:rsid w:val="00435C84"/>
    <w:rsid w:val="0043641F"/>
    <w:rsid w:val="00440016"/>
    <w:rsid w:val="0044225F"/>
    <w:rsid w:val="00442C07"/>
    <w:rsid w:val="00443F7C"/>
    <w:rsid w:val="00446AB2"/>
    <w:rsid w:val="00447AB2"/>
    <w:rsid w:val="004501EA"/>
    <w:rsid w:val="0045265D"/>
    <w:rsid w:val="004552B9"/>
    <w:rsid w:val="0046529A"/>
    <w:rsid w:val="004674E8"/>
    <w:rsid w:val="00472E5D"/>
    <w:rsid w:val="00472FFD"/>
    <w:rsid w:val="00480204"/>
    <w:rsid w:val="004802B6"/>
    <w:rsid w:val="004829CA"/>
    <w:rsid w:val="00484B25"/>
    <w:rsid w:val="00485ABB"/>
    <w:rsid w:val="00486982"/>
    <w:rsid w:val="00487F65"/>
    <w:rsid w:val="00490B7F"/>
    <w:rsid w:val="0049159C"/>
    <w:rsid w:val="00494920"/>
    <w:rsid w:val="00494A6F"/>
    <w:rsid w:val="0049518A"/>
    <w:rsid w:val="004A025E"/>
    <w:rsid w:val="004A1853"/>
    <w:rsid w:val="004A2D7E"/>
    <w:rsid w:val="004A3D7C"/>
    <w:rsid w:val="004A441D"/>
    <w:rsid w:val="004A79A9"/>
    <w:rsid w:val="004A7C72"/>
    <w:rsid w:val="004B0A42"/>
    <w:rsid w:val="004B0DF1"/>
    <w:rsid w:val="004B0FEC"/>
    <w:rsid w:val="004B2FFD"/>
    <w:rsid w:val="004B3368"/>
    <w:rsid w:val="004B34A8"/>
    <w:rsid w:val="004B5D01"/>
    <w:rsid w:val="004C1607"/>
    <w:rsid w:val="004C4D2F"/>
    <w:rsid w:val="004C5BD7"/>
    <w:rsid w:val="004C7E33"/>
    <w:rsid w:val="004D20F7"/>
    <w:rsid w:val="004D2DD9"/>
    <w:rsid w:val="004D2FB2"/>
    <w:rsid w:val="004D3D66"/>
    <w:rsid w:val="004D43F1"/>
    <w:rsid w:val="004D552D"/>
    <w:rsid w:val="004E1A51"/>
    <w:rsid w:val="004E1B6A"/>
    <w:rsid w:val="004E1DC6"/>
    <w:rsid w:val="004E32B5"/>
    <w:rsid w:val="004E4D1D"/>
    <w:rsid w:val="004E5B91"/>
    <w:rsid w:val="004E67F5"/>
    <w:rsid w:val="004E70C3"/>
    <w:rsid w:val="004F0801"/>
    <w:rsid w:val="004F15F4"/>
    <w:rsid w:val="004F1AC0"/>
    <w:rsid w:val="004F1F82"/>
    <w:rsid w:val="004F384E"/>
    <w:rsid w:val="004F4096"/>
    <w:rsid w:val="004F50D9"/>
    <w:rsid w:val="004F5453"/>
    <w:rsid w:val="004F6E89"/>
    <w:rsid w:val="004F79EF"/>
    <w:rsid w:val="00500535"/>
    <w:rsid w:val="0050197F"/>
    <w:rsid w:val="005020DB"/>
    <w:rsid w:val="00503799"/>
    <w:rsid w:val="00503F3E"/>
    <w:rsid w:val="00504B0B"/>
    <w:rsid w:val="00505486"/>
    <w:rsid w:val="00505683"/>
    <w:rsid w:val="00506D01"/>
    <w:rsid w:val="005117FC"/>
    <w:rsid w:val="0051235C"/>
    <w:rsid w:val="00512C85"/>
    <w:rsid w:val="00515136"/>
    <w:rsid w:val="00516540"/>
    <w:rsid w:val="00526B29"/>
    <w:rsid w:val="005335BF"/>
    <w:rsid w:val="005374C3"/>
    <w:rsid w:val="00541FEB"/>
    <w:rsid w:val="00543AA8"/>
    <w:rsid w:val="00546444"/>
    <w:rsid w:val="005470C1"/>
    <w:rsid w:val="005479AD"/>
    <w:rsid w:val="00555BF0"/>
    <w:rsid w:val="00556443"/>
    <w:rsid w:val="00557886"/>
    <w:rsid w:val="00557E12"/>
    <w:rsid w:val="005602E7"/>
    <w:rsid w:val="0056225C"/>
    <w:rsid w:val="00562F34"/>
    <w:rsid w:val="0056426D"/>
    <w:rsid w:val="005665AC"/>
    <w:rsid w:val="00566B7D"/>
    <w:rsid w:val="0057107E"/>
    <w:rsid w:val="00571413"/>
    <w:rsid w:val="00572D76"/>
    <w:rsid w:val="0057366A"/>
    <w:rsid w:val="00574187"/>
    <w:rsid w:val="005742A3"/>
    <w:rsid w:val="00574ACE"/>
    <w:rsid w:val="00576392"/>
    <w:rsid w:val="0057765D"/>
    <w:rsid w:val="00577C80"/>
    <w:rsid w:val="00581381"/>
    <w:rsid w:val="005826FA"/>
    <w:rsid w:val="00584F6E"/>
    <w:rsid w:val="005857CF"/>
    <w:rsid w:val="00590266"/>
    <w:rsid w:val="00591FC1"/>
    <w:rsid w:val="00593234"/>
    <w:rsid w:val="00594623"/>
    <w:rsid w:val="00596443"/>
    <w:rsid w:val="005965D3"/>
    <w:rsid w:val="005A1BB9"/>
    <w:rsid w:val="005A39E4"/>
    <w:rsid w:val="005A429B"/>
    <w:rsid w:val="005A4B5A"/>
    <w:rsid w:val="005A6479"/>
    <w:rsid w:val="005A75AF"/>
    <w:rsid w:val="005B00AA"/>
    <w:rsid w:val="005B19A6"/>
    <w:rsid w:val="005B2202"/>
    <w:rsid w:val="005B7060"/>
    <w:rsid w:val="005C17B8"/>
    <w:rsid w:val="005C1C93"/>
    <w:rsid w:val="005C3206"/>
    <w:rsid w:val="005C3A6E"/>
    <w:rsid w:val="005C3EEC"/>
    <w:rsid w:val="005C4726"/>
    <w:rsid w:val="005C4E61"/>
    <w:rsid w:val="005C69B2"/>
    <w:rsid w:val="005C6CE3"/>
    <w:rsid w:val="005C73BE"/>
    <w:rsid w:val="005C73D4"/>
    <w:rsid w:val="005D04C5"/>
    <w:rsid w:val="005D17AF"/>
    <w:rsid w:val="005E02FA"/>
    <w:rsid w:val="005E28AA"/>
    <w:rsid w:val="005E4ED6"/>
    <w:rsid w:val="005E5F90"/>
    <w:rsid w:val="005E664A"/>
    <w:rsid w:val="005F0811"/>
    <w:rsid w:val="005F485A"/>
    <w:rsid w:val="005F4A51"/>
    <w:rsid w:val="00601DB2"/>
    <w:rsid w:val="00602AFA"/>
    <w:rsid w:val="00602CF5"/>
    <w:rsid w:val="00602D37"/>
    <w:rsid w:val="006078D2"/>
    <w:rsid w:val="00612F14"/>
    <w:rsid w:val="006153A4"/>
    <w:rsid w:val="006153C4"/>
    <w:rsid w:val="0061687A"/>
    <w:rsid w:val="00620668"/>
    <w:rsid w:val="00621512"/>
    <w:rsid w:val="00622051"/>
    <w:rsid w:val="00623CC5"/>
    <w:rsid w:val="00624722"/>
    <w:rsid w:val="00624E7C"/>
    <w:rsid w:val="00625C84"/>
    <w:rsid w:val="00625C9D"/>
    <w:rsid w:val="00627286"/>
    <w:rsid w:val="00627A5D"/>
    <w:rsid w:val="00627CDF"/>
    <w:rsid w:val="00630BF2"/>
    <w:rsid w:val="006314C7"/>
    <w:rsid w:val="00632E0F"/>
    <w:rsid w:val="00633BE5"/>
    <w:rsid w:val="006342FF"/>
    <w:rsid w:val="00635D5B"/>
    <w:rsid w:val="00635F92"/>
    <w:rsid w:val="00637036"/>
    <w:rsid w:val="00640B52"/>
    <w:rsid w:val="006427EF"/>
    <w:rsid w:val="00643922"/>
    <w:rsid w:val="006463C8"/>
    <w:rsid w:val="00646CB9"/>
    <w:rsid w:val="0064776B"/>
    <w:rsid w:val="00647EF3"/>
    <w:rsid w:val="0065091E"/>
    <w:rsid w:val="00651F02"/>
    <w:rsid w:val="00652214"/>
    <w:rsid w:val="00652220"/>
    <w:rsid w:val="006535A8"/>
    <w:rsid w:val="006543C3"/>
    <w:rsid w:val="00655A1A"/>
    <w:rsid w:val="0065644A"/>
    <w:rsid w:val="00661645"/>
    <w:rsid w:val="00661E22"/>
    <w:rsid w:val="00663E49"/>
    <w:rsid w:val="006658B5"/>
    <w:rsid w:val="0066674F"/>
    <w:rsid w:val="006667E9"/>
    <w:rsid w:val="00670093"/>
    <w:rsid w:val="00671955"/>
    <w:rsid w:val="00673467"/>
    <w:rsid w:val="006741A4"/>
    <w:rsid w:val="00676F9F"/>
    <w:rsid w:val="006843CE"/>
    <w:rsid w:val="00684553"/>
    <w:rsid w:val="006853B9"/>
    <w:rsid w:val="00685692"/>
    <w:rsid w:val="00685A8A"/>
    <w:rsid w:val="006931A8"/>
    <w:rsid w:val="0069473F"/>
    <w:rsid w:val="006947E2"/>
    <w:rsid w:val="0069483C"/>
    <w:rsid w:val="006957B3"/>
    <w:rsid w:val="00696A5A"/>
    <w:rsid w:val="00696AAF"/>
    <w:rsid w:val="006A1D9B"/>
    <w:rsid w:val="006A25E5"/>
    <w:rsid w:val="006A324F"/>
    <w:rsid w:val="006A57B5"/>
    <w:rsid w:val="006A5FD6"/>
    <w:rsid w:val="006A71FB"/>
    <w:rsid w:val="006B161D"/>
    <w:rsid w:val="006B1F8D"/>
    <w:rsid w:val="006B22E2"/>
    <w:rsid w:val="006B3461"/>
    <w:rsid w:val="006B58CB"/>
    <w:rsid w:val="006B5F47"/>
    <w:rsid w:val="006C0142"/>
    <w:rsid w:val="006C039F"/>
    <w:rsid w:val="006C4B06"/>
    <w:rsid w:val="006C4EA5"/>
    <w:rsid w:val="006C5AEB"/>
    <w:rsid w:val="006C7451"/>
    <w:rsid w:val="006D0A50"/>
    <w:rsid w:val="006D1160"/>
    <w:rsid w:val="006D136B"/>
    <w:rsid w:val="006D1B81"/>
    <w:rsid w:val="006D2A98"/>
    <w:rsid w:val="006D3A2B"/>
    <w:rsid w:val="006D45E9"/>
    <w:rsid w:val="006D4E87"/>
    <w:rsid w:val="006D5BF4"/>
    <w:rsid w:val="006D5F8E"/>
    <w:rsid w:val="006D65E7"/>
    <w:rsid w:val="006E06F0"/>
    <w:rsid w:val="006E093F"/>
    <w:rsid w:val="006E0E15"/>
    <w:rsid w:val="006E5098"/>
    <w:rsid w:val="006E5231"/>
    <w:rsid w:val="006E5324"/>
    <w:rsid w:val="006F26E9"/>
    <w:rsid w:val="006F2FED"/>
    <w:rsid w:val="006F4BF9"/>
    <w:rsid w:val="006F5831"/>
    <w:rsid w:val="006F68D5"/>
    <w:rsid w:val="00700D1C"/>
    <w:rsid w:val="007012C9"/>
    <w:rsid w:val="00701A74"/>
    <w:rsid w:val="00702E01"/>
    <w:rsid w:val="00705DEA"/>
    <w:rsid w:val="00705ECD"/>
    <w:rsid w:val="007062EB"/>
    <w:rsid w:val="007102D6"/>
    <w:rsid w:val="007129BD"/>
    <w:rsid w:val="00714860"/>
    <w:rsid w:val="00714999"/>
    <w:rsid w:val="00717391"/>
    <w:rsid w:val="00720501"/>
    <w:rsid w:val="00720727"/>
    <w:rsid w:val="00721321"/>
    <w:rsid w:val="0072200A"/>
    <w:rsid w:val="0072237D"/>
    <w:rsid w:val="00722749"/>
    <w:rsid w:val="00723776"/>
    <w:rsid w:val="00723F45"/>
    <w:rsid w:val="007244F5"/>
    <w:rsid w:val="007255F1"/>
    <w:rsid w:val="00727985"/>
    <w:rsid w:val="00731458"/>
    <w:rsid w:val="00735A66"/>
    <w:rsid w:val="00736E02"/>
    <w:rsid w:val="0074024E"/>
    <w:rsid w:val="007429E9"/>
    <w:rsid w:val="00743F9D"/>
    <w:rsid w:val="00744022"/>
    <w:rsid w:val="007443D3"/>
    <w:rsid w:val="00744CA9"/>
    <w:rsid w:val="00745759"/>
    <w:rsid w:val="0074647F"/>
    <w:rsid w:val="007464DA"/>
    <w:rsid w:val="00746523"/>
    <w:rsid w:val="00752E02"/>
    <w:rsid w:val="0075481B"/>
    <w:rsid w:val="00755112"/>
    <w:rsid w:val="00755810"/>
    <w:rsid w:val="00757738"/>
    <w:rsid w:val="00757BC8"/>
    <w:rsid w:val="0076150D"/>
    <w:rsid w:val="00764350"/>
    <w:rsid w:val="00765168"/>
    <w:rsid w:val="0076546F"/>
    <w:rsid w:val="007670CF"/>
    <w:rsid w:val="00767B3B"/>
    <w:rsid w:val="00771815"/>
    <w:rsid w:val="00772228"/>
    <w:rsid w:val="007723FD"/>
    <w:rsid w:val="007745B4"/>
    <w:rsid w:val="00774654"/>
    <w:rsid w:val="00774C83"/>
    <w:rsid w:val="007753DB"/>
    <w:rsid w:val="00777149"/>
    <w:rsid w:val="007801B2"/>
    <w:rsid w:val="0078244B"/>
    <w:rsid w:val="00782873"/>
    <w:rsid w:val="007833A6"/>
    <w:rsid w:val="007833DD"/>
    <w:rsid w:val="0078423A"/>
    <w:rsid w:val="007844AE"/>
    <w:rsid w:val="00785675"/>
    <w:rsid w:val="007904F7"/>
    <w:rsid w:val="007922A5"/>
    <w:rsid w:val="00793BEA"/>
    <w:rsid w:val="00794984"/>
    <w:rsid w:val="00794A14"/>
    <w:rsid w:val="007973E0"/>
    <w:rsid w:val="00797817"/>
    <w:rsid w:val="007979B4"/>
    <w:rsid w:val="007A100D"/>
    <w:rsid w:val="007A122C"/>
    <w:rsid w:val="007A2272"/>
    <w:rsid w:val="007A3002"/>
    <w:rsid w:val="007A3E1E"/>
    <w:rsid w:val="007A450A"/>
    <w:rsid w:val="007A51B9"/>
    <w:rsid w:val="007A5826"/>
    <w:rsid w:val="007A5A0D"/>
    <w:rsid w:val="007A6964"/>
    <w:rsid w:val="007A7E2D"/>
    <w:rsid w:val="007B0CC9"/>
    <w:rsid w:val="007B1DA1"/>
    <w:rsid w:val="007C180D"/>
    <w:rsid w:val="007C332F"/>
    <w:rsid w:val="007C4A11"/>
    <w:rsid w:val="007C4B79"/>
    <w:rsid w:val="007C7F43"/>
    <w:rsid w:val="007D12DB"/>
    <w:rsid w:val="007D495B"/>
    <w:rsid w:val="007E0125"/>
    <w:rsid w:val="007E18B2"/>
    <w:rsid w:val="007E4FA2"/>
    <w:rsid w:val="007F1888"/>
    <w:rsid w:val="007F58D3"/>
    <w:rsid w:val="007F5A87"/>
    <w:rsid w:val="007F762C"/>
    <w:rsid w:val="00800C62"/>
    <w:rsid w:val="00803B05"/>
    <w:rsid w:val="00803BFB"/>
    <w:rsid w:val="00804608"/>
    <w:rsid w:val="008049B5"/>
    <w:rsid w:val="00804B79"/>
    <w:rsid w:val="00806BE2"/>
    <w:rsid w:val="00807520"/>
    <w:rsid w:val="008100F1"/>
    <w:rsid w:val="00814E81"/>
    <w:rsid w:val="00820637"/>
    <w:rsid w:val="00824E63"/>
    <w:rsid w:val="0082738E"/>
    <w:rsid w:val="00835945"/>
    <w:rsid w:val="00835E0F"/>
    <w:rsid w:val="00840702"/>
    <w:rsid w:val="00840BA5"/>
    <w:rsid w:val="008424D2"/>
    <w:rsid w:val="00844FA4"/>
    <w:rsid w:val="00845035"/>
    <w:rsid w:val="008450EB"/>
    <w:rsid w:val="00845B3B"/>
    <w:rsid w:val="00850147"/>
    <w:rsid w:val="00852895"/>
    <w:rsid w:val="00853578"/>
    <w:rsid w:val="008559FE"/>
    <w:rsid w:val="00856353"/>
    <w:rsid w:val="00857613"/>
    <w:rsid w:val="0086004A"/>
    <w:rsid w:val="00860D7A"/>
    <w:rsid w:val="00861108"/>
    <w:rsid w:val="00864087"/>
    <w:rsid w:val="00864348"/>
    <w:rsid w:val="00864F96"/>
    <w:rsid w:val="00871209"/>
    <w:rsid w:val="008739C6"/>
    <w:rsid w:val="00874145"/>
    <w:rsid w:val="008742AA"/>
    <w:rsid w:val="00874BED"/>
    <w:rsid w:val="008752FB"/>
    <w:rsid w:val="008776CA"/>
    <w:rsid w:val="008777AC"/>
    <w:rsid w:val="0088308C"/>
    <w:rsid w:val="00884C84"/>
    <w:rsid w:val="0088702F"/>
    <w:rsid w:val="008909B2"/>
    <w:rsid w:val="0089317A"/>
    <w:rsid w:val="00893818"/>
    <w:rsid w:val="00893CB7"/>
    <w:rsid w:val="008949AC"/>
    <w:rsid w:val="00894C42"/>
    <w:rsid w:val="00897120"/>
    <w:rsid w:val="008974B1"/>
    <w:rsid w:val="00897809"/>
    <w:rsid w:val="008A1162"/>
    <w:rsid w:val="008A24B5"/>
    <w:rsid w:val="008A5E1D"/>
    <w:rsid w:val="008B031B"/>
    <w:rsid w:val="008B0E0F"/>
    <w:rsid w:val="008B276D"/>
    <w:rsid w:val="008B2FAF"/>
    <w:rsid w:val="008B334D"/>
    <w:rsid w:val="008B49FF"/>
    <w:rsid w:val="008B67EC"/>
    <w:rsid w:val="008B79A0"/>
    <w:rsid w:val="008B7A70"/>
    <w:rsid w:val="008B7AF2"/>
    <w:rsid w:val="008C1A15"/>
    <w:rsid w:val="008C2EBE"/>
    <w:rsid w:val="008C3FB2"/>
    <w:rsid w:val="008C57F7"/>
    <w:rsid w:val="008C5D38"/>
    <w:rsid w:val="008C75DA"/>
    <w:rsid w:val="008C7E56"/>
    <w:rsid w:val="008D138C"/>
    <w:rsid w:val="008D1930"/>
    <w:rsid w:val="008D34ED"/>
    <w:rsid w:val="008D4195"/>
    <w:rsid w:val="008D6799"/>
    <w:rsid w:val="008D7C8C"/>
    <w:rsid w:val="008E003A"/>
    <w:rsid w:val="008E0510"/>
    <w:rsid w:val="008E2B23"/>
    <w:rsid w:val="008E3B3D"/>
    <w:rsid w:val="008E7E16"/>
    <w:rsid w:val="008F16F1"/>
    <w:rsid w:val="008F2042"/>
    <w:rsid w:val="008F325D"/>
    <w:rsid w:val="008F390F"/>
    <w:rsid w:val="008F52A2"/>
    <w:rsid w:val="008F6C46"/>
    <w:rsid w:val="008F6E72"/>
    <w:rsid w:val="008F77F5"/>
    <w:rsid w:val="008F7981"/>
    <w:rsid w:val="008F7D44"/>
    <w:rsid w:val="00902345"/>
    <w:rsid w:val="009023CA"/>
    <w:rsid w:val="0090356D"/>
    <w:rsid w:val="0090419B"/>
    <w:rsid w:val="009051CC"/>
    <w:rsid w:val="0090608E"/>
    <w:rsid w:val="00906142"/>
    <w:rsid w:val="00906791"/>
    <w:rsid w:val="00906998"/>
    <w:rsid w:val="00907231"/>
    <w:rsid w:val="0091082F"/>
    <w:rsid w:val="00912BE5"/>
    <w:rsid w:val="00912D73"/>
    <w:rsid w:val="009147E2"/>
    <w:rsid w:val="009154F0"/>
    <w:rsid w:val="00915981"/>
    <w:rsid w:val="0092079A"/>
    <w:rsid w:val="00921D6E"/>
    <w:rsid w:val="009227D1"/>
    <w:rsid w:val="009236B5"/>
    <w:rsid w:val="0092421C"/>
    <w:rsid w:val="00924DFB"/>
    <w:rsid w:val="0092504A"/>
    <w:rsid w:val="009266CE"/>
    <w:rsid w:val="009269DA"/>
    <w:rsid w:val="009269F7"/>
    <w:rsid w:val="009273CC"/>
    <w:rsid w:val="00930024"/>
    <w:rsid w:val="009313B1"/>
    <w:rsid w:val="009353FA"/>
    <w:rsid w:val="00935E1B"/>
    <w:rsid w:val="00937635"/>
    <w:rsid w:val="00937C81"/>
    <w:rsid w:val="00942AA1"/>
    <w:rsid w:val="00942AB2"/>
    <w:rsid w:val="009455A7"/>
    <w:rsid w:val="00946966"/>
    <w:rsid w:val="00950463"/>
    <w:rsid w:val="00950607"/>
    <w:rsid w:val="009510FC"/>
    <w:rsid w:val="00953A24"/>
    <w:rsid w:val="0095475C"/>
    <w:rsid w:val="009567D4"/>
    <w:rsid w:val="009574E2"/>
    <w:rsid w:val="0096063B"/>
    <w:rsid w:val="009611D5"/>
    <w:rsid w:val="00962CA4"/>
    <w:rsid w:val="00963F0C"/>
    <w:rsid w:val="00964E24"/>
    <w:rsid w:val="00965693"/>
    <w:rsid w:val="009663F2"/>
    <w:rsid w:val="00970CF8"/>
    <w:rsid w:val="00971ED0"/>
    <w:rsid w:val="009742D6"/>
    <w:rsid w:val="00976248"/>
    <w:rsid w:val="00976AF5"/>
    <w:rsid w:val="00977F99"/>
    <w:rsid w:val="0098216C"/>
    <w:rsid w:val="00982FDD"/>
    <w:rsid w:val="009837A5"/>
    <w:rsid w:val="00984256"/>
    <w:rsid w:val="00986753"/>
    <w:rsid w:val="00987168"/>
    <w:rsid w:val="009874D5"/>
    <w:rsid w:val="00990171"/>
    <w:rsid w:val="009923BA"/>
    <w:rsid w:val="00997AE3"/>
    <w:rsid w:val="00997CDC"/>
    <w:rsid w:val="009A03BC"/>
    <w:rsid w:val="009A1E23"/>
    <w:rsid w:val="009A1F06"/>
    <w:rsid w:val="009A2AD0"/>
    <w:rsid w:val="009A594F"/>
    <w:rsid w:val="009A665E"/>
    <w:rsid w:val="009A6AB8"/>
    <w:rsid w:val="009A73AA"/>
    <w:rsid w:val="009B0213"/>
    <w:rsid w:val="009B030C"/>
    <w:rsid w:val="009B204B"/>
    <w:rsid w:val="009B2C91"/>
    <w:rsid w:val="009B73A9"/>
    <w:rsid w:val="009C1F4B"/>
    <w:rsid w:val="009C2D14"/>
    <w:rsid w:val="009C3ED0"/>
    <w:rsid w:val="009C3F00"/>
    <w:rsid w:val="009C60EB"/>
    <w:rsid w:val="009C7DA3"/>
    <w:rsid w:val="009D0728"/>
    <w:rsid w:val="009D1701"/>
    <w:rsid w:val="009D192F"/>
    <w:rsid w:val="009D6159"/>
    <w:rsid w:val="009E0531"/>
    <w:rsid w:val="009E0744"/>
    <w:rsid w:val="009E0E93"/>
    <w:rsid w:val="009E17C6"/>
    <w:rsid w:val="009E26EB"/>
    <w:rsid w:val="009E4D5D"/>
    <w:rsid w:val="009E6036"/>
    <w:rsid w:val="009E7800"/>
    <w:rsid w:val="009F03B8"/>
    <w:rsid w:val="009F1709"/>
    <w:rsid w:val="009F4B99"/>
    <w:rsid w:val="009F5ACA"/>
    <w:rsid w:val="009F6482"/>
    <w:rsid w:val="009F7612"/>
    <w:rsid w:val="00A00172"/>
    <w:rsid w:val="00A0057B"/>
    <w:rsid w:val="00A01015"/>
    <w:rsid w:val="00A026A4"/>
    <w:rsid w:val="00A031E2"/>
    <w:rsid w:val="00A045F9"/>
    <w:rsid w:val="00A045FB"/>
    <w:rsid w:val="00A046BB"/>
    <w:rsid w:val="00A0494E"/>
    <w:rsid w:val="00A054F2"/>
    <w:rsid w:val="00A0615A"/>
    <w:rsid w:val="00A06581"/>
    <w:rsid w:val="00A0744E"/>
    <w:rsid w:val="00A076B7"/>
    <w:rsid w:val="00A1035E"/>
    <w:rsid w:val="00A111A0"/>
    <w:rsid w:val="00A113F0"/>
    <w:rsid w:val="00A12329"/>
    <w:rsid w:val="00A129FD"/>
    <w:rsid w:val="00A14CE4"/>
    <w:rsid w:val="00A16337"/>
    <w:rsid w:val="00A2035E"/>
    <w:rsid w:val="00A2203D"/>
    <w:rsid w:val="00A22D34"/>
    <w:rsid w:val="00A22ED9"/>
    <w:rsid w:val="00A23254"/>
    <w:rsid w:val="00A31B4A"/>
    <w:rsid w:val="00A31B53"/>
    <w:rsid w:val="00A341FC"/>
    <w:rsid w:val="00A35FEF"/>
    <w:rsid w:val="00A3620A"/>
    <w:rsid w:val="00A37C2B"/>
    <w:rsid w:val="00A409D7"/>
    <w:rsid w:val="00A40E50"/>
    <w:rsid w:val="00A41975"/>
    <w:rsid w:val="00A42AAF"/>
    <w:rsid w:val="00A43B50"/>
    <w:rsid w:val="00A45914"/>
    <w:rsid w:val="00A510E5"/>
    <w:rsid w:val="00A513E7"/>
    <w:rsid w:val="00A5170A"/>
    <w:rsid w:val="00A534C9"/>
    <w:rsid w:val="00A541EA"/>
    <w:rsid w:val="00A545AA"/>
    <w:rsid w:val="00A54FED"/>
    <w:rsid w:val="00A5598D"/>
    <w:rsid w:val="00A62444"/>
    <w:rsid w:val="00A629A2"/>
    <w:rsid w:val="00A63794"/>
    <w:rsid w:val="00A64525"/>
    <w:rsid w:val="00A67F4B"/>
    <w:rsid w:val="00A7102C"/>
    <w:rsid w:val="00A73B29"/>
    <w:rsid w:val="00A80463"/>
    <w:rsid w:val="00A813F2"/>
    <w:rsid w:val="00A8182A"/>
    <w:rsid w:val="00A81B57"/>
    <w:rsid w:val="00A821B8"/>
    <w:rsid w:val="00A832F2"/>
    <w:rsid w:val="00A839A1"/>
    <w:rsid w:val="00A85990"/>
    <w:rsid w:val="00A86DCD"/>
    <w:rsid w:val="00A86F9C"/>
    <w:rsid w:val="00A8715E"/>
    <w:rsid w:val="00A875F1"/>
    <w:rsid w:val="00A9048E"/>
    <w:rsid w:val="00A9101B"/>
    <w:rsid w:val="00A914DA"/>
    <w:rsid w:val="00A9160D"/>
    <w:rsid w:val="00A91D4A"/>
    <w:rsid w:val="00A920A7"/>
    <w:rsid w:val="00A920D5"/>
    <w:rsid w:val="00A96AFF"/>
    <w:rsid w:val="00A97C5C"/>
    <w:rsid w:val="00AA053D"/>
    <w:rsid w:val="00AA10A4"/>
    <w:rsid w:val="00AA15E5"/>
    <w:rsid w:val="00AA2143"/>
    <w:rsid w:val="00AA2A4C"/>
    <w:rsid w:val="00AA3287"/>
    <w:rsid w:val="00AA748F"/>
    <w:rsid w:val="00AB0E29"/>
    <w:rsid w:val="00AB1A14"/>
    <w:rsid w:val="00AB5C59"/>
    <w:rsid w:val="00AC233A"/>
    <w:rsid w:val="00AC2FC1"/>
    <w:rsid w:val="00AC549E"/>
    <w:rsid w:val="00AC5895"/>
    <w:rsid w:val="00AD1810"/>
    <w:rsid w:val="00AD222E"/>
    <w:rsid w:val="00AD4426"/>
    <w:rsid w:val="00AD612D"/>
    <w:rsid w:val="00AE2756"/>
    <w:rsid w:val="00AE52A4"/>
    <w:rsid w:val="00AE68D8"/>
    <w:rsid w:val="00AE7271"/>
    <w:rsid w:val="00AE79E3"/>
    <w:rsid w:val="00AF10B4"/>
    <w:rsid w:val="00AF2554"/>
    <w:rsid w:val="00AF38A7"/>
    <w:rsid w:val="00AF39FE"/>
    <w:rsid w:val="00AF5D08"/>
    <w:rsid w:val="00AF67F0"/>
    <w:rsid w:val="00AF7324"/>
    <w:rsid w:val="00B00890"/>
    <w:rsid w:val="00B00C83"/>
    <w:rsid w:val="00B03082"/>
    <w:rsid w:val="00B04D4B"/>
    <w:rsid w:val="00B05DA1"/>
    <w:rsid w:val="00B06552"/>
    <w:rsid w:val="00B06DD3"/>
    <w:rsid w:val="00B06FC1"/>
    <w:rsid w:val="00B07D7A"/>
    <w:rsid w:val="00B11541"/>
    <w:rsid w:val="00B118E3"/>
    <w:rsid w:val="00B13933"/>
    <w:rsid w:val="00B13973"/>
    <w:rsid w:val="00B14741"/>
    <w:rsid w:val="00B15490"/>
    <w:rsid w:val="00B15931"/>
    <w:rsid w:val="00B15FCE"/>
    <w:rsid w:val="00B22814"/>
    <w:rsid w:val="00B24840"/>
    <w:rsid w:val="00B2486E"/>
    <w:rsid w:val="00B250AE"/>
    <w:rsid w:val="00B26526"/>
    <w:rsid w:val="00B26A20"/>
    <w:rsid w:val="00B30E67"/>
    <w:rsid w:val="00B31FEE"/>
    <w:rsid w:val="00B320F3"/>
    <w:rsid w:val="00B32D63"/>
    <w:rsid w:val="00B33179"/>
    <w:rsid w:val="00B33226"/>
    <w:rsid w:val="00B33C3D"/>
    <w:rsid w:val="00B35FD1"/>
    <w:rsid w:val="00B377A5"/>
    <w:rsid w:val="00B3794A"/>
    <w:rsid w:val="00B416BC"/>
    <w:rsid w:val="00B4250C"/>
    <w:rsid w:val="00B4288A"/>
    <w:rsid w:val="00B43D5B"/>
    <w:rsid w:val="00B445EB"/>
    <w:rsid w:val="00B47632"/>
    <w:rsid w:val="00B51C36"/>
    <w:rsid w:val="00B524FD"/>
    <w:rsid w:val="00B54B3A"/>
    <w:rsid w:val="00B55FB3"/>
    <w:rsid w:val="00B5772F"/>
    <w:rsid w:val="00B57F90"/>
    <w:rsid w:val="00B57FA6"/>
    <w:rsid w:val="00B61DC4"/>
    <w:rsid w:val="00B622D6"/>
    <w:rsid w:val="00B63F1F"/>
    <w:rsid w:val="00B6748B"/>
    <w:rsid w:val="00B6769C"/>
    <w:rsid w:val="00B71067"/>
    <w:rsid w:val="00B718DE"/>
    <w:rsid w:val="00B71A40"/>
    <w:rsid w:val="00B72537"/>
    <w:rsid w:val="00B73970"/>
    <w:rsid w:val="00B753F8"/>
    <w:rsid w:val="00B75BBA"/>
    <w:rsid w:val="00B76091"/>
    <w:rsid w:val="00B806E0"/>
    <w:rsid w:val="00B817B5"/>
    <w:rsid w:val="00B81E6B"/>
    <w:rsid w:val="00B835CC"/>
    <w:rsid w:val="00B83F30"/>
    <w:rsid w:val="00B841A6"/>
    <w:rsid w:val="00B852D9"/>
    <w:rsid w:val="00B86268"/>
    <w:rsid w:val="00B871F5"/>
    <w:rsid w:val="00B9096F"/>
    <w:rsid w:val="00B9283E"/>
    <w:rsid w:val="00B92E9C"/>
    <w:rsid w:val="00B941AF"/>
    <w:rsid w:val="00B94413"/>
    <w:rsid w:val="00B945A9"/>
    <w:rsid w:val="00B9646F"/>
    <w:rsid w:val="00BA0967"/>
    <w:rsid w:val="00BA253C"/>
    <w:rsid w:val="00BA296B"/>
    <w:rsid w:val="00BA37C5"/>
    <w:rsid w:val="00BA457A"/>
    <w:rsid w:val="00BA4C13"/>
    <w:rsid w:val="00BA6294"/>
    <w:rsid w:val="00BA6733"/>
    <w:rsid w:val="00BA77A1"/>
    <w:rsid w:val="00BB0C07"/>
    <w:rsid w:val="00BB6A9D"/>
    <w:rsid w:val="00BC1009"/>
    <w:rsid w:val="00BC2ACE"/>
    <w:rsid w:val="00BC31C4"/>
    <w:rsid w:val="00BC49A9"/>
    <w:rsid w:val="00BC4E62"/>
    <w:rsid w:val="00BC56B1"/>
    <w:rsid w:val="00BC6389"/>
    <w:rsid w:val="00BC79A4"/>
    <w:rsid w:val="00BC7E02"/>
    <w:rsid w:val="00BD17CD"/>
    <w:rsid w:val="00BD3A0A"/>
    <w:rsid w:val="00BD4520"/>
    <w:rsid w:val="00BD6AB1"/>
    <w:rsid w:val="00BD6C57"/>
    <w:rsid w:val="00BD7A9B"/>
    <w:rsid w:val="00BE0E53"/>
    <w:rsid w:val="00BE28E9"/>
    <w:rsid w:val="00BE409B"/>
    <w:rsid w:val="00BE5235"/>
    <w:rsid w:val="00BE7E01"/>
    <w:rsid w:val="00BF1BC6"/>
    <w:rsid w:val="00BF2690"/>
    <w:rsid w:val="00BF40E7"/>
    <w:rsid w:val="00BF6EB8"/>
    <w:rsid w:val="00BF6F51"/>
    <w:rsid w:val="00BF7F1B"/>
    <w:rsid w:val="00C006E9"/>
    <w:rsid w:val="00C00FC8"/>
    <w:rsid w:val="00C01005"/>
    <w:rsid w:val="00C01CF3"/>
    <w:rsid w:val="00C02138"/>
    <w:rsid w:val="00C03577"/>
    <w:rsid w:val="00C03CF8"/>
    <w:rsid w:val="00C0591E"/>
    <w:rsid w:val="00C06313"/>
    <w:rsid w:val="00C07D4F"/>
    <w:rsid w:val="00C10CD5"/>
    <w:rsid w:val="00C121F3"/>
    <w:rsid w:val="00C12756"/>
    <w:rsid w:val="00C13D11"/>
    <w:rsid w:val="00C16617"/>
    <w:rsid w:val="00C16F29"/>
    <w:rsid w:val="00C21252"/>
    <w:rsid w:val="00C25E10"/>
    <w:rsid w:val="00C26CF4"/>
    <w:rsid w:val="00C27B17"/>
    <w:rsid w:val="00C306A8"/>
    <w:rsid w:val="00C308DF"/>
    <w:rsid w:val="00C31107"/>
    <w:rsid w:val="00C32E4E"/>
    <w:rsid w:val="00C3392F"/>
    <w:rsid w:val="00C34967"/>
    <w:rsid w:val="00C34BE5"/>
    <w:rsid w:val="00C357CC"/>
    <w:rsid w:val="00C35AF1"/>
    <w:rsid w:val="00C3611E"/>
    <w:rsid w:val="00C3640D"/>
    <w:rsid w:val="00C36BB9"/>
    <w:rsid w:val="00C36BD6"/>
    <w:rsid w:val="00C37EDC"/>
    <w:rsid w:val="00C427E4"/>
    <w:rsid w:val="00C43D44"/>
    <w:rsid w:val="00C4600D"/>
    <w:rsid w:val="00C46B3A"/>
    <w:rsid w:val="00C50769"/>
    <w:rsid w:val="00C5345D"/>
    <w:rsid w:val="00C53888"/>
    <w:rsid w:val="00C54F72"/>
    <w:rsid w:val="00C56660"/>
    <w:rsid w:val="00C56EEA"/>
    <w:rsid w:val="00C60249"/>
    <w:rsid w:val="00C6237C"/>
    <w:rsid w:val="00C6263E"/>
    <w:rsid w:val="00C63E93"/>
    <w:rsid w:val="00C6538C"/>
    <w:rsid w:val="00C658FA"/>
    <w:rsid w:val="00C66FBB"/>
    <w:rsid w:val="00C67129"/>
    <w:rsid w:val="00C704EA"/>
    <w:rsid w:val="00C770CF"/>
    <w:rsid w:val="00C77846"/>
    <w:rsid w:val="00C81E76"/>
    <w:rsid w:val="00C82D7C"/>
    <w:rsid w:val="00C83034"/>
    <w:rsid w:val="00C8618D"/>
    <w:rsid w:val="00C862E2"/>
    <w:rsid w:val="00C866D9"/>
    <w:rsid w:val="00C91F25"/>
    <w:rsid w:val="00C91FAA"/>
    <w:rsid w:val="00C931D9"/>
    <w:rsid w:val="00C9348C"/>
    <w:rsid w:val="00C948EE"/>
    <w:rsid w:val="00C95950"/>
    <w:rsid w:val="00C967FD"/>
    <w:rsid w:val="00C96877"/>
    <w:rsid w:val="00C9701D"/>
    <w:rsid w:val="00CA026D"/>
    <w:rsid w:val="00CA0578"/>
    <w:rsid w:val="00CA4E36"/>
    <w:rsid w:val="00CA5273"/>
    <w:rsid w:val="00CA60B7"/>
    <w:rsid w:val="00CA6790"/>
    <w:rsid w:val="00CA78E3"/>
    <w:rsid w:val="00CB1B66"/>
    <w:rsid w:val="00CB20EA"/>
    <w:rsid w:val="00CB292F"/>
    <w:rsid w:val="00CB48F3"/>
    <w:rsid w:val="00CB4EB9"/>
    <w:rsid w:val="00CB7516"/>
    <w:rsid w:val="00CB7D9B"/>
    <w:rsid w:val="00CC1BC3"/>
    <w:rsid w:val="00CC1D90"/>
    <w:rsid w:val="00CC5847"/>
    <w:rsid w:val="00CC5F67"/>
    <w:rsid w:val="00CC668B"/>
    <w:rsid w:val="00CD5C99"/>
    <w:rsid w:val="00CE1690"/>
    <w:rsid w:val="00CE1D98"/>
    <w:rsid w:val="00CE2958"/>
    <w:rsid w:val="00CE31C5"/>
    <w:rsid w:val="00CE3CD8"/>
    <w:rsid w:val="00CE402D"/>
    <w:rsid w:val="00CE43C0"/>
    <w:rsid w:val="00CE4BCE"/>
    <w:rsid w:val="00CE5DFE"/>
    <w:rsid w:val="00CE6D1F"/>
    <w:rsid w:val="00CE6DE9"/>
    <w:rsid w:val="00CF06B8"/>
    <w:rsid w:val="00CF1343"/>
    <w:rsid w:val="00CF4FAA"/>
    <w:rsid w:val="00CF5AC7"/>
    <w:rsid w:val="00CF6091"/>
    <w:rsid w:val="00CF6ABF"/>
    <w:rsid w:val="00CF73F2"/>
    <w:rsid w:val="00D01629"/>
    <w:rsid w:val="00D0184B"/>
    <w:rsid w:val="00D02385"/>
    <w:rsid w:val="00D03322"/>
    <w:rsid w:val="00D05106"/>
    <w:rsid w:val="00D053F7"/>
    <w:rsid w:val="00D06F68"/>
    <w:rsid w:val="00D07C92"/>
    <w:rsid w:val="00D109F1"/>
    <w:rsid w:val="00D12E5A"/>
    <w:rsid w:val="00D13540"/>
    <w:rsid w:val="00D1354E"/>
    <w:rsid w:val="00D13B4B"/>
    <w:rsid w:val="00D140BD"/>
    <w:rsid w:val="00D14196"/>
    <w:rsid w:val="00D142F2"/>
    <w:rsid w:val="00D15287"/>
    <w:rsid w:val="00D1642F"/>
    <w:rsid w:val="00D16DB4"/>
    <w:rsid w:val="00D20191"/>
    <w:rsid w:val="00D207F6"/>
    <w:rsid w:val="00D20A71"/>
    <w:rsid w:val="00D21AC6"/>
    <w:rsid w:val="00D21E81"/>
    <w:rsid w:val="00D22B34"/>
    <w:rsid w:val="00D23113"/>
    <w:rsid w:val="00D23D14"/>
    <w:rsid w:val="00D255BB"/>
    <w:rsid w:val="00D262CA"/>
    <w:rsid w:val="00D26B52"/>
    <w:rsid w:val="00D277FE"/>
    <w:rsid w:val="00D33A5A"/>
    <w:rsid w:val="00D34170"/>
    <w:rsid w:val="00D35620"/>
    <w:rsid w:val="00D35B40"/>
    <w:rsid w:val="00D36559"/>
    <w:rsid w:val="00D371CD"/>
    <w:rsid w:val="00D375E6"/>
    <w:rsid w:val="00D37A9A"/>
    <w:rsid w:val="00D416A8"/>
    <w:rsid w:val="00D4179E"/>
    <w:rsid w:val="00D426B4"/>
    <w:rsid w:val="00D4363B"/>
    <w:rsid w:val="00D43D70"/>
    <w:rsid w:val="00D51453"/>
    <w:rsid w:val="00D529D9"/>
    <w:rsid w:val="00D52E3F"/>
    <w:rsid w:val="00D52EC4"/>
    <w:rsid w:val="00D53F05"/>
    <w:rsid w:val="00D543EA"/>
    <w:rsid w:val="00D5443D"/>
    <w:rsid w:val="00D54495"/>
    <w:rsid w:val="00D60BA2"/>
    <w:rsid w:val="00D62F43"/>
    <w:rsid w:val="00D65DF2"/>
    <w:rsid w:val="00D67E89"/>
    <w:rsid w:val="00D71EAC"/>
    <w:rsid w:val="00D73206"/>
    <w:rsid w:val="00D74C53"/>
    <w:rsid w:val="00D76A50"/>
    <w:rsid w:val="00D76CC6"/>
    <w:rsid w:val="00D7711F"/>
    <w:rsid w:val="00D77EED"/>
    <w:rsid w:val="00D80877"/>
    <w:rsid w:val="00D80BA1"/>
    <w:rsid w:val="00D80EC2"/>
    <w:rsid w:val="00D81166"/>
    <w:rsid w:val="00D81B62"/>
    <w:rsid w:val="00D84368"/>
    <w:rsid w:val="00D84DE5"/>
    <w:rsid w:val="00D900FA"/>
    <w:rsid w:val="00D90239"/>
    <w:rsid w:val="00D90F1A"/>
    <w:rsid w:val="00D91D8A"/>
    <w:rsid w:val="00D93E7B"/>
    <w:rsid w:val="00D94866"/>
    <w:rsid w:val="00D948B8"/>
    <w:rsid w:val="00D962D0"/>
    <w:rsid w:val="00D9702F"/>
    <w:rsid w:val="00DA043F"/>
    <w:rsid w:val="00DA1025"/>
    <w:rsid w:val="00DA1EB0"/>
    <w:rsid w:val="00DA29A7"/>
    <w:rsid w:val="00DA3A27"/>
    <w:rsid w:val="00DA3F7B"/>
    <w:rsid w:val="00DA40DC"/>
    <w:rsid w:val="00DA47EA"/>
    <w:rsid w:val="00DA52F1"/>
    <w:rsid w:val="00DA5F26"/>
    <w:rsid w:val="00DA6ACF"/>
    <w:rsid w:val="00DA6E48"/>
    <w:rsid w:val="00DA74A1"/>
    <w:rsid w:val="00DB0B12"/>
    <w:rsid w:val="00DB2221"/>
    <w:rsid w:val="00DB22D9"/>
    <w:rsid w:val="00DB2682"/>
    <w:rsid w:val="00DB4726"/>
    <w:rsid w:val="00DB5969"/>
    <w:rsid w:val="00DC1507"/>
    <w:rsid w:val="00DC1658"/>
    <w:rsid w:val="00DC6729"/>
    <w:rsid w:val="00DD186C"/>
    <w:rsid w:val="00DD292F"/>
    <w:rsid w:val="00DD419C"/>
    <w:rsid w:val="00DD4573"/>
    <w:rsid w:val="00DE1993"/>
    <w:rsid w:val="00DE2E87"/>
    <w:rsid w:val="00DE38E5"/>
    <w:rsid w:val="00DE3B43"/>
    <w:rsid w:val="00DE3F1D"/>
    <w:rsid w:val="00DE7288"/>
    <w:rsid w:val="00DE75FB"/>
    <w:rsid w:val="00DE7666"/>
    <w:rsid w:val="00DE7AAC"/>
    <w:rsid w:val="00DE7EB9"/>
    <w:rsid w:val="00DF5801"/>
    <w:rsid w:val="00DF6230"/>
    <w:rsid w:val="00E01642"/>
    <w:rsid w:val="00E02ECA"/>
    <w:rsid w:val="00E046F0"/>
    <w:rsid w:val="00E05055"/>
    <w:rsid w:val="00E06BD4"/>
    <w:rsid w:val="00E11EBB"/>
    <w:rsid w:val="00E12058"/>
    <w:rsid w:val="00E1248B"/>
    <w:rsid w:val="00E129B9"/>
    <w:rsid w:val="00E157CE"/>
    <w:rsid w:val="00E17A3A"/>
    <w:rsid w:val="00E2183E"/>
    <w:rsid w:val="00E2234B"/>
    <w:rsid w:val="00E24A05"/>
    <w:rsid w:val="00E26E7E"/>
    <w:rsid w:val="00E2732F"/>
    <w:rsid w:val="00E278B5"/>
    <w:rsid w:val="00E27C6F"/>
    <w:rsid w:val="00E31393"/>
    <w:rsid w:val="00E31897"/>
    <w:rsid w:val="00E34460"/>
    <w:rsid w:val="00E40C05"/>
    <w:rsid w:val="00E456F3"/>
    <w:rsid w:val="00E45973"/>
    <w:rsid w:val="00E45D59"/>
    <w:rsid w:val="00E46A3C"/>
    <w:rsid w:val="00E47C7F"/>
    <w:rsid w:val="00E47ED6"/>
    <w:rsid w:val="00E5031B"/>
    <w:rsid w:val="00E55222"/>
    <w:rsid w:val="00E5564B"/>
    <w:rsid w:val="00E557D9"/>
    <w:rsid w:val="00E55B7A"/>
    <w:rsid w:val="00E56213"/>
    <w:rsid w:val="00E6006A"/>
    <w:rsid w:val="00E67B95"/>
    <w:rsid w:val="00E708A3"/>
    <w:rsid w:val="00E71D2E"/>
    <w:rsid w:val="00E7371F"/>
    <w:rsid w:val="00E73DF9"/>
    <w:rsid w:val="00E7563B"/>
    <w:rsid w:val="00E777BE"/>
    <w:rsid w:val="00E77B40"/>
    <w:rsid w:val="00E80438"/>
    <w:rsid w:val="00E8288C"/>
    <w:rsid w:val="00E836A0"/>
    <w:rsid w:val="00E87832"/>
    <w:rsid w:val="00E9043C"/>
    <w:rsid w:val="00E907C8"/>
    <w:rsid w:val="00E92982"/>
    <w:rsid w:val="00E92ACD"/>
    <w:rsid w:val="00E93CFD"/>
    <w:rsid w:val="00E94180"/>
    <w:rsid w:val="00E94FD2"/>
    <w:rsid w:val="00EA04E9"/>
    <w:rsid w:val="00EA249F"/>
    <w:rsid w:val="00EA2506"/>
    <w:rsid w:val="00EA2E61"/>
    <w:rsid w:val="00EA3E9E"/>
    <w:rsid w:val="00EA5B83"/>
    <w:rsid w:val="00EA67AA"/>
    <w:rsid w:val="00EA67CA"/>
    <w:rsid w:val="00EA6D38"/>
    <w:rsid w:val="00EA7273"/>
    <w:rsid w:val="00EA7D4D"/>
    <w:rsid w:val="00EA7FDF"/>
    <w:rsid w:val="00EB1E7F"/>
    <w:rsid w:val="00EB2806"/>
    <w:rsid w:val="00EB3D5B"/>
    <w:rsid w:val="00EB5010"/>
    <w:rsid w:val="00EB571E"/>
    <w:rsid w:val="00EB6C1A"/>
    <w:rsid w:val="00EB6C59"/>
    <w:rsid w:val="00EB6D79"/>
    <w:rsid w:val="00EB75F5"/>
    <w:rsid w:val="00EB7FF4"/>
    <w:rsid w:val="00EC0D4F"/>
    <w:rsid w:val="00EC20DF"/>
    <w:rsid w:val="00EC5CC4"/>
    <w:rsid w:val="00EC5FDE"/>
    <w:rsid w:val="00EC74F0"/>
    <w:rsid w:val="00EC7817"/>
    <w:rsid w:val="00ED18D7"/>
    <w:rsid w:val="00ED3BD8"/>
    <w:rsid w:val="00ED40F1"/>
    <w:rsid w:val="00ED499D"/>
    <w:rsid w:val="00ED4C91"/>
    <w:rsid w:val="00ED507B"/>
    <w:rsid w:val="00ED514C"/>
    <w:rsid w:val="00ED6B0A"/>
    <w:rsid w:val="00ED6E61"/>
    <w:rsid w:val="00EE16E8"/>
    <w:rsid w:val="00EE2512"/>
    <w:rsid w:val="00EE2EE6"/>
    <w:rsid w:val="00EE5ACF"/>
    <w:rsid w:val="00EE6651"/>
    <w:rsid w:val="00EE7525"/>
    <w:rsid w:val="00EE7AF0"/>
    <w:rsid w:val="00EE7B90"/>
    <w:rsid w:val="00EF0BCA"/>
    <w:rsid w:val="00EF1D89"/>
    <w:rsid w:val="00EF3203"/>
    <w:rsid w:val="00EF3818"/>
    <w:rsid w:val="00EF39F1"/>
    <w:rsid w:val="00EF3CC8"/>
    <w:rsid w:val="00EF4B03"/>
    <w:rsid w:val="00EF5D92"/>
    <w:rsid w:val="00EF6418"/>
    <w:rsid w:val="00EF74EF"/>
    <w:rsid w:val="00EF7A0D"/>
    <w:rsid w:val="00F016C0"/>
    <w:rsid w:val="00F02168"/>
    <w:rsid w:val="00F024C6"/>
    <w:rsid w:val="00F046AB"/>
    <w:rsid w:val="00F05881"/>
    <w:rsid w:val="00F071A6"/>
    <w:rsid w:val="00F07C89"/>
    <w:rsid w:val="00F07FDE"/>
    <w:rsid w:val="00F101F3"/>
    <w:rsid w:val="00F115A3"/>
    <w:rsid w:val="00F13866"/>
    <w:rsid w:val="00F14FC8"/>
    <w:rsid w:val="00F15EA6"/>
    <w:rsid w:val="00F167E3"/>
    <w:rsid w:val="00F16CE6"/>
    <w:rsid w:val="00F20451"/>
    <w:rsid w:val="00F21229"/>
    <w:rsid w:val="00F26ECA"/>
    <w:rsid w:val="00F3027B"/>
    <w:rsid w:val="00F3082D"/>
    <w:rsid w:val="00F30D84"/>
    <w:rsid w:val="00F31667"/>
    <w:rsid w:val="00F3179D"/>
    <w:rsid w:val="00F3215D"/>
    <w:rsid w:val="00F32277"/>
    <w:rsid w:val="00F32280"/>
    <w:rsid w:val="00F33903"/>
    <w:rsid w:val="00F36708"/>
    <w:rsid w:val="00F378DC"/>
    <w:rsid w:val="00F4091D"/>
    <w:rsid w:val="00F431B9"/>
    <w:rsid w:val="00F44E9E"/>
    <w:rsid w:val="00F45DD2"/>
    <w:rsid w:val="00F45FC5"/>
    <w:rsid w:val="00F4681B"/>
    <w:rsid w:val="00F4749C"/>
    <w:rsid w:val="00F51384"/>
    <w:rsid w:val="00F51FB4"/>
    <w:rsid w:val="00F52B71"/>
    <w:rsid w:val="00F534FE"/>
    <w:rsid w:val="00F56496"/>
    <w:rsid w:val="00F5731D"/>
    <w:rsid w:val="00F6049A"/>
    <w:rsid w:val="00F60A18"/>
    <w:rsid w:val="00F6326A"/>
    <w:rsid w:val="00F63C3A"/>
    <w:rsid w:val="00F64B41"/>
    <w:rsid w:val="00F65E48"/>
    <w:rsid w:val="00F65F84"/>
    <w:rsid w:val="00F65FAE"/>
    <w:rsid w:val="00F66409"/>
    <w:rsid w:val="00F66927"/>
    <w:rsid w:val="00F7513C"/>
    <w:rsid w:val="00F76C37"/>
    <w:rsid w:val="00F77E63"/>
    <w:rsid w:val="00F801C3"/>
    <w:rsid w:val="00F80636"/>
    <w:rsid w:val="00F809AA"/>
    <w:rsid w:val="00F81537"/>
    <w:rsid w:val="00F8164C"/>
    <w:rsid w:val="00F834CE"/>
    <w:rsid w:val="00F837E7"/>
    <w:rsid w:val="00F83FC1"/>
    <w:rsid w:val="00F85185"/>
    <w:rsid w:val="00F85E9E"/>
    <w:rsid w:val="00F90CDA"/>
    <w:rsid w:val="00F90F67"/>
    <w:rsid w:val="00F91BCA"/>
    <w:rsid w:val="00F952F2"/>
    <w:rsid w:val="00FA0F1F"/>
    <w:rsid w:val="00FA1CA7"/>
    <w:rsid w:val="00FA32A1"/>
    <w:rsid w:val="00FA4B78"/>
    <w:rsid w:val="00FA670F"/>
    <w:rsid w:val="00FA706F"/>
    <w:rsid w:val="00FA79F1"/>
    <w:rsid w:val="00FA7A70"/>
    <w:rsid w:val="00FB13D0"/>
    <w:rsid w:val="00FB48CF"/>
    <w:rsid w:val="00FB5772"/>
    <w:rsid w:val="00FB5FB9"/>
    <w:rsid w:val="00FB6F83"/>
    <w:rsid w:val="00FB7A04"/>
    <w:rsid w:val="00FC2882"/>
    <w:rsid w:val="00FC33FF"/>
    <w:rsid w:val="00FC35ED"/>
    <w:rsid w:val="00FC4202"/>
    <w:rsid w:val="00FC6E9E"/>
    <w:rsid w:val="00FD28A1"/>
    <w:rsid w:val="00FD6739"/>
    <w:rsid w:val="00FE05FA"/>
    <w:rsid w:val="00FE37CF"/>
    <w:rsid w:val="00FE3C9D"/>
    <w:rsid w:val="00FE51A5"/>
    <w:rsid w:val="00FF0F0C"/>
    <w:rsid w:val="00FF1628"/>
    <w:rsid w:val="00FF23EC"/>
    <w:rsid w:val="00FF306A"/>
    <w:rsid w:val="00FF72C9"/>
    <w:rsid w:val="012670EA"/>
    <w:rsid w:val="0129483A"/>
    <w:rsid w:val="012A6BDB"/>
    <w:rsid w:val="015C2B0C"/>
    <w:rsid w:val="01883901"/>
    <w:rsid w:val="01BB3A13"/>
    <w:rsid w:val="01CE4415"/>
    <w:rsid w:val="01DE6ED6"/>
    <w:rsid w:val="02094A42"/>
    <w:rsid w:val="022C0730"/>
    <w:rsid w:val="025F0B06"/>
    <w:rsid w:val="025F4662"/>
    <w:rsid w:val="0273635F"/>
    <w:rsid w:val="029D33DC"/>
    <w:rsid w:val="029F53A6"/>
    <w:rsid w:val="02AD35A0"/>
    <w:rsid w:val="02AD361F"/>
    <w:rsid w:val="02BA3F8E"/>
    <w:rsid w:val="02D07CF0"/>
    <w:rsid w:val="02EE0DE9"/>
    <w:rsid w:val="02FA082F"/>
    <w:rsid w:val="03067533"/>
    <w:rsid w:val="03547F3F"/>
    <w:rsid w:val="036F2A12"/>
    <w:rsid w:val="03A72764"/>
    <w:rsid w:val="03DA2C38"/>
    <w:rsid w:val="043236CA"/>
    <w:rsid w:val="04373762"/>
    <w:rsid w:val="043D4686"/>
    <w:rsid w:val="0449381C"/>
    <w:rsid w:val="046046C1"/>
    <w:rsid w:val="0475494B"/>
    <w:rsid w:val="04E059DF"/>
    <w:rsid w:val="04F04E90"/>
    <w:rsid w:val="04F62F1D"/>
    <w:rsid w:val="0507517F"/>
    <w:rsid w:val="051A0AAC"/>
    <w:rsid w:val="051F25B6"/>
    <w:rsid w:val="052E656D"/>
    <w:rsid w:val="053B00F0"/>
    <w:rsid w:val="05483AD3"/>
    <w:rsid w:val="055C757F"/>
    <w:rsid w:val="056621AB"/>
    <w:rsid w:val="05984FF0"/>
    <w:rsid w:val="059874F0"/>
    <w:rsid w:val="05CA3668"/>
    <w:rsid w:val="06110369"/>
    <w:rsid w:val="062E2CC9"/>
    <w:rsid w:val="06562CE8"/>
    <w:rsid w:val="065E2E28"/>
    <w:rsid w:val="0680580D"/>
    <w:rsid w:val="06E53056"/>
    <w:rsid w:val="06FA704F"/>
    <w:rsid w:val="070D211A"/>
    <w:rsid w:val="07485275"/>
    <w:rsid w:val="07966D78"/>
    <w:rsid w:val="07C05BA3"/>
    <w:rsid w:val="07EC690F"/>
    <w:rsid w:val="0800444E"/>
    <w:rsid w:val="080C2EFD"/>
    <w:rsid w:val="0822060B"/>
    <w:rsid w:val="083B347B"/>
    <w:rsid w:val="08404F36"/>
    <w:rsid w:val="084772BB"/>
    <w:rsid w:val="08512C9F"/>
    <w:rsid w:val="08667779"/>
    <w:rsid w:val="087370B9"/>
    <w:rsid w:val="087D3E43"/>
    <w:rsid w:val="08971F79"/>
    <w:rsid w:val="089C26B1"/>
    <w:rsid w:val="08B07627"/>
    <w:rsid w:val="09414A2D"/>
    <w:rsid w:val="09664CA9"/>
    <w:rsid w:val="097E5D15"/>
    <w:rsid w:val="098A46BA"/>
    <w:rsid w:val="09A339CE"/>
    <w:rsid w:val="09A6526C"/>
    <w:rsid w:val="09DE099D"/>
    <w:rsid w:val="0A271C87"/>
    <w:rsid w:val="0A5E6197"/>
    <w:rsid w:val="0A660DA3"/>
    <w:rsid w:val="0A6767AA"/>
    <w:rsid w:val="0A8E01DA"/>
    <w:rsid w:val="0A8E2325"/>
    <w:rsid w:val="0AB228D3"/>
    <w:rsid w:val="0AC736EC"/>
    <w:rsid w:val="0AD55E09"/>
    <w:rsid w:val="0AF618DB"/>
    <w:rsid w:val="0B136931"/>
    <w:rsid w:val="0B3D58B0"/>
    <w:rsid w:val="0B413D76"/>
    <w:rsid w:val="0B505EF0"/>
    <w:rsid w:val="0B6813FA"/>
    <w:rsid w:val="0BD01EAC"/>
    <w:rsid w:val="0BDC5FAC"/>
    <w:rsid w:val="0BF36AE5"/>
    <w:rsid w:val="0C4D19CF"/>
    <w:rsid w:val="0C6F1945"/>
    <w:rsid w:val="0C9062DC"/>
    <w:rsid w:val="0CC96384"/>
    <w:rsid w:val="0CD345CA"/>
    <w:rsid w:val="0CDA44CD"/>
    <w:rsid w:val="0CDD11A6"/>
    <w:rsid w:val="0CF22817"/>
    <w:rsid w:val="0CF804C6"/>
    <w:rsid w:val="0D08580A"/>
    <w:rsid w:val="0D2121C5"/>
    <w:rsid w:val="0D247DB9"/>
    <w:rsid w:val="0D3712C1"/>
    <w:rsid w:val="0D444B80"/>
    <w:rsid w:val="0D4950F2"/>
    <w:rsid w:val="0D605732"/>
    <w:rsid w:val="0D6763C0"/>
    <w:rsid w:val="0D756817"/>
    <w:rsid w:val="0D7C256C"/>
    <w:rsid w:val="0D8D29CB"/>
    <w:rsid w:val="0D9A0C44"/>
    <w:rsid w:val="0DAD6BC9"/>
    <w:rsid w:val="0DB05D1A"/>
    <w:rsid w:val="0DB91B6A"/>
    <w:rsid w:val="0DCA5CDB"/>
    <w:rsid w:val="0DD95C10"/>
    <w:rsid w:val="0DE45477"/>
    <w:rsid w:val="0E122F7E"/>
    <w:rsid w:val="0E172295"/>
    <w:rsid w:val="0E286250"/>
    <w:rsid w:val="0E456E02"/>
    <w:rsid w:val="0E495ACB"/>
    <w:rsid w:val="0E6C22A1"/>
    <w:rsid w:val="0E8755E8"/>
    <w:rsid w:val="0EAE0E4B"/>
    <w:rsid w:val="0EC0292C"/>
    <w:rsid w:val="0EE26D46"/>
    <w:rsid w:val="0EF7557C"/>
    <w:rsid w:val="0F1C7D35"/>
    <w:rsid w:val="0F2E5468"/>
    <w:rsid w:val="0F340AD2"/>
    <w:rsid w:val="0F384BB8"/>
    <w:rsid w:val="0F403A6D"/>
    <w:rsid w:val="0F4E396C"/>
    <w:rsid w:val="0F587009"/>
    <w:rsid w:val="0F5B7DD1"/>
    <w:rsid w:val="0F63518D"/>
    <w:rsid w:val="0FA4573A"/>
    <w:rsid w:val="0FB56996"/>
    <w:rsid w:val="0FE34B24"/>
    <w:rsid w:val="0FE4089C"/>
    <w:rsid w:val="10084EE2"/>
    <w:rsid w:val="1031680F"/>
    <w:rsid w:val="10344A25"/>
    <w:rsid w:val="10525806"/>
    <w:rsid w:val="1086149E"/>
    <w:rsid w:val="1088277D"/>
    <w:rsid w:val="108D1493"/>
    <w:rsid w:val="10BE27A2"/>
    <w:rsid w:val="10C81F6C"/>
    <w:rsid w:val="10C86105"/>
    <w:rsid w:val="10FA2D58"/>
    <w:rsid w:val="10FD1C16"/>
    <w:rsid w:val="11196324"/>
    <w:rsid w:val="115803EA"/>
    <w:rsid w:val="11763776"/>
    <w:rsid w:val="11982360"/>
    <w:rsid w:val="11B57CEC"/>
    <w:rsid w:val="11C47354"/>
    <w:rsid w:val="11EB4770"/>
    <w:rsid w:val="11F50B3F"/>
    <w:rsid w:val="12280984"/>
    <w:rsid w:val="122A7611"/>
    <w:rsid w:val="1235718D"/>
    <w:rsid w:val="123F1DBA"/>
    <w:rsid w:val="12413D84"/>
    <w:rsid w:val="125E66E4"/>
    <w:rsid w:val="12627082"/>
    <w:rsid w:val="127D2078"/>
    <w:rsid w:val="128755FC"/>
    <w:rsid w:val="12901EFB"/>
    <w:rsid w:val="1294682C"/>
    <w:rsid w:val="129F4F73"/>
    <w:rsid w:val="12A3059B"/>
    <w:rsid w:val="12EE67D4"/>
    <w:rsid w:val="12F6524A"/>
    <w:rsid w:val="12FC7CAB"/>
    <w:rsid w:val="13102B90"/>
    <w:rsid w:val="132A70C8"/>
    <w:rsid w:val="1363332F"/>
    <w:rsid w:val="13686FE3"/>
    <w:rsid w:val="13B1795D"/>
    <w:rsid w:val="13DB5A21"/>
    <w:rsid w:val="13F4268A"/>
    <w:rsid w:val="142A31E2"/>
    <w:rsid w:val="142A6E10"/>
    <w:rsid w:val="1437543F"/>
    <w:rsid w:val="143A0A8B"/>
    <w:rsid w:val="144725A7"/>
    <w:rsid w:val="1461070D"/>
    <w:rsid w:val="14641498"/>
    <w:rsid w:val="148D505F"/>
    <w:rsid w:val="14B5630E"/>
    <w:rsid w:val="14BB6070"/>
    <w:rsid w:val="14E51E0D"/>
    <w:rsid w:val="14F450DE"/>
    <w:rsid w:val="1509375B"/>
    <w:rsid w:val="151B529C"/>
    <w:rsid w:val="15260317"/>
    <w:rsid w:val="15313AA5"/>
    <w:rsid w:val="154A230C"/>
    <w:rsid w:val="15A16353"/>
    <w:rsid w:val="15A703A2"/>
    <w:rsid w:val="1614126F"/>
    <w:rsid w:val="16485E16"/>
    <w:rsid w:val="164C55BB"/>
    <w:rsid w:val="16540140"/>
    <w:rsid w:val="16753FFC"/>
    <w:rsid w:val="167B3E10"/>
    <w:rsid w:val="167D1103"/>
    <w:rsid w:val="16A7677A"/>
    <w:rsid w:val="16B71F57"/>
    <w:rsid w:val="16CB5E37"/>
    <w:rsid w:val="16F301BE"/>
    <w:rsid w:val="17051824"/>
    <w:rsid w:val="173B5246"/>
    <w:rsid w:val="1740285C"/>
    <w:rsid w:val="174D6117"/>
    <w:rsid w:val="1752258F"/>
    <w:rsid w:val="175E4FA4"/>
    <w:rsid w:val="17911912"/>
    <w:rsid w:val="17921CA7"/>
    <w:rsid w:val="17BB6387"/>
    <w:rsid w:val="17CC0594"/>
    <w:rsid w:val="180231F4"/>
    <w:rsid w:val="18027B12"/>
    <w:rsid w:val="1820443C"/>
    <w:rsid w:val="1828111B"/>
    <w:rsid w:val="182E0907"/>
    <w:rsid w:val="184264AC"/>
    <w:rsid w:val="185D743E"/>
    <w:rsid w:val="186239EB"/>
    <w:rsid w:val="18695DE3"/>
    <w:rsid w:val="186C421B"/>
    <w:rsid w:val="18714C97"/>
    <w:rsid w:val="187C78C4"/>
    <w:rsid w:val="188B3FAB"/>
    <w:rsid w:val="189570F0"/>
    <w:rsid w:val="18AF6479"/>
    <w:rsid w:val="18BD5FFA"/>
    <w:rsid w:val="18D535F0"/>
    <w:rsid w:val="18D63D1F"/>
    <w:rsid w:val="18DF60A5"/>
    <w:rsid w:val="19407488"/>
    <w:rsid w:val="195B397D"/>
    <w:rsid w:val="198D5B01"/>
    <w:rsid w:val="19962C07"/>
    <w:rsid w:val="19AF49FC"/>
    <w:rsid w:val="19BD63E6"/>
    <w:rsid w:val="19CF0541"/>
    <w:rsid w:val="19D8310B"/>
    <w:rsid w:val="19EE731B"/>
    <w:rsid w:val="19FB45B3"/>
    <w:rsid w:val="1A051879"/>
    <w:rsid w:val="1A0F4768"/>
    <w:rsid w:val="1A1E49AB"/>
    <w:rsid w:val="1A226372"/>
    <w:rsid w:val="1A230012"/>
    <w:rsid w:val="1A445AD5"/>
    <w:rsid w:val="1A544ED2"/>
    <w:rsid w:val="1A7778B3"/>
    <w:rsid w:val="1A7840BF"/>
    <w:rsid w:val="1A9A04D5"/>
    <w:rsid w:val="1AC02B38"/>
    <w:rsid w:val="1AC165E2"/>
    <w:rsid w:val="1AE50F3D"/>
    <w:rsid w:val="1B18764C"/>
    <w:rsid w:val="1B1E2B28"/>
    <w:rsid w:val="1B30283F"/>
    <w:rsid w:val="1B4B5E16"/>
    <w:rsid w:val="1B5A7C65"/>
    <w:rsid w:val="1B640C92"/>
    <w:rsid w:val="1B770817"/>
    <w:rsid w:val="1B7B241B"/>
    <w:rsid w:val="1B830F69"/>
    <w:rsid w:val="1BC46542"/>
    <w:rsid w:val="1BE82855"/>
    <w:rsid w:val="1BE97638"/>
    <w:rsid w:val="1C292321"/>
    <w:rsid w:val="1C395ACC"/>
    <w:rsid w:val="1C623275"/>
    <w:rsid w:val="1C67088B"/>
    <w:rsid w:val="1C7555BC"/>
    <w:rsid w:val="1C9F0025"/>
    <w:rsid w:val="1CA8513B"/>
    <w:rsid w:val="1CB57848"/>
    <w:rsid w:val="1CB6711D"/>
    <w:rsid w:val="1CCB3F5A"/>
    <w:rsid w:val="1CD04E2A"/>
    <w:rsid w:val="1CD81789"/>
    <w:rsid w:val="1CD87093"/>
    <w:rsid w:val="1CE348D7"/>
    <w:rsid w:val="1CE81315"/>
    <w:rsid w:val="1CF3211F"/>
    <w:rsid w:val="1D1327C1"/>
    <w:rsid w:val="1D17405F"/>
    <w:rsid w:val="1D217359"/>
    <w:rsid w:val="1D262445"/>
    <w:rsid w:val="1D596721"/>
    <w:rsid w:val="1D64124F"/>
    <w:rsid w:val="1D755083"/>
    <w:rsid w:val="1D774AFE"/>
    <w:rsid w:val="1D81772B"/>
    <w:rsid w:val="1D871B8F"/>
    <w:rsid w:val="1DC37D43"/>
    <w:rsid w:val="1DC96D3B"/>
    <w:rsid w:val="1DD513E3"/>
    <w:rsid w:val="1DD91EA0"/>
    <w:rsid w:val="1DF64CFA"/>
    <w:rsid w:val="1E3B16EB"/>
    <w:rsid w:val="1E546BED"/>
    <w:rsid w:val="1E5A174A"/>
    <w:rsid w:val="1E6A4663"/>
    <w:rsid w:val="1E8223FB"/>
    <w:rsid w:val="1E923B5D"/>
    <w:rsid w:val="1EC84785"/>
    <w:rsid w:val="1F072E33"/>
    <w:rsid w:val="1F0E1492"/>
    <w:rsid w:val="1F1B770B"/>
    <w:rsid w:val="1F1C595D"/>
    <w:rsid w:val="1F3233D2"/>
    <w:rsid w:val="1F5350F7"/>
    <w:rsid w:val="1F607F6A"/>
    <w:rsid w:val="1F692B6A"/>
    <w:rsid w:val="1F774213"/>
    <w:rsid w:val="1FE40369"/>
    <w:rsid w:val="200265BA"/>
    <w:rsid w:val="20196340"/>
    <w:rsid w:val="201A68BF"/>
    <w:rsid w:val="20207824"/>
    <w:rsid w:val="202747B8"/>
    <w:rsid w:val="202C6073"/>
    <w:rsid w:val="202D5948"/>
    <w:rsid w:val="20333A02"/>
    <w:rsid w:val="20337402"/>
    <w:rsid w:val="205155EF"/>
    <w:rsid w:val="20542543"/>
    <w:rsid w:val="20592BE1"/>
    <w:rsid w:val="207F650F"/>
    <w:rsid w:val="20B849AB"/>
    <w:rsid w:val="20CA76E9"/>
    <w:rsid w:val="20D34741"/>
    <w:rsid w:val="20DD2ECA"/>
    <w:rsid w:val="20FD5FE6"/>
    <w:rsid w:val="2128125A"/>
    <w:rsid w:val="213B4A81"/>
    <w:rsid w:val="21494A03"/>
    <w:rsid w:val="21661111"/>
    <w:rsid w:val="217145EC"/>
    <w:rsid w:val="217F21D3"/>
    <w:rsid w:val="218D0A8E"/>
    <w:rsid w:val="219A40C3"/>
    <w:rsid w:val="21A02C66"/>
    <w:rsid w:val="21AD2B8D"/>
    <w:rsid w:val="21DF0EC4"/>
    <w:rsid w:val="22034BB2"/>
    <w:rsid w:val="221C3EC6"/>
    <w:rsid w:val="22235254"/>
    <w:rsid w:val="222E3E14"/>
    <w:rsid w:val="22342FBD"/>
    <w:rsid w:val="225B3325"/>
    <w:rsid w:val="22681B28"/>
    <w:rsid w:val="227B5C56"/>
    <w:rsid w:val="229249BD"/>
    <w:rsid w:val="2292538B"/>
    <w:rsid w:val="22CE51C0"/>
    <w:rsid w:val="22E744D4"/>
    <w:rsid w:val="22F8048F"/>
    <w:rsid w:val="23411E36"/>
    <w:rsid w:val="23712E98"/>
    <w:rsid w:val="237241BE"/>
    <w:rsid w:val="2398757C"/>
    <w:rsid w:val="23BE4923"/>
    <w:rsid w:val="23C175DC"/>
    <w:rsid w:val="23D127C6"/>
    <w:rsid w:val="23EA6B62"/>
    <w:rsid w:val="23F24EDE"/>
    <w:rsid w:val="23F95670"/>
    <w:rsid w:val="241F1756"/>
    <w:rsid w:val="242E7905"/>
    <w:rsid w:val="24485A81"/>
    <w:rsid w:val="245416F5"/>
    <w:rsid w:val="247C50B2"/>
    <w:rsid w:val="247C6E9E"/>
    <w:rsid w:val="2498732E"/>
    <w:rsid w:val="24A0641B"/>
    <w:rsid w:val="24B77ED6"/>
    <w:rsid w:val="24BD373E"/>
    <w:rsid w:val="24E67DA3"/>
    <w:rsid w:val="250016C2"/>
    <w:rsid w:val="250C1FD0"/>
    <w:rsid w:val="2545676E"/>
    <w:rsid w:val="257C3487"/>
    <w:rsid w:val="258A31FA"/>
    <w:rsid w:val="258E0C37"/>
    <w:rsid w:val="25A20C75"/>
    <w:rsid w:val="25CD79B1"/>
    <w:rsid w:val="25D23219"/>
    <w:rsid w:val="25F451B5"/>
    <w:rsid w:val="25F807A6"/>
    <w:rsid w:val="263E265D"/>
    <w:rsid w:val="269A7FB7"/>
    <w:rsid w:val="26B44B38"/>
    <w:rsid w:val="26BB338B"/>
    <w:rsid w:val="26C6367F"/>
    <w:rsid w:val="26EC5096"/>
    <w:rsid w:val="26F611A5"/>
    <w:rsid w:val="27042C3A"/>
    <w:rsid w:val="271033BC"/>
    <w:rsid w:val="27174C5C"/>
    <w:rsid w:val="27181100"/>
    <w:rsid w:val="271D0AF7"/>
    <w:rsid w:val="271D6716"/>
    <w:rsid w:val="273D0B66"/>
    <w:rsid w:val="274D39F6"/>
    <w:rsid w:val="27830026"/>
    <w:rsid w:val="27921723"/>
    <w:rsid w:val="27962024"/>
    <w:rsid w:val="279A06C8"/>
    <w:rsid w:val="27A26C1B"/>
    <w:rsid w:val="27BF5A1F"/>
    <w:rsid w:val="27CC165C"/>
    <w:rsid w:val="27E72880"/>
    <w:rsid w:val="28186EDD"/>
    <w:rsid w:val="281D485F"/>
    <w:rsid w:val="282D0BDB"/>
    <w:rsid w:val="28373807"/>
    <w:rsid w:val="283B7A47"/>
    <w:rsid w:val="28557849"/>
    <w:rsid w:val="2868600E"/>
    <w:rsid w:val="286F2FA1"/>
    <w:rsid w:val="28AD3ACA"/>
    <w:rsid w:val="28C52844"/>
    <w:rsid w:val="293033C4"/>
    <w:rsid w:val="293B192D"/>
    <w:rsid w:val="293C308C"/>
    <w:rsid w:val="29475CCC"/>
    <w:rsid w:val="295959FF"/>
    <w:rsid w:val="295B586D"/>
    <w:rsid w:val="29A50AF7"/>
    <w:rsid w:val="29CB28B7"/>
    <w:rsid w:val="29DC4815"/>
    <w:rsid w:val="2A305874"/>
    <w:rsid w:val="2A5A37DD"/>
    <w:rsid w:val="2A652C4B"/>
    <w:rsid w:val="2A684DE8"/>
    <w:rsid w:val="2A775A4E"/>
    <w:rsid w:val="2A88294D"/>
    <w:rsid w:val="2A9943B2"/>
    <w:rsid w:val="2AA36F32"/>
    <w:rsid w:val="2ACA2711"/>
    <w:rsid w:val="2AD4279C"/>
    <w:rsid w:val="2B0E64C2"/>
    <w:rsid w:val="2B220A9D"/>
    <w:rsid w:val="2B277B63"/>
    <w:rsid w:val="2B2F6A18"/>
    <w:rsid w:val="2B4E7E60"/>
    <w:rsid w:val="2B962EC0"/>
    <w:rsid w:val="2B9A264F"/>
    <w:rsid w:val="2BB07462"/>
    <w:rsid w:val="2BB13F66"/>
    <w:rsid w:val="2BBA2E63"/>
    <w:rsid w:val="2BDE4F1A"/>
    <w:rsid w:val="2BE94B33"/>
    <w:rsid w:val="2C0C1B4C"/>
    <w:rsid w:val="2C166F93"/>
    <w:rsid w:val="2C287B42"/>
    <w:rsid w:val="2C752B50"/>
    <w:rsid w:val="2C856919"/>
    <w:rsid w:val="2CA5623F"/>
    <w:rsid w:val="2CCE2AFC"/>
    <w:rsid w:val="2CD71115"/>
    <w:rsid w:val="2CDC7C0C"/>
    <w:rsid w:val="2D247237"/>
    <w:rsid w:val="2D2A56E9"/>
    <w:rsid w:val="2D417001"/>
    <w:rsid w:val="2D6148F5"/>
    <w:rsid w:val="2D914CD1"/>
    <w:rsid w:val="2DA70EA5"/>
    <w:rsid w:val="2DAA0ED8"/>
    <w:rsid w:val="2DB37828"/>
    <w:rsid w:val="2DCA2A28"/>
    <w:rsid w:val="2DD90EBD"/>
    <w:rsid w:val="2DF9095D"/>
    <w:rsid w:val="2E187C37"/>
    <w:rsid w:val="2E472483"/>
    <w:rsid w:val="2E903C71"/>
    <w:rsid w:val="2EA46585"/>
    <w:rsid w:val="2EAD4823"/>
    <w:rsid w:val="2EDC6EB7"/>
    <w:rsid w:val="2EF35FAE"/>
    <w:rsid w:val="2EF83609"/>
    <w:rsid w:val="2EFD594B"/>
    <w:rsid w:val="2F072B4D"/>
    <w:rsid w:val="2F171649"/>
    <w:rsid w:val="2F354C39"/>
    <w:rsid w:val="2F7D766A"/>
    <w:rsid w:val="2FAE5DCC"/>
    <w:rsid w:val="2FCD10CA"/>
    <w:rsid w:val="30033981"/>
    <w:rsid w:val="300F0BC6"/>
    <w:rsid w:val="304765B2"/>
    <w:rsid w:val="30562EBB"/>
    <w:rsid w:val="30586A11"/>
    <w:rsid w:val="308415B4"/>
    <w:rsid w:val="30874C00"/>
    <w:rsid w:val="30901D07"/>
    <w:rsid w:val="30A12843"/>
    <w:rsid w:val="30CB71E3"/>
    <w:rsid w:val="30CD3326"/>
    <w:rsid w:val="30D72AF4"/>
    <w:rsid w:val="30E5101D"/>
    <w:rsid w:val="31046613"/>
    <w:rsid w:val="310763AA"/>
    <w:rsid w:val="31076E1B"/>
    <w:rsid w:val="312D6749"/>
    <w:rsid w:val="316340CC"/>
    <w:rsid w:val="31837ABD"/>
    <w:rsid w:val="318A49A8"/>
    <w:rsid w:val="319F5976"/>
    <w:rsid w:val="31A57A34"/>
    <w:rsid w:val="31C53C32"/>
    <w:rsid w:val="31C679AA"/>
    <w:rsid w:val="31F0564D"/>
    <w:rsid w:val="31FD03A1"/>
    <w:rsid w:val="3215767E"/>
    <w:rsid w:val="321D3B47"/>
    <w:rsid w:val="32244DFC"/>
    <w:rsid w:val="323B123D"/>
    <w:rsid w:val="32591D6E"/>
    <w:rsid w:val="327A4D1B"/>
    <w:rsid w:val="32E0555F"/>
    <w:rsid w:val="33134E71"/>
    <w:rsid w:val="333252F7"/>
    <w:rsid w:val="33337B5A"/>
    <w:rsid w:val="333D3CFE"/>
    <w:rsid w:val="338D2911"/>
    <w:rsid w:val="3390201E"/>
    <w:rsid w:val="33A17CF2"/>
    <w:rsid w:val="33B645C1"/>
    <w:rsid w:val="33E12CF7"/>
    <w:rsid w:val="33F317D2"/>
    <w:rsid w:val="34403D29"/>
    <w:rsid w:val="34645984"/>
    <w:rsid w:val="34670FD0"/>
    <w:rsid w:val="347A478E"/>
    <w:rsid w:val="34820A95"/>
    <w:rsid w:val="34977068"/>
    <w:rsid w:val="34C30B0C"/>
    <w:rsid w:val="351078BA"/>
    <w:rsid w:val="35241FB8"/>
    <w:rsid w:val="355F76DD"/>
    <w:rsid w:val="35805024"/>
    <w:rsid w:val="35C005BD"/>
    <w:rsid w:val="361024A4"/>
    <w:rsid w:val="36496A6E"/>
    <w:rsid w:val="36502DAD"/>
    <w:rsid w:val="3657727D"/>
    <w:rsid w:val="36587FD3"/>
    <w:rsid w:val="365E4AC4"/>
    <w:rsid w:val="366C6D72"/>
    <w:rsid w:val="36745BB6"/>
    <w:rsid w:val="367F794F"/>
    <w:rsid w:val="368D0A96"/>
    <w:rsid w:val="369B7657"/>
    <w:rsid w:val="36AC19A8"/>
    <w:rsid w:val="36D612EC"/>
    <w:rsid w:val="36FD0D16"/>
    <w:rsid w:val="37216804"/>
    <w:rsid w:val="376B6C9A"/>
    <w:rsid w:val="37E77A26"/>
    <w:rsid w:val="37EB369C"/>
    <w:rsid w:val="37F72F9F"/>
    <w:rsid w:val="38020022"/>
    <w:rsid w:val="381F07AF"/>
    <w:rsid w:val="38230D10"/>
    <w:rsid w:val="387621BB"/>
    <w:rsid w:val="38891EEF"/>
    <w:rsid w:val="389D6F21"/>
    <w:rsid w:val="38AA5930"/>
    <w:rsid w:val="38EF3C17"/>
    <w:rsid w:val="39000915"/>
    <w:rsid w:val="390A5171"/>
    <w:rsid w:val="391E68F7"/>
    <w:rsid w:val="392751D2"/>
    <w:rsid w:val="39364640"/>
    <w:rsid w:val="395835DE"/>
    <w:rsid w:val="396C2BC9"/>
    <w:rsid w:val="39B90351"/>
    <w:rsid w:val="39D90A05"/>
    <w:rsid w:val="3A3A430C"/>
    <w:rsid w:val="3A59349E"/>
    <w:rsid w:val="3AB41C00"/>
    <w:rsid w:val="3AC54CA3"/>
    <w:rsid w:val="3AD96F06"/>
    <w:rsid w:val="3AE2585A"/>
    <w:rsid w:val="3AF630AE"/>
    <w:rsid w:val="3B1F7356"/>
    <w:rsid w:val="3B304812"/>
    <w:rsid w:val="3B4B164C"/>
    <w:rsid w:val="3B6876C4"/>
    <w:rsid w:val="3B787F67"/>
    <w:rsid w:val="3B8C34CE"/>
    <w:rsid w:val="3BA408DE"/>
    <w:rsid w:val="3BC1078A"/>
    <w:rsid w:val="3BE97B53"/>
    <w:rsid w:val="3C2A3B55"/>
    <w:rsid w:val="3C667DC0"/>
    <w:rsid w:val="3C762821"/>
    <w:rsid w:val="3C8446EA"/>
    <w:rsid w:val="3C917532"/>
    <w:rsid w:val="3CBC4F2B"/>
    <w:rsid w:val="3CDD167D"/>
    <w:rsid w:val="3CDE204C"/>
    <w:rsid w:val="3D134DE8"/>
    <w:rsid w:val="3D1B32A0"/>
    <w:rsid w:val="3D29776B"/>
    <w:rsid w:val="3D54230E"/>
    <w:rsid w:val="3D5B18EE"/>
    <w:rsid w:val="3D646D34"/>
    <w:rsid w:val="3D6872EA"/>
    <w:rsid w:val="3D7529B0"/>
    <w:rsid w:val="3D8E2E15"/>
    <w:rsid w:val="3D937065"/>
    <w:rsid w:val="3D9F6576"/>
    <w:rsid w:val="3DB0197A"/>
    <w:rsid w:val="3DEE4511"/>
    <w:rsid w:val="3DFA136F"/>
    <w:rsid w:val="3E063608"/>
    <w:rsid w:val="3E1A70B4"/>
    <w:rsid w:val="3E29379B"/>
    <w:rsid w:val="3EBE448F"/>
    <w:rsid w:val="3ED43706"/>
    <w:rsid w:val="3F044AA6"/>
    <w:rsid w:val="3F702A31"/>
    <w:rsid w:val="3FAE6B02"/>
    <w:rsid w:val="3FC92B3F"/>
    <w:rsid w:val="3FF32092"/>
    <w:rsid w:val="3FFE5095"/>
    <w:rsid w:val="401E5985"/>
    <w:rsid w:val="40391FBC"/>
    <w:rsid w:val="40422291"/>
    <w:rsid w:val="40D54A32"/>
    <w:rsid w:val="40F005A0"/>
    <w:rsid w:val="40F00603"/>
    <w:rsid w:val="4116224D"/>
    <w:rsid w:val="415840E7"/>
    <w:rsid w:val="41652AB2"/>
    <w:rsid w:val="417E204F"/>
    <w:rsid w:val="418C5828"/>
    <w:rsid w:val="418D6292"/>
    <w:rsid w:val="419B0764"/>
    <w:rsid w:val="41FD4D22"/>
    <w:rsid w:val="420210B7"/>
    <w:rsid w:val="42024A2E"/>
    <w:rsid w:val="420B4E20"/>
    <w:rsid w:val="423E2D3B"/>
    <w:rsid w:val="42664FBD"/>
    <w:rsid w:val="426F3D3E"/>
    <w:rsid w:val="42876CE2"/>
    <w:rsid w:val="42AC04F6"/>
    <w:rsid w:val="42CC3387"/>
    <w:rsid w:val="42D53EF1"/>
    <w:rsid w:val="42F975C1"/>
    <w:rsid w:val="43144A19"/>
    <w:rsid w:val="431A730E"/>
    <w:rsid w:val="432A511E"/>
    <w:rsid w:val="433C3E7A"/>
    <w:rsid w:val="433D0EA5"/>
    <w:rsid w:val="434A5A68"/>
    <w:rsid w:val="4351712A"/>
    <w:rsid w:val="43943464"/>
    <w:rsid w:val="4396542E"/>
    <w:rsid w:val="43BF3609"/>
    <w:rsid w:val="43C3013B"/>
    <w:rsid w:val="43DF5027"/>
    <w:rsid w:val="43E73EDC"/>
    <w:rsid w:val="44123DA4"/>
    <w:rsid w:val="444A3517"/>
    <w:rsid w:val="44753296"/>
    <w:rsid w:val="44850EBA"/>
    <w:rsid w:val="44862773"/>
    <w:rsid w:val="44C37E30"/>
    <w:rsid w:val="44E2497F"/>
    <w:rsid w:val="44E64193"/>
    <w:rsid w:val="44F93EC7"/>
    <w:rsid w:val="450E7246"/>
    <w:rsid w:val="45280575"/>
    <w:rsid w:val="453D2A10"/>
    <w:rsid w:val="455530C7"/>
    <w:rsid w:val="455636A7"/>
    <w:rsid w:val="45765517"/>
    <w:rsid w:val="4597096C"/>
    <w:rsid w:val="45A574ED"/>
    <w:rsid w:val="45FC09D0"/>
    <w:rsid w:val="45FF2FB8"/>
    <w:rsid w:val="46001285"/>
    <w:rsid w:val="461A28EF"/>
    <w:rsid w:val="462904A8"/>
    <w:rsid w:val="463E2922"/>
    <w:rsid w:val="46454873"/>
    <w:rsid w:val="464F3B9A"/>
    <w:rsid w:val="468072EF"/>
    <w:rsid w:val="46937B87"/>
    <w:rsid w:val="46C84DEE"/>
    <w:rsid w:val="46FA0610"/>
    <w:rsid w:val="46FF778E"/>
    <w:rsid w:val="47226FD9"/>
    <w:rsid w:val="475A6773"/>
    <w:rsid w:val="476B6BD2"/>
    <w:rsid w:val="47835AC3"/>
    <w:rsid w:val="47D25CC7"/>
    <w:rsid w:val="47D97352"/>
    <w:rsid w:val="47F34A01"/>
    <w:rsid w:val="48382F58"/>
    <w:rsid w:val="483A011B"/>
    <w:rsid w:val="48727C11"/>
    <w:rsid w:val="487579E8"/>
    <w:rsid w:val="48861F15"/>
    <w:rsid w:val="48A04659"/>
    <w:rsid w:val="48BD520B"/>
    <w:rsid w:val="48C14AB0"/>
    <w:rsid w:val="490540C5"/>
    <w:rsid w:val="4909059F"/>
    <w:rsid w:val="491312CF"/>
    <w:rsid w:val="4921212E"/>
    <w:rsid w:val="49214975"/>
    <w:rsid w:val="492509CD"/>
    <w:rsid w:val="4944592C"/>
    <w:rsid w:val="494616A5"/>
    <w:rsid w:val="49A55966"/>
    <w:rsid w:val="49C01457"/>
    <w:rsid w:val="4A355B31"/>
    <w:rsid w:val="4A6A358B"/>
    <w:rsid w:val="4A740B43"/>
    <w:rsid w:val="4AA91EEB"/>
    <w:rsid w:val="4AAC4D70"/>
    <w:rsid w:val="4ABE7CF1"/>
    <w:rsid w:val="4AC960E9"/>
    <w:rsid w:val="4AED103F"/>
    <w:rsid w:val="4AED6BE2"/>
    <w:rsid w:val="4AF0164E"/>
    <w:rsid w:val="4B0610EB"/>
    <w:rsid w:val="4B137364"/>
    <w:rsid w:val="4B143D77"/>
    <w:rsid w:val="4B1738D4"/>
    <w:rsid w:val="4B5A4F93"/>
    <w:rsid w:val="4B5A7222"/>
    <w:rsid w:val="4BD25472"/>
    <w:rsid w:val="4BEA4569"/>
    <w:rsid w:val="4BED02CC"/>
    <w:rsid w:val="4C3E64A1"/>
    <w:rsid w:val="4C6B4F7E"/>
    <w:rsid w:val="4C7D6453"/>
    <w:rsid w:val="4CA816F4"/>
    <w:rsid w:val="4CDD40CE"/>
    <w:rsid w:val="4CE049F9"/>
    <w:rsid w:val="4D027691"/>
    <w:rsid w:val="4D714816"/>
    <w:rsid w:val="4D92686F"/>
    <w:rsid w:val="4DA62712"/>
    <w:rsid w:val="4DC100EF"/>
    <w:rsid w:val="4DCE7B11"/>
    <w:rsid w:val="4DD74D90"/>
    <w:rsid w:val="4DDD3C5A"/>
    <w:rsid w:val="4DDE637D"/>
    <w:rsid w:val="4DE657A0"/>
    <w:rsid w:val="4DE67660"/>
    <w:rsid w:val="4E004A01"/>
    <w:rsid w:val="4E067D6F"/>
    <w:rsid w:val="4E0D305B"/>
    <w:rsid w:val="4E2D698F"/>
    <w:rsid w:val="4E41068C"/>
    <w:rsid w:val="4ED80DF5"/>
    <w:rsid w:val="4F400944"/>
    <w:rsid w:val="4F4641AC"/>
    <w:rsid w:val="4F560168"/>
    <w:rsid w:val="4F644633"/>
    <w:rsid w:val="4F700496"/>
    <w:rsid w:val="4F8B6063"/>
    <w:rsid w:val="4F9342CD"/>
    <w:rsid w:val="4FA46853"/>
    <w:rsid w:val="4FE62D9A"/>
    <w:rsid w:val="501F1F75"/>
    <w:rsid w:val="503C110B"/>
    <w:rsid w:val="503F0BFC"/>
    <w:rsid w:val="504D18D0"/>
    <w:rsid w:val="508450B4"/>
    <w:rsid w:val="50AF3D16"/>
    <w:rsid w:val="50E954C6"/>
    <w:rsid w:val="50F91A73"/>
    <w:rsid w:val="51092B6B"/>
    <w:rsid w:val="51726F5D"/>
    <w:rsid w:val="51800371"/>
    <w:rsid w:val="51951B6C"/>
    <w:rsid w:val="51B3364F"/>
    <w:rsid w:val="51D70F4B"/>
    <w:rsid w:val="51EF3AC2"/>
    <w:rsid w:val="5227710E"/>
    <w:rsid w:val="52376C94"/>
    <w:rsid w:val="524661A9"/>
    <w:rsid w:val="525939A9"/>
    <w:rsid w:val="527E4EF2"/>
    <w:rsid w:val="52847116"/>
    <w:rsid w:val="52B61649"/>
    <w:rsid w:val="52CD4FA9"/>
    <w:rsid w:val="52E32275"/>
    <w:rsid w:val="52E635B0"/>
    <w:rsid w:val="52E73287"/>
    <w:rsid w:val="52F263F9"/>
    <w:rsid w:val="52F757BE"/>
    <w:rsid w:val="53130849"/>
    <w:rsid w:val="53431DFC"/>
    <w:rsid w:val="53562F81"/>
    <w:rsid w:val="53877FA0"/>
    <w:rsid w:val="5391176E"/>
    <w:rsid w:val="5391332A"/>
    <w:rsid w:val="53CE0BD8"/>
    <w:rsid w:val="53D2506A"/>
    <w:rsid w:val="53E915AA"/>
    <w:rsid w:val="53F35F85"/>
    <w:rsid w:val="53FA37B7"/>
    <w:rsid w:val="54085ED4"/>
    <w:rsid w:val="545543ED"/>
    <w:rsid w:val="546450D5"/>
    <w:rsid w:val="54694499"/>
    <w:rsid w:val="546B432F"/>
    <w:rsid w:val="54C9378E"/>
    <w:rsid w:val="54D43162"/>
    <w:rsid w:val="554761E9"/>
    <w:rsid w:val="555A49C8"/>
    <w:rsid w:val="5583158B"/>
    <w:rsid w:val="558F04E9"/>
    <w:rsid w:val="559A4283"/>
    <w:rsid w:val="559F4616"/>
    <w:rsid w:val="55A90FF1"/>
    <w:rsid w:val="561F4CA6"/>
    <w:rsid w:val="565B44D8"/>
    <w:rsid w:val="566902F6"/>
    <w:rsid w:val="566D103A"/>
    <w:rsid w:val="56890E23"/>
    <w:rsid w:val="569021B1"/>
    <w:rsid w:val="56BD0981"/>
    <w:rsid w:val="56D71B8E"/>
    <w:rsid w:val="56FD199E"/>
    <w:rsid w:val="56FD3EB6"/>
    <w:rsid w:val="571701DC"/>
    <w:rsid w:val="572F608A"/>
    <w:rsid w:val="57390153"/>
    <w:rsid w:val="574C7DC1"/>
    <w:rsid w:val="576467FF"/>
    <w:rsid w:val="577C60D2"/>
    <w:rsid w:val="57813A64"/>
    <w:rsid w:val="578B566C"/>
    <w:rsid w:val="57BF3F4B"/>
    <w:rsid w:val="57DD6C86"/>
    <w:rsid w:val="57E8209A"/>
    <w:rsid w:val="58003366"/>
    <w:rsid w:val="58347E0F"/>
    <w:rsid w:val="585B248D"/>
    <w:rsid w:val="585F70FD"/>
    <w:rsid w:val="58873140"/>
    <w:rsid w:val="58922210"/>
    <w:rsid w:val="58971EC5"/>
    <w:rsid w:val="58C941D4"/>
    <w:rsid w:val="58CB1075"/>
    <w:rsid w:val="59133986"/>
    <w:rsid w:val="591A2206"/>
    <w:rsid w:val="59220AA3"/>
    <w:rsid w:val="593D0989"/>
    <w:rsid w:val="596A4F3B"/>
    <w:rsid w:val="599A4FCF"/>
    <w:rsid w:val="59A815C0"/>
    <w:rsid w:val="59C56046"/>
    <w:rsid w:val="59D14F1D"/>
    <w:rsid w:val="59DA4679"/>
    <w:rsid w:val="59E44CEE"/>
    <w:rsid w:val="5A191BE6"/>
    <w:rsid w:val="5A857B5F"/>
    <w:rsid w:val="5A963B0E"/>
    <w:rsid w:val="5AB43B28"/>
    <w:rsid w:val="5B0C37B7"/>
    <w:rsid w:val="5B2A52FF"/>
    <w:rsid w:val="5B701941"/>
    <w:rsid w:val="5B70435F"/>
    <w:rsid w:val="5B726329"/>
    <w:rsid w:val="5B7B0F25"/>
    <w:rsid w:val="5B8F2FAC"/>
    <w:rsid w:val="5B917615"/>
    <w:rsid w:val="5BA30447"/>
    <w:rsid w:val="5BB13D97"/>
    <w:rsid w:val="5BF45348"/>
    <w:rsid w:val="5BF46D3E"/>
    <w:rsid w:val="5C046B06"/>
    <w:rsid w:val="5C4952DC"/>
    <w:rsid w:val="5C563555"/>
    <w:rsid w:val="5C773268"/>
    <w:rsid w:val="5C8D3F3B"/>
    <w:rsid w:val="5CA057EC"/>
    <w:rsid w:val="5CA56D1B"/>
    <w:rsid w:val="5CD026B0"/>
    <w:rsid w:val="5CE45005"/>
    <w:rsid w:val="5D086958"/>
    <w:rsid w:val="5D152DB1"/>
    <w:rsid w:val="5D17649E"/>
    <w:rsid w:val="5D2C42B6"/>
    <w:rsid w:val="5D473C27"/>
    <w:rsid w:val="5D557CB0"/>
    <w:rsid w:val="5D712B3E"/>
    <w:rsid w:val="5D91555E"/>
    <w:rsid w:val="5DAE79D9"/>
    <w:rsid w:val="5DBE75E6"/>
    <w:rsid w:val="5DCF7A63"/>
    <w:rsid w:val="5DF70D68"/>
    <w:rsid w:val="5E1C772F"/>
    <w:rsid w:val="5E84084D"/>
    <w:rsid w:val="5E900D52"/>
    <w:rsid w:val="5EA507C4"/>
    <w:rsid w:val="5EF4486A"/>
    <w:rsid w:val="5F013C4C"/>
    <w:rsid w:val="5F105EA3"/>
    <w:rsid w:val="5F20100C"/>
    <w:rsid w:val="5F223BC2"/>
    <w:rsid w:val="5F423B33"/>
    <w:rsid w:val="5F45289F"/>
    <w:rsid w:val="5F54531F"/>
    <w:rsid w:val="5F683CCB"/>
    <w:rsid w:val="5F7306DA"/>
    <w:rsid w:val="5F893C41"/>
    <w:rsid w:val="5F90321C"/>
    <w:rsid w:val="5FCC2B50"/>
    <w:rsid w:val="5FEB1967"/>
    <w:rsid w:val="5FF4730D"/>
    <w:rsid w:val="602057DB"/>
    <w:rsid w:val="602A2D2E"/>
    <w:rsid w:val="602B01AA"/>
    <w:rsid w:val="603834D6"/>
    <w:rsid w:val="60A0334E"/>
    <w:rsid w:val="61073070"/>
    <w:rsid w:val="611A7247"/>
    <w:rsid w:val="612754C0"/>
    <w:rsid w:val="614147D4"/>
    <w:rsid w:val="615269E1"/>
    <w:rsid w:val="61630BEE"/>
    <w:rsid w:val="617C3A5E"/>
    <w:rsid w:val="619C5EAE"/>
    <w:rsid w:val="61BC20AC"/>
    <w:rsid w:val="61CA2D55"/>
    <w:rsid w:val="61DB2735"/>
    <w:rsid w:val="61ED6709"/>
    <w:rsid w:val="6205092E"/>
    <w:rsid w:val="627761B2"/>
    <w:rsid w:val="6280132C"/>
    <w:rsid w:val="62856942"/>
    <w:rsid w:val="6291178B"/>
    <w:rsid w:val="62A96AD4"/>
    <w:rsid w:val="62AE5E99"/>
    <w:rsid w:val="62D1007E"/>
    <w:rsid w:val="62E775FD"/>
    <w:rsid w:val="62EF64B1"/>
    <w:rsid w:val="630F673B"/>
    <w:rsid w:val="6350728C"/>
    <w:rsid w:val="63520F1A"/>
    <w:rsid w:val="6357167D"/>
    <w:rsid w:val="636F5FCA"/>
    <w:rsid w:val="63746D5E"/>
    <w:rsid w:val="63800B46"/>
    <w:rsid w:val="63817C53"/>
    <w:rsid w:val="638C3026"/>
    <w:rsid w:val="63B84AF5"/>
    <w:rsid w:val="63E8059F"/>
    <w:rsid w:val="640A1CDD"/>
    <w:rsid w:val="64225AE7"/>
    <w:rsid w:val="64236413"/>
    <w:rsid w:val="642503DD"/>
    <w:rsid w:val="64266A15"/>
    <w:rsid w:val="644249C0"/>
    <w:rsid w:val="646D1D84"/>
    <w:rsid w:val="64867ECD"/>
    <w:rsid w:val="648D7D30"/>
    <w:rsid w:val="64A77475"/>
    <w:rsid w:val="64BE438D"/>
    <w:rsid w:val="64DA6C9C"/>
    <w:rsid w:val="64EE0BEB"/>
    <w:rsid w:val="64F14763"/>
    <w:rsid w:val="65063EA9"/>
    <w:rsid w:val="65164148"/>
    <w:rsid w:val="652D7983"/>
    <w:rsid w:val="65400B43"/>
    <w:rsid w:val="6548624C"/>
    <w:rsid w:val="655C6F69"/>
    <w:rsid w:val="65801643"/>
    <w:rsid w:val="65831215"/>
    <w:rsid w:val="659E4A80"/>
    <w:rsid w:val="65DC2D1D"/>
    <w:rsid w:val="65EE4615"/>
    <w:rsid w:val="662F5543"/>
    <w:rsid w:val="66302303"/>
    <w:rsid w:val="66406A8E"/>
    <w:rsid w:val="664A23A7"/>
    <w:rsid w:val="664A36FF"/>
    <w:rsid w:val="66585FFB"/>
    <w:rsid w:val="669202C1"/>
    <w:rsid w:val="66AF0431"/>
    <w:rsid w:val="66AF7797"/>
    <w:rsid w:val="66CD08B8"/>
    <w:rsid w:val="66FE6CC3"/>
    <w:rsid w:val="67014E52"/>
    <w:rsid w:val="670446F3"/>
    <w:rsid w:val="670F5B0C"/>
    <w:rsid w:val="67367361"/>
    <w:rsid w:val="6741593A"/>
    <w:rsid w:val="676905E0"/>
    <w:rsid w:val="677B59CC"/>
    <w:rsid w:val="6795447E"/>
    <w:rsid w:val="67A22466"/>
    <w:rsid w:val="67AE06E9"/>
    <w:rsid w:val="67C9107F"/>
    <w:rsid w:val="67DB7FB2"/>
    <w:rsid w:val="68024591"/>
    <w:rsid w:val="68462B6F"/>
    <w:rsid w:val="68A57C30"/>
    <w:rsid w:val="68F23B46"/>
    <w:rsid w:val="69216EEB"/>
    <w:rsid w:val="69236EB5"/>
    <w:rsid w:val="692C3459"/>
    <w:rsid w:val="69696CCF"/>
    <w:rsid w:val="696A5A32"/>
    <w:rsid w:val="69951B60"/>
    <w:rsid w:val="69956D17"/>
    <w:rsid w:val="69CC7F5A"/>
    <w:rsid w:val="69D275DF"/>
    <w:rsid w:val="69E71C90"/>
    <w:rsid w:val="69FD7706"/>
    <w:rsid w:val="6A040A94"/>
    <w:rsid w:val="6A0B2662"/>
    <w:rsid w:val="6A3368E3"/>
    <w:rsid w:val="6A4C5458"/>
    <w:rsid w:val="6A4F2B77"/>
    <w:rsid w:val="6A555CE7"/>
    <w:rsid w:val="6A614DEA"/>
    <w:rsid w:val="6A6236B1"/>
    <w:rsid w:val="6A7B0F65"/>
    <w:rsid w:val="6A8634B8"/>
    <w:rsid w:val="6A89268E"/>
    <w:rsid w:val="6A897620"/>
    <w:rsid w:val="6A9F256B"/>
    <w:rsid w:val="6AA1466A"/>
    <w:rsid w:val="6AD54E94"/>
    <w:rsid w:val="6AD762E5"/>
    <w:rsid w:val="6AE33FC1"/>
    <w:rsid w:val="6AEF4B26"/>
    <w:rsid w:val="6B044733"/>
    <w:rsid w:val="6B3B37DD"/>
    <w:rsid w:val="6B8D3CBB"/>
    <w:rsid w:val="6BB65DBE"/>
    <w:rsid w:val="6BC77FCB"/>
    <w:rsid w:val="6BD050D2"/>
    <w:rsid w:val="6BEA5A68"/>
    <w:rsid w:val="6C042FCD"/>
    <w:rsid w:val="6C0F70BE"/>
    <w:rsid w:val="6C7B51C4"/>
    <w:rsid w:val="6CB34986"/>
    <w:rsid w:val="6CCE6ADC"/>
    <w:rsid w:val="6CD1361D"/>
    <w:rsid w:val="6CE150BD"/>
    <w:rsid w:val="6CFA617E"/>
    <w:rsid w:val="6D06067F"/>
    <w:rsid w:val="6D205BE5"/>
    <w:rsid w:val="6D345BCA"/>
    <w:rsid w:val="6D352454"/>
    <w:rsid w:val="6D600595"/>
    <w:rsid w:val="6D6A1C76"/>
    <w:rsid w:val="6D885976"/>
    <w:rsid w:val="6D8A4A17"/>
    <w:rsid w:val="6D8A5754"/>
    <w:rsid w:val="6DAC281D"/>
    <w:rsid w:val="6DC86264"/>
    <w:rsid w:val="6DE55EE7"/>
    <w:rsid w:val="6E28085A"/>
    <w:rsid w:val="6E297AEF"/>
    <w:rsid w:val="6E2B50ED"/>
    <w:rsid w:val="6E3556C0"/>
    <w:rsid w:val="6E3655A3"/>
    <w:rsid w:val="6E597F17"/>
    <w:rsid w:val="6E6A5135"/>
    <w:rsid w:val="6E6E3AF3"/>
    <w:rsid w:val="6E6F7531"/>
    <w:rsid w:val="6E7915A9"/>
    <w:rsid w:val="6E82642B"/>
    <w:rsid w:val="6E9D3265"/>
    <w:rsid w:val="6EAC3BAF"/>
    <w:rsid w:val="6EEA56E5"/>
    <w:rsid w:val="6EF25D56"/>
    <w:rsid w:val="6EFE104D"/>
    <w:rsid w:val="6F286FD3"/>
    <w:rsid w:val="6F5E0C47"/>
    <w:rsid w:val="6F6255CC"/>
    <w:rsid w:val="6F916E39"/>
    <w:rsid w:val="6F9E1043"/>
    <w:rsid w:val="6FA67F66"/>
    <w:rsid w:val="6FA80B0C"/>
    <w:rsid w:val="6FAB6AEC"/>
    <w:rsid w:val="6FB72334"/>
    <w:rsid w:val="6FCC2B6A"/>
    <w:rsid w:val="6FCF1C6C"/>
    <w:rsid w:val="6FF13869"/>
    <w:rsid w:val="70057314"/>
    <w:rsid w:val="7014094F"/>
    <w:rsid w:val="70397522"/>
    <w:rsid w:val="70447421"/>
    <w:rsid w:val="70524B54"/>
    <w:rsid w:val="706935C4"/>
    <w:rsid w:val="706A53C9"/>
    <w:rsid w:val="706F478E"/>
    <w:rsid w:val="707B0493"/>
    <w:rsid w:val="70883400"/>
    <w:rsid w:val="70A24324"/>
    <w:rsid w:val="70EC5754"/>
    <w:rsid w:val="70ED2282"/>
    <w:rsid w:val="70F21ED4"/>
    <w:rsid w:val="71294A8A"/>
    <w:rsid w:val="71342843"/>
    <w:rsid w:val="71542301"/>
    <w:rsid w:val="71821D1F"/>
    <w:rsid w:val="71AF5789"/>
    <w:rsid w:val="71D15700"/>
    <w:rsid w:val="71D264B3"/>
    <w:rsid w:val="71D70014"/>
    <w:rsid w:val="71E05943"/>
    <w:rsid w:val="71EF3DD8"/>
    <w:rsid w:val="71F66F14"/>
    <w:rsid w:val="72323CC5"/>
    <w:rsid w:val="72495AF0"/>
    <w:rsid w:val="72535D5F"/>
    <w:rsid w:val="72537C80"/>
    <w:rsid w:val="72597B56"/>
    <w:rsid w:val="7260367C"/>
    <w:rsid w:val="726338F4"/>
    <w:rsid w:val="72684173"/>
    <w:rsid w:val="72710C91"/>
    <w:rsid w:val="727367B7"/>
    <w:rsid w:val="727E0D99"/>
    <w:rsid w:val="72803E8B"/>
    <w:rsid w:val="72907369"/>
    <w:rsid w:val="72910240"/>
    <w:rsid w:val="72AE3C93"/>
    <w:rsid w:val="72B458E5"/>
    <w:rsid w:val="72C74D55"/>
    <w:rsid w:val="72C92B3E"/>
    <w:rsid w:val="72D134DE"/>
    <w:rsid w:val="72EF70D4"/>
    <w:rsid w:val="730B743B"/>
    <w:rsid w:val="73470F60"/>
    <w:rsid w:val="73483CAB"/>
    <w:rsid w:val="73577E87"/>
    <w:rsid w:val="73585082"/>
    <w:rsid w:val="73772BD7"/>
    <w:rsid w:val="737A3B75"/>
    <w:rsid w:val="73D414D7"/>
    <w:rsid w:val="73D9089C"/>
    <w:rsid w:val="73DF5446"/>
    <w:rsid w:val="73F97190"/>
    <w:rsid w:val="73FE17CF"/>
    <w:rsid w:val="74026044"/>
    <w:rsid w:val="740578E3"/>
    <w:rsid w:val="740873D3"/>
    <w:rsid w:val="743C3ACC"/>
    <w:rsid w:val="7445385F"/>
    <w:rsid w:val="749F1AE5"/>
    <w:rsid w:val="74B07614"/>
    <w:rsid w:val="74B30EAB"/>
    <w:rsid w:val="74C37D0D"/>
    <w:rsid w:val="74D6302D"/>
    <w:rsid w:val="74E00590"/>
    <w:rsid w:val="74E40C77"/>
    <w:rsid w:val="74E76FE8"/>
    <w:rsid w:val="74F040EF"/>
    <w:rsid w:val="750B77B9"/>
    <w:rsid w:val="752F11A6"/>
    <w:rsid w:val="75560C1E"/>
    <w:rsid w:val="755A3C5E"/>
    <w:rsid w:val="75EB2B08"/>
    <w:rsid w:val="75F23E97"/>
    <w:rsid w:val="75FC7056"/>
    <w:rsid w:val="762E3D17"/>
    <w:rsid w:val="766703E1"/>
    <w:rsid w:val="767728CB"/>
    <w:rsid w:val="76F0222B"/>
    <w:rsid w:val="77170059"/>
    <w:rsid w:val="77495A80"/>
    <w:rsid w:val="77910979"/>
    <w:rsid w:val="77A15B74"/>
    <w:rsid w:val="77AD62C7"/>
    <w:rsid w:val="77C516F7"/>
    <w:rsid w:val="77C84D90"/>
    <w:rsid w:val="77E45A61"/>
    <w:rsid w:val="77E92462"/>
    <w:rsid w:val="77F0264D"/>
    <w:rsid w:val="78191561"/>
    <w:rsid w:val="7843485B"/>
    <w:rsid w:val="78455C30"/>
    <w:rsid w:val="78540E39"/>
    <w:rsid w:val="78583A9C"/>
    <w:rsid w:val="78710459"/>
    <w:rsid w:val="787D038F"/>
    <w:rsid w:val="78840ED1"/>
    <w:rsid w:val="78D712C5"/>
    <w:rsid w:val="78DE38F5"/>
    <w:rsid w:val="78F30652"/>
    <w:rsid w:val="78FF0DA4"/>
    <w:rsid w:val="79022643"/>
    <w:rsid w:val="79085E0B"/>
    <w:rsid w:val="790E04E5"/>
    <w:rsid w:val="79312F28"/>
    <w:rsid w:val="79374E25"/>
    <w:rsid w:val="79541ABA"/>
    <w:rsid w:val="79BF6786"/>
    <w:rsid w:val="79C63670"/>
    <w:rsid w:val="79CF0867"/>
    <w:rsid w:val="79D81758"/>
    <w:rsid w:val="7A066E7C"/>
    <w:rsid w:val="7A0D2001"/>
    <w:rsid w:val="7A386978"/>
    <w:rsid w:val="7A3F0166"/>
    <w:rsid w:val="7A505630"/>
    <w:rsid w:val="7AD20455"/>
    <w:rsid w:val="7B0D6D4F"/>
    <w:rsid w:val="7B0F7299"/>
    <w:rsid w:val="7B2A40D3"/>
    <w:rsid w:val="7B2C7E4B"/>
    <w:rsid w:val="7B58479C"/>
    <w:rsid w:val="7B6060F1"/>
    <w:rsid w:val="7B60716D"/>
    <w:rsid w:val="7B6B418C"/>
    <w:rsid w:val="7B88435A"/>
    <w:rsid w:val="7B9A1E16"/>
    <w:rsid w:val="7BC2255D"/>
    <w:rsid w:val="7BDD6258"/>
    <w:rsid w:val="7C0F3C2D"/>
    <w:rsid w:val="7C30585D"/>
    <w:rsid w:val="7C38637B"/>
    <w:rsid w:val="7C4E5B9F"/>
    <w:rsid w:val="7C8507D8"/>
    <w:rsid w:val="7C8E4D52"/>
    <w:rsid w:val="7C950E2A"/>
    <w:rsid w:val="7CA103C5"/>
    <w:rsid w:val="7CB34FFD"/>
    <w:rsid w:val="7CB974BC"/>
    <w:rsid w:val="7CCE5BDD"/>
    <w:rsid w:val="7CDA69DB"/>
    <w:rsid w:val="7CF229CE"/>
    <w:rsid w:val="7D0A7D18"/>
    <w:rsid w:val="7D0E5A5A"/>
    <w:rsid w:val="7D0F40B0"/>
    <w:rsid w:val="7D513B99"/>
    <w:rsid w:val="7D7942E8"/>
    <w:rsid w:val="7D840179"/>
    <w:rsid w:val="7D887712"/>
    <w:rsid w:val="7D9505BC"/>
    <w:rsid w:val="7DA904F4"/>
    <w:rsid w:val="7DAC7021"/>
    <w:rsid w:val="7DB97161"/>
    <w:rsid w:val="7DF95B9A"/>
    <w:rsid w:val="7E002EC9"/>
    <w:rsid w:val="7E02533C"/>
    <w:rsid w:val="7E24336F"/>
    <w:rsid w:val="7E5751DF"/>
    <w:rsid w:val="7E790EB7"/>
    <w:rsid w:val="7E843AFA"/>
    <w:rsid w:val="7EA330B1"/>
    <w:rsid w:val="7EA54072"/>
    <w:rsid w:val="7EC94E01"/>
    <w:rsid w:val="7ECA1E93"/>
    <w:rsid w:val="7ECF1219"/>
    <w:rsid w:val="7EDD3F84"/>
    <w:rsid w:val="7EFB3DBC"/>
    <w:rsid w:val="7F3675EA"/>
    <w:rsid w:val="7F3B240A"/>
    <w:rsid w:val="7F870884"/>
    <w:rsid w:val="7F8A15E4"/>
    <w:rsid w:val="7FA236C6"/>
    <w:rsid w:val="7FA77AA0"/>
    <w:rsid w:val="7FAE52D2"/>
    <w:rsid w:val="7FCE61EF"/>
    <w:rsid w:val="7FDB3BE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iPriority="99" w:name="envelope address" w:locked="1"/>
    <w:lsdException w:uiPriority="99"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ocked="1"/>
    <w:lsdException w:uiPriority="99"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uiPriority="99" w:name="List Number" w:locked="1"/>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ocked="1"/>
    <w:lsdException w:uiPriority="99" w:name="List Number 2" w:locked="1"/>
    <w:lsdException w:qFormat="1" w:unhideWhenUsed="0" w:uiPriority="0" w:semiHidden="0" w:name="List Number 3"/>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ocked="1"/>
    <w:lsdException w:qFormat="1" w:unhideWhenUsed="0" w:uiPriority="0" w:semiHidden="0" w:name="Message Header" w:locked="1"/>
    <w:lsdException w:qFormat="1" w:unhideWhenUsed="0" w:uiPriority="0" w:semiHidden="0" w:name="Subtitle"/>
    <w:lsdException w:qFormat="1" w:unhideWhenUsed="0" w:uiPriority="0" w:semiHidden="0"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qFormat="1" w:unhideWhenUsed="0" w:uiPriority="0" w:semiHidden="0"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qFormat="1" w:unhideWhenUsed="0" w:uiPriority="0" w:semiHidden="0"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仿宋" w:hAnsi="仿宋" w:eastAsia="宋体" w:cs="仿宋"/>
      <w:kern w:val="2"/>
      <w:sz w:val="24"/>
      <w:szCs w:val="24"/>
      <w:lang w:val="en-US" w:eastAsia="zh-CN" w:bidi="ar-SA"/>
    </w:rPr>
  </w:style>
  <w:style w:type="paragraph" w:styleId="3">
    <w:name w:val="heading 1"/>
    <w:basedOn w:val="4"/>
    <w:next w:val="1"/>
    <w:link w:val="87"/>
    <w:qFormat/>
    <w:uiPriority w:val="9"/>
    <w:pPr>
      <w:keepNext/>
      <w:keepLines/>
      <w:numPr>
        <w:ilvl w:val="0"/>
        <w:numId w:val="0"/>
      </w:numPr>
      <w:tabs>
        <w:tab w:val="left" w:pos="0"/>
        <w:tab w:val="left" w:pos="312"/>
      </w:tabs>
      <w:adjustRightInd w:val="0"/>
      <w:spacing w:line="360" w:lineRule="auto"/>
      <w:jc w:val="center"/>
      <w:outlineLvl w:val="0"/>
    </w:pPr>
    <w:rPr>
      <w:rFonts w:ascii="仿宋" w:hAnsi="仿宋" w:eastAsia="宋体" w:cs="仿宋"/>
      <w:bCs/>
      <w:kern w:val="44"/>
      <w:sz w:val="40"/>
      <w:szCs w:val="72"/>
      <w:lang w:val="en-US" w:eastAsia="zh-CN" w:bidi="ar-SA"/>
    </w:rPr>
  </w:style>
  <w:style w:type="paragraph" w:styleId="5">
    <w:name w:val="heading 2"/>
    <w:basedOn w:val="6"/>
    <w:next w:val="1"/>
    <w:link w:val="88"/>
    <w:unhideWhenUsed/>
    <w:qFormat/>
    <w:uiPriority w:val="9"/>
    <w:pPr>
      <w:numPr>
        <w:ilvl w:val="1"/>
        <w:numId w:val="0"/>
      </w:numPr>
      <w:tabs>
        <w:tab w:val="left" w:pos="0"/>
      </w:tabs>
      <w:spacing w:line="360" w:lineRule="auto"/>
      <w:ind w:left="0" w:firstLine="0"/>
      <w:jc w:val="center"/>
      <w:outlineLvl w:val="1"/>
    </w:pPr>
    <w:rPr>
      <w:rFonts w:ascii="仿宋" w:hAnsi="仿宋" w:eastAsia="宋体" w:cs="仿宋"/>
      <w:kern w:val="2"/>
      <w:sz w:val="32"/>
      <w:lang w:val="en-US" w:eastAsia="zh-CN" w:bidi="ar-SA"/>
    </w:rPr>
  </w:style>
  <w:style w:type="paragraph" w:styleId="4">
    <w:name w:val="heading 3"/>
    <w:basedOn w:val="1"/>
    <w:next w:val="1"/>
    <w:link w:val="89"/>
    <w:unhideWhenUsed/>
    <w:qFormat/>
    <w:uiPriority w:val="9"/>
    <w:pPr>
      <w:numPr>
        <w:ilvl w:val="2"/>
        <w:numId w:val="1"/>
      </w:numPr>
      <w:tabs>
        <w:tab w:val="left" w:pos="312"/>
      </w:tabs>
      <w:spacing w:line="360" w:lineRule="auto"/>
      <w:ind w:left="0" w:firstLine="400" w:firstLineChars="0"/>
      <w:outlineLvl w:val="2"/>
    </w:pPr>
    <w:rPr>
      <w:rFonts w:ascii="仿宋" w:hAnsi="仿宋" w:eastAsia="宋体" w:cs="仿宋"/>
      <w:b/>
      <w:kern w:val="2"/>
      <w:sz w:val="30"/>
      <w:szCs w:val="30"/>
      <w:lang w:val="en-US" w:eastAsia="zh-CN" w:bidi="ar-SA"/>
    </w:rPr>
  </w:style>
  <w:style w:type="paragraph" w:styleId="7">
    <w:name w:val="heading 4"/>
    <w:next w:val="8"/>
    <w:link w:val="90"/>
    <w:unhideWhenUsed/>
    <w:qFormat/>
    <w:uiPriority w:val="9"/>
    <w:pPr>
      <w:numPr>
        <w:ilvl w:val="3"/>
        <w:numId w:val="1"/>
      </w:numPr>
      <w:ind w:left="0" w:firstLine="402"/>
      <w:outlineLvl w:val="3"/>
    </w:pPr>
    <w:rPr>
      <w:rFonts w:ascii="Arial" w:hAnsi="Arial" w:eastAsia="宋体" w:cstheme="minorBidi"/>
      <w:b/>
      <w:sz w:val="28"/>
      <w:lang w:val="en-US" w:eastAsia="zh-CN" w:bidi="ar-SA"/>
    </w:rPr>
  </w:style>
  <w:style w:type="paragraph" w:styleId="9">
    <w:name w:val="heading 5"/>
    <w:next w:val="8"/>
    <w:link w:val="91"/>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宋体" w:cstheme="minorBidi"/>
      <w:b/>
      <w:sz w:val="24"/>
      <w:szCs w:val="22"/>
      <w:lang w:val="en-US" w:eastAsia="zh-CN" w:bidi="ar-SA"/>
    </w:rPr>
  </w:style>
  <w:style w:type="paragraph" w:styleId="10">
    <w:name w:val="heading 6"/>
    <w:next w:val="8"/>
    <w:link w:val="92"/>
    <w:unhideWhenUsed/>
    <w:qFormat/>
    <w:uiPriority w:val="0"/>
    <w:pPr>
      <w:numPr>
        <w:ilvl w:val="5"/>
        <w:numId w:val="1"/>
      </w:numPr>
      <w:spacing w:before="30" w:beforeLines="30" w:after="30" w:afterLines="30" w:line="312" w:lineRule="auto"/>
      <w:ind w:left="0" w:firstLine="402"/>
      <w:outlineLvl w:val="5"/>
    </w:pPr>
    <w:rPr>
      <w:rFonts w:ascii="Arial" w:hAnsi="Arial" w:eastAsia="宋体" w:cstheme="minorBidi"/>
      <w:b/>
      <w:sz w:val="24"/>
      <w:lang w:val="en-US" w:eastAsia="zh-CN" w:bidi="ar-SA"/>
    </w:rPr>
  </w:style>
  <w:style w:type="paragraph" w:styleId="11">
    <w:name w:val="heading 7"/>
    <w:next w:val="1"/>
    <w:link w:val="93"/>
    <w:unhideWhenUsed/>
    <w:qFormat/>
    <w:uiPriority w:val="0"/>
    <w:pPr>
      <w:numPr>
        <w:ilvl w:val="6"/>
        <w:numId w:val="1"/>
      </w:numPr>
      <w:spacing w:before="30" w:beforeLines="30" w:after="30" w:afterLines="30" w:line="312" w:lineRule="auto"/>
      <w:ind w:left="0" w:firstLine="402"/>
      <w:outlineLvl w:val="6"/>
    </w:pPr>
    <w:rPr>
      <w:rFonts w:ascii="Arial" w:hAnsi="Arial" w:eastAsia="宋体" w:cstheme="minorBidi"/>
      <w:b/>
      <w:sz w:val="24"/>
      <w:lang w:val="en-US" w:eastAsia="zh-CN" w:bidi="ar-SA"/>
    </w:rPr>
  </w:style>
  <w:style w:type="paragraph" w:styleId="12">
    <w:name w:val="heading 8"/>
    <w:next w:val="8"/>
    <w:link w:val="94"/>
    <w:unhideWhenUsed/>
    <w:qFormat/>
    <w:uiPriority w:val="0"/>
    <w:pPr>
      <w:numPr>
        <w:ilvl w:val="7"/>
        <w:numId w:val="1"/>
      </w:numPr>
      <w:spacing w:before="30" w:beforeLines="30" w:after="30" w:afterLines="30" w:line="312" w:lineRule="auto"/>
      <w:ind w:left="0" w:firstLine="402"/>
      <w:outlineLvl w:val="7"/>
    </w:pPr>
    <w:rPr>
      <w:rFonts w:eastAsia="宋体" w:asciiTheme="majorAscii" w:hAnsiTheme="majorAscii" w:cstheme="majorBidi"/>
      <w:b/>
      <w:sz w:val="24"/>
      <w:lang w:val="en-US" w:eastAsia="zh-CN" w:bidi="ar-SA"/>
    </w:rPr>
  </w:style>
  <w:style w:type="paragraph" w:styleId="6">
    <w:name w:val="heading 9"/>
    <w:basedOn w:val="1"/>
    <w:next w:val="1"/>
    <w:link w:val="95"/>
    <w:unhideWhenUsed/>
    <w:qFormat/>
    <w:uiPriority w:val="0"/>
    <w:pPr>
      <w:numPr>
        <w:ilvl w:val="8"/>
        <w:numId w:val="1"/>
      </w:numPr>
      <w:spacing w:before="30" w:beforeLines="30" w:after="30" w:afterLines="30" w:line="312" w:lineRule="auto"/>
      <w:ind w:left="0" w:firstLine="402"/>
      <w:outlineLvl w:val="8"/>
    </w:pPr>
    <w:rPr>
      <w:rFonts w:eastAsia="宋体" w:asciiTheme="majorAscii" w:hAnsiTheme="majorAscii" w:cstheme="majorBidi"/>
      <w:b/>
      <w:sz w:val="24"/>
      <w:szCs w:val="21"/>
      <w:lang w:val="en-US" w:eastAsia="zh-CN" w:bidi="ar-SA"/>
    </w:rPr>
  </w:style>
  <w:style w:type="character" w:default="1" w:styleId="71">
    <w:name w:val="Default Paragraph Font"/>
    <w:semiHidden/>
    <w:qFormat/>
    <w:uiPriority w:val="0"/>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6"/>
    <w:qFormat/>
    <w:uiPriority w:val="0"/>
    <w:rPr>
      <w:rFonts w:ascii="宋体" w:hAnsi="Courier New"/>
    </w:rPr>
  </w:style>
  <w:style w:type="paragraph" w:styleId="8">
    <w:name w:val="Body Text"/>
    <w:basedOn w:val="1"/>
    <w:link w:val="99"/>
    <w:qFormat/>
    <w:uiPriority w:val="0"/>
    <w:pPr>
      <w:spacing w:before="100" w:after="100" w:afterLines="0" w:afterAutospacing="0" w:line="300" w:lineRule="auto"/>
      <w:ind w:firstLine="1124" w:firstLineChars="200"/>
    </w:pPr>
    <w:rPr>
      <w:rFonts w:ascii="Times New Roman" w:hAnsi="Times New Roman"/>
    </w:rPr>
  </w:style>
  <w:style w:type="paragraph" w:styleId="13">
    <w:name w:val="List 3"/>
    <w:basedOn w:val="1"/>
    <w:qFormat/>
    <w:uiPriority w:val="0"/>
    <w:pPr>
      <w:spacing w:line="500" w:lineRule="exact"/>
      <w:ind w:left="0" w:leftChars="0" w:firstLine="0" w:firstLineChars="0"/>
    </w:pPr>
  </w:style>
  <w:style w:type="paragraph" w:styleId="14">
    <w:name w:val="toc 7"/>
    <w:basedOn w:val="1"/>
    <w:next w:val="1"/>
    <w:qFormat/>
    <w:uiPriority w:val="0"/>
    <w:pPr>
      <w:ind w:left="2520" w:leftChars="1200"/>
    </w:pPr>
  </w:style>
  <w:style w:type="paragraph" w:styleId="15">
    <w:name w:val="table of authorities"/>
    <w:basedOn w:val="1"/>
    <w:next w:val="1"/>
    <w:qFormat/>
    <w:locked/>
    <w:uiPriority w:val="0"/>
    <w:pPr>
      <w:ind w:left="420" w:leftChars="200"/>
    </w:pPr>
  </w:style>
  <w:style w:type="paragraph" w:styleId="16">
    <w:name w:val="Note Heading"/>
    <w:basedOn w:val="1"/>
    <w:next w:val="1"/>
    <w:link w:val="101"/>
    <w:qFormat/>
    <w:uiPriority w:val="0"/>
    <w:pPr>
      <w:jc w:val="center"/>
    </w:pPr>
  </w:style>
  <w:style w:type="paragraph" w:styleId="17">
    <w:name w:val="List Bullet 4"/>
    <w:basedOn w:val="1"/>
    <w:qFormat/>
    <w:uiPriority w:val="0"/>
    <w:pPr>
      <w:numPr>
        <w:ilvl w:val="0"/>
        <w:numId w:val="2"/>
      </w:numPr>
    </w:pPr>
  </w:style>
  <w:style w:type="paragraph" w:styleId="18">
    <w:name w:val="Normal Indent"/>
    <w:basedOn w:val="1"/>
    <w:link w:val="210"/>
    <w:qFormat/>
    <w:uiPriority w:val="0"/>
    <w:pPr>
      <w:ind w:firstLine="420" w:firstLineChars="200"/>
    </w:pPr>
  </w:style>
  <w:style w:type="paragraph" w:styleId="19">
    <w:name w:val="caption"/>
    <w:basedOn w:val="1"/>
    <w:next w:val="1"/>
    <w:link w:val="895"/>
    <w:semiHidden/>
    <w:unhideWhenUsed/>
    <w:qFormat/>
    <w:uiPriority w:val="0"/>
    <w:rPr>
      <w:rFonts w:ascii="Arial" w:hAnsi="Arial" w:eastAsia="宋体"/>
      <w:sz w:val="20"/>
    </w:rPr>
  </w:style>
  <w:style w:type="paragraph" w:styleId="20">
    <w:name w:val="List Bullet"/>
    <w:basedOn w:val="1"/>
    <w:qFormat/>
    <w:uiPriority w:val="0"/>
    <w:pPr>
      <w:numPr>
        <w:ilvl w:val="0"/>
        <w:numId w:val="3"/>
      </w:numPr>
    </w:pPr>
  </w:style>
  <w:style w:type="paragraph" w:styleId="21">
    <w:name w:val="Document Map"/>
    <w:basedOn w:val="1"/>
    <w:link w:val="187"/>
    <w:qFormat/>
    <w:uiPriority w:val="0"/>
    <w:pPr>
      <w:shd w:val="clear" w:color="auto" w:fill="000080"/>
    </w:pPr>
  </w:style>
  <w:style w:type="paragraph" w:styleId="22">
    <w:name w:val="toa heading"/>
    <w:basedOn w:val="1"/>
    <w:next w:val="1"/>
    <w:qFormat/>
    <w:locked/>
    <w:uiPriority w:val="0"/>
    <w:pPr>
      <w:spacing w:before="120" w:beforeLines="0" w:beforeAutospacing="0"/>
    </w:pPr>
    <w:rPr>
      <w:rFonts w:ascii="Arial" w:hAnsi="Arial"/>
      <w:sz w:val="24"/>
    </w:rPr>
  </w:style>
  <w:style w:type="paragraph" w:styleId="23">
    <w:name w:val="annotation text"/>
    <w:basedOn w:val="1"/>
    <w:link w:val="97"/>
    <w:qFormat/>
    <w:uiPriority w:val="0"/>
    <w:pPr>
      <w:jc w:val="left"/>
    </w:pPr>
  </w:style>
  <w:style w:type="paragraph" w:styleId="24">
    <w:name w:val="Salutation"/>
    <w:basedOn w:val="1"/>
    <w:next w:val="1"/>
    <w:link w:val="669"/>
    <w:qFormat/>
    <w:locked/>
    <w:uiPriority w:val="0"/>
  </w:style>
  <w:style w:type="paragraph" w:styleId="25">
    <w:name w:val="Body Text 3"/>
    <w:basedOn w:val="1"/>
    <w:link w:val="103"/>
    <w:qFormat/>
    <w:uiPriority w:val="0"/>
    <w:pPr>
      <w:spacing w:after="120" w:afterLines="0" w:afterAutospacing="0"/>
    </w:pPr>
    <w:rPr>
      <w:sz w:val="16"/>
    </w:rPr>
  </w:style>
  <w:style w:type="paragraph" w:styleId="26">
    <w:name w:val="List Bullet 3"/>
    <w:basedOn w:val="1"/>
    <w:qFormat/>
    <w:uiPriority w:val="0"/>
    <w:pPr>
      <w:numPr>
        <w:ilvl w:val="0"/>
        <w:numId w:val="4"/>
      </w:numPr>
    </w:pPr>
  </w:style>
  <w:style w:type="paragraph" w:styleId="27">
    <w:name w:val="Body Text Indent"/>
    <w:basedOn w:val="1"/>
    <w:link w:val="104"/>
    <w:qFormat/>
    <w:uiPriority w:val="0"/>
    <w:pPr>
      <w:spacing w:after="120" w:afterLines="0" w:afterAutospacing="0"/>
      <w:ind w:left="420" w:leftChars="200"/>
    </w:pPr>
  </w:style>
  <w:style w:type="paragraph" w:styleId="28">
    <w:name w:val="List Number 3"/>
    <w:basedOn w:val="1"/>
    <w:qFormat/>
    <w:uiPriority w:val="0"/>
    <w:pPr>
      <w:numPr>
        <w:ilvl w:val="0"/>
        <w:numId w:val="5"/>
      </w:numPr>
    </w:pPr>
  </w:style>
  <w:style w:type="paragraph" w:styleId="29">
    <w:name w:val="List 2"/>
    <w:basedOn w:val="1"/>
    <w:qFormat/>
    <w:uiPriority w:val="0"/>
    <w:pPr>
      <w:ind w:left="100" w:leftChars="200" w:hanging="200" w:hangingChars="200"/>
    </w:pPr>
  </w:style>
  <w:style w:type="paragraph" w:styleId="30">
    <w:name w:val="List Continue"/>
    <w:basedOn w:val="1"/>
    <w:qFormat/>
    <w:uiPriority w:val="0"/>
    <w:pPr>
      <w:spacing w:after="120" w:afterLines="0" w:afterAutospacing="0"/>
      <w:ind w:left="420" w:leftChars="200"/>
    </w:pPr>
  </w:style>
  <w:style w:type="paragraph" w:styleId="31">
    <w:name w:val="Block Text"/>
    <w:basedOn w:val="1"/>
    <w:qFormat/>
    <w:locked/>
    <w:uiPriority w:val="0"/>
    <w:pPr>
      <w:spacing w:after="120" w:afterLines="0" w:afterAutospacing="0"/>
      <w:ind w:left="1440" w:leftChars="700" w:rightChars="700"/>
    </w:pPr>
  </w:style>
  <w:style w:type="paragraph" w:styleId="32">
    <w:name w:val="List Bullet 2"/>
    <w:basedOn w:val="1"/>
    <w:qFormat/>
    <w:uiPriority w:val="0"/>
    <w:pPr>
      <w:numPr>
        <w:ilvl w:val="0"/>
        <w:numId w:val="6"/>
      </w:numPr>
    </w:pPr>
  </w:style>
  <w:style w:type="paragraph" w:styleId="33">
    <w:name w:val="toc 5"/>
    <w:basedOn w:val="1"/>
    <w:next w:val="1"/>
    <w:qFormat/>
    <w:uiPriority w:val="0"/>
    <w:pPr>
      <w:ind w:left="1680" w:leftChars="800"/>
    </w:pPr>
  </w:style>
  <w:style w:type="paragraph" w:styleId="34">
    <w:name w:val="toc 3"/>
    <w:basedOn w:val="1"/>
    <w:next w:val="1"/>
    <w:qFormat/>
    <w:uiPriority w:val="0"/>
    <w:pPr>
      <w:ind w:left="840" w:leftChars="400"/>
    </w:pPr>
  </w:style>
  <w:style w:type="paragraph" w:styleId="35">
    <w:name w:val="toc 8"/>
    <w:basedOn w:val="1"/>
    <w:next w:val="1"/>
    <w:qFormat/>
    <w:uiPriority w:val="0"/>
    <w:pPr>
      <w:ind w:left="2940" w:leftChars="1400"/>
    </w:pPr>
  </w:style>
  <w:style w:type="paragraph" w:styleId="36">
    <w:name w:val="Date"/>
    <w:basedOn w:val="1"/>
    <w:next w:val="1"/>
    <w:link w:val="105"/>
    <w:qFormat/>
    <w:uiPriority w:val="0"/>
    <w:pPr>
      <w:ind w:left="100" w:leftChars="2500"/>
    </w:pPr>
  </w:style>
  <w:style w:type="paragraph" w:styleId="37">
    <w:name w:val="Body Text Indent 2"/>
    <w:basedOn w:val="1"/>
    <w:link w:val="106"/>
    <w:qFormat/>
    <w:uiPriority w:val="0"/>
    <w:pPr>
      <w:spacing w:after="120" w:afterLines="0" w:afterAutospacing="0" w:line="480" w:lineRule="auto"/>
      <w:ind w:left="420" w:leftChars="200"/>
    </w:pPr>
  </w:style>
  <w:style w:type="paragraph" w:styleId="38">
    <w:name w:val="endnote text"/>
    <w:basedOn w:val="1"/>
    <w:link w:val="107"/>
    <w:qFormat/>
    <w:uiPriority w:val="0"/>
    <w:pPr>
      <w:snapToGrid w:val="0"/>
      <w:jc w:val="left"/>
    </w:pPr>
  </w:style>
  <w:style w:type="paragraph" w:styleId="39">
    <w:name w:val="Balloon Text"/>
    <w:basedOn w:val="1"/>
    <w:link w:val="108"/>
    <w:qFormat/>
    <w:uiPriority w:val="0"/>
    <w:rPr>
      <w:sz w:val="18"/>
    </w:rPr>
  </w:style>
  <w:style w:type="paragraph" w:styleId="40">
    <w:name w:val="footer"/>
    <w:basedOn w:val="1"/>
    <w:link w:val="132"/>
    <w:qFormat/>
    <w:uiPriority w:val="0"/>
    <w:pPr>
      <w:tabs>
        <w:tab w:val="center" w:pos="4153"/>
        <w:tab w:val="right" w:pos="8306"/>
      </w:tabs>
      <w:snapToGrid w:val="0"/>
      <w:jc w:val="left"/>
    </w:pPr>
    <w:rPr>
      <w:sz w:val="18"/>
    </w:rPr>
  </w:style>
  <w:style w:type="paragraph" w:styleId="41">
    <w:name w:val="header"/>
    <w:basedOn w:val="1"/>
    <w:link w:val="1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outlineLvl w:val="9"/>
    </w:pPr>
    <w:rPr>
      <w:sz w:val="21"/>
      <w:szCs w:val="21"/>
    </w:rPr>
  </w:style>
  <w:style w:type="paragraph" w:styleId="42">
    <w:name w:val="toc 1"/>
    <w:basedOn w:val="1"/>
    <w:next w:val="1"/>
    <w:qFormat/>
    <w:uiPriority w:val="0"/>
  </w:style>
  <w:style w:type="paragraph" w:styleId="43">
    <w:name w:val="List Continue 4"/>
    <w:basedOn w:val="1"/>
    <w:qFormat/>
    <w:uiPriority w:val="0"/>
    <w:pPr>
      <w:spacing w:after="120" w:afterLines="0" w:afterAutospacing="0"/>
      <w:ind w:left="1680" w:leftChars="800"/>
    </w:pPr>
  </w:style>
  <w:style w:type="paragraph" w:styleId="44">
    <w:name w:val="toc 4"/>
    <w:basedOn w:val="1"/>
    <w:next w:val="1"/>
    <w:qFormat/>
    <w:uiPriority w:val="0"/>
    <w:pPr>
      <w:ind w:left="1260" w:leftChars="600"/>
    </w:pPr>
  </w:style>
  <w:style w:type="paragraph" w:styleId="45">
    <w:name w:val="index heading"/>
    <w:basedOn w:val="1"/>
    <w:next w:val="46"/>
    <w:qFormat/>
    <w:uiPriority w:val="0"/>
    <w:rPr>
      <w:rFonts w:ascii="Arial" w:hAnsi="Arial"/>
      <w:b/>
    </w:rPr>
  </w:style>
  <w:style w:type="paragraph" w:styleId="46">
    <w:name w:val="index 1"/>
    <w:basedOn w:val="1"/>
    <w:next w:val="1"/>
    <w:qFormat/>
    <w:uiPriority w:val="0"/>
  </w:style>
  <w:style w:type="paragraph" w:styleId="47">
    <w:name w:val="Subtitle"/>
    <w:basedOn w:val="1"/>
    <w:link w:val="112"/>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48">
    <w:name w:val="List"/>
    <w:basedOn w:val="1"/>
    <w:qFormat/>
    <w:uiPriority w:val="0"/>
    <w:pPr>
      <w:ind w:left="200" w:hanging="200" w:hangingChars="200"/>
    </w:pPr>
  </w:style>
  <w:style w:type="paragraph" w:styleId="49">
    <w:name w:val="footnote text"/>
    <w:basedOn w:val="1"/>
    <w:link w:val="113"/>
    <w:qFormat/>
    <w:uiPriority w:val="0"/>
    <w:pPr>
      <w:snapToGrid w:val="0"/>
      <w:jc w:val="left"/>
    </w:pPr>
    <w:rPr>
      <w:sz w:val="18"/>
    </w:rPr>
  </w:style>
  <w:style w:type="paragraph" w:styleId="50">
    <w:name w:val="toc 6"/>
    <w:basedOn w:val="1"/>
    <w:next w:val="1"/>
    <w:qFormat/>
    <w:uiPriority w:val="0"/>
    <w:pPr>
      <w:ind w:left="2100" w:leftChars="1000"/>
    </w:pPr>
  </w:style>
  <w:style w:type="paragraph" w:styleId="51">
    <w:name w:val="List 5"/>
    <w:basedOn w:val="1"/>
    <w:qFormat/>
    <w:uiPriority w:val="0"/>
    <w:pPr>
      <w:ind w:left="100" w:leftChars="800" w:hanging="200" w:hangingChars="200"/>
    </w:pPr>
  </w:style>
  <w:style w:type="paragraph" w:styleId="52">
    <w:name w:val="Body Text Indent 3"/>
    <w:basedOn w:val="1"/>
    <w:link w:val="114"/>
    <w:qFormat/>
    <w:uiPriority w:val="0"/>
    <w:pPr>
      <w:spacing w:after="120" w:afterLines="0" w:afterAutospacing="0"/>
      <w:ind w:left="420" w:leftChars="200"/>
    </w:pPr>
    <w:rPr>
      <w:sz w:val="16"/>
    </w:rPr>
  </w:style>
  <w:style w:type="paragraph" w:styleId="53">
    <w:name w:val="table of figures"/>
    <w:basedOn w:val="1"/>
    <w:next w:val="1"/>
    <w:qFormat/>
    <w:uiPriority w:val="0"/>
    <w:pPr>
      <w:ind w:leftChars="200" w:hanging="200" w:hangingChars="200"/>
    </w:p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115"/>
    <w:qFormat/>
    <w:uiPriority w:val="0"/>
    <w:pPr>
      <w:spacing w:after="120" w:afterLines="0" w:afterAutospacing="0" w:line="480" w:lineRule="auto"/>
    </w:pPr>
  </w:style>
  <w:style w:type="paragraph" w:styleId="57">
    <w:name w:val="List 4"/>
    <w:basedOn w:val="1"/>
    <w:qFormat/>
    <w:uiPriority w:val="0"/>
    <w:pPr>
      <w:ind w:left="100" w:leftChars="600" w:hanging="200" w:hangingChars="200"/>
    </w:pPr>
  </w:style>
  <w:style w:type="paragraph" w:styleId="58">
    <w:name w:val="List Continue 2"/>
    <w:basedOn w:val="1"/>
    <w:qFormat/>
    <w:uiPriority w:val="0"/>
    <w:pPr>
      <w:spacing w:after="120" w:afterLines="0" w:afterAutospacing="0"/>
      <w:ind w:left="840" w:leftChars="400"/>
    </w:pPr>
  </w:style>
  <w:style w:type="paragraph" w:styleId="59">
    <w:name w:val="Message Header"/>
    <w:basedOn w:val="1"/>
    <w:link w:val="670"/>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0">
    <w:name w:val="HTML Preformatted"/>
    <w:basedOn w:val="1"/>
    <w:link w:val="116"/>
    <w:qFormat/>
    <w:uiPriority w:val="0"/>
    <w:rPr>
      <w:rFonts w:ascii="Courier New" w:hAnsi="Courier New"/>
      <w:sz w:val="20"/>
    </w:rPr>
  </w:style>
  <w:style w:type="paragraph" w:styleId="61">
    <w:name w:val="Normal (Web)"/>
    <w:basedOn w:val="1"/>
    <w:qFormat/>
    <w:uiPriority w:val="0"/>
    <w:rPr>
      <w:sz w:val="24"/>
    </w:rPr>
  </w:style>
  <w:style w:type="paragraph" w:styleId="62">
    <w:name w:val="List Continue 3"/>
    <w:basedOn w:val="1"/>
    <w:qFormat/>
    <w:uiPriority w:val="0"/>
    <w:pPr>
      <w:spacing w:after="120" w:afterLines="0" w:afterAutospacing="0"/>
      <w:ind w:left="1260" w:leftChars="600"/>
    </w:pPr>
  </w:style>
  <w:style w:type="paragraph" w:styleId="63">
    <w:name w:val="Title"/>
    <w:basedOn w:val="1"/>
    <w:next w:val="1"/>
    <w:link w:val="117"/>
    <w:qFormat/>
    <w:uiPriority w:val="10"/>
    <w:pPr>
      <w:spacing w:line="240" w:lineRule="auto"/>
      <w:ind w:firstLine="0" w:firstLineChars="0"/>
      <w:jc w:val="center"/>
      <w:outlineLvl w:val="9"/>
    </w:pPr>
    <w:rPr>
      <w:rFonts w:asciiTheme="majorEastAsia" w:hAnsiTheme="majorEastAsia"/>
      <w:b/>
      <w:sz w:val="52"/>
      <w:szCs w:val="44"/>
    </w:rPr>
  </w:style>
  <w:style w:type="paragraph" w:styleId="64">
    <w:name w:val="annotation subject"/>
    <w:basedOn w:val="23"/>
    <w:next w:val="23"/>
    <w:link w:val="98"/>
    <w:qFormat/>
    <w:uiPriority w:val="0"/>
    <w:rPr>
      <w:b/>
    </w:rPr>
  </w:style>
  <w:style w:type="paragraph" w:styleId="65">
    <w:name w:val="Body Text First Indent"/>
    <w:basedOn w:val="8"/>
    <w:link w:val="100"/>
    <w:qFormat/>
    <w:uiPriority w:val="0"/>
    <w:pPr>
      <w:ind w:firstLine="420" w:firstLineChars="100"/>
    </w:pPr>
  </w:style>
  <w:style w:type="paragraph" w:styleId="66">
    <w:name w:val="Body Text First Indent 2"/>
    <w:basedOn w:val="27"/>
    <w:next w:val="1"/>
    <w:link w:val="110"/>
    <w:qFormat/>
    <w:uiPriority w:val="0"/>
    <w:pPr>
      <w:ind w:firstLine="420" w:firstLineChars="200"/>
    </w:pPr>
  </w:style>
  <w:style w:type="table" w:styleId="68">
    <w:name w:val="Table Grid"/>
    <w:basedOn w:val="6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9">
    <w:name w:val="Table Simple 1"/>
    <w:basedOn w:val="67"/>
    <w:autoRedefine/>
    <w:qFormat/>
    <w:locked/>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70">
    <w:name w:val="Table Grid 8"/>
    <w:basedOn w:val="67"/>
    <w:autoRedefine/>
    <w:qFormat/>
    <w:locked/>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72">
    <w:name w:val="Strong"/>
    <w:basedOn w:val="71"/>
    <w:qFormat/>
    <w:uiPriority w:val="22"/>
    <w:rPr>
      <w:rFonts w:ascii="Arial" w:hAnsi="Arial" w:eastAsia="黑体"/>
      <w:b/>
      <w:color w:val="4F81BD" w:themeColor="accent1"/>
      <w:u w:val="single"/>
      <w14:textFill>
        <w14:solidFill>
          <w14:schemeClr w14:val="accent1"/>
        </w14:solidFill>
      </w14:textFill>
    </w:rPr>
  </w:style>
  <w:style w:type="character" w:styleId="73">
    <w:name w:val="endnote reference"/>
    <w:basedOn w:val="71"/>
    <w:qFormat/>
    <w:uiPriority w:val="0"/>
    <w:rPr>
      <w:vertAlign w:val="superscript"/>
    </w:rPr>
  </w:style>
  <w:style w:type="character" w:styleId="74">
    <w:name w:val="page number"/>
    <w:basedOn w:val="71"/>
    <w:qFormat/>
    <w:uiPriority w:val="0"/>
  </w:style>
  <w:style w:type="character" w:styleId="75">
    <w:name w:val="FollowedHyperlink"/>
    <w:basedOn w:val="71"/>
    <w:qFormat/>
    <w:uiPriority w:val="0"/>
    <w:rPr>
      <w:color w:val="800080"/>
      <w:u w:val="single"/>
    </w:rPr>
  </w:style>
  <w:style w:type="character" w:styleId="76">
    <w:name w:val="Emphasis"/>
    <w:basedOn w:val="71"/>
    <w:qFormat/>
    <w:uiPriority w:val="20"/>
    <w:rPr>
      <w:rFonts w:ascii="Arial" w:hAnsi="Arial" w:eastAsia="黑体"/>
      <w:b/>
      <w:bCs/>
      <w:i/>
      <w:color w:val="C00000"/>
      <w:sz w:val="24"/>
      <w:szCs w:val="22"/>
    </w:rPr>
  </w:style>
  <w:style w:type="character" w:styleId="77">
    <w:name w:val="Hyperlink"/>
    <w:basedOn w:val="71"/>
    <w:qFormat/>
    <w:uiPriority w:val="0"/>
    <w:rPr>
      <w:color w:val="0000FF"/>
      <w:u w:val="single"/>
    </w:rPr>
  </w:style>
  <w:style w:type="character" w:styleId="78">
    <w:name w:val="annotation reference"/>
    <w:basedOn w:val="71"/>
    <w:qFormat/>
    <w:uiPriority w:val="0"/>
    <w:rPr>
      <w:sz w:val="21"/>
    </w:rPr>
  </w:style>
  <w:style w:type="character" w:styleId="79">
    <w:name w:val="footnote reference"/>
    <w:basedOn w:val="71"/>
    <w:qFormat/>
    <w:uiPriority w:val="0"/>
    <w:rPr>
      <w:vertAlign w:val="superscript"/>
    </w:rPr>
  </w:style>
  <w:style w:type="paragraph" w:customStyle="1" w:styleId="80">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82">
    <w:name w:val="图表样式"/>
    <w:autoRedefine/>
    <w:qFormat/>
    <w:uiPriority w:val="0"/>
    <w:pPr>
      <w:jc w:val="center"/>
    </w:pPr>
    <w:rPr>
      <w:rFonts w:ascii="Times New Roman" w:hAnsi="Times New Roman" w:eastAsia="宋体" w:cstheme="majorBidi"/>
      <w:kern w:val="2"/>
      <w:sz w:val="21"/>
      <w:lang w:val="en-US" w:eastAsia="zh-CN" w:bidi="ar-SA"/>
    </w:rPr>
  </w:style>
  <w:style w:type="paragraph" w:customStyle="1" w:styleId="83">
    <w:name w:val="标题2，章节第二层"/>
    <w:basedOn w:val="1"/>
    <w:next w:val="1"/>
    <w:autoRedefine/>
    <w:qFormat/>
    <w:uiPriority w:val="99"/>
    <w:pPr>
      <w:adjustRightInd w:val="0"/>
      <w:snapToGrid w:val="0"/>
      <w:spacing w:beforeLines="100" w:afterLines="100" w:line="300" w:lineRule="auto"/>
      <w:ind w:left="141" w:hanging="141"/>
      <w:outlineLvl w:val="1"/>
    </w:pPr>
    <w:rPr>
      <w:rFonts w:ascii="Arial" w:hAnsi="Arial" w:eastAsia="黑体"/>
    </w:rPr>
  </w:style>
  <w:style w:type="paragraph" w:customStyle="1" w:styleId="84">
    <w:name w:val="一级条标题"/>
    <w:basedOn w:val="85"/>
    <w:next w:val="86"/>
    <w:autoRedefine/>
    <w:qFormat/>
    <w:uiPriority w:val="0"/>
    <w:pPr>
      <w:spacing w:line="240" w:lineRule="auto"/>
      <w:ind w:left="420"/>
      <w:outlineLvl w:val="2"/>
    </w:pPr>
  </w:style>
  <w:style w:type="paragraph" w:customStyle="1" w:styleId="85">
    <w:name w:val="章标题"/>
    <w:basedOn w:val="1"/>
    <w:next w:val="8"/>
    <w:qFormat/>
    <w:uiPriority w:val="0"/>
    <w:pPr>
      <w:spacing w:before="120" w:beforeLines="0" w:after="60" w:line="300" w:lineRule="auto"/>
      <w:jc w:val="center"/>
      <w:outlineLvl w:val="0"/>
    </w:pPr>
    <w:rPr>
      <w:rFonts w:hint="eastAsia" w:ascii="Arial" w:hAnsi="Arial"/>
      <w:b/>
      <w:kern w:val="28"/>
      <w:sz w:val="40"/>
    </w:rPr>
  </w:style>
  <w:style w:type="paragraph" w:customStyle="1" w:styleId="86">
    <w:name w:val="段"/>
    <w:next w:val="1"/>
    <w:autoRedefine/>
    <w:qFormat/>
    <w:uiPriority w:val="0"/>
    <w:pPr>
      <w:autoSpaceDE w:val="0"/>
      <w:autoSpaceDN w:val="0"/>
      <w:ind w:firstLine="200" w:firstLineChars="200"/>
      <w:jc w:val="both"/>
    </w:pPr>
    <w:rPr>
      <w:rFonts w:ascii="宋体" w:hAnsi="Calibri" w:eastAsia="宋体" w:cs="Times New Roman"/>
      <w:kern w:val="2"/>
      <w:sz w:val="22"/>
      <w:lang w:val="en-US" w:eastAsia="zh-CN" w:bidi="ar-SA"/>
    </w:rPr>
  </w:style>
  <w:style w:type="character" w:customStyle="1" w:styleId="87">
    <w:name w:val="标题 1 Char"/>
    <w:link w:val="3"/>
    <w:autoRedefine/>
    <w:qFormat/>
    <w:locked/>
    <w:uiPriority w:val="0"/>
    <w:rPr>
      <w:rFonts w:ascii="仿宋" w:hAnsi="仿宋" w:eastAsia="宋体" w:cs="仿宋"/>
      <w:b/>
      <w:bCs/>
      <w:kern w:val="44"/>
      <w:sz w:val="40"/>
      <w:szCs w:val="72"/>
      <w:lang w:val="en-US" w:eastAsia="zh-CN" w:bidi="ar-SA"/>
    </w:rPr>
  </w:style>
  <w:style w:type="character" w:customStyle="1" w:styleId="88">
    <w:name w:val="标题 2 Char"/>
    <w:link w:val="5"/>
    <w:autoRedefine/>
    <w:qFormat/>
    <w:locked/>
    <w:uiPriority w:val="0"/>
    <w:rPr>
      <w:rFonts w:ascii="仿宋" w:hAnsi="仿宋" w:eastAsia="宋体" w:cs="仿宋"/>
      <w:b/>
      <w:kern w:val="2"/>
      <w:sz w:val="32"/>
      <w:lang w:val="en-US" w:eastAsia="zh-CN" w:bidi="ar-SA"/>
    </w:rPr>
  </w:style>
  <w:style w:type="character" w:customStyle="1" w:styleId="89">
    <w:name w:val="标题 3 Char"/>
    <w:link w:val="4"/>
    <w:autoRedefine/>
    <w:qFormat/>
    <w:locked/>
    <w:uiPriority w:val="9"/>
    <w:rPr>
      <w:rFonts w:ascii="仿宋" w:hAnsi="仿宋" w:eastAsia="宋体" w:cs="仿宋"/>
      <w:b/>
      <w:kern w:val="2"/>
      <w:sz w:val="30"/>
      <w:szCs w:val="30"/>
      <w:lang w:val="en-US" w:eastAsia="zh-CN" w:bidi="ar-SA"/>
    </w:rPr>
  </w:style>
  <w:style w:type="character" w:customStyle="1" w:styleId="90">
    <w:name w:val="标题 4 Char"/>
    <w:link w:val="7"/>
    <w:autoRedefine/>
    <w:qFormat/>
    <w:locked/>
    <w:uiPriority w:val="9"/>
    <w:rPr>
      <w:rFonts w:ascii="Arial" w:hAnsi="Arial" w:eastAsia="宋体" w:cstheme="minorBidi"/>
      <w:b/>
      <w:sz w:val="28"/>
      <w:lang w:val="en-US" w:eastAsia="zh-CN" w:bidi="ar-SA"/>
    </w:rPr>
  </w:style>
  <w:style w:type="character" w:customStyle="1" w:styleId="91">
    <w:name w:val="标题 5 Char"/>
    <w:link w:val="9"/>
    <w:autoRedefine/>
    <w:qFormat/>
    <w:locked/>
    <w:uiPriority w:val="0"/>
    <w:rPr>
      <w:rFonts w:ascii="Arial" w:hAnsi="Arial" w:eastAsia="宋体" w:cstheme="minorBidi"/>
      <w:b/>
      <w:sz w:val="24"/>
      <w:szCs w:val="22"/>
      <w:lang w:val="en-US" w:eastAsia="zh-CN" w:bidi="ar-SA"/>
    </w:rPr>
  </w:style>
  <w:style w:type="character" w:customStyle="1" w:styleId="92">
    <w:name w:val="标题 6 Char"/>
    <w:link w:val="10"/>
    <w:autoRedefine/>
    <w:qFormat/>
    <w:locked/>
    <w:uiPriority w:val="9"/>
    <w:rPr>
      <w:rFonts w:ascii="Arial" w:hAnsi="Arial" w:eastAsia="宋体" w:cstheme="minorBidi"/>
      <w:b/>
      <w:sz w:val="24"/>
      <w:lang w:val="en-US" w:eastAsia="zh-CN" w:bidi="ar-SA"/>
    </w:rPr>
  </w:style>
  <w:style w:type="character" w:customStyle="1" w:styleId="93">
    <w:name w:val="标题 7 Char"/>
    <w:link w:val="11"/>
    <w:autoRedefine/>
    <w:qFormat/>
    <w:locked/>
    <w:uiPriority w:val="9"/>
    <w:rPr>
      <w:rFonts w:ascii="Arial" w:hAnsi="Arial" w:eastAsia="宋体" w:cstheme="minorBidi"/>
      <w:b/>
      <w:sz w:val="24"/>
      <w:lang w:val="en-US" w:eastAsia="zh-CN" w:bidi="ar-SA"/>
    </w:rPr>
  </w:style>
  <w:style w:type="character" w:customStyle="1" w:styleId="94">
    <w:name w:val="标题 8 Char"/>
    <w:link w:val="12"/>
    <w:autoRedefine/>
    <w:qFormat/>
    <w:locked/>
    <w:uiPriority w:val="9"/>
    <w:rPr>
      <w:rFonts w:eastAsia="宋体" w:asciiTheme="majorAscii" w:hAnsiTheme="majorAscii" w:cstheme="majorBidi"/>
      <w:b/>
      <w:sz w:val="24"/>
      <w:lang w:val="en-US" w:eastAsia="zh-CN" w:bidi="ar-SA"/>
    </w:rPr>
  </w:style>
  <w:style w:type="character" w:customStyle="1" w:styleId="95">
    <w:name w:val="标题 9 Char"/>
    <w:link w:val="6"/>
    <w:autoRedefine/>
    <w:qFormat/>
    <w:locked/>
    <w:uiPriority w:val="99"/>
    <w:rPr>
      <w:rFonts w:eastAsia="宋体" w:asciiTheme="majorAscii" w:hAnsiTheme="majorAscii" w:cstheme="majorBidi"/>
      <w:b/>
      <w:sz w:val="24"/>
      <w:szCs w:val="21"/>
      <w:lang w:val="en-US" w:eastAsia="zh-CN" w:bidi="ar-SA"/>
    </w:rPr>
  </w:style>
  <w:style w:type="character" w:customStyle="1" w:styleId="96">
    <w:name w:val="纯文本 Char2"/>
    <w:link w:val="2"/>
    <w:autoRedefine/>
    <w:qFormat/>
    <w:locked/>
    <w:uiPriority w:val="99"/>
    <w:rPr>
      <w:rFonts w:ascii="宋体" w:hAnsi="Courier New"/>
    </w:rPr>
  </w:style>
  <w:style w:type="character" w:customStyle="1" w:styleId="97">
    <w:name w:val="批注文字 Char1"/>
    <w:link w:val="23"/>
    <w:autoRedefine/>
    <w:qFormat/>
    <w:locked/>
    <w:uiPriority w:val="0"/>
  </w:style>
  <w:style w:type="character" w:customStyle="1" w:styleId="98">
    <w:name w:val="批注主题 Char1"/>
    <w:link w:val="64"/>
    <w:autoRedefine/>
    <w:qFormat/>
    <w:locked/>
    <w:uiPriority w:val="99"/>
    <w:rPr>
      <w:b/>
    </w:rPr>
  </w:style>
  <w:style w:type="character" w:customStyle="1" w:styleId="99">
    <w:name w:val="正文文本 Char"/>
    <w:link w:val="8"/>
    <w:autoRedefine/>
    <w:qFormat/>
    <w:locked/>
    <w:uiPriority w:val="0"/>
    <w:rPr>
      <w:rFonts w:ascii="Times New Roman" w:hAnsi="Times New Roman"/>
    </w:rPr>
  </w:style>
  <w:style w:type="character" w:customStyle="1" w:styleId="100">
    <w:name w:val="正文首行缩进 Char2"/>
    <w:link w:val="65"/>
    <w:autoRedefine/>
    <w:qFormat/>
    <w:locked/>
    <w:uiPriority w:val="99"/>
  </w:style>
  <w:style w:type="character" w:customStyle="1" w:styleId="101">
    <w:name w:val="注释标题 Char1"/>
    <w:link w:val="16"/>
    <w:autoRedefine/>
    <w:semiHidden/>
    <w:qFormat/>
    <w:locked/>
    <w:uiPriority w:val="99"/>
  </w:style>
  <w:style w:type="character" w:customStyle="1" w:styleId="102">
    <w:name w:val="Document Map Char"/>
    <w:basedOn w:val="71"/>
    <w:autoRedefine/>
    <w:qFormat/>
    <w:locked/>
    <w:uiPriority w:val="99"/>
    <w:rPr>
      <w:rFonts w:ascii="宋体" w:hAnsi="Calibri" w:eastAsia="宋体" w:cs="Times New Roman"/>
      <w:kern w:val="2"/>
      <w:sz w:val="18"/>
      <w:lang w:val="en-US" w:eastAsia="zh-CN"/>
    </w:rPr>
  </w:style>
  <w:style w:type="character" w:customStyle="1" w:styleId="103">
    <w:name w:val="正文文本 3 Char1"/>
    <w:link w:val="25"/>
    <w:autoRedefine/>
    <w:qFormat/>
    <w:locked/>
    <w:uiPriority w:val="99"/>
    <w:rPr>
      <w:sz w:val="16"/>
    </w:rPr>
  </w:style>
  <w:style w:type="character" w:customStyle="1" w:styleId="104">
    <w:name w:val="正文文本缩进 Char"/>
    <w:link w:val="27"/>
    <w:autoRedefine/>
    <w:qFormat/>
    <w:locked/>
    <w:uiPriority w:val="0"/>
  </w:style>
  <w:style w:type="character" w:customStyle="1" w:styleId="105">
    <w:name w:val="日期 Char2"/>
    <w:link w:val="36"/>
    <w:autoRedefine/>
    <w:qFormat/>
    <w:locked/>
    <w:uiPriority w:val="99"/>
  </w:style>
  <w:style w:type="character" w:customStyle="1" w:styleId="106">
    <w:name w:val="正文文本缩进 2 Char1"/>
    <w:link w:val="37"/>
    <w:autoRedefine/>
    <w:qFormat/>
    <w:locked/>
    <w:uiPriority w:val="99"/>
  </w:style>
  <w:style w:type="character" w:customStyle="1" w:styleId="107">
    <w:name w:val="尾注文本 Char"/>
    <w:link w:val="38"/>
    <w:autoRedefine/>
    <w:qFormat/>
    <w:locked/>
    <w:uiPriority w:val="99"/>
  </w:style>
  <w:style w:type="character" w:customStyle="1" w:styleId="108">
    <w:name w:val="批注框文本 Char1"/>
    <w:link w:val="39"/>
    <w:autoRedefine/>
    <w:qFormat/>
    <w:locked/>
    <w:uiPriority w:val="99"/>
    <w:rPr>
      <w:sz w:val="18"/>
    </w:rPr>
  </w:style>
  <w:style w:type="character" w:customStyle="1" w:styleId="109">
    <w:name w:val="Footer Char"/>
    <w:basedOn w:val="71"/>
    <w:autoRedefine/>
    <w:qFormat/>
    <w:locked/>
    <w:uiPriority w:val="99"/>
    <w:rPr>
      <w:rFonts w:ascii="Calibri" w:hAnsi="Calibri" w:eastAsia="宋体" w:cs="Times New Roman"/>
      <w:sz w:val="18"/>
      <w:lang w:val="en-US" w:eastAsia="zh-CN"/>
    </w:rPr>
  </w:style>
  <w:style w:type="character" w:customStyle="1" w:styleId="110">
    <w:name w:val="正文首行缩进 2 Char1"/>
    <w:link w:val="66"/>
    <w:autoRedefine/>
    <w:qFormat/>
    <w:locked/>
    <w:uiPriority w:val="99"/>
  </w:style>
  <w:style w:type="character" w:customStyle="1" w:styleId="111">
    <w:name w:val="Header Char"/>
    <w:basedOn w:val="71"/>
    <w:autoRedefine/>
    <w:qFormat/>
    <w:locked/>
    <w:uiPriority w:val="99"/>
    <w:rPr>
      <w:rFonts w:ascii="Calibri" w:hAnsi="Calibri" w:eastAsia="宋体" w:cs="Times New Roman"/>
      <w:sz w:val="18"/>
      <w:lang w:val="en-US" w:eastAsia="zh-CN"/>
    </w:rPr>
  </w:style>
  <w:style w:type="character" w:customStyle="1" w:styleId="112">
    <w:name w:val="副标题 Char"/>
    <w:link w:val="47"/>
    <w:autoRedefine/>
    <w:qFormat/>
    <w:locked/>
    <w:uiPriority w:val="0"/>
    <w:rPr>
      <w:rFonts w:ascii="Arial" w:hAnsi="Arial"/>
      <w:b/>
      <w:kern w:val="28"/>
      <w:sz w:val="32"/>
    </w:rPr>
  </w:style>
  <w:style w:type="character" w:customStyle="1" w:styleId="113">
    <w:name w:val="脚注文本 Char1"/>
    <w:link w:val="49"/>
    <w:autoRedefine/>
    <w:semiHidden/>
    <w:qFormat/>
    <w:locked/>
    <w:uiPriority w:val="99"/>
    <w:rPr>
      <w:sz w:val="18"/>
    </w:rPr>
  </w:style>
  <w:style w:type="character" w:customStyle="1" w:styleId="114">
    <w:name w:val="正文文本缩进 3 Char1"/>
    <w:link w:val="52"/>
    <w:autoRedefine/>
    <w:qFormat/>
    <w:locked/>
    <w:uiPriority w:val="99"/>
    <w:rPr>
      <w:sz w:val="16"/>
    </w:rPr>
  </w:style>
  <w:style w:type="character" w:customStyle="1" w:styleId="115">
    <w:name w:val="正文文本 2 Char1"/>
    <w:link w:val="56"/>
    <w:autoRedefine/>
    <w:qFormat/>
    <w:locked/>
    <w:uiPriority w:val="99"/>
  </w:style>
  <w:style w:type="character" w:customStyle="1" w:styleId="116">
    <w:name w:val="HTML 预设格式 Char1"/>
    <w:link w:val="60"/>
    <w:autoRedefine/>
    <w:qFormat/>
    <w:locked/>
    <w:uiPriority w:val="99"/>
    <w:rPr>
      <w:rFonts w:ascii="Courier New" w:hAnsi="Courier New"/>
      <w:sz w:val="20"/>
    </w:rPr>
  </w:style>
  <w:style w:type="character" w:customStyle="1" w:styleId="117">
    <w:name w:val="标题 Char"/>
    <w:link w:val="63"/>
    <w:autoRedefine/>
    <w:qFormat/>
    <w:locked/>
    <w:uiPriority w:val="0"/>
    <w:rPr>
      <w:rFonts w:asciiTheme="majorEastAsia" w:hAnsiTheme="majorEastAsia"/>
      <w:b/>
      <w:sz w:val="52"/>
      <w:szCs w:val="44"/>
    </w:rPr>
  </w:style>
  <w:style w:type="paragraph" w:customStyle="1" w:styleId="118">
    <w:name w:val="无间隔1"/>
    <w:basedOn w:val="1"/>
    <w:link w:val="119"/>
    <w:autoRedefine/>
    <w:qFormat/>
    <w:uiPriority w:val="99"/>
    <w:pPr>
      <w:widowControl w:val="0"/>
      <w:ind w:firstLine="200" w:firstLineChars="200"/>
      <w:jc w:val="both"/>
    </w:pPr>
    <w:rPr>
      <w:kern w:val="2"/>
    </w:rPr>
  </w:style>
  <w:style w:type="character" w:customStyle="1" w:styleId="119">
    <w:name w:val="无间隔 Char"/>
    <w:basedOn w:val="71"/>
    <w:link w:val="118"/>
    <w:autoRedefine/>
    <w:qFormat/>
    <w:locked/>
    <w:uiPriority w:val="99"/>
    <w:rPr>
      <w:rFonts w:cs="Times New Roman"/>
      <w:color w:val="5A5A5A"/>
    </w:rPr>
  </w:style>
  <w:style w:type="paragraph" w:customStyle="1" w:styleId="120">
    <w:name w:val="列出段落1"/>
    <w:basedOn w:val="1"/>
    <w:link w:val="640"/>
    <w:autoRedefine/>
    <w:qFormat/>
    <w:uiPriority w:val="99"/>
    <w:pPr>
      <w:widowControl w:val="0"/>
      <w:spacing w:line="400" w:lineRule="exact"/>
      <w:ind w:left="720" w:firstLine="200" w:firstLineChars="200"/>
      <w:contextualSpacing/>
      <w:jc w:val="both"/>
    </w:pPr>
    <w:rPr>
      <w:rFonts w:ascii="Calibri" w:hAnsi="Calibri"/>
      <w:color w:val="5A5A5A"/>
      <w:sz w:val="20"/>
      <w:szCs w:val="20"/>
    </w:rPr>
  </w:style>
  <w:style w:type="paragraph" w:customStyle="1" w:styleId="121">
    <w:name w:val="引用1"/>
    <w:basedOn w:val="1"/>
    <w:next w:val="1"/>
    <w:link w:val="122"/>
    <w:autoRedefine/>
    <w:qFormat/>
    <w:uiPriority w:val="99"/>
    <w:pPr>
      <w:widowControl w:val="0"/>
      <w:spacing w:line="400" w:lineRule="exact"/>
      <w:ind w:firstLine="200" w:firstLineChars="200"/>
      <w:jc w:val="both"/>
    </w:pPr>
    <w:rPr>
      <w:i/>
      <w:iCs/>
      <w:kern w:val="2"/>
    </w:rPr>
  </w:style>
  <w:style w:type="character" w:customStyle="1" w:styleId="122">
    <w:name w:val="引用 Char"/>
    <w:basedOn w:val="71"/>
    <w:link w:val="121"/>
    <w:autoRedefine/>
    <w:qFormat/>
    <w:locked/>
    <w:uiPriority w:val="99"/>
    <w:rPr>
      <w:rFonts w:cs="Times New Roman"/>
      <w:i/>
      <w:iCs/>
      <w:color w:val="5A5A5A"/>
      <w:sz w:val="20"/>
      <w:szCs w:val="20"/>
    </w:rPr>
  </w:style>
  <w:style w:type="paragraph" w:customStyle="1" w:styleId="123">
    <w:name w:val="明显引用1"/>
    <w:basedOn w:val="1"/>
    <w:next w:val="1"/>
    <w:link w:val="124"/>
    <w:autoRedefine/>
    <w:qFormat/>
    <w:uiPriority w:val="99"/>
    <w:pPr>
      <w:widowControl w:val="0"/>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firstLine="200" w:firstLineChars="200"/>
      <w:jc w:val="both"/>
    </w:pPr>
    <w:rPr>
      <w:rFonts w:ascii="Cambria" w:hAnsi="Cambria"/>
      <w:smallCaps/>
      <w:color w:val="365F91"/>
      <w:kern w:val="2"/>
    </w:rPr>
  </w:style>
  <w:style w:type="character" w:customStyle="1" w:styleId="124">
    <w:name w:val="明显引用 Char"/>
    <w:basedOn w:val="71"/>
    <w:link w:val="123"/>
    <w:autoRedefine/>
    <w:qFormat/>
    <w:locked/>
    <w:uiPriority w:val="99"/>
    <w:rPr>
      <w:rFonts w:ascii="Cambria" w:hAnsi="Cambria" w:eastAsia="宋体" w:cs="Times New Roman"/>
      <w:smallCaps/>
      <w:color w:val="365F91"/>
      <w:sz w:val="20"/>
      <w:szCs w:val="20"/>
    </w:rPr>
  </w:style>
  <w:style w:type="character" w:customStyle="1" w:styleId="125">
    <w:name w:val="不明显强调1"/>
    <w:autoRedefine/>
    <w:qFormat/>
    <w:uiPriority w:val="99"/>
    <w:rPr>
      <w:smallCaps/>
      <w:color w:val="5A5A5A"/>
      <w:vertAlign w:val="baseline"/>
    </w:rPr>
  </w:style>
  <w:style w:type="character" w:customStyle="1" w:styleId="126">
    <w:name w:val="明显强调1"/>
    <w:autoRedefine/>
    <w:qFormat/>
    <w:uiPriority w:val="99"/>
    <w:rPr>
      <w:b/>
      <w:smallCaps/>
      <w:color w:val="4F81BD"/>
      <w:spacing w:val="40"/>
    </w:rPr>
  </w:style>
  <w:style w:type="character" w:customStyle="1" w:styleId="127">
    <w:name w:val="不明显参考1"/>
    <w:autoRedefine/>
    <w:qFormat/>
    <w:uiPriority w:val="99"/>
    <w:rPr>
      <w:rFonts w:ascii="Cambria" w:hAnsi="Cambria" w:eastAsia="宋体"/>
      <w:i/>
      <w:smallCaps/>
      <w:color w:val="5A5A5A"/>
      <w:spacing w:val="20"/>
    </w:rPr>
  </w:style>
  <w:style w:type="character" w:customStyle="1" w:styleId="128">
    <w:name w:val="明显参考1"/>
    <w:autoRedefine/>
    <w:qFormat/>
    <w:uiPriority w:val="99"/>
    <w:rPr>
      <w:rFonts w:ascii="Cambria" w:hAnsi="Cambria" w:eastAsia="宋体"/>
      <w:b/>
      <w:i/>
      <w:smallCaps/>
      <w:color w:val="17365D"/>
      <w:spacing w:val="20"/>
    </w:rPr>
  </w:style>
  <w:style w:type="character" w:customStyle="1" w:styleId="129">
    <w:name w:val="书籍标题1"/>
    <w:autoRedefine/>
    <w:qFormat/>
    <w:uiPriority w:val="99"/>
    <w:rPr>
      <w:rFonts w:ascii="Cambria" w:hAnsi="Cambria" w:eastAsia="宋体"/>
      <w:b/>
      <w:smallCaps/>
      <w:color w:val="17365D"/>
      <w:spacing w:val="10"/>
      <w:u w:val="single"/>
    </w:rPr>
  </w:style>
  <w:style w:type="paragraph" w:customStyle="1" w:styleId="130">
    <w:name w:val="TOC 标题1"/>
    <w:basedOn w:val="3"/>
    <w:next w:val="1"/>
    <w:autoRedefine/>
    <w:qFormat/>
    <w:uiPriority w:val="39"/>
    <w:pPr>
      <w:outlineLvl w:val="9"/>
    </w:pPr>
  </w:style>
  <w:style w:type="character" w:customStyle="1" w:styleId="131">
    <w:name w:val="页眉 Char"/>
    <w:link w:val="41"/>
    <w:autoRedefine/>
    <w:qFormat/>
    <w:locked/>
    <w:uiPriority w:val="0"/>
    <w:rPr>
      <w:rFonts w:eastAsia="宋体"/>
      <w:sz w:val="21"/>
      <w:szCs w:val="21"/>
    </w:rPr>
  </w:style>
  <w:style w:type="character" w:customStyle="1" w:styleId="132">
    <w:name w:val="页脚 Char"/>
    <w:link w:val="40"/>
    <w:autoRedefine/>
    <w:qFormat/>
    <w:locked/>
    <w:uiPriority w:val="99"/>
    <w:rPr>
      <w:sz w:val="18"/>
    </w:rPr>
  </w:style>
  <w:style w:type="character" w:customStyle="1" w:styleId="133">
    <w:name w:val="纯文本 Char"/>
    <w:basedOn w:val="71"/>
    <w:autoRedefine/>
    <w:qFormat/>
    <w:uiPriority w:val="0"/>
    <w:rPr>
      <w:rFonts w:ascii="宋体" w:hAnsi="Courier New" w:eastAsia="宋体" w:cs="Courier New"/>
      <w:kern w:val="2"/>
      <w:sz w:val="21"/>
      <w:szCs w:val="21"/>
      <w:lang w:eastAsia="zh-CN" w:bidi="ar-SA"/>
    </w:rPr>
  </w:style>
  <w:style w:type="paragraph" w:customStyle="1" w:styleId="134">
    <w:name w:val="Char"/>
    <w:basedOn w:val="21"/>
    <w:autoRedefine/>
    <w:qFormat/>
    <w:uiPriority w:val="0"/>
    <w:rPr>
      <w:rFonts w:ascii="Tahoma" w:hAnsi="Tahoma"/>
    </w:rPr>
  </w:style>
  <w:style w:type="character" w:customStyle="1" w:styleId="135">
    <w:name w:val="文档结构图 Char"/>
    <w:basedOn w:val="71"/>
    <w:autoRedefine/>
    <w:qFormat/>
    <w:uiPriority w:val="0"/>
    <w:rPr>
      <w:rFonts w:ascii="宋体" w:hAnsi="Times New Roman" w:eastAsia="宋体" w:cs="Times New Roman"/>
      <w:kern w:val="2"/>
      <w:sz w:val="18"/>
      <w:szCs w:val="18"/>
      <w:lang w:eastAsia="zh-CN" w:bidi="ar-SA"/>
    </w:rPr>
  </w:style>
  <w:style w:type="paragraph" w:customStyle="1" w:styleId="136">
    <w:name w:val="xl54"/>
    <w:basedOn w:val="1"/>
    <w:autoRedefine/>
    <w:qFormat/>
    <w:uiPriority w:val="99"/>
    <w:pPr>
      <w:pBdr>
        <w:left w:val="single" w:color="auto" w:sz="4" w:space="0"/>
        <w:right w:val="single" w:color="auto" w:sz="4" w:space="0"/>
      </w:pBdr>
      <w:spacing w:before="100" w:beforeAutospacing="1" w:after="100" w:afterAutospacing="1" w:line="400" w:lineRule="exact"/>
      <w:ind w:firstLine="200" w:firstLineChars="200"/>
      <w:jc w:val="center"/>
      <w:textAlignment w:val="center"/>
    </w:pPr>
    <w:rPr>
      <w:rFonts w:ascii="Arial" w:hAnsi="Arial" w:cs="Arial"/>
      <w:b/>
      <w:bCs/>
      <w:sz w:val="20"/>
      <w:szCs w:val="20"/>
    </w:rPr>
  </w:style>
  <w:style w:type="paragraph" w:customStyle="1" w:styleId="137">
    <w:name w:val="Table Text Char Char"/>
    <w:autoRedefine/>
    <w:qFormat/>
    <w:uiPriority w:val="99"/>
    <w:pPr>
      <w:snapToGrid w:val="0"/>
      <w:spacing w:before="80" w:after="80"/>
    </w:pPr>
    <w:rPr>
      <w:rFonts w:ascii="Arial" w:hAnsi="Arial" w:eastAsia="宋体" w:cs="Arial"/>
      <w:sz w:val="18"/>
      <w:szCs w:val="18"/>
      <w:lang w:val="en-US" w:eastAsia="zh-CN" w:bidi="ar-SA"/>
    </w:rPr>
  </w:style>
  <w:style w:type="character" w:customStyle="1" w:styleId="138">
    <w:name w:val="Table Text Char Char Char"/>
    <w:autoRedefine/>
    <w:qFormat/>
    <w:uiPriority w:val="99"/>
    <w:rPr>
      <w:rFonts w:ascii="Arial" w:hAnsi="Arial" w:eastAsia="宋体"/>
      <w:sz w:val="18"/>
      <w:lang w:val="en-US" w:eastAsia="zh-CN"/>
    </w:rPr>
  </w:style>
  <w:style w:type="character" w:customStyle="1" w:styleId="139">
    <w:name w:val="批注框文本 Char"/>
    <w:basedOn w:val="71"/>
    <w:autoRedefine/>
    <w:qFormat/>
    <w:uiPriority w:val="0"/>
    <w:rPr>
      <w:rFonts w:ascii="Times New Roman" w:hAnsi="Times New Roman" w:eastAsia="宋体" w:cs="Times New Roman"/>
      <w:kern w:val="2"/>
      <w:sz w:val="18"/>
      <w:szCs w:val="18"/>
      <w:lang w:eastAsia="zh-CN" w:bidi="ar-SA"/>
    </w:rPr>
  </w:style>
  <w:style w:type="paragraph" w:customStyle="1" w:styleId="140">
    <w:name w:val="xl52"/>
    <w:basedOn w:val="1"/>
    <w:autoRedefine/>
    <w:qFormat/>
    <w:uiPriority w:val="99"/>
    <w:pPr>
      <w:spacing w:before="100" w:beforeAutospacing="1" w:after="100" w:afterAutospacing="1" w:line="400" w:lineRule="exact"/>
      <w:ind w:firstLine="200" w:firstLineChars="200"/>
      <w:jc w:val="center"/>
      <w:textAlignment w:val="top"/>
    </w:pPr>
    <w:rPr>
      <w:sz w:val="20"/>
      <w:szCs w:val="20"/>
    </w:rPr>
  </w:style>
  <w:style w:type="paragraph" w:customStyle="1" w:styleId="141">
    <w:name w:val="Table Text"/>
    <w:basedOn w:val="1"/>
    <w:autoRedefine/>
    <w:qFormat/>
    <w:uiPriority w:val="0"/>
    <w:pPr>
      <w:tabs>
        <w:tab w:val="decimal" w:pos="0"/>
      </w:tabs>
      <w:autoSpaceDE w:val="0"/>
      <w:autoSpaceDN w:val="0"/>
      <w:adjustRightInd w:val="0"/>
      <w:spacing w:before="80" w:after="80" w:line="400" w:lineRule="exact"/>
      <w:ind w:firstLine="200" w:firstLineChars="200"/>
      <w:jc w:val="both"/>
    </w:pPr>
    <w:rPr>
      <w:rFonts w:ascii="Arial" w:hAnsi="Arial"/>
      <w:sz w:val="18"/>
      <w:szCs w:val="20"/>
    </w:rPr>
  </w:style>
  <w:style w:type="character" w:customStyle="1" w:styleId="142">
    <w:name w:val="Table Text Char"/>
    <w:autoRedefine/>
    <w:qFormat/>
    <w:uiPriority w:val="99"/>
    <w:rPr>
      <w:rFonts w:ascii="Arial" w:hAnsi="Arial" w:eastAsia="宋体"/>
      <w:sz w:val="18"/>
      <w:lang w:val="en-US" w:eastAsia="zh-CN"/>
    </w:rPr>
  </w:style>
  <w:style w:type="character" w:customStyle="1" w:styleId="143">
    <w:name w:val="正文首行缩进 Char"/>
    <w:basedOn w:val="99"/>
    <w:autoRedefine/>
    <w:qFormat/>
    <w:uiPriority w:val="0"/>
    <w:rPr>
      <w:rFonts w:ascii="Times New Roman" w:hAnsi="Times New Roman" w:eastAsia="宋体" w:cs="Times New Roman"/>
      <w:kern w:val="2"/>
      <w:sz w:val="24"/>
      <w:szCs w:val="24"/>
      <w:lang w:eastAsia="zh-CN" w:bidi="ar-SA"/>
    </w:rPr>
  </w:style>
  <w:style w:type="paragraph" w:customStyle="1" w:styleId="144">
    <w:name w:val="Text"/>
    <w:autoRedefine/>
    <w:qFormat/>
    <w:uiPriority w:val="99"/>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customStyle="1" w:styleId="145">
    <w:name w:val="表格正文"/>
    <w:basedOn w:val="1"/>
    <w:autoRedefine/>
    <w:qFormat/>
    <w:uiPriority w:val="99"/>
    <w:pPr>
      <w:widowControl w:val="0"/>
      <w:tabs>
        <w:tab w:val="left" w:pos="425"/>
        <w:tab w:val="left" w:pos="851"/>
        <w:tab w:val="left" w:pos="1276"/>
        <w:tab w:val="left" w:pos="1701"/>
        <w:tab w:val="left" w:pos="2126"/>
        <w:tab w:val="left" w:pos="2552"/>
        <w:tab w:val="left" w:pos="2977"/>
      </w:tabs>
      <w:spacing w:before="60" w:after="60" w:line="400" w:lineRule="exact"/>
      <w:ind w:firstLine="200" w:firstLineChars="200"/>
      <w:jc w:val="both"/>
    </w:pPr>
    <w:rPr>
      <w:rFonts w:ascii="Tahoma" w:hAnsi="Tahoma" w:eastAsia="PMingLiUfalt"/>
      <w:sz w:val="22"/>
      <w:szCs w:val="22"/>
    </w:rPr>
  </w:style>
  <w:style w:type="paragraph" w:customStyle="1" w:styleId="146">
    <w:name w:val="表格标题"/>
    <w:basedOn w:val="145"/>
    <w:autoRedefine/>
    <w:qFormat/>
    <w:uiPriority w:val="99"/>
    <w:pPr>
      <w:spacing w:before="20"/>
      <w:jc w:val="center"/>
    </w:pPr>
    <w:rPr>
      <w:rFonts w:eastAsia="楷体_GB2312"/>
      <w:b/>
    </w:rPr>
  </w:style>
  <w:style w:type="paragraph" w:customStyle="1" w:styleId="147">
    <w:name w:val="DOT Text"/>
    <w:basedOn w:val="144"/>
    <w:autoRedefine/>
    <w:qFormat/>
    <w:uiPriority w:val="99"/>
    <w:pPr>
      <w:numPr>
        <w:ilvl w:val="0"/>
        <w:numId w:val="7"/>
      </w:numPr>
      <w:tabs>
        <w:tab w:val="left" w:pos="1680"/>
        <w:tab w:val="clear" w:pos="420"/>
      </w:tabs>
      <w:spacing w:beforeLines="25" w:afterLines="25"/>
      <w:ind w:firstLine="0" w:firstLineChars="0"/>
    </w:pPr>
  </w:style>
  <w:style w:type="character" w:customStyle="1" w:styleId="148">
    <w:name w:val="mode1"/>
    <w:autoRedefine/>
    <w:qFormat/>
    <w:uiPriority w:val="99"/>
    <w:rPr>
      <w:color w:val="444444"/>
      <w:sz w:val="18"/>
    </w:rPr>
  </w:style>
  <w:style w:type="paragraph" w:customStyle="1" w:styleId="149">
    <w:name w:val="Char4"/>
    <w:basedOn w:val="1"/>
    <w:autoRedefine/>
    <w:qFormat/>
    <w:uiPriority w:val="99"/>
    <w:pPr>
      <w:spacing w:after="160" w:line="240" w:lineRule="exact"/>
      <w:ind w:firstLine="200" w:firstLineChars="200"/>
    </w:pPr>
    <w:rPr>
      <w:rFonts w:ascii="Verdana" w:hAnsi="Verdana"/>
      <w:szCs w:val="20"/>
      <w:lang w:eastAsia="en-US"/>
    </w:rPr>
  </w:style>
  <w:style w:type="character" w:customStyle="1" w:styleId="150">
    <w:name w:val="批注文字 Char"/>
    <w:basedOn w:val="71"/>
    <w:autoRedefine/>
    <w:qFormat/>
    <w:uiPriority w:val="99"/>
    <w:rPr>
      <w:rFonts w:ascii="Times New Roman" w:hAnsi="Times New Roman" w:eastAsia="宋体" w:cs="Times New Roman"/>
      <w:kern w:val="2"/>
      <w:sz w:val="24"/>
      <w:szCs w:val="24"/>
      <w:lang w:eastAsia="zh-CN" w:bidi="ar-SA"/>
    </w:rPr>
  </w:style>
  <w:style w:type="character" w:customStyle="1" w:styleId="151">
    <w:name w:val="批注主题 Char"/>
    <w:basedOn w:val="150"/>
    <w:autoRedefine/>
    <w:qFormat/>
    <w:uiPriority w:val="0"/>
    <w:rPr>
      <w:rFonts w:ascii="Times New Roman" w:hAnsi="Times New Roman" w:eastAsia="宋体" w:cs="Times New Roman"/>
      <w:b/>
      <w:bCs/>
      <w:kern w:val="2"/>
      <w:sz w:val="24"/>
      <w:szCs w:val="24"/>
      <w:lang w:eastAsia="zh-CN" w:bidi="ar-SA"/>
    </w:rPr>
  </w:style>
  <w:style w:type="character" w:customStyle="1" w:styleId="152">
    <w:name w:val="HTML 预设格式 Char"/>
    <w:basedOn w:val="71"/>
    <w:autoRedefine/>
    <w:qFormat/>
    <w:uiPriority w:val="99"/>
    <w:rPr>
      <w:rFonts w:ascii="Courier New" w:hAnsi="Courier New" w:eastAsia="宋体" w:cs="Courier New"/>
      <w:kern w:val="2"/>
      <w:lang w:eastAsia="zh-CN" w:bidi="ar-SA"/>
    </w:rPr>
  </w:style>
  <w:style w:type="paragraph" w:customStyle="1" w:styleId="153">
    <w:name w:val="Char Char Char"/>
    <w:basedOn w:val="1"/>
    <w:autoRedefine/>
    <w:qFormat/>
    <w:uiPriority w:val="0"/>
    <w:pPr>
      <w:widowControl w:val="0"/>
      <w:spacing w:line="400" w:lineRule="exact"/>
      <w:ind w:firstLine="200" w:firstLineChars="200"/>
      <w:jc w:val="both"/>
    </w:pPr>
    <w:rPr>
      <w:rFonts w:ascii="Tahoma" w:hAnsi="Tahoma"/>
      <w:kern w:val="2"/>
      <w:szCs w:val="20"/>
    </w:rPr>
  </w:style>
  <w:style w:type="paragraph" w:customStyle="1" w:styleId="154">
    <w:name w:val="样式1"/>
    <w:basedOn w:val="2"/>
    <w:next w:val="27"/>
    <w:autoRedefine/>
    <w:qFormat/>
    <w:uiPriority w:val="99"/>
    <w:pPr>
      <w:ind w:firstLine="1958" w:firstLineChars="650"/>
    </w:pPr>
    <w:rPr>
      <w:rFonts w:ascii="仿宋_GB2312" w:hAnsi="仿宋_GB2312" w:eastAsia="仿宋_GB2312"/>
      <w:sz w:val="32"/>
    </w:rPr>
  </w:style>
  <w:style w:type="paragraph" w:customStyle="1" w:styleId="155">
    <w:name w:val="默认段落字体 Para Char Char Char Char Char Char Char"/>
    <w:basedOn w:val="1"/>
    <w:autoRedefine/>
    <w:qFormat/>
    <w:uiPriority w:val="99"/>
    <w:pPr>
      <w:widowControl w:val="0"/>
      <w:spacing w:line="400" w:lineRule="exact"/>
      <w:ind w:firstLine="200" w:firstLineChars="200"/>
      <w:jc w:val="both"/>
    </w:pPr>
    <w:rPr>
      <w:rFonts w:ascii="Tahoma" w:hAnsi="Tahoma"/>
      <w:b/>
      <w:kern w:val="2"/>
      <w:szCs w:val="20"/>
    </w:rPr>
  </w:style>
  <w:style w:type="character" w:customStyle="1" w:styleId="156">
    <w:name w:val="141"/>
    <w:qFormat/>
    <w:uiPriority w:val="99"/>
    <w:rPr>
      <w:color w:val="333333"/>
      <w:sz w:val="21"/>
      <w:u w:val="none"/>
    </w:rPr>
  </w:style>
  <w:style w:type="paragraph" w:customStyle="1" w:styleId="157">
    <w:name w:val="Char Char Char Char Char Char Char Char Char Char Char Char Char Char Char Char Char Char Char Char Char Char Char Char Char"/>
    <w:basedOn w:val="1"/>
    <w:autoRedefine/>
    <w:qFormat/>
    <w:uiPriority w:val="99"/>
    <w:pPr>
      <w:widowControl w:val="0"/>
      <w:spacing w:line="400" w:lineRule="exact"/>
      <w:ind w:firstLine="200" w:firstLineChars="200"/>
      <w:jc w:val="both"/>
    </w:pPr>
    <w:rPr>
      <w:rFonts w:ascii="Tahoma" w:hAnsi="Tahoma"/>
      <w:kern w:val="2"/>
      <w:szCs w:val="20"/>
    </w:rPr>
  </w:style>
  <w:style w:type="paragraph" w:customStyle="1" w:styleId="158">
    <w:name w:val="tableheading"/>
    <w:basedOn w:val="1"/>
    <w:autoRedefine/>
    <w:qFormat/>
    <w:uiPriority w:val="99"/>
    <w:pPr>
      <w:spacing w:before="100" w:beforeAutospacing="1" w:after="100" w:afterAutospacing="1" w:line="200" w:lineRule="atLeast"/>
      <w:ind w:firstLine="200" w:firstLineChars="200"/>
    </w:pPr>
    <w:rPr>
      <w:rFonts w:ascii="Arial Unicode MS" w:hAnsi="Arial Unicode MS"/>
      <w:sz w:val="15"/>
      <w:szCs w:val="15"/>
    </w:rPr>
  </w:style>
  <w:style w:type="character" w:customStyle="1" w:styleId="159">
    <w:name w:val="orange_blod1"/>
    <w:autoRedefine/>
    <w:qFormat/>
    <w:uiPriority w:val="99"/>
    <w:rPr>
      <w:rFonts w:ascii="Verdana" w:hAnsi="Verdana"/>
      <w:b/>
      <w:color w:val="FF6600"/>
      <w:sz w:val="17"/>
      <w:u w:val="none"/>
    </w:rPr>
  </w:style>
  <w:style w:type="paragraph" w:customStyle="1" w:styleId="160">
    <w:name w:val="Char Char1"/>
    <w:basedOn w:val="1"/>
    <w:autoRedefine/>
    <w:qFormat/>
    <w:uiPriority w:val="99"/>
    <w:pPr>
      <w:spacing w:after="160" w:line="240" w:lineRule="exact"/>
      <w:ind w:firstLine="200" w:firstLineChars="200"/>
    </w:pPr>
    <w:rPr>
      <w:rFonts w:ascii="Verdana" w:hAnsi="Verdana"/>
      <w:sz w:val="20"/>
      <w:szCs w:val="20"/>
      <w:lang w:eastAsia="en-US"/>
    </w:rPr>
  </w:style>
  <w:style w:type="paragraph" w:customStyle="1" w:styleId="161">
    <w:name w:val="Char1"/>
    <w:basedOn w:val="1"/>
    <w:autoRedefine/>
    <w:qFormat/>
    <w:uiPriority w:val="0"/>
    <w:pPr>
      <w:widowControl w:val="0"/>
      <w:adjustRightInd w:val="0"/>
      <w:spacing w:line="360" w:lineRule="auto"/>
      <w:ind w:firstLine="200" w:firstLineChars="200"/>
      <w:jc w:val="both"/>
    </w:pPr>
    <w:rPr>
      <w:szCs w:val="20"/>
    </w:rPr>
  </w:style>
  <w:style w:type="paragraph" w:customStyle="1" w:styleId="162">
    <w:name w:val="列表内容"/>
    <w:basedOn w:val="1"/>
    <w:next w:val="1"/>
    <w:autoRedefine/>
    <w:qFormat/>
    <w:uiPriority w:val="99"/>
    <w:pPr>
      <w:numPr>
        <w:ilvl w:val="0"/>
        <w:numId w:val="8"/>
      </w:numPr>
      <w:spacing w:line="400" w:lineRule="exact"/>
      <w:ind w:firstLine="200" w:firstLineChars="200"/>
    </w:pPr>
    <w:rPr>
      <w:sz w:val="18"/>
    </w:rPr>
  </w:style>
  <w:style w:type="paragraph" w:customStyle="1" w:styleId="163">
    <w:name w:val="Char Char Char Char"/>
    <w:basedOn w:val="21"/>
    <w:autoRedefine/>
    <w:qFormat/>
    <w:uiPriority w:val="99"/>
  </w:style>
  <w:style w:type="character" w:customStyle="1" w:styleId="164">
    <w:name w:val="页脚 Char3"/>
    <w:autoRedefine/>
    <w:qFormat/>
    <w:uiPriority w:val="99"/>
    <w:rPr>
      <w:rFonts w:eastAsia="宋体"/>
      <w:kern w:val="2"/>
      <w:sz w:val="18"/>
      <w:lang w:val="en-US" w:eastAsia="zh-CN"/>
    </w:rPr>
  </w:style>
  <w:style w:type="paragraph" w:customStyle="1" w:styleId="165">
    <w:name w:val="Default"/>
    <w:autoRedefine/>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166">
    <w:name w:val="样式2"/>
    <w:basedOn w:val="1"/>
    <w:next w:val="1"/>
    <w:link w:val="680"/>
    <w:autoRedefine/>
    <w:qFormat/>
    <w:uiPriority w:val="0"/>
    <w:pPr>
      <w:widowControl w:val="0"/>
      <w:spacing w:line="400" w:lineRule="exact"/>
      <w:ind w:firstLine="200" w:firstLineChars="200"/>
      <w:jc w:val="both"/>
    </w:pPr>
    <w:rPr>
      <w:kern w:val="2"/>
      <w:sz w:val="28"/>
    </w:rPr>
  </w:style>
  <w:style w:type="paragraph" w:customStyle="1" w:styleId="16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68">
    <w:name w:val="Char Char Char Char Char Char Char"/>
    <w:basedOn w:val="1"/>
    <w:qFormat/>
    <w:uiPriority w:val="99"/>
    <w:pPr>
      <w:widowControl w:val="0"/>
      <w:spacing w:line="400" w:lineRule="exact"/>
      <w:ind w:firstLine="200" w:firstLineChars="200"/>
      <w:jc w:val="both"/>
    </w:pPr>
    <w:rPr>
      <w:kern w:val="2"/>
      <w:szCs w:val="20"/>
    </w:rPr>
  </w:style>
  <w:style w:type="character" w:customStyle="1" w:styleId="169">
    <w:name w:val="Char Char2"/>
    <w:autoRedefine/>
    <w:qFormat/>
    <w:uiPriority w:val="99"/>
    <w:rPr>
      <w:rFonts w:eastAsia="宋体"/>
      <w:kern w:val="2"/>
      <w:sz w:val="18"/>
      <w:lang w:val="en-US" w:eastAsia="zh-CN"/>
    </w:rPr>
  </w:style>
  <w:style w:type="character" w:customStyle="1" w:styleId="170">
    <w:name w:val="textcontents"/>
    <w:basedOn w:val="71"/>
    <w:autoRedefine/>
    <w:qFormat/>
    <w:uiPriority w:val="99"/>
    <w:rPr>
      <w:rFonts w:cs="Times New Roman"/>
    </w:rPr>
  </w:style>
  <w:style w:type="character" w:customStyle="1" w:styleId="171">
    <w:name w:val="标题 1 Char1"/>
    <w:qFormat/>
    <w:uiPriority w:val="99"/>
    <w:rPr>
      <w:rFonts w:ascii="宋体"/>
      <w:b/>
      <w:kern w:val="28"/>
      <w:sz w:val="36"/>
      <w:lang w:val="en-US" w:eastAsia="zh-CN"/>
    </w:rPr>
  </w:style>
  <w:style w:type="paragraph" w:customStyle="1" w:styleId="172">
    <w:name w:val="目录标题1"/>
    <w:basedOn w:val="1"/>
    <w:autoRedefine/>
    <w:qFormat/>
    <w:uiPriority w:val="99"/>
    <w:pPr>
      <w:widowControl w:val="0"/>
      <w:spacing w:before="120" w:after="120" w:line="320" w:lineRule="atLeast"/>
      <w:ind w:firstLine="200" w:firstLineChars="200"/>
      <w:jc w:val="center"/>
    </w:pPr>
    <w:rPr>
      <w:b/>
      <w:kern w:val="2"/>
      <w:sz w:val="32"/>
    </w:rPr>
  </w:style>
  <w:style w:type="character" w:customStyle="1" w:styleId="173">
    <w:name w:val="newsbg"/>
    <w:basedOn w:val="71"/>
    <w:autoRedefine/>
    <w:qFormat/>
    <w:uiPriority w:val="99"/>
    <w:rPr>
      <w:rFonts w:cs="Times New Roman"/>
    </w:rPr>
  </w:style>
  <w:style w:type="paragraph" w:customStyle="1" w:styleId="174">
    <w:name w:val="样式4"/>
    <w:basedOn w:val="1"/>
    <w:qFormat/>
    <w:uiPriority w:val="99"/>
    <w:pPr>
      <w:keepNext/>
      <w:keepLines/>
      <w:widowControl w:val="0"/>
      <w:numPr>
        <w:ilvl w:val="0"/>
        <w:numId w:val="9"/>
      </w:numPr>
      <w:tabs>
        <w:tab w:val="clear" w:pos="360"/>
      </w:tabs>
      <w:spacing w:line="360" w:lineRule="auto"/>
      <w:ind w:left="0" w:firstLine="601" w:firstLineChars="200"/>
      <w:jc w:val="both"/>
      <w:outlineLvl w:val="1"/>
    </w:pPr>
    <w:rPr>
      <w:rFonts w:ascii="宋体" w:hAnsi="宋体"/>
      <w:b/>
      <w:bCs/>
      <w:kern w:val="2"/>
      <w:sz w:val="30"/>
      <w:szCs w:val="30"/>
    </w:rPr>
  </w:style>
  <w:style w:type="character" w:customStyle="1" w:styleId="175">
    <w:name w:val="apple-style-span"/>
    <w:basedOn w:val="71"/>
    <w:autoRedefine/>
    <w:qFormat/>
    <w:uiPriority w:val="99"/>
    <w:rPr>
      <w:rFonts w:cs="Times New Roman"/>
    </w:rPr>
  </w:style>
  <w:style w:type="character" w:customStyle="1" w:styleId="176">
    <w:name w:val="gray121"/>
    <w:autoRedefine/>
    <w:qFormat/>
    <w:uiPriority w:val="99"/>
    <w:rPr>
      <w:color w:val="666666"/>
      <w:sz w:val="18"/>
    </w:rPr>
  </w:style>
  <w:style w:type="paragraph" w:customStyle="1" w:styleId="177">
    <w:name w:val="样式3"/>
    <w:basedOn w:val="154"/>
    <w:link w:val="679"/>
    <w:qFormat/>
    <w:uiPriority w:val="0"/>
    <w:pPr>
      <w:ind w:firstLine="2080"/>
    </w:pPr>
    <w:rPr>
      <w:szCs w:val="72"/>
    </w:rPr>
  </w:style>
  <w:style w:type="paragraph" w:customStyle="1" w:styleId="178">
    <w:name w:val="about_main1"/>
    <w:basedOn w:val="1"/>
    <w:autoRedefine/>
    <w:qFormat/>
    <w:uiPriority w:val="99"/>
    <w:pPr>
      <w:spacing w:before="30" w:after="100" w:afterAutospacing="1" w:line="400" w:lineRule="exact"/>
      <w:ind w:firstLine="200" w:firstLineChars="200"/>
    </w:pPr>
    <w:rPr>
      <w:rFonts w:ascii="宋体" w:hAnsi="宋体" w:cs="宋体"/>
    </w:rPr>
  </w:style>
  <w:style w:type="character" w:customStyle="1" w:styleId="179">
    <w:name w:val="页眉 Char1"/>
    <w:qFormat/>
    <w:uiPriority w:val="99"/>
    <w:rPr>
      <w:kern w:val="2"/>
      <w:sz w:val="18"/>
    </w:rPr>
  </w:style>
  <w:style w:type="character" w:customStyle="1" w:styleId="180">
    <w:name w:val="标题 6 Char1"/>
    <w:autoRedefine/>
    <w:qFormat/>
    <w:uiPriority w:val="99"/>
    <w:rPr>
      <w:rFonts w:ascii="Arial" w:hAnsi="Arial" w:eastAsia="黑体"/>
      <w:b/>
      <w:kern w:val="2"/>
      <w:sz w:val="24"/>
    </w:rPr>
  </w:style>
  <w:style w:type="character" w:customStyle="1" w:styleId="181">
    <w:name w:val="标题 7 Char1"/>
    <w:autoRedefine/>
    <w:qFormat/>
    <w:uiPriority w:val="99"/>
    <w:rPr>
      <w:b/>
      <w:kern w:val="2"/>
      <w:sz w:val="24"/>
    </w:rPr>
  </w:style>
  <w:style w:type="character" w:customStyle="1" w:styleId="182">
    <w:name w:val="标题 8 Char1"/>
    <w:autoRedefine/>
    <w:qFormat/>
    <w:uiPriority w:val="99"/>
    <w:rPr>
      <w:rFonts w:ascii="Arial" w:hAnsi="Arial" w:eastAsia="黑体"/>
      <w:kern w:val="2"/>
      <w:sz w:val="24"/>
    </w:rPr>
  </w:style>
  <w:style w:type="character" w:customStyle="1" w:styleId="183">
    <w:name w:val="标题 9 Char1"/>
    <w:autoRedefine/>
    <w:qFormat/>
    <w:uiPriority w:val="99"/>
    <w:rPr>
      <w:rFonts w:ascii="Arial" w:hAnsi="Arial" w:eastAsia="黑体"/>
      <w:kern w:val="2"/>
      <w:sz w:val="24"/>
    </w:rPr>
  </w:style>
  <w:style w:type="character" w:customStyle="1" w:styleId="184">
    <w:name w:val="标题 3 Char1"/>
    <w:autoRedefine/>
    <w:qFormat/>
    <w:uiPriority w:val="99"/>
    <w:rPr>
      <w:rFonts w:ascii="宋体"/>
      <w:b/>
      <w:kern w:val="2"/>
      <w:sz w:val="24"/>
      <w:lang w:val="en-US" w:eastAsia="zh-CN"/>
    </w:rPr>
  </w:style>
  <w:style w:type="character" w:customStyle="1" w:styleId="185">
    <w:name w:val="Char Char6"/>
    <w:autoRedefine/>
    <w:qFormat/>
    <w:uiPriority w:val="99"/>
    <w:rPr>
      <w:rFonts w:ascii="Arial" w:hAnsi="Arial" w:eastAsia="黑体"/>
      <w:b/>
      <w:kern w:val="2"/>
      <w:sz w:val="32"/>
      <w:lang w:val="en-US" w:eastAsia="zh-CN"/>
    </w:rPr>
  </w:style>
  <w:style w:type="paragraph" w:customStyle="1" w:styleId="186">
    <w:name w:val="标四"/>
    <w:next w:val="1"/>
    <w:qFormat/>
    <w:uiPriority w:val="99"/>
    <w:pPr>
      <w:numPr>
        <w:ilvl w:val="3"/>
        <w:numId w:val="7"/>
      </w:numPr>
      <w:tabs>
        <w:tab w:val="left" w:pos="864"/>
        <w:tab w:val="clear" w:pos="1680"/>
      </w:tabs>
      <w:spacing w:line="360" w:lineRule="auto"/>
      <w:outlineLvl w:val="3"/>
    </w:pPr>
    <w:rPr>
      <w:rFonts w:ascii="宋体" w:hAnsi="宋体" w:eastAsia="宋体" w:cs="Times New Roman"/>
      <w:b/>
      <w:color w:val="FF0000"/>
      <w:kern w:val="2"/>
      <w:sz w:val="24"/>
      <w:lang w:val="en-US" w:eastAsia="zh-CN" w:bidi="ar-SA"/>
    </w:rPr>
  </w:style>
  <w:style w:type="character" w:customStyle="1" w:styleId="187">
    <w:name w:val="文档结构图 Char1"/>
    <w:link w:val="21"/>
    <w:qFormat/>
    <w:locked/>
    <w:uiPriority w:val="99"/>
  </w:style>
  <w:style w:type="character" w:customStyle="1" w:styleId="188">
    <w:name w:val="日期 Char"/>
    <w:basedOn w:val="71"/>
    <w:autoRedefine/>
    <w:qFormat/>
    <w:uiPriority w:val="0"/>
    <w:rPr>
      <w:rFonts w:ascii="Times New Roman" w:hAnsi="Times New Roman" w:eastAsia="宋体" w:cs="Times New Roman"/>
      <w:kern w:val="2"/>
      <w:sz w:val="24"/>
      <w:szCs w:val="24"/>
      <w:lang w:eastAsia="zh-CN" w:bidi="ar-SA"/>
    </w:rPr>
  </w:style>
  <w:style w:type="paragraph" w:customStyle="1" w:styleId="189">
    <w:name w:val="文档正文"/>
    <w:basedOn w:val="1"/>
    <w:autoRedefine/>
    <w:qFormat/>
    <w:uiPriority w:val="0"/>
    <w:pPr>
      <w:widowControl w:val="0"/>
      <w:adjustRightInd w:val="0"/>
      <w:spacing w:line="312" w:lineRule="atLeast"/>
      <w:ind w:firstLine="567" w:firstLineChars="200"/>
      <w:jc w:val="both"/>
      <w:textAlignment w:val="baseline"/>
    </w:pPr>
    <w:rPr>
      <w:rFonts w:ascii="长城仿宋" w:eastAsia="长城仿宋"/>
      <w:sz w:val="28"/>
      <w:szCs w:val="20"/>
    </w:rPr>
  </w:style>
  <w:style w:type="paragraph" w:customStyle="1" w:styleId="190">
    <w:name w:val="正文1"/>
    <w:autoRedefine/>
    <w:qFormat/>
    <w:uiPriority w:val="0"/>
    <w:pPr>
      <w:widowControl w:val="0"/>
      <w:adjustRightInd w:val="0"/>
      <w:spacing w:line="240" w:lineRule="atLeast"/>
      <w:textAlignment w:val="baseline"/>
    </w:pPr>
    <w:rPr>
      <w:rFonts w:ascii="Times New Roman" w:hAnsi="Times New Roman" w:eastAsia="宋体" w:cs="Times New Roman"/>
      <w:lang w:val="en-US" w:eastAsia="zh-CN" w:bidi="ar-SA"/>
    </w:rPr>
  </w:style>
  <w:style w:type="character" w:customStyle="1" w:styleId="191">
    <w:name w:val="正文文本 Char1"/>
    <w:autoRedefine/>
    <w:qFormat/>
    <w:uiPriority w:val="99"/>
    <w:rPr>
      <w:kern w:val="2"/>
      <w:sz w:val="24"/>
    </w:rPr>
  </w:style>
  <w:style w:type="character" w:customStyle="1" w:styleId="192">
    <w:name w:val="正文首行缩进 Char1"/>
    <w:basedOn w:val="191"/>
    <w:autoRedefine/>
    <w:semiHidden/>
    <w:qFormat/>
    <w:uiPriority w:val="99"/>
    <w:rPr>
      <w:rFonts w:cs="Times New Roman"/>
      <w:kern w:val="2"/>
      <w:sz w:val="24"/>
      <w:szCs w:val="24"/>
    </w:rPr>
  </w:style>
  <w:style w:type="character" w:customStyle="1" w:styleId="193">
    <w:name w:val="页脚 Char1"/>
    <w:autoRedefine/>
    <w:qFormat/>
    <w:uiPriority w:val="99"/>
    <w:rPr>
      <w:kern w:val="2"/>
      <w:sz w:val="18"/>
    </w:rPr>
  </w:style>
  <w:style w:type="character" w:customStyle="1" w:styleId="194">
    <w:name w:val="正文文本 3 Char"/>
    <w:basedOn w:val="71"/>
    <w:qFormat/>
    <w:uiPriority w:val="0"/>
    <w:rPr>
      <w:rFonts w:ascii="Times New Roman" w:hAnsi="Times New Roman" w:eastAsia="宋体" w:cs="Times New Roman"/>
      <w:kern w:val="2"/>
      <w:sz w:val="16"/>
      <w:szCs w:val="16"/>
      <w:lang w:eastAsia="zh-CN" w:bidi="ar-SA"/>
    </w:rPr>
  </w:style>
  <w:style w:type="character" w:customStyle="1" w:styleId="195">
    <w:name w:val="正文文本 2 Char"/>
    <w:basedOn w:val="71"/>
    <w:autoRedefine/>
    <w:qFormat/>
    <w:uiPriority w:val="0"/>
    <w:rPr>
      <w:rFonts w:ascii="Times New Roman" w:hAnsi="Times New Roman" w:eastAsia="宋体" w:cs="Times New Roman"/>
      <w:kern w:val="2"/>
      <w:sz w:val="24"/>
      <w:szCs w:val="24"/>
      <w:lang w:eastAsia="zh-CN" w:bidi="ar-SA"/>
    </w:rPr>
  </w:style>
  <w:style w:type="paragraph" w:customStyle="1" w:styleId="196">
    <w:name w:val="font11"/>
    <w:basedOn w:val="1"/>
    <w:autoRedefine/>
    <w:qFormat/>
    <w:uiPriority w:val="99"/>
    <w:pPr>
      <w:numPr>
        <w:ilvl w:val="3"/>
        <w:numId w:val="10"/>
      </w:numPr>
      <w:tabs>
        <w:tab w:val="left" w:pos="1680"/>
      </w:tabs>
      <w:spacing w:before="100" w:beforeAutospacing="1" w:after="100" w:afterAutospacing="1" w:line="400" w:lineRule="exact"/>
      <w:ind w:left="0" w:firstLine="0" w:firstLineChars="200"/>
    </w:pPr>
    <w:rPr>
      <w:b/>
      <w:sz w:val="22"/>
      <w:szCs w:val="20"/>
    </w:rPr>
  </w:style>
  <w:style w:type="paragraph" w:customStyle="1" w:styleId="197">
    <w:name w:val="Char Char Char Char Char Char Char Char Char Char Char Char Char Char Char Char"/>
    <w:basedOn w:val="1"/>
    <w:autoRedefine/>
    <w:qFormat/>
    <w:uiPriority w:val="99"/>
    <w:pPr>
      <w:spacing w:before="100" w:beforeAutospacing="1" w:after="100" w:afterAutospacing="1" w:line="330" w:lineRule="atLeast"/>
      <w:ind w:left="360" w:firstLine="200" w:firstLineChars="200"/>
    </w:pPr>
    <w:rPr>
      <w:rFonts w:ascii="??" w:hAnsi="??"/>
      <w:color w:val="51585D"/>
      <w:szCs w:val="20"/>
    </w:rPr>
  </w:style>
  <w:style w:type="paragraph" w:customStyle="1" w:styleId="198">
    <w:name w:val="p0"/>
    <w:basedOn w:val="1"/>
    <w:autoRedefine/>
    <w:qFormat/>
    <w:uiPriority w:val="0"/>
    <w:pPr>
      <w:spacing w:line="400" w:lineRule="exact"/>
      <w:ind w:firstLine="200" w:firstLineChars="200"/>
      <w:jc w:val="both"/>
    </w:pPr>
    <w:rPr>
      <w:szCs w:val="21"/>
    </w:rPr>
  </w:style>
  <w:style w:type="character" w:customStyle="1" w:styleId="199">
    <w:name w:val="正文文本缩进 2 Char"/>
    <w:basedOn w:val="71"/>
    <w:autoRedefine/>
    <w:qFormat/>
    <w:uiPriority w:val="0"/>
    <w:rPr>
      <w:rFonts w:ascii="Times New Roman" w:hAnsi="Times New Roman" w:eastAsia="宋体" w:cs="Times New Roman"/>
      <w:kern w:val="2"/>
      <w:sz w:val="24"/>
      <w:szCs w:val="24"/>
      <w:lang w:eastAsia="zh-CN" w:bidi="ar-SA"/>
    </w:rPr>
  </w:style>
  <w:style w:type="character" w:customStyle="1" w:styleId="200">
    <w:name w:val="正文文本缩进 3 Char"/>
    <w:basedOn w:val="71"/>
    <w:autoRedefine/>
    <w:qFormat/>
    <w:uiPriority w:val="0"/>
    <w:rPr>
      <w:rFonts w:ascii="Times New Roman" w:hAnsi="Times New Roman" w:eastAsia="宋体" w:cs="Times New Roman"/>
      <w:kern w:val="2"/>
      <w:sz w:val="16"/>
      <w:szCs w:val="16"/>
      <w:lang w:eastAsia="zh-CN" w:bidi="ar-SA"/>
    </w:rPr>
  </w:style>
  <w:style w:type="character" w:customStyle="1" w:styleId="201">
    <w:name w:val="标题 Char1"/>
    <w:autoRedefine/>
    <w:qFormat/>
    <w:uiPriority w:val="10"/>
    <w:rPr>
      <w:rFonts w:ascii="Arial" w:hAnsi="Arial"/>
      <w:b/>
      <w:smallCaps/>
      <w:kern w:val="28"/>
      <w:sz w:val="36"/>
      <w:lang w:eastAsia="en-US"/>
    </w:rPr>
  </w:style>
  <w:style w:type="character" w:customStyle="1" w:styleId="202">
    <w:name w:val="副标题 Char1"/>
    <w:autoRedefine/>
    <w:qFormat/>
    <w:uiPriority w:val="99"/>
    <w:rPr>
      <w:rFonts w:ascii="Cambria" w:hAnsi="Cambria"/>
      <w:b/>
      <w:kern w:val="28"/>
      <w:sz w:val="32"/>
    </w:rPr>
  </w:style>
  <w:style w:type="paragraph" w:customStyle="1" w:styleId="203">
    <w:name w:val="首行缩进2小四1"/>
    <w:basedOn w:val="1"/>
    <w:next w:val="1"/>
    <w:qFormat/>
    <w:uiPriority w:val="99"/>
    <w:pPr>
      <w:widowControl w:val="0"/>
      <w:spacing w:line="400" w:lineRule="exact"/>
      <w:ind w:firstLine="480" w:firstLineChars="200"/>
      <w:jc w:val="both"/>
    </w:pPr>
    <w:rPr>
      <w:rFonts w:ascii="Verdana" w:hAnsi="Verdana" w:eastAsia="华文细黑" w:cs="宋体"/>
      <w:kern w:val="2"/>
      <w:szCs w:val="20"/>
    </w:rPr>
  </w:style>
  <w:style w:type="paragraph" w:customStyle="1" w:styleId="204">
    <w:name w:val="Char Char Char Char Char Char Char Char Char Char Char Char Char Char"/>
    <w:basedOn w:val="1"/>
    <w:autoRedefine/>
    <w:qFormat/>
    <w:uiPriority w:val="99"/>
    <w:pPr>
      <w:widowControl w:val="0"/>
      <w:spacing w:line="400" w:lineRule="exact"/>
      <w:ind w:firstLine="200" w:firstLineChars="200"/>
      <w:jc w:val="both"/>
    </w:pPr>
    <w:rPr>
      <w:rFonts w:ascii="Tahoma" w:hAnsi="Tahoma"/>
      <w:kern w:val="2"/>
      <w:szCs w:val="20"/>
    </w:rPr>
  </w:style>
  <w:style w:type="character" w:customStyle="1" w:styleId="205">
    <w:name w:val="正文首行缩进 2 Char"/>
    <w:basedOn w:val="104"/>
    <w:qFormat/>
    <w:uiPriority w:val="99"/>
    <w:rPr>
      <w:rFonts w:ascii="宋体" w:hAnsi="宋体" w:eastAsia="宋体" w:cs="Times New Roman"/>
      <w:kern w:val="2"/>
      <w:sz w:val="21"/>
      <w:szCs w:val="21"/>
      <w:lang w:bidi="ar-SA"/>
    </w:rPr>
  </w:style>
  <w:style w:type="paragraph" w:customStyle="1" w:styleId="206">
    <w:name w:val="样式 正文文本缩进 + 段前: 2 字符"/>
    <w:basedOn w:val="1"/>
    <w:qFormat/>
    <w:uiPriority w:val="99"/>
    <w:pPr>
      <w:widowControl w:val="0"/>
      <w:spacing w:line="400" w:lineRule="exact"/>
      <w:ind w:left="420" w:leftChars="200" w:firstLine="200" w:firstLineChars="200"/>
    </w:pPr>
    <w:rPr>
      <w:kern w:val="2"/>
      <w:sz w:val="28"/>
      <w:lang w:eastAsia="zh-TW"/>
    </w:rPr>
  </w:style>
  <w:style w:type="paragraph" w:customStyle="1" w:styleId="207">
    <w:name w:val="删除"/>
    <w:basedOn w:val="141"/>
    <w:qFormat/>
    <w:uiPriority w:val="99"/>
    <w:pPr>
      <w:widowControl w:val="0"/>
      <w:tabs>
        <w:tab w:val="clear" w:pos="0"/>
      </w:tabs>
      <w:autoSpaceDE/>
      <w:autoSpaceDN/>
      <w:adjustRightInd/>
      <w:snapToGrid w:val="0"/>
      <w:jc w:val="left"/>
    </w:pPr>
    <w:rPr>
      <w:rFonts w:cs="Arial"/>
      <w:strike/>
      <w:color w:val="0000FF"/>
      <w:szCs w:val="18"/>
    </w:rPr>
  </w:style>
  <w:style w:type="paragraph" w:customStyle="1" w:styleId="208">
    <w:name w:val="tabletext"/>
    <w:basedOn w:val="1"/>
    <w:qFormat/>
    <w:uiPriority w:val="99"/>
    <w:pPr>
      <w:spacing w:before="100" w:beforeAutospacing="1" w:after="100" w:afterAutospacing="1" w:line="400" w:lineRule="exact"/>
      <w:ind w:firstLine="200" w:firstLineChars="200"/>
    </w:pPr>
    <w:rPr>
      <w:rFonts w:ascii="宋体" w:hAnsi="宋体" w:cs="宋体"/>
    </w:rPr>
  </w:style>
  <w:style w:type="paragraph" w:customStyle="1" w:styleId="209">
    <w:name w:val="tabletextchar"/>
    <w:basedOn w:val="1"/>
    <w:autoRedefine/>
    <w:qFormat/>
    <w:uiPriority w:val="99"/>
    <w:pPr>
      <w:spacing w:before="100" w:beforeAutospacing="1" w:after="100" w:afterAutospacing="1" w:line="400" w:lineRule="exact"/>
      <w:ind w:firstLine="200" w:firstLineChars="200"/>
    </w:pPr>
    <w:rPr>
      <w:rFonts w:ascii="宋体" w:hAnsi="宋体" w:cs="宋体"/>
    </w:rPr>
  </w:style>
  <w:style w:type="character" w:customStyle="1" w:styleId="210">
    <w:name w:val="正文缩进 Char"/>
    <w:link w:val="18"/>
    <w:autoRedefine/>
    <w:qFormat/>
    <w:locked/>
    <w:uiPriority w:val="99"/>
  </w:style>
  <w:style w:type="character" w:customStyle="1" w:styleId="211">
    <w:name w:val="标题 4 Char1"/>
    <w:autoRedefine/>
    <w:qFormat/>
    <w:uiPriority w:val="99"/>
    <w:rPr>
      <w:rFonts w:ascii="Arial" w:hAnsi="Arial" w:eastAsia="黑体"/>
      <w:b/>
      <w:kern w:val="2"/>
      <w:sz w:val="28"/>
    </w:rPr>
  </w:style>
  <w:style w:type="paragraph" w:customStyle="1" w:styleId="212">
    <w:name w:val="Char Char Char2"/>
    <w:basedOn w:val="1"/>
    <w:qFormat/>
    <w:uiPriority w:val="99"/>
    <w:pPr>
      <w:widowControl w:val="0"/>
      <w:spacing w:line="400" w:lineRule="exact"/>
      <w:ind w:firstLine="200" w:firstLineChars="200"/>
      <w:jc w:val="both"/>
    </w:pPr>
    <w:rPr>
      <w:rFonts w:ascii="Tahoma" w:hAnsi="Tahoma"/>
      <w:kern w:val="2"/>
      <w:szCs w:val="20"/>
    </w:rPr>
  </w:style>
  <w:style w:type="paragraph" w:customStyle="1" w:styleId="213">
    <w:name w:val="Char Char Char Char Char Char Char Char Char Char Char Char Char Char Char Char Char Char Char Char Char Char Char Char Char2"/>
    <w:basedOn w:val="1"/>
    <w:autoRedefine/>
    <w:qFormat/>
    <w:uiPriority w:val="99"/>
    <w:pPr>
      <w:widowControl w:val="0"/>
      <w:spacing w:line="400" w:lineRule="exact"/>
      <w:ind w:firstLine="200" w:firstLineChars="200"/>
      <w:jc w:val="both"/>
    </w:pPr>
    <w:rPr>
      <w:rFonts w:ascii="Tahoma" w:hAnsi="Tahoma"/>
      <w:kern w:val="2"/>
      <w:szCs w:val="20"/>
    </w:rPr>
  </w:style>
  <w:style w:type="paragraph" w:customStyle="1" w:styleId="214">
    <w:name w:val="Char Char12"/>
    <w:basedOn w:val="1"/>
    <w:autoRedefine/>
    <w:qFormat/>
    <w:uiPriority w:val="99"/>
    <w:pPr>
      <w:spacing w:after="160" w:line="240" w:lineRule="exact"/>
      <w:ind w:firstLine="200" w:firstLineChars="200"/>
    </w:pPr>
    <w:rPr>
      <w:rFonts w:ascii="Verdana" w:hAnsi="Verdana"/>
      <w:sz w:val="20"/>
      <w:szCs w:val="20"/>
      <w:lang w:eastAsia="en-US"/>
    </w:rPr>
  </w:style>
  <w:style w:type="paragraph" w:customStyle="1" w:styleId="215">
    <w:name w:val="Char12"/>
    <w:basedOn w:val="1"/>
    <w:qFormat/>
    <w:uiPriority w:val="99"/>
    <w:pPr>
      <w:widowControl w:val="0"/>
      <w:adjustRightInd w:val="0"/>
      <w:spacing w:line="360" w:lineRule="auto"/>
      <w:ind w:firstLine="200" w:firstLineChars="200"/>
      <w:jc w:val="both"/>
    </w:pPr>
    <w:rPr>
      <w:szCs w:val="20"/>
    </w:rPr>
  </w:style>
  <w:style w:type="paragraph" w:customStyle="1" w:styleId="216">
    <w:name w:val="Char Char Char Char2"/>
    <w:basedOn w:val="21"/>
    <w:autoRedefine/>
    <w:qFormat/>
    <w:uiPriority w:val="99"/>
  </w:style>
  <w:style w:type="character" w:customStyle="1" w:styleId="217">
    <w:name w:val="Char Char23"/>
    <w:autoRedefine/>
    <w:qFormat/>
    <w:uiPriority w:val="99"/>
    <w:rPr>
      <w:rFonts w:eastAsia="宋体"/>
      <w:kern w:val="2"/>
      <w:sz w:val="18"/>
      <w:lang w:val="en-US" w:eastAsia="zh-CN"/>
    </w:rPr>
  </w:style>
  <w:style w:type="character" w:customStyle="1" w:styleId="218">
    <w:name w:val="Char Char62"/>
    <w:autoRedefine/>
    <w:qFormat/>
    <w:uiPriority w:val="99"/>
    <w:rPr>
      <w:rFonts w:ascii="Arial" w:hAnsi="Arial" w:eastAsia="黑体"/>
      <w:b/>
      <w:kern w:val="2"/>
      <w:sz w:val="32"/>
      <w:lang w:val="en-US" w:eastAsia="zh-CN"/>
    </w:rPr>
  </w:style>
  <w:style w:type="paragraph" w:customStyle="1" w:styleId="219">
    <w:name w:val="正文12"/>
    <w:autoRedefine/>
    <w:qFormat/>
    <w:uiPriority w:val="99"/>
    <w:pPr>
      <w:widowControl w:val="0"/>
      <w:adjustRightInd w:val="0"/>
      <w:spacing w:line="240" w:lineRule="atLeast"/>
      <w:textAlignment w:val="baseline"/>
    </w:pPr>
    <w:rPr>
      <w:rFonts w:ascii="Times New Roman" w:hAnsi="Times New Roman" w:eastAsia="宋体" w:cs="Times New Roman"/>
      <w:lang w:val="en-US" w:eastAsia="zh-CN" w:bidi="ar-SA"/>
    </w:rPr>
  </w:style>
  <w:style w:type="paragraph" w:customStyle="1" w:styleId="220">
    <w:name w:val="自由格式"/>
    <w:autoRedefine/>
    <w:qFormat/>
    <w:uiPriority w:val="99"/>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21">
    <w:name w:val="xl32"/>
    <w:basedOn w:val="1"/>
    <w:autoRedefine/>
    <w:qFormat/>
    <w:uiPriority w:val="99"/>
    <w:pPr>
      <w:spacing w:before="100" w:beforeAutospacing="1" w:after="100" w:afterAutospacing="1" w:line="400" w:lineRule="exact"/>
      <w:ind w:firstLine="200" w:firstLineChars="200"/>
      <w:jc w:val="center"/>
      <w:textAlignment w:val="center"/>
    </w:pPr>
    <w:rPr>
      <w:rFonts w:ascii="宋体" w:hAnsi="宋体"/>
      <w:color w:val="000000"/>
      <w:sz w:val="40"/>
      <w:szCs w:val="40"/>
    </w:rPr>
  </w:style>
  <w:style w:type="paragraph" w:customStyle="1" w:styleId="222">
    <w:name w:val="È΅ΐÊ¡ÎÄ΅ΐ¾"/>
    <w:basedOn w:val="1"/>
    <w:qFormat/>
    <w:uiPriority w:val="99"/>
    <w:pPr>
      <w:overflowPunct w:val="0"/>
      <w:autoSpaceDE w:val="0"/>
      <w:autoSpaceDN w:val="0"/>
      <w:adjustRightInd w:val="0"/>
      <w:spacing w:line="400" w:lineRule="exact"/>
      <w:ind w:firstLine="200" w:firstLineChars="200"/>
    </w:pPr>
    <w:rPr>
      <w:szCs w:val="20"/>
    </w:rPr>
  </w:style>
  <w:style w:type="character" w:customStyle="1" w:styleId="223">
    <w:name w:val="marklong"/>
    <w:qFormat/>
    <w:uiPriority w:val="99"/>
    <w:rPr>
      <w:rFonts w:ascii="宋体" w:hAnsi="宋体" w:eastAsia="宋体"/>
      <w:kern w:val="2"/>
      <w:sz w:val="28"/>
      <w:lang w:val="en-US" w:eastAsia="zh-CN"/>
    </w:rPr>
  </w:style>
  <w:style w:type="paragraph" w:customStyle="1" w:styleId="224">
    <w:name w:val="text1"/>
    <w:basedOn w:val="1"/>
    <w:autoRedefine/>
    <w:qFormat/>
    <w:uiPriority w:val="99"/>
    <w:pPr>
      <w:spacing w:before="100" w:beforeAutospacing="1" w:after="100" w:afterAutospacing="1" w:line="400" w:lineRule="exact"/>
      <w:ind w:firstLine="200" w:firstLineChars="200"/>
    </w:pPr>
    <w:rPr>
      <w:rFonts w:ascii="宋体" w:hAnsi="宋体"/>
    </w:rPr>
  </w:style>
  <w:style w:type="paragraph" w:customStyle="1" w:styleId="225">
    <w:name w:val="默认段落字体 Para Char Char Char Char Char Char Char Char Char1 Char"/>
    <w:basedOn w:val="1"/>
    <w:qFormat/>
    <w:uiPriority w:val="99"/>
    <w:pPr>
      <w:widowControl w:val="0"/>
      <w:spacing w:line="400" w:lineRule="exact"/>
      <w:ind w:firstLine="200" w:firstLineChars="200"/>
      <w:jc w:val="both"/>
    </w:pPr>
    <w:rPr>
      <w:rFonts w:ascii="Tahoma" w:hAnsi="Tahoma"/>
      <w:kern w:val="2"/>
      <w:szCs w:val="20"/>
    </w:rPr>
  </w:style>
  <w:style w:type="character" w:customStyle="1" w:styleId="226">
    <w:name w:val="Table Text Char1"/>
    <w:qFormat/>
    <w:uiPriority w:val="99"/>
    <w:rPr>
      <w:rFonts w:ascii="Arial" w:hAnsi="Arial" w:eastAsia="宋体"/>
      <w:sz w:val="18"/>
      <w:lang w:val="en-US" w:eastAsia="zh-CN"/>
    </w:rPr>
  </w:style>
  <w:style w:type="paragraph" w:customStyle="1" w:styleId="227">
    <w:name w:val="Char Char Char Char Char1"/>
    <w:basedOn w:val="1"/>
    <w:qFormat/>
    <w:uiPriority w:val="99"/>
    <w:pPr>
      <w:widowControl w:val="0"/>
      <w:spacing w:line="400" w:lineRule="exact"/>
      <w:ind w:firstLine="200" w:firstLineChars="200"/>
      <w:jc w:val="both"/>
    </w:pPr>
    <w:rPr>
      <w:kern w:val="2"/>
    </w:rPr>
  </w:style>
  <w:style w:type="character" w:customStyle="1" w:styleId="228">
    <w:name w:val="biaolan_12"/>
    <w:qFormat/>
    <w:uiPriority w:val="99"/>
  </w:style>
  <w:style w:type="paragraph" w:customStyle="1" w:styleId="229">
    <w:name w:val="Item List in Table"/>
    <w:qFormat/>
    <w:uiPriority w:val="99"/>
    <w:pPr>
      <w:tabs>
        <w:tab w:val="left" w:pos="360"/>
      </w:tabs>
      <w:spacing w:before="40" w:after="40"/>
      <w:ind w:left="360" w:hanging="360"/>
      <w:jc w:val="both"/>
    </w:pPr>
    <w:rPr>
      <w:rFonts w:ascii="Arial" w:hAnsi="Arial" w:eastAsia="宋体" w:cs="Arial"/>
      <w:sz w:val="18"/>
      <w:szCs w:val="18"/>
      <w:lang w:val="en-US" w:eastAsia="zh-CN" w:bidi="ar-SA"/>
    </w:rPr>
  </w:style>
  <w:style w:type="character" w:customStyle="1" w:styleId="230">
    <w:name w:val="Char Char20"/>
    <w:qFormat/>
    <w:locked/>
    <w:uiPriority w:val="99"/>
    <w:rPr>
      <w:rFonts w:ascii="宋体" w:hAnsi="Courier New" w:eastAsia="宋体"/>
      <w:kern w:val="2"/>
      <w:sz w:val="28"/>
      <w:lang w:val="en-US" w:eastAsia="zh-CN"/>
    </w:rPr>
  </w:style>
  <w:style w:type="character" w:customStyle="1" w:styleId="231">
    <w:name w:val="Char Char21"/>
    <w:autoRedefine/>
    <w:qFormat/>
    <w:locked/>
    <w:uiPriority w:val="99"/>
    <w:rPr>
      <w:rFonts w:ascii="宋体" w:hAnsi="Courier New" w:eastAsia="宋体"/>
      <w:kern w:val="2"/>
      <w:sz w:val="24"/>
      <w:lang w:val="en-US" w:eastAsia="zh-CN"/>
    </w:rPr>
  </w:style>
  <w:style w:type="paragraph" w:customStyle="1" w:styleId="232">
    <w:name w:val="Char2"/>
    <w:basedOn w:val="1"/>
    <w:autoRedefine/>
    <w:qFormat/>
    <w:uiPriority w:val="99"/>
    <w:pPr>
      <w:widowControl w:val="0"/>
      <w:adjustRightInd w:val="0"/>
      <w:spacing w:line="360" w:lineRule="auto"/>
      <w:ind w:firstLine="200" w:firstLineChars="200"/>
      <w:jc w:val="both"/>
    </w:pPr>
    <w:rPr>
      <w:szCs w:val="20"/>
    </w:rPr>
  </w:style>
  <w:style w:type="character" w:customStyle="1" w:styleId="233">
    <w:name w:val="protextfont"/>
    <w:basedOn w:val="71"/>
    <w:autoRedefine/>
    <w:qFormat/>
    <w:uiPriority w:val="99"/>
    <w:rPr>
      <w:rFonts w:cs="Times New Roman"/>
    </w:rPr>
  </w:style>
  <w:style w:type="character" w:customStyle="1" w:styleId="234">
    <w:name w:val="apple-converted-space"/>
    <w:basedOn w:val="71"/>
    <w:autoRedefine/>
    <w:qFormat/>
    <w:uiPriority w:val="0"/>
    <w:rPr>
      <w:rFonts w:cs="Times New Roman"/>
    </w:rPr>
  </w:style>
  <w:style w:type="character" w:customStyle="1" w:styleId="235">
    <w:name w:val="卷标题 Char1"/>
    <w:autoRedefine/>
    <w:qFormat/>
    <w:uiPriority w:val="99"/>
    <w:rPr>
      <w:rFonts w:eastAsia="宋体"/>
      <w:b/>
      <w:kern w:val="44"/>
      <w:sz w:val="44"/>
      <w:lang w:val="en-US" w:eastAsia="zh-CN"/>
    </w:rPr>
  </w:style>
  <w:style w:type="character" w:customStyle="1" w:styleId="236">
    <w:name w:val="正文-1 Char"/>
    <w:link w:val="237"/>
    <w:autoRedefine/>
    <w:qFormat/>
    <w:locked/>
    <w:uiPriority w:val="99"/>
    <w:rPr>
      <w:rFonts w:eastAsia="仿宋_GB2312"/>
      <w:kern w:val="2"/>
      <w:sz w:val="28"/>
    </w:rPr>
  </w:style>
  <w:style w:type="paragraph" w:customStyle="1" w:styleId="237">
    <w:name w:val="正文-1"/>
    <w:basedOn w:val="1"/>
    <w:link w:val="236"/>
    <w:qFormat/>
    <w:uiPriority w:val="99"/>
    <w:pPr>
      <w:widowControl w:val="0"/>
      <w:spacing w:line="360" w:lineRule="auto"/>
      <w:ind w:firstLine="560" w:firstLineChars="200"/>
      <w:jc w:val="both"/>
    </w:pPr>
    <w:rPr>
      <w:rFonts w:ascii="Calibri" w:hAnsi="Calibri" w:eastAsia="仿宋_GB2312"/>
      <w:kern w:val="2"/>
      <w:sz w:val="28"/>
      <w:szCs w:val="20"/>
    </w:rPr>
  </w:style>
  <w:style w:type="character" w:customStyle="1" w:styleId="238">
    <w:name w:val="脚注文本 Char"/>
    <w:qFormat/>
    <w:uiPriority w:val="99"/>
    <w:rPr>
      <w:kern w:val="2"/>
      <w:sz w:val="24"/>
    </w:rPr>
  </w:style>
  <w:style w:type="character" w:customStyle="1" w:styleId="239">
    <w:name w:val="标题 2 Char Char Char Char"/>
    <w:autoRedefine/>
    <w:qFormat/>
    <w:uiPriority w:val="99"/>
    <w:rPr>
      <w:rFonts w:ascii="黑体" w:hAnsi="Arial" w:eastAsia="黑体"/>
      <w:b/>
      <w:sz w:val="30"/>
      <w:lang w:val="en-US" w:eastAsia="zh-CN"/>
    </w:rPr>
  </w:style>
  <w:style w:type="character" w:customStyle="1" w:styleId="240">
    <w:name w:val="style81"/>
    <w:autoRedefine/>
    <w:qFormat/>
    <w:uiPriority w:val="99"/>
    <w:rPr>
      <w:sz w:val="21"/>
    </w:rPr>
  </w:style>
  <w:style w:type="character" w:customStyle="1" w:styleId="241">
    <w:name w:val="正文内容 Char"/>
    <w:link w:val="242"/>
    <w:qFormat/>
    <w:locked/>
    <w:uiPriority w:val="99"/>
    <w:rPr>
      <w:kern w:val="2"/>
      <w:sz w:val="24"/>
    </w:rPr>
  </w:style>
  <w:style w:type="paragraph" w:customStyle="1" w:styleId="242">
    <w:name w:val="正文内容"/>
    <w:basedOn w:val="1"/>
    <w:link w:val="241"/>
    <w:qFormat/>
    <w:uiPriority w:val="99"/>
    <w:pPr>
      <w:widowControl w:val="0"/>
      <w:spacing w:beforeLines="50" w:afterLines="50" w:line="360" w:lineRule="auto"/>
      <w:ind w:firstLine="480" w:firstLineChars="200"/>
      <w:jc w:val="both"/>
    </w:pPr>
    <w:rPr>
      <w:rFonts w:ascii="Calibri" w:hAnsi="Calibri"/>
      <w:kern w:val="2"/>
      <w:szCs w:val="20"/>
    </w:rPr>
  </w:style>
  <w:style w:type="character" w:customStyle="1" w:styleId="243">
    <w:name w:val="content-white1"/>
    <w:autoRedefine/>
    <w:qFormat/>
    <w:uiPriority w:val="99"/>
    <w:rPr>
      <w:color w:val="auto"/>
      <w:sz w:val="18"/>
      <w:u w:val="none"/>
    </w:rPr>
  </w:style>
  <w:style w:type="character" w:customStyle="1" w:styleId="244">
    <w:name w:val="Body Char"/>
    <w:link w:val="245"/>
    <w:autoRedefine/>
    <w:qFormat/>
    <w:locked/>
    <w:uiPriority w:val="99"/>
    <w:rPr>
      <w:rFonts w:ascii="宋体" w:hAnsi="宋体"/>
      <w:szCs w:val="21"/>
    </w:rPr>
  </w:style>
  <w:style w:type="paragraph" w:customStyle="1" w:styleId="245">
    <w:name w:val="Body"/>
    <w:basedOn w:val="1"/>
    <w:link w:val="244"/>
    <w:autoRedefine/>
    <w:qFormat/>
    <w:uiPriority w:val="99"/>
    <w:pPr>
      <w:numPr>
        <w:ilvl w:val="0"/>
        <w:numId w:val="10"/>
      </w:numPr>
      <w:tabs>
        <w:tab w:val="left" w:pos="420"/>
        <w:tab w:val="left" w:pos="9356"/>
        <w:tab w:val="clear" w:pos="425"/>
      </w:tabs>
      <w:spacing w:before="80" w:after="80" w:line="360" w:lineRule="auto"/>
      <w:ind w:left="420" w:hanging="420"/>
      <w:jc w:val="both"/>
    </w:pPr>
    <w:rPr>
      <w:rFonts w:ascii="宋体" w:hAnsi="宋体"/>
      <w:sz w:val="20"/>
      <w:szCs w:val="21"/>
    </w:rPr>
  </w:style>
  <w:style w:type="character" w:customStyle="1" w:styleId="246">
    <w:name w:val="注释标题 Char"/>
    <w:qFormat/>
    <w:uiPriority w:val="99"/>
    <w:rPr>
      <w:kern w:val="2"/>
      <w:sz w:val="24"/>
    </w:rPr>
  </w:style>
  <w:style w:type="character" w:customStyle="1" w:styleId="247">
    <w:name w:val="style21"/>
    <w:autoRedefine/>
    <w:qFormat/>
    <w:uiPriority w:val="99"/>
    <w:rPr>
      <w:sz w:val="21"/>
    </w:rPr>
  </w:style>
  <w:style w:type="character" w:customStyle="1" w:styleId="248">
    <w:name w:val="标题1"/>
    <w:basedOn w:val="71"/>
    <w:qFormat/>
    <w:uiPriority w:val="99"/>
    <w:rPr>
      <w:rFonts w:cs="Times New Roman"/>
    </w:rPr>
  </w:style>
  <w:style w:type="character" w:customStyle="1" w:styleId="249">
    <w:name w:val="crowed11"/>
    <w:qFormat/>
    <w:uiPriority w:val="99"/>
    <w:rPr>
      <w:sz w:val="24"/>
    </w:rPr>
  </w:style>
  <w:style w:type="character" w:customStyle="1" w:styleId="250">
    <w:name w:val="line"/>
    <w:basedOn w:val="71"/>
    <w:autoRedefine/>
    <w:qFormat/>
    <w:uiPriority w:val="99"/>
    <w:rPr>
      <w:rFonts w:cs="Times New Roman"/>
    </w:rPr>
  </w:style>
  <w:style w:type="character" w:customStyle="1" w:styleId="251">
    <w:name w:val="第三层条 Char"/>
    <w:qFormat/>
    <w:uiPriority w:val="99"/>
    <w:rPr>
      <w:rFonts w:ascii="Arial" w:hAnsi="Arial" w:eastAsia="黑体"/>
      <w:b/>
      <w:kern w:val="2"/>
      <w:sz w:val="28"/>
      <w:lang w:val="en-US" w:eastAsia="zh-CN"/>
    </w:rPr>
  </w:style>
  <w:style w:type="character" w:customStyle="1" w:styleId="252">
    <w:name w:val="fy21"/>
    <w:qFormat/>
    <w:uiPriority w:val="99"/>
    <w:rPr>
      <w:rFonts w:ascii="Verdana" w:hAnsi="Verdana"/>
      <w:color w:val="0063C7"/>
      <w:sz w:val="18"/>
    </w:rPr>
  </w:style>
  <w:style w:type="character" w:customStyle="1" w:styleId="253">
    <w:name w:val="font1"/>
    <w:autoRedefine/>
    <w:qFormat/>
    <w:uiPriority w:val="99"/>
    <w:rPr>
      <w:color w:val="000000"/>
      <w:sz w:val="18"/>
    </w:rPr>
  </w:style>
  <w:style w:type="character" w:customStyle="1" w:styleId="254">
    <w:name w:val="top-det1"/>
    <w:qFormat/>
    <w:uiPriority w:val="99"/>
    <w:rPr>
      <w:b/>
      <w:color w:val="000000"/>
    </w:rPr>
  </w:style>
  <w:style w:type="character" w:customStyle="1" w:styleId="255">
    <w:name w:val="blacklink_text1"/>
    <w:autoRedefine/>
    <w:qFormat/>
    <w:uiPriority w:val="99"/>
    <w:rPr>
      <w:color w:val="0E0E0E"/>
      <w:sz w:val="18"/>
    </w:rPr>
  </w:style>
  <w:style w:type="character" w:customStyle="1" w:styleId="256">
    <w:name w:val="正文 + 三号 Char"/>
    <w:link w:val="257"/>
    <w:autoRedefine/>
    <w:qFormat/>
    <w:locked/>
    <w:uiPriority w:val="99"/>
    <w:rPr>
      <w:kern w:val="2"/>
      <w:sz w:val="24"/>
    </w:rPr>
  </w:style>
  <w:style w:type="paragraph" w:customStyle="1" w:styleId="257">
    <w:name w:val="正文 + 三号"/>
    <w:basedOn w:val="1"/>
    <w:link w:val="256"/>
    <w:qFormat/>
    <w:uiPriority w:val="99"/>
    <w:pPr>
      <w:widowControl w:val="0"/>
      <w:jc w:val="both"/>
    </w:pPr>
    <w:rPr>
      <w:rFonts w:ascii="Calibri" w:hAnsi="Calibri"/>
      <w:kern w:val="2"/>
      <w:szCs w:val="20"/>
    </w:rPr>
  </w:style>
  <w:style w:type="character" w:customStyle="1" w:styleId="258">
    <w:name w:val="未命名11"/>
    <w:autoRedefine/>
    <w:qFormat/>
    <w:uiPriority w:val="99"/>
    <w:rPr>
      <w:color w:val="77FFFF"/>
      <w:sz w:val="24"/>
    </w:rPr>
  </w:style>
  <w:style w:type="character" w:customStyle="1" w:styleId="259">
    <w:name w:val="纯文本 Char1"/>
    <w:qFormat/>
    <w:uiPriority w:val="99"/>
    <w:rPr>
      <w:rFonts w:ascii="宋体" w:hAnsi="Courier New"/>
      <w:kern w:val="2"/>
      <w:sz w:val="24"/>
    </w:rPr>
  </w:style>
  <w:style w:type="character" w:customStyle="1" w:styleId="260">
    <w:name w:val="font141"/>
    <w:qFormat/>
    <w:uiPriority w:val="99"/>
  </w:style>
  <w:style w:type="character" w:customStyle="1" w:styleId="261">
    <w:name w:val="文字 Char"/>
    <w:link w:val="262"/>
    <w:qFormat/>
    <w:locked/>
    <w:uiPriority w:val="99"/>
    <w:rPr>
      <w:rFonts w:ascii="宋体" w:eastAsia="宋体"/>
      <w:kern w:val="2"/>
      <w:sz w:val="28"/>
    </w:rPr>
  </w:style>
  <w:style w:type="paragraph" w:customStyle="1" w:styleId="262">
    <w:name w:val="文字"/>
    <w:basedOn w:val="1"/>
    <w:link w:val="261"/>
    <w:qFormat/>
    <w:uiPriority w:val="99"/>
    <w:pPr>
      <w:widowControl w:val="0"/>
      <w:tabs>
        <w:tab w:val="left" w:pos="8520"/>
      </w:tabs>
      <w:spacing w:line="312" w:lineRule="auto"/>
      <w:ind w:right="-210" w:firstLine="556"/>
      <w:jc w:val="both"/>
    </w:pPr>
    <w:rPr>
      <w:rFonts w:ascii="宋体" w:hAnsi="Calibri"/>
      <w:kern w:val="2"/>
      <w:sz w:val="28"/>
      <w:szCs w:val="20"/>
    </w:rPr>
  </w:style>
  <w:style w:type="character" w:customStyle="1" w:styleId="263">
    <w:name w:val="v151"/>
    <w:qFormat/>
    <w:uiPriority w:val="99"/>
    <w:rPr>
      <w:sz w:val="18"/>
    </w:rPr>
  </w:style>
  <w:style w:type="character" w:customStyle="1" w:styleId="264">
    <w:name w:val="样式 标题 6第五层条 + 三号 段前: 0.5 行 Char"/>
    <w:link w:val="265"/>
    <w:autoRedefine/>
    <w:qFormat/>
    <w:locked/>
    <w:uiPriority w:val="99"/>
    <w:rPr>
      <w:rFonts w:ascii="Arial" w:hAnsi="Arial" w:eastAsia="黑体"/>
      <w:b/>
      <w:snapToGrid w:val="0"/>
      <w:kern w:val="24"/>
      <w:sz w:val="24"/>
      <w:lang w:eastAsia="zh-CN"/>
    </w:rPr>
  </w:style>
  <w:style w:type="paragraph" w:customStyle="1" w:styleId="265">
    <w:name w:val="样式 标题 6第五层条 + 三号 段前: 0.5 行"/>
    <w:basedOn w:val="10"/>
    <w:link w:val="264"/>
    <w:autoRedefine/>
    <w:qFormat/>
    <w:uiPriority w:val="99"/>
    <w:pPr>
      <w:keepNext/>
      <w:keepLines/>
      <w:pBdr>
        <w:bottom w:val="none" w:color="auto" w:sz="0" w:space="0"/>
      </w:pBdr>
      <w:spacing w:beforeLines="50" w:after="64" w:line="319" w:lineRule="auto"/>
      <w:ind w:left="1152" w:hanging="1152"/>
      <w:contextualSpacing w:val="0"/>
    </w:pPr>
    <w:rPr>
      <w:rFonts w:ascii="Arial" w:hAnsi="Arial" w:eastAsia="黑体"/>
      <w:snapToGrid w:val="0"/>
      <w:color w:val="auto"/>
      <w:spacing w:val="0"/>
      <w:kern w:val="24"/>
      <w:szCs w:val="20"/>
    </w:rPr>
  </w:style>
  <w:style w:type="character" w:customStyle="1" w:styleId="266">
    <w:name w:val="DAS正文 Char"/>
    <w:link w:val="267"/>
    <w:autoRedefine/>
    <w:qFormat/>
    <w:locked/>
    <w:uiPriority w:val="99"/>
    <w:rPr>
      <w:rFonts w:ascii="Verdana" w:hAnsi="Verdana"/>
      <w:kern w:val="2"/>
      <w:sz w:val="21"/>
    </w:rPr>
  </w:style>
  <w:style w:type="paragraph" w:customStyle="1" w:styleId="267">
    <w:name w:val="DAS正文"/>
    <w:basedOn w:val="1"/>
    <w:link w:val="266"/>
    <w:qFormat/>
    <w:uiPriority w:val="99"/>
    <w:pPr>
      <w:widowControl w:val="0"/>
      <w:ind w:right="-2" w:firstLine="360" w:firstLineChars="200"/>
      <w:jc w:val="both"/>
    </w:pPr>
    <w:rPr>
      <w:rFonts w:ascii="Verdana" w:hAnsi="Verdana"/>
      <w:kern w:val="2"/>
      <w:sz w:val="21"/>
      <w:szCs w:val="20"/>
    </w:rPr>
  </w:style>
  <w:style w:type="character" w:customStyle="1" w:styleId="268">
    <w:name w:val="日期 Char1"/>
    <w:qFormat/>
    <w:uiPriority w:val="99"/>
    <w:rPr>
      <w:rFonts w:ascii="宋体"/>
      <w:kern w:val="2"/>
      <w:sz w:val="24"/>
    </w:rPr>
  </w:style>
  <w:style w:type="character" w:customStyle="1" w:styleId="269">
    <w:name w:val="H3 Char1"/>
    <w:autoRedefine/>
    <w:qFormat/>
    <w:uiPriority w:val="99"/>
    <w:rPr>
      <w:rFonts w:eastAsia="宋体"/>
      <w:b/>
      <w:kern w:val="2"/>
      <w:sz w:val="32"/>
      <w:lang w:val="en-US" w:eastAsia="zh-CN"/>
    </w:rPr>
  </w:style>
  <w:style w:type="character" w:customStyle="1" w:styleId="270">
    <w:name w:val="Table Heading Char Char"/>
    <w:link w:val="271"/>
    <w:qFormat/>
    <w:locked/>
    <w:uiPriority w:val="99"/>
    <w:rPr>
      <w:rFonts w:ascii="Arial" w:hAnsi="Arial" w:eastAsia="黑体"/>
      <w:kern w:val="2"/>
      <w:sz w:val="18"/>
      <w:szCs w:val="18"/>
      <w:lang w:val="en-US" w:eastAsia="zh-CN" w:bidi="ar-SA"/>
    </w:rPr>
  </w:style>
  <w:style w:type="paragraph" w:customStyle="1" w:styleId="271">
    <w:name w:val="Table Heading Char"/>
    <w:link w:val="270"/>
    <w:autoRedefine/>
    <w:qFormat/>
    <w:uiPriority w:val="99"/>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272">
    <w:name w:val="标题5 Char"/>
    <w:link w:val="273"/>
    <w:qFormat/>
    <w:locked/>
    <w:uiPriority w:val="99"/>
    <w:rPr>
      <w:rFonts w:ascii="宋体"/>
      <w:sz w:val="21"/>
    </w:rPr>
  </w:style>
  <w:style w:type="paragraph" w:customStyle="1" w:styleId="273">
    <w:name w:val="标题5"/>
    <w:basedOn w:val="1"/>
    <w:link w:val="272"/>
    <w:autoRedefine/>
    <w:qFormat/>
    <w:uiPriority w:val="99"/>
    <w:pPr>
      <w:widowControl w:val="0"/>
      <w:tabs>
        <w:tab w:val="left" w:pos="0"/>
      </w:tabs>
      <w:autoSpaceDE w:val="0"/>
      <w:autoSpaceDN w:val="0"/>
      <w:adjustRightInd w:val="0"/>
      <w:snapToGrid w:val="0"/>
      <w:spacing w:line="320" w:lineRule="atLeast"/>
      <w:jc w:val="both"/>
    </w:pPr>
    <w:rPr>
      <w:rFonts w:ascii="宋体" w:hAnsi="Calibri"/>
      <w:sz w:val="21"/>
      <w:szCs w:val="20"/>
    </w:rPr>
  </w:style>
  <w:style w:type="character" w:customStyle="1" w:styleId="274">
    <w:name w:val="自定义正文 Char"/>
    <w:link w:val="275"/>
    <w:qFormat/>
    <w:locked/>
    <w:uiPriority w:val="99"/>
    <w:rPr>
      <w:rFonts w:ascii="仿宋_GB2312" w:eastAsia="仿宋_GB2312"/>
      <w:kern w:val="2"/>
      <w:sz w:val="24"/>
    </w:rPr>
  </w:style>
  <w:style w:type="paragraph" w:customStyle="1" w:styleId="275">
    <w:name w:val="自定义正文"/>
    <w:basedOn w:val="1"/>
    <w:link w:val="274"/>
    <w:qFormat/>
    <w:uiPriority w:val="99"/>
    <w:pPr>
      <w:widowControl w:val="0"/>
      <w:spacing w:before="120" w:after="60" w:line="400" w:lineRule="exact"/>
      <w:ind w:firstLine="200" w:firstLineChars="200"/>
    </w:pPr>
    <w:rPr>
      <w:rFonts w:ascii="仿宋_GB2312" w:hAnsi="Calibri" w:eastAsia="仿宋_GB2312"/>
      <w:kern w:val="2"/>
      <w:szCs w:val="20"/>
    </w:rPr>
  </w:style>
  <w:style w:type="character" w:customStyle="1" w:styleId="276">
    <w:name w:val="页脚 Char2"/>
    <w:qFormat/>
    <w:uiPriority w:val="99"/>
    <w:rPr>
      <w:rFonts w:eastAsia="宋体"/>
      <w:kern w:val="2"/>
      <w:sz w:val="18"/>
      <w:lang w:val="en-US" w:eastAsia="zh-CN"/>
    </w:rPr>
  </w:style>
  <w:style w:type="character" w:customStyle="1" w:styleId="277">
    <w:name w:val="H2 Char1"/>
    <w:qFormat/>
    <w:uiPriority w:val="99"/>
    <w:rPr>
      <w:rFonts w:ascii="Arial" w:hAnsi="Arial" w:eastAsia="黑体"/>
      <w:b/>
      <w:kern w:val="2"/>
      <w:sz w:val="32"/>
      <w:lang w:val="en-US" w:eastAsia="zh-CN"/>
    </w:rPr>
  </w:style>
  <w:style w:type="character" w:customStyle="1" w:styleId="278">
    <w:name w:val="content1"/>
    <w:qFormat/>
    <w:uiPriority w:val="99"/>
    <w:rPr>
      <w:sz w:val="18"/>
    </w:rPr>
  </w:style>
  <w:style w:type="character" w:customStyle="1" w:styleId="279">
    <w:name w:val="Table Text Char Char Char Char"/>
    <w:qFormat/>
    <w:uiPriority w:val="99"/>
    <w:rPr>
      <w:rFonts w:ascii="Arial" w:hAnsi="Arial"/>
      <w:kern w:val="2"/>
      <w:sz w:val="18"/>
      <w:lang w:val="en-US" w:eastAsia="zh-CN"/>
    </w:rPr>
  </w:style>
  <w:style w:type="character" w:customStyle="1" w:styleId="280">
    <w:name w:val="hei16b"/>
    <w:basedOn w:val="71"/>
    <w:autoRedefine/>
    <w:qFormat/>
    <w:uiPriority w:val="99"/>
    <w:rPr>
      <w:rFonts w:cs="Times New Roman"/>
    </w:rPr>
  </w:style>
  <w:style w:type="paragraph" w:customStyle="1" w:styleId="281">
    <w:name w:val="!BECC正文"/>
    <w:basedOn w:val="1"/>
    <w:qFormat/>
    <w:uiPriority w:val="99"/>
    <w:pPr>
      <w:widowControl w:val="0"/>
      <w:tabs>
        <w:tab w:val="left" w:pos="0"/>
      </w:tabs>
      <w:spacing w:beforeLines="50" w:afterLines="50" w:line="360" w:lineRule="auto"/>
      <w:ind w:firstLine="200" w:firstLineChars="200"/>
      <w:jc w:val="both"/>
    </w:pPr>
    <w:rPr>
      <w:kern w:val="2"/>
    </w:rPr>
  </w:style>
  <w:style w:type="paragraph" w:customStyle="1" w:styleId="282">
    <w:name w:val="a14"/>
    <w:basedOn w:val="1"/>
    <w:qFormat/>
    <w:uiPriority w:val="99"/>
    <w:pPr>
      <w:spacing w:before="100" w:beforeAutospacing="1" w:after="100" w:afterAutospacing="1" w:line="300" w:lineRule="atLeast"/>
      <w:ind w:firstLine="375"/>
    </w:pPr>
    <w:rPr>
      <w:rFonts w:ascii="宋体" w:hAnsi="宋体"/>
      <w:sz w:val="21"/>
      <w:szCs w:val="21"/>
    </w:rPr>
  </w:style>
  <w:style w:type="paragraph" w:customStyle="1" w:styleId="283">
    <w:name w:val="DAS列表一"/>
    <w:basedOn w:val="1"/>
    <w:qFormat/>
    <w:uiPriority w:val="99"/>
    <w:pPr>
      <w:widowControl w:val="0"/>
      <w:tabs>
        <w:tab w:val="left" w:pos="0"/>
        <w:tab w:val="left" w:pos="709"/>
        <w:tab w:val="left" w:pos="840"/>
      </w:tabs>
      <w:ind w:right="-2" w:firstLine="426"/>
      <w:jc w:val="both"/>
    </w:pPr>
    <w:rPr>
      <w:rFonts w:ascii="黑体" w:hAnsi="Verdana" w:eastAsia="黑体"/>
      <w:kern w:val="2"/>
      <w:sz w:val="21"/>
      <w:szCs w:val="21"/>
    </w:rPr>
  </w:style>
  <w:style w:type="paragraph" w:customStyle="1" w:styleId="28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285">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286">
    <w:name w:val="目录文字"/>
    <w:basedOn w:val="1"/>
    <w:qFormat/>
    <w:uiPriority w:val="99"/>
    <w:pPr>
      <w:spacing w:line="480" w:lineRule="auto"/>
    </w:pPr>
    <w:rPr>
      <w:rFonts w:ascii="宋体" w:hAnsi="宋体"/>
      <w:szCs w:val="20"/>
    </w:rPr>
  </w:style>
  <w:style w:type="paragraph" w:customStyle="1" w:styleId="287">
    <w:name w:val="正文样式 首行缩进:  0.74 厘米"/>
    <w:basedOn w:val="1"/>
    <w:qFormat/>
    <w:uiPriority w:val="99"/>
    <w:pPr>
      <w:tabs>
        <w:tab w:val="right" w:pos="8640"/>
      </w:tabs>
      <w:spacing w:beforeLines="50" w:line="360" w:lineRule="auto"/>
      <w:ind w:firstLine="420"/>
      <w:jc w:val="both"/>
    </w:pPr>
    <w:rPr>
      <w:szCs w:val="20"/>
      <w:lang w:bidi="he-IL"/>
    </w:rPr>
  </w:style>
  <w:style w:type="paragraph" w:customStyle="1" w:styleId="288">
    <w:name w:val="xl8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89">
    <w:name w:val="xl89"/>
    <w:basedOn w:val="1"/>
    <w:qFormat/>
    <w:uiPriority w:val="0"/>
    <w:pPr>
      <w:pBdr>
        <w:top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90">
    <w:name w:val="xl9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291">
    <w:name w:val="xl97"/>
    <w:basedOn w:val="1"/>
    <w:qFormat/>
    <w:uiPriority w:val="99"/>
    <w:pPr>
      <w:pBdr>
        <w:top w:val="single" w:color="auto" w:sz="4" w:space="0"/>
        <w:left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292">
    <w:name w:val="xl101"/>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93">
    <w:name w:val="xl11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294">
    <w:name w:val="xl11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6"/>
      <w:szCs w:val="16"/>
    </w:rPr>
  </w:style>
  <w:style w:type="paragraph" w:customStyle="1" w:styleId="295">
    <w:name w:val="xl125"/>
    <w:basedOn w:val="1"/>
    <w:qFormat/>
    <w:uiPriority w:val="99"/>
    <w:pPr>
      <w:pBdr>
        <w:bottom w:val="single" w:color="auto" w:sz="4" w:space="0"/>
      </w:pBdr>
      <w:spacing w:before="100" w:beforeAutospacing="1" w:after="100" w:afterAutospacing="1"/>
      <w:jc w:val="right"/>
    </w:pPr>
    <w:rPr>
      <w:rFonts w:ascii="Arial" w:hAnsi="Arial" w:cs="Arial"/>
      <w:sz w:val="20"/>
      <w:szCs w:val="20"/>
    </w:rPr>
  </w:style>
  <w:style w:type="paragraph" w:customStyle="1" w:styleId="296">
    <w:name w:val="xl129"/>
    <w:basedOn w:val="1"/>
    <w:qFormat/>
    <w:uiPriority w:val="99"/>
    <w:pPr>
      <w:pBdr>
        <w:left w:val="single" w:color="auto" w:sz="4" w:space="0"/>
        <w:right w:val="single" w:color="auto" w:sz="4" w:space="0"/>
      </w:pBdr>
      <w:spacing w:before="100" w:beforeAutospacing="1" w:after="100" w:afterAutospacing="1"/>
      <w:jc w:val="center"/>
    </w:pPr>
    <w:rPr>
      <w:rFonts w:ascii="Arial" w:hAnsi="Arial" w:cs="Arial"/>
      <w:sz w:val="16"/>
      <w:szCs w:val="16"/>
    </w:rPr>
  </w:style>
  <w:style w:type="paragraph" w:customStyle="1" w:styleId="297">
    <w:name w:val="标题无"/>
    <w:basedOn w:val="1"/>
    <w:qFormat/>
    <w:uiPriority w:val="99"/>
    <w:pPr>
      <w:widowControl w:val="0"/>
      <w:spacing w:line="360" w:lineRule="auto"/>
      <w:jc w:val="both"/>
    </w:pPr>
    <w:rPr>
      <w:kern w:val="2"/>
    </w:rPr>
  </w:style>
  <w:style w:type="paragraph" w:customStyle="1" w:styleId="298">
    <w:name w:val="缺省文本"/>
    <w:basedOn w:val="1"/>
    <w:qFormat/>
    <w:uiPriority w:val="99"/>
    <w:pPr>
      <w:widowControl w:val="0"/>
      <w:numPr>
        <w:ilvl w:val="2"/>
        <w:numId w:val="7"/>
      </w:numPr>
      <w:tabs>
        <w:tab w:val="left" w:pos="1685"/>
      </w:tabs>
      <w:autoSpaceDE w:val="0"/>
      <w:autoSpaceDN w:val="0"/>
      <w:adjustRightInd w:val="0"/>
      <w:spacing w:line="360" w:lineRule="auto"/>
      <w:ind w:firstLine="0"/>
    </w:pPr>
    <w:rPr>
      <w:szCs w:val="20"/>
    </w:rPr>
  </w:style>
  <w:style w:type="paragraph" w:customStyle="1" w:styleId="299">
    <w:name w:val="附录1"/>
    <w:basedOn w:val="1"/>
    <w:next w:val="1"/>
    <w:autoRedefine/>
    <w:qFormat/>
    <w:uiPriority w:val="99"/>
    <w:pPr>
      <w:widowControl w:val="0"/>
      <w:tabs>
        <w:tab w:val="left" w:pos="1304"/>
      </w:tabs>
      <w:ind w:left="425" w:hanging="425"/>
      <w:jc w:val="both"/>
      <w:outlineLvl w:val="0"/>
    </w:pPr>
    <w:rPr>
      <w:rFonts w:ascii="黑体" w:hAnsi="黑体" w:eastAsia="黑体"/>
      <w:b/>
      <w:bCs/>
      <w:kern w:val="2"/>
      <w:sz w:val="44"/>
    </w:rPr>
  </w:style>
  <w:style w:type="paragraph" w:customStyle="1" w:styleId="300">
    <w:name w:val="文本框样式1"/>
    <w:basedOn w:val="1"/>
    <w:autoRedefine/>
    <w:qFormat/>
    <w:uiPriority w:val="99"/>
    <w:pPr>
      <w:widowControl w:val="0"/>
      <w:adjustRightInd w:val="0"/>
      <w:snapToGrid w:val="0"/>
      <w:spacing w:before="60" w:line="180" w:lineRule="exact"/>
      <w:jc w:val="center"/>
    </w:pPr>
    <w:rPr>
      <w:kern w:val="2"/>
      <w:sz w:val="21"/>
      <w:szCs w:val="21"/>
    </w:rPr>
  </w:style>
  <w:style w:type="paragraph" w:customStyle="1" w:styleId="301">
    <w:name w:val="AA Numbering"/>
    <w:basedOn w:val="1"/>
    <w:qFormat/>
    <w:uiPriority w:val="99"/>
    <w:pPr>
      <w:tabs>
        <w:tab w:val="left" w:pos="425"/>
        <w:tab w:val="left" w:pos="1134"/>
      </w:tabs>
      <w:adjustRightInd w:val="0"/>
      <w:snapToGrid w:val="0"/>
      <w:spacing w:line="280" w:lineRule="atLeast"/>
    </w:pPr>
    <w:rPr>
      <w:rFonts w:eastAsia="PMingLiUfalt"/>
      <w:szCs w:val="20"/>
      <w:lang w:eastAsia="zh-TW"/>
    </w:rPr>
  </w:style>
  <w:style w:type="paragraph" w:customStyle="1" w:styleId="302">
    <w:name w:val="文档正文 Char Char Char Char"/>
    <w:basedOn w:val="1"/>
    <w:qFormat/>
    <w:uiPriority w:val="99"/>
    <w:pPr>
      <w:widowControl w:val="0"/>
      <w:adjustRightInd w:val="0"/>
      <w:spacing w:line="440" w:lineRule="exact"/>
      <w:ind w:firstLine="420"/>
      <w:jc w:val="both"/>
      <w:textAlignment w:val="baseline"/>
    </w:pPr>
    <w:rPr>
      <w:rFonts w:ascii="Arial Narrow" w:hAnsi="Arial Narrow"/>
    </w:rPr>
  </w:style>
  <w:style w:type="paragraph" w:customStyle="1" w:styleId="303">
    <w:name w:val="IN Step"/>
    <w:basedOn w:val="1"/>
    <w:qFormat/>
    <w:uiPriority w:val="99"/>
    <w:pPr>
      <w:keepLines/>
      <w:tabs>
        <w:tab w:val="left" w:pos="1134"/>
      </w:tabs>
      <w:spacing w:before="80" w:after="80" w:line="300" w:lineRule="auto"/>
      <w:ind w:left="1134" w:hanging="907"/>
      <w:jc w:val="both"/>
      <w:outlineLvl w:val="8"/>
    </w:pPr>
    <w:rPr>
      <w:rFonts w:ascii="Arial" w:hAnsi="Arial" w:cs="Arial"/>
      <w:sz w:val="21"/>
      <w:szCs w:val="21"/>
    </w:rPr>
  </w:style>
  <w:style w:type="paragraph" w:customStyle="1" w:styleId="304">
    <w:name w:val="Pull Quote"/>
    <w:basedOn w:val="1"/>
    <w:qFormat/>
    <w:uiPriority w:val="99"/>
    <w:pPr>
      <w:widowControl w:val="0"/>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kern w:val="2"/>
    </w:rPr>
  </w:style>
  <w:style w:type="paragraph" w:customStyle="1" w:styleId="305">
    <w:name w:val="关键词"/>
    <w:basedOn w:val="1"/>
    <w:next w:val="1"/>
    <w:qFormat/>
    <w:uiPriority w:val="99"/>
    <w:pPr>
      <w:widowControl w:val="0"/>
      <w:spacing w:line="360" w:lineRule="auto"/>
      <w:jc w:val="both"/>
    </w:pPr>
    <w:rPr>
      <w:rFonts w:eastAsia="黑体"/>
      <w:kern w:val="2"/>
      <w:sz w:val="20"/>
    </w:rPr>
  </w:style>
  <w:style w:type="paragraph" w:customStyle="1" w:styleId="306">
    <w:name w:val="表格文本"/>
    <w:qFormat/>
    <w:uiPriority w:val="99"/>
    <w:pPr>
      <w:tabs>
        <w:tab w:val="decimal" w:pos="0"/>
      </w:tabs>
    </w:pPr>
    <w:rPr>
      <w:rFonts w:ascii="Arial" w:hAnsi="Arial" w:eastAsia="宋体" w:cs="Times New Roman"/>
      <w:sz w:val="21"/>
      <w:szCs w:val="21"/>
      <w:lang w:val="en-US" w:eastAsia="zh-CN" w:bidi="ar-SA"/>
    </w:rPr>
  </w:style>
  <w:style w:type="paragraph" w:customStyle="1" w:styleId="307">
    <w:name w:val="表头文本"/>
    <w:qFormat/>
    <w:uiPriority w:val="99"/>
    <w:pPr>
      <w:jc w:val="center"/>
    </w:pPr>
    <w:rPr>
      <w:rFonts w:ascii="Arial" w:hAnsi="Arial" w:eastAsia="宋体" w:cs="Times New Roman"/>
      <w:b/>
      <w:sz w:val="21"/>
      <w:szCs w:val="21"/>
      <w:lang w:val="en-US" w:eastAsia="zh-CN" w:bidi="ar-SA"/>
    </w:rPr>
  </w:style>
  <w:style w:type="paragraph" w:customStyle="1" w:styleId="308">
    <w:name w:val="表格内文字"/>
    <w:basedOn w:val="2"/>
    <w:qFormat/>
    <w:uiPriority w:val="99"/>
    <w:pPr>
      <w:adjustRightInd w:val="0"/>
      <w:spacing w:line="240" w:lineRule="auto"/>
      <w:ind w:firstLine="0" w:firstLineChars="0"/>
    </w:pPr>
    <w:rPr>
      <w:rFonts w:eastAsia="Times New Roman" w:cs="Courier New"/>
      <w:color w:val="000000"/>
      <w:sz w:val="21"/>
      <w:szCs w:val="21"/>
      <w:lang w:val="en-GB"/>
    </w:rPr>
  </w:style>
  <w:style w:type="paragraph" w:customStyle="1" w:styleId="309">
    <w:name w:val="_"/>
    <w:basedOn w:val="1"/>
    <w:autoRedefine/>
    <w:qFormat/>
    <w:uiPriority w:val="99"/>
    <w:pPr>
      <w:widowControl w:val="0"/>
      <w:adjustRightInd w:val="0"/>
      <w:spacing w:line="360" w:lineRule="auto"/>
      <w:ind w:left="480" w:firstLine="200" w:firstLineChars="200"/>
      <w:jc w:val="both"/>
      <w:textAlignment w:val="baseline"/>
    </w:pPr>
    <w:rPr>
      <w:szCs w:val="20"/>
    </w:rPr>
  </w:style>
  <w:style w:type="paragraph" w:customStyle="1" w:styleId="310">
    <w:name w:val="Char Char Char Char Char Char1 Char"/>
    <w:basedOn w:val="1"/>
    <w:qFormat/>
    <w:uiPriority w:val="99"/>
    <w:pPr>
      <w:spacing w:after="160" w:line="240" w:lineRule="exact"/>
    </w:pPr>
    <w:rPr>
      <w:rFonts w:ascii="Verdana" w:hAnsi="Verdana"/>
      <w:sz w:val="21"/>
      <w:szCs w:val="20"/>
      <w:lang w:eastAsia="en-US"/>
    </w:rPr>
  </w:style>
  <w:style w:type="paragraph" w:customStyle="1" w:styleId="311">
    <w:name w:val="样式 样式 首行缩进:  2 字符 + 首行缩进:  2 字符"/>
    <w:basedOn w:val="1"/>
    <w:qFormat/>
    <w:uiPriority w:val="99"/>
    <w:pPr>
      <w:widowControl w:val="0"/>
      <w:tabs>
        <w:tab w:val="left" w:pos="840"/>
      </w:tabs>
      <w:spacing w:line="360" w:lineRule="auto"/>
      <w:ind w:left="840" w:firstLine="480" w:firstLineChars="200"/>
      <w:jc w:val="both"/>
    </w:pPr>
    <w:rPr>
      <w:kern w:val="2"/>
      <w:szCs w:val="20"/>
    </w:rPr>
  </w:style>
  <w:style w:type="paragraph" w:customStyle="1" w:styleId="312">
    <w:name w:val="表号"/>
    <w:basedOn w:val="1"/>
    <w:qFormat/>
    <w:uiPriority w:val="99"/>
    <w:pPr>
      <w:widowControl w:val="0"/>
      <w:tabs>
        <w:tab w:val="left" w:pos="648"/>
        <w:tab w:val="left" w:pos="840"/>
      </w:tabs>
      <w:autoSpaceDE w:val="0"/>
      <w:autoSpaceDN w:val="0"/>
      <w:adjustRightInd w:val="0"/>
      <w:spacing w:before="210" w:after="210"/>
      <w:ind w:left="425" w:hanging="137"/>
      <w:jc w:val="center"/>
    </w:pPr>
    <w:rPr>
      <w:sz w:val="21"/>
      <w:szCs w:val="21"/>
      <w:lang w:eastAsia="en-US"/>
    </w:rPr>
  </w:style>
  <w:style w:type="paragraph" w:customStyle="1" w:styleId="313">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14">
    <w:name w:val="xl29"/>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315">
    <w:name w:val="xl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316">
    <w:name w:val="xl39"/>
    <w:basedOn w:val="1"/>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b/>
      <w:bCs/>
      <w:sz w:val="20"/>
      <w:szCs w:val="20"/>
    </w:rPr>
  </w:style>
  <w:style w:type="paragraph" w:customStyle="1" w:styleId="317">
    <w:name w:val="xl44"/>
    <w:basedOn w:val="1"/>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sz w:val="20"/>
      <w:szCs w:val="20"/>
    </w:rPr>
  </w:style>
  <w:style w:type="paragraph" w:customStyle="1" w:styleId="318">
    <w:name w:val="xl48"/>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319">
    <w:name w:val="xl56"/>
    <w:basedOn w:val="1"/>
    <w:qFormat/>
    <w:uiPriority w:val="99"/>
    <w:pPr>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cs="宋体"/>
      <w:b/>
      <w:bCs/>
      <w:sz w:val="20"/>
      <w:szCs w:val="20"/>
    </w:rPr>
  </w:style>
  <w:style w:type="paragraph" w:customStyle="1" w:styleId="320">
    <w:name w:val="xl60"/>
    <w:basedOn w:val="1"/>
    <w:qFormat/>
    <w:uiPriority w:val="99"/>
    <w:pPr>
      <w:pBdr>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21">
    <w:name w:val="xl6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18"/>
      <w:szCs w:val="18"/>
    </w:rPr>
  </w:style>
  <w:style w:type="paragraph" w:customStyle="1" w:styleId="32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0"/>
      <w:szCs w:val="20"/>
    </w:rPr>
  </w:style>
  <w:style w:type="paragraph" w:customStyle="1" w:styleId="323">
    <w:name w:val="正文编码"/>
    <w:basedOn w:val="65"/>
    <w:qFormat/>
    <w:uiPriority w:val="99"/>
    <w:pPr>
      <w:tabs>
        <w:tab w:val="left" w:pos="360"/>
        <w:tab w:val="left" w:pos="900"/>
        <w:tab w:val="center" w:pos="2185"/>
      </w:tabs>
      <w:spacing w:after="0" w:line="360" w:lineRule="auto"/>
      <w:ind w:left="360" w:hanging="360" w:firstLineChars="0"/>
    </w:pPr>
    <w:rPr>
      <w:rFonts w:ascii="仿宋_GB2312" w:hAnsi="宋体" w:eastAsia="仿宋_GB2312"/>
      <w:kern w:val="0"/>
      <w:szCs w:val="20"/>
    </w:rPr>
  </w:style>
  <w:style w:type="paragraph" w:customStyle="1" w:styleId="324">
    <w:name w:val="标题2"/>
    <w:basedOn w:val="5"/>
    <w:link w:val="862"/>
    <w:qFormat/>
    <w:uiPriority w:val="0"/>
    <w:pPr>
      <w:keepNext/>
      <w:keepLines/>
      <w:tabs>
        <w:tab w:val="left" w:pos="567"/>
        <w:tab w:val="left" w:pos="720"/>
        <w:tab w:val="clear" w:pos="0"/>
      </w:tabs>
      <w:spacing w:beforeLines="100" w:after="120" w:line="300" w:lineRule="auto"/>
      <w:contextualSpacing w:val="0"/>
      <w:outlineLvl w:val="9"/>
    </w:pPr>
    <w:rPr>
      <w:rFonts w:ascii="Times New Roman" w:hAnsi="Times New Roman" w:eastAsia="黑体"/>
      <w:color w:val="auto"/>
      <w:spacing w:val="6"/>
      <w:sz w:val="32"/>
      <w:szCs w:val="24"/>
    </w:rPr>
  </w:style>
  <w:style w:type="paragraph" w:customStyle="1" w:styleId="325">
    <w:name w:val="xl68"/>
    <w:basedOn w:val="1"/>
    <w:qFormat/>
    <w:uiPriority w:val="0"/>
    <w:pPr>
      <w:spacing w:before="100" w:beforeAutospacing="1" w:after="100" w:afterAutospacing="1"/>
      <w:jc w:val="center"/>
    </w:pPr>
    <w:rPr>
      <w:rFonts w:ascii="宋体" w:hAnsi="宋体" w:cs="宋体"/>
    </w:rPr>
  </w:style>
  <w:style w:type="paragraph" w:customStyle="1" w:styleId="326">
    <w:name w:val="xl81"/>
    <w:basedOn w:val="1"/>
    <w:autoRedefine/>
    <w:qFormat/>
    <w:uiPriority w:val="0"/>
    <w:pPr>
      <w:spacing w:before="100" w:beforeAutospacing="1" w:after="100" w:afterAutospacing="1"/>
    </w:pPr>
    <w:rPr>
      <w:rFonts w:ascii="宋体" w:hAnsi="宋体" w:cs="宋体"/>
    </w:rPr>
  </w:style>
  <w:style w:type="paragraph" w:customStyle="1" w:styleId="327">
    <w:name w:val="微软用户"/>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8">
    <w:name w:val="样式 普通正文 + 五号 首行缩进:  2 字符"/>
    <w:basedOn w:val="1"/>
    <w:qFormat/>
    <w:uiPriority w:val="99"/>
    <w:pPr>
      <w:widowControl w:val="0"/>
      <w:spacing w:line="360" w:lineRule="auto"/>
      <w:ind w:firstLine="420" w:firstLineChars="200"/>
      <w:jc w:val="both"/>
    </w:pPr>
    <w:rPr>
      <w:rFonts w:cs="宋体"/>
      <w:kern w:val="2"/>
      <w:sz w:val="21"/>
      <w:szCs w:val="20"/>
    </w:rPr>
  </w:style>
  <w:style w:type="paragraph" w:customStyle="1" w:styleId="329">
    <w:name w:val="font6"/>
    <w:basedOn w:val="1"/>
    <w:qFormat/>
    <w:uiPriority w:val="99"/>
    <w:pPr>
      <w:spacing w:before="100" w:beforeAutospacing="1" w:after="100" w:afterAutospacing="1"/>
    </w:pPr>
    <w:rPr>
      <w:rFonts w:ascii="Arial" w:hAnsi="Arial" w:cs="Arial"/>
      <w:sz w:val="20"/>
      <w:szCs w:val="20"/>
    </w:rPr>
  </w:style>
  <w:style w:type="paragraph" w:customStyle="1" w:styleId="330">
    <w:name w:val="xl104"/>
    <w:basedOn w:val="1"/>
    <w:autoRedefine/>
    <w:qFormat/>
    <w:uiPriority w:val="99"/>
    <w:pPr>
      <w:spacing w:before="100" w:beforeAutospacing="1" w:after="100" w:afterAutospacing="1"/>
    </w:pPr>
    <w:rPr>
      <w:rFonts w:ascii="Arial" w:hAnsi="Arial" w:cs="Arial"/>
    </w:rPr>
  </w:style>
  <w:style w:type="paragraph" w:customStyle="1" w:styleId="331">
    <w:name w:val="xl108"/>
    <w:basedOn w:val="1"/>
    <w:qFormat/>
    <w:uiPriority w:val="99"/>
    <w:pPr>
      <w:spacing w:before="100" w:beforeAutospacing="1" w:after="100" w:afterAutospacing="1"/>
      <w:textAlignment w:val="bottom"/>
    </w:pPr>
    <w:rPr>
      <w:rFonts w:ascii="Arial" w:hAnsi="Arial" w:cs="Arial"/>
      <w:sz w:val="20"/>
      <w:szCs w:val="20"/>
    </w:rPr>
  </w:style>
  <w:style w:type="paragraph" w:customStyle="1" w:styleId="332">
    <w:name w:val="xl124"/>
    <w:basedOn w:val="1"/>
    <w:autoRedefine/>
    <w:qFormat/>
    <w:uiPriority w:val="99"/>
    <w:pPr>
      <w:spacing w:before="100" w:beforeAutospacing="1" w:after="100" w:afterAutospacing="1"/>
      <w:jc w:val="center"/>
    </w:pPr>
    <w:rPr>
      <w:rFonts w:ascii="Arial" w:hAnsi="Arial" w:cs="Arial"/>
      <w:b/>
      <w:bCs/>
      <w:sz w:val="40"/>
      <w:szCs w:val="40"/>
    </w:rPr>
  </w:style>
  <w:style w:type="paragraph" w:customStyle="1" w:styleId="333">
    <w:name w:val="正文字缩2字"/>
    <w:basedOn w:val="1"/>
    <w:qFormat/>
    <w:uiPriority w:val="99"/>
    <w:pPr>
      <w:widowControl w:val="0"/>
      <w:spacing w:before="60" w:after="60" w:line="360" w:lineRule="auto"/>
      <w:ind w:left="200" w:leftChars="200" w:firstLine="200" w:firstLineChars="200"/>
      <w:jc w:val="both"/>
    </w:pPr>
    <w:rPr>
      <w:kern w:val="2"/>
    </w:rPr>
  </w:style>
  <w:style w:type="paragraph" w:customStyle="1" w:styleId="334">
    <w:name w:val="Table Heading"/>
    <w:qFormat/>
    <w:uiPriority w:val="99"/>
    <w:pPr>
      <w:keepNext/>
      <w:snapToGrid w:val="0"/>
      <w:spacing w:before="80" w:after="80"/>
      <w:jc w:val="center"/>
    </w:pPr>
    <w:rPr>
      <w:rFonts w:ascii="Arial" w:hAnsi="Arial" w:eastAsia="黑体" w:cs="Arial"/>
      <w:sz w:val="18"/>
      <w:szCs w:val="18"/>
      <w:lang w:val="en-US" w:eastAsia="zh-CN" w:bidi="ar-SA"/>
    </w:rPr>
  </w:style>
  <w:style w:type="paragraph" w:customStyle="1" w:styleId="335">
    <w:name w:val="简单回函地址"/>
    <w:basedOn w:val="1"/>
    <w:qFormat/>
    <w:uiPriority w:val="99"/>
    <w:pPr>
      <w:widowControl w:val="0"/>
      <w:adjustRightInd w:val="0"/>
      <w:snapToGrid w:val="0"/>
      <w:spacing w:line="360" w:lineRule="auto"/>
      <w:jc w:val="both"/>
    </w:pPr>
    <w:rPr>
      <w:kern w:val="2"/>
      <w:szCs w:val="20"/>
    </w:rPr>
  </w:style>
  <w:style w:type="paragraph" w:customStyle="1" w:styleId="336">
    <w:name w:val="表项"/>
    <w:next w:val="337"/>
    <w:qFormat/>
    <w:uiPriority w:val="99"/>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337">
    <w:name w:val="表身（左）"/>
    <w:qFormat/>
    <w:uiPriority w:val="99"/>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38">
    <w:name w:val="正文格式"/>
    <w:basedOn w:val="1"/>
    <w:autoRedefine/>
    <w:qFormat/>
    <w:uiPriority w:val="99"/>
    <w:pPr>
      <w:adjustRightInd w:val="0"/>
      <w:snapToGrid w:val="0"/>
      <w:spacing w:line="360" w:lineRule="atLeast"/>
      <w:ind w:firstLine="482" w:firstLineChars="200"/>
      <w:jc w:val="both"/>
      <w:textAlignment w:val="baseline"/>
    </w:pPr>
    <w:rPr>
      <w:szCs w:val="20"/>
    </w:rPr>
  </w:style>
  <w:style w:type="paragraph" w:customStyle="1" w:styleId="33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4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341">
    <w:name w:val="Char Char1 Char Char Char Char"/>
    <w:basedOn w:val="1"/>
    <w:next w:val="1"/>
    <w:qFormat/>
    <w:uiPriority w:val="99"/>
    <w:pPr>
      <w:spacing w:after="160" w:line="240" w:lineRule="exact"/>
    </w:pPr>
    <w:rPr>
      <w:rFonts w:ascii="Verdana" w:hAnsi="Verdana" w:eastAsia="仿宋_GB2312"/>
      <w:szCs w:val="20"/>
      <w:lang w:eastAsia="en-US"/>
    </w:rPr>
  </w:style>
  <w:style w:type="paragraph" w:customStyle="1" w:styleId="342">
    <w:name w:val="xl84"/>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43">
    <w:name w:val="xl8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44">
    <w:name w:val="xl9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45">
    <w:name w:val="xl96"/>
    <w:basedOn w:val="1"/>
    <w:qFormat/>
    <w:uiPriority w:val="99"/>
    <w:pPr>
      <w:pBdr>
        <w:left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346">
    <w:name w:val="xl100"/>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47">
    <w:name w:val="xl11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48">
    <w:name w:val="xl12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349">
    <w:name w:val="xl128"/>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Arial" w:hAnsi="Arial" w:cs="Arial"/>
      <w:sz w:val="16"/>
      <w:szCs w:val="16"/>
    </w:rPr>
  </w:style>
  <w:style w:type="paragraph" w:customStyle="1" w:styleId="350">
    <w:name w:val="附录4"/>
    <w:basedOn w:val="1"/>
    <w:next w:val="1"/>
    <w:qFormat/>
    <w:uiPriority w:val="99"/>
    <w:pPr>
      <w:tabs>
        <w:tab w:val="left" w:pos="1134"/>
      </w:tabs>
      <w:spacing w:line="300" w:lineRule="auto"/>
      <w:ind w:left="1361" w:hanging="1361"/>
      <w:jc w:val="both"/>
      <w:outlineLvl w:val="3"/>
    </w:pPr>
    <w:rPr>
      <w:rFonts w:ascii="Arial" w:hAnsi="Arial" w:eastAsia="黑体"/>
      <w:sz w:val="28"/>
      <w:szCs w:val="20"/>
    </w:rPr>
  </w:style>
  <w:style w:type="paragraph" w:customStyle="1" w:styleId="351">
    <w:name w:val="样式 正文缩进正文（首行缩进两字）表正文正文非缩进特点标题4段1 + 首行缩进:  2 字符"/>
    <w:basedOn w:val="18"/>
    <w:qFormat/>
    <w:uiPriority w:val="99"/>
    <w:pPr>
      <w:adjustRightInd w:val="0"/>
      <w:snapToGrid w:val="0"/>
      <w:spacing w:line="360" w:lineRule="auto"/>
      <w:ind w:firstLine="480"/>
    </w:pPr>
  </w:style>
  <w:style w:type="paragraph" w:customStyle="1" w:styleId="352">
    <w:name w:val="样式 标题 1 + 居中 段前: 6 磅 段后: 6 磅 行距: 1.5 倍行距"/>
    <w:basedOn w:val="3"/>
    <w:qFormat/>
    <w:uiPriority w:val="99"/>
    <w:pPr>
      <w:keepNext/>
      <w:keepLines/>
      <w:tabs>
        <w:tab w:val="left" w:pos="425"/>
        <w:tab w:val="clear" w:pos="0"/>
      </w:tabs>
      <w:adjustRightInd w:val="0"/>
      <w:snapToGrid w:val="0"/>
      <w:spacing w:before="120" w:after="120" w:line="360" w:lineRule="auto"/>
      <w:contextualSpacing w:val="0"/>
      <w:jc w:val="center"/>
    </w:pPr>
    <w:rPr>
      <w:rFonts w:ascii="Times New Roman" w:hAnsi="Times New Roman"/>
      <w:color w:val="auto"/>
      <w:spacing w:val="0"/>
      <w:kern w:val="44"/>
      <w:szCs w:val="24"/>
    </w:rPr>
  </w:style>
  <w:style w:type="paragraph" w:customStyle="1" w:styleId="353">
    <w:name w:val="文档正文 Char Char Char Char Char"/>
    <w:basedOn w:val="1"/>
    <w:qFormat/>
    <w:uiPriority w:val="99"/>
    <w:pPr>
      <w:widowControl w:val="0"/>
      <w:adjustRightInd w:val="0"/>
      <w:spacing w:line="440" w:lineRule="exact"/>
      <w:ind w:firstLine="420"/>
      <w:jc w:val="both"/>
      <w:textAlignment w:val="baseline"/>
    </w:pPr>
    <w:rPr>
      <w:rFonts w:ascii="Arial Narrow" w:hAnsi="Arial Narrow"/>
    </w:rPr>
  </w:style>
  <w:style w:type="paragraph" w:customStyle="1" w:styleId="354">
    <w:name w:val="样式 正文首行缩进 2 + 首行缩进:  2 字符"/>
    <w:basedOn w:val="1"/>
    <w:qFormat/>
    <w:uiPriority w:val="99"/>
    <w:pPr>
      <w:widowControl w:val="0"/>
      <w:numPr>
        <w:ilvl w:val="0"/>
        <w:numId w:val="11"/>
      </w:numPr>
      <w:tabs>
        <w:tab w:val="left" w:pos="987"/>
      </w:tabs>
      <w:adjustRightInd w:val="0"/>
      <w:snapToGrid w:val="0"/>
      <w:spacing w:line="360" w:lineRule="auto"/>
      <w:ind w:firstLine="0"/>
      <w:jc w:val="both"/>
    </w:pPr>
    <w:rPr>
      <w:rFonts w:ascii="Arial" w:hAnsi="Arial"/>
      <w:b/>
      <w:bCs/>
      <w:kern w:val="2"/>
    </w:rPr>
  </w:style>
  <w:style w:type="paragraph" w:customStyle="1" w:styleId="355">
    <w:name w:val="Title - Revision"/>
    <w:basedOn w:val="63"/>
    <w:qFormat/>
    <w:uiPriority w:val="99"/>
    <w:pPr>
      <w:spacing w:before="720" w:after="240" w:line="360" w:lineRule="auto"/>
      <w:contextualSpacing w:val="0"/>
      <w:jc w:val="center"/>
    </w:pPr>
    <w:rPr>
      <w:rFonts w:ascii="Arial" w:hAnsi="Arial"/>
      <w:color w:val="auto"/>
      <w:spacing w:val="0"/>
      <w:kern w:val="28"/>
      <w:sz w:val="36"/>
      <w:szCs w:val="20"/>
    </w:rPr>
  </w:style>
  <w:style w:type="paragraph" w:customStyle="1" w:styleId="356">
    <w:name w:val="图标"/>
    <w:basedOn w:val="1"/>
    <w:next w:val="1"/>
    <w:qFormat/>
    <w:uiPriority w:val="99"/>
    <w:pPr>
      <w:widowControl w:val="0"/>
      <w:numPr>
        <w:ilvl w:val="0"/>
        <w:numId w:val="12"/>
      </w:numPr>
      <w:tabs>
        <w:tab w:val="left" w:pos="420"/>
        <w:tab w:val="left" w:pos="567"/>
      </w:tabs>
      <w:autoSpaceDE w:val="0"/>
      <w:autoSpaceDN w:val="0"/>
      <w:adjustRightInd w:val="0"/>
      <w:snapToGrid w:val="0"/>
      <w:spacing w:before="120" w:after="120" w:line="320" w:lineRule="atLeast"/>
      <w:ind w:firstLine="0"/>
      <w:jc w:val="center"/>
      <w:textAlignment w:val="baseline"/>
    </w:pPr>
    <w:rPr>
      <w:rFonts w:eastAsia="仿宋_GB2312"/>
      <w:szCs w:val="20"/>
    </w:rPr>
  </w:style>
  <w:style w:type="paragraph" w:customStyle="1" w:styleId="357">
    <w:name w:val="正文文本 21"/>
    <w:basedOn w:val="1"/>
    <w:qFormat/>
    <w:uiPriority w:val="99"/>
    <w:pPr>
      <w:widowControl w:val="0"/>
      <w:adjustRightInd w:val="0"/>
      <w:spacing w:before="120" w:line="360" w:lineRule="auto"/>
      <w:ind w:firstLine="480"/>
      <w:jc w:val="both"/>
      <w:textAlignment w:val="baseline"/>
    </w:pPr>
    <w:rPr>
      <w:kern w:val="2"/>
      <w:szCs w:val="20"/>
    </w:rPr>
  </w:style>
  <w:style w:type="paragraph" w:customStyle="1" w:styleId="358">
    <w:name w:val="项目"/>
    <w:basedOn w:val="1"/>
    <w:autoRedefine/>
    <w:qFormat/>
    <w:uiPriority w:val="99"/>
    <w:pPr>
      <w:widowControl w:val="0"/>
      <w:numPr>
        <w:ilvl w:val="0"/>
        <w:numId w:val="13"/>
      </w:numPr>
      <w:tabs>
        <w:tab w:val="left" w:pos="840"/>
      </w:tabs>
      <w:spacing w:before="120" w:after="120" w:line="360" w:lineRule="auto"/>
      <w:ind w:firstLine="0"/>
      <w:textAlignment w:val="baseline"/>
    </w:pPr>
    <w:rPr>
      <w:rFonts w:ascii="宋体"/>
      <w:szCs w:val="20"/>
    </w:rPr>
  </w:style>
  <w:style w:type="paragraph" w:customStyle="1" w:styleId="359">
    <w:name w:val="没有缩进（为图形使用）"/>
    <w:basedOn w:val="1"/>
    <w:autoRedefine/>
    <w:qFormat/>
    <w:uiPriority w:val="99"/>
    <w:pPr>
      <w:widowControl w:val="0"/>
      <w:spacing w:before="120" w:after="120" w:line="360" w:lineRule="auto"/>
      <w:jc w:val="both"/>
    </w:pPr>
    <w:rPr>
      <w:kern w:val="2"/>
      <w:szCs w:val="20"/>
    </w:rPr>
  </w:style>
  <w:style w:type="paragraph" w:customStyle="1" w:styleId="360">
    <w:name w:val="xl40"/>
    <w:basedOn w:val="1"/>
    <w:qFormat/>
    <w:uiPriority w:val="99"/>
    <w:pPr>
      <w:pBdr>
        <w:left w:val="single" w:color="auto" w:sz="4" w:space="0"/>
        <w:right w:val="single" w:color="auto" w:sz="4" w:space="0"/>
      </w:pBdr>
      <w:spacing w:before="100" w:beforeAutospacing="1" w:after="100" w:afterAutospacing="1"/>
      <w:jc w:val="center"/>
    </w:pPr>
    <w:rPr>
      <w:rFonts w:ascii="宋体" w:hAnsi="宋体"/>
    </w:rPr>
  </w:style>
  <w:style w:type="paragraph" w:customStyle="1" w:styleId="361">
    <w:name w:val="Char Char Char Char Char Char Char Char Char Char Char Char Char"/>
    <w:basedOn w:val="1"/>
    <w:qFormat/>
    <w:uiPriority w:val="0"/>
    <w:pPr>
      <w:spacing w:after="160" w:line="240" w:lineRule="exact"/>
    </w:pPr>
    <w:rPr>
      <w:rFonts w:ascii="Verdana" w:hAnsi="Verdana" w:eastAsia="仿宋_GB2312"/>
      <w:szCs w:val="20"/>
      <w:lang w:eastAsia="en-US"/>
    </w:rPr>
  </w:style>
  <w:style w:type="paragraph" w:customStyle="1" w:styleId="362">
    <w:name w:val="正文00"/>
    <w:basedOn w:val="18"/>
    <w:qFormat/>
    <w:uiPriority w:val="99"/>
    <w:pPr>
      <w:tabs>
        <w:tab w:val="left" w:pos="0"/>
      </w:tabs>
      <w:spacing w:line="360" w:lineRule="auto"/>
      <w:ind w:firstLine="480"/>
    </w:pPr>
    <w:rPr>
      <w:rFonts w:ascii="宋体"/>
      <w:kern w:val="28"/>
    </w:rPr>
  </w:style>
  <w:style w:type="paragraph" w:customStyle="1" w:styleId="363">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364">
    <w:name w:val="xl3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65">
    <w:name w:val="xl38"/>
    <w:basedOn w:val="1"/>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b/>
      <w:bCs/>
      <w:sz w:val="20"/>
      <w:szCs w:val="20"/>
    </w:rPr>
  </w:style>
  <w:style w:type="paragraph" w:customStyle="1" w:styleId="366">
    <w:name w:val="xl43"/>
    <w:basedOn w:val="1"/>
    <w:autoRedefine/>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b/>
      <w:bCs/>
      <w:sz w:val="20"/>
      <w:szCs w:val="20"/>
    </w:rPr>
  </w:style>
  <w:style w:type="paragraph" w:customStyle="1" w:styleId="367">
    <w:name w:val="xl47"/>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368">
    <w:name w:val="xl5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szCs w:val="20"/>
    </w:rPr>
  </w:style>
  <w:style w:type="paragraph" w:customStyle="1" w:styleId="369">
    <w:name w:val="xl59"/>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70">
    <w:name w:val="xl6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37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1"/>
      <w:szCs w:val="21"/>
    </w:rPr>
  </w:style>
  <w:style w:type="paragraph" w:customStyle="1" w:styleId="372">
    <w:name w:val="正文编号2"/>
    <w:basedOn w:val="1"/>
    <w:qFormat/>
    <w:uiPriority w:val="99"/>
    <w:pPr>
      <w:widowControl w:val="0"/>
      <w:jc w:val="both"/>
    </w:pPr>
    <w:rPr>
      <w:rFonts w:eastAsia="楷体_GB2312"/>
      <w:sz w:val="28"/>
    </w:rPr>
  </w:style>
  <w:style w:type="paragraph" w:customStyle="1" w:styleId="373">
    <w:name w:val="style14"/>
    <w:basedOn w:val="1"/>
    <w:qFormat/>
    <w:uiPriority w:val="99"/>
    <w:rPr>
      <w:rFonts w:ascii="宋体" w:hAnsi="宋体" w:cs="宋体"/>
      <w:b/>
      <w:bCs/>
      <w:sz w:val="21"/>
      <w:szCs w:val="21"/>
    </w:rPr>
  </w:style>
  <w:style w:type="paragraph" w:customStyle="1" w:styleId="374">
    <w:name w:val="font5"/>
    <w:basedOn w:val="1"/>
    <w:qFormat/>
    <w:uiPriority w:val="0"/>
    <w:pPr>
      <w:spacing w:before="100" w:beforeAutospacing="1" w:after="100" w:afterAutospacing="1"/>
    </w:pPr>
    <w:rPr>
      <w:rFonts w:ascii="宋体" w:hAnsi="宋体" w:cs="宋体"/>
      <w:sz w:val="18"/>
      <w:szCs w:val="18"/>
    </w:rPr>
  </w:style>
  <w:style w:type="paragraph" w:customStyle="1" w:styleId="375">
    <w:name w:val="xl80"/>
    <w:basedOn w:val="1"/>
    <w:qFormat/>
    <w:uiPriority w:val="0"/>
    <w:pPr>
      <w:spacing w:before="100" w:beforeAutospacing="1" w:after="100" w:afterAutospacing="1"/>
    </w:pPr>
    <w:rPr>
      <w:rFonts w:ascii="宋体" w:hAnsi="宋体" w:cs="宋体"/>
      <w:sz w:val="16"/>
      <w:szCs w:val="16"/>
    </w:rPr>
  </w:style>
  <w:style w:type="paragraph" w:customStyle="1" w:styleId="376">
    <w:name w:val="xl31"/>
    <w:basedOn w:val="1"/>
    <w:qFormat/>
    <w:uiPriority w:val="99"/>
    <w:pPr>
      <w:spacing w:before="100" w:beforeAutospacing="1" w:after="100" w:afterAutospacing="1"/>
      <w:jc w:val="both"/>
    </w:pPr>
    <w:rPr>
      <w:sz w:val="20"/>
      <w:szCs w:val="20"/>
    </w:rPr>
  </w:style>
  <w:style w:type="paragraph" w:customStyle="1" w:styleId="377">
    <w:name w:val="自动更正"/>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78">
    <w:name w:val="font9"/>
    <w:basedOn w:val="1"/>
    <w:autoRedefine/>
    <w:qFormat/>
    <w:uiPriority w:val="99"/>
    <w:pPr>
      <w:spacing w:before="100" w:beforeAutospacing="1" w:after="100" w:afterAutospacing="1"/>
    </w:pPr>
    <w:rPr>
      <w:rFonts w:ascii="宋体" w:hAnsi="宋体" w:cs="宋体"/>
      <w:sz w:val="18"/>
      <w:szCs w:val="18"/>
    </w:rPr>
  </w:style>
  <w:style w:type="paragraph" w:customStyle="1" w:styleId="379">
    <w:name w:val="xl103"/>
    <w:basedOn w:val="1"/>
    <w:qFormat/>
    <w:uiPriority w:val="99"/>
    <w:pPr>
      <w:spacing w:before="100" w:beforeAutospacing="1" w:after="100" w:afterAutospacing="1"/>
    </w:pPr>
    <w:rPr>
      <w:rFonts w:ascii="Arial" w:hAnsi="Arial" w:cs="Arial"/>
      <w:sz w:val="20"/>
      <w:szCs w:val="20"/>
    </w:rPr>
  </w:style>
  <w:style w:type="paragraph" w:customStyle="1" w:styleId="380">
    <w:name w:val="xl107"/>
    <w:basedOn w:val="1"/>
    <w:qFormat/>
    <w:uiPriority w:val="99"/>
    <w:pPr>
      <w:spacing w:before="100" w:beforeAutospacing="1" w:after="100" w:afterAutospacing="1"/>
      <w:jc w:val="center"/>
    </w:pPr>
    <w:rPr>
      <w:rFonts w:ascii="Arial" w:hAnsi="Arial" w:cs="Arial"/>
      <w:b/>
      <w:bCs/>
    </w:rPr>
  </w:style>
  <w:style w:type="paragraph" w:customStyle="1" w:styleId="381">
    <w:name w:val="xl111"/>
    <w:basedOn w:val="1"/>
    <w:autoRedefine/>
    <w:qFormat/>
    <w:uiPriority w:val="99"/>
    <w:pPr>
      <w:spacing w:before="100" w:beforeAutospacing="1" w:after="100" w:afterAutospacing="1"/>
    </w:pPr>
    <w:rPr>
      <w:rFonts w:ascii="Arial" w:hAnsi="Arial" w:cs="Arial"/>
      <w:sz w:val="20"/>
      <w:szCs w:val="20"/>
    </w:rPr>
  </w:style>
  <w:style w:type="paragraph" w:customStyle="1" w:styleId="382">
    <w:name w:val="xl123"/>
    <w:basedOn w:val="1"/>
    <w:autoRedefine/>
    <w:qFormat/>
    <w:uiPriority w:val="99"/>
    <w:pPr>
      <w:spacing w:before="100" w:beforeAutospacing="1" w:after="100" w:afterAutospacing="1"/>
      <w:jc w:val="center"/>
    </w:pPr>
    <w:rPr>
      <w:rFonts w:ascii="小标宋" w:hAnsi="宋体" w:eastAsia="小标宋" w:cs="宋体"/>
      <w:b/>
      <w:bCs/>
      <w:sz w:val="40"/>
      <w:szCs w:val="40"/>
    </w:rPr>
  </w:style>
  <w:style w:type="paragraph" w:customStyle="1" w:styleId="383">
    <w:name w:val="style1"/>
    <w:basedOn w:val="1"/>
    <w:autoRedefine/>
    <w:qFormat/>
    <w:uiPriority w:val="99"/>
    <w:pPr>
      <w:spacing w:before="100" w:beforeAutospacing="1" w:after="100" w:afterAutospacing="1"/>
    </w:pPr>
    <w:rPr>
      <w:rFonts w:ascii="宋体" w:hAnsi="宋体" w:cs="宋体"/>
      <w:sz w:val="21"/>
      <w:szCs w:val="21"/>
    </w:rPr>
  </w:style>
  <w:style w:type="paragraph" w:customStyle="1" w:styleId="384">
    <w:name w:val="文本1"/>
    <w:basedOn w:val="1"/>
    <w:autoRedefine/>
    <w:qFormat/>
    <w:uiPriority w:val="99"/>
    <w:pPr>
      <w:widowControl w:val="0"/>
      <w:adjustRightInd w:val="0"/>
      <w:spacing w:line="312" w:lineRule="atLeast"/>
      <w:jc w:val="center"/>
      <w:textAlignment w:val="baseline"/>
    </w:pPr>
    <w:rPr>
      <w:sz w:val="18"/>
      <w:szCs w:val="20"/>
    </w:rPr>
  </w:style>
  <w:style w:type="paragraph" w:customStyle="1" w:styleId="385">
    <w:name w:val="Table Description"/>
    <w:next w:val="1"/>
    <w:autoRedefine/>
    <w:qFormat/>
    <w:uiPriority w:val="99"/>
    <w:pPr>
      <w:keepNext/>
      <w:snapToGrid w:val="0"/>
      <w:spacing w:before="160" w:after="80"/>
      <w:ind w:left="1134"/>
      <w:jc w:val="center"/>
    </w:pPr>
    <w:rPr>
      <w:rFonts w:ascii="Arial" w:hAnsi="Arial" w:eastAsia="黑体" w:cs="Arial"/>
      <w:sz w:val="18"/>
      <w:szCs w:val="18"/>
      <w:lang w:val="en-US" w:eastAsia="zh-CN" w:bidi="ar-SA"/>
    </w:rPr>
  </w:style>
  <w:style w:type="paragraph" w:customStyle="1" w:styleId="386">
    <w:name w:val="Item List"/>
    <w:autoRedefine/>
    <w:qFormat/>
    <w:uiPriority w:val="99"/>
    <w:pPr>
      <w:numPr>
        <w:ilvl w:val="0"/>
        <w:numId w:val="14"/>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387">
    <w:name w:val="首行缩进 1"/>
    <w:basedOn w:val="1"/>
    <w:autoRedefine/>
    <w:qFormat/>
    <w:uiPriority w:val="99"/>
    <w:pPr>
      <w:widowControl w:val="0"/>
      <w:spacing w:after="120" w:line="360" w:lineRule="auto"/>
      <w:ind w:firstLine="200" w:firstLineChars="200"/>
      <w:jc w:val="both"/>
    </w:pPr>
    <w:rPr>
      <w:kern w:val="2"/>
    </w:rPr>
  </w:style>
  <w:style w:type="paragraph" w:customStyle="1" w:styleId="388">
    <w:name w:val="font10"/>
    <w:basedOn w:val="1"/>
    <w:autoRedefine/>
    <w:qFormat/>
    <w:uiPriority w:val="99"/>
    <w:pPr>
      <w:spacing w:before="100" w:beforeAutospacing="1" w:after="100" w:afterAutospacing="1"/>
    </w:pPr>
    <w:rPr>
      <w:rFonts w:ascii="宋体" w:hAnsi="宋体" w:cs="宋体"/>
      <w:color w:val="000000"/>
      <w:sz w:val="20"/>
      <w:szCs w:val="20"/>
    </w:rPr>
  </w:style>
  <w:style w:type="paragraph" w:customStyle="1" w:styleId="389">
    <w:name w:val="样式 正文文本缩进正文文字首行缩进HD正文1特点标题上海中望标准PI正文普通文字正文小标题正文文字缩进 + 首行..."/>
    <w:basedOn w:val="27"/>
    <w:autoRedefine/>
    <w:qFormat/>
    <w:uiPriority w:val="99"/>
    <w:pPr>
      <w:spacing w:line="360" w:lineRule="auto"/>
      <w:ind w:left="0" w:leftChars="0" w:firstLine="480"/>
    </w:pPr>
    <w:rPr>
      <w:rFonts w:hAnsi="Times New Roman" w:cs="宋体"/>
      <w:color w:val="008000"/>
      <w:szCs w:val="20"/>
    </w:rPr>
  </w:style>
  <w:style w:type="paragraph" w:customStyle="1" w:styleId="390">
    <w:name w:val="正文2"/>
    <w:basedOn w:val="1"/>
    <w:autoRedefine/>
    <w:qFormat/>
    <w:uiPriority w:val="99"/>
    <w:pPr>
      <w:widowControl w:val="0"/>
      <w:spacing w:before="156" w:line="360" w:lineRule="auto"/>
      <w:ind w:firstLine="510" w:firstLineChars="200"/>
      <w:jc w:val="both"/>
    </w:pPr>
    <w:rPr>
      <w:kern w:val="2"/>
      <w:szCs w:val="20"/>
    </w:rPr>
  </w:style>
  <w:style w:type="paragraph" w:customStyle="1" w:styleId="391">
    <w:name w:val="样式 左侧:  6 字符 段前: 0.5 行 段后: 0.5 行"/>
    <w:basedOn w:val="1"/>
    <w:autoRedefine/>
    <w:qFormat/>
    <w:uiPriority w:val="99"/>
    <w:pPr>
      <w:widowControl w:val="0"/>
      <w:snapToGrid w:val="0"/>
      <w:spacing w:beforeLines="50" w:afterLines="50" w:line="360" w:lineRule="auto"/>
      <w:ind w:left="1260" w:leftChars="600"/>
      <w:jc w:val="both"/>
    </w:pPr>
    <w:rPr>
      <w:rFonts w:cs="宋体"/>
      <w:kern w:val="2"/>
      <w:sz w:val="21"/>
      <w:szCs w:val="20"/>
    </w:rPr>
  </w:style>
  <w:style w:type="paragraph" w:customStyle="1" w:styleId="392">
    <w:name w:val="Char Char Char Char Char"/>
    <w:basedOn w:val="1"/>
    <w:autoRedefine/>
    <w:qFormat/>
    <w:uiPriority w:val="99"/>
    <w:pPr>
      <w:widowControl w:val="0"/>
      <w:autoSpaceDE w:val="0"/>
      <w:autoSpaceDN w:val="0"/>
      <w:adjustRightInd w:val="0"/>
    </w:pPr>
    <w:rPr>
      <w:rFonts w:ascii="Tahoma" w:hAnsi="Tahoma"/>
      <w:szCs w:val="20"/>
    </w:rPr>
  </w:style>
  <w:style w:type="paragraph" w:customStyle="1" w:styleId="39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394">
    <w:name w:val="xl72"/>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16"/>
      <w:szCs w:val="16"/>
    </w:rPr>
  </w:style>
  <w:style w:type="paragraph" w:customStyle="1" w:styleId="395">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96">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97">
    <w:name w:val="xl51"/>
    <w:basedOn w:val="1"/>
    <w:autoRedefine/>
    <w:qFormat/>
    <w:uiPriority w:val="99"/>
    <w:pPr>
      <w:pBdr>
        <w:bottom w:val="single" w:color="auto" w:sz="4" w:space="0"/>
        <w:right w:val="single" w:color="auto" w:sz="4" w:space="0"/>
      </w:pBdr>
      <w:spacing w:before="100" w:beforeAutospacing="1" w:after="100" w:afterAutospacing="1"/>
      <w:jc w:val="both"/>
      <w:textAlignment w:val="center"/>
    </w:pPr>
    <w:rPr>
      <w:rFonts w:ascii="Arial" w:hAnsi="Arial" w:cs="Arial"/>
      <w:sz w:val="21"/>
      <w:szCs w:val="21"/>
    </w:rPr>
  </w:style>
  <w:style w:type="paragraph" w:customStyle="1" w:styleId="398">
    <w:name w:val="列出段落111"/>
    <w:basedOn w:val="1"/>
    <w:autoRedefine/>
    <w:qFormat/>
    <w:uiPriority w:val="99"/>
    <w:pPr>
      <w:widowControl w:val="0"/>
      <w:ind w:firstLine="420" w:firstLineChars="200"/>
      <w:jc w:val="both"/>
    </w:pPr>
    <w:rPr>
      <w:rFonts w:ascii="Calibri" w:hAnsi="Calibri"/>
      <w:kern w:val="2"/>
      <w:sz w:val="21"/>
      <w:szCs w:val="22"/>
    </w:rPr>
  </w:style>
  <w:style w:type="paragraph" w:customStyle="1" w:styleId="399">
    <w:name w:val="样式 标题 2 + 首行缩进:  2 字符"/>
    <w:basedOn w:val="5"/>
    <w:autoRedefine/>
    <w:qFormat/>
    <w:uiPriority w:val="99"/>
    <w:pPr>
      <w:keepNext/>
      <w:keepLines/>
      <w:tabs>
        <w:tab w:val="left" w:pos="720"/>
        <w:tab w:val="clear" w:pos="0"/>
      </w:tabs>
      <w:spacing w:before="240" w:after="140"/>
      <w:ind w:firstLine="790" w:firstLineChars="246"/>
      <w:contextualSpacing w:val="0"/>
    </w:pPr>
    <w:rPr>
      <w:rFonts w:ascii="Arial" w:hAnsi="Arial" w:eastAsia="仿宋_GB2312" w:cs="宋体"/>
      <w:bCs/>
      <w:color w:val="auto"/>
      <w:spacing w:val="0"/>
      <w:sz w:val="32"/>
      <w:szCs w:val="24"/>
    </w:rPr>
  </w:style>
  <w:style w:type="paragraph" w:customStyle="1" w:styleId="400">
    <w:name w:val="xl87"/>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1">
    <w:name w:val="xl91"/>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2">
    <w:name w:val="xl95"/>
    <w:basedOn w:val="1"/>
    <w:autoRedefine/>
    <w:qFormat/>
    <w:uiPriority w:val="0"/>
    <w:pPr>
      <w:pBdr>
        <w:top w:val="single" w:color="auto" w:sz="4" w:space="0"/>
        <w:left w:val="single" w:color="auto" w:sz="4" w:space="0"/>
      </w:pBdr>
      <w:spacing w:before="100" w:beforeAutospacing="1" w:after="100" w:afterAutospacing="1"/>
    </w:pPr>
    <w:rPr>
      <w:rFonts w:ascii="宋体" w:hAnsi="宋体" w:cs="宋体"/>
      <w:sz w:val="20"/>
      <w:szCs w:val="20"/>
    </w:rPr>
  </w:style>
  <w:style w:type="paragraph" w:customStyle="1" w:styleId="403">
    <w:name w:val="xl99"/>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4">
    <w:name w:val="xl10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405">
    <w:name w:val="xl112"/>
    <w:basedOn w:val="1"/>
    <w:autoRedefine/>
    <w:qFormat/>
    <w:uiPriority w:val="99"/>
    <w:pPr>
      <w:pBdr>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6">
    <w:name w:val="xl115"/>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Arial" w:hAnsi="Arial" w:cs="Arial"/>
      <w:b/>
      <w:bCs/>
      <w:sz w:val="20"/>
      <w:szCs w:val="20"/>
    </w:rPr>
  </w:style>
  <w:style w:type="paragraph" w:customStyle="1" w:styleId="407">
    <w:name w:val="xl12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408">
    <w:name w:val="_Style 198"/>
    <w:next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09">
    <w:name w:val="Char Char1 Char Char Char Char Char Char Char Char Char Char Char Char Char Char"/>
    <w:basedOn w:val="1"/>
    <w:autoRedefine/>
    <w:qFormat/>
    <w:uiPriority w:val="99"/>
    <w:pPr>
      <w:spacing w:after="160" w:line="240" w:lineRule="exact"/>
    </w:pPr>
    <w:rPr>
      <w:rFonts w:ascii="Verdana" w:hAnsi="Verdana"/>
      <w:sz w:val="20"/>
      <w:szCs w:val="20"/>
      <w:lang w:eastAsia="en-US"/>
    </w:rPr>
  </w:style>
  <w:style w:type="paragraph" w:customStyle="1" w:styleId="410">
    <w:name w:val="附录3"/>
    <w:basedOn w:val="1"/>
    <w:next w:val="1"/>
    <w:autoRedefine/>
    <w:qFormat/>
    <w:uiPriority w:val="99"/>
    <w:pPr>
      <w:widowControl w:val="0"/>
      <w:tabs>
        <w:tab w:val="left" w:pos="851"/>
      </w:tabs>
      <w:ind w:left="425" w:hanging="425"/>
      <w:jc w:val="both"/>
      <w:outlineLvl w:val="2"/>
    </w:pPr>
    <w:rPr>
      <w:rFonts w:eastAsia="黑体"/>
      <w:b/>
      <w:bCs/>
      <w:kern w:val="2"/>
      <w:sz w:val="32"/>
    </w:rPr>
  </w:style>
  <w:style w:type="paragraph" w:customStyle="1" w:styleId="411">
    <w:name w:val="可研正文"/>
    <w:basedOn w:val="8"/>
    <w:autoRedefine/>
    <w:qFormat/>
    <w:uiPriority w:val="99"/>
    <w:pPr>
      <w:adjustRightInd w:val="0"/>
      <w:snapToGrid w:val="0"/>
      <w:spacing w:after="0" w:line="440" w:lineRule="exact"/>
      <w:ind w:firstLine="567" w:firstLineChars="0"/>
    </w:pPr>
    <w:rPr>
      <w:rFonts w:ascii="仿宋_GB2312" w:eastAsia="仿宋_GB2312"/>
      <w:sz w:val="28"/>
      <w:szCs w:val="20"/>
    </w:rPr>
  </w:style>
  <w:style w:type="paragraph" w:customStyle="1" w:styleId="412">
    <w:name w:val="样式 标题 1章标题Heading 0Section HeadPIM 1H1h11st levell11H1..."/>
    <w:basedOn w:val="3"/>
    <w:autoRedefine/>
    <w:qFormat/>
    <w:uiPriority w:val="99"/>
    <w:pPr>
      <w:keepNext/>
      <w:keepLines/>
      <w:pageBreakBefore/>
      <w:tabs>
        <w:tab w:val="left" w:pos="432"/>
        <w:tab w:val="clear" w:pos="0"/>
      </w:tabs>
      <w:autoSpaceDE w:val="0"/>
      <w:autoSpaceDN w:val="0"/>
      <w:adjustRightInd w:val="0"/>
      <w:snapToGrid w:val="0"/>
      <w:spacing w:before="340" w:after="330" w:line="578" w:lineRule="atLeast"/>
      <w:contextualSpacing w:val="0"/>
      <w:textAlignment w:val="bottom"/>
    </w:pPr>
    <w:rPr>
      <w:rFonts w:ascii="宋体" w:hAnsi="宋体" w:eastAsia="黑体"/>
      <w:color w:val="auto"/>
      <w:spacing w:val="0"/>
      <w:kern w:val="44"/>
      <w:sz w:val="36"/>
      <w:szCs w:val="24"/>
    </w:rPr>
  </w:style>
  <w:style w:type="paragraph" w:customStyle="1" w:styleId="413">
    <w:name w:val="正文4"/>
    <w:basedOn w:val="1"/>
    <w:autoRedefine/>
    <w:qFormat/>
    <w:uiPriority w:val="99"/>
    <w:pPr>
      <w:widowControl w:val="0"/>
      <w:numPr>
        <w:ilvl w:val="0"/>
        <w:numId w:val="15"/>
      </w:numPr>
      <w:tabs>
        <w:tab w:val="left" w:pos="425"/>
      </w:tabs>
      <w:spacing w:before="60" w:after="60" w:line="360" w:lineRule="auto"/>
      <w:ind w:left="820" w:leftChars="400" w:firstLine="0"/>
      <w:jc w:val="both"/>
    </w:pPr>
    <w:rPr>
      <w:kern w:val="2"/>
    </w:rPr>
  </w:style>
  <w:style w:type="paragraph" w:customStyle="1" w:styleId="414">
    <w:name w:val="正文表格"/>
    <w:basedOn w:val="1"/>
    <w:autoRedefine/>
    <w:qFormat/>
    <w:uiPriority w:val="99"/>
    <w:pPr>
      <w:widowControl w:val="0"/>
      <w:adjustRightInd w:val="0"/>
      <w:spacing w:before="40" w:after="40"/>
      <w:jc w:val="both"/>
    </w:pPr>
    <w:rPr>
      <w:kern w:val="2"/>
      <w:szCs w:val="20"/>
    </w:rPr>
  </w:style>
  <w:style w:type="paragraph" w:customStyle="1" w:styleId="415">
    <w:name w:val="xl53"/>
    <w:basedOn w:val="1"/>
    <w:autoRedefine/>
    <w:qFormat/>
    <w:uiPriority w:val="99"/>
    <w:pPr>
      <w:pBdr>
        <w:left w:val="single" w:color="auto" w:sz="4" w:space="0"/>
        <w:bottom w:val="single" w:color="auto" w:sz="4" w:space="0"/>
      </w:pBdr>
      <w:spacing w:before="100" w:beforeAutospacing="1" w:after="100" w:afterAutospacing="1"/>
      <w:jc w:val="center"/>
      <w:textAlignment w:val="center"/>
    </w:pPr>
    <w:rPr>
      <w:rFonts w:ascii="宋体" w:hAnsi="宋体"/>
    </w:rPr>
  </w:style>
  <w:style w:type="paragraph" w:customStyle="1" w:styleId="416">
    <w:name w:val="Title - Date"/>
    <w:basedOn w:val="63"/>
    <w:next w:val="1"/>
    <w:qFormat/>
    <w:uiPriority w:val="99"/>
    <w:pPr>
      <w:spacing w:before="240" w:after="720" w:line="360" w:lineRule="auto"/>
      <w:contextualSpacing w:val="0"/>
      <w:jc w:val="center"/>
    </w:pPr>
    <w:rPr>
      <w:rFonts w:ascii="Arial" w:hAnsi="Arial"/>
      <w:color w:val="auto"/>
      <w:spacing w:val="0"/>
      <w:kern w:val="28"/>
      <w:sz w:val="28"/>
      <w:szCs w:val="20"/>
    </w:rPr>
  </w:style>
  <w:style w:type="paragraph" w:customStyle="1" w:styleId="417">
    <w:name w:val="普通正文"/>
    <w:basedOn w:val="1"/>
    <w:autoRedefine/>
    <w:qFormat/>
    <w:uiPriority w:val="99"/>
    <w:pPr>
      <w:widowControl w:val="0"/>
      <w:adjustRightInd w:val="0"/>
      <w:spacing w:before="120" w:after="120" w:line="360" w:lineRule="auto"/>
      <w:ind w:firstLine="480"/>
      <w:textAlignment w:val="baseline"/>
    </w:pPr>
    <w:rPr>
      <w:rFonts w:ascii="Arial" w:hAnsi="Arial"/>
    </w:rPr>
  </w:style>
  <w:style w:type="paragraph" w:customStyle="1" w:styleId="418">
    <w:name w:val="content"/>
    <w:basedOn w:val="1"/>
    <w:qFormat/>
    <w:uiPriority w:val="99"/>
    <w:pPr>
      <w:spacing w:before="100" w:beforeAutospacing="1" w:after="100" w:afterAutospacing="1" w:line="280" w:lineRule="atLeast"/>
      <w:ind w:firstLine="375"/>
    </w:pPr>
    <w:rPr>
      <w:rFonts w:ascii="宋体" w:hAnsi="宋体" w:cs="宋体"/>
      <w:color w:val="000000"/>
      <w:sz w:val="18"/>
      <w:szCs w:val="18"/>
    </w:rPr>
  </w:style>
  <w:style w:type="paragraph" w:customStyle="1" w:styleId="419">
    <w:name w:val="CSS1级正文 Char"/>
    <w:basedOn w:val="8"/>
    <w:autoRedefine/>
    <w:qFormat/>
    <w:uiPriority w:val="99"/>
    <w:pPr>
      <w:adjustRightInd w:val="0"/>
      <w:snapToGrid w:val="0"/>
      <w:spacing w:after="0" w:line="360" w:lineRule="auto"/>
      <w:ind w:firstLine="480" w:firstLineChars="0"/>
    </w:pPr>
    <w:rPr>
      <w:sz w:val="21"/>
    </w:rPr>
  </w:style>
  <w:style w:type="paragraph" w:customStyle="1" w:styleId="420">
    <w:name w:val="样式 行距: 1.5 倍行距1"/>
    <w:basedOn w:val="1"/>
    <w:autoRedefine/>
    <w:qFormat/>
    <w:uiPriority w:val="99"/>
    <w:pPr>
      <w:widowControl w:val="0"/>
      <w:snapToGrid w:val="0"/>
      <w:jc w:val="both"/>
    </w:pPr>
    <w:rPr>
      <w:rFonts w:cs="宋体"/>
      <w:kern w:val="2"/>
      <w:sz w:val="21"/>
      <w:szCs w:val="21"/>
    </w:rPr>
  </w:style>
  <w:style w:type="paragraph" w:customStyle="1" w:styleId="421">
    <w:name w:val="Char1 Char Char Char Char Char Char Char Char Char"/>
    <w:basedOn w:val="1"/>
    <w:autoRedefine/>
    <w:qFormat/>
    <w:uiPriority w:val="99"/>
    <w:pPr>
      <w:widowControl w:val="0"/>
      <w:jc w:val="both"/>
    </w:pPr>
    <w:rPr>
      <w:rFonts w:ascii="Tahoma" w:hAnsi="Tahoma"/>
      <w:kern w:val="2"/>
      <w:szCs w:val="20"/>
    </w:rPr>
  </w:style>
  <w:style w:type="paragraph" w:customStyle="1" w:styleId="422">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423">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24">
    <w:name w:val="xl33"/>
    <w:basedOn w:val="1"/>
    <w:autoRedefine/>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sz w:val="20"/>
      <w:szCs w:val="20"/>
    </w:rPr>
  </w:style>
  <w:style w:type="paragraph" w:customStyle="1" w:styleId="425">
    <w:name w:val="xl37"/>
    <w:basedOn w:val="1"/>
    <w:autoRedefine/>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sz w:val="20"/>
      <w:szCs w:val="20"/>
    </w:rPr>
  </w:style>
  <w:style w:type="paragraph" w:customStyle="1" w:styleId="426">
    <w:name w:val="xl42"/>
    <w:basedOn w:val="1"/>
    <w:autoRedefine/>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sz w:val="20"/>
      <w:szCs w:val="20"/>
    </w:rPr>
  </w:style>
  <w:style w:type="paragraph" w:customStyle="1" w:styleId="427">
    <w:name w:val="xl46"/>
    <w:basedOn w:val="1"/>
    <w:autoRedefine/>
    <w:qFormat/>
    <w:uiPriority w:val="99"/>
    <w:pPr>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cs="宋体"/>
      <w:b/>
      <w:bCs/>
      <w:sz w:val="20"/>
      <w:szCs w:val="20"/>
    </w:rPr>
  </w:style>
  <w:style w:type="paragraph" w:customStyle="1" w:styleId="428">
    <w:name w:val="xl50"/>
    <w:basedOn w:val="1"/>
    <w:autoRedefine/>
    <w:qFormat/>
    <w:uiPriority w:val="99"/>
    <w:pPr>
      <w:pBdr>
        <w:left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429">
    <w:name w:val="xl58"/>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430">
    <w:name w:val="xl62"/>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31">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1"/>
      <w:szCs w:val="21"/>
    </w:rPr>
  </w:style>
  <w:style w:type="paragraph" w:customStyle="1" w:styleId="432">
    <w:name w:val="样式 标题 4 + 宋体 五号 行距: 多倍行距 1.25 字行"/>
    <w:basedOn w:val="7"/>
    <w:autoRedefine/>
    <w:qFormat/>
    <w:uiPriority w:val="99"/>
    <w:pPr>
      <w:keepNext/>
      <w:keepLines/>
      <w:pBdr>
        <w:bottom w:val="none" w:color="auto" w:sz="0" w:space="0"/>
      </w:pBdr>
      <w:spacing w:before="280" w:after="290" w:line="300" w:lineRule="auto"/>
      <w:contextualSpacing w:val="0"/>
    </w:pPr>
    <w:rPr>
      <w:rFonts w:ascii="宋体" w:hAnsi="宋体"/>
      <w:color w:val="auto"/>
      <w:spacing w:val="0"/>
    </w:rPr>
  </w:style>
  <w:style w:type="paragraph" w:customStyle="1" w:styleId="433">
    <w:name w:val="标题11"/>
    <w:basedOn w:val="3"/>
    <w:autoRedefine/>
    <w:qFormat/>
    <w:uiPriority w:val="99"/>
    <w:pPr>
      <w:keepNext/>
      <w:keepLines/>
      <w:tabs>
        <w:tab w:val="left" w:pos="360"/>
        <w:tab w:val="clear" w:pos="0"/>
      </w:tabs>
      <w:spacing w:beforeLines="50" w:after="120" w:line="300" w:lineRule="auto"/>
      <w:contextualSpacing w:val="0"/>
      <w:jc w:val="center"/>
    </w:pPr>
    <w:rPr>
      <w:rFonts w:ascii="Times New Roman" w:hAnsi="Times New Roman" w:eastAsia="黑体"/>
      <w:color w:val="auto"/>
      <w:spacing w:val="6"/>
      <w:kern w:val="44"/>
      <w:sz w:val="36"/>
      <w:szCs w:val="24"/>
    </w:rPr>
  </w:style>
  <w:style w:type="paragraph" w:customStyle="1" w:styleId="434">
    <w:name w:val="样式5"/>
    <w:basedOn w:val="265"/>
    <w:autoRedefine/>
    <w:qFormat/>
    <w:uiPriority w:val="99"/>
  </w:style>
  <w:style w:type="paragraph" w:customStyle="1" w:styleId="435">
    <w:name w:val="样式 小四 行距: 1.5 倍行距 首行缩进:  2 字符"/>
    <w:basedOn w:val="1"/>
    <w:autoRedefine/>
    <w:qFormat/>
    <w:uiPriority w:val="99"/>
    <w:pPr>
      <w:widowControl w:val="0"/>
      <w:spacing w:line="360" w:lineRule="auto"/>
      <w:ind w:firstLine="480" w:firstLineChars="200"/>
      <w:jc w:val="both"/>
    </w:pPr>
    <w:rPr>
      <w:rFonts w:cs="宋体"/>
      <w:kern w:val="2"/>
      <w:szCs w:val="20"/>
    </w:rPr>
  </w:style>
  <w:style w:type="paragraph" w:customStyle="1" w:styleId="436">
    <w:name w:val="Microsoft"/>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7">
    <w:name w:val="my正文"/>
    <w:autoRedefine/>
    <w:qFormat/>
    <w:uiPriority w:val="99"/>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438">
    <w:name w:val="font8"/>
    <w:basedOn w:val="1"/>
    <w:autoRedefine/>
    <w:qFormat/>
    <w:uiPriority w:val="99"/>
    <w:pPr>
      <w:spacing w:before="100" w:beforeAutospacing="1" w:after="100" w:afterAutospacing="1"/>
    </w:pPr>
    <w:rPr>
      <w:rFonts w:ascii="宋体" w:hAnsi="宋体" w:cs="宋体"/>
      <w:sz w:val="16"/>
      <w:szCs w:val="16"/>
    </w:rPr>
  </w:style>
  <w:style w:type="paragraph" w:customStyle="1" w:styleId="439">
    <w:name w:val="xl110"/>
    <w:basedOn w:val="1"/>
    <w:autoRedefine/>
    <w:qFormat/>
    <w:uiPriority w:val="99"/>
    <w:pPr>
      <w:spacing w:before="100" w:beforeAutospacing="1" w:after="100" w:afterAutospacing="1"/>
      <w:jc w:val="center"/>
      <w:textAlignment w:val="bottom"/>
    </w:pPr>
    <w:rPr>
      <w:rFonts w:ascii="Arial" w:hAnsi="Arial" w:cs="Arial"/>
      <w:sz w:val="20"/>
      <w:szCs w:val="20"/>
    </w:rPr>
  </w:style>
  <w:style w:type="paragraph" w:customStyle="1" w:styleId="440">
    <w:name w:val="xl118"/>
    <w:basedOn w:val="1"/>
    <w:autoRedefine/>
    <w:qFormat/>
    <w:uiPriority w:val="99"/>
    <w:pPr>
      <w:spacing w:before="100" w:beforeAutospacing="1" w:after="100" w:afterAutospacing="1"/>
    </w:pPr>
    <w:rPr>
      <w:rFonts w:ascii="Arial" w:hAnsi="Arial" w:cs="Arial"/>
      <w:sz w:val="20"/>
      <w:szCs w:val="20"/>
    </w:rPr>
  </w:style>
  <w:style w:type="paragraph" w:customStyle="1" w:styleId="441">
    <w:name w:val="xl122"/>
    <w:basedOn w:val="1"/>
    <w:autoRedefine/>
    <w:qFormat/>
    <w:uiPriority w:val="99"/>
    <w:pPr>
      <w:spacing w:before="100" w:beforeAutospacing="1" w:after="100" w:afterAutospacing="1"/>
    </w:pPr>
    <w:rPr>
      <w:rFonts w:ascii="Arial" w:hAnsi="Arial" w:cs="Arial"/>
      <w:sz w:val="32"/>
      <w:szCs w:val="32"/>
    </w:rPr>
  </w:style>
  <w:style w:type="paragraph" w:customStyle="1" w:styleId="442">
    <w:name w:val="Item Step"/>
    <w:qFormat/>
    <w:uiPriority w:val="99"/>
    <w:pPr>
      <w:tabs>
        <w:tab w:val="left" w:pos="1644"/>
      </w:tabs>
      <w:ind w:left="1644" w:hanging="510"/>
      <w:outlineLvl w:val="4"/>
    </w:pPr>
    <w:rPr>
      <w:rFonts w:ascii="Arial" w:hAnsi="Arial" w:eastAsia="宋体" w:cs="Arial"/>
      <w:sz w:val="21"/>
      <w:szCs w:val="21"/>
      <w:lang w:val="en-US" w:eastAsia="zh-CN" w:bidi="ar-SA"/>
    </w:rPr>
  </w:style>
  <w:style w:type="paragraph" w:customStyle="1" w:styleId="443">
    <w:name w:val="正文文本缩进 21"/>
    <w:basedOn w:val="1"/>
    <w:autoRedefine/>
    <w:qFormat/>
    <w:uiPriority w:val="99"/>
    <w:pPr>
      <w:widowControl w:val="0"/>
      <w:adjustRightInd w:val="0"/>
      <w:spacing w:before="120"/>
      <w:ind w:firstLine="420"/>
      <w:jc w:val="both"/>
      <w:textAlignment w:val="baseline"/>
    </w:pPr>
    <w:rPr>
      <w:kern w:val="2"/>
      <w:szCs w:val="20"/>
    </w:rPr>
  </w:style>
  <w:style w:type="paragraph" w:customStyle="1" w:styleId="444">
    <w:name w:val="段落正文"/>
    <w:basedOn w:val="1"/>
    <w:autoRedefine/>
    <w:qFormat/>
    <w:uiPriority w:val="99"/>
    <w:pPr>
      <w:widowControl w:val="0"/>
      <w:spacing w:beforeLines="50" w:line="360" w:lineRule="auto"/>
      <w:ind w:firstLine="200" w:firstLineChars="200"/>
      <w:jc w:val="both"/>
    </w:pPr>
    <w:rPr>
      <w:spacing w:val="2"/>
      <w:kern w:val="2"/>
    </w:rPr>
  </w:style>
  <w:style w:type="paragraph" w:customStyle="1" w:styleId="445">
    <w:name w:val="编号正文"/>
    <w:basedOn w:val="189"/>
    <w:autoRedefine/>
    <w:qFormat/>
    <w:uiPriority w:val="99"/>
    <w:pPr>
      <w:spacing w:line="360" w:lineRule="auto"/>
      <w:ind w:left="1407" w:hanging="1047" w:firstLineChars="0"/>
      <w:jc w:val="left"/>
    </w:pPr>
    <w:rPr>
      <w:rFonts w:ascii="Arial Narrow" w:hAnsi="Arial Narrow" w:eastAsia="仿宋_GB2312"/>
      <w:sz w:val="24"/>
      <w:szCs w:val="24"/>
    </w:rPr>
  </w:style>
  <w:style w:type="paragraph" w:customStyle="1" w:styleId="446">
    <w:name w:val="a0"/>
    <w:basedOn w:val="1"/>
    <w:autoRedefine/>
    <w:qFormat/>
    <w:uiPriority w:val="99"/>
    <w:pPr>
      <w:spacing w:before="100" w:beforeAutospacing="1" w:after="100" w:afterAutospacing="1"/>
    </w:pPr>
    <w:rPr>
      <w:rFonts w:ascii="宋体" w:hAnsi="宋体" w:cs="宋体"/>
    </w:rPr>
  </w:style>
  <w:style w:type="paragraph" w:customStyle="1" w:styleId="447">
    <w:name w:val="DAS列表二"/>
    <w:basedOn w:val="267"/>
    <w:next w:val="267"/>
    <w:autoRedefine/>
    <w:qFormat/>
    <w:uiPriority w:val="99"/>
    <w:pPr>
      <w:numPr>
        <w:ilvl w:val="0"/>
        <w:numId w:val="16"/>
      </w:numPr>
      <w:ind w:left="0" w:firstLine="360" w:firstLineChars="0"/>
    </w:pPr>
  </w:style>
  <w:style w:type="paragraph" w:customStyle="1" w:styleId="448">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44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16"/>
      <w:szCs w:val="16"/>
    </w:rPr>
  </w:style>
  <w:style w:type="paragraph" w:customStyle="1" w:styleId="450">
    <w:name w:val="xl7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16"/>
      <w:szCs w:val="16"/>
    </w:rPr>
  </w:style>
  <w:style w:type="paragraph" w:customStyle="1" w:styleId="451">
    <w:name w:val="xl83"/>
    <w:basedOn w:val="1"/>
    <w:autoRedefine/>
    <w:qFormat/>
    <w:uiPriority w:val="0"/>
    <w:pPr>
      <w:pBdr>
        <w:top w:val="single" w:color="auto" w:sz="4" w:space="0"/>
      </w:pBdr>
      <w:spacing w:before="100" w:beforeAutospacing="1" w:after="100" w:afterAutospacing="1"/>
    </w:pPr>
    <w:rPr>
      <w:rFonts w:ascii="宋体" w:hAnsi="宋体" w:cs="宋体"/>
      <w:sz w:val="16"/>
      <w:szCs w:val="16"/>
    </w:rPr>
  </w:style>
  <w:style w:type="paragraph" w:customStyle="1" w:styleId="452">
    <w:name w:val="Char Char Char Char Char Char Char Char Char Char Char Char Char2"/>
    <w:basedOn w:val="1"/>
    <w:autoRedefine/>
    <w:qFormat/>
    <w:uiPriority w:val="99"/>
    <w:pPr>
      <w:widowControl w:val="0"/>
      <w:jc w:val="both"/>
    </w:pPr>
    <w:rPr>
      <w:sz w:val="20"/>
      <w:szCs w:val="20"/>
    </w:rPr>
  </w:style>
  <w:style w:type="paragraph" w:customStyle="1" w:styleId="453">
    <w:name w:val="样式 标题 2h2sect 1.2H2UNDERRUBRIK 1-2hhHeading TwoProphead 2..."/>
    <w:basedOn w:val="5"/>
    <w:autoRedefine/>
    <w:qFormat/>
    <w:uiPriority w:val="99"/>
    <w:pPr>
      <w:keepLines/>
      <w:numPr>
        <w:ilvl w:val="1"/>
        <w:numId w:val="17"/>
      </w:numPr>
      <w:tabs>
        <w:tab w:val="clear" w:pos="0"/>
      </w:tabs>
      <w:spacing w:before="312" w:after="312" w:line="360" w:lineRule="auto"/>
      <w:contextualSpacing w:val="0"/>
    </w:pPr>
    <w:rPr>
      <w:rFonts w:ascii="黑体" w:hAnsi="宋体" w:eastAsia="黑体"/>
      <w:bCs/>
      <w:color w:val="auto"/>
      <w:spacing w:val="0"/>
      <w:sz w:val="30"/>
      <w:szCs w:val="30"/>
    </w:rPr>
  </w:style>
  <w:style w:type="paragraph" w:customStyle="1" w:styleId="454">
    <w:name w:val="xl8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5">
    <w:name w:val="xl90"/>
    <w:basedOn w:val="1"/>
    <w:autoRedefine/>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456">
    <w:name w:val="xl94"/>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sz w:val="20"/>
      <w:szCs w:val="20"/>
    </w:rPr>
  </w:style>
  <w:style w:type="paragraph" w:customStyle="1" w:styleId="457">
    <w:name w:val="xl98"/>
    <w:basedOn w:val="1"/>
    <w:autoRedefine/>
    <w:qFormat/>
    <w:uiPriority w:val="99"/>
    <w:pPr>
      <w:pBdr>
        <w:top w:val="single" w:color="auto" w:sz="4" w:space="0"/>
        <w:left w:val="single" w:color="auto" w:sz="4" w:space="0"/>
        <w:bottom w:val="single" w:color="auto" w:sz="4" w:space="0"/>
      </w:pBdr>
      <w:spacing w:before="100" w:beforeAutospacing="1" w:after="100" w:afterAutospacing="1"/>
    </w:pPr>
    <w:rPr>
      <w:rFonts w:ascii="宋体" w:hAnsi="宋体" w:cs="宋体"/>
      <w:sz w:val="20"/>
      <w:szCs w:val="20"/>
    </w:rPr>
  </w:style>
  <w:style w:type="paragraph" w:customStyle="1" w:styleId="458">
    <w:name w:val="xl102"/>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9">
    <w:name w:val="xl10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460">
    <w:name w:val="xl11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20"/>
      <w:szCs w:val="20"/>
    </w:rPr>
  </w:style>
  <w:style w:type="paragraph" w:customStyle="1" w:styleId="461">
    <w:name w:val="xl11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20"/>
      <w:szCs w:val="20"/>
    </w:rPr>
  </w:style>
  <w:style w:type="paragraph" w:customStyle="1" w:styleId="462">
    <w:name w:val="xl12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463">
    <w:name w:val="xl130"/>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16"/>
      <w:szCs w:val="16"/>
    </w:rPr>
  </w:style>
  <w:style w:type="paragraph" w:customStyle="1" w:styleId="464">
    <w:name w:val="附录2"/>
    <w:basedOn w:val="1"/>
    <w:next w:val="1"/>
    <w:autoRedefine/>
    <w:qFormat/>
    <w:uiPriority w:val="99"/>
    <w:pPr>
      <w:widowControl w:val="0"/>
      <w:tabs>
        <w:tab w:val="left" w:pos="425"/>
        <w:tab w:val="left" w:pos="624"/>
        <w:tab w:val="left" w:pos="1500"/>
      </w:tabs>
      <w:ind w:left="425" w:hanging="425"/>
      <w:jc w:val="both"/>
      <w:outlineLvl w:val="1"/>
    </w:pPr>
    <w:rPr>
      <w:rFonts w:ascii="黑体" w:hAnsi="黑体" w:eastAsia="黑体"/>
      <w:b/>
      <w:bCs/>
      <w:kern w:val="2"/>
      <w:sz w:val="32"/>
    </w:rPr>
  </w:style>
  <w:style w:type="paragraph" w:customStyle="1" w:styleId="465">
    <w:name w:val="操作步骤"/>
    <w:basedOn w:val="1"/>
    <w:autoRedefine/>
    <w:qFormat/>
    <w:uiPriority w:val="99"/>
    <w:pPr>
      <w:widowControl w:val="0"/>
      <w:numPr>
        <w:ilvl w:val="0"/>
        <w:numId w:val="18"/>
      </w:numPr>
      <w:tabs>
        <w:tab w:val="left" w:pos="425"/>
      </w:tabs>
      <w:autoSpaceDE w:val="0"/>
      <w:autoSpaceDN w:val="0"/>
      <w:adjustRightInd w:val="0"/>
      <w:snapToGrid w:val="0"/>
      <w:spacing w:line="40" w:lineRule="atLeast"/>
      <w:ind w:firstLine="0"/>
      <w:jc w:val="both"/>
      <w:textAlignment w:val="bottom"/>
    </w:pPr>
    <w:rPr>
      <w:rFonts w:ascii="昆仑楷体" w:eastAsia="楷体_GB2312"/>
      <w:sz w:val="21"/>
      <w:szCs w:val="20"/>
    </w:rPr>
  </w:style>
  <w:style w:type="paragraph" w:customStyle="1" w:styleId="466">
    <w:name w:val="表格1"/>
    <w:basedOn w:val="1"/>
    <w:next w:val="1"/>
    <w:autoRedefine/>
    <w:qFormat/>
    <w:uiPriority w:val="99"/>
    <w:pPr>
      <w:widowControl w:val="0"/>
      <w:kinsoku w:val="0"/>
      <w:wordWrap w:val="0"/>
      <w:overflowPunct w:val="0"/>
      <w:autoSpaceDE w:val="0"/>
      <w:autoSpaceDN w:val="0"/>
      <w:adjustRightInd w:val="0"/>
      <w:spacing w:line="288" w:lineRule="auto"/>
      <w:jc w:val="center"/>
      <w:textAlignment w:val="baseline"/>
    </w:pPr>
    <w:rPr>
      <w:rFonts w:ascii="宋体"/>
      <w:sz w:val="18"/>
      <w:szCs w:val="20"/>
    </w:rPr>
  </w:style>
  <w:style w:type="paragraph" w:customStyle="1" w:styleId="467">
    <w:name w:val="摘要"/>
    <w:basedOn w:val="1"/>
    <w:next w:val="5"/>
    <w:autoRedefine/>
    <w:qFormat/>
    <w:uiPriority w:val="99"/>
    <w:pPr>
      <w:widowControl w:val="0"/>
      <w:spacing w:line="360" w:lineRule="auto"/>
      <w:jc w:val="both"/>
    </w:pPr>
    <w:rPr>
      <w:rFonts w:eastAsia="黑体"/>
      <w:kern w:val="2"/>
      <w:sz w:val="20"/>
    </w:rPr>
  </w:style>
  <w:style w:type="paragraph" w:customStyle="1" w:styleId="468">
    <w:name w:val="表头样式"/>
    <w:basedOn w:val="1"/>
    <w:qFormat/>
    <w:uiPriority w:val="99"/>
    <w:pPr>
      <w:widowControl w:val="0"/>
      <w:autoSpaceDE w:val="0"/>
      <w:autoSpaceDN w:val="0"/>
      <w:adjustRightInd w:val="0"/>
      <w:spacing w:line="360" w:lineRule="auto"/>
    </w:pPr>
    <w:rPr>
      <w:b/>
      <w:bCs/>
      <w:sz w:val="21"/>
      <w:szCs w:val="21"/>
    </w:rPr>
  </w:style>
  <w:style w:type="paragraph" w:customStyle="1" w:styleId="469">
    <w:name w:val="标题3——2"/>
    <w:basedOn w:val="4"/>
    <w:next w:val="65"/>
    <w:autoRedefine/>
    <w:qFormat/>
    <w:uiPriority w:val="99"/>
    <w:pPr>
      <w:keepNext/>
      <w:keepLines/>
      <w:tabs>
        <w:tab w:val="left" w:pos="425"/>
        <w:tab w:val="right" w:leader="dot" w:pos="8777"/>
        <w:tab w:val="clear" w:pos="312"/>
      </w:tabs>
      <w:spacing w:beforeLines="100" w:after="0"/>
      <w:ind w:left="851" w:hanging="851"/>
      <w:contextualSpacing w:val="0"/>
      <w:outlineLvl w:val="9"/>
    </w:pPr>
    <w:rPr>
      <w:rFonts w:ascii="黑体" w:hAnsi="宋体" w:eastAsia="黑体"/>
      <w:bCs/>
      <w:color w:val="auto"/>
      <w:spacing w:val="0"/>
      <w:sz w:val="30"/>
      <w:szCs w:val="30"/>
    </w:rPr>
  </w:style>
  <w:style w:type="paragraph" w:customStyle="1" w:styleId="470">
    <w:name w:val="小标题 1"/>
    <w:basedOn w:val="1"/>
    <w:autoRedefine/>
    <w:qFormat/>
    <w:uiPriority w:val="99"/>
    <w:pPr>
      <w:widowControl w:val="0"/>
      <w:autoSpaceDE w:val="0"/>
      <w:autoSpaceDN w:val="0"/>
      <w:adjustRightInd w:val="0"/>
      <w:spacing w:line="360" w:lineRule="atLeast"/>
      <w:jc w:val="both"/>
    </w:pPr>
    <w:rPr>
      <w:rFonts w:ascii="文鼎粗黑" w:eastAsia="文鼎粗黑"/>
      <w:sz w:val="22"/>
      <w:szCs w:val="20"/>
    </w:rPr>
  </w:style>
  <w:style w:type="paragraph" w:customStyle="1" w:styleId="471">
    <w:name w:val="xl23"/>
    <w:basedOn w:val="1"/>
    <w:autoRedefine/>
    <w:qFormat/>
    <w:uiPriority w:val="99"/>
    <w:pPr>
      <w:spacing w:before="100" w:beforeAutospacing="1" w:after="100" w:afterAutospacing="1" w:line="360" w:lineRule="auto"/>
      <w:jc w:val="both"/>
      <w:textAlignment w:val="top"/>
    </w:pPr>
  </w:style>
  <w:style w:type="paragraph" w:customStyle="1" w:styleId="472">
    <w:name w:val="正文（首行不缩进）"/>
    <w:basedOn w:val="1"/>
    <w:autoRedefine/>
    <w:qFormat/>
    <w:uiPriority w:val="99"/>
    <w:pPr>
      <w:widowControl w:val="0"/>
      <w:autoSpaceDE w:val="0"/>
      <w:autoSpaceDN w:val="0"/>
      <w:adjustRightInd w:val="0"/>
      <w:spacing w:line="360" w:lineRule="auto"/>
    </w:pPr>
    <w:rPr>
      <w:sz w:val="21"/>
      <w:szCs w:val="20"/>
    </w:rPr>
  </w:style>
  <w:style w:type="paragraph" w:customStyle="1" w:styleId="473">
    <w:name w:val="文章正文"/>
    <w:basedOn w:val="1"/>
    <w:autoRedefine/>
    <w:qFormat/>
    <w:uiPriority w:val="99"/>
    <w:pPr>
      <w:widowControl w:val="0"/>
      <w:ind w:firstLine="560" w:firstLineChars="200"/>
      <w:jc w:val="both"/>
    </w:pPr>
    <w:rPr>
      <w:rFonts w:ascii="仿宋_GB2312" w:hAnsi="宋体" w:eastAsia="仿宋_GB2312" w:cs="宋体"/>
      <w:color w:val="000000"/>
      <w:kern w:val="2"/>
      <w:sz w:val="28"/>
      <w:szCs w:val="20"/>
    </w:rPr>
  </w:style>
  <w:style w:type="paragraph" w:customStyle="1" w:styleId="474">
    <w:name w:val="xl26"/>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20"/>
      <w:szCs w:val="20"/>
    </w:rPr>
  </w:style>
  <w:style w:type="paragraph" w:customStyle="1" w:styleId="475">
    <w:name w:val="xl30"/>
    <w:basedOn w:val="1"/>
    <w:autoRedefine/>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sz w:val="20"/>
      <w:szCs w:val="20"/>
    </w:rPr>
  </w:style>
  <w:style w:type="paragraph" w:customStyle="1" w:styleId="476">
    <w:name w:val="xl3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77">
    <w:name w:val="xl4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78">
    <w:name w:val="xl45"/>
    <w:basedOn w:val="1"/>
    <w:qFormat/>
    <w:uiPriority w:val="99"/>
    <w:pPr>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cs="宋体"/>
      <w:b/>
      <w:bCs/>
      <w:sz w:val="20"/>
      <w:szCs w:val="20"/>
    </w:rPr>
  </w:style>
  <w:style w:type="paragraph" w:customStyle="1" w:styleId="479">
    <w:name w:val="xl49"/>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480">
    <w:name w:val="xl57"/>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szCs w:val="20"/>
    </w:rPr>
  </w:style>
  <w:style w:type="paragraph" w:customStyle="1" w:styleId="481">
    <w:name w:val="xl61"/>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82">
    <w:name w:val="1 Char Char Char Char"/>
    <w:basedOn w:val="1"/>
    <w:qFormat/>
    <w:uiPriority w:val="99"/>
    <w:pPr>
      <w:spacing w:after="160" w:line="240" w:lineRule="exact"/>
    </w:pPr>
    <w:rPr>
      <w:rFonts w:ascii="Tahoma" w:hAnsi="Tahoma"/>
      <w:sz w:val="28"/>
      <w:lang w:eastAsia="en-US"/>
    </w:rPr>
  </w:style>
  <w:style w:type="paragraph" w:customStyle="1" w:styleId="483">
    <w:name w:val="标题3"/>
    <w:basedOn w:val="4"/>
    <w:link w:val="863"/>
    <w:autoRedefine/>
    <w:qFormat/>
    <w:uiPriority w:val="0"/>
    <w:pPr>
      <w:keepNext/>
      <w:keepLines/>
      <w:tabs>
        <w:tab w:val="left" w:pos="113"/>
        <w:tab w:val="left" w:pos="1230"/>
        <w:tab w:val="clear" w:pos="312"/>
      </w:tabs>
      <w:spacing w:beforeLines="100" w:afterLines="50" w:line="300" w:lineRule="auto"/>
      <w:ind w:firstLine="510"/>
      <w:contextualSpacing w:val="0"/>
      <w:outlineLvl w:val="9"/>
    </w:pPr>
    <w:rPr>
      <w:rFonts w:ascii="Arial" w:hAnsi="Times New Roman" w:eastAsia="黑体"/>
      <w:color w:val="auto"/>
      <w:spacing w:val="6"/>
      <w:lang w:val="ru-RU"/>
    </w:rPr>
  </w:style>
  <w:style w:type="paragraph" w:customStyle="1" w:styleId="484">
    <w:name w:val="Administrator"/>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5">
    <w:name w:val="font7"/>
    <w:basedOn w:val="1"/>
    <w:qFormat/>
    <w:uiPriority w:val="99"/>
    <w:pPr>
      <w:spacing w:before="100" w:beforeAutospacing="1" w:after="100" w:afterAutospacing="1"/>
    </w:pPr>
    <w:rPr>
      <w:rFonts w:ascii="Arial" w:hAnsi="Arial" w:cs="Arial"/>
      <w:sz w:val="16"/>
      <w:szCs w:val="16"/>
    </w:rPr>
  </w:style>
  <w:style w:type="paragraph" w:customStyle="1" w:styleId="486">
    <w:name w:val="xl109"/>
    <w:basedOn w:val="1"/>
    <w:autoRedefine/>
    <w:qFormat/>
    <w:uiPriority w:val="99"/>
    <w:pPr>
      <w:spacing w:before="100" w:beforeAutospacing="1" w:after="100" w:afterAutospacing="1"/>
      <w:jc w:val="center"/>
    </w:pPr>
    <w:rPr>
      <w:rFonts w:ascii="Arial" w:hAnsi="Arial" w:cs="Arial"/>
      <w:sz w:val="20"/>
      <w:szCs w:val="20"/>
    </w:rPr>
  </w:style>
  <w:style w:type="paragraph" w:customStyle="1" w:styleId="487">
    <w:name w:val="xl121"/>
    <w:basedOn w:val="1"/>
    <w:autoRedefine/>
    <w:qFormat/>
    <w:uiPriority w:val="99"/>
    <w:pPr>
      <w:spacing w:before="100" w:beforeAutospacing="1" w:after="100" w:afterAutospacing="1"/>
    </w:pPr>
    <w:rPr>
      <w:rFonts w:ascii="仿宋_GB2312" w:hAnsi="宋体" w:eastAsia="仿宋_GB2312" w:cs="宋体"/>
      <w:b/>
      <w:bCs/>
      <w:sz w:val="32"/>
      <w:szCs w:val="32"/>
    </w:rPr>
  </w:style>
  <w:style w:type="paragraph" w:customStyle="1" w:styleId="488">
    <w:name w:val="@"/>
    <w:basedOn w:val="1"/>
    <w:autoRedefine/>
    <w:qFormat/>
    <w:uiPriority w:val="99"/>
    <w:pPr>
      <w:widowControl w:val="0"/>
      <w:tabs>
        <w:tab w:val="left" w:pos="360"/>
      </w:tabs>
      <w:spacing w:afterLines="50" w:line="360" w:lineRule="auto"/>
      <w:ind w:left="360" w:hanging="360"/>
      <w:jc w:val="both"/>
    </w:pPr>
    <w:rPr>
      <w:kern w:val="2"/>
    </w:rPr>
  </w:style>
  <w:style w:type="paragraph" w:customStyle="1" w:styleId="489">
    <w:name w:val="样式 样式 正文首行缩进 2 + 左  0 字符 + 首行缩进:  2.57 字符"/>
    <w:basedOn w:val="1"/>
    <w:next w:val="1"/>
    <w:autoRedefine/>
    <w:qFormat/>
    <w:uiPriority w:val="99"/>
    <w:pPr>
      <w:widowControl w:val="0"/>
      <w:adjustRightInd w:val="0"/>
      <w:snapToGrid w:val="0"/>
      <w:spacing w:after="120"/>
      <w:ind w:firstLine="540" w:firstLineChars="257"/>
      <w:jc w:val="both"/>
    </w:pPr>
    <w:rPr>
      <w:kern w:val="2"/>
      <w:sz w:val="21"/>
      <w:szCs w:val="20"/>
    </w:rPr>
  </w:style>
  <w:style w:type="paragraph" w:customStyle="1" w:styleId="490">
    <w:name w:val="样式 首行缩进:  0.74 厘米"/>
    <w:basedOn w:val="1"/>
    <w:autoRedefine/>
    <w:qFormat/>
    <w:uiPriority w:val="99"/>
    <w:pPr>
      <w:widowControl w:val="0"/>
      <w:spacing w:line="360" w:lineRule="auto"/>
      <w:ind w:firstLine="420"/>
      <w:jc w:val="both"/>
    </w:pPr>
    <w:rPr>
      <w:kern w:val="2"/>
      <w:szCs w:val="20"/>
    </w:rPr>
  </w:style>
  <w:style w:type="paragraph" w:customStyle="1" w:styleId="491">
    <w:name w:val="IN Feature"/>
    <w:next w:val="303"/>
    <w:autoRedefine/>
    <w:qFormat/>
    <w:uiPriority w:val="99"/>
    <w:pPr>
      <w:keepNext/>
      <w:keepLines/>
      <w:spacing w:before="240" w:after="240"/>
      <w:outlineLvl w:val="7"/>
    </w:pPr>
    <w:rPr>
      <w:rFonts w:ascii="Arial" w:hAnsi="Arial" w:eastAsia="黑体" w:cs="Arial"/>
      <w:sz w:val="21"/>
      <w:szCs w:val="21"/>
      <w:lang w:val="en-US" w:eastAsia="zh-CN" w:bidi="ar-SA"/>
    </w:rPr>
  </w:style>
  <w:style w:type="paragraph" w:customStyle="1" w:styleId="492">
    <w:name w:val="Figure Description"/>
    <w:next w:val="1"/>
    <w:autoRedefine/>
    <w:qFormat/>
    <w:uiPriority w:val="99"/>
    <w:pPr>
      <w:snapToGrid w:val="0"/>
      <w:spacing w:before="80" w:after="320"/>
      <w:ind w:left="1134"/>
      <w:jc w:val="center"/>
    </w:pPr>
    <w:rPr>
      <w:rFonts w:ascii="Arial" w:hAnsi="Arial" w:eastAsia="黑体" w:cs="Arial"/>
      <w:sz w:val="18"/>
      <w:szCs w:val="18"/>
      <w:lang w:val="en-US" w:eastAsia="zh-CN" w:bidi="ar-SA"/>
    </w:rPr>
  </w:style>
  <w:style w:type="paragraph" w:customStyle="1" w:styleId="493">
    <w:name w:val="Note"/>
    <w:basedOn w:val="1"/>
    <w:autoRedefine/>
    <w:qFormat/>
    <w:uiPriority w:val="99"/>
    <w:pPr>
      <w:widowControl w:val="0"/>
      <w:pBdr>
        <w:top w:val="single" w:color="auto" w:sz="12" w:space="3"/>
        <w:bottom w:val="single" w:color="auto" w:sz="12" w:space="3"/>
      </w:pBdr>
      <w:spacing w:line="360" w:lineRule="auto"/>
      <w:jc w:val="both"/>
    </w:pPr>
    <w:rPr>
      <w:kern w:val="2"/>
      <w:szCs w:val="22"/>
    </w:rPr>
  </w:style>
  <w:style w:type="paragraph" w:customStyle="1" w:styleId="494">
    <w:name w:val="图片文字"/>
    <w:basedOn w:val="1"/>
    <w:autoRedefine/>
    <w:qFormat/>
    <w:uiPriority w:val="99"/>
    <w:pPr>
      <w:widowControl w:val="0"/>
      <w:spacing w:line="240" w:lineRule="atLeast"/>
      <w:jc w:val="center"/>
    </w:pPr>
    <w:rPr>
      <w:kern w:val="2"/>
      <w:sz w:val="21"/>
      <w:szCs w:val="21"/>
    </w:rPr>
  </w:style>
  <w:style w:type="paragraph" w:customStyle="1" w:styleId="495">
    <w:name w:val="二级列表"/>
    <w:basedOn w:val="444"/>
    <w:next w:val="444"/>
    <w:qFormat/>
    <w:uiPriority w:val="99"/>
    <w:pPr>
      <w:tabs>
        <w:tab w:val="left" w:pos="360"/>
        <w:tab w:val="left" w:pos="840"/>
      </w:tabs>
      <w:ind w:firstLine="0" w:firstLineChars="0"/>
    </w:pPr>
    <w:rPr>
      <w:b/>
    </w:rPr>
  </w:style>
  <w:style w:type="paragraph" w:customStyle="1" w:styleId="496">
    <w:name w:val="正文段"/>
    <w:basedOn w:val="1"/>
    <w:qFormat/>
    <w:uiPriority w:val="99"/>
    <w:pPr>
      <w:widowControl w:val="0"/>
      <w:spacing w:line="312" w:lineRule="auto"/>
      <w:ind w:firstLine="560"/>
      <w:jc w:val="both"/>
    </w:pPr>
    <w:rPr>
      <w:kern w:val="2"/>
      <w:sz w:val="28"/>
      <w:szCs w:val="28"/>
    </w:rPr>
  </w:style>
  <w:style w:type="paragraph" w:customStyle="1" w:styleId="497">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sz w:val="18"/>
      <w:szCs w:val="18"/>
    </w:rPr>
  </w:style>
  <w:style w:type="paragraph" w:customStyle="1" w:styleId="498">
    <w:name w:val="内容正文"/>
    <w:basedOn w:val="1"/>
    <w:qFormat/>
    <w:uiPriority w:val="99"/>
    <w:pPr>
      <w:widowControl w:val="0"/>
      <w:spacing w:line="300" w:lineRule="auto"/>
      <w:ind w:firstLine="482"/>
      <w:jc w:val="both"/>
    </w:pPr>
    <w:rPr>
      <w:rFonts w:ascii="Georgia" w:hAnsi="Georgia"/>
      <w:kern w:val="2"/>
      <w:szCs w:val="20"/>
    </w:rPr>
  </w:style>
  <w:style w:type="table" w:customStyle="1" w:styleId="499">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0">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1">
    <w:name w:val="网格型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2">
    <w:name w:val="3"/>
    <w:qFormat/>
    <w:uiPriority w:val="99"/>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03">
    <w:name w:val="Char Char"/>
    <w:basedOn w:val="1"/>
    <w:next w:val="1"/>
    <w:autoRedefine/>
    <w:semiHidden/>
    <w:qFormat/>
    <w:uiPriority w:val="99"/>
    <w:pPr>
      <w:spacing w:after="160" w:line="240" w:lineRule="exact"/>
    </w:pPr>
    <w:rPr>
      <w:rFonts w:ascii="Verdana" w:hAnsi="Verdana" w:eastAsia="仿宋_GB2312"/>
      <w:szCs w:val="20"/>
      <w:lang w:eastAsia="en-US"/>
    </w:rPr>
  </w:style>
  <w:style w:type="paragraph" w:customStyle="1" w:styleId="504">
    <w:name w:val="Char3"/>
    <w:basedOn w:val="1"/>
    <w:qFormat/>
    <w:uiPriority w:val="99"/>
    <w:pPr>
      <w:spacing w:after="160" w:line="240" w:lineRule="exact"/>
      <w:ind w:firstLine="200" w:firstLineChars="200"/>
    </w:pPr>
    <w:rPr>
      <w:rFonts w:ascii="Verdana" w:hAnsi="Verdana"/>
      <w:szCs w:val="20"/>
      <w:lang w:eastAsia="en-US"/>
    </w:rPr>
  </w:style>
  <w:style w:type="character" w:customStyle="1" w:styleId="505">
    <w:name w:val="Footer-Even Char2"/>
    <w:qFormat/>
    <w:uiPriority w:val="99"/>
    <w:rPr>
      <w:rFonts w:eastAsia="宋体"/>
      <w:kern w:val="2"/>
      <w:sz w:val="18"/>
      <w:lang w:val="en-US" w:eastAsia="zh-CN"/>
    </w:rPr>
  </w:style>
  <w:style w:type="character" w:customStyle="1" w:styleId="506">
    <w:name w:val="章节 Char1"/>
    <w:autoRedefine/>
    <w:qFormat/>
    <w:uiPriority w:val="99"/>
    <w:rPr>
      <w:rFonts w:ascii="宋体"/>
      <w:b/>
      <w:kern w:val="28"/>
      <w:sz w:val="36"/>
      <w:lang w:val="en-US" w:eastAsia="zh-CN"/>
    </w:rPr>
  </w:style>
  <w:style w:type="character" w:customStyle="1" w:styleId="507">
    <w:name w:val="h Char Char2"/>
    <w:qFormat/>
    <w:uiPriority w:val="99"/>
    <w:rPr>
      <w:kern w:val="2"/>
      <w:sz w:val="18"/>
    </w:rPr>
  </w:style>
  <w:style w:type="character" w:customStyle="1" w:styleId="508">
    <w:name w:val="PIM 6 Char2"/>
    <w:autoRedefine/>
    <w:qFormat/>
    <w:uiPriority w:val="99"/>
    <w:rPr>
      <w:rFonts w:ascii="Arial" w:hAnsi="Arial" w:eastAsia="黑体"/>
      <w:b/>
      <w:kern w:val="2"/>
      <w:sz w:val="24"/>
    </w:rPr>
  </w:style>
  <w:style w:type="character" w:customStyle="1" w:styleId="509">
    <w:name w:val="不用 Char2"/>
    <w:autoRedefine/>
    <w:qFormat/>
    <w:uiPriority w:val="99"/>
    <w:rPr>
      <w:b/>
      <w:kern w:val="2"/>
      <w:sz w:val="24"/>
    </w:rPr>
  </w:style>
  <w:style w:type="character" w:customStyle="1" w:styleId="510">
    <w:name w:val="不用8 Char2"/>
    <w:qFormat/>
    <w:uiPriority w:val="99"/>
    <w:rPr>
      <w:rFonts w:ascii="Arial" w:hAnsi="Arial" w:eastAsia="黑体"/>
      <w:kern w:val="2"/>
      <w:sz w:val="24"/>
    </w:rPr>
  </w:style>
  <w:style w:type="character" w:customStyle="1" w:styleId="511">
    <w:name w:val="三级标题 Char2"/>
    <w:qFormat/>
    <w:uiPriority w:val="99"/>
    <w:rPr>
      <w:rFonts w:ascii="Arial" w:hAnsi="Arial" w:eastAsia="黑体"/>
      <w:kern w:val="2"/>
      <w:sz w:val="24"/>
    </w:rPr>
  </w:style>
  <w:style w:type="character" w:customStyle="1" w:styleId="512">
    <w:name w:val="市检方案标题3 Char1"/>
    <w:qFormat/>
    <w:uiPriority w:val="99"/>
    <w:rPr>
      <w:rFonts w:ascii="宋体"/>
      <w:b/>
      <w:kern w:val="2"/>
      <w:sz w:val="24"/>
      <w:lang w:val="en-US" w:eastAsia="zh-CN"/>
    </w:rPr>
  </w:style>
  <w:style w:type="character" w:customStyle="1" w:styleId="513">
    <w:name w:val="正文首行缩进 Char Char Char Char Char3"/>
    <w:qFormat/>
    <w:uiPriority w:val="99"/>
    <w:rPr>
      <w:rFonts w:eastAsia="宋体"/>
      <w:kern w:val="2"/>
      <w:sz w:val="24"/>
      <w:lang w:val="en-US" w:eastAsia="zh-CN"/>
    </w:rPr>
  </w:style>
  <w:style w:type="character" w:customStyle="1" w:styleId="514">
    <w:name w:val="正文文字 Char2"/>
    <w:qFormat/>
    <w:uiPriority w:val="99"/>
    <w:rPr>
      <w:kern w:val="2"/>
      <w:sz w:val="24"/>
    </w:rPr>
  </w:style>
  <w:style w:type="paragraph" w:customStyle="1" w:styleId="515">
    <w:name w:val="Char Char Char1"/>
    <w:basedOn w:val="1"/>
    <w:qFormat/>
    <w:uiPriority w:val="99"/>
    <w:pPr>
      <w:widowControl w:val="0"/>
      <w:spacing w:line="400" w:lineRule="exact"/>
      <w:ind w:firstLine="200" w:firstLineChars="200"/>
      <w:jc w:val="both"/>
    </w:pPr>
    <w:rPr>
      <w:rFonts w:ascii="Tahoma" w:hAnsi="Tahoma"/>
      <w:kern w:val="2"/>
      <w:szCs w:val="20"/>
    </w:rPr>
  </w:style>
  <w:style w:type="paragraph" w:customStyle="1" w:styleId="516">
    <w:name w:val="Char Char Char Char Char Char Char Char Char Char Char Char Char Char Char Char Char Char Char Char Char Char Char Char Char1"/>
    <w:basedOn w:val="1"/>
    <w:qFormat/>
    <w:uiPriority w:val="99"/>
    <w:pPr>
      <w:widowControl w:val="0"/>
      <w:spacing w:line="400" w:lineRule="exact"/>
      <w:ind w:firstLine="200" w:firstLineChars="200"/>
      <w:jc w:val="both"/>
    </w:pPr>
    <w:rPr>
      <w:rFonts w:ascii="Tahoma" w:hAnsi="Tahoma"/>
      <w:kern w:val="2"/>
      <w:szCs w:val="20"/>
    </w:rPr>
  </w:style>
  <w:style w:type="paragraph" w:customStyle="1" w:styleId="517">
    <w:name w:val="Char Char11"/>
    <w:basedOn w:val="1"/>
    <w:qFormat/>
    <w:uiPriority w:val="99"/>
    <w:pPr>
      <w:spacing w:after="160" w:line="240" w:lineRule="exact"/>
      <w:ind w:firstLine="200" w:firstLineChars="200"/>
    </w:pPr>
    <w:rPr>
      <w:rFonts w:ascii="Verdana" w:hAnsi="Verdana"/>
      <w:sz w:val="20"/>
      <w:szCs w:val="20"/>
      <w:lang w:eastAsia="en-US"/>
    </w:rPr>
  </w:style>
  <w:style w:type="paragraph" w:customStyle="1" w:styleId="518">
    <w:name w:val="Char11"/>
    <w:basedOn w:val="1"/>
    <w:autoRedefine/>
    <w:qFormat/>
    <w:uiPriority w:val="99"/>
    <w:pPr>
      <w:widowControl w:val="0"/>
      <w:adjustRightInd w:val="0"/>
      <w:spacing w:line="360" w:lineRule="auto"/>
      <w:ind w:firstLine="200" w:firstLineChars="200"/>
      <w:jc w:val="both"/>
    </w:pPr>
    <w:rPr>
      <w:szCs w:val="20"/>
    </w:rPr>
  </w:style>
  <w:style w:type="paragraph" w:customStyle="1" w:styleId="519">
    <w:name w:val="Char Char Char Char1"/>
    <w:basedOn w:val="21"/>
    <w:autoRedefine/>
    <w:qFormat/>
    <w:uiPriority w:val="99"/>
  </w:style>
  <w:style w:type="character" w:customStyle="1" w:styleId="520">
    <w:name w:val="Char Char22"/>
    <w:autoRedefine/>
    <w:qFormat/>
    <w:uiPriority w:val="99"/>
    <w:rPr>
      <w:rFonts w:eastAsia="宋体"/>
      <w:kern w:val="2"/>
      <w:sz w:val="18"/>
      <w:lang w:val="en-US" w:eastAsia="zh-CN"/>
    </w:rPr>
  </w:style>
  <w:style w:type="character" w:customStyle="1" w:styleId="521">
    <w:name w:val="Char Char61"/>
    <w:qFormat/>
    <w:uiPriority w:val="99"/>
    <w:rPr>
      <w:rFonts w:ascii="Arial" w:hAnsi="Arial" w:eastAsia="黑体"/>
      <w:b/>
      <w:kern w:val="2"/>
      <w:sz w:val="32"/>
      <w:lang w:val="en-US" w:eastAsia="zh-CN"/>
    </w:rPr>
  </w:style>
  <w:style w:type="paragraph" w:customStyle="1" w:styleId="522">
    <w:name w:val="正文11"/>
    <w:autoRedefine/>
    <w:qFormat/>
    <w:uiPriority w:val="99"/>
    <w:pPr>
      <w:widowControl w:val="0"/>
      <w:adjustRightInd w:val="0"/>
      <w:spacing w:line="240" w:lineRule="atLeast"/>
      <w:textAlignment w:val="baseline"/>
    </w:pPr>
    <w:rPr>
      <w:rFonts w:ascii="Times New Roman" w:hAnsi="Times New Roman" w:eastAsia="宋体" w:cs="Times New Roman"/>
      <w:lang w:val="en-US" w:eastAsia="zh-CN" w:bidi="ar-SA"/>
    </w:rPr>
  </w:style>
  <w:style w:type="paragraph" w:customStyle="1" w:styleId="523">
    <w:name w:val="Char Char Char Char Char11"/>
    <w:basedOn w:val="1"/>
    <w:autoRedefine/>
    <w:qFormat/>
    <w:uiPriority w:val="99"/>
    <w:pPr>
      <w:widowControl w:val="0"/>
      <w:spacing w:line="400" w:lineRule="exact"/>
      <w:ind w:firstLine="200" w:firstLineChars="200"/>
      <w:jc w:val="both"/>
    </w:pPr>
    <w:rPr>
      <w:kern w:val="2"/>
    </w:rPr>
  </w:style>
  <w:style w:type="paragraph" w:customStyle="1" w:styleId="524">
    <w:name w:val="Char21"/>
    <w:basedOn w:val="1"/>
    <w:qFormat/>
    <w:uiPriority w:val="99"/>
    <w:pPr>
      <w:widowControl w:val="0"/>
      <w:adjustRightInd w:val="0"/>
      <w:spacing w:line="360" w:lineRule="auto"/>
      <w:ind w:firstLine="200" w:firstLineChars="200"/>
      <w:jc w:val="both"/>
    </w:pPr>
    <w:rPr>
      <w:szCs w:val="20"/>
    </w:rPr>
  </w:style>
  <w:style w:type="paragraph" w:customStyle="1" w:styleId="525">
    <w:name w:val="Char Char Char Char Char Char1 Char1"/>
    <w:basedOn w:val="1"/>
    <w:qFormat/>
    <w:uiPriority w:val="99"/>
    <w:pPr>
      <w:spacing w:after="160" w:line="240" w:lineRule="exact"/>
    </w:pPr>
    <w:rPr>
      <w:rFonts w:ascii="Verdana" w:hAnsi="Verdana"/>
      <w:sz w:val="21"/>
      <w:szCs w:val="20"/>
      <w:lang w:eastAsia="en-US"/>
    </w:rPr>
  </w:style>
  <w:style w:type="paragraph" w:customStyle="1" w:styleId="526">
    <w:name w:val="正文文本 211"/>
    <w:basedOn w:val="1"/>
    <w:qFormat/>
    <w:uiPriority w:val="99"/>
    <w:pPr>
      <w:widowControl w:val="0"/>
      <w:adjustRightInd w:val="0"/>
      <w:spacing w:before="120" w:line="360" w:lineRule="auto"/>
      <w:ind w:firstLine="480"/>
      <w:jc w:val="both"/>
      <w:textAlignment w:val="baseline"/>
    </w:pPr>
    <w:rPr>
      <w:kern w:val="2"/>
      <w:szCs w:val="20"/>
    </w:rPr>
  </w:style>
  <w:style w:type="paragraph" w:customStyle="1" w:styleId="527">
    <w:name w:val="Char Char Char Char Char2"/>
    <w:basedOn w:val="1"/>
    <w:qFormat/>
    <w:uiPriority w:val="99"/>
    <w:pPr>
      <w:widowControl w:val="0"/>
      <w:autoSpaceDE w:val="0"/>
      <w:autoSpaceDN w:val="0"/>
      <w:adjustRightInd w:val="0"/>
    </w:pPr>
    <w:rPr>
      <w:rFonts w:ascii="Tahoma" w:hAnsi="Tahoma"/>
      <w:szCs w:val="20"/>
    </w:rPr>
  </w:style>
  <w:style w:type="paragraph" w:customStyle="1" w:styleId="528">
    <w:name w:val="列出段落11"/>
    <w:basedOn w:val="1"/>
    <w:autoRedefine/>
    <w:qFormat/>
    <w:uiPriority w:val="99"/>
    <w:pPr>
      <w:widowControl w:val="0"/>
      <w:ind w:firstLine="420" w:firstLineChars="200"/>
      <w:jc w:val="both"/>
    </w:pPr>
    <w:rPr>
      <w:rFonts w:ascii="Calibri" w:hAnsi="Calibri"/>
      <w:kern w:val="2"/>
      <w:sz w:val="21"/>
      <w:szCs w:val="22"/>
    </w:rPr>
  </w:style>
  <w:style w:type="paragraph" w:customStyle="1" w:styleId="529">
    <w:name w:val="Char Char1 Char Char Char Char Char Char Char Char Char Char Char Char Char Char1"/>
    <w:basedOn w:val="1"/>
    <w:qFormat/>
    <w:uiPriority w:val="99"/>
    <w:pPr>
      <w:spacing w:after="160" w:line="240" w:lineRule="exact"/>
    </w:pPr>
    <w:rPr>
      <w:rFonts w:ascii="Verdana" w:hAnsi="Verdana"/>
      <w:sz w:val="20"/>
      <w:szCs w:val="20"/>
      <w:lang w:eastAsia="en-US"/>
    </w:rPr>
  </w:style>
  <w:style w:type="paragraph" w:customStyle="1" w:styleId="530">
    <w:name w:val="Char1 Char Char Char Char Char Char Char Char Char1"/>
    <w:basedOn w:val="1"/>
    <w:qFormat/>
    <w:uiPriority w:val="99"/>
    <w:pPr>
      <w:widowControl w:val="0"/>
      <w:jc w:val="both"/>
    </w:pPr>
    <w:rPr>
      <w:rFonts w:ascii="Tahoma" w:hAnsi="Tahoma"/>
      <w:kern w:val="2"/>
      <w:szCs w:val="20"/>
    </w:rPr>
  </w:style>
  <w:style w:type="paragraph" w:customStyle="1" w:styleId="531">
    <w:name w:val="正文文本缩进 211"/>
    <w:basedOn w:val="1"/>
    <w:autoRedefine/>
    <w:qFormat/>
    <w:uiPriority w:val="99"/>
    <w:pPr>
      <w:widowControl w:val="0"/>
      <w:adjustRightInd w:val="0"/>
      <w:spacing w:before="120"/>
      <w:ind w:firstLine="420"/>
      <w:jc w:val="both"/>
      <w:textAlignment w:val="baseline"/>
    </w:pPr>
    <w:rPr>
      <w:kern w:val="2"/>
      <w:szCs w:val="20"/>
    </w:rPr>
  </w:style>
  <w:style w:type="paragraph" w:customStyle="1" w:styleId="532">
    <w:name w:val="Char Char Char Char Char Char Char Char Char Char Char Char Char1"/>
    <w:basedOn w:val="1"/>
    <w:autoRedefine/>
    <w:qFormat/>
    <w:uiPriority w:val="99"/>
    <w:pPr>
      <w:widowControl w:val="0"/>
      <w:jc w:val="both"/>
    </w:pPr>
    <w:rPr>
      <w:sz w:val="20"/>
      <w:szCs w:val="20"/>
    </w:rPr>
  </w:style>
  <w:style w:type="paragraph" w:customStyle="1" w:styleId="533">
    <w:name w:val="默认段落字体 Para Char Char"/>
    <w:basedOn w:val="1"/>
    <w:qFormat/>
    <w:uiPriority w:val="99"/>
    <w:pPr>
      <w:widowControl w:val="0"/>
      <w:spacing w:line="360" w:lineRule="auto"/>
      <w:ind w:firstLine="200" w:firstLineChars="200"/>
      <w:jc w:val="both"/>
    </w:pPr>
    <w:rPr>
      <w:color w:val="000000"/>
      <w:kern w:val="2"/>
      <w:sz w:val="21"/>
      <w:szCs w:val="20"/>
    </w:rPr>
  </w:style>
  <w:style w:type="paragraph" w:customStyle="1" w:styleId="534">
    <w:name w:val="(符号)标书正文"/>
    <w:basedOn w:val="1"/>
    <w:autoRedefine/>
    <w:qFormat/>
    <w:uiPriority w:val="99"/>
    <w:pPr>
      <w:widowControl w:val="0"/>
      <w:spacing w:line="420" w:lineRule="exact"/>
      <w:ind w:firstLine="480" w:firstLineChars="200"/>
    </w:pPr>
    <w:rPr>
      <w:rFonts w:ascii="宋体" w:hAnsi="宋体" w:cs="宋体"/>
      <w:color w:val="000000"/>
      <w:kern w:val="2"/>
    </w:rPr>
  </w:style>
  <w:style w:type="paragraph" w:customStyle="1" w:styleId="535">
    <w:name w:val="（符号）三标题1.1"/>
    <w:basedOn w:val="1"/>
    <w:autoRedefine/>
    <w:qFormat/>
    <w:uiPriority w:val="99"/>
    <w:pPr>
      <w:widowControl w:val="0"/>
      <w:numPr>
        <w:ilvl w:val="1"/>
        <w:numId w:val="19"/>
      </w:numPr>
      <w:spacing w:line="500" w:lineRule="exact"/>
      <w:ind w:firstLine="0"/>
      <w:jc w:val="both"/>
    </w:pPr>
    <w:rPr>
      <w:rFonts w:ascii="宋体" w:hAnsi="宋体"/>
      <w:kern w:val="2"/>
    </w:rPr>
  </w:style>
  <w:style w:type="paragraph" w:customStyle="1" w:styleId="536">
    <w:name w:val="(符号)三标题1.1"/>
    <w:basedOn w:val="1"/>
    <w:qFormat/>
    <w:uiPriority w:val="99"/>
    <w:pPr>
      <w:widowControl w:val="0"/>
      <w:tabs>
        <w:tab w:val="left" w:pos="360"/>
      </w:tabs>
      <w:spacing w:before="140" w:after="140" w:line="500" w:lineRule="exact"/>
      <w:ind w:left="360"/>
      <w:jc w:val="both"/>
      <w:outlineLvl w:val="2"/>
    </w:pPr>
    <w:rPr>
      <w:rFonts w:ascii="楷体_GB2312" w:hAnsi="宋体" w:eastAsia="楷体_GB2312" w:cs="宋体"/>
      <w:b/>
      <w:bCs/>
      <w:kern w:val="2"/>
      <w:sz w:val="28"/>
      <w:szCs w:val="20"/>
    </w:rPr>
  </w:style>
  <w:style w:type="paragraph" w:customStyle="1" w:styleId="537">
    <w:name w:val="(符号)五标题1.1.1"/>
    <w:basedOn w:val="1"/>
    <w:qFormat/>
    <w:uiPriority w:val="99"/>
    <w:pPr>
      <w:widowControl w:val="0"/>
      <w:tabs>
        <w:tab w:val="left" w:pos="1260"/>
      </w:tabs>
      <w:spacing w:line="500" w:lineRule="exact"/>
      <w:ind w:left="1260"/>
      <w:jc w:val="both"/>
    </w:pPr>
    <w:rPr>
      <w:rFonts w:ascii="宋体" w:hAnsi="宋体" w:cs="宋体"/>
      <w:color w:val="000000"/>
      <w:kern w:val="2"/>
      <w:szCs w:val="20"/>
    </w:rPr>
  </w:style>
  <w:style w:type="paragraph" w:customStyle="1" w:styleId="538">
    <w:name w:val="样式 正文首行缩进 2 + 行距: 2 倍行距"/>
    <w:basedOn w:val="66"/>
    <w:qFormat/>
    <w:uiPriority w:val="99"/>
    <w:pPr>
      <w:spacing w:after="0" w:line="360" w:lineRule="auto"/>
      <w:ind w:left="200" w:leftChars="200" w:firstLine="200"/>
    </w:pPr>
    <w:rPr>
      <w:rFonts w:eastAsia="宋体"/>
      <w:sz w:val="21"/>
      <w:szCs w:val="24"/>
    </w:rPr>
  </w:style>
  <w:style w:type="paragraph" w:customStyle="1" w:styleId="539">
    <w:name w:val="正文首行缩进两字符"/>
    <w:basedOn w:val="1"/>
    <w:autoRedefine/>
    <w:qFormat/>
    <w:uiPriority w:val="99"/>
    <w:pPr>
      <w:widowControl w:val="0"/>
      <w:spacing w:line="360" w:lineRule="auto"/>
      <w:ind w:firstLine="200" w:firstLineChars="200"/>
      <w:jc w:val="both"/>
    </w:pPr>
    <w:rPr>
      <w:kern w:val="2"/>
      <w:sz w:val="21"/>
    </w:rPr>
  </w:style>
  <w:style w:type="character" w:customStyle="1" w:styleId="540">
    <w:name w:val="Footer-Even Char1"/>
    <w:qFormat/>
    <w:uiPriority w:val="99"/>
    <w:rPr>
      <w:rFonts w:eastAsia="宋体"/>
      <w:kern w:val="2"/>
      <w:sz w:val="18"/>
      <w:lang w:val="en-US" w:eastAsia="zh-CN"/>
    </w:rPr>
  </w:style>
  <w:style w:type="character" w:customStyle="1" w:styleId="541">
    <w:name w:val="h Char Char1"/>
    <w:qFormat/>
    <w:uiPriority w:val="99"/>
    <w:rPr>
      <w:kern w:val="2"/>
      <w:sz w:val="18"/>
    </w:rPr>
  </w:style>
  <w:style w:type="character" w:customStyle="1" w:styleId="542">
    <w:name w:val="PIM 6 Char1"/>
    <w:qFormat/>
    <w:uiPriority w:val="99"/>
    <w:rPr>
      <w:rFonts w:ascii="Arial" w:hAnsi="Arial" w:eastAsia="黑体"/>
      <w:b/>
      <w:kern w:val="2"/>
      <w:sz w:val="24"/>
    </w:rPr>
  </w:style>
  <w:style w:type="character" w:customStyle="1" w:styleId="543">
    <w:name w:val="不用 Char1"/>
    <w:autoRedefine/>
    <w:qFormat/>
    <w:uiPriority w:val="99"/>
    <w:rPr>
      <w:b/>
      <w:kern w:val="2"/>
      <w:sz w:val="24"/>
    </w:rPr>
  </w:style>
  <w:style w:type="character" w:customStyle="1" w:styleId="544">
    <w:name w:val="不用8 Char1"/>
    <w:qFormat/>
    <w:uiPriority w:val="99"/>
    <w:rPr>
      <w:rFonts w:ascii="Arial" w:hAnsi="Arial" w:eastAsia="黑体"/>
      <w:kern w:val="2"/>
      <w:sz w:val="24"/>
    </w:rPr>
  </w:style>
  <w:style w:type="character" w:customStyle="1" w:styleId="545">
    <w:name w:val="三级标题 Char1"/>
    <w:autoRedefine/>
    <w:qFormat/>
    <w:uiPriority w:val="99"/>
    <w:rPr>
      <w:rFonts w:ascii="Arial" w:hAnsi="Arial" w:eastAsia="黑体"/>
      <w:kern w:val="2"/>
      <w:sz w:val="21"/>
    </w:rPr>
  </w:style>
  <w:style w:type="character" w:customStyle="1" w:styleId="546">
    <w:name w:val="正文首行缩进 Char Char Char Char Char2"/>
    <w:qFormat/>
    <w:uiPriority w:val="99"/>
    <w:rPr>
      <w:rFonts w:eastAsia="宋体"/>
      <w:kern w:val="2"/>
      <w:sz w:val="24"/>
      <w:lang w:val="en-US" w:eastAsia="zh-CN"/>
    </w:rPr>
  </w:style>
  <w:style w:type="character" w:customStyle="1" w:styleId="547">
    <w:name w:val="正文文字 Char1"/>
    <w:qFormat/>
    <w:uiPriority w:val="99"/>
    <w:rPr>
      <w:kern w:val="2"/>
      <w:sz w:val="24"/>
    </w:rPr>
  </w:style>
  <w:style w:type="character" w:customStyle="1" w:styleId="548">
    <w:name w:val="h Char Char"/>
    <w:autoRedefine/>
    <w:qFormat/>
    <w:uiPriority w:val="99"/>
    <w:rPr>
      <w:kern w:val="2"/>
      <w:sz w:val="18"/>
    </w:rPr>
  </w:style>
  <w:style w:type="table" w:customStyle="1" w:styleId="549">
    <w:name w:val="Table"/>
    <w:basedOn w:val="68"/>
    <w:autoRedefine/>
    <w:qFormat/>
    <w:uiPriority w:val="99"/>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blStylePr w:type="firstRow">
      <w:pPr>
        <w:ind w:left="0" w:leftChars="0"/>
      </w:pPr>
      <w:rPr>
        <w:rFonts w:cs="Times New Roman"/>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550">
    <w:name w:val="xl18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551">
    <w:name w:val="xl18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552">
    <w:name w:val="xl18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53">
    <w:name w:val="xl18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54">
    <w:name w:val="xl18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55">
    <w:name w:val="xl18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56">
    <w:name w:val="xl18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57">
    <w:name w:val="xl19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558">
    <w:name w:val="xl19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59">
    <w:name w:val="xl19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60">
    <w:name w:val="xl19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61">
    <w:name w:val="xl19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62">
    <w:name w:val="xl19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63">
    <w:name w:val="xl19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64">
    <w:name w:val="xl19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65">
    <w:name w:val="xl19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566">
    <w:name w:val="xl199"/>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567">
    <w:name w:val="xl200"/>
    <w:basedOn w:val="1"/>
    <w:qFormat/>
    <w:uiPriority w:val="99"/>
    <w:pPr>
      <w:pBdr>
        <w:top w:val="single" w:color="auto" w:sz="4" w:space="0"/>
        <w:left w:val="single" w:color="auto" w:sz="4" w:space="0"/>
        <w:bottom w:val="single" w:color="auto" w:sz="4" w:space="0"/>
      </w:pBdr>
      <w:spacing w:before="100" w:beforeAutospacing="1" w:after="100" w:afterAutospacing="1"/>
    </w:pPr>
    <w:rPr>
      <w:rFonts w:ascii="仿宋_GB2312" w:hAnsi="宋体" w:eastAsia="仿宋_GB2312" w:cs="宋体"/>
      <w:sz w:val="20"/>
      <w:szCs w:val="20"/>
    </w:rPr>
  </w:style>
  <w:style w:type="paragraph" w:customStyle="1" w:styleId="568">
    <w:name w:val="xl20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小标宋" w:hAnsi="宋体" w:eastAsia="小标宋" w:cs="宋体"/>
      <w:b/>
      <w:bCs/>
      <w:sz w:val="40"/>
      <w:szCs w:val="40"/>
    </w:rPr>
  </w:style>
  <w:style w:type="paragraph" w:customStyle="1" w:styleId="569">
    <w:name w:val="xl20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40"/>
      <w:szCs w:val="40"/>
    </w:rPr>
  </w:style>
  <w:style w:type="paragraph" w:customStyle="1" w:styleId="570">
    <w:name w:val="xl203"/>
    <w:basedOn w:val="1"/>
    <w:autoRedefine/>
    <w:qFormat/>
    <w:uiPriority w:val="99"/>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571">
    <w:name w:val="xl204"/>
    <w:basedOn w:val="1"/>
    <w:qFormat/>
    <w:uiPriority w:val="99"/>
    <w:pPr>
      <w:pBdr>
        <w:top w:val="single" w:color="auto" w:sz="4" w:space="0"/>
        <w:bottom w:val="single" w:color="auto" w:sz="4" w:space="0"/>
      </w:pBdr>
      <w:spacing w:before="100" w:beforeAutospacing="1" w:after="100" w:afterAutospacing="1"/>
    </w:pPr>
    <w:rPr>
      <w:rFonts w:ascii="Arial" w:hAnsi="Arial" w:cs="Arial"/>
    </w:rPr>
  </w:style>
  <w:style w:type="paragraph" w:customStyle="1" w:styleId="572">
    <w:name w:val="xl205"/>
    <w:basedOn w:val="1"/>
    <w:autoRedefine/>
    <w:qFormat/>
    <w:uiPriority w:val="99"/>
    <w:pPr>
      <w:pBdr>
        <w:top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573">
    <w:name w:val="xl206"/>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sz w:val="20"/>
      <w:szCs w:val="20"/>
    </w:rPr>
  </w:style>
  <w:style w:type="paragraph" w:customStyle="1" w:styleId="574">
    <w:name w:val="xl207"/>
    <w:basedOn w:val="1"/>
    <w:qFormat/>
    <w:uiPriority w:val="99"/>
    <w:pPr>
      <w:pBdr>
        <w:top w:val="single" w:color="auto" w:sz="4" w:space="0"/>
        <w:bottom w:val="single" w:color="auto" w:sz="4" w:space="0"/>
      </w:pBdr>
      <w:spacing w:before="100" w:beforeAutospacing="1" w:after="100" w:afterAutospacing="1"/>
      <w:jc w:val="center"/>
    </w:pPr>
    <w:rPr>
      <w:rFonts w:ascii="Arial" w:hAnsi="Arial" w:cs="Arial"/>
      <w:b/>
      <w:bCs/>
      <w:sz w:val="20"/>
      <w:szCs w:val="20"/>
    </w:rPr>
  </w:style>
  <w:style w:type="paragraph" w:customStyle="1" w:styleId="575">
    <w:name w:val="xl208"/>
    <w:basedOn w:val="1"/>
    <w:qFormat/>
    <w:uiPriority w:val="99"/>
    <w:pPr>
      <w:pBdr>
        <w:top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576">
    <w:name w:val="xl209"/>
    <w:basedOn w:val="1"/>
    <w:qFormat/>
    <w:uiPriority w:val="99"/>
    <w:pPr>
      <w:pBdr>
        <w:top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character" w:customStyle="1" w:styleId="577">
    <w:name w:val="grame"/>
    <w:basedOn w:val="71"/>
    <w:qFormat/>
    <w:uiPriority w:val="99"/>
    <w:rPr>
      <w:rFonts w:cs="Times New Roman"/>
    </w:rPr>
  </w:style>
  <w:style w:type="paragraph" w:customStyle="1" w:styleId="578">
    <w:name w:val="Pa0"/>
    <w:basedOn w:val="1"/>
    <w:next w:val="1"/>
    <w:autoRedefine/>
    <w:qFormat/>
    <w:uiPriority w:val="99"/>
    <w:pPr>
      <w:widowControl w:val="0"/>
      <w:autoSpaceDE w:val="0"/>
      <w:autoSpaceDN w:val="0"/>
      <w:adjustRightInd w:val="0"/>
      <w:spacing w:line="241" w:lineRule="atLeast"/>
    </w:pPr>
    <w:rPr>
      <w:rFonts w:ascii="Adobe 黑体 Std R" w:eastAsia="Adobe 黑体 Std R"/>
    </w:rPr>
  </w:style>
  <w:style w:type="character" w:customStyle="1" w:styleId="579">
    <w:name w:val="ca-21"/>
    <w:qFormat/>
    <w:uiPriority w:val="99"/>
    <w:rPr>
      <w:rFonts w:ascii="宋体" w:hAnsi="宋体" w:eastAsia="宋体"/>
      <w:sz w:val="24"/>
    </w:rPr>
  </w:style>
  <w:style w:type="character" w:customStyle="1" w:styleId="580">
    <w:name w:val="ca-31"/>
    <w:qFormat/>
    <w:uiPriority w:val="99"/>
    <w:rPr>
      <w:rFonts w:ascii="??" w:hAnsi="??"/>
      <w:sz w:val="24"/>
    </w:rPr>
  </w:style>
  <w:style w:type="paragraph" w:customStyle="1" w:styleId="581">
    <w:name w:val="xl13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82">
    <w:name w:val="xl13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583">
    <w:name w:val="xl133"/>
    <w:basedOn w:val="1"/>
    <w:autoRedefine/>
    <w:qFormat/>
    <w:uiPriority w:val="99"/>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b/>
      <w:bCs/>
      <w:sz w:val="20"/>
      <w:szCs w:val="20"/>
    </w:rPr>
  </w:style>
  <w:style w:type="paragraph" w:customStyle="1" w:styleId="584">
    <w:name w:val="xl13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585">
    <w:name w:val="xl1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86">
    <w:name w:val="xl136"/>
    <w:basedOn w:val="1"/>
    <w:qFormat/>
    <w:uiPriority w:val="99"/>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sz w:val="20"/>
      <w:szCs w:val="20"/>
    </w:rPr>
  </w:style>
  <w:style w:type="paragraph" w:customStyle="1" w:styleId="587">
    <w:name w:val="xl13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88">
    <w:name w:val="xl138"/>
    <w:basedOn w:val="1"/>
    <w:autoRedefine/>
    <w:qFormat/>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sz w:val="20"/>
      <w:szCs w:val="20"/>
    </w:rPr>
  </w:style>
  <w:style w:type="paragraph" w:customStyle="1" w:styleId="589">
    <w:name w:val="xl13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0">
    <w:name w:val="xl14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591">
    <w:name w:val="xl14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92">
    <w:name w:val="xl14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593">
    <w:name w:val="xl14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594">
    <w:name w:val="xl14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5">
    <w:name w:val="xl145"/>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6">
    <w:name w:val="xl146"/>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7">
    <w:name w:val="xl147"/>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8">
    <w:name w:val="xl148"/>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9">
    <w:name w:val="xl14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600">
    <w:name w:val="xl150"/>
    <w:basedOn w:val="1"/>
    <w:qFormat/>
    <w:uiPriority w:val="99"/>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b/>
      <w:bCs/>
      <w:sz w:val="20"/>
      <w:szCs w:val="20"/>
    </w:rPr>
  </w:style>
  <w:style w:type="paragraph" w:customStyle="1" w:styleId="601">
    <w:name w:val="xl15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02">
    <w:name w:val="xl15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03">
    <w:name w:val="xl15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04">
    <w:name w:val="xl15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605">
    <w:name w:val="xl15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606">
    <w:name w:val="xl15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0"/>
      <w:szCs w:val="20"/>
    </w:rPr>
  </w:style>
  <w:style w:type="paragraph" w:customStyle="1" w:styleId="607">
    <w:name w:val="xl157"/>
    <w:basedOn w:val="1"/>
    <w:qFormat/>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sz w:val="20"/>
      <w:szCs w:val="20"/>
    </w:rPr>
  </w:style>
  <w:style w:type="paragraph" w:customStyle="1" w:styleId="608">
    <w:name w:val="xl15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609">
    <w:name w:val="xl15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10">
    <w:name w:val="xl16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11">
    <w:name w:val="xl16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12">
    <w:name w:val="xl16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3">
    <w:name w:val="xl16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4">
    <w:name w:val="xl1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615">
    <w:name w:val="xl16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616">
    <w:name w:val="xl166"/>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7">
    <w:name w:val="xl167"/>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8">
    <w:name w:val="xl168"/>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9">
    <w:name w:val="xl169"/>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0">
    <w:name w:val="xl17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1">
    <w:name w:val="xl17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2">
    <w:name w:val="xl1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623">
    <w:name w:val="xl17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624">
    <w:name w:val="xl17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625">
    <w:name w:val="xl17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626">
    <w:name w:val="xl17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7">
    <w:name w:val="xl17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8">
    <w:name w:val="xl17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9">
    <w:name w:val="xl179"/>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30">
    <w:name w:val="xl180"/>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31">
    <w:name w:val="xl181"/>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32">
    <w:name w:val="样式 标题 3列表编号3h33rd level + 段前: 1 行"/>
    <w:basedOn w:val="4"/>
    <w:qFormat/>
    <w:uiPriority w:val="99"/>
    <w:pPr>
      <w:adjustRightInd w:val="0"/>
      <w:snapToGrid w:val="0"/>
      <w:spacing w:before="240" w:after="120" w:line="240" w:lineRule="atLeast"/>
      <w:ind w:left="-540" w:leftChars="-257"/>
      <w:contextualSpacing w:val="0"/>
    </w:pPr>
    <w:rPr>
      <w:rFonts w:ascii="宋体" w:hAnsi="Times New Roman"/>
      <w:color w:val="auto"/>
      <w:spacing w:val="0"/>
      <w:sz w:val="28"/>
      <w:szCs w:val="28"/>
    </w:rPr>
  </w:style>
  <w:style w:type="paragraph" w:customStyle="1" w:styleId="633">
    <w:name w:val="WPS Plain"/>
    <w:autoRedefine/>
    <w:qFormat/>
    <w:uiPriority w:val="99"/>
    <w:rPr>
      <w:rFonts w:ascii="Times New Roman" w:hAnsi="Times New Roman" w:eastAsia="宋体" w:cs="Times New Roman"/>
      <w:lang w:val="en-US" w:eastAsia="zh-CN" w:bidi="ar-SA"/>
    </w:rPr>
  </w:style>
  <w:style w:type="paragraph" w:customStyle="1" w:styleId="634">
    <w:name w:val="1 Char Char Char Char Char"/>
    <w:basedOn w:val="1"/>
    <w:autoRedefine/>
    <w:qFormat/>
    <w:uiPriority w:val="99"/>
    <w:pPr>
      <w:widowControl w:val="0"/>
      <w:tabs>
        <w:tab w:val="left" w:pos="360"/>
      </w:tabs>
      <w:ind w:left="360" w:hanging="360" w:hangingChars="200"/>
      <w:jc w:val="both"/>
    </w:pPr>
    <w:rPr>
      <w:kern w:val="2"/>
      <w:sz w:val="21"/>
      <w:szCs w:val="20"/>
    </w:rPr>
  </w:style>
  <w:style w:type="paragraph" w:customStyle="1" w:styleId="635">
    <w:name w:val="标准文本"/>
    <w:basedOn w:val="1"/>
    <w:link w:val="636"/>
    <w:autoRedefine/>
    <w:qFormat/>
    <w:uiPriority w:val="99"/>
    <w:pPr>
      <w:widowControl w:val="0"/>
      <w:spacing w:line="360" w:lineRule="auto"/>
      <w:ind w:firstLine="480" w:firstLineChars="200"/>
      <w:jc w:val="both"/>
    </w:pPr>
    <w:rPr>
      <w:rFonts w:ascii="Calibri" w:hAnsi="Calibri" w:eastAsia="仿宋_GB2312"/>
      <w:kern w:val="2"/>
      <w:szCs w:val="20"/>
    </w:rPr>
  </w:style>
  <w:style w:type="character" w:customStyle="1" w:styleId="636">
    <w:name w:val="标准文本 Char"/>
    <w:link w:val="635"/>
    <w:qFormat/>
    <w:locked/>
    <w:uiPriority w:val="99"/>
    <w:rPr>
      <w:rFonts w:ascii="Calibri" w:hAnsi="Calibri" w:eastAsia="仿宋_GB2312"/>
      <w:kern w:val="2"/>
      <w:sz w:val="24"/>
    </w:rPr>
  </w:style>
  <w:style w:type="paragraph" w:customStyle="1" w:styleId="637">
    <w:name w:val="页眉 New New"/>
    <w:basedOn w:val="638"/>
    <w:qFormat/>
    <w:uiPriority w:val="99"/>
    <w:pPr>
      <w:pBdr>
        <w:bottom w:val="single" w:color="auto" w:sz="6" w:space="1"/>
      </w:pBdr>
      <w:tabs>
        <w:tab w:val="center" w:pos="4153"/>
        <w:tab w:val="right" w:pos="8306"/>
      </w:tabs>
      <w:snapToGrid w:val="0"/>
      <w:jc w:val="center"/>
    </w:pPr>
    <w:rPr>
      <w:sz w:val="18"/>
      <w:szCs w:val="18"/>
    </w:rPr>
  </w:style>
  <w:style w:type="paragraph" w:customStyle="1" w:styleId="638">
    <w:name w:val="正文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段2"/>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40">
    <w:name w:val="列出段落 Char"/>
    <w:link w:val="120"/>
    <w:qFormat/>
    <w:locked/>
    <w:uiPriority w:val="99"/>
    <w:rPr>
      <w:color w:val="5A5A5A"/>
    </w:rPr>
  </w:style>
  <w:style w:type="paragraph" w:customStyle="1" w:styleId="641">
    <w:name w:val="标准正文1"/>
    <w:basedOn w:val="1"/>
    <w:qFormat/>
    <w:uiPriority w:val="99"/>
    <w:pPr>
      <w:widowControl w:val="0"/>
      <w:spacing w:beforeLines="30" w:afterLines="30" w:line="288" w:lineRule="auto"/>
      <w:ind w:firstLine="420" w:firstLineChars="200"/>
      <w:jc w:val="both"/>
    </w:pPr>
    <w:rPr>
      <w:rFonts w:cs="宋体"/>
      <w:kern w:val="2"/>
      <w:sz w:val="21"/>
      <w:szCs w:val="20"/>
    </w:rPr>
  </w:style>
  <w:style w:type="paragraph" w:customStyle="1" w:styleId="642">
    <w:name w:val="黑方框"/>
    <w:basedOn w:val="1"/>
    <w:autoRedefine/>
    <w:qFormat/>
    <w:uiPriority w:val="99"/>
    <w:pPr>
      <w:widowControl w:val="0"/>
      <w:spacing w:before="60" w:after="60" w:line="288" w:lineRule="auto"/>
      <w:jc w:val="both"/>
    </w:pPr>
    <w:rPr>
      <w:rFonts w:cs="宋体"/>
      <w:kern w:val="2"/>
      <w:sz w:val="21"/>
      <w:szCs w:val="21"/>
    </w:rPr>
  </w:style>
  <w:style w:type="paragraph" w:customStyle="1" w:styleId="643">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Char Char Char Char Char2 Char2"/>
    <w:basedOn w:val="1"/>
    <w:autoRedefine/>
    <w:qFormat/>
    <w:uiPriority w:val="99"/>
    <w:pPr>
      <w:widowControl w:val="0"/>
      <w:jc w:val="both"/>
    </w:pPr>
    <w:rPr>
      <w:kern w:val="2"/>
      <w:sz w:val="21"/>
      <w:szCs w:val="20"/>
    </w:rPr>
  </w:style>
  <w:style w:type="character" w:customStyle="1" w:styleId="645">
    <w:name w:val="ca-82"/>
    <w:basedOn w:val="71"/>
    <w:autoRedefine/>
    <w:qFormat/>
    <w:uiPriority w:val="99"/>
    <w:rPr>
      <w:rFonts w:cs="Times New Roman"/>
    </w:rPr>
  </w:style>
  <w:style w:type="character" w:customStyle="1" w:styleId="646">
    <w:name w:val="ca-22"/>
    <w:basedOn w:val="71"/>
    <w:qFormat/>
    <w:uiPriority w:val="99"/>
    <w:rPr>
      <w:rFonts w:cs="Times New Roman"/>
    </w:rPr>
  </w:style>
  <w:style w:type="paragraph" w:customStyle="1" w:styleId="647">
    <w:name w:val="Char Char Char Char Char Char Char Char Char Char"/>
    <w:basedOn w:val="1"/>
    <w:qFormat/>
    <w:uiPriority w:val="0"/>
    <w:pPr>
      <w:spacing w:after="160" w:line="240" w:lineRule="exact"/>
    </w:pPr>
    <w:rPr>
      <w:rFonts w:ascii="Verdana" w:hAnsi="Verdana" w:cs="Verdana"/>
      <w:sz w:val="20"/>
      <w:szCs w:val="20"/>
      <w:lang w:eastAsia="en-US"/>
    </w:rPr>
  </w:style>
  <w:style w:type="paragraph" w:customStyle="1" w:styleId="648">
    <w:name w:val="font12"/>
    <w:basedOn w:val="1"/>
    <w:autoRedefine/>
    <w:qFormat/>
    <w:uiPriority w:val="99"/>
    <w:pPr>
      <w:spacing w:before="100" w:beforeAutospacing="1" w:after="100" w:afterAutospacing="1"/>
    </w:pPr>
    <w:rPr>
      <w:sz w:val="20"/>
      <w:szCs w:val="20"/>
    </w:rPr>
  </w:style>
  <w:style w:type="paragraph" w:customStyle="1" w:styleId="649">
    <w:name w:val="font13"/>
    <w:basedOn w:val="1"/>
    <w:autoRedefine/>
    <w:qFormat/>
    <w:uiPriority w:val="99"/>
    <w:pPr>
      <w:spacing w:before="100" w:beforeAutospacing="1" w:after="100" w:afterAutospacing="1"/>
    </w:pPr>
    <w:rPr>
      <w:rFonts w:ascii="Tahoma" w:hAnsi="Tahoma" w:cs="Tahoma"/>
      <w:sz w:val="20"/>
      <w:szCs w:val="20"/>
    </w:rPr>
  </w:style>
  <w:style w:type="paragraph" w:customStyle="1" w:styleId="650">
    <w:name w:val="font14"/>
    <w:basedOn w:val="1"/>
    <w:qFormat/>
    <w:uiPriority w:val="99"/>
    <w:pPr>
      <w:spacing w:before="100" w:beforeAutospacing="1" w:after="100" w:afterAutospacing="1"/>
    </w:pPr>
    <w:rPr>
      <w:rFonts w:ascii="Arial" w:hAnsi="Arial" w:cs="Arial"/>
      <w:sz w:val="20"/>
      <w:szCs w:val="20"/>
    </w:rPr>
  </w:style>
  <w:style w:type="paragraph" w:customStyle="1" w:styleId="651">
    <w:name w:val="font15"/>
    <w:basedOn w:val="1"/>
    <w:qFormat/>
    <w:uiPriority w:val="99"/>
    <w:pPr>
      <w:spacing w:before="100" w:beforeAutospacing="1" w:after="100" w:afterAutospacing="1"/>
    </w:pPr>
    <w:rPr>
      <w:sz w:val="18"/>
      <w:szCs w:val="18"/>
    </w:rPr>
  </w:style>
  <w:style w:type="paragraph" w:customStyle="1" w:styleId="652">
    <w:name w:val="font16"/>
    <w:basedOn w:val="1"/>
    <w:autoRedefine/>
    <w:qFormat/>
    <w:uiPriority w:val="99"/>
    <w:pPr>
      <w:spacing w:before="100" w:beforeAutospacing="1" w:after="100" w:afterAutospacing="1"/>
    </w:pPr>
    <w:rPr>
      <w:rFonts w:ascii="宋体" w:hAnsi="宋体" w:cs="宋体"/>
      <w:sz w:val="18"/>
      <w:szCs w:val="18"/>
    </w:rPr>
  </w:style>
  <w:style w:type="table" w:customStyle="1" w:styleId="653">
    <w:name w:val="网格型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4">
    <w:name w:val="消息标题标签"/>
    <w:qFormat/>
    <w:uiPriority w:val="99"/>
    <w:rPr>
      <w:rFonts w:ascii="Arial" w:hAnsi="Arial"/>
      <w:b/>
      <w:spacing w:val="-4"/>
      <w:sz w:val="18"/>
      <w:lang w:eastAsia="zh-CN"/>
    </w:rPr>
  </w:style>
  <w:style w:type="character" w:customStyle="1" w:styleId="655">
    <w:name w:val="占位符文本1"/>
    <w:semiHidden/>
    <w:qFormat/>
    <w:uiPriority w:val="99"/>
    <w:rPr>
      <w:color w:val="808080"/>
    </w:rPr>
  </w:style>
  <w:style w:type="table" w:customStyle="1" w:styleId="656">
    <w:name w:val="网格型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7">
    <w:name w:val="样式 小四 段前: 5 磅 段后: 5 磅 首行缩进:  2 字符"/>
    <w:basedOn w:val="1"/>
    <w:qFormat/>
    <w:uiPriority w:val="99"/>
    <w:pPr>
      <w:widowControl w:val="0"/>
      <w:spacing w:line="360" w:lineRule="auto"/>
      <w:jc w:val="both"/>
    </w:pPr>
    <w:rPr>
      <w:rFonts w:ascii="宋体" w:hAnsi="宋体"/>
      <w:kern w:val="2"/>
      <w:sz w:val="21"/>
      <w:szCs w:val="21"/>
    </w:rPr>
  </w:style>
  <w:style w:type="paragraph" w:styleId="658">
    <w:name w:val="List Paragraph"/>
    <w:basedOn w:val="1"/>
    <w:qFormat/>
    <w:uiPriority w:val="34"/>
    <w:pPr>
      <w:widowControl w:val="0"/>
      <w:spacing w:line="400" w:lineRule="exact"/>
      <w:ind w:firstLine="420" w:firstLineChars="200"/>
      <w:jc w:val="both"/>
    </w:pPr>
    <w:rPr>
      <w:kern w:val="2"/>
    </w:rPr>
  </w:style>
  <w:style w:type="paragraph" w:customStyle="1" w:styleId="659">
    <w:name w:val="需求正文"/>
    <w:basedOn w:val="1"/>
    <w:qFormat/>
    <w:uiPriority w:val="0"/>
    <w:pPr>
      <w:widowControl w:val="0"/>
      <w:topLinePunct/>
      <w:ind w:firstLine="459"/>
      <w:jc w:val="both"/>
    </w:pPr>
    <w:rPr>
      <w:kern w:val="23"/>
      <w:sz w:val="23"/>
      <w:szCs w:val="23"/>
    </w:rPr>
  </w:style>
  <w:style w:type="character" w:customStyle="1" w:styleId="660">
    <w:name w:val="纯文本 Char Char"/>
    <w:autoRedefine/>
    <w:qFormat/>
    <w:uiPriority w:val="0"/>
    <w:rPr>
      <w:rFonts w:ascii="宋体" w:hAnsi="Courier New" w:eastAsia="宋体"/>
      <w:kern w:val="2"/>
      <w:sz w:val="21"/>
      <w:lang w:val="en-US" w:eastAsia="zh-CN" w:bidi="ar-SA"/>
    </w:rPr>
  </w:style>
  <w:style w:type="paragraph" w:customStyle="1" w:styleId="661">
    <w:name w:val="HL正文样式"/>
    <w:basedOn w:val="1"/>
    <w:qFormat/>
    <w:uiPriority w:val="0"/>
    <w:pPr>
      <w:widowControl w:val="0"/>
      <w:spacing w:line="360" w:lineRule="auto"/>
      <w:ind w:firstLine="200" w:firstLineChars="200"/>
      <w:jc w:val="both"/>
    </w:pPr>
    <w:rPr>
      <w:rFonts w:ascii="Arial" w:hAnsi="Arial"/>
      <w:kern w:val="2"/>
      <w:szCs w:val="22"/>
    </w:rPr>
  </w:style>
  <w:style w:type="character" w:customStyle="1" w:styleId="662">
    <w:name w:val="正文文本 (2) + MingLiU1"/>
    <w:qFormat/>
    <w:uiPriority w:val="0"/>
    <w:rPr>
      <w:rFonts w:hint="eastAsia" w:ascii="MingLiU" w:hAnsi="Times New Roman" w:eastAsia="MingLiU" w:cs="MingLiU"/>
      <w:sz w:val="16"/>
      <w:szCs w:val="16"/>
      <w:u w:val="none"/>
    </w:rPr>
  </w:style>
  <w:style w:type="character" w:customStyle="1" w:styleId="663">
    <w:name w:val="正文文本 (2) + Georgia"/>
    <w:qFormat/>
    <w:uiPriority w:val="0"/>
    <w:rPr>
      <w:rFonts w:hint="default" w:ascii="Georgia" w:hAnsi="Georgia" w:eastAsia="MingLiU" w:cs="Georgia"/>
      <w:b/>
      <w:bCs/>
      <w:spacing w:val="0"/>
      <w:sz w:val="14"/>
      <w:szCs w:val="14"/>
      <w:u w:val="none"/>
      <w:lang w:val="en-US" w:eastAsia="en-US"/>
    </w:rPr>
  </w:style>
  <w:style w:type="character" w:customStyle="1" w:styleId="664">
    <w:name w:val="*正文 Char"/>
    <w:link w:val="665"/>
    <w:qFormat/>
    <w:uiPriority w:val="0"/>
    <w:rPr>
      <w:rFonts w:ascii="宋体" w:hAnsi="宋体" w:cs="Times New Roman"/>
      <w:kern w:val="2"/>
      <w:sz w:val="24"/>
      <w:szCs w:val="24"/>
      <w:lang w:val="zh-CN"/>
    </w:rPr>
  </w:style>
  <w:style w:type="paragraph" w:customStyle="1" w:styleId="665">
    <w:name w:val="*正文"/>
    <w:basedOn w:val="1"/>
    <w:link w:val="664"/>
    <w:qFormat/>
    <w:uiPriority w:val="0"/>
    <w:pPr>
      <w:widowControl w:val="0"/>
      <w:spacing w:line="560" w:lineRule="exact"/>
      <w:ind w:firstLine="200" w:firstLineChars="200"/>
      <w:jc w:val="both"/>
    </w:pPr>
    <w:rPr>
      <w:rFonts w:ascii="宋体" w:hAnsi="宋体"/>
      <w:kern w:val="2"/>
      <w:lang w:val="zh-CN"/>
    </w:rPr>
  </w:style>
  <w:style w:type="character" w:customStyle="1" w:styleId="666">
    <w:name w:val="bookmark-item"/>
    <w:basedOn w:val="71"/>
    <w:qFormat/>
    <w:uiPriority w:val="0"/>
  </w:style>
  <w:style w:type="paragraph" w:customStyle="1" w:styleId="667">
    <w:name w:val="封面标准名称"/>
    <w:next w:val="22"/>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668">
    <w:name w:val="*Body Text"/>
    <w:qFormat/>
    <w:uiPriority w:val="0"/>
    <w:pPr>
      <w:spacing w:after="220" w:line="220" w:lineRule="atLeast"/>
    </w:pPr>
    <w:rPr>
      <w:rFonts w:ascii="Arial" w:hAnsi="Arial" w:eastAsia="宋体" w:cs="Times New Roman"/>
      <w:color w:val="000000"/>
      <w:lang w:val="en-US" w:eastAsia="en-US" w:bidi="ar-SA"/>
    </w:rPr>
  </w:style>
  <w:style w:type="character" w:customStyle="1" w:styleId="669">
    <w:name w:val="称呼 Char"/>
    <w:link w:val="24"/>
    <w:qFormat/>
    <w:uiPriority w:val="0"/>
  </w:style>
  <w:style w:type="character" w:customStyle="1" w:styleId="670">
    <w:name w:val="信息标题 Char"/>
    <w:link w:val="59"/>
    <w:qFormat/>
    <w:uiPriority w:val="0"/>
    <w:rPr>
      <w:rFonts w:ascii="Arial" w:hAnsi="Arial"/>
      <w:sz w:val="24"/>
    </w:rPr>
  </w:style>
  <w:style w:type="paragraph" w:customStyle="1" w:styleId="671">
    <w:name w:val="样式42"/>
    <w:basedOn w:val="5"/>
    <w:link w:val="672"/>
    <w:qFormat/>
    <w:uiPriority w:val="0"/>
    <w:pPr>
      <w:keepNext/>
      <w:keepLines/>
      <w:numPr>
        <w:ilvl w:val="1"/>
        <w:numId w:val="20"/>
      </w:numPr>
      <w:spacing w:before="60" w:after="64" w:line="319" w:lineRule="auto"/>
      <w:ind w:firstLine="0" w:firstLineChars="0"/>
      <w:contextualSpacing w:val="0"/>
      <w:jc w:val="left"/>
    </w:pPr>
    <w:rPr>
      <w:color w:val="auto"/>
      <w:spacing w:val="0"/>
      <w:sz w:val="32"/>
      <w:szCs w:val="21"/>
    </w:rPr>
  </w:style>
  <w:style w:type="character" w:customStyle="1" w:styleId="672">
    <w:name w:val="样式42 Char"/>
    <w:basedOn w:val="88"/>
    <w:link w:val="671"/>
    <w:autoRedefine/>
    <w:qFormat/>
    <w:uiPriority w:val="0"/>
    <w:rPr>
      <w:rFonts w:ascii="Cambria" w:hAnsi="Cambria" w:eastAsia="宋体" w:cs="Times New Roman"/>
      <w:color w:val="17365D"/>
      <w:spacing w:val="20"/>
      <w:kern w:val="2"/>
      <w:sz w:val="32"/>
      <w:szCs w:val="21"/>
    </w:rPr>
  </w:style>
  <w:style w:type="paragraph" w:customStyle="1" w:styleId="673">
    <w:name w:val="样式41"/>
    <w:basedOn w:val="3"/>
    <w:link w:val="674"/>
    <w:qFormat/>
    <w:uiPriority w:val="0"/>
    <w:pPr>
      <w:keepNext/>
      <w:keepLines/>
      <w:numPr>
        <w:ilvl w:val="0"/>
        <w:numId w:val="20"/>
      </w:numPr>
      <w:spacing w:before="340" w:after="330" w:line="578" w:lineRule="auto"/>
      <w:ind w:firstLine="0" w:firstLineChars="0"/>
      <w:contextualSpacing w:val="0"/>
      <w:jc w:val="left"/>
    </w:pPr>
    <w:rPr>
      <w:rFonts w:ascii="Times New Roman" w:hAnsi="Times New Roman"/>
      <w:color w:val="auto"/>
      <w:spacing w:val="0"/>
      <w:kern w:val="44"/>
      <w:sz w:val="36"/>
      <w:szCs w:val="44"/>
    </w:rPr>
  </w:style>
  <w:style w:type="character" w:customStyle="1" w:styleId="674">
    <w:name w:val="样式41 字符"/>
    <w:basedOn w:val="87"/>
    <w:link w:val="673"/>
    <w:qFormat/>
    <w:uiPriority w:val="0"/>
    <w:rPr>
      <w:rFonts w:ascii="Times New Roman" w:hAnsi="Times New Roman" w:eastAsia="宋体" w:cs="Times New Roman"/>
      <w:color w:val="0F243E"/>
      <w:spacing w:val="20"/>
      <w:kern w:val="44"/>
      <w:sz w:val="36"/>
      <w:szCs w:val="44"/>
    </w:rPr>
  </w:style>
  <w:style w:type="character" w:customStyle="1" w:styleId="675">
    <w:name w:val="current4"/>
    <w:qFormat/>
    <w:uiPriority w:val="0"/>
    <w:rPr>
      <w:b/>
      <w:color w:val="868686"/>
      <w:shd w:val="clear" w:color="auto" w:fill="3E3E3E"/>
    </w:rPr>
  </w:style>
  <w:style w:type="paragraph" w:customStyle="1" w:styleId="676">
    <w:name w:val="标题二"/>
    <w:basedOn w:val="1"/>
    <w:qFormat/>
    <w:uiPriority w:val="0"/>
    <w:pPr>
      <w:widowControl w:val="0"/>
      <w:spacing w:line="360" w:lineRule="auto"/>
      <w:ind w:firstLine="200" w:firstLineChars="200"/>
    </w:pPr>
    <w:rPr>
      <w:kern w:val="2"/>
    </w:rPr>
  </w:style>
  <w:style w:type="paragraph" w:customStyle="1" w:styleId="677">
    <w:name w:val="2"/>
    <w:basedOn w:val="5"/>
    <w:link w:val="678"/>
    <w:qFormat/>
    <w:uiPriority w:val="0"/>
    <w:pPr>
      <w:keepNext/>
      <w:keepLines/>
      <w:spacing w:before="60" w:after="64" w:line="319" w:lineRule="auto"/>
      <w:ind w:firstLine="0" w:firstLineChars="0"/>
      <w:contextualSpacing w:val="0"/>
      <w:jc w:val="left"/>
    </w:pPr>
    <w:rPr>
      <w:color w:val="auto"/>
      <w:spacing w:val="0"/>
      <w:sz w:val="32"/>
      <w:szCs w:val="21"/>
    </w:rPr>
  </w:style>
  <w:style w:type="character" w:customStyle="1" w:styleId="678">
    <w:name w:val="2 Char"/>
    <w:basedOn w:val="95"/>
    <w:link w:val="677"/>
    <w:autoRedefine/>
    <w:qFormat/>
    <w:uiPriority w:val="0"/>
    <w:rPr>
      <w:rFonts w:ascii="Cambria" w:hAnsi="Cambria" w:eastAsia="宋体" w:cs="Times New Roman"/>
      <w:color w:val="938953"/>
      <w:spacing w:val="20"/>
      <w:kern w:val="2"/>
      <w:sz w:val="32"/>
      <w:szCs w:val="21"/>
    </w:rPr>
  </w:style>
  <w:style w:type="character" w:customStyle="1" w:styleId="679">
    <w:name w:val="样式3 Char"/>
    <w:basedOn w:val="89"/>
    <w:link w:val="177"/>
    <w:qFormat/>
    <w:uiPriority w:val="0"/>
    <w:rPr>
      <w:rFonts w:ascii="仿宋_GB2312" w:hAnsi="仿宋_GB2312" w:eastAsia="仿宋_GB2312" w:cs="Times New Roman"/>
      <w:color w:val="1F497D"/>
      <w:spacing w:val="20"/>
      <w:kern w:val="2"/>
      <w:sz w:val="32"/>
      <w:szCs w:val="72"/>
    </w:rPr>
  </w:style>
  <w:style w:type="character" w:customStyle="1" w:styleId="680">
    <w:name w:val="样式2 Char"/>
    <w:basedOn w:val="71"/>
    <w:link w:val="166"/>
    <w:qFormat/>
    <w:uiPriority w:val="0"/>
    <w:rPr>
      <w:rFonts w:ascii="Times New Roman" w:hAnsi="Times New Roman"/>
      <w:kern w:val="2"/>
      <w:sz w:val="28"/>
      <w:szCs w:val="24"/>
    </w:rPr>
  </w:style>
  <w:style w:type="paragraph" w:customStyle="1" w:styleId="681">
    <w:name w:val="样式43"/>
    <w:basedOn w:val="4"/>
    <w:link w:val="682"/>
    <w:qFormat/>
    <w:uiPriority w:val="0"/>
    <w:pPr>
      <w:keepNext/>
      <w:keepLines/>
      <w:numPr>
        <w:ilvl w:val="2"/>
        <w:numId w:val="20"/>
      </w:numPr>
      <w:spacing w:before="260" w:after="260" w:line="415" w:lineRule="auto"/>
      <w:ind w:left="0" w:firstLine="350" w:firstLineChars="350"/>
      <w:contextualSpacing w:val="0"/>
      <w:jc w:val="left"/>
    </w:pPr>
    <w:rPr>
      <w:rFonts w:ascii="Times New Roman" w:hAnsi="Times New Roman"/>
      <w:bCs/>
      <w:color w:val="auto"/>
      <w:spacing w:val="0"/>
      <w:sz w:val="32"/>
      <w:szCs w:val="32"/>
    </w:rPr>
  </w:style>
  <w:style w:type="character" w:customStyle="1" w:styleId="682">
    <w:name w:val="样式43 Char"/>
    <w:basedOn w:val="89"/>
    <w:link w:val="681"/>
    <w:qFormat/>
    <w:uiPriority w:val="0"/>
    <w:rPr>
      <w:rFonts w:ascii="Times New Roman" w:hAnsi="Times New Roman" w:eastAsia="宋体" w:cs="Times New Roman"/>
      <w:bCs/>
      <w:color w:val="1F497D"/>
      <w:spacing w:val="20"/>
      <w:kern w:val="2"/>
      <w:sz w:val="32"/>
      <w:szCs w:val="32"/>
    </w:rPr>
  </w:style>
  <w:style w:type="paragraph" w:customStyle="1" w:styleId="683">
    <w:name w:val="样式44"/>
    <w:basedOn w:val="7"/>
    <w:link w:val="684"/>
    <w:qFormat/>
    <w:uiPriority w:val="0"/>
    <w:pPr>
      <w:keepNext/>
      <w:keepLines/>
      <w:numPr>
        <w:ilvl w:val="3"/>
        <w:numId w:val="20"/>
      </w:numPr>
      <w:pBdr>
        <w:bottom w:val="none" w:color="auto" w:sz="0" w:space="0"/>
      </w:pBdr>
      <w:spacing w:before="280" w:after="290" w:line="377" w:lineRule="auto"/>
      <w:ind w:firstLine="0" w:firstLineChars="0"/>
      <w:contextualSpacing w:val="0"/>
      <w:jc w:val="left"/>
    </w:pPr>
    <w:rPr>
      <w:color w:val="auto"/>
      <w:spacing w:val="0"/>
      <w:sz w:val="28"/>
      <w:szCs w:val="28"/>
    </w:rPr>
  </w:style>
  <w:style w:type="character" w:customStyle="1" w:styleId="684">
    <w:name w:val="样式44 Char"/>
    <w:basedOn w:val="90"/>
    <w:link w:val="683"/>
    <w:autoRedefine/>
    <w:qFormat/>
    <w:uiPriority w:val="0"/>
    <w:rPr>
      <w:rFonts w:ascii="Cambria" w:hAnsi="Cambria" w:eastAsia="宋体" w:cs="Times New Roman"/>
      <w:color w:val="3071C3"/>
      <w:spacing w:val="20"/>
      <w:kern w:val="2"/>
      <w:sz w:val="28"/>
      <w:szCs w:val="28"/>
    </w:rPr>
  </w:style>
  <w:style w:type="paragraph" w:customStyle="1" w:styleId="685">
    <w:name w:val="chart text"/>
    <w:basedOn w:val="1"/>
    <w:qFormat/>
    <w:uiPriority w:val="0"/>
    <w:pPr>
      <w:spacing w:line="180" w:lineRule="exact"/>
      <w:ind w:firstLine="200" w:firstLineChars="200"/>
    </w:pPr>
    <w:rPr>
      <w:rFonts w:ascii="Futura Bk" w:hAnsi="Futura Bk" w:cs="Futura Bk"/>
      <w:sz w:val="14"/>
      <w:szCs w:val="14"/>
    </w:rPr>
  </w:style>
  <w:style w:type="character" w:customStyle="1" w:styleId="686">
    <w:name w:val="tw4winMark"/>
    <w:qFormat/>
    <w:uiPriority w:val="0"/>
    <w:rPr>
      <w:rFonts w:ascii="Courier New" w:hAnsi="Courier New" w:cs="Courier New"/>
      <w:vanish/>
      <w:color w:val="800080"/>
      <w:sz w:val="24"/>
      <w:szCs w:val="24"/>
      <w:vertAlign w:val="subscript"/>
    </w:rPr>
  </w:style>
  <w:style w:type="paragraph" w:customStyle="1" w:styleId="687">
    <w:name w:val="Char1 Char Char Char Char Char Char"/>
    <w:basedOn w:val="1"/>
    <w:qFormat/>
    <w:uiPriority w:val="0"/>
    <w:pPr>
      <w:widowControl w:val="0"/>
      <w:spacing w:line="360" w:lineRule="auto"/>
      <w:ind w:firstLine="200" w:firstLineChars="200"/>
    </w:pPr>
    <w:rPr>
      <w:rFonts w:ascii="Tahoma" w:hAnsi="Tahoma"/>
      <w:kern w:val="2"/>
      <w:szCs w:val="20"/>
    </w:rPr>
  </w:style>
  <w:style w:type="character" w:customStyle="1" w:styleId="688">
    <w:name w:val="Heading 2 Char Char Char"/>
    <w:autoRedefine/>
    <w:qFormat/>
    <w:uiPriority w:val="0"/>
    <w:rPr>
      <w:rFonts w:ascii="Arial" w:hAnsi="Arial" w:cs="Arial"/>
      <w:b/>
      <w:bCs/>
      <w:i/>
      <w:iCs/>
      <w:color w:val="0A357E"/>
      <w:sz w:val="28"/>
      <w:szCs w:val="28"/>
      <w:lang w:val="en-US" w:eastAsia="en-US" w:bidi="ar-SA"/>
    </w:rPr>
  </w:style>
  <w:style w:type="paragraph" w:customStyle="1" w:styleId="689">
    <w:name w:val="~Body Text"/>
    <w:basedOn w:val="668"/>
    <w:qFormat/>
    <w:uiPriority w:val="0"/>
    <w:rPr>
      <w:color w:val="00637A"/>
    </w:rPr>
  </w:style>
  <w:style w:type="paragraph" w:customStyle="1" w:styleId="690">
    <w:name w:val="*Blind Paragraph"/>
    <w:basedOn w:val="41"/>
    <w:autoRedefine/>
    <w:qFormat/>
    <w:uiPriority w:val="0"/>
    <w:pPr>
      <w:widowControl/>
      <w:pBdr>
        <w:bottom w:val="none" w:color="auto" w:sz="0" w:space="0"/>
      </w:pBdr>
      <w:tabs>
        <w:tab w:val="center" w:pos="4320"/>
        <w:tab w:val="right" w:pos="8640"/>
        <w:tab w:val="clear" w:pos="4153"/>
        <w:tab w:val="clear" w:pos="8306"/>
      </w:tabs>
      <w:snapToGrid/>
      <w:spacing w:line="80" w:lineRule="exact"/>
      <w:ind w:firstLine="200" w:firstLineChars="200"/>
      <w:jc w:val="left"/>
    </w:pPr>
    <w:rPr>
      <w:rFonts w:ascii="Times New Roman" w:eastAsia="宋体"/>
      <w:color w:val="auto"/>
      <w:kern w:val="0"/>
      <w:sz w:val="4"/>
      <w:szCs w:val="4"/>
      <w:lang w:eastAsia="en-US"/>
    </w:rPr>
  </w:style>
  <w:style w:type="paragraph" w:customStyle="1" w:styleId="691">
    <w:name w:val="~Body Single"/>
    <w:basedOn w:val="689"/>
    <w:qFormat/>
    <w:uiPriority w:val="0"/>
    <w:pPr>
      <w:spacing w:after="0"/>
    </w:pPr>
  </w:style>
  <w:style w:type="paragraph" w:customStyle="1" w:styleId="692">
    <w:name w:val="~Bullet #1 Single"/>
    <w:basedOn w:val="689"/>
    <w:qFormat/>
    <w:uiPriority w:val="0"/>
    <w:pPr>
      <w:tabs>
        <w:tab w:val="left" w:pos="360"/>
      </w:tabs>
      <w:spacing w:after="0"/>
      <w:ind w:left="360" w:hanging="360"/>
    </w:pPr>
  </w:style>
  <w:style w:type="paragraph" w:customStyle="1" w:styleId="693">
    <w:name w:val="~Heading 1"/>
    <w:next w:val="689"/>
    <w:qFormat/>
    <w:uiPriority w:val="0"/>
    <w:pPr>
      <w:keepNext/>
      <w:keepLines/>
      <w:spacing w:before="240" w:after="120" w:line="220" w:lineRule="atLeast"/>
      <w:outlineLvl w:val="1"/>
    </w:pPr>
    <w:rPr>
      <w:rFonts w:ascii="Arial" w:hAnsi="Arial" w:eastAsia="宋体" w:cs="Times New Roman"/>
      <w:b/>
      <w:color w:val="00637A"/>
      <w:sz w:val="32"/>
      <w:szCs w:val="32"/>
      <w:lang w:val="en-US" w:eastAsia="en-US" w:bidi="ar-SA"/>
    </w:rPr>
  </w:style>
  <w:style w:type="paragraph" w:customStyle="1" w:styleId="694">
    <w:name w:val="*Heading 1"/>
    <w:basedOn w:val="668"/>
    <w:next w:val="668"/>
    <w:qFormat/>
    <w:uiPriority w:val="0"/>
    <w:pPr>
      <w:keepNext/>
      <w:keepLines/>
      <w:spacing w:before="240" w:after="120" w:line="240" w:lineRule="atLeast"/>
      <w:outlineLvl w:val="1"/>
    </w:pPr>
    <w:rPr>
      <w:b/>
      <w:color w:val="auto"/>
      <w:sz w:val="32"/>
      <w:szCs w:val="32"/>
    </w:rPr>
  </w:style>
  <w:style w:type="paragraph" w:customStyle="1" w:styleId="695">
    <w:name w:val="~Heading 2"/>
    <w:next w:val="689"/>
    <w:qFormat/>
    <w:uiPriority w:val="0"/>
    <w:pPr>
      <w:keepNext/>
      <w:keepLines/>
      <w:spacing w:before="240" w:after="120" w:line="240" w:lineRule="atLeast"/>
      <w:outlineLvl w:val="2"/>
    </w:pPr>
    <w:rPr>
      <w:rFonts w:ascii="Arial" w:hAnsi="Arial" w:eastAsia="宋体" w:cs="Times New Roman"/>
      <w:color w:val="00637A"/>
      <w:sz w:val="32"/>
      <w:szCs w:val="32"/>
      <w:lang w:val="en-US" w:eastAsia="en-US" w:bidi="ar-SA"/>
    </w:rPr>
  </w:style>
  <w:style w:type="paragraph" w:customStyle="1" w:styleId="696">
    <w:name w:val="~Heading 3"/>
    <w:next w:val="689"/>
    <w:qFormat/>
    <w:uiPriority w:val="0"/>
    <w:pPr>
      <w:keepNext/>
      <w:keepLines/>
      <w:spacing w:before="240" w:after="120"/>
      <w:outlineLvl w:val="3"/>
    </w:pPr>
    <w:rPr>
      <w:rFonts w:ascii="Arial" w:hAnsi="Arial" w:eastAsia="宋体" w:cs="Times New Roman"/>
      <w:b/>
      <w:color w:val="00637A"/>
      <w:sz w:val="24"/>
      <w:szCs w:val="24"/>
      <w:lang w:val="en-US" w:eastAsia="en-US" w:bidi="ar-SA"/>
    </w:rPr>
  </w:style>
  <w:style w:type="paragraph" w:customStyle="1" w:styleId="697">
    <w:name w:val="~Heading 4"/>
    <w:next w:val="689"/>
    <w:qFormat/>
    <w:uiPriority w:val="0"/>
    <w:pPr>
      <w:keepNext/>
      <w:keepLines/>
      <w:spacing w:before="240" w:after="120"/>
      <w:outlineLvl w:val="4"/>
    </w:pPr>
    <w:rPr>
      <w:rFonts w:ascii="Arial" w:hAnsi="Arial" w:eastAsia="宋体" w:cs="Times New Roman"/>
      <w:color w:val="00637A"/>
      <w:sz w:val="24"/>
      <w:szCs w:val="24"/>
      <w:lang w:val="en-US" w:eastAsia="en-US" w:bidi="ar-SA"/>
    </w:rPr>
  </w:style>
  <w:style w:type="paragraph" w:customStyle="1" w:styleId="698">
    <w:name w:val="~Heading 5"/>
    <w:next w:val="689"/>
    <w:autoRedefine/>
    <w:qFormat/>
    <w:uiPriority w:val="0"/>
    <w:pPr>
      <w:keepNext/>
      <w:keepLines/>
      <w:spacing w:before="240" w:after="120"/>
      <w:outlineLvl w:val="5"/>
    </w:pPr>
    <w:rPr>
      <w:rFonts w:ascii="Arial" w:hAnsi="Arial" w:eastAsia="宋体" w:cs="Times New Roman"/>
      <w:i/>
      <w:color w:val="00637A"/>
      <w:sz w:val="24"/>
      <w:szCs w:val="24"/>
      <w:lang w:val="en-US" w:eastAsia="en-US" w:bidi="ar-SA"/>
    </w:rPr>
  </w:style>
  <w:style w:type="paragraph" w:customStyle="1" w:styleId="699">
    <w:name w:val="~Number"/>
    <w:basedOn w:val="689"/>
    <w:qFormat/>
    <w:uiPriority w:val="0"/>
    <w:pPr>
      <w:tabs>
        <w:tab w:val="left" w:pos="360"/>
      </w:tabs>
      <w:spacing w:after="0"/>
      <w:ind w:left="360" w:hanging="360"/>
    </w:pPr>
  </w:style>
  <w:style w:type="paragraph" w:customStyle="1" w:styleId="700">
    <w:name w:val="*Body Single"/>
    <w:qFormat/>
    <w:uiPriority w:val="0"/>
    <w:pPr>
      <w:spacing w:line="220" w:lineRule="atLeast"/>
    </w:pPr>
    <w:rPr>
      <w:rFonts w:ascii="Arial" w:hAnsi="Arial" w:eastAsia="宋体" w:cs="Times New Roman"/>
      <w:lang w:val="en-US" w:eastAsia="en-US" w:bidi="ar-SA"/>
    </w:rPr>
  </w:style>
  <w:style w:type="paragraph" w:customStyle="1" w:styleId="701">
    <w:name w:val="*Bullet #1 Single"/>
    <w:basedOn w:val="668"/>
    <w:qFormat/>
    <w:uiPriority w:val="0"/>
    <w:pPr>
      <w:numPr>
        <w:ilvl w:val="0"/>
        <w:numId w:val="21"/>
      </w:numPr>
      <w:spacing w:after="0"/>
    </w:pPr>
  </w:style>
  <w:style w:type="paragraph" w:customStyle="1" w:styleId="702">
    <w:name w:val="*Bullet #2 Single"/>
    <w:basedOn w:val="701"/>
    <w:autoRedefine/>
    <w:qFormat/>
    <w:uiPriority w:val="0"/>
    <w:pPr>
      <w:tabs>
        <w:tab w:val="left" w:pos="720"/>
      </w:tabs>
      <w:ind w:left="720"/>
    </w:pPr>
  </w:style>
  <w:style w:type="paragraph" w:customStyle="1" w:styleId="703">
    <w:name w:val="*Bullet #2 Double"/>
    <w:basedOn w:val="702"/>
    <w:autoRedefine/>
    <w:qFormat/>
    <w:uiPriority w:val="0"/>
    <w:pPr>
      <w:spacing w:after="220"/>
    </w:pPr>
  </w:style>
  <w:style w:type="paragraph" w:customStyle="1" w:styleId="704">
    <w:name w:val="*Bullet #1 Double"/>
    <w:basedOn w:val="701"/>
    <w:autoRedefine/>
    <w:qFormat/>
    <w:uiPriority w:val="0"/>
    <w:pPr>
      <w:spacing w:after="220"/>
    </w:pPr>
  </w:style>
  <w:style w:type="paragraph" w:customStyle="1" w:styleId="705">
    <w:name w:val="*Bullet #3 Single"/>
    <w:basedOn w:val="702"/>
    <w:qFormat/>
    <w:uiPriority w:val="0"/>
    <w:pPr>
      <w:tabs>
        <w:tab w:val="left" w:pos="1080"/>
        <w:tab w:val="clear" w:pos="720"/>
      </w:tabs>
      <w:ind w:left="1080"/>
    </w:pPr>
  </w:style>
  <w:style w:type="paragraph" w:customStyle="1" w:styleId="706">
    <w:name w:val="*Bullet #3 Double"/>
    <w:basedOn w:val="705"/>
    <w:qFormat/>
    <w:uiPriority w:val="0"/>
    <w:pPr>
      <w:spacing w:after="220"/>
    </w:pPr>
  </w:style>
  <w:style w:type="paragraph" w:customStyle="1" w:styleId="707">
    <w:name w:val="*Heading 2"/>
    <w:next w:val="668"/>
    <w:qFormat/>
    <w:uiPriority w:val="0"/>
    <w:pPr>
      <w:keepNext/>
      <w:keepLines/>
      <w:spacing w:before="240" w:after="120"/>
      <w:outlineLvl w:val="2"/>
    </w:pPr>
    <w:rPr>
      <w:rFonts w:ascii="Arial" w:hAnsi="Arial" w:eastAsia="宋体" w:cs="Times New Roman"/>
      <w:sz w:val="32"/>
      <w:szCs w:val="32"/>
      <w:lang w:val="en-US" w:eastAsia="en-US" w:bidi="ar-SA"/>
    </w:rPr>
  </w:style>
  <w:style w:type="paragraph" w:customStyle="1" w:styleId="708">
    <w:name w:val="*Heading 3"/>
    <w:next w:val="668"/>
    <w:qFormat/>
    <w:uiPriority w:val="0"/>
    <w:pPr>
      <w:keepNext/>
      <w:keepLines/>
      <w:spacing w:before="240" w:after="120"/>
      <w:outlineLvl w:val="3"/>
    </w:pPr>
    <w:rPr>
      <w:rFonts w:ascii="Arial" w:hAnsi="Arial" w:eastAsia="宋体" w:cs="Times New Roman"/>
      <w:b/>
      <w:sz w:val="24"/>
      <w:szCs w:val="24"/>
      <w:lang w:val="en-US" w:eastAsia="en-US" w:bidi="ar-SA"/>
    </w:rPr>
  </w:style>
  <w:style w:type="paragraph" w:customStyle="1" w:styleId="709">
    <w:name w:val="*Heading 4"/>
    <w:next w:val="668"/>
    <w:qFormat/>
    <w:uiPriority w:val="0"/>
    <w:pPr>
      <w:keepNext/>
      <w:keepLines/>
      <w:spacing w:before="240" w:after="120"/>
      <w:outlineLvl w:val="4"/>
    </w:pPr>
    <w:rPr>
      <w:rFonts w:ascii="Arial" w:hAnsi="Arial" w:eastAsia="宋体" w:cs="Times New Roman"/>
      <w:sz w:val="24"/>
      <w:szCs w:val="24"/>
      <w:lang w:val="en-US" w:eastAsia="en-US" w:bidi="ar-SA"/>
    </w:rPr>
  </w:style>
  <w:style w:type="paragraph" w:customStyle="1" w:styleId="710">
    <w:name w:val="*Heading 5"/>
    <w:next w:val="668"/>
    <w:qFormat/>
    <w:uiPriority w:val="0"/>
    <w:pPr>
      <w:keepNext/>
      <w:keepLines/>
      <w:spacing w:before="240" w:after="120"/>
      <w:outlineLvl w:val="5"/>
    </w:pPr>
    <w:rPr>
      <w:rFonts w:ascii="Arial" w:hAnsi="Arial" w:eastAsia="宋体" w:cs="Times New Roman"/>
      <w:i/>
      <w:sz w:val="24"/>
      <w:szCs w:val="24"/>
      <w:lang w:val="en-US" w:eastAsia="en-US" w:bidi="ar-SA"/>
    </w:rPr>
  </w:style>
  <w:style w:type="paragraph" w:customStyle="1" w:styleId="711">
    <w:name w:val="*List Numbers (Auto)"/>
    <w:basedOn w:val="668"/>
    <w:qFormat/>
    <w:uiPriority w:val="0"/>
    <w:pPr>
      <w:tabs>
        <w:tab w:val="left" w:pos="360"/>
      </w:tabs>
      <w:spacing w:after="0"/>
      <w:ind w:left="360" w:hanging="360"/>
    </w:pPr>
    <w:rPr>
      <w:color w:val="auto"/>
    </w:rPr>
  </w:style>
  <w:style w:type="paragraph" w:customStyle="1" w:styleId="712">
    <w:name w:val="*List Numbers Bold (Auto)"/>
    <w:basedOn w:val="711"/>
    <w:qFormat/>
    <w:uiPriority w:val="0"/>
    <w:rPr>
      <w:b/>
    </w:rPr>
  </w:style>
  <w:style w:type="paragraph" w:customStyle="1" w:styleId="713">
    <w:name w:val="*Numbers"/>
    <w:basedOn w:val="711"/>
    <w:qFormat/>
    <w:uiPriority w:val="0"/>
  </w:style>
  <w:style w:type="paragraph" w:customStyle="1" w:styleId="714">
    <w:name w:val="*Numbers Bold"/>
    <w:basedOn w:val="713"/>
    <w:autoRedefine/>
    <w:qFormat/>
    <w:uiPriority w:val="0"/>
    <w:rPr>
      <w:b/>
    </w:rPr>
  </w:style>
  <w:style w:type="paragraph" w:customStyle="1" w:styleId="715">
    <w:name w:val="*SOW 1"/>
    <w:next w:val="668"/>
    <w:qFormat/>
    <w:uiPriority w:val="0"/>
    <w:pPr>
      <w:keepNext/>
      <w:keepLines/>
      <w:tabs>
        <w:tab w:val="left" w:pos="1440"/>
      </w:tabs>
      <w:spacing w:after="200" w:line="220" w:lineRule="atLeast"/>
      <w:ind w:left="1440" w:hanging="1440"/>
      <w:outlineLvl w:val="1"/>
    </w:pPr>
    <w:rPr>
      <w:rFonts w:ascii="Arial" w:hAnsi="Arial" w:eastAsia="宋体" w:cs="Times New Roman"/>
      <w:color w:val="000000"/>
      <w:szCs w:val="24"/>
      <w:lang w:val="en-US" w:eastAsia="en-US" w:bidi="ar-SA"/>
    </w:rPr>
  </w:style>
  <w:style w:type="paragraph" w:customStyle="1" w:styleId="716">
    <w:name w:val="*SOW 2"/>
    <w:basedOn w:val="715"/>
    <w:next w:val="668"/>
    <w:qFormat/>
    <w:uiPriority w:val="0"/>
    <w:pPr>
      <w:outlineLvl w:val="2"/>
    </w:pPr>
  </w:style>
  <w:style w:type="paragraph" w:customStyle="1" w:styleId="717">
    <w:name w:val="*SOW 3"/>
    <w:basedOn w:val="715"/>
    <w:next w:val="668"/>
    <w:qFormat/>
    <w:uiPriority w:val="0"/>
    <w:pPr>
      <w:outlineLvl w:val="3"/>
    </w:pPr>
  </w:style>
  <w:style w:type="paragraph" w:customStyle="1" w:styleId="718">
    <w:name w:val="*SOW 4"/>
    <w:basedOn w:val="715"/>
    <w:next w:val="668"/>
    <w:qFormat/>
    <w:uiPriority w:val="0"/>
    <w:pPr>
      <w:outlineLvl w:val="4"/>
    </w:pPr>
  </w:style>
  <w:style w:type="paragraph" w:customStyle="1" w:styleId="719">
    <w:name w:val="*SOW 5"/>
    <w:basedOn w:val="715"/>
    <w:next w:val="668"/>
    <w:qFormat/>
    <w:uiPriority w:val="0"/>
    <w:pPr>
      <w:outlineLvl w:val="5"/>
    </w:pPr>
  </w:style>
  <w:style w:type="paragraph" w:customStyle="1" w:styleId="720">
    <w:name w:val="*Table Text"/>
    <w:qFormat/>
    <w:uiPriority w:val="0"/>
    <w:pPr>
      <w:spacing w:line="240" w:lineRule="atLeast"/>
    </w:pPr>
    <w:rPr>
      <w:rFonts w:ascii="Arial" w:hAnsi="Arial" w:eastAsia="宋体" w:cs="Times New Roman"/>
      <w:sz w:val="18"/>
      <w:szCs w:val="24"/>
      <w:lang w:val="en-US" w:eastAsia="en-US" w:bidi="ar-SA"/>
    </w:rPr>
  </w:style>
  <w:style w:type="paragraph" w:customStyle="1" w:styleId="721">
    <w:name w:val="*Table Text 2"/>
    <w:basedOn w:val="720"/>
    <w:qFormat/>
    <w:uiPriority w:val="0"/>
    <w:pPr>
      <w:spacing w:line="220" w:lineRule="atLeast"/>
    </w:pPr>
    <w:rPr>
      <w:color w:val="000000"/>
      <w:sz w:val="20"/>
      <w:szCs w:val="20"/>
    </w:rPr>
  </w:style>
  <w:style w:type="paragraph" w:customStyle="1" w:styleId="722">
    <w:name w:val="*Table Text Bold"/>
    <w:basedOn w:val="720"/>
    <w:autoRedefine/>
    <w:qFormat/>
    <w:uiPriority w:val="0"/>
    <w:rPr>
      <w:b/>
    </w:rPr>
  </w:style>
  <w:style w:type="paragraph" w:customStyle="1" w:styleId="723">
    <w:name w:val="*Manual # Heading 1"/>
    <w:next w:val="668"/>
    <w:qFormat/>
    <w:uiPriority w:val="0"/>
    <w:pPr>
      <w:keepNext/>
      <w:keepLines/>
      <w:tabs>
        <w:tab w:val="left" w:pos="1440"/>
      </w:tabs>
      <w:spacing w:before="240" w:after="120"/>
      <w:ind w:left="1440" w:hanging="1440"/>
      <w:outlineLvl w:val="1"/>
    </w:pPr>
    <w:rPr>
      <w:rFonts w:ascii="Arial" w:hAnsi="Arial" w:eastAsia="宋体" w:cs="Times New Roman"/>
      <w:b/>
      <w:sz w:val="32"/>
      <w:szCs w:val="32"/>
      <w:lang w:val="en-US" w:eastAsia="en-US" w:bidi="ar-SA"/>
    </w:rPr>
  </w:style>
  <w:style w:type="paragraph" w:customStyle="1" w:styleId="724">
    <w:name w:val="*Table/Graphics Caption"/>
    <w:basedOn w:val="668"/>
    <w:next w:val="668"/>
    <w:qFormat/>
    <w:uiPriority w:val="0"/>
    <w:pPr>
      <w:spacing w:after="120"/>
    </w:pPr>
    <w:rPr>
      <w:color w:val="auto"/>
      <w:sz w:val="18"/>
      <w:szCs w:val="18"/>
    </w:rPr>
  </w:style>
  <w:style w:type="paragraph" w:customStyle="1" w:styleId="725">
    <w:name w:val="*Proprietary Notice"/>
    <w:qFormat/>
    <w:uiPriority w:val="0"/>
    <w:pPr>
      <w:spacing w:line="200" w:lineRule="exact"/>
    </w:pPr>
    <w:rPr>
      <w:rFonts w:ascii="Arial" w:hAnsi="Arial" w:eastAsia="宋体" w:cs="Times New Roman"/>
      <w:color w:val="00637A"/>
      <w:sz w:val="16"/>
      <w:szCs w:val="16"/>
      <w:lang w:val="en-US" w:eastAsia="en-US" w:bidi="ar-SA"/>
    </w:rPr>
  </w:style>
  <w:style w:type="paragraph" w:customStyle="1" w:styleId="726">
    <w:name w:val="*Footer"/>
    <w:autoRedefine/>
    <w:qFormat/>
    <w:uiPriority w:val="0"/>
    <w:pPr>
      <w:tabs>
        <w:tab w:val="right" w:pos="8640"/>
      </w:tabs>
    </w:pPr>
    <w:rPr>
      <w:rFonts w:ascii="Arial" w:hAnsi="Arial" w:eastAsia="宋体" w:cs="Times New Roman"/>
      <w:i/>
      <w:color w:val="00637A"/>
      <w:sz w:val="18"/>
      <w:szCs w:val="18"/>
      <w:lang w:val="en-US" w:eastAsia="en-US" w:bidi="ar-SA"/>
    </w:rPr>
  </w:style>
  <w:style w:type="paragraph" w:customStyle="1" w:styleId="727">
    <w:name w:val="*Quotation"/>
    <w:basedOn w:val="668"/>
    <w:next w:val="728"/>
    <w:qFormat/>
    <w:uiPriority w:val="0"/>
    <w:pPr>
      <w:spacing w:after="200"/>
      <w:ind w:left="720" w:right="720"/>
    </w:pPr>
    <w:rPr>
      <w:i/>
    </w:rPr>
  </w:style>
  <w:style w:type="paragraph" w:customStyle="1" w:styleId="728">
    <w:name w:val="*Quotation Attribute"/>
    <w:basedOn w:val="668"/>
    <w:next w:val="668"/>
    <w:qFormat/>
    <w:uiPriority w:val="0"/>
    <w:pPr>
      <w:tabs>
        <w:tab w:val="left" w:pos="936"/>
      </w:tabs>
      <w:ind w:left="936" w:right="720" w:hanging="216"/>
    </w:pPr>
  </w:style>
  <w:style w:type="paragraph" w:customStyle="1" w:styleId="729">
    <w:name w:val="~Bullet #2 Single"/>
    <w:basedOn w:val="702"/>
    <w:qFormat/>
    <w:uiPriority w:val="0"/>
    <w:rPr>
      <w:color w:val="00637A"/>
    </w:rPr>
  </w:style>
  <w:style w:type="paragraph" w:customStyle="1" w:styleId="730">
    <w:name w:val="*Manual # Heading 2"/>
    <w:next w:val="668"/>
    <w:autoRedefine/>
    <w:qFormat/>
    <w:uiPriority w:val="0"/>
    <w:pPr>
      <w:keepNext/>
      <w:keepLines/>
      <w:tabs>
        <w:tab w:val="left" w:pos="1440"/>
      </w:tabs>
      <w:spacing w:before="240" w:after="120"/>
      <w:ind w:left="1440" w:hanging="1440"/>
      <w:outlineLvl w:val="2"/>
    </w:pPr>
    <w:rPr>
      <w:rFonts w:ascii="Arial" w:hAnsi="Arial" w:eastAsia="宋体" w:cs="Times New Roman"/>
      <w:sz w:val="32"/>
      <w:szCs w:val="32"/>
      <w:lang w:val="en-US" w:eastAsia="en-US" w:bidi="ar-SA"/>
    </w:rPr>
  </w:style>
  <w:style w:type="paragraph" w:customStyle="1" w:styleId="731">
    <w:name w:val="~List Number"/>
    <w:basedOn w:val="711"/>
    <w:autoRedefine/>
    <w:qFormat/>
    <w:uiPriority w:val="0"/>
    <w:rPr>
      <w:color w:val="00637A"/>
    </w:rPr>
  </w:style>
  <w:style w:type="paragraph" w:customStyle="1" w:styleId="732">
    <w:name w:val="~Table Text"/>
    <w:basedOn w:val="720"/>
    <w:qFormat/>
    <w:uiPriority w:val="0"/>
    <w:rPr>
      <w:color w:val="00637A"/>
      <w:szCs w:val="18"/>
    </w:rPr>
  </w:style>
  <w:style w:type="paragraph" w:customStyle="1" w:styleId="733">
    <w:name w:val="~Table/Graphics Caption"/>
    <w:basedOn w:val="724"/>
    <w:next w:val="689"/>
    <w:qFormat/>
    <w:uiPriority w:val="0"/>
    <w:rPr>
      <w:color w:val="00637A"/>
    </w:rPr>
  </w:style>
  <w:style w:type="paragraph" w:customStyle="1" w:styleId="734">
    <w:name w:val="_Style 139"/>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35">
    <w:name w:val="*Full Page"/>
    <w:basedOn w:val="668"/>
    <w:qFormat/>
    <w:uiPriority w:val="0"/>
    <w:pPr>
      <w:spacing w:after="280"/>
    </w:pPr>
    <w:rPr>
      <w:color w:val="auto"/>
    </w:rPr>
  </w:style>
  <w:style w:type="paragraph" w:customStyle="1" w:styleId="736">
    <w:name w:val="Headline"/>
    <w:basedOn w:val="1"/>
    <w:autoRedefine/>
    <w:qFormat/>
    <w:uiPriority w:val="0"/>
    <w:pPr>
      <w:suppressAutoHyphens/>
      <w:spacing w:line="280" w:lineRule="exact"/>
      <w:ind w:firstLine="200" w:firstLineChars="200"/>
    </w:pPr>
    <w:rPr>
      <w:szCs w:val="20"/>
      <w:lang w:eastAsia="en-US"/>
    </w:rPr>
  </w:style>
  <w:style w:type="paragraph" w:customStyle="1" w:styleId="737">
    <w:name w:val="Default Text"/>
    <w:basedOn w:val="1"/>
    <w:autoRedefine/>
    <w:qFormat/>
    <w:uiPriority w:val="0"/>
    <w:pPr>
      <w:suppressAutoHyphens/>
      <w:spacing w:after="200" w:line="240" w:lineRule="exact"/>
      <w:ind w:left="3289" w:firstLine="200" w:firstLineChars="200"/>
    </w:pPr>
    <w:rPr>
      <w:sz w:val="20"/>
      <w:szCs w:val="20"/>
      <w:lang w:eastAsia="en-US"/>
    </w:rPr>
  </w:style>
  <w:style w:type="paragraph" w:customStyle="1" w:styleId="738">
    <w:name w:val="*Header"/>
    <w:basedOn w:val="668"/>
    <w:autoRedefine/>
    <w:qFormat/>
    <w:uiPriority w:val="0"/>
    <w:pPr>
      <w:tabs>
        <w:tab w:val="right" w:pos="8784"/>
      </w:tabs>
      <w:spacing w:after="0"/>
    </w:pPr>
    <w:rPr>
      <w:color w:val="00637A"/>
      <w:sz w:val="18"/>
      <w:szCs w:val="18"/>
    </w:rPr>
  </w:style>
  <w:style w:type="paragraph" w:customStyle="1" w:styleId="739">
    <w:name w:val="Top Line"/>
    <w:basedOn w:val="1"/>
    <w:qFormat/>
    <w:uiPriority w:val="0"/>
    <w:pPr>
      <w:pBdr>
        <w:bottom w:val="single" w:color="auto" w:sz="18" w:space="1"/>
      </w:pBdr>
      <w:spacing w:line="360" w:lineRule="auto"/>
      <w:ind w:firstLine="200" w:firstLineChars="200"/>
    </w:pPr>
    <w:rPr>
      <w:sz w:val="20"/>
      <w:szCs w:val="20"/>
      <w:lang w:eastAsia="en-US"/>
    </w:rPr>
  </w:style>
  <w:style w:type="paragraph" w:customStyle="1" w:styleId="740">
    <w:name w:val="*List Text"/>
    <w:basedOn w:val="668"/>
    <w:qFormat/>
    <w:uiPriority w:val="0"/>
    <w:pPr>
      <w:tabs>
        <w:tab w:val="left" w:pos="360"/>
        <w:tab w:val="left" w:pos="576"/>
        <w:tab w:val="right" w:leader="dot" w:pos="8640"/>
      </w:tabs>
      <w:suppressAutoHyphens/>
      <w:ind w:left="360" w:hanging="360"/>
    </w:pPr>
    <w:rPr>
      <w:color w:val="auto"/>
      <w:sz w:val="18"/>
      <w:szCs w:val="18"/>
    </w:rPr>
  </w:style>
  <w:style w:type="paragraph" w:customStyle="1" w:styleId="741">
    <w:name w:val="*Response"/>
    <w:basedOn w:val="668"/>
    <w:next w:val="668"/>
    <w:qFormat/>
    <w:uiPriority w:val="0"/>
    <w:pPr>
      <w:ind w:left="1440" w:hanging="1440"/>
    </w:pPr>
    <w:rPr>
      <w:color w:val="auto"/>
    </w:rPr>
  </w:style>
  <w:style w:type="paragraph" w:customStyle="1" w:styleId="742">
    <w:name w:val="*Body Text Bold"/>
    <w:basedOn w:val="668"/>
    <w:next w:val="668"/>
    <w:qFormat/>
    <w:uiPriority w:val="0"/>
    <w:rPr>
      <w:b/>
      <w:color w:val="auto"/>
    </w:rPr>
  </w:style>
  <w:style w:type="paragraph" w:customStyle="1" w:styleId="743">
    <w:name w:val="*Table Text Bullet #1"/>
    <w:basedOn w:val="720"/>
    <w:autoRedefine/>
    <w:qFormat/>
    <w:uiPriority w:val="0"/>
    <w:pPr>
      <w:tabs>
        <w:tab w:val="left" w:pos="144"/>
      </w:tabs>
    </w:pPr>
  </w:style>
  <w:style w:type="paragraph" w:customStyle="1" w:styleId="744">
    <w:name w:val="*Bullet #1 Subtext Single"/>
    <w:basedOn w:val="704"/>
    <w:qFormat/>
    <w:uiPriority w:val="0"/>
    <w:pPr>
      <w:numPr>
        <w:numId w:val="0"/>
      </w:numPr>
      <w:spacing w:after="0"/>
      <w:ind w:left="360"/>
    </w:pPr>
  </w:style>
  <w:style w:type="paragraph" w:customStyle="1" w:styleId="745">
    <w:name w:val="*Bullet #2 Subtext Single"/>
    <w:basedOn w:val="703"/>
    <w:qFormat/>
    <w:uiPriority w:val="0"/>
    <w:pPr>
      <w:numPr>
        <w:numId w:val="0"/>
      </w:numPr>
      <w:spacing w:after="0"/>
      <w:ind w:left="720"/>
    </w:pPr>
  </w:style>
  <w:style w:type="paragraph" w:customStyle="1" w:styleId="746">
    <w:name w:val="*Bullet #3 Subtext Single"/>
    <w:basedOn w:val="706"/>
    <w:qFormat/>
    <w:uiPriority w:val="0"/>
    <w:pPr>
      <w:numPr>
        <w:numId w:val="0"/>
      </w:numPr>
      <w:spacing w:after="0"/>
      <w:ind w:left="1080"/>
    </w:pPr>
  </w:style>
  <w:style w:type="paragraph" w:customStyle="1" w:styleId="747">
    <w:name w:val="~Bullet #1 Subtext"/>
    <w:basedOn w:val="692"/>
    <w:autoRedefine/>
    <w:qFormat/>
    <w:uiPriority w:val="0"/>
    <w:pPr>
      <w:tabs>
        <w:tab w:val="clear" w:pos="360"/>
      </w:tabs>
      <w:ind w:firstLine="0"/>
    </w:pPr>
  </w:style>
  <w:style w:type="paragraph" w:customStyle="1" w:styleId="748">
    <w:name w:val="~Bullet #2 Subtext"/>
    <w:basedOn w:val="729"/>
    <w:qFormat/>
    <w:uiPriority w:val="0"/>
    <w:pPr>
      <w:numPr>
        <w:numId w:val="0"/>
      </w:numPr>
      <w:ind w:left="720"/>
    </w:pPr>
  </w:style>
  <w:style w:type="paragraph" w:customStyle="1" w:styleId="749">
    <w:name w:val="~Bullet #1 Double"/>
    <w:basedOn w:val="692"/>
    <w:autoRedefine/>
    <w:qFormat/>
    <w:uiPriority w:val="0"/>
    <w:pPr>
      <w:spacing w:after="220"/>
      <w:ind w:left="230" w:hanging="230"/>
    </w:pPr>
  </w:style>
  <w:style w:type="paragraph" w:customStyle="1" w:styleId="750">
    <w:name w:val="*Info Text"/>
    <w:qFormat/>
    <w:uiPriority w:val="0"/>
    <w:rPr>
      <w:rFonts w:ascii="Arial" w:hAnsi="Arial" w:eastAsia="宋体" w:cs="Times New Roman"/>
      <w:sz w:val="18"/>
      <w:lang w:val="en-US" w:eastAsia="en-US" w:bidi="ar-SA"/>
    </w:rPr>
  </w:style>
  <w:style w:type="paragraph" w:customStyle="1" w:styleId="751">
    <w:name w:val="*Numbers Double"/>
    <w:basedOn w:val="713"/>
    <w:qFormat/>
    <w:uiPriority w:val="0"/>
    <w:pPr>
      <w:spacing w:after="220"/>
    </w:pPr>
  </w:style>
  <w:style w:type="paragraph" w:customStyle="1" w:styleId="752">
    <w:name w:val="~Bullet Subnumber"/>
    <w:basedOn w:val="747"/>
    <w:qFormat/>
    <w:uiPriority w:val="0"/>
    <w:pPr>
      <w:tabs>
        <w:tab w:val="left" w:pos="720"/>
      </w:tabs>
      <w:ind w:left="720" w:hanging="360"/>
    </w:pPr>
  </w:style>
  <w:style w:type="paragraph" w:customStyle="1" w:styleId="753">
    <w:name w:val="*Bullet #1 Subtext Double"/>
    <w:basedOn w:val="744"/>
    <w:qFormat/>
    <w:uiPriority w:val="0"/>
    <w:pPr>
      <w:spacing w:after="220"/>
    </w:pPr>
  </w:style>
  <w:style w:type="paragraph" w:customStyle="1" w:styleId="754">
    <w:name w:val="*Table Text Bullet #2"/>
    <w:basedOn w:val="743"/>
    <w:qFormat/>
    <w:uiPriority w:val="0"/>
    <w:pPr>
      <w:ind w:left="310" w:hanging="166"/>
    </w:pPr>
  </w:style>
  <w:style w:type="paragraph" w:customStyle="1" w:styleId="755">
    <w:name w:val="*Table Heading 1"/>
    <w:basedOn w:val="720"/>
    <w:qFormat/>
    <w:uiPriority w:val="0"/>
    <w:pPr>
      <w:shd w:val="clear" w:color="auto" w:fill="007D9A"/>
      <w:jc w:val="center"/>
    </w:pPr>
    <w:rPr>
      <w:b/>
      <w:color w:val="FFFFFF"/>
      <w:sz w:val="20"/>
      <w:szCs w:val="20"/>
    </w:rPr>
  </w:style>
  <w:style w:type="paragraph" w:customStyle="1" w:styleId="756">
    <w:name w:val="*Table Heading 2"/>
    <w:basedOn w:val="755"/>
    <w:qFormat/>
    <w:uiPriority w:val="0"/>
    <w:pPr>
      <w:shd w:val="clear" w:color="auto" w:fill="A8A8A8"/>
    </w:pPr>
    <w:rPr>
      <w:sz w:val="18"/>
      <w:szCs w:val="18"/>
    </w:rPr>
  </w:style>
  <w:style w:type="paragraph" w:customStyle="1" w:styleId="757">
    <w:name w:val="*Cover Text 1"/>
    <w:basedOn w:val="721"/>
    <w:autoRedefine/>
    <w:qFormat/>
    <w:uiPriority w:val="0"/>
    <w:pPr>
      <w:spacing w:line="280" w:lineRule="atLeast"/>
    </w:pPr>
    <w:rPr>
      <w:color w:val="00637A"/>
      <w:sz w:val="44"/>
      <w:szCs w:val="44"/>
    </w:rPr>
  </w:style>
  <w:style w:type="paragraph" w:customStyle="1" w:styleId="758">
    <w:name w:val="*Confidentiality Notice"/>
    <w:basedOn w:val="668"/>
    <w:autoRedefine/>
    <w:qFormat/>
    <w:uiPriority w:val="0"/>
    <w:pPr>
      <w:spacing w:after="200"/>
    </w:pPr>
    <w:rPr>
      <w:color w:val="auto"/>
      <w:sz w:val="18"/>
    </w:rPr>
  </w:style>
  <w:style w:type="paragraph" w:customStyle="1" w:styleId="759">
    <w:name w:val="*Table of Contents"/>
    <w:basedOn w:val="758"/>
    <w:next w:val="668"/>
    <w:autoRedefine/>
    <w:qFormat/>
    <w:uiPriority w:val="0"/>
    <w:pPr>
      <w:spacing w:before="240" w:after="240" w:line="240" w:lineRule="auto"/>
    </w:pPr>
    <w:rPr>
      <w:color w:val="00637A"/>
      <w:sz w:val="36"/>
      <w:szCs w:val="36"/>
    </w:rPr>
  </w:style>
  <w:style w:type="paragraph" w:customStyle="1" w:styleId="760">
    <w:name w:val="*Cover Text 2"/>
    <w:basedOn w:val="721"/>
    <w:qFormat/>
    <w:uiPriority w:val="0"/>
    <w:pPr>
      <w:spacing w:before="720"/>
    </w:pPr>
    <w:rPr>
      <w:b/>
      <w:color w:val="00637A"/>
      <w:sz w:val="24"/>
      <w:szCs w:val="24"/>
    </w:rPr>
  </w:style>
  <w:style w:type="paragraph" w:customStyle="1" w:styleId="761">
    <w:name w:val="*Table Text 2 Bullet #1"/>
    <w:basedOn w:val="721"/>
    <w:autoRedefine/>
    <w:qFormat/>
    <w:uiPriority w:val="0"/>
    <w:pPr>
      <w:numPr>
        <w:ilvl w:val="0"/>
        <w:numId w:val="22"/>
      </w:numPr>
      <w:spacing w:line="240" w:lineRule="atLeast"/>
    </w:pPr>
    <w:rPr>
      <w:rFonts w:cs="Arial"/>
      <w:color w:val="0000FF"/>
      <w:sz w:val="18"/>
      <w:szCs w:val="18"/>
      <w:lang w:eastAsia="zh-CN"/>
    </w:rPr>
  </w:style>
  <w:style w:type="paragraph" w:customStyle="1" w:styleId="762">
    <w:name w:val="*Table Text 3"/>
    <w:basedOn w:val="720"/>
    <w:qFormat/>
    <w:uiPriority w:val="0"/>
    <w:rPr>
      <w:sz w:val="14"/>
      <w:szCs w:val="14"/>
    </w:rPr>
  </w:style>
  <w:style w:type="paragraph" w:customStyle="1" w:styleId="763">
    <w:name w:val="*Bullet Subnumber"/>
    <w:basedOn w:val="752"/>
    <w:qFormat/>
    <w:uiPriority w:val="0"/>
    <w:rPr>
      <w:color w:val="auto"/>
    </w:rPr>
  </w:style>
  <w:style w:type="paragraph" w:customStyle="1" w:styleId="764">
    <w:name w:val="*Manual # Heading 3"/>
    <w:next w:val="668"/>
    <w:qFormat/>
    <w:uiPriority w:val="0"/>
    <w:pPr>
      <w:keepNext/>
      <w:keepLines/>
      <w:tabs>
        <w:tab w:val="left" w:pos="1440"/>
      </w:tabs>
      <w:spacing w:before="240" w:after="120"/>
      <w:ind w:left="1440" w:hanging="1440"/>
      <w:outlineLvl w:val="3"/>
    </w:pPr>
    <w:rPr>
      <w:rFonts w:ascii="Arial" w:hAnsi="Arial" w:eastAsia="宋体" w:cs="Times New Roman"/>
      <w:b/>
      <w:sz w:val="24"/>
      <w:szCs w:val="24"/>
      <w:lang w:val="en-US" w:eastAsia="en-US" w:bidi="ar-SA"/>
    </w:rPr>
  </w:style>
  <w:style w:type="paragraph" w:customStyle="1" w:styleId="765">
    <w:name w:val="*Manual # Heading 4"/>
    <w:next w:val="668"/>
    <w:qFormat/>
    <w:uiPriority w:val="0"/>
    <w:pPr>
      <w:keepNext/>
      <w:keepLines/>
      <w:tabs>
        <w:tab w:val="left" w:pos="1440"/>
      </w:tabs>
      <w:spacing w:before="240" w:after="120"/>
      <w:ind w:left="1440" w:hanging="1440"/>
      <w:outlineLvl w:val="4"/>
    </w:pPr>
    <w:rPr>
      <w:rFonts w:ascii="Arial" w:hAnsi="Arial" w:eastAsia="宋体" w:cs="Times New Roman"/>
      <w:sz w:val="24"/>
      <w:szCs w:val="24"/>
      <w:lang w:val="en-US" w:eastAsia="en-US" w:bidi="ar-SA"/>
    </w:rPr>
  </w:style>
  <w:style w:type="paragraph" w:customStyle="1" w:styleId="766">
    <w:name w:val="*Manual # Heading 5"/>
    <w:next w:val="668"/>
    <w:autoRedefine/>
    <w:qFormat/>
    <w:uiPriority w:val="0"/>
    <w:pPr>
      <w:keepNext/>
      <w:keepLines/>
      <w:tabs>
        <w:tab w:val="left" w:pos="1440"/>
      </w:tabs>
      <w:spacing w:before="240" w:after="120"/>
      <w:ind w:left="1440" w:hanging="1440"/>
      <w:outlineLvl w:val="5"/>
    </w:pPr>
    <w:rPr>
      <w:rFonts w:ascii="Arial" w:hAnsi="Arial" w:eastAsia="宋体" w:cs="Times New Roman"/>
      <w:i/>
      <w:sz w:val="24"/>
      <w:szCs w:val="24"/>
      <w:lang w:val="en-US" w:eastAsia="en-US" w:bidi="ar-SA"/>
    </w:rPr>
  </w:style>
  <w:style w:type="paragraph" w:customStyle="1" w:styleId="767">
    <w:name w:val="~Manual # Heading 1"/>
    <w:next w:val="689"/>
    <w:autoRedefine/>
    <w:qFormat/>
    <w:uiPriority w:val="0"/>
    <w:pPr>
      <w:keepNext/>
      <w:keepLines/>
      <w:tabs>
        <w:tab w:val="left" w:pos="1440"/>
      </w:tabs>
      <w:spacing w:before="240" w:after="120"/>
      <w:ind w:left="1440" w:hanging="1440"/>
      <w:outlineLvl w:val="1"/>
    </w:pPr>
    <w:rPr>
      <w:rFonts w:ascii="Arial" w:hAnsi="Arial" w:eastAsia="宋体" w:cs="Times New Roman"/>
      <w:b/>
      <w:color w:val="00637A"/>
      <w:sz w:val="32"/>
      <w:szCs w:val="32"/>
      <w:lang w:val="en-US" w:eastAsia="en-US" w:bidi="ar-SA"/>
    </w:rPr>
  </w:style>
  <w:style w:type="paragraph" w:customStyle="1" w:styleId="768">
    <w:name w:val="~Manual # Heading 2"/>
    <w:next w:val="689"/>
    <w:qFormat/>
    <w:uiPriority w:val="0"/>
    <w:pPr>
      <w:keepNext/>
      <w:keepLines/>
      <w:tabs>
        <w:tab w:val="left" w:pos="1440"/>
      </w:tabs>
      <w:spacing w:before="240" w:after="120"/>
      <w:ind w:left="1440" w:hanging="1440"/>
      <w:outlineLvl w:val="2"/>
    </w:pPr>
    <w:rPr>
      <w:rFonts w:ascii="Arial" w:hAnsi="Arial" w:eastAsia="宋体" w:cs="Times New Roman"/>
      <w:color w:val="00637A"/>
      <w:sz w:val="32"/>
      <w:szCs w:val="32"/>
      <w:lang w:val="en-US" w:eastAsia="en-US" w:bidi="ar-SA"/>
    </w:rPr>
  </w:style>
  <w:style w:type="paragraph" w:customStyle="1" w:styleId="769">
    <w:name w:val="~Manual # Heading 3"/>
    <w:next w:val="689"/>
    <w:qFormat/>
    <w:uiPriority w:val="0"/>
    <w:pPr>
      <w:keepNext/>
      <w:keepLines/>
      <w:tabs>
        <w:tab w:val="left" w:pos="1440"/>
      </w:tabs>
      <w:spacing w:before="240" w:after="120"/>
      <w:ind w:left="1440" w:hanging="1440"/>
      <w:outlineLvl w:val="3"/>
    </w:pPr>
    <w:rPr>
      <w:rFonts w:ascii="Arial" w:hAnsi="Arial" w:eastAsia="宋体" w:cs="Times New Roman"/>
      <w:b/>
      <w:color w:val="00637A"/>
      <w:sz w:val="24"/>
      <w:szCs w:val="24"/>
      <w:lang w:val="en-US" w:eastAsia="en-US" w:bidi="ar-SA"/>
    </w:rPr>
  </w:style>
  <w:style w:type="paragraph" w:customStyle="1" w:styleId="770">
    <w:name w:val="~Manual # Heading 4"/>
    <w:next w:val="689"/>
    <w:qFormat/>
    <w:uiPriority w:val="0"/>
    <w:pPr>
      <w:keepNext/>
      <w:keepLines/>
      <w:tabs>
        <w:tab w:val="left" w:pos="1440"/>
      </w:tabs>
      <w:spacing w:before="240" w:after="120"/>
      <w:ind w:left="1440" w:hanging="1440"/>
      <w:outlineLvl w:val="4"/>
    </w:pPr>
    <w:rPr>
      <w:rFonts w:ascii="Arial" w:hAnsi="Arial" w:eastAsia="宋体" w:cs="Times New Roman"/>
      <w:color w:val="00637A"/>
      <w:sz w:val="24"/>
      <w:szCs w:val="24"/>
      <w:lang w:val="en-US" w:eastAsia="en-US" w:bidi="ar-SA"/>
    </w:rPr>
  </w:style>
  <w:style w:type="paragraph" w:customStyle="1" w:styleId="771">
    <w:name w:val="~Manual # Heading 5"/>
    <w:next w:val="689"/>
    <w:qFormat/>
    <w:uiPriority w:val="0"/>
    <w:pPr>
      <w:keepNext/>
      <w:keepLines/>
      <w:tabs>
        <w:tab w:val="left" w:pos="1440"/>
      </w:tabs>
      <w:spacing w:before="240" w:after="120"/>
      <w:ind w:left="1440" w:hanging="1440"/>
      <w:outlineLvl w:val="5"/>
    </w:pPr>
    <w:rPr>
      <w:rFonts w:ascii="Arial" w:hAnsi="Arial" w:eastAsia="宋体" w:cs="Times New Roman"/>
      <w:i/>
      <w:color w:val="00637A"/>
      <w:sz w:val="24"/>
      <w:szCs w:val="24"/>
      <w:lang w:val="en-US" w:eastAsia="en-US" w:bidi="ar-SA"/>
    </w:rPr>
  </w:style>
  <w:style w:type="paragraph" w:customStyle="1" w:styleId="772">
    <w:name w:val="*Notice Heading"/>
    <w:basedOn w:val="694"/>
    <w:next w:val="758"/>
    <w:qFormat/>
    <w:uiPriority w:val="0"/>
    <w:pPr>
      <w:spacing w:after="240" w:line="240" w:lineRule="auto"/>
      <w:outlineLvl w:val="0"/>
    </w:pPr>
    <w:rPr>
      <w:b w:val="0"/>
      <w:color w:val="00637A"/>
      <w:sz w:val="36"/>
      <w:szCs w:val="36"/>
    </w:rPr>
  </w:style>
  <w:style w:type="paragraph" w:customStyle="1" w:styleId="773">
    <w:name w:val="*Section Title"/>
    <w:next w:val="668"/>
    <w:autoRedefine/>
    <w:qFormat/>
    <w:uiPriority w:val="0"/>
    <w:pPr>
      <w:pageBreakBefore/>
      <w:spacing w:before="240" w:after="240"/>
      <w:outlineLvl w:val="0"/>
    </w:pPr>
    <w:rPr>
      <w:rFonts w:ascii="Arial" w:hAnsi="Arial" w:eastAsia="宋体" w:cs="Times New Roman"/>
      <w:color w:val="00637A"/>
      <w:sz w:val="36"/>
      <w:szCs w:val="36"/>
      <w:lang w:val="en-US" w:eastAsia="en-US" w:bidi="ar-SA"/>
    </w:rPr>
  </w:style>
  <w:style w:type="paragraph" w:customStyle="1" w:styleId="774">
    <w:name w:val="Header_FooterText"/>
    <w:qFormat/>
    <w:uiPriority w:val="0"/>
    <w:pPr>
      <w:spacing w:line="170" w:lineRule="exact"/>
    </w:pPr>
    <w:rPr>
      <w:rFonts w:ascii="Arial" w:hAnsi="Arial" w:eastAsia="宋体" w:cs="Times New Roman"/>
      <w:b/>
      <w:color w:val="000000"/>
      <w:sz w:val="14"/>
      <w:szCs w:val="14"/>
      <w:lang w:val="en-US" w:eastAsia="en-US" w:bidi="ar-SA"/>
    </w:rPr>
  </w:style>
  <w:style w:type="paragraph" w:customStyle="1" w:styleId="775">
    <w:name w:val="*Bullet #2 Subtext Double"/>
    <w:basedOn w:val="745"/>
    <w:qFormat/>
    <w:uiPriority w:val="0"/>
    <w:pPr>
      <w:spacing w:after="220"/>
    </w:pPr>
  </w:style>
  <w:style w:type="paragraph" w:customStyle="1" w:styleId="776">
    <w:name w:val="~Number Double"/>
    <w:basedOn w:val="699"/>
    <w:qFormat/>
    <w:uiPriority w:val="0"/>
    <w:pPr>
      <w:spacing w:after="220"/>
    </w:pPr>
  </w:style>
  <w:style w:type="paragraph" w:customStyle="1" w:styleId="777">
    <w:name w:val="*Logo Cover"/>
    <w:basedOn w:val="720"/>
    <w:qFormat/>
    <w:uiPriority w:val="0"/>
    <w:pPr>
      <w:ind w:right="360"/>
      <w:jc w:val="right"/>
    </w:pPr>
  </w:style>
  <w:style w:type="paragraph" w:customStyle="1" w:styleId="778">
    <w:name w:val="*Alt Numbers"/>
    <w:basedOn w:val="713"/>
    <w:qFormat/>
    <w:uiPriority w:val="0"/>
    <w:pPr>
      <w:tabs>
        <w:tab w:val="left" w:pos="1440"/>
        <w:tab w:val="clear" w:pos="360"/>
      </w:tabs>
      <w:ind w:left="1440" w:hanging="1440"/>
    </w:pPr>
  </w:style>
  <w:style w:type="paragraph" w:customStyle="1" w:styleId="779">
    <w:name w:val="*Alt Numbers Double"/>
    <w:basedOn w:val="751"/>
    <w:qFormat/>
    <w:uiPriority w:val="0"/>
    <w:pPr>
      <w:tabs>
        <w:tab w:val="left" w:pos="1440"/>
        <w:tab w:val="clear" w:pos="360"/>
      </w:tabs>
      <w:ind w:left="1440" w:hanging="1440"/>
    </w:pPr>
  </w:style>
  <w:style w:type="paragraph" w:customStyle="1" w:styleId="780">
    <w:name w:val="*Alt Numbers Bold"/>
    <w:basedOn w:val="714"/>
    <w:qFormat/>
    <w:uiPriority w:val="0"/>
    <w:pPr>
      <w:tabs>
        <w:tab w:val="left" w:pos="1440"/>
        <w:tab w:val="clear" w:pos="360"/>
      </w:tabs>
      <w:ind w:left="1440" w:hanging="1440"/>
    </w:pPr>
  </w:style>
  <w:style w:type="paragraph" w:customStyle="1" w:styleId="781">
    <w:name w:val="~Alt Number"/>
    <w:basedOn w:val="699"/>
    <w:qFormat/>
    <w:uiPriority w:val="0"/>
    <w:pPr>
      <w:tabs>
        <w:tab w:val="left" w:pos="1440"/>
        <w:tab w:val="clear" w:pos="360"/>
      </w:tabs>
      <w:ind w:left="1440" w:hanging="1440"/>
    </w:pPr>
  </w:style>
  <w:style w:type="paragraph" w:customStyle="1" w:styleId="782">
    <w:name w:val="~Alt Number Double"/>
    <w:basedOn w:val="776"/>
    <w:qFormat/>
    <w:uiPriority w:val="0"/>
    <w:pPr>
      <w:tabs>
        <w:tab w:val="left" w:pos="1440"/>
        <w:tab w:val="clear" w:pos="360"/>
      </w:tabs>
      <w:ind w:left="1440" w:hanging="1440"/>
    </w:pPr>
  </w:style>
  <w:style w:type="paragraph" w:customStyle="1" w:styleId="783">
    <w:name w:val="Inside Address Name"/>
    <w:basedOn w:val="784"/>
    <w:next w:val="784"/>
    <w:qFormat/>
    <w:uiPriority w:val="0"/>
    <w:pPr>
      <w:spacing w:before="220"/>
    </w:pPr>
  </w:style>
  <w:style w:type="paragraph" w:customStyle="1" w:styleId="784">
    <w:name w:val="Inside Address"/>
    <w:basedOn w:val="1"/>
    <w:autoRedefine/>
    <w:qFormat/>
    <w:uiPriority w:val="0"/>
    <w:pPr>
      <w:spacing w:line="360" w:lineRule="auto"/>
      <w:ind w:left="835" w:right="-360" w:firstLine="200" w:firstLineChars="200"/>
    </w:pPr>
    <w:rPr>
      <w:sz w:val="20"/>
      <w:szCs w:val="20"/>
      <w:lang w:eastAsia="en-US"/>
    </w:rPr>
  </w:style>
  <w:style w:type="paragraph" w:customStyle="1" w:styleId="785">
    <w:name w:val="normal Char"/>
    <w:basedOn w:val="1"/>
    <w:qFormat/>
    <w:uiPriority w:val="0"/>
    <w:pPr>
      <w:spacing w:line="360" w:lineRule="auto"/>
      <w:ind w:firstLine="200" w:firstLineChars="200"/>
    </w:pPr>
    <w:rPr>
      <w:color w:val="000000"/>
      <w:sz w:val="20"/>
      <w:szCs w:val="20"/>
      <w:lang w:eastAsia="en-US"/>
    </w:rPr>
  </w:style>
  <w:style w:type="character" w:customStyle="1" w:styleId="786">
    <w:name w:val="normal Char Char"/>
    <w:qFormat/>
    <w:uiPriority w:val="0"/>
    <w:rPr>
      <w:color w:val="000000"/>
      <w:lang w:val="en-US" w:eastAsia="en-US" w:bidi="ar-SA"/>
    </w:rPr>
  </w:style>
  <w:style w:type="paragraph" w:customStyle="1" w:styleId="787">
    <w:name w:val="Reference Line"/>
    <w:basedOn w:val="8"/>
    <w:qFormat/>
    <w:uiPriority w:val="0"/>
    <w:pPr>
      <w:widowControl/>
      <w:spacing w:line="360" w:lineRule="auto"/>
      <w:jc w:val="left"/>
    </w:pPr>
    <w:rPr>
      <w:kern w:val="0"/>
      <w:sz w:val="20"/>
      <w:szCs w:val="20"/>
      <w:lang w:eastAsia="en-US"/>
    </w:rPr>
  </w:style>
  <w:style w:type="paragraph" w:customStyle="1" w:styleId="788">
    <w:name w:val="Style1"/>
    <w:basedOn w:val="1"/>
    <w:qFormat/>
    <w:uiPriority w:val="0"/>
    <w:pPr>
      <w:spacing w:line="360" w:lineRule="auto"/>
      <w:ind w:firstLine="200" w:firstLineChars="200"/>
    </w:pPr>
    <w:rPr>
      <w:rFonts w:ascii="Arial" w:hAnsi="Arial"/>
      <w:sz w:val="14"/>
      <w:szCs w:val="20"/>
      <w:lang w:eastAsia="en-US"/>
    </w:rPr>
  </w:style>
  <w:style w:type="paragraph" w:customStyle="1" w:styleId="789">
    <w:name w:val="Num Text"/>
    <w:basedOn w:val="8"/>
    <w:autoRedefine/>
    <w:qFormat/>
    <w:uiPriority w:val="0"/>
    <w:pPr>
      <w:keepLines/>
      <w:widowControl/>
      <w:spacing w:before="80" w:after="40" w:line="360" w:lineRule="auto"/>
      <w:ind w:left="360" w:hanging="360"/>
      <w:jc w:val="left"/>
    </w:pPr>
    <w:rPr>
      <w:rFonts w:ascii="Swift-Light" w:hAnsi="Swift-Light"/>
      <w:kern w:val="0"/>
      <w:sz w:val="20"/>
      <w:szCs w:val="20"/>
      <w:lang w:eastAsia="en-US"/>
    </w:rPr>
  </w:style>
  <w:style w:type="paragraph" w:customStyle="1" w:styleId="790">
    <w:name w:val="Space 4pt"/>
    <w:basedOn w:val="1"/>
    <w:qFormat/>
    <w:uiPriority w:val="0"/>
    <w:pPr>
      <w:spacing w:line="360" w:lineRule="auto"/>
      <w:ind w:firstLine="200" w:firstLineChars="200"/>
    </w:pPr>
    <w:rPr>
      <w:rFonts w:ascii="Swift-Light" w:hAnsi="Swift-Light"/>
      <w:sz w:val="8"/>
      <w:szCs w:val="20"/>
      <w:lang w:eastAsia="en-US"/>
    </w:rPr>
  </w:style>
  <w:style w:type="paragraph" w:customStyle="1" w:styleId="791">
    <w:name w:val="Table Text 10"/>
    <w:basedOn w:val="1"/>
    <w:qFormat/>
    <w:uiPriority w:val="0"/>
    <w:pPr>
      <w:keepNext/>
      <w:keepLines/>
      <w:spacing w:before="80" w:after="80" w:line="360" w:lineRule="auto"/>
      <w:ind w:firstLine="200" w:firstLineChars="200"/>
    </w:pPr>
    <w:rPr>
      <w:rFonts w:ascii="Univers 57 Condensed" w:hAnsi="Univers 57 Condensed"/>
      <w:sz w:val="20"/>
      <w:szCs w:val="20"/>
      <w:lang w:eastAsia="en-US"/>
    </w:rPr>
  </w:style>
  <w:style w:type="paragraph" w:customStyle="1" w:styleId="792">
    <w:name w:val="Table Head 10"/>
    <w:basedOn w:val="791"/>
    <w:autoRedefine/>
    <w:qFormat/>
    <w:uiPriority w:val="0"/>
    <w:rPr>
      <w:rFonts w:ascii="Univers 67 CondensedBold" w:hAnsi="Univers 67 CondensedBold"/>
    </w:rPr>
  </w:style>
  <w:style w:type="paragraph" w:customStyle="1" w:styleId="793">
    <w:name w:val="Rule"/>
    <w:basedOn w:val="1"/>
    <w:qFormat/>
    <w:uiPriority w:val="0"/>
    <w:pPr>
      <w:pBdr>
        <w:bottom w:val="single" w:color="auto" w:sz="2" w:space="1"/>
      </w:pBdr>
      <w:spacing w:before="80" w:after="160" w:line="360" w:lineRule="auto"/>
      <w:ind w:firstLine="200" w:firstLineChars="200"/>
    </w:pPr>
    <w:rPr>
      <w:rFonts w:ascii="Swift-Light" w:hAnsi="Swift-Light"/>
      <w:sz w:val="8"/>
      <w:szCs w:val="20"/>
      <w:lang w:eastAsia="en-US"/>
    </w:rPr>
  </w:style>
  <w:style w:type="paragraph" w:customStyle="1" w:styleId="794">
    <w:name w:val="Placeholder"/>
    <w:basedOn w:val="1"/>
    <w:qFormat/>
    <w:uiPriority w:val="0"/>
    <w:pPr>
      <w:keepNext/>
      <w:spacing w:after="120" w:line="360" w:lineRule="auto"/>
      <w:ind w:firstLine="200" w:firstLineChars="200"/>
    </w:pPr>
    <w:rPr>
      <w:rFonts w:ascii="Univers 67 CondensedBold" w:hAnsi="Univers 67 CondensedBold"/>
      <w:sz w:val="36"/>
      <w:szCs w:val="20"/>
      <w:lang w:eastAsia="en-US"/>
    </w:rPr>
  </w:style>
  <w:style w:type="paragraph" w:customStyle="1" w:styleId="795">
    <w:name w:val="Mock Heading 1"/>
    <w:basedOn w:val="3"/>
    <w:next w:val="1"/>
    <w:autoRedefine/>
    <w:qFormat/>
    <w:uiPriority w:val="0"/>
    <w:pPr>
      <w:keepNext/>
      <w:keepLines/>
      <w:widowControl/>
      <w:spacing w:before="160" w:after="0"/>
      <w:ind w:firstLine="0"/>
      <w:contextualSpacing w:val="0"/>
      <w:jc w:val="right"/>
      <w:outlineLvl w:val="9"/>
    </w:pPr>
    <w:rPr>
      <w:rFonts w:ascii="Univers 67 CondensedBold" w:hAnsi="Univers 67 CondensedBold"/>
      <w:caps/>
      <w:color w:val="auto"/>
      <w:spacing w:val="0"/>
      <w:kern w:val="28"/>
      <w:sz w:val="30"/>
      <w:szCs w:val="20"/>
      <w:lang w:eastAsia="en-US"/>
    </w:rPr>
  </w:style>
  <w:style w:type="paragraph" w:customStyle="1" w:styleId="796">
    <w:name w:val="Mock Heading 3"/>
    <w:basedOn w:val="4"/>
    <w:qFormat/>
    <w:uiPriority w:val="0"/>
    <w:pPr>
      <w:keepNext/>
      <w:keepLines/>
      <w:widowControl/>
      <w:spacing w:before="100" w:after="0"/>
      <w:contextualSpacing w:val="0"/>
      <w:jc w:val="right"/>
      <w:outlineLvl w:val="9"/>
    </w:pPr>
    <w:rPr>
      <w:rFonts w:ascii="Univers 67 CondensedBoldOblique" w:hAnsi="Univers 67 CondensedBoldOblique"/>
      <w:color w:val="auto"/>
      <w:spacing w:val="0"/>
      <w:kern w:val="28"/>
      <w:sz w:val="20"/>
      <w:szCs w:val="20"/>
      <w:lang w:eastAsia="en-US"/>
    </w:rPr>
  </w:style>
  <w:style w:type="paragraph" w:customStyle="1" w:styleId="797">
    <w:name w:val="Mock TOC 1"/>
    <w:basedOn w:val="42"/>
    <w:next w:val="42"/>
    <w:qFormat/>
    <w:uiPriority w:val="0"/>
    <w:pPr>
      <w:widowControl/>
      <w:tabs>
        <w:tab w:val="right" w:leader="dot" w:pos="9162"/>
      </w:tabs>
      <w:spacing w:before="80" w:after="360" w:line="240" w:lineRule="auto"/>
      <w:ind w:left="432" w:hanging="450" w:firstLineChars="0"/>
      <w:jc w:val="right"/>
    </w:pPr>
    <w:rPr>
      <w:rFonts w:ascii="Univers 67 CondensedBold" w:hAnsi="Univers 67 CondensedBold" w:cs="Calibri"/>
      <w:iCs/>
      <w:color w:val="000000"/>
      <w:kern w:val="0"/>
      <w:sz w:val="24"/>
      <w:szCs w:val="22"/>
      <w:u w:val="single"/>
      <w:lang w:eastAsia="en-US"/>
    </w:rPr>
  </w:style>
  <w:style w:type="paragraph" w:customStyle="1" w:styleId="798">
    <w:name w:val="Mock Heading 2 Obl"/>
    <w:basedOn w:val="5"/>
    <w:qFormat/>
    <w:uiPriority w:val="0"/>
    <w:pPr>
      <w:keepNext/>
      <w:keepLines/>
      <w:widowControl/>
      <w:spacing w:before="80" w:after="0"/>
      <w:ind w:firstLine="0" w:firstLineChars="0"/>
      <w:contextualSpacing w:val="0"/>
      <w:jc w:val="right"/>
      <w:outlineLvl w:val="9"/>
    </w:pPr>
    <w:rPr>
      <w:rFonts w:ascii="Univers 67 CondensedBoldOblique" w:hAnsi="Univers 67 CondensedBoldOblique"/>
      <w:caps/>
      <w:color w:val="auto"/>
      <w:spacing w:val="0"/>
      <w:kern w:val="28"/>
      <w:sz w:val="24"/>
      <w:szCs w:val="20"/>
      <w:lang w:eastAsia="en-US"/>
    </w:rPr>
  </w:style>
  <w:style w:type="paragraph" w:customStyle="1" w:styleId="799">
    <w:name w:val="题注1"/>
    <w:basedOn w:val="1"/>
    <w:qFormat/>
    <w:uiPriority w:val="0"/>
    <w:pPr>
      <w:jc w:val="center"/>
    </w:pPr>
    <w:rPr>
      <w:rFonts w:hint="default"/>
    </w:rPr>
  </w:style>
  <w:style w:type="paragraph" w:customStyle="1" w:styleId="800">
    <w:name w:val="Mock Heading 2 Rom"/>
    <w:basedOn w:val="798"/>
    <w:qFormat/>
    <w:uiPriority w:val="0"/>
    <w:pPr>
      <w:spacing w:before="120"/>
      <w:jc w:val="left"/>
    </w:pPr>
    <w:rPr>
      <w:rFonts w:ascii="Univers 67 CondensedBold" w:hAnsi="Univers 67 CondensedBold"/>
    </w:rPr>
  </w:style>
  <w:style w:type="paragraph" w:customStyle="1" w:styleId="801">
    <w:name w:val="header even"/>
    <w:basedOn w:val="785"/>
    <w:qFormat/>
    <w:uiPriority w:val="0"/>
    <w:pPr>
      <w:pBdr>
        <w:top w:val="single" w:color="auto" w:sz="6" w:space="0"/>
      </w:pBdr>
      <w:ind w:left="-1800" w:right="7920"/>
    </w:pPr>
  </w:style>
  <w:style w:type="paragraph" w:customStyle="1" w:styleId="802">
    <w:name w:val="header odd"/>
    <w:basedOn w:val="785"/>
    <w:qFormat/>
    <w:uiPriority w:val="0"/>
    <w:pPr>
      <w:pBdr>
        <w:top w:val="single" w:color="auto" w:sz="6" w:space="0"/>
      </w:pBdr>
      <w:tabs>
        <w:tab w:val="left" w:pos="7920"/>
      </w:tabs>
      <w:ind w:left="7920" w:right="-1800"/>
    </w:pPr>
  </w:style>
  <w:style w:type="paragraph" w:customStyle="1" w:styleId="803">
    <w:name w:val="footer even"/>
    <w:basedOn w:val="785"/>
    <w:qFormat/>
    <w:uiPriority w:val="0"/>
    <w:pPr>
      <w:pBdr>
        <w:top w:val="single" w:color="auto" w:sz="6" w:space="0"/>
      </w:pBdr>
      <w:ind w:left="-1800"/>
    </w:pPr>
  </w:style>
  <w:style w:type="paragraph" w:customStyle="1" w:styleId="804">
    <w:name w:val="footer odd"/>
    <w:basedOn w:val="1"/>
    <w:qFormat/>
    <w:uiPriority w:val="0"/>
    <w:pPr>
      <w:pBdr>
        <w:top w:val="single" w:color="auto" w:sz="6" w:space="0"/>
      </w:pBdr>
      <w:tabs>
        <w:tab w:val="left" w:pos="1440"/>
        <w:tab w:val="center" w:pos="4320"/>
        <w:tab w:val="right" w:pos="9360"/>
      </w:tabs>
      <w:spacing w:line="360" w:lineRule="auto"/>
      <w:ind w:right="-1800" w:firstLine="200" w:firstLineChars="200"/>
    </w:pPr>
    <w:rPr>
      <w:color w:val="000000"/>
      <w:sz w:val="20"/>
      <w:szCs w:val="20"/>
      <w:lang w:eastAsia="en-US"/>
    </w:rPr>
  </w:style>
  <w:style w:type="paragraph" w:customStyle="1" w:styleId="805">
    <w:name w:val="Definition List"/>
    <w:basedOn w:val="1"/>
    <w:next w:val="1"/>
    <w:qFormat/>
    <w:uiPriority w:val="0"/>
    <w:pPr>
      <w:spacing w:line="360" w:lineRule="auto"/>
      <w:ind w:left="360" w:firstLine="200" w:firstLineChars="200"/>
    </w:pPr>
    <w:rPr>
      <w:snapToGrid w:val="0"/>
      <w:szCs w:val="20"/>
      <w:lang w:eastAsia="en-US"/>
    </w:rPr>
  </w:style>
  <w:style w:type="paragraph" w:customStyle="1" w:styleId="806">
    <w:name w:val="Blockquote"/>
    <w:basedOn w:val="1"/>
    <w:autoRedefine/>
    <w:qFormat/>
    <w:uiPriority w:val="0"/>
    <w:pPr>
      <w:spacing w:before="100" w:after="100" w:line="360" w:lineRule="auto"/>
      <w:ind w:left="360" w:right="360" w:firstLine="200" w:firstLineChars="200"/>
    </w:pPr>
    <w:rPr>
      <w:snapToGrid w:val="0"/>
      <w:szCs w:val="20"/>
      <w:lang w:eastAsia="en-US"/>
    </w:rPr>
  </w:style>
  <w:style w:type="paragraph" w:customStyle="1" w:styleId="807">
    <w:name w:val="Normal Text"/>
    <w:qFormat/>
    <w:uiPriority w:val="0"/>
    <w:pPr>
      <w:spacing w:after="120"/>
      <w:ind w:left="1701"/>
    </w:pPr>
    <w:rPr>
      <w:rFonts w:ascii="Times New Roman" w:hAnsi="Times New Roman" w:eastAsia="宋体" w:cs="Times New Roman"/>
      <w:lang w:val="en-US" w:eastAsia="en-US" w:bidi="ar-SA"/>
    </w:rPr>
  </w:style>
  <w:style w:type="paragraph" w:customStyle="1" w:styleId="808">
    <w:name w:val="Definition Term"/>
    <w:basedOn w:val="1"/>
    <w:next w:val="805"/>
    <w:qFormat/>
    <w:uiPriority w:val="0"/>
    <w:pPr>
      <w:spacing w:line="360" w:lineRule="auto"/>
      <w:ind w:firstLine="200" w:firstLineChars="200"/>
    </w:pPr>
    <w:rPr>
      <w:snapToGrid w:val="0"/>
      <w:szCs w:val="20"/>
      <w:lang w:eastAsia="en-US"/>
    </w:rPr>
  </w:style>
  <w:style w:type="character" w:customStyle="1" w:styleId="809">
    <w:name w:val="Definition"/>
    <w:qFormat/>
    <w:uiPriority w:val="0"/>
    <w:rPr>
      <w:i/>
    </w:rPr>
  </w:style>
  <w:style w:type="paragraph" w:customStyle="1" w:styleId="810">
    <w:name w:val="Address"/>
    <w:basedOn w:val="1"/>
    <w:next w:val="1"/>
    <w:qFormat/>
    <w:uiPriority w:val="0"/>
    <w:pPr>
      <w:spacing w:line="360" w:lineRule="auto"/>
      <w:ind w:firstLine="200" w:firstLineChars="200"/>
    </w:pPr>
    <w:rPr>
      <w:i/>
      <w:snapToGrid w:val="0"/>
      <w:szCs w:val="20"/>
      <w:lang w:eastAsia="en-US"/>
    </w:rPr>
  </w:style>
  <w:style w:type="character" w:customStyle="1" w:styleId="811">
    <w:name w:val="CITE"/>
    <w:qFormat/>
    <w:uiPriority w:val="0"/>
    <w:rPr>
      <w:i/>
    </w:rPr>
  </w:style>
  <w:style w:type="character" w:customStyle="1" w:styleId="812">
    <w:name w:val="CODE"/>
    <w:qFormat/>
    <w:uiPriority w:val="0"/>
    <w:rPr>
      <w:rFonts w:ascii="Courier New" w:hAnsi="Courier New"/>
      <w:sz w:val="20"/>
    </w:rPr>
  </w:style>
  <w:style w:type="character" w:customStyle="1" w:styleId="813">
    <w:name w:val="Keyboard"/>
    <w:autoRedefine/>
    <w:qFormat/>
    <w:uiPriority w:val="0"/>
    <w:rPr>
      <w:rFonts w:ascii="Courier New" w:hAnsi="Courier New"/>
      <w:b/>
      <w:sz w:val="20"/>
    </w:rPr>
  </w:style>
  <w:style w:type="paragraph" w:customStyle="1" w:styleId="8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200" w:firstLineChars="200"/>
    </w:pPr>
    <w:rPr>
      <w:rFonts w:ascii="Courier New" w:hAnsi="Courier New"/>
      <w:snapToGrid w:val="0"/>
      <w:sz w:val="20"/>
      <w:szCs w:val="20"/>
      <w:lang w:eastAsia="en-US"/>
    </w:rPr>
  </w:style>
  <w:style w:type="paragraph" w:customStyle="1" w:styleId="815">
    <w:name w:val="z-窗体底端1"/>
    <w:next w:val="1"/>
    <w:link w:val="816"/>
    <w:autoRedefine/>
    <w:qFormat/>
    <w:uiPriority w:val="0"/>
    <w:pPr>
      <w:pBdr>
        <w:top w:val="double" w:color="000000" w:sz="2" w:space="0"/>
      </w:pBdr>
      <w:jc w:val="center"/>
    </w:pPr>
    <w:rPr>
      <w:rFonts w:ascii="Arial" w:hAnsi="Arial" w:eastAsia="宋体" w:cs="Times New Roman"/>
      <w:snapToGrid w:val="0"/>
      <w:vanish/>
      <w:sz w:val="16"/>
      <w:lang w:val="en-US" w:eastAsia="en-US" w:bidi="ar-SA"/>
    </w:rPr>
  </w:style>
  <w:style w:type="character" w:customStyle="1" w:styleId="816">
    <w:name w:val="z-窗体底端 字符"/>
    <w:basedOn w:val="71"/>
    <w:link w:val="815"/>
    <w:autoRedefine/>
    <w:qFormat/>
    <w:uiPriority w:val="0"/>
    <w:rPr>
      <w:rFonts w:ascii="Arial" w:hAnsi="Arial"/>
      <w:snapToGrid w:val="0"/>
      <w:vanish/>
      <w:sz w:val="16"/>
      <w:lang w:val="en-US" w:eastAsia="en-US" w:bidi="ar-SA"/>
    </w:rPr>
  </w:style>
  <w:style w:type="paragraph" w:customStyle="1" w:styleId="817">
    <w:name w:val="z-窗体顶端1"/>
    <w:next w:val="1"/>
    <w:link w:val="818"/>
    <w:autoRedefine/>
    <w:qFormat/>
    <w:uiPriority w:val="0"/>
    <w:pPr>
      <w:pBdr>
        <w:bottom w:val="double" w:color="000000" w:sz="2" w:space="0"/>
      </w:pBdr>
      <w:jc w:val="center"/>
    </w:pPr>
    <w:rPr>
      <w:rFonts w:ascii="Arial" w:hAnsi="Arial" w:eastAsia="宋体" w:cs="Times New Roman"/>
      <w:snapToGrid w:val="0"/>
      <w:vanish/>
      <w:sz w:val="16"/>
      <w:lang w:val="en-US" w:eastAsia="en-US" w:bidi="ar-SA"/>
    </w:rPr>
  </w:style>
  <w:style w:type="character" w:customStyle="1" w:styleId="818">
    <w:name w:val="z-窗体顶端 字符"/>
    <w:basedOn w:val="71"/>
    <w:link w:val="817"/>
    <w:qFormat/>
    <w:uiPriority w:val="0"/>
    <w:rPr>
      <w:rFonts w:ascii="Arial" w:hAnsi="Arial"/>
      <w:snapToGrid w:val="0"/>
      <w:vanish/>
      <w:sz w:val="16"/>
      <w:lang w:val="en-US" w:eastAsia="en-US" w:bidi="ar-SA"/>
    </w:rPr>
  </w:style>
  <w:style w:type="character" w:customStyle="1" w:styleId="819">
    <w:name w:val="Sample"/>
    <w:qFormat/>
    <w:uiPriority w:val="0"/>
    <w:rPr>
      <w:rFonts w:ascii="Courier New" w:hAnsi="Courier New"/>
    </w:rPr>
  </w:style>
  <w:style w:type="character" w:customStyle="1" w:styleId="820">
    <w:name w:val="Typewriter"/>
    <w:qFormat/>
    <w:uiPriority w:val="0"/>
    <w:rPr>
      <w:rFonts w:ascii="Courier New" w:hAnsi="Courier New"/>
      <w:sz w:val="20"/>
    </w:rPr>
  </w:style>
  <w:style w:type="character" w:customStyle="1" w:styleId="821">
    <w:name w:val="Variable"/>
    <w:qFormat/>
    <w:uiPriority w:val="0"/>
    <w:rPr>
      <w:i/>
    </w:rPr>
  </w:style>
  <w:style w:type="character" w:customStyle="1" w:styleId="822">
    <w:name w:val="HTML Markup"/>
    <w:qFormat/>
    <w:uiPriority w:val="0"/>
    <w:rPr>
      <w:vanish/>
      <w:color w:val="FF0000"/>
    </w:rPr>
  </w:style>
  <w:style w:type="character" w:customStyle="1" w:styleId="823">
    <w:name w:val="Comment"/>
    <w:qFormat/>
    <w:uiPriority w:val="0"/>
    <w:rPr>
      <w:vanish/>
    </w:rPr>
  </w:style>
  <w:style w:type="paragraph" w:customStyle="1" w:styleId="824">
    <w:name w:val="bodytext"/>
    <w:basedOn w:val="1"/>
    <w:qFormat/>
    <w:uiPriority w:val="0"/>
    <w:pPr>
      <w:spacing w:before="100" w:beforeAutospacing="1" w:after="100" w:afterAutospacing="1" w:line="360" w:lineRule="auto"/>
      <w:ind w:firstLine="200" w:firstLineChars="200"/>
    </w:pPr>
    <w:rPr>
      <w:rFonts w:ascii="Verdana" w:hAnsi="Verdana"/>
      <w:sz w:val="20"/>
      <w:szCs w:val="20"/>
      <w:lang w:eastAsia="en-US"/>
    </w:rPr>
  </w:style>
  <w:style w:type="character" w:customStyle="1" w:styleId="825">
    <w:name w:val="bold1"/>
    <w:qFormat/>
    <w:uiPriority w:val="0"/>
    <w:rPr>
      <w:b/>
      <w:bCs/>
    </w:rPr>
  </w:style>
  <w:style w:type="character" w:customStyle="1" w:styleId="826">
    <w:name w:val="header1"/>
    <w:qFormat/>
    <w:uiPriority w:val="0"/>
    <w:rPr>
      <w:rFonts w:hint="default" w:ascii="Arial" w:hAnsi="Arial" w:cs="Arial"/>
      <w:sz w:val="33"/>
      <w:szCs w:val="33"/>
    </w:rPr>
  </w:style>
  <w:style w:type="paragraph" w:customStyle="1" w:styleId="827">
    <w:name w:val="Bottom Line"/>
    <w:basedOn w:val="1"/>
    <w:next w:val="40"/>
    <w:autoRedefine/>
    <w:qFormat/>
    <w:uiPriority w:val="0"/>
    <w:pPr>
      <w:pBdr>
        <w:top w:val="single" w:color="auto" w:sz="6" w:space="3"/>
      </w:pBdr>
      <w:suppressAutoHyphens/>
      <w:spacing w:line="180" w:lineRule="exact"/>
      <w:ind w:left="6350" w:firstLine="230" w:firstLineChars="200"/>
    </w:pPr>
    <w:rPr>
      <w:rFonts w:ascii="ITCCenturyBookT" w:hAnsi="ITCCenturyBookT"/>
      <w:sz w:val="18"/>
      <w:szCs w:val="20"/>
      <w:lang w:eastAsia="en-US"/>
    </w:rPr>
  </w:style>
  <w:style w:type="paragraph" w:customStyle="1" w:styleId="828">
    <w:name w:val="Body Single"/>
    <w:basedOn w:val="8"/>
    <w:qFormat/>
    <w:uiPriority w:val="0"/>
    <w:pPr>
      <w:widowControl/>
      <w:tabs>
        <w:tab w:val="left" w:pos="4140"/>
      </w:tabs>
      <w:suppressAutoHyphens/>
      <w:spacing w:after="0" w:line="360" w:lineRule="auto"/>
      <w:ind w:left="1440" w:right="-187"/>
      <w:jc w:val="left"/>
    </w:pPr>
    <w:rPr>
      <w:rFonts w:ascii="Futura Bk" w:hAnsi="Futura Bk"/>
      <w:snapToGrid w:val="0"/>
      <w:color w:val="000000"/>
      <w:kern w:val="0"/>
      <w:sz w:val="20"/>
      <w:szCs w:val="20"/>
      <w:lang w:eastAsia="en-US"/>
    </w:rPr>
  </w:style>
  <w:style w:type="paragraph" w:customStyle="1" w:styleId="829">
    <w:name w:val="bullet last"/>
    <w:basedOn w:val="7"/>
    <w:qFormat/>
    <w:uiPriority w:val="0"/>
    <w:pPr>
      <w:widowControl/>
      <w:pBdr>
        <w:bottom w:val="none" w:color="auto" w:sz="0" w:space="0"/>
      </w:pBdr>
      <w:tabs>
        <w:tab w:val="left" w:pos="216"/>
        <w:tab w:val="left" w:pos="360"/>
        <w:tab w:val="clear" w:pos="0"/>
      </w:tabs>
      <w:spacing w:before="0" w:after="300" w:line="220" w:lineRule="exact"/>
      <w:ind w:left="216" w:hanging="216"/>
      <w:contextualSpacing w:val="0"/>
      <w:jc w:val="left"/>
      <w:outlineLvl w:val="9"/>
    </w:pPr>
    <w:rPr>
      <w:rFonts w:ascii="Futura Bk" w:hAnsi="Futura Bk"/>
      <w:b w:val="0"/>
      <w:color w:val="auto"/>
      <w:spacing w:val="0"/>
      <w:kern w:val="0"/>
      <w:sz w:val="20"/>
      <w:szCs w:val="20"/>
      <w:lang w:eastAsia="en-US"/>
    </w:rPr>
  </w:style>
  <w:style w:type="paragraph" w:customStyle="1" w:styleId="830">
    <w:name w:val="box"/>
    <w:basedOn w:val="8"/>
    <w:qFormat/>
    <w:uiPriority w:val="0"/>
    <w:pPr>
      <w:widowControl/>
      <w:shd w:val="clear" w:color="auto" w:fill="C0C0C0"/>
      <w:tabs>
        <w:tab w:val="left" w:pos="4140"/>
      </w:tabs>
      <w:suppressAutoHyphens/>
      <w:spacing w:before="100" w:after="100" w:line="360" w:lineRule="auto"/>
      <w:ind w:left="1440" w:right="-187"/>
      <w:jc w:val="left"/>
    </w:pPr>
    <w:rPr>
      <w:rFonts w:ascii="Futura Bk" w:hAnsi="Futura Bk"/>
      <w:b/>
      <w:snapToGrid w:val="0"/>
      <w:color w:val="0000FF"/>
      <w:kern w:val="0"/>
      <w:sz w:val="28"/>
      <w:szCs w:val="20"/>
      <w:lang w:eastAsia="en-US"/>
    </w:rPr>
  </w:style>
  <w:style w:type="paragraph" w:customStyle="1" w:styleId="831">
    <w:name w:val="table bullet"/>
    <w:autoRedefine/>
    <w:qFormat/>
    <w:uiPriority w:val="0"/>
    <w:pPr>
      <w:numPr>
        <w:ilvl w:val="0"/>
        <w:numId w:val="23"/>
      </w:numPr>
      <w:spacing w:line="200" w:lineRule="exact"/>
    </w:pPr>
    <w:rPr>
      <w:rFonts w:ascii="Futura Bk" w:hAnsi="Futura Bk" w:eastAsia="宋体" w:cs="Arial"/>
      <w:b/>
      <w:bCs/>
      <w:color w:val="999999"/>
      <w:sz w:val="16"/>
      <w:szCs w:val="24"/>
      <w:lang w:val="en-US" w:eastAsia="en-US" w:bidi="ar-SA"/>
    </w:rPr>
  </w:style>
  <w:style w:type="paragraph" w:customStyle="1" w:styleId="832">
    <w:name w:val="HP Basic Text"/>
    <w:basedOn w:val="1"/>
    <w:qFormat/>
    <w:uiPriority w:val="0"/>
    <w:pPr>
      <w:spacing w:line="230" w:lineRule="exact"/>
      <w:ind w:firstLine="200" w:firstLineChars="200"/>
    </w:pPr>
    <w:rPr>
      <w:rFonts w:ascii="Futura Bk" w:hAnsi="Futura Bk" w:eastAsia="Times"/>
      <w:sz w:val="18"/>
      <w:szCs w:val="20"/>
      <w:lang w:eastAsia="en-US"/>
    </w:rPr>
  </w:style>
  <w:style w:type="character" w:customStyle="1" w:styleId="833">
    <w:name w:val="body1"/>
    <w:qFormat/>
    <w:uiPriority w:val="0"/>
    <w:rPr>
      <w:rFonts w:hint="default" w:ascii="Helvetica" w:hAnsi="Helvetica"/>
      <w:color w:val="000000"/>
      <w:sz w:val="22"/>
      <w:szCs w:val="22"/>
    </w:rPr>
  </w:style>
  <w:style w:type="paragraph" w:customStyle="1" w:styleId="834">
    <w:name w:val="Tip"/>
    <w:basedOn w:val="8"/>
    <w:autoRedefine/>
    <w:qFormat/>
    <w:uiPriority w:val="0"/>
    <w:pPr>
      <w:widowControl/>
      <w:tabs>
        <w:tab w:val="left" w:pos="4140"/>
      </w:tabs>
      <w:suppressAutoHyphens/>
      <w:spacing w:after="100" w:line="360" w:lineRule="auto"/>
      <w:ind w:left="1440" w:right="-187"/>
      <w:jc w:val="left"/>
    </w:pPr>
    <w:rPr>
      <w:rFonts w:ascii="Futura Bk" w:hAnsi="Futura Bk"/>
      <w:b/>
      <w:bCs/>
      <w:i/>
      <w:iCs/>
      <w:snapToGrid w:val="0"/>
      <w:color w:val="FF0000"/>
      <w:kern w:val="0"/>
      <w:sz w:val="20"/>
      <w:szCs w:val="20"/>
      <w:lang w:eastAsia="en-US"/>
    </w:rPr>
  </w:style>
  <w:style w:type="paragraph" w:customStyle="1" w:styleId="835">
    <w:name w:val="Document Label"/>
    <w:basedOn w:val="1"/>
    <w:next w:val="63"/>
    <w:qFormat/>
    <w:uiPriority w:val="0"/>
    <w:pPr>
      <w:keepNext/>
      <w:keepLines/>
      <w:spacing w:before="600" w:after="400" w:line="1040" w:lineRule="exact"/>
      <w:ind w:firstLine="200" w:firstLineChars="200"/>
    </w:pPr>
    <w:rPr>
      <w:rFonts w:ascii="Arial" w:hAnsi="Arial"/>
      <w:spacing w:val="-96"/>
      <w:kern w:val="28"/>
      <w:sz w:val="108"/>
      <w:szCs w:val="20"/>
      <w:lang w:eastAsia="en-US"/>
    </w:rPr>
  </w:style>
  <w:style w:type="character" w:customStyle="1" w:styleId="836">
    <w:name w:val="Lead-in Emphasis"/>
    <w:qFormat/>
    <w:uiPriority w:val="0"/>
    <w:rPr>
      <w:rFonts w:hint="default" w:ascii="Arial Black" w:hAnsi="Arial Black"/>
      <w:spacing w:val="-15"/>
    </w:rPr>
  </w:style>
  <w:style w:type="character" w:customStyle="1" w:styleId="837">
    <w:name w:val="insetheader1"/>
    <w:qFormat/>
    <w:uiPriority w:val="0"/>
    <w:rPr>
      <w:rFonts w:hint="default" w:ascii="Tahoma" w:hAnsi="Tahoma" w:cs="Tahoma"/>
      <w:b/>
      <w:bCs/>
      <w:color w:val="FFFFFF"/>
    </w:rPr>
  </w:style>
  <w:style w:type="character" w:customStyle="1" w:styleId="838">
    <w:name w:val="insetbody1"/>
    <w:autoRedefine/>
    <w:qFormat/>
    <w:uiPriority w:val="0"/>
    <w:rPr>
      <w:rFonts w:hint="default" w:ascii="Tahoma" w:hAnsi="Tahoma" w:cs="Tahoma"/>
      <w:color w:val="FFFFFF"/>
    </w:rPr>
  </w:style>
  <w:style w:type="character" w:customStyle="1" w:styleId="839">
    <w:name w:val="copy11"/>
    <w:qFormat/>
    <w:uiPriority w:val="0"/>
    <w:rPr>
      <w:rFonts w:hint="default" w:ascii="Verdana" w:hAnsi="Verdana"/>
      <w:color w:val="000000"/>
      <w:sz w:val="17"/>
      <w:szCs w:val="17"/>
    </w:rPr>
  </w:style>
  <w:style w:type="paragraph" w:customStyle="1" w:styleId="840">
    <w:name w:val="textarial"/>
    <w:basedOn w:val="1"/>
    <w:qFormat/>
    <w:uiPriority w:val="0"/>
    <w:pPr>
      <w:spacing w:before="100" w:beforeAutospacing="1" w:after="100" w:afterAutospacing="1" w:line="360" w:lineRule="auto"/>
      <w:ind w:firstLine="200" w:firstLineChars="200"/>
    </w:pPr>
    <w:rPr>
      <w:rFonts w:ascii="Arial" w:hAnsi="Arial" w:cs="Arial"/>
      <w:color w:val="000000"/>
      <w:sz w:val="22"/>
      <w:szCs w:val="22"/>
      <w:lang w:eastAsia="en-US"/>
    </w:rPr>
  </w:style>
  <w:style w:type="paragraph" w:customStyle="1" w:styleId="841">
    <w:name w:val="subheadblue"/>
    <w:basedOn w:val="1"/>
    <w:qFormat/>
    <w:uiPriority w:val="0"/>
    <w:pPr>
      <w:spacing w:before="100" w:beforeAutospacing="1" w:after="100" w:afterAutospacing="1" w:line="360" w:lineRule="auto"/>
      <w:ind w:firstLine="200" w:firstLineChars="200"/>
    </w:pPr>
    <w:rPr>
      <w:rFonts w:ascii="Arial" w:hAnsi="Arial" w:cs="Arial"/>
      <w:b/>
      <w:bCs/>
      <w:color w:val="CC5C00"/>
      <w:lang w:eastAsia="en-US"/>
    </w:rPr>
  </w:style>
  <w:style w:type="character" w:customStyle="1" w:styleId="842">
    <w:name w:val="bluesubhead1"/>
    <w:qFormat/>
    <w:uiPriority w:val="0"/>
    <w:rPr>
      <w:rFonts w:hint="default" w:ascii="Verdana" w:hAnsi="Verdana"/>
      <w:b/>
      <w:bCs/>
      <w:color w:val="001858"/>
      <w:sz w:val="2"/>
      <w:szCs w:val="2"/>
    </w:rPr>
  </w:style>
  <w:style w:type="character" w:customStyle="1" w:styleId="843">
    <w:name w:val="carrot1"/>
    <w:qFormat/>
    <w:uiPriority w:val="0"/>
    <w:rPr>
      <w:rFonts w:hint="default" w:ascii="Verdana" w:hAnsi="Verdana"/>
      <w:color w:val="FD8500"/>
      <w:sz w:val="18"/>
      <w:szCs w:val="18"/>
    </w:rPr>
  </w:style>
  <w:style w:type="paragraph" w:customStyle="1" w:styleId="844">
    <w:name w:val="modulecontent"/>
    <w:basedOn w:val="1"/>
    <w:qFormat/>
    <w:uiPriority w:val="0"/>
    <w:pPr>
      <w:spacing w:before="100" w:beforeAutospacing="1" w:after="100" w:afterAutospacing="1" w:line="360" w:lineRule="auto"/>
      <w:ind w:firstLine="200" w:firstLineChars="200"/>
    </w:pPr>
    <w:rPr>
      <w:rFonts w:ascii="Verdana" w:hAnsi="Verdana"/>
      <w:sz w:val="20"/>
      <w:szCs w:val="20"/>
      <w:lang w:eastAsia="en-US"/>
    </w:rPr>
  </w:style>
  <w:style w:type="character" w:customStyle="1" w:styleId="845">
    <w:name w:val="contentheader1"/>
    <w:qFormat/>
    <w:uiPriority w:val="0"/>
    <w:rPr>
      <w:rFonts w:hint="default" w:ascii="Verdana" w:hAnsi="Verdana"/>
      <w:b/>
      <w:bCs/>
      <w:color w:val="006699"/>
      <w:sz w:val="24"/>
      <w:szCs w:val="24"/>
    </w:rPr>
  </w:style>
  <w:style w:type="paragraph" w:customStyle="1" w:styleId="846">
    <w:name w:val="正文文本1"/>
    <w:basedOn w:val="1"/>
    <w:autoRedefine/>
    <w:qFormat/>
    <w:uiPriority w:val="0"/>
    <w:pPr>
      <w:spacing w:after="120" w:line="220" w:lineRule="exact"/>
      <w:ind w:firstLine="200" w:firstLineChars="200"/>
    </w:pPr>
    <w:rPr>
      <w:rFonts w:ascii="Futura Bk" w:hAnsi="Futura Bk"/>
      <w:sz w:val="18"/>
      <w:szCs w:val="20"/>
      <w:lang w:eastAsia="en-US"/>
    </w:rPr>
  </w:style>
  <w:style w:type="character" w:customStyle="1" w:styleId="847">
    <w:name w:val="alltext1"/>
    <w:qFormat/>
    <w:uiPriority w:val="0"/>
    <w:rPr>
      <w:rFonts w:hint="default" w:ascii="Verdana" w:hAnsi="Verdana"/>
      <w:color w:val="000000"/>
      <w:sz w:val="16"/>
      <w:szCs w:val="16"/>
    </w:rPr>
  </w:style>
  <w:style w:type="paragraph" w:customStyle="1" w:styleId="848">
    <w:name w:val="Subject Line"/>
    <w:basedOn w:val="1"/>
    <w:next w:val="8"/>
    <w:autoRedefine/>
    <w:qFormat/>
    <w:uiPriority w:val="0"/>
    <w:pPr>
      <w:spacing w:after="220" w:line="220" w:lineRule="atLeast"/>
      <w:ind w:firstLine="200" w:firstLineChars="200"/>
    </w:pPr>
    <w:rPr>
      <w:rFonts w:ascii="Arial Black" w:hAnsi="Arial Black"/>
      <w:spacing w:val="-10"/>
      <w:sz w:val="20"/>
      <w:szCs w:val="20"/>
      <w:lang w:eastAsia="en-US"/>
    </w:rPr>
  </w:style>
  <w:style w:type="paragraph" w:customStyle="1" w:styleId="849">
    <w:name w:val="Return Address"/>
    <w:basedOn w:val="1"/>
    <w:qFormat/>
    <w:uiPriority w:val="0"/>
    <w:pPr>
      <w:spacing w:line="360" w:lineRule="auto"/>
      <w:ind w:firstLine="200" w:firstLineChars="200"/>
      <w:jc w:val="center"/>
    </w:pPr>
    <w:rPr>
      <w:rFonts w:ascii="Arial" w:hAnsi="Arial"/>
      <w:spacing w:val="-3"/>
      <w:sz w:val="20"/>
      <w:szCs w:val="20"/>
      <w:lang w:eastAsia="en-US"/>
    </w:rPr>
  </w:style>
  <w:style w:type="paragraph" w:customStyle="1" w:styleId="850">
    <w:name w:val="Style0"/>
    <w:qFormat/>
    <w:uiPriority w:val="0"/>
    <w:pPr>
      <w:autoSpaceDE w:val="0"/>
      <w:autoSpaceDN w:val="0"/>
      <w:adjustRightInd w:val="0"/>
    </w:pPr>
    <w:rPr>
      <w:rFonts w:ascii="Arial" w:hAnsi="Arial" w:eastAsia="宋体" w:cs="Times New Roman"/>
      <w:sz w:val="24"/>
      <w:szCs w:val="24"/>
      <w:lang w:val="en-US" w:eastAsia="en-US" w:bidi="ar-SA"/>
    </w:rPr>
  </w:style>
  <w:style w:type="paragraph" w:customStyle="1" w:styleId="851">
    <w:name w:val="Numbered list 3.1"/>
    <w:basedOn w:val="3"/>
    <w:next w:val="1"/>
    <w:autoRedefine/>
    <w:qFormat/>
    <w:uiPriority w:val="0"/>
    <w:pPr>
      <w:keepNext/>
      <w:widowControl/>
      <w:numPr>
        <w:ilvl w:val="0"/>
        <w:numId w:val="24"/>
      </w:numPr>
      <w:tabs>
        <w:tab w:val="clear" w:pos="0"/>
      </w:tabs>
      <w:spacing w:before="240"/>
      <w:contextualSpacing w:val="0"/>
      <w:jc w:val="left"/>
    </w:pPr>
    <w:rPr>
      <w:rFonts w:ascii="Arial" w:hAnsi="Arial"/>
      <w:color w:val="auto"/>
      <w:spacing w:val="0"/>
      <w:kern w:val="28"/>
      <w:sz w:val="28"/>
      <w:szCs w:val="20"/>
      <w:lang w:val="en-GB" w:eastAsia="en-US"/>
    </w:rPr>
  </w:style>
  <w:style w:type="character" w:customStyle="1" w:styleId="852">
    <w:name w:val="*Heading 2 Char"/>
    <w:qFormat/>
    <w:uiPriority w:val="0"/>
    <w:rPr>
      <w:rFonts w:ascii="Arial" w:hAnsi="Arial"/>
      <w:sz w:val="32"/>
      <w:szCs w:val="32"/>
      <w:lang w:val="en-US" w:eastAsia="en-US" w:bidi="ar-SA"/>
    </w:rPr>
  </w:style>
  <w:style w:type="character" w:customStyle="1" w:styleId="853">
    <w:name w:val="*Body Text Char"/>
    <w:autoRedefine/>
    <w:qFormat/>
    <w:uiPriority w:val="0"/>
    <w:rPr>
      <w:rFonts w:ascii="Arial" w:hAnsi="Arial"/>
      <w:color w:val="000000"/>
      <w:lang w:val="en-US" w:eastAsia="en-US" w:bidi="ar-SA"/>
    </w:rPr>
  </w:style>
  <w:style w:type="character" w:customStyle="1" w:styleId="854">
    <w:name w:val="*Heading 1 Char"/>
    <w:qFormat/>
    <w:uiPriority w:val="0"/>
    <w:rPr>
      <w:rFonts w:ascii="Arial" w:hAnsi="Arial"/>
      <w:b/>
      <w:color w:val="000000"/>
      <w:sz w:val="32"/>
      <w:szCs w:val="32"/>
      <w:lang w:val="en-US" w:eastAsia="en-US" w:bidi="ar-SA"/>
    </w:rPr>
  </w:style>
  <w:style w:type="character" w:customStyle="1" w:styleId="855">
    <w:name w:val="*Full Page Char"/>
    <w:basedOn w:val="853"/>
    <w:qFormat/>
    <w:uiPriority w:val="0"/>
    <w:rPr>
      <w:rFonts w:ascii="Arial" w:hAnsi="Arial"/>
      <w:color w:val="000000"/>
      <w:lang w:val="en-US" w:eastAsia="en-US" w:bidi="ar-SA"/>
    </w:rPr>
  </w:style>
  <w:style w:type="paragraph" w:customStyle="1" w:styleId="856">
    <w:name w:val="Numbered list 3.2"/>
    <w:basedOn w:val="5"/>
    <w:next w:val="1"/>
    <w:qFormat/>
    <w:uiPriority w:val="0"/>
    <w:pPr>
      <w:keepNext/>
      <w:widowControl/>
      <w:numPr>
        <w:ilvl w:val="1"/>
        <w:numId w:val="24"/>
      </w:numPr>
      <w:tabs>
        <w:tab w:val="clear" w:pos="0"/>
      </w:tabs>
      <w:spacing w:before="240"/>
      <w:ind w:firstLine="0" w:firstLineChars="0"/>
      <w:contextualSpacing w:val="0"/>
      <w:jc w:val="left"/>
    </w:pPr>
    <w:rPr>
      <w:rFonts w:ascii="Arial" w:hAnsi="Arial"/>
      <w:color w:val="auto"/>
      <w:spacing w:val="0"/>
      <w:kern w:val="0"/>
      <w:sz w:val="24"/>
      <w:szCs w:val="20"/>
      <w:lang w:val="en-GB" w:eastAsia="en-US"/>
    </w:rPr>
  </w:style>
  <w:style w:type="paragraph" w:customStyle="1" w:styleId="857">
    <w:name w:val="Numbered list 3.3"/>
    <w:basedOn w:val="4"/>
    <w:next w:val="1"/>
    <w:qFormat/>
    <w:uiPriority w:val="0"/>
    <w:pPr>
      <w:keepNext/>
      <w:widowControl/>
      <w:numPr>
        <w:ilvl w:val="2"/>
        <w:numId w:val="24"/>
      </w:numPr>
      <w:tabs>
        <w:tab w:val="clear" w:pos="312"/>
      </w:tabs>
      <w:spacing w:before="240"/>
      <w:contextualSpacing w:val="0"/>
      <w:jc w:val="left"/>
    </w:pPr>
    <w:rPr>
      <w:rFonts w:ascii="Arial" w:hAnsi="Arial"/>
      <w:color w:val="auto"/>
      <w:spacing w:val="0"/>
      <w:kern w:val="0"/>
      <w:sz w:val="22"/>
      <w:szCs w:val="20"/>
      <w:lang w:val="en-GB" w:eastAsia="en-US"/>
    </w:rPr>
  </w:style>
  <w:style w:type="paragraph" w:customStyle="1" w:styleId="858">
    <w:name w:val="Table_Medium"/>
    <w:basedOn w:val="1"/>
    <w:qFormat/>
    <w:uiPriority w:val="0"/>
    <w:pPr>
      <w:spacing w:before="40" w:after="40" w:line="360" w:lineRule="auto"/>
      <w:ind w:firstLine="200" w:firstLineChars="200"/>
    </w:pPr>
    <w:rPr>
      <w:rFonts w:ascii="Arial" w:hAnsi="Arial"/>
      <w:sz w:val="18"/>
      <w:szCs w:val="20"/>
      <w:lang w:val="en-GB" w:eastAsia="en-US"/>
    </w:rPr>
  </w:style>
  <w:style w:type="paragraph" w:customStyle="1" w:styleId="859">
    <w:name w:val="公文正文"/>
    <w:basedOn w:val="1"/>
    <w:qFormat/>
    <w:uiPriority w:val="0"/>
    <w:pPr>
      <w:widowControl w:val="0"/>
      <w:adjustRightInd w:val="0"/>
      <w:spacing w:line="560" w:lineRule="atLeast"/>
      <w:ind w:firstLine="200" w:firstLineChars="200"/>
      <w:textAlignment w:val="baseline"/>
    </w:pPr>
    <w:rPr>
      <w:rFonts w:eastAsia="仿宋_GB2312"/>
      <w:sz w:val="32"/>
      <w:szCs w:val="20"/>
    </w:rPr>
  </w:style>
  <w:style w:type="paragraph" w:customStyle="1" w:styleId="860">
    <w:name w:val="默认段落字体 Para Char Char Char Char Char Char Char Char Char Char"/>
    <w:basedOn w:val="1"/>
    <w:qFormat/>
    <w:uiPriority w:val="0"/>
    <w:pPr>
      <w:widowControl w:val="0"/>
      <w:spacing w:line="360" w:lineRule="auto"/>
      <w:ind w:firstLine="200" w:firstLineChars="200"/>
    </w:pPr>
    <w:rPr>
      <w:rFonts w:ascii="Tahoma" w:hAnsi="Tahoma"/>
      <w:kern w:val="2"/>
      <w:szCs w:val="20"/>
    </w:rPr>
  </w:style>
  <w:style w:type="character" w:customStyle="1" w:styleId="861">
    <w:name w:val="标题1 Char"/>
    <w:qFormat/>
    <w:uiPriority w:val="0"/>
    <w:rPr>
      <w:rFonts w:ascii="Times New Roman" w:hAnsi="Times New Roman" w:eastAsia="宋体" w:cs="Times New Roman"/>
      <w:b/>
      <w:bCs/>
      <w:kern w:val="44"/>
      <w:sz w:val="32"/>
      <w:szCs w:val="44"/>
    </w:rPr>
  </w:style>
  <w:style w:type="character" w:customStyle="1" w:styleId="862">
    <w:name w:val="标题2 Char"/>
    <w:link w:val="324"/>
    <w:autoRedefine/>
    <w:qFormat/>
    <w:uiPriority w:val="0"/>
    <w:rPr>
      <w:rFonts w:ascii="Times New Roman" w:hAnsi="Times New Roman" w:eastAsia="黑体"/>
      <w:spacing w:val="6"/>
      <w:kern w:val="2"/>
      <w:sz w:val="32"/>
      <w:szCs w:val="24"/>
    </w:rPr>
  </w:style>
  <w:style w:type="character" w:customStyle="1" w:styleId="863">
    <w:name w:val="标题3 Char"/>
    <w:link w:val="483"/>
    <w:qFormat/>
    <w:uiPriority w:val="0"/>
    <w:rPr>
      <w:rFonts w:ascii="Arial" w:hAnsi="Times New Roman" w:eastAsia="黑体"/>
      <w:spacing w:val="6"/>
      <w:kern w:val="2"/>
      <w:sz w:val="24"/>
      <w:szCs w:val="24"/>
      <w:lang w:val="ru-RU"/>
    </w:rPr>
  </w:style>
  <w:style w:type="paragraph" w:customStyle="1" w:styleId="864">
    <w:name w:val="text"/>
    <w:basedOn w:val="1"/>
    <w:qFormat/>
    <w:uiPriority w:val="0"/>
    <w:pPr>
      <w:spacing w:before="100" w:beforeAutospacing="1" w:after="100" w:afterAutospacing="1" w:line="360" w:lineRule="auto"/>
      <w:ind w:firstLine="200" w:firstLineChars="200"/>
    </w:pPr>
    <w:rPr>
      <w:rFonts w:ascii="宋体" w:hAnsi="宋体" w:cs="宋体"/>
    </w:rPr>
  </w:style>
  <w:style w:type="paragraph" w:customStyle="1" w:styleId="865">
    <w:name w:val="Bullet with text 4"/>
    <w:basedOn w:val="1"/>
    <w:qFormat/>
    <w:uiPriority w:val="0"/>
    <w:pPr>
      <w:numPr>
        <w:ilvl w:val="0"/>
        <w:numId w:val="25"/>
      </w:numPr>
      <w:spacing w:line="360" w:lineRule="auto"/>
      <w:ind w:firstLine="200" w:firstLineChars="200"/>
    </w:pPr>
    <w:rPr>
      <w:rFonts w:ascii="Arial" w:hAnsi="Arial"/>
      <w:sz w:val="20"/>
      <w:szCs w:val="20"/>
      <w:lang w:val="en-GB" w:eastAsia="en-US"/>
    </w:rPr>
  </w:style>
  <w:style w:type="paragraph" w:customStyle="1" w:styleId="866">
    <w:name w:val="Title_Center"/>
    <w:basedOn w:val="63"/>
    <w:qFormat/>
    <w:uiPriority w:val="0"/>
    <w:pPr>
      <w:keepNext/>
      <w:spacing w:before="240" w:after="60"/>
      <w:contextualSpacing w:val="0"/>
      <w:jc w:val="center"/>
    </w:pPr>
    <w:rPr>
      <w:rFonts w:ascii="Arial" w:hAnsi="Arial"/>
      <w:color w:val="auto"/>
      <w:spacing w:val="0"/>
      <w:kern w:val="28"/>
      <w:sz w:val="24"/>
      <w:szCs w:val="20"/>
      <w:lang w:val="en-GB"/>
    </w:rPr>
  </w:style>
  <w:style w:type="paragraph" w:customStyle="1" w:styleId="867">
    <w:name w:val="样式45"/>
    <w:basedOn w:val="683"/>
    <w:link w:val="868"/>
    <w:qFormat/>
    <w:uiPriority w:val="0"/>
    <w:pPr>
      <w:numPr>
        <w:ilvl w:val="4"/>
      </w:numPr>
      <w:spacing w:line="360" w:lineRule="auto"/>
      <w:ind w:left="1021" w:firstLine="0"/>
      <w:outlineLvl w:val="4"/>
    </w:pPr>
    <w:rPr>
      <w:sz w:val="24"/>
    </w:rPr>
  </w:style>
  <w:style w:type="character" w:customStyle="1" w:styleId="868">
    <w:name w:val="样式45 字符"/>
    <w:basedOn w:val="684"/>
    <w:link w:val="867"/>
    <w:autoRedefine/>
    <w:qFormat/>
    <w:uiPriority w:val="0"/>
    <w:rPr>
      <w:rFonts w:ascii="Cambria" w:hAnsi="Cambria" w:eastAsia="宋体" w:cs="Times New Roman"/>
      <w:color w:val="3071C3"/>
      <w:spacing w:val="20"/>
      <w:kern w:val="2"/>
      <w:sz w:val="24"/>
      <w:szCs w:val="28"/>
    </w:rPr>
  </w:style>
  <w:style w:type="paragraph" w:customStyle="1" w:styleId="869">
    <w:name w:val="正文首行缩进（绿盟科技）"/>
    <w:basedOn w:val="1"/>
    <w:link w:val="870"/>
    <w:qFormat/>
    <w:uiPriority w:val="0"/>
    <w:pPr>
      <w:widowControl w:val="0"/>
      <w:spacing w:line="360" w:lineRule="auto"/>
      <w:ind w:firstLine="480" w:firstLineChars="200"/>
    </w:pPr>
    <w:rPr>
      <w:kern w:val="2"/>
    </w:rPr>
  </w:style>
  <w:style w:type="character" w:customStyle="1" w:styleId="870">
    <w:name w:val="正文首行缩进（绿盟科技） Char"/>
    <w:basedOn w:val="71"/>
    <w:link w:val="869"/>
    <w:qFormat/>
    <w:uiPriority w:val="0"/>
    <w:rPr>
      <w:rFonts w:ascii="Times New Roman" w:hAnsi="Times New Roman"/>
      <w:kern w:val="2"/>
      <w:sz w:val="24"/>
      <w:szCs w:val="24"/>
    </w:rPr>
  </w:style>
  <w:style w:type="paragraph" w:customStyle="1" w:styleId="871">
    <w:name w:val="列表段落1"/>
    <w:basedOn w:val="1"/>
    <w:autoRedefine/>
    <w:qFormat/>
    <w:uiPriority w:val="99"/>
    <w:pPr>
      <w:widowControl w:val="0"/>
      <w:spacing w:line="400" w:lineRule="exact"/>
      <w:ind w:firstLine="420" w:firstLineChars="200"/>
      <w:jc w:val="both"/>
    </w:pPr>
    <w:rPr>
      <w:rFonts w:ascii="宋体" w:hAnsi="宋体" w:cs="宋体"/>
      <w:kern w:val="2"/>
      <w:sz w:val="21"/>
      <w:szCs w:val="21"/>
    </w:rPr>
  </w:style>
  <w:style w:type="paragraph" w:customStyle="1" w:styleId="872">
    <w:name w:val="_正文段落"/>
    <w:basedOn w:val="1"/>
    <w:qFormat/>
    <w:uiPriority w:val="0"/>
    <w:pPr>
      <w:widowControl w:val="0"/>
      <w:spacing w:beforeLines="15" w:line="360" w:lineRule="auto"/>
      <w:ind w:firstLine="200" w:firstLineChars="200"/>
    </w:pPr>
    <w:rPr>
      <w:rFonts w:ascii="宋体" w:hAnsi="宋体" w:cs="宋体"/>
      <w:kern w:val="2"/>
      <w:sz w:val="21"/>
      <w:szCs w:val="21"/>
    </w:rPr>
  </w:style>
  <w:style w:type="paragraph" w:customStyle="1" w:styleId="873">
    <w:name w:val="列出段落-1"/>
    <w:basedOn w:val="120"/>
    <w:autoRedefine/>
    <w:qFormat/>
    <w:uiPriority w:val="0"/>
    <w:pPr>
      <w:spacing w:beforeLines="50" w:afterLines="50" w:line="320" w:lineRule="exact"/>
      <w:ind w:left="0" w:firstLine="482"/>
      <w:jc w:val="left"/>
    </w:pPr>
    <w:rPr>
      <w:rFonts w:ascii="宋体" w:hAnsi="宋体" w:eastAsia="楷体" w:cs="宋体"/>
      <w:b/>
      <w:bCs/>
      <w:color w:val="auto"/>
      <w:sz w:val="24"/>
      <w:szCs w:val="24"/>
    </w:rPr>
  </w:style>
  <w:style w:type="paragraph" w:customStyle="1" w:styleId="874">
    <w:name w:val="普通标题-2"/>
    <w:basedOn w:val="5"/>
    <w:next w:val="873"/>
    <w:qFormat/>
    <w:uiPriority w:val="0"/>
    <w:pPr>
      <w:spacing w:beforeLines="50" w:afterLines="50"/>
      <w:ind w:left="576" w:hanging="576" w:firstLineChars="0"/>
      <w:contextualSpacing w:val="0"/>
      <w:jc w:val="left"/>
    </w:pPr>
    <w:rPr>
      <w:rFonts w:ascii="微软雅黑" w:hAnsi="微软雅黑" w:eastAsia="楷体" w:cs="宋体"/>
      <w:bCs/>
      <w:color w:val="auto"/>
      <w:spacing w:val="0"/>
      <w:sz w:val="24"/>
      <w:szCs w:val="24"/>
    </w:rPr>
  </w:style>
  <w:style w:type="paragraph" w:customStyle="1" w:styleId="875">
    <w:name w:val="普通标题-3"/>
    <w:basedOn w:val="4"/>
    <w:next w:val="873"/>
    <w:autoRedefine/>
    <w:qFormat/>
    <w:uiPriority w:val="0"/>
    <w:pPr>
      <w:keepNext/>
      <w:keepLines/>
      <w:spacing w:before="156" w:after="156" w:line="412" w:lineRule="auto"/>
      <w:ind w:firstLine="0" w:firstLineChars="0"/>
      <w:jc w:val="left"/>
    </w:pPr>
    <w:rPr>
      <w:rFonts w:ascii="楷体" w:hAnsi="楷体" w:eastAsia="楷体" w:cs="Calibri"/>
      <w:bCs/>
      <w:color w:val="auto"/>
      <w:spacing w:val="0"/>
      <w:kern w:val="0"/>
    </w:rPr>
  </w:style>
  <w:style w:type="paragraph" w:customStyle="1" w:styleId="876">
    <w:name w:val="表格的正文"/>
    <w:basedOn w:val="1"/>
    <w:qFormat/>
    <w:uiPriority w:val="0"/>
    <w:pPr>
      <w:widowControl w:val="0"/>
      <w:spacing w:line="288" w:lineRule="auto"/>
      <w:contextualSpacing/>
      <w:jc w:val="center"/>
    </w:pPr>
    <w:rPr>
      <w:rFonts w:ascii="宋体" w:hAnsi="宋体" w:eastAsia="楷体" w:cs="宋体"/>
      <w:kern w:val="2"/>
      <w:sz w:val="21"/>
      <w:szCs w:val="21"/>
    </w:rPr>
  </w:style>
  <w:style w:type="paragraph" w:customStyle="1" w:styleId="877">
    <w:name w:val="普通标题-1"/>
    <w:basedOn w:val="3"/>
    <w:next w:val="873"/>
    <w:qFormat/>
    <w:uiPriority w:val="0"/>
    <w:pPr>
      <w:keepNext/>
      <w:keepLines/>
      <w:spacing w:before="156" w:after="156" w:line="576" w:lineRule="auto"/>
      <w:ind w:left="420" w:firstLine="0" w:firstLineChars="0"/>
      <w:contextualSpacing w:val="0"/>
      <w:jc w:val="left"/>
    </w:pPr>
    <w:rPr>
      <w:rFonts w:ascii="Courier New" w:hAnsi="Courier New" w:eastAsia="楷体" w:cs="Courier New"/>
      <w:color w:val="auto"/>
      <w:spacing w:val="0"/>
      <w:kern w:val="44"/>
      <w:sz w:val="28"/>
      <w:szCs w:val="28"/>
    </w:rPr>
  </w:style>
  <w:style w:type="paragraph" w:customStyle="1" w:styleId="878">
    <w:name w:val="图样式"/>
    <w:basedOn w:val="873"/>
    <w:autoRedefine/>
    <w:qFormat/>
    <w:uiPriority w:val="0"/>
    <w:pPr>
      <w:spacing w:line="360" w:lineRule="auto"/>
      <w:ind w:firstLine="0" w:firstLineChars="0"/>
      <w:jc w:val="center"/>
    </w:pPr>
    <w:rPr>
      <w:rFonts w:ascii="楷体" w:hAnsi="楷体"/>
    </w:rPr>
  </w:style>
  <w:style w:type="character" w:customStyle="1" w:styleId="879">
    <w:name w:val="未处理的提及1"/>
    <w:basedOn w:val="71"/>
    <w:semiHidden/>
    <w:unhideWhenUsed/>
    <w:qFormat/>
    <w:uiPriority w:val="99"/>
    <w:rPr>
      <w:color w:val="605E5C"/>
      <w:shd w:val="clear" w:color="auto" w:fill="E1DFDD"/>
    </w:rPr>
  </w:style>
  <w:style w:type="character" w:customStyle="1" w:styleId="880">
    <w:name w:val="未处理的提及2"/>
    <w:basedOn w:val="71"/>
    <w:autoRedefine/>
    <w:semiHidden/>
    <w:unhideWhenUsed/>
    <w:qFormat/>
    <w:uiPriority w:val="99"/>
    <w:rPr>
      <w:color w:val="605E5C"/>
      <w:shd w:val="clear" w:color="auto" w:fill="E1DFDD"/>
    </w:rPr>
  </w:style>
  <w:style w:type="paragraph" w:customStyle="1" w:styleId="881">
    <w:name w:val="TOC 标题2"/>
    <w:basedOn w:val="3"/>
    <w:next w:val="1"/>
    <w:unhideWhenUsed/>
    <w:qFormat/>
    <w:uiPriority w:val="39"/>
    <w:pPr>
      <w:keepNext/>
      <w:keepLines/>
      <w:widowControl/>
      <w:spacing w:before="240" w:after="0" w:line="259" w:lineRule="auto"/>
      <w:ind w:firstLine="0" w:firstLineChars="0"/>
      <w:contextualSpacing w:val="0"/>
      <w:jc w:val="left"/>
      <w:outlineLvl w:val="9"/>
    </w:pPr>
    <w:rPr>
      <w:color w:val="365F91"/>
      <w:spacing w:val="0"/>
      <w:kern w:val="0"/>
    </w:rPr>
  </w:style>
  <w:style w:type="paragraph" w:customStyle="1" w:styleId="882">
    <w:name w:val="TOC 标题3"/>
    <w:basedOn w:val="3"/>
    <w:next w:val="1"/>
    <w:unhideWhenUsed/>
    <w:qFormat/>
    <w:uiPriority w:val="39"/>
    <w:pPr>
      <w:keepNext/>
      <w:keepLines/>
      <w:widowControl/>
      <w:spacing w:before="240" w:after="0" w:line="259" w:lineRule="auto"/>
      <w:ind w:firstLine="0" w:firstLineChars="0"/>
      <w:contextualSpacing w:val="0"/>
      <w:jc w:val="left"/>
      <w:outlineLvl w:val="9"/>
    </w:pPr>
    <w:rPr>
      <w:color w:val="365F91"/>
      <w:spacing w:val="0"/>
      <w:kern w:val="0"/>
    </w:rPr>
  </w:style>
  <w:style w:type="paragraph" w:customStyle="1" w:styleId="883">
    <w:name w:val="表格文字"/>
    <w:basedOn w:val="1"/>
    <w:autoRedefine/>
    <w:qFormat/>
    <w:uiPriority w:val="0"/>
    <w:pPr>
      <w:widowControl w:val="0"/>
      <w:spacing w:before="25" w:after="25"/>
      <w:jc w:val="both"/>
    </w:pPr>
    <w:rPr>
      <w:bCs/>
      <w:spacing w:val="10"/>
      <w:kern w:val="2"/>
      <w:sz w:val="21"/>
      <w:szCs w:val="20"/>
    </w:rPr>
  </w:style>
  <w:style w:type="character" w:customStyle="1" w:styleId="884">
    <w:name w:val="a-size-large1"/>
    <w:autoRedefine/>
    <w:qFormat/>
    <w:uiPriority w:val="0"/>
    <w:rPr>
      <w:rFonts w:hint="default" w:ascii="微软雅黑" w:hAnsi="微软雅黑"/>
    </w:rPr>
  </w:style>
  <w:style w:type="paragraph" w:customStyle="1" w:styleId="885">
    <w:name w:val="_Style 11"/>
    <w:basedOn w:val="1"/>
    <w:qFormat/>
    <w:uiPriority w:val="0"/>
    <w:pPr>
      <w:widowControl w:val="0"/>
      <w:jc w:val="both"/>
    </w:pPr>
    <w:rPr>
      <w:rFonts w:ascii="Tahoma" w:hAnsi="Tahoma"/>
      <w:kern w:val="2"/>
      <w:szCs w:val="20"/>
    </w:rPr>
  </w:style>
  <w:style w:type="paragraph" w:customStyle="1" w:styleId="886">
    <w:name w:val="_Style 15"/>
    <w:basedOn w:val="1"/>
    <w:autoRedefine/>
    <w:qFormat/>
    <w:uiPriority w:val="0"/>
    <w:pPr>
      <w:widowControl w:val="0"/>
      <w:tabs>
        <w:tab w:val="left" w:pos="360"/>
      </w:tabs>
      <w:jc w:val="both"/>
    </w:pPr>
    <w:rPr>
      <w:kern w:val="2"/>
    </w:rPr>
  </w:style>
  <w:style w:type="character" w:customStyle="1" w:styleId="887">
    <w:name w:val="未处理的提及3"/>
    <w:basedOn w:val="71"/>
    <w:autoRedefine/>
    <w:semiHidden/>
    <w:unhideWhenUsed/>
    <w:qFormat/>
    <w:uiPriority w:val="99"/>
    <w:rPr>
      <w:color w:val="605E5C"/>
      <w:shd w:val="clear" w:color="auto" w:fill="E1DFDD"/>
    </w:rPr>
  </w:style>
  <w:style w:type="paragraph" w:customStyle="1" w:styleId="888">
    <w:name w:val="列出段落2"/>
    <w:basedOn w:val="1"/>
    <w:unhideWhenUsed/>
    <w:qFormat/>
    <w:uiPriority w:val="99"/>
    <w:pPr>
      <w:widowControl w:val="0"/>
      <w:ind w:firstLine="420" w:firstLineChars="200"/>
      <w:jc w:val="both"/>
    </w:pPr>
    <w:rPr>
      <w:kern w:val="2"/>
      <w:sz w:val="21"/>
      <w:szCs w:val="21"/>
    </w:rPr>
  </w:style>
  <w:style w:type="paragraph" w:customStyle="1" w:styleId="889">
    <w:name w:val="正文（首行缩进2字符）"/>
    <w:basedOn w:val="1"/>
    <w:link w:val="890"/>
    <w:qFormat/>
    <w:uiPriority w:val="0"/>
    <w:pPr>
      <w:widowControl w:val="0"/>
      <w:spacing w:line="360" w:lineRule="auto"/>
      <w:ind w:firstLine="461" w:firstLineChars="192"/>
      <w:jc w:val="both"/>
    </w:pPr>
    <w:rPr>
      <w:rFonts w:ascii="Arial" w:hAnsi="Arial"/>
      <w:szCs w:val="28"/>
    </w:rPr>
  </w:style>
  <w:style w:type="character" w:customStyle="1" w:styleId="890">
    <w:name w:val="正文（首行缩进2字符） Char"/>
    <w:link w:val="889"/>
    <w:qFormat/>
    <w:uiPriority w:val="0"/>
    <w:rPr>
      <w:rFonts w:ascii="Arial" w:hAnsi="Arial"/>
      <w:sz w:val="24"/>
      <w:szCs w:val="28"/>
    </w:rPr>
  </w:style>
  <w:style w:type="paragraph" w:customStyle="1" w:styleId="891">
    <w:name w:val="四级标题-zxf"/>
    <w:basedOn w:val="1"/>
    <w:qFormat/>
    <w:uiPriority w:val="0"/>
    <w:pPr>
      <w:numPr>
        <w:ilvl w:val="2"/>
        <w:numId w:val="26"/>
      </w:numPr>
      <w:snapToGrid w:val="0"/>
      <w:spacing w:before="60" w:after="60" w:line="360" w:lineRule="auto"/>
      <w:outlineLvl w:val="3"/>
    </w:pPr>
    <w:rPr>
      <w:b/>
    </w:rPr>
  </w:style>
  <w:style w:type="paragraph" w:customStyle="1" w:styleId="892">
    <w:name w:val="三级标题-zxf"/>
    <w:basedOn w:val="1"/>
    <w:autoRedefine/>
    <w:qFormat/>
    <w:uiPriority w:val="0"/>
    <w:pPr>
      <w:numPr>
        <w:ilvl w:val="1"/>
        <w:numId w:val="26"/>
      </w:numPr>
      <w:adjustRightInd w:val="0"/>
      <w:snapToGrid w:val="0"/>
      <w:spacing w:before="260" w:after="260" w:line="415" w:lineRule="auto"/>
      <w:outlineLvl w:val="2"/>
    </w:pPr>
    <w:rPr>
      <w:b/>
      <w:sz w:val="28"/>
    </w:rPr>
  </w:style>
  <w:style w:type="paragraph" w:customStyle="1" w:styleId="893">
    <w:name w:val="二级标题-zxf"/>
    <w:basedOn w:val="1"/>
    <w:next w:val="892"/>
    <w:qFormat/>
    <w:uiPriority w:val="0"/>
    <w:pPr>
      <w:numPr>
        <w:ilvl w:val="0"/>
        <w:numId w:val="26"/>
      </w:numPr>
      <w:adjustRightInd w:val="0"/>
      <w:snapToGrid w:val="0"/>
      <w:spacing w:beforeLines="100" w:after="60" w:line="360" w:lineRule="auto"/>
      <w:outlineLvl w:val="1"/>
    </w:pPr>
    <w:rPr>
      <w:b/>
      <w:sz w:val="30"/>
    </w:rPr>
  </w:style>
  <w:style w:type="paragraph" w:customStyle="1" w:styleId="894">
    <w:name w:val="表格列标题"/>
    <w:basedOn w:val="1"/>
    <w:qFormat/>
    <w:uiPriority w:val="0"/>
    <w:pPr>
      <w:widowControl w:val="0"/>
      <w:spacing w:line="360" w:lineRule="auto"/>
      <w:jc w:val="center"/>
    </w:pPr>
    <w:rPr>
      <w:rFonts w:ascii="Arial" w:hAnsi="Arial" w:cs="Arial"/>
      <w:b/>
      <w:kern w:val="2"/>
      <w:sz w:val="21"/>
      <w:szCs w:val="22"/>
    </w:rPr>
  </w:style>
  <w:style w:type="character" w:customStyle="1" w:styleId="895">
    <w:name w:val="题注 Char"/>
    <w:link w:val="19"/>
    <w:qFormat/>
    <w:uiPriority w:val="35"/>
    <w:rPr>
      <w:rFonts w:ascii="Arial" w:hAnsi="Arial" w:eastAsia="宋体"/>
      <w:sz w:val="20"/>
    </w:rPr>
  </w:style>
  <w:style w:type="paragraph" w:customStyle="1" w:styleId="896">
    <w:name w:val="设计正文"/>
    <w:basedOn w:val="1"/>
    <w:qFormat/>
    <w:uiPriority w:val="0"/>
    <w:pPr>
      <w:ind w:firstLine="420"/>
    </w:pPr>
  </w:style>
  <w:style w:type="paragraph" w:customStyle="1" w:styleId="897">
    <w:name w:val="修订1"/>
    <w:autoRedefine/>
    <w:hidden/>
    <w:semiHidden/>
    <w:unhideWhenUsed/>
    <w:qFormat/>
    <w:uiPriority w:val="99"/>
    <w:rPr>
      <w:rFonts w:ascii="Times New Roman" w:hAnsi="Times New Roman" w:eastAsia="宋体" w:cs="Times New Roman"/>
      <w:sz w:val="24"/>
      <w:szCs w:val="24"/>
      <w:lang w:val="en-US" w:eastAsia="zh-CN" w:bidi="ar-SA"/>
    </w:rPr>
  </w:style>
  <w:style w:type="character" w:customStyle="1" w:styleId="898">
    <w:name w:val="font61"/>
    <w:basedOn w:val="71"/>
    <w:qFormat/>
    <w:uiPriority w:val="0"/>
    <w:rPr>
      <w:rFonts w:hint="eastAsia" w:ascii="微软雅黑" w:hAnsi="微软雅黑" w:eastAsia="微软雅黑" w:cs="微软雅黑"/>
      <w:color w:val="FF0000"/>
      <w:sz w:val="28"/>
      <w:szCs w:val="28"/>
      <w:u w:val="none"/>
    </w:rPr>
  </w:style>
  <w:style w:type="character" w:customStyle="1" w:styleId="899">
    <w:name w:val="font31"/>
    <w:basedOn w:val="71"/>
    <w:qFormat/>
    <w:uiPriority w:val="0"/>
    <w:rPr>
      <w:rFonts w:hint="eastAsia" w:ascii="微软雅黑" w:hAnsi="微软雅黑" w:eastAsia="微软雅黑" w:cs="微软雅黑"/>
      <w:color w:val="000000"/>
      <w:sz w:val="28"/>
      <w:szCs w:val="28"/>
      <w:u w:val="none"/>
    </w:rPr>
  </w:style>
  <w:style w:type="paragraph" w:customStyle="1" w:styleId="900">
    <w:name w:val="Table Paragraph"/>
    <w:basedOn w:val="1"/>
    <w:qFormat/>
    <w:uiPriority w:val="1"/>
  </w:style>
  <w:style w:type="character" w:customStyle="1" w:styleId="901">
    <w:name w:val="font41"/>
    <w:basedOn w:val="71"/>
    <w:qFormat/>
    <w:uiPriority w:val="0"/>
    <w:rPr>
      <w:rFonts w:hint="eastAsia" w:ascii="宋体" w:hAnsi="宋体" w:eastAsia="宋体" w:cs="宋体"/>
      <w:b/>
      <w:bCs/>
      <w:color w:val="000000"/>
      <w:sz w:val="20"/>
      <w:szCs w:val="20"/>
      <w:u w:val="none"/>
    </w:rPr>
  </w:style>
  <w:style w:type="character" w:customStyle="1" w:styleId="902">
    <w:name w:val="font21"/>
    <w:basedOn w:val="71"/>
    <w:qFormat/>
    <w:uiPriority w:val="0"/>
    <w:rPr>
      <w:rFonts w:hint="eastAsia" w:ascii="宋体" w:hAnsi="宋体" w:eastAsia="宋体" w:cs="宋体"/>
      <w:color w:val="000000"/>
      <w:sz w:val="20"/>
      <w:szCs w:val="20"/>
      <w:u w:val="none"/>
    </w:rPr>
  </w:style>
  <w:style w:type="paragraph" w:customStyle="1" w:styleId="903">
    <w:name w:val="00.正文"/>
    <w:basedOn w:val="1"/>
    <w:qFormat/>
    <w:uiPriority w:val="0"/>
    <w:pPr>
      <w:adjustRightInd w:val="0"/>
      <w:snapToGrid w:val="0"/>
      <w:jc w:val="both"/>
    </w:pPr>
    <w:rPr>
      <w:rFonts w:ascii="仿宋_GB2312" w:hAnsi="仿宋_GB2312" w:cs="仿宋_GB2312"/>
      <w:color w:val="auto"/>
      <w:szCs w:val="28"/>
    </w:rPr>
  </w:style>
  <w:style w:type="paragraph" w:customStyle="1" w:styleId="904">
    <w:name w:val="首行缩进"/>
    <w:basedOn w:val="1"/>
    <w:qFormat/>
    <w:uiPriority w:val="0"/>
    <w:pPr>
      <w:widowControl/>
      <w:ind w:firstLine="480"/>
    </w:pPr>
    <w:rPr>
      <w:rFonts w:ascii="宋体" w:hAnsi="宋体"/>
      <w:color w:val="auto"/>
      <w:kern w:val="0"/>
      <w:szCs w:val="24"/>
      <w:lang w:val="zh-CN"/>
    </w:rPr>
  </w:style>
  <w:style w:type="table" w:customStyle="1" w:styleId="9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6D89E-4B5B-439A-8C5E-794E9ADE5BA1}">
  <ds:schemaRefs/>
</ds:datastoreItem>
</file>

<file path=docProps/app.xml><?xml version="1.0" encoding="utf-8"?>
<Properties xmlns="http://schemas.openxmlformats.org/officeDocument/2006/extended-properties" xmlns:vt="http://schemas.openxmlformats.org/officeDocument/2006/docPropsVTypes">
  <Template>Normal</Template>
  <Pages>71</Pages>
  <Words>18350</Words>
  <Characters>19445</Characters>
  <Lines>219</Lines>
  <Paragraphs>61</Paragraphs>
  <TotalTime>29</TotalTime>
  <ScaleCrop>false</ScaleCrop>
  <LinksUpToDate>false</LinksUpToDate>
  <CharactersWithSpaces>19918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2023-06-03T01:18:00Z</dcterms:created>
  <cp:lastPrinted>2018-10-30T02:38:00Z</cp:lastPrinted>
  <dcterms:modified xsi:type="dcterms:W3CDTF">2026-06-09T08:01:26Z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2D7D112FBC3D46B3835353B89FA76BC5_13</vt:lpwstr>
  </property>
  <property fmtid="{D5CDD505-2E9C-101B-9397-08002B2CF9AE}" pid="4" name="KSOTemplateDocerSaveRecord">
    <vt:lpwstr>eyJoZGlkIjoiYTM4NGYwYmMwNTdjM2ExYjRjNGE0NTMxM2QxNTU0OWEiLCJ1c2VySWQiOiIyMDU0MjQzMTcifQ==</vt:lpwstr>
  </property>
</Properties>
</file>