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347E2">
      <w:pPr>
        <w:spacing w:line="360" w:lineRule="auto"/>
        <w:jc w:val="center"/>
        <w:rPr>
          <w:rFonts w:ascii="宋体" w:hAnsi="宋体" w:cs="宋体"/>
          <w:b/>
          <w:color w:val="auto"/>
          <w:sz w:val="24"/>
          <w:highlight w:val="none"/>
        </w:rPr>
      </w:pPr>
    </w:p>
    <w:p w14:paraId="2F7A2C15">
      <w:pPr>
        <w:spacing w:line="360" w:lineRule="auto"/>
        <w:jc w:val="center"/>
        <w:rPr>
          <w:rFonts w:ascii="宋体" w:hAnsi="宋体" w:cs="宋体"/>
          <w:b/>
          <w:color w:val="auto"/>
          <w:sz w:val="24"/>
          <w:highlight w:val="none"/>
        </w:rPr>
      </w:pPr>
    </w:p>
    <w:p w14:paraId="377779B2">
      <w:pPr>
        <w:adjustRightInd/>
        <w:spacing w:line="360" w:lineRule="auto"/>
        <w:jc w:val="center"/>
        <w:rPr>
          <w:rFonts w:ascii="宋体" w:hAnsi="宋体" w:cs="宋体"/>
          <w:b/>
          <w:color w:val="auto"/>
          <w:sz w:val="44"/>
          <w:szCs w:val="44"/>
          <w:highlight w:val="none"/>
        </w:rPr>
      </w:pPr>
    </w:p>
    <w:p w14:paraId="22F8541E">
      <w:pPr>
        <w:spacing w:line="360" w:lineRule="auto"/>
        <w:jc w:val="center"/>
        <w:rPr>
          <w:rFonts w:ascii="宋体" w:hAnsi="宋体" w:cs="宋体"/>
          <w:b/>
          <w:color w:val="auto"/>
          <w:sz w:val="44"/>
          <w:szCs w:val="44"/>
          <w:highlight w:val="none"/>
        </w:rPr>
      </w:pPr>
    </w:p>
    <w:p w14:paraId="091051D5">
      <w:pPr>
        <w:adjustRightInd/>
        <w:spacing w:line="360" w:lineRule="auto"/>
        <w:jc w:val="center"/>
        <w:rPr>
          <w:rFonts w:ascii="宋体" w:hAnsi="宋体" w:cs="宋体"/>
          <w:b/>
          <w:color w:val="auto"/>
          <w:sz w:val="48"/>
          <w:szCs w:val="48"/>
          <w:highlight w:val="none"/>
        </w:rPr>
      </w:pPr>
    </w:p>
    <w:p w14:paraId="1A472DED">
      <w:pPr>
        <w:adjustRightInd/>
        <w:spacing w:line="360" w:lineRule="auto"/>
        <w:jc w:val="center"/>
        <w:rPr>
          <w:rFonts w:hint="eastAsia" w:ascii="宋体" w:hAnsi="宋体" w:cs="宋体"/>
          <w:color w:val="auto"/>
          <w:sz w:val="48"/>
          <w:szCs w:val="48"/>
          <w:highlight w:val="none"/>
          <w:lang w:eastAsia="zh-CN"/>
        </w:rPr>
      </w:pPr>
      <w:r>
        <w:rPr>
          <w:rFonts w:hint="eastAsia" w:ascii="宋体" w:hAnsi="宋体" w:cs="宋体"/>
          <w:color w:val="auto"/>
          <w:spacing w:val="28"/>
          <w:sz w:val="48"/>
          <w:szCs w:val="48"/>
          <w:highlight w:val="none"/>
          <w:lang w:eastAsia="zh-CN"/>
        </w:rPr>
        <w:t>杭州市临安区人民法院</w:t>
      </w:r>
      <w:r>
        <w:rPr>
          <w:rFonts w:hint="eastAsia" w:ascii="宋体" w:hAnsi="宋体" w:cs="宋体"/>
          <w:color w:val="auto"/>
          <w:spacing w:val="28"/>
          <w:sz w:val="48"/>
          <w:szCs w:val="48"/>
          <w:highlight w:val="none"/>
          <w:lang w:val="en-US" w:eastAsia="zh-CN"/>
        </w:rPr>
        <w:t>2026年</w:t>
      </w:r>
      <w:r>
        <w:rPr>
          <w:rFonts w:hint="eastAsia" w:ascii="宋体" w:hAnsi="宋体" w:cs="宋体"/>
          <w:color w:val="auto"/>
          <w:spacing w:val="28"/>
          <w:sz w:val="48"/>
          <w:szCs w:val="48"/>
          <w:highlight w:val="none"/>
          <w:lang w:eastAsia="zh-CN"/>
        </w:rPr>
        <w:t>便携式</w:t>
      </w:r>
      <w:r>
        <w:rPr>
          <w:rFonts w:hint="eastAsia" w:ascii="宋体" w:hAnsi="宋体" w:cs="宋体"/>
          <w:color w:val="auto"/>
          <w:sz w:val="48"/>
          <w:szCs w:val="48"/>
          <w:highlight w:val="none"/>
          <w:lang w:eastAsia="zh-CN"/>
        </w:rPr>
        <w:t>计算机采购项目</w:t>
      </w:r>
    </w:p>
    <w:p w14:paraId="70EAFAFF">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招标文件</w:t>
      </w:r>
    </w:p>
    <w:p w14:paraId="6E49CDAD">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14:paraId="56D5DA07">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w:t>
      </w:r>
      <w:r>
        <w:rPr>
          <w:rFonts w:hint="eastAsia" w:ascii="宋体" w:hAnsi="宋体" w:cs="宋体"/>
          <w:color w:val="auto"/>
          <w:sz w:val="30"/>
          <w:szCs w:val="30"/>
          <w:highlight w:val="none"/>
        </w:rPr>
        <w:t>（LZC-GK-</w:t>
      </w:r>
      <w:r>
        <w:rPr>
          <w:rFonts w:hint="eastAsia" w:ascii="宋体" w:hAnsi="宋体" w:cs="宋体"/>
          <w:color w:val="auto"/>
          <w:sz w:val="30"/>
          <w:szCs w:val="30"/>
          <w:highlight w:val="none"/>
          <w:lang w:val="en-US" w:eastAsia="zh-CN"/>
        </w:rPr>
        <w:t>[2026]865号</w:t>
      </w:r>
      <w:r>
        <w:rPr>
          <w:rFonts w:hint="eastAsia" w:ascii="宋体" w:hAnsi="宋体" w:cs="宋体"/>
          <w:color w:val="auto"/>
          <w:sz w:val="30"/>
          <w:szCs w:val="30"/>
          <w:highlight w:val="none"/>
        </w:rPr>
        <w:t>）</w:t>
      </w:r>
    </w:p>
    <w:p w14:paraId="4905DC7B">
      <w:pPr>
        <w:adjustRightInd/>
        <w:spacing w:line="360" w:lineRule="auto"/>
        <w:rPr>
          <w:rFonts w:ascii="宋体" w:hAnsi="宋体" w:cs="宋体"/>
          <w:color w:val="auto"/>
          <w:sz w:val="28"/>
          <w:szCs w:val="20"/>
          <w:highlight w:val="none"/>
        </w:rPr>
      </w:pPr>
    </w:p>
    <w:p w14:paraId="22FCE897">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48267B9B">
      <w:pPr>
        <w:spacing w:line="360" w:lineRule="auto"/>
        <w:jc w:val="center"/>
        <w:rPr>
          <w:rFonts w:ascii="宋体" w:hAnsi="宋体" w:cs="宋体"/>
          <w:b/>
          <w:color w:val="auto"/>
          <w:sz w:val="44"/>
          <w:szCs w:val="44"/>
          <w:highlight w:val="none"/>
        </w:rPr>
      </w:pPr>
    </w:p>
    <w:p w14:paraId="3E1F6A94">
      <w:pPr>
        <w:spacing w:line="360" w:lineRule="auto"/>
        <w:jc w:val="center"/>
        <w:rPr>
          <w:rFonts w:ascii="宋体" w:hAnsi="宋体" w:cs="宋体"/>
          <w:color w:val="auto"/>
          <w:sz w:val="24"/>
          <w:highlight w:val="none"/>
        </w:rPr>
      </w:pPr>
    </w:p>
    <w:p w14:paraId="2879DD61">
      <w:pPr>
        <w:spacing w:line="360" w:lineRule="auto"/>
        <w:jc w:val="center"/>
        <w:rPr>
          <w:rFonts w:ascii="宋体" w:hAnsi="宋体" w:cs="宋体"/>
          <w:color w:val="auto"/>
          <w:sz w:val="24"/>
          <w:highlight w:val="none"/>
        </w:rPr>
      </w:pPr>
    </w:p>
    <w:p w14:paraId="54C38AC3">
      <w:pPr>
        <w:spacing w:line="360" w:lineRule="auto"/>
        <w:rPr>
          <w:rFonts w:ascii="宋体" w:hAnsi="宋体" w:cs="宋体"/>
          <w:color w:val="auto"/>
          <w:sz w:val="32"/>
          <w:szCs w:val="32"/>
          <w:highlight w:val="none"/>
        </w:rPr>
      </w:pPr>
    </w:p>
    <w:p w14:paraId="6D0FFAE3">
      <w:pPr>
        <w:spacing w:line="360" w:lineRule="auto"/>
        <w:jc w:val="center"/>
        <w:rPr>
          <w:rFonts w:hint="eastAsia" w:ascii="宋体" w:hAnsi="宋体" w:cs="宋体"/>
          <w:bCs/>
          <w:sz w:val="32"/>
          <w:szCs w:val="32"/>
          <w:lang w:eastAsia="zh-CN"/>
        </w:rPr>
      </w:pPr>
    </w:p>
    <w:p w14:paraId="2A77A409">
      <w:pPr>
        <w:spacing w:line="360" w:lineRule="auto"/>
        <w:jc w:val="center"/>
        <w:rPr>
          <w:rFonts w:hint="eastAsia" w:ascii="宋体" w:hAnsi="宋体" w:cs="宋体"/>
          <w:bCs/>
          <w:sz w:val="32"/>
          <w:szCs w:val="32"/>
          <w:lang w:eastAsia="zh-CN"/>
        </w:rPr>
      </w:pPr>
      <w:r>
        <w:rPr>
          <w:rFonts w:hint="eastAsia" w:ascii="宋体" w:hAnsi="宋体" w:cs="宋体"/>
          <w:bCs/>
          <w:sz w:val="32"/>
          <w:szCs w:val="32"/>
          <w:lang w:eastAsia="zh-CN"/>
        </w:rPr>
        <w:t>杭州市临安区人民法院</w:t>
      </w:r>
    </w:p>
    <w:p w14:paraId="5F93736D">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sz w:val="32"/>
          <w:szCs w:val="32"/>
          <w:lang w:eastAsia="zh-CN"/>
        </w:rPr>
        <w:t>杭州市公共资</w:t>
      </w:r>
      <w:r>
        <w:rPr>
          <w:rFonts w:hint="eastAsia" w:ascii="宋体" w:hAnsi="宋体" w:cs="宋体"/>
          <w:bCs/>
          <w:color w:val="auto"/>
          <w:sz w:val="32"/>
          <w:szCs w:val="32"/>
          <w:lang w:eastAsia="zh-CN"/>
        </w:rPr>
        <w:t>源交易</w:t>
      </w:r>
      <w:r>
        <w:rPr>
          <w:rFonts w:hint="eastAsia" w:ascii="宋体" w:hAnsi="宋体" w:cs="宋体"/>
          <w:bCs/>
          <w:color w:val="auto"/>
          <w:sz w:val="32"/>
          <w:szCs w:val="32"/>
          <w:highlight w:val="none"/>
          <w:lang w:eastAsia="zh-CN"/>
        </w:rPr>
        <w:t>中心临安分中心</w:t>
      </w:r>
    </w:p>
    <w:p w14:paraId="10209112">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eastAsia="zh-CN"/>
        </w:rPr>
        <w:t>五</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二十五</w:t>
      </w:r>
      <w:r>
        <w:rPr>
          <w:rFonts w:hint="eastAsia" w:ascii="宋体" w:hAnsi="宋体" w:cs="宋体"/>
          <w:bCs/>
          <w:color w:val="auto"/>
          <w:sz w:val="32"/>
          <w:szCs w:val="32"/>
          <w:highlight w:val="none"/>
        </w:rPr>
        <w:t>日</w:t>
      </w:r>
    </w:p>
    <w:p w14:paraId="143D0F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5E88CDFD">
      <w:pPr>
        <w:spacing w:line="360" w:lineRule="auto"/>
        <w:jc w:val="center"/>
        <w:rPr>
          <w:rFonts w:ascii="宋体" w:hAnsi="宋体" w:cs="宋体"/>
          <w:color w:val="auto"/>
          <w:sz w:val="24"/>
          <w:highlight w:val="none"/>
        </w:rPr>
      </w:pPr>
    </w:p>
    <w:p w14:paraId="7B198BBC">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33DC7C30">
      <w:pPr>
        <w:spacing w:line="360" w:lineRule="auto"/>
        <w:rPr>
          <w:rFonts w:ascii="宋体" w:hAnsi="宋体" w:cs="宋体"/>
          <w:color w:val="auto"/>
          <w:sz w:val="32"/>
          <w:szCs w:val="32"/>
          <w:highlight w:val="none"/>
        </w:rPr>
      </w:pPr>
    </w:p>
    <w:p w14:paraId="586CB733">
      <w:pPr>
        <w:spacing w:line="360" w:lineRule="auto"/>
        <w:rPr>
          <w:rFonts w:ascii="宋体" w:hAnsi="宋体" w:cs="宋体"/>
          <w:color w:val="auto"/>
          <w:sz w:val="32"/>
          <w:szCs w:val="32"/>
          <w:highlight w:val="none"/>
        </w:rPr>
      </w:pPr>
    </w:p>
    <w:p w14:paraId="39C01B0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B5C7D3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774DE05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6441FD08">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2497BF1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3852FAB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7D3182E">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08E0C53F">
      <w:pPr>
        <w:spacing w:line="360" w:lineRule="auto"/>
        <w:ind w:firstLine="549" w:firstLineChars="229"/>
        <w:rPr>
          <w:rFonts w:ascii="宋体" w:hAnsi="宋体" w:cs="宋体"/>
          <w:color w:val="auto"/>
          <w:sz w:val="24"/>
          <w:highlight w:val="none"/>
        </w:rPr>
      </w:pPr>
    </w:p>
    <w:p w14:paraId="31F3AC47">
      <w:pPr>
        <w:spacing w:line="360" w:lineRule="auto"/>
        <w:ind w:firstLine="549" w:firstLineChars="229"/>
        <w:rPr>
          <w:rFonts w:ascii="宋体" w:hAnsi="宋体" w:cs="宋体"/>
          <w:color w:val="auto"/>
          <w:sz w:val="24"/>
          <w:highlight w:val="none"/>
        </w:rPr>
      </w:pPr>
    </w:p>
    <w:p w14:paraId="6A3EB198">
      <w:pPr>
        <w:spacing w:line="360" w:lineRule="auto"/>
        <w:ind w:firstLine="549" w:firstLineChars="229"/>
        <w:rPr>
          <w:rFonts w:ascii="宋体" w:hAnsi="宋体" w:cs="宋体"/>
          <w:color w:val="auto"/>
          <w:sz w:val="24"/>
          <w:highlight w:val="none"/>
        </w:rPr>
      </w:pPr>
    </w:p>
    <w:p w14:paraId="36299BAC">
      <w:pPr>
        <w:spacing w:line="360" w:lineRule="auto"/>
        <w:ind w:firstLine="549" w:firstLineChars="229"/>
        <w:rPr>
          <w:rFonts w:ascii="宋体" w:hAnsi="宋体" w:cs="宋体"/>
          <w:color w:val="auto"/>
          <w:sz w:val="24"/>
          <w:highlight w:val="none"/>
        </w:rPr>
      </w:pPr>
    </w:p>
    <w:p w14:paraId="0188C93E">
      <w:pPr>
        <w:spacing w:line="360" w:lineRule="auto"/>
        <w:ind w:firstLine="549" w:firstLineChars="229"/>
        <w:rPr>
          <w:rFonts w:ascii="宋体" w:hAnsi="宋体" w:cs="宋体"/>
          <w:color w:val="auto"/>
          <w:sz w:val="24"/>
          <w:highlight w:val="none"/>
        </w:rPr>
      </w:pPr>
    </w:p>
    <w:p w14:paraId="55326B96">
      <w:pPr>
        <w:spacing w:line="360" w:lineRule="auto"/>
        <w:ind w:firstLine="549" w:firstLineChars="229"/>
        <w:rPr>
          <w:rFonts w:ascii="宋体" w:hAnsi="宋体" w:cs="宋体"/>
          <w:color w:val="auto"/>
          <w:sz w:val="24"/>
          <w:highlight w:val="none"/>
        </w:rPr>
      </w:pPr>
    </w:p>
    <w:p w14:paraId="1FC40233">
      <w:pPr>
        <w:spacing w:line="360" w:lineRule="auto"/>
        <w:ind w:firstLine="549" w:firstLineChars="229"/>
        <w:rPr>
          <w:rFonts w:ascii="宋体" w:hAnsi="宋体" w:cs="宋体"/>
          <w:color w:val="auto"/>
          <w:sz w:val="24"/>
          <w:highlight w:val="none"/>
        </w:rPr>
      </w:pPr>
    </w:p>
    <w:p w14:paraId="43B9AD9D">
      <w:pPr>
        <w:spacing w:line="360" w:lineRule="auto"/>
        <w:ind w:firstLine="549" w:firstLineChars="229"/>
        <w:rPr>
          <w:rFonts w:ascii="宋体" w:hAnsi="宋体" w:cs="宋体"/>
          <w:color w:val="auto"/>
          <w:sz w:val="24"/>
          <w:highlight w:val="none"/>
        </w:rPr>
      </w:pPr>
    </w:p>
    <w:p w14:paraId="2B9AEAD2">
      <w:pPr>
        <w:spacing w:line="360" w:lineRule="auto"/>
        <w:ind w:firstLine="549" w:firstLineChars="229"/>
        <w:rPr>
          <w:rFonts w:ascii="宋体" w:hAnsi="宋体" w:cs="宋体"/>
          <w:color w:val="auto"/>
          <w:sz w:val="24"/>
          <w:highlight w:val="none"/>
        </w:rPr>
      </w:pPr>
    </w:p>
    <w:p w14:paraId="5412162A">
      <w:pPr>
        <w:spacing w:line="360" w:lineRule="auto"/>
        <w:ind w:firstLine="549" w:firstLineChars="229"/>
        <w:rPr>
          <w:rFonts w:ascii="宋体" w:hAnsi="宋体" w:cs="宋体"/>
          <w:color w:val="auto"/>
          <w:sz w:val="24"/>
          <w:highlight w:val="none"/>
        </w:rPr>
      </w:pPr>
    </w:p>
    <w:p w14:paraId="1D1124EA">
      <w:pPr>
        <w:spacing w:line="360" w:lineRule="auto"/>
        <w:ind w:firstLine="549" w:firstLineChars="229"/>
        <w:rPr>
          <w:rFonts w:ascii="宋体" w:hAnsi="宋体" w:cs="宋体"/>
          <w:color w:val="auto"/>
          <w:sz w:val="24"/>
          <w:highlight w:val="none"/>
        </w:rPr>
      </w:pPr>
    </w:p>
    <w:p w14:paraId="0D5120AE">
      <w:pPr>
        <w:spacing w:line="360" w:lineRule="auto"/>
        <w:ind w:firstLine="549" w:firstLineChars="229"/>
        <w:rPr>
          <w:rFonts w:ascii="宋体" w:hAnsi="宋体" w:cs="宋体"/>
          <w:color w:val="auto"/>
          <w:sz w:val="24"/>
          <w:highlight w:val="none"/>
        </w:rPr>
      </w:pPr>
    </w:p>
    <w:p w14:paraId="5E835302">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07423"/>
      <w:bookmarkEnd w:id="4"/>
      <w:bookmarkStart w:id="5" w:name="_Hlt74649545"/>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3920885A">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220A9E1D">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rPr>
        <w:t>杭州市临安区人民法院2026年便携式计算机采购项目</w:t>
      </w:r>
      <w:r>
        <w:rPr>
          <w:rFonts w:hint="eastAsia" w:asciiTheme="minorEastAsia" w:hAnsiTheme="minorEastAsia" w:eastAsiaTheme="minorEastAsia"/>
          <w:color w:val="auto"/>
          <w:sz w:val="24"/>
          <w:highlight w:val="none"/>
        </w:rPr>
        <w:t>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cs="Times New Roman" w:asciiTheme="minorEastAsia" w:hAnsiTheme="minorEastAsia" w:eastAsiaTheme="minorEastAsia"/>
          <w:snapToGrid/>
          <w:color w:val="auto"/>
          <w:kern w:val="2"/>
          <w:sz w:val="24"/>
          <w:szCs w:val="24"/>
          <w:highlight w:val="none"/>
        </w:rPr>
        <w:t>https://www.zcygov.cn/）获取（下载）招标文件，并于</w:t>
      </w:r>
      <w:r>
        <w:rPr>
          <w:rStyle w:val="77"/>
          <w:rFonts w:hint="eastAsia" w:cs="Times New Roman" w:asciiTheme="minorEastAsia" w:hAnsiTheme="minorEastAsia" w:eastAsiaTheme="minorEastAsia"/>
          <w:snapToGrid/>
          <w:color w:val="auto"/>
          <w:kern w:val="2"/>
          <w:sz w:val="24"/>
          <w:szCs w:val="24"/>
          <w:highlight w:val="none"/>
        </w:rPr>
        <w:t>202</w:t>
      </w:r>
      <w:r>
        <w:rPr>
          <w:rStyle w:val="77"/>
          <w:rFonts w:hint="eastAsia" w:cs="Times New Roman" w:asciiTheme="minorEastAsia" w:hAnsiTheme="minorEastAsia" w:eastAsiaTheme="minorEastAsia"/>
          <w:snapToGrid/>
          <w:color w:val="auto"/>
          <w:kern w:val="2"/>
          <w:sz w:val="24"/>
          <w:szCs w:val="24"/>
          <w:highlight w:val="none"/>
          <w:lang w:val="en-US" w:eastAsia="zh-CN"/>
        </w:rPr>
        <w:t>6</w:t>
      </w:r>
      <w:r>
        <w:rPr>
          <w:rStyle w:val="77"/>
          <w:rFonts w:cs="Times New Roman" w:asciiTheme="minorEastAsia" w:hAnsiTheme="minorEastAsia" w:eastAsiaTheme="minorEastAsia"/>
          <w:snapToGrid/>
          <w:color w:val="auto"/>
          <w:kern w:val="2"/>
          <w:sz w:val="24"/>
          <w:szCs w:val="24"/>
          <w:highlight w:val="none"/>
        </w:rPr>
        <w:t>年</w:t>
      </w:r>
      <w:r>
        <w:rPr>
          <w:rStyle w:val="77"/>
          <w:rFonts w:hint="eastAsia" w:cs="Times New Roman" w:asciiTheme="minorEastAsia" w:hAnsiTheme="minorEastAsia" w:eastAsiaTheme="minorEastAsia"/>
          <w:snapToGrid/>
          <w:color w:val="auto"/>
          <w:kern w:val="2"/>
          <w:sz w:val="24"/>
          <w:szCs w:val="24"/>
          <w:highlight w:val="none"/>
          <w:lang w:val="en-US" w:eastAsia="zh-CN"/>
        </w:rPr>
        <w:t>6月15日13</w:t>
      </w:r>
      <w:r>
        <w:rPr>
          <w:rStyle w:val="77"/>
          <w:rFonts w:hint="eastAsia" w:cs="Times New Roman" w:asciiTheme="minorEastAsia" w:hAnsiTheme="minorEastAsia" w:eastAsiaTheme="minorEastAsia"/>
          <w:snapToGrid/>
          <w:color w:val="auto"/>
          <w:kern w:val="2"/>
          <w:sz w:val="24"/>
          <w:szCs w:val="24"/>
          <w:highlight w:val="none"/>
        </w:rPr>
        <w:t>点</w:t>
      </w:r>
      <w:r>
        <w:rPr>
          <w:rStyle w:val="77"/>
          <w:rFonts w:hint="eastAsia" w:cs="Times New Roman" w:asciiTheme="minorEastAsia" w:hAnsiTheme="minorEastAsia" w:eastAsiaTheme="minorEastAsia"/>
          <w:snapToGrid/>
          <w:color w:val="auto"/>
          <w:kern w:val="2"/>
          <w:sz w:val="24"/>
          <w:szCs w:val="24"/>
          <w:highlight w:val="none"/>
          <w:lang w:val="en-US" w:eastAsia="zh-CN"/>
        </w:rPr>
        <w:t>30</w:t>
      </w:r>
      <w:r>
        <w:rPr>
          <w:rStyle w:val="77"/>
          <w:rFonts w:hint="eastAsia" w:cs="Times New Roman" w:asciiTheme="minorEastAsia" w:hAnsiTheme="minorEastAsia" w:eastAsiaTheme="minorEastAsia"/>
          <w:snapToGrid/>
          <w:color w:val="auto"/>
          <w:kern w:val="2"/>
          <w:sz w:val="24"/>
          <w:szCs w:val="24"/>
          <w:highlight w:val="none"/>
        </w:rPr>
        <w:t>分</w:t>
      </w:r>
      <w:r>
        <w:rPr>
          <w:rStyle w:val="77"/>
          <w:rFonts w:hint="eastAsia" w:cs="Times New Roman" w:asciiTheme="minorEastAsia" w:hAnsiTheme="minorEastAsia" w:eastAsiaTheme="minorEastAsia"/>
          <w:bCs/>
          <w:snapToGrid/>
          <w:color w:val="auto"/>
          <w:kern w:val="2"/>
          <w:sz w:val="24"/>
          <w:szCs w:val="24"/>
          <w:highlight w:val="none"/>
        </w:rPr>
        <w:t>00秒</w:t>
      </w:r>
      <w:r>
        <w:rPr>
          <w:rStyle w:val="77"/>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3AED576C">
      <w:pPr>
        <w:bidi w:val="0"/>
        <w:rPr>
          <w:rFonts w:hint="eastAsia"/>
        </w:rPr>
      </w:pPr>
    </w:p>
    <w:p w14:paraId="18971E72">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一、项目基本情况</w:t>
      </w:r>
    </w:p>
    <w:p w14:paraId="7A98BC36">
      <w:pPr>
        <w:spacing w:line="360" w:lineRule="auto"/>
        <w:ind w:firstLine="482" w:firstLineChars="200"/>
        <w:rPr>
          <w:rFonts w:hint="eastAsia" w:ascii="宋体" w:hAnsi="宋体" w:eastAsia="宋体" w:cs="宋体"/>
          <w:color w:val="auto"/>
          <w:sz w:val="24"/>
          <w:highlight w:val="none"/>
          <w:lang w:val="en-US" w:eastAsia="zh-CN"/>
        </w:rPr>
      </w:pPr>
      <w:r>
        <w:rPr>
          <w:rFonts w:hint="eastAsia" w:ascii="宋体" w:hAnsi="宋体" w:cs="宋体"/>
          <w:b/>
          <w:color w:val="auto"/>
          <w:sz w:val="24"/>
          <w:highlight w:val="none"/>
        </w:rPr>
        <w:t>项目编号：</w:t>
      </w:r>
      <w:r>
        <w:rPr>
          <w:rFonts w:hint="eastAsia" w:ascii="宋体" w:hAnsi="宋体" w:cs="宋体"/>
          <w:color w:val="auto"/>
          <w:sz w:val="24"/>
          <w:highlight w:val="none"/>
        </w:rPr>
        <w:t>LZC-GK-[2026]865号</w:t>
      </w:r>
    </w:p>
    <w:p w14:paraId="4301CE60">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项目名称</w:t>
      </w:r>
      <w:r>
        <w:rPr>
          <w:rFonts w:hint="eastAsia" w:ascii="宋体" w:hAnsi="宋体" w:cs="宋体"/>
          <w:b/>
          <w:color w:val="auto"/>
          <w:sz w:val="24"/>
          <w:highlight w:val="none"/>
          <w:lang w:eastAsia="zh-CN"/>
        </w:rPr>
        <w:t>：</w:t>
      </w:r>
      <w:r>
        <w:rPr>
          <w:rFonts w:hint="eastAsia" w:ascii="宋体" w:hAnsi="宋体" w:cs="宋体"/>
          <w:color w:val="auto"/>
          <w:sz w:val="24"/>
          <w:highlight w:val="none"/>
        </w:rPr>
        <w:t>杭州市临安区人民法院2026年便携式计算机采购项目</w:t>
      </w:r>
    </w:p>
    <w:p w14:paraId="41CC9921">
      <w:pPr>
        <w:spacing w:line="360" w:lineRule="auto"/>
        <w:ind w:firstLine="480"/>
        <w:rPr>
          <w:rFonts w:hint="default" w:ascii="宋体" w:hAnsi="宋体" w:eastAsia="宋体" w:cs="宋体"/>
          <w:b w:val="0"/>
          <w:bCs/>
          <w:color w:val="auto"/>
          <w:sz w:val="24"/>
          <w:highlight w:val="none"/>
          <w:lang w:val="en-US" w:eastAsia="zh-CN"/>
        </w:rPr>
      </w:pPr>
      <w:r>
        <w:rPr>
          <w:rFonts w:hint="eastAsia" w:ascii="宋体" w:hAnsi="宋体" w:cs="宋体"/>
          <w:b/>
          <w:color w:val="auto"/>
          <w:sz w:val="24"/>
          <w:highlight w:val="none"/>
        </w:rPr>
        <w:t>预算金额（元）：</w:t>
      </w:r>
      <w:r>
        <w:rPr>
          <w:rFonts w:hint="eastAsia" w:ascii="宋体" w:hAnsi="宋体" w:cs="宋体"/>
          <w:b w:val="0"/>
          <w:bCs/>
          <w:color w:val="auto"/>
          <w:sz w:val="24"/>
          <w:highlight w:val="none"/>
          <w:lang w:val="en-US" w:eastAsia="zh-CN"/>
        </w:rPr>
        <w:t>378000</w:t>
      </w:r>
    </w:p>
    <w:p w14:paraId="6E250B88">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最高限价（元）：</w:t>
      </w:r>
      <w:r>
        <w:rPr>
          <w:rFonts w:hint="eastAsia" w:ascii="宋体" w:hAnsi="宋体" w:cs="宋体"/>
          <w:b w:val="0"/>
          <w:bCs/>
          <w:color w:val="auto"/>
          <w:sz w:val="24"/>
          <w:highlight w:val="none"/>
          <w:lang w:val="en-US" w:eastAsia="zh-CN"/>
        </w:rPr>
        <w:t>378000</w:t>
      </w:r>
    </w:p>
    <w:p w14:paraId="045ECC80">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 w:val="0"/>
          <w:bCs/>
          <w:color w:val="auto"/>
          <w:w w:val="100"/>
          <w:sz w:val="24"/>
          <w:highlight w:val="none"/>
        </w:rPr>
        <w:t>符合信息技术创新改造产品要求的便携式计算机</w:t>
      </w:r>
      <w:r>
        <w:rPr>
          <w:rFonts w:hint="eastAsia" w:hAnsi="宋体" w:cs="宋体"/>
          <w:b w:val="0"/>
          <w:bCs/>
          <w:color w:val="auto"/>
          <w:w w:val="100"/>
          <w:sz w:val="24"/>
          <w:highlight w:val="none"/>
          <w:lang w:val="en-US" w:eastAsia="zh-CN"/>
        </w:rPr>
        <w:t>54</w:t>
      </w:r>
      <w:r>
        <w:rPr>
          <w:rFonts w:hint="eastAsia" w:hAnsi="宋体" w:cs="宋体"/>
          <w:b w:val="0"/>
          <w:bCs/>
          <w:color w:val="auto"/>
          <w:w w:val="100"/>
          <w:sz w:val="24"/>
          <w:highlight w:val="none"/>
        </w:rPr>
        <w:t>台</w:t>
      </w:r>
      <w:r>
        <w:rPr>
          <w:rFonts w:hint="eastAsia" w:hAnsi="宋体" w:cs="宋体"/>
          <w:b w:val="0"/>
          <w:bCs/>
          <w:color w:val="auto"/>
          <w:w w:val="100"/>
          <w:sz w:val="24"/>
          <w:highlight w:val="none"/>
          <w:lang w:eastAsia="zh-CN"/>
        </w:rPr>
        <w:t>，</w:t>
      </w:r>
      <w:r>
        <w:rPr>
          <w:rFonts w:hint="eastAsia" w:hAnsi="宋体" w:cs="宋体"/>
          <w:b w:val="0"/>
          <w:bCs/>
          <w:color w:val="auto"/>
          <w:w w:val="100"/>
          <w:sz w:val="24"/>
          <w:highlight w:val="none"/>
        </w:rPr>
        <w:t>配套国产化操作系统。具体包括安装、产品调试、验收与相关的操作培训及不少于3年（含）7×24小时免费设备保修和售后现场技术服务等内容。具体以招标文件第三部分采购需求为准。</w:t>
      </w:r>
    </w:p>
    <w:p w14:paraId="34E3E31D">
      <w:pPr>
        <w:pStyle w:val="132"/>
        <w:keepNext w:val="0"/>
        <w:keepLines w:val="0"/>
        <w:pageBreakBefore w:val="0"/>
        <w:widowControl w:val="0"/>
        <w:kinsoku/>
        <w:wordWrap/>
        <w:overflowPunct/>
        <w:topLinePunct w:val="0"/>
        <w:autoSpaceDE/>
        <w:autoSpaceDN/>
        <w:bidi w:val="0"/>
        <w:adjustRightInd w:val="0"/>
        <w:snapToGrid/>
        <w:spacing w:before="0" w:line="360" w:lineRule="auto"/>
        <w:ind w:firstLine="482"/>
        <w:textAlignment w:val="auto"/>
        <w:outlineLvl w:val="9"/>
        <w:rPr>
          <w:rFonts w:ascii="宋体" w:hAnsi="宋体" w:cs="宋体"/>
          <w:color w:val="auto"/>
          <w:highlight w:val="none"/>
        </w:rPr>
      </w:pPr>
      <w:r>
        <w:rPr>
          <w:rFonts w:hint="eastAsia" w:ascii="宋体" w:hAnsi="宋体" w:cs="宋体"/>
          <w:b/>
          <w:color w:val="auto"/>
          <w:highlight w:val="none"/>
        </w:rPr>
        <w:t>合同履约期限：</w:t>
      </w:r>
      <w:r>
        <w:rPr>
          <w:rFonts w:hint="eastAsia" w:asciiTheme="minorEastAsia" w:hAnsiTheme="minorEastAsia" w:eastAsiaTheme="minorEastAsia" w:cstheme="minorEastAsia"/>
          <w:sz w:val="24"/>
          <w:szCs w:val="24"/>
          <w:highlight w:val="none"/>
        </w:rPr>
        <w:t>在合同生效后</w:t>
      </w:r>
      <w:r>
        <w:rPr>
          <w:rFonts w:hint="eastAsia" w:asciiTheme="minorEastAsia" w:hAnsiTheme="minorEastAsia" w:eastAsiaTheme="minorEastAsia" w:cstheme="minorEastAsia"/>
          <w:sz w:val="24"/>
          <w:szCs w:val="24"/>
          <w:highlight w:val="none"/>
          <w:lang w:val="en-US"/>
        </w:rPr>
        <w:t>30</w:t>
      </w:r>
      <w:r>
        <w:rPr>
          <w:rFonts w:hint="eastAsia" w:asciiTheme="minorEastAsia" w:hAnsiTheme="minorEastAsia" w:eastAsiaTheme="minorEastAsia" w:cstheme="minorEastAsia"/>
          <w:sz w:val="24"/>
          <w:szCs w:val="24"/>
          <w:highlight w:val="none"/>
        </w:rPr>
        <w:t>天内，供应商需将所供产品（出厂原包装）按合同清单所列的采购单位、地址以及货物品种、数量等，运至指定地点拆箱，并负责安装、调试，由采购单位负责验收。</w:t>
      </w:r>
    </w:p>
    <w:p w14:paraId="0DCEE65F">
      <w:pPr>
        <w:pStyle w:val="5"/>
        <w:keepNext w:val="0"/>
        <w:keepLines w:val="0"/>
        <w:pageBreakBefore w:val="0"/>
        <w:kinsoku/>
        <w:wordWrap/>
        <w:overflowPunct/>
        <w:topLinePunct w:val="0"/>
        <w:autoSpaceDE/>
        <w:autoSpaceDN/>
        <w:bidi w:val="0"/>
        <w:adjustRightInd w:val="0"/>
        <w:spacing w:line="360" w:lineRule="auto"/>
        <w:ind w:firstLine="480"/>
        <w:textAlignment w:val="auto"/>
        <w:outlineLvl w:val="9"/>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sym w:font="Wingdings" w:char="F0FE"/>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5B1A4D13">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0240DD1A">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234D6C3">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本项目不接受联合体投标或者投标人不以联合体形式投标的，则不需要提供</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14:paraId="7ACF5D46">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498FD0CB">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2D3FD6D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5714562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1D66D433">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35430367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货物全部由符合政策要求的中小企业制造，提供中小企业声明函；</w:t>
      </w:r>
    </w:p>
    <w:p w14:paraId="32C23929">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1349175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货物全部由符合政策要求的小微企业制造，提供中小企业声明函；</w:t>
      </w:r>
    </w:p>
    <w:p w14:paraId="0836384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4856729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kern w:val="0"/>
          <w:sz w:val="24"/>
          <w:highlight w:val="none"/>
          <w:lang w:eastAsia="zh-CN"/>
        </w:rPr>
        <w:t>供应商应</w:t>
      </w:r>
      <w:r>
        <w:rPr>
          <w:rFonts w:hint="eastAsia" w:ascii="宋体" w:hAnsi="宋体" w:cs="宋体"/>
          <w:color w:val="auto"/>
          <w:sz w:val="24"/>
          <w:highlight w:val="none"/>
        </w:rPr>
        <w:t>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00F333EB">
      <w:pPr>
        <w:spacing w:line="360" w:lineRule="auto"/>
        <w:ind w:firstLine="480" w:firstLineChars="200"/>
        <w:rPr>
          <w:rFonts w:hint="eastAsia" w:ascii="宋体" w:hAnsi="宋体" w:eastAsia="宋体" w:cs="宋体"/>
          <w:color w:val="auto"/>
          <w:sz w:val="24"/>
          <w:highlight w:val="none"/>
          <w:lang w:eastAsia="zh-CN"/>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lang w:eastAsia="zh-CN"/>
        </w:rPr>
        <w:t>供应商应以</w:t>
      </w:r>
      <w:r>
        <w:rPr>
          <w:rFonts w:hint="eastAsia" w:ascii="宋体" w:hAnsi="宋体" w:cs="宋体"/>
          <w:color w:val="auto"/>
          <w:sz w:val="24"/>
          <w:highlight w:val="none"/>
        </w:rPr>
        <w:t>合同分包</w:t>
      </w:r>
      <w:r>
        <w:rPr>
          <w:rFonts w:hint="eastAsia" w:ascii="宋体" w:hAnsi="宋体" w:cs="宋体"/>
          <w:color w:val="auto"/>
          <w:sz w:val="24"/>
          <w:highlight w:val="none"/>
          <w:lang w:eastAsia="zh-CN"/>
        </w:rPr>
        <w:t>形式参加</w:t>
      </w:r>
      <w:r>
        <w:rPr>
          <w:rFonts w:hint="eastAsia" w:ascii="宋体" w:hAnsi="宋体" w:cs="宋体"/>
          <w:color w:val="auto"/>
          <w:sz w:val="24"/>
          <w:highlight w:val="none"/>
        </w:rPr>
        <w:t>，提供分包意向协议和中小企业声明函，分包意向协议中中小企业合同金额应当达到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lang w:eastAsia="zh-CN"/>
        </w:rPr>
        <w:t>。</w:t>
      </w:r>
    </w:p>
    <w:p w14:paraId="1BD528AB">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740DC929">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7AED0E14">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02667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E35C58">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6D23683">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40E116C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6月15日</w:t>
      </w:r>
      <w:r>
        <w:rPr>
          <w:rFonts w:hint="eastAsia" w:ascii="宋体" w:hAnsi="宋体" w:cs="宋体"/>
          <w:color w:val="auto"/>
          <w:sz w:val="24"/>
          <w:highlight w:val="none"/>
        </w:rPr>
        <w:t>，每天上午00:00至12:00，下午12:00至23:59（北京时间，线上获取法定节假日均可，线下获取文件法定节假日除外）</w:t>
      </w:r>
    </w:p>
    <w:p w14:paraId="08F6418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59C189A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供应商登录政采云平台https://www.zcygov.cn/在线申请获取采购文件（进入“项目采购”应用，在获取采购文件菜单中选择项目，申请获取采购文件）。</w:t>
      </w:r>
    </w:p>
    <w:p w14:paraId="11C4A4B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0</w:t>
      </w:r>
    </w:p>
    <w:p w14:paraId="5B32FBF8">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B031A0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6月15日13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35F3D2B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政采云平台（https://www.zcygov.cn/）</w:t>
      </w:r>
    </w:p>
    <w:p w14:paraId="591585CD">
      <w:pPr>
        <w:spacing w:line="360" w:lineRule="auto"/>
        <w:ind w:firstLine="482" w:firstLineChars="200"/>
        <w:rPr>
          <w:rFonts w:ascii="宋体" w:hAnsi="宋体" w:cs="宋体"/>
          <w:bCs/>
          <w:color w:val="auto"/>
          <w:sz w:val="24"/>
          <w:highlight w:val="yellow"/>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6月15日13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p>
    <w:p w14:paraId="21E5DB5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69BF735A">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五、公告期限</w:t>
      </w:r>
    </w:p>
    <w:p w14:paraId="158424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2257937F">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40F376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1DA85A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w:t>
      </w:r>
      <w:r>
        <w:rPr>
          <w:rFonts w:hint="eastAsia" w:ascii="宋体" w:hAnsi="宋体" w:cs="宋体"/>
          <w:color w:val="auto"/>
          <w:sz w:val="24"/>
          <w:highlight w:val="none"/>
          <w:lang w:eastAsia="zh-CN"/>
        </w:rPr>
        <w:t>：</w:t>
      </w:r>
      <w:r>
        <w:rPr>
          <w:rFonts w:hint="eastAsia" w:ascii="宋体" w:hAnsi="宋体" w:cs="宋体"/>
          <w:color w:val="auto"/>
          <w:sz w:val="24"/>
          <w:highlight w:val="none"/>
        </w:rPr>
        <w:t>鼓励供应商在线提起质疑，路径为：政采云-项目采购-询问质疑投诉-质疑列表。质疑供应商对在线质疑答复不满意的，可在线提起投诉，路径为：浙江政府服务网-政府采购投诉处理-在线办理。</w:t>
      </w:r>
    </w:p>
    <w:p w14:paraId="662EE2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6178D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询问及质疑答复主体详见招标文件《询问、质疑答复责任主体一览表》。（5）本项目招标文件中的项目编号与浙江政府采购网招标公告中的项目编号均指向同一次采购活动，具有同等效力（如：某招标文件中项目编号为“LZC-GK-[2025]2382”，浙江政府采购网招标公告中的项目编号为“330112251351400000010-LZC-GK-[2025]2382”，两者在采购活动中具有同等效力）。</w:t>
      </w:r>
    </w:p>
    <w:p w14:paraId="6D1BDE2B">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4229B6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14:paraId="474105B3">
      <w:pPr>
        <w:spacing w:line="360" w:lineRule="auto"/>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名    称：杭州市临安区人民法院</w:t>
      </w:r>
    </w:p>
    <w:p w14:paraId="6E5FA0B1">
      <w:pPr>
        <w:spacing w:line="360" w:lineRule="auto"/>
        <w:ind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地    址：浙江省杭州市临安区钱王街958号</w:t>
      </w:r>
    </w:p>
    <w:p w14:paraId="6D3F36E9">
      <w:pPr>
        <w:spacing w:line="360" w:lineRule="auto"/>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传    真：/</w:t>
      </w:r>
    </w:p>
    <w:p w14:paraId="5E66F728">
      <w:pPr>
        <w:spacing w:line="360" w:lineRule="auto"/>
        <w:ind w:firstLine="480"/>
        <w:rPr>
          <w:rFonts w:hint="eastAsia" w:ascii="宋体" w:hAnsi="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rPr>
        <w:t>项目联系人（询问）：</w:t>
      </w:r>
      <w:r>
        <w:rPr>
          <w:rFonts w:hint="eastAsia" w:ascii="宋体" w:hAnsi="宋体" w:cs="宋体"/>
          <w:color w:val="auto"/>
          <w:sz w:val="24"/>
          <w:highlight w:val="none"/>
          <w:shd w:val="clear" w:color="auto" w:fill="auto"/>
          <w:lang w:eastAsia="zh-CN"/>
        </w:rPr>
        <w:t>徐晓俊</w:t>
      </w:r>
    </w:p>
    <w:p w14:paraId="4DE83F69">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项目联系方式（询问）：0571-89543671</w:t>
      </w:r>
    </w:p>
    <w:p w14:paraId="45FD7D75">
      <w:pPr>
        <w:spacing w:line="360" w:lineRule="auto"/>
        <w:ind w:firstLine="480"/>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rPr>
        <w:t>质疑联系人：</w:t>
      </w:r>
      <w:r>
        <w:rPr>
          <w:rFonts w:hint="eastAsia" w:ascii="宋体" w:hAnsi="宋体" w:cs="宋体"/>
          <w:color w:val="auto"/>
          <w:sz w:val="24"/>
          <w:highlight w:val="none"/>
          <w:shd w:val="clear" w:color="auto" w:fill="auto"/>
          <w:lang w:eastAsia="zh-CN"/>
        </w:rPr>
        <w:t>赵鑫</w:t>
      </w:r>
    </w:p>
    <w:p w14:paraId="7DF71FBB">
      <w:pPr>
        <w:spacing w:line="360" w:lineRule="auto"/>
        <w:ind w:firstLine="480"/>
        <w:rPr>
          <w:rFonts w:hint="default"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rPr>
        <w:t>质疑联系方式：</w:t>
      </w:r>
      <w:r>
        <w:rPr>
          <w:rFonts w:hint="eastAsia" w:ascii="宋体" w:hAnsi="宋体" w:cs="宋体"/>
          <w:color w:val="auto"/>
          <w:sz w:val="24"/>
          <w:highlight w:val="none"/>
          <w:shd w:val="clear" w:color="auto" w:fill="auto"/>
          <w:lang w:val="en-US" w:eastAsia="zh-CN"/>
        </w:rPr>
        <w:t>0571-89543681</w:t>
      </w:r>
    </w:p>
    <w:p w14:paraId="30FF8BB4">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2.采购代理机构信息            </w:t>
      </w:r>
    </w:p>
    <w:p w14:paraId="5BC4C14C">
      <w:pPr>
        <w:spacing w:line="360" w:lineRule="auto"/>
        <w:ind w:firstLine="480" w:firstLineChars="200"/>
        <w:rPr>
          <w:rFonts w:hint="eastAsia" w:ascii="宋体" w:hAnsi="宋体" w:cs="宋体"/>
          <w:sz w:val="24"/>
        </w:rPr>
      </w:pPr>
      <w:r>
        <w:rPr>
          <w:rFonts w:hint="eastAsia" w:ascii="宋体" w:hAnsi="宋体" w:cs="宋体"/>
          <w:sz w:val="24"/>
        </w:rPr>
        <w:t>名    称：杭州市公共资源交易中心</w:t>
      </w:r>
      <w:r>
        <w:rPr>
          <w:rFonts w:hint="eastAsia" w:ascii="宋体" w:hAnsi="宋体" w:cs="宋体"/>
          <w:sz w:val="24"/>
          <w:lang w:eastAsia="zh-CN"/>
        </w:rPr>
        <w:t>临安分中心</w:t>
      </w:r>
    </w:p>
    <w:p w14:paraId="51B0C3B2">
      <w:pPr>
        <w:spacing w:line="360" w:lineRule="auto"/>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sz w:val="24"/>
          <w:lang w:eastAsia="zh-CN"/>
        </w:rPr>
        <w:t>浙江省杭州市临安区锦北街道科技大道</w:t>
      </w:r>
      <w:r>
        <w:rPr>
          <w:rFonts w:hint="eastAsia" w:ascii="宋体" w:hAnsi="宋体" w:cs="宋体"/>
          <w:sz w:val="24"/>
          <w:lang w:val="en-US" w:eastAsia="zh-CN"/>
        </w:rPr>
        <w:t>4398号市民中心4楼</w:t>
      </w:r>
    </w:p>
    <w:p w14:paraId="7490E356">
      <w:pPr>
        <w:spacing w:line="360" w:lineRule="auto"/>
        <w:ind w:firstLine="480" w:firstLineChars="200"/>
        <w:rPr>
          <w:rFonts w:hint="eastAsia" w:ascii="宋体" w:hAnsi="宋体" w:cs="宋体"/>
          <w:sz w:val="24"/>
        </w:rPr>
      </w:pPr>
      <w:r>
        <w:rPr>
          <w:rFonts w:hint="eastAsia" w:ascii="宋体" w:hAnsi="宋体" w:cs="宋体"/>
          <w:sz w:val="24"/>
        </w:rPr>
        <w:t>传    真：</w:t>
      </w:r>
      <w:r>
        <w:rPr>
          <w:rFonts w:hint="eastAsia" w:ascii="宋体" w:hAnsi="宋体" w:cs="宋体"/>
          <w:sz w:val="24"/>
          <w:lang w:val="en-US" w:eastAsia="zh-CN"/>
        </w:rPr>
        <w:t>0571-23616016</w:t>
      </w:r>
    </w:p>
    <w:p w14:paraId="5E296DA2">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项目联系人（询问）：</w:t>
      </w:r>
      <w:r>
        <w:rPr>
          <w:rFonts w:hint="eastAsia" w:ascii="宋体" w:hAnsi="宋体" w:cs="宋体"/>
          <w:sz w:val="24"/>
          <w:highlight w:val="none"/>
          <w:lang w:eastAsia="zh-CN"/>
        </w:rPr>
        <w:t>王永红</w:t>
      </w:r>
    </w:p>
    <w:p w14:paraId="421F760C">
      <w:pPr>
        <w:spacing w:line="360" w:lineRule="auto"/>
        <w:ind w:firstLine="480"/>
        <w:rPr>
          <w:rFonts w:hint="default" w:ascii="宋体" w:hAnsi="宋体" w:cs="宋体"/>
          <w:sz w:val="24"/>
          <w:highlight w:val="none"/>
          <w:lang w:val="en-US" w:eastAsia="zh-CN"/>
        </w:rPr>
      </w:pPr>
      <w:r>
        <w:rPr>
          <w:rFonts w:hint="eastAsia" w:ascii="宋体" w:hAnsi="宋体" w:cs="宋体"/>
          <w:sz w:val="24"/>
          <w:highlight w:val="none"/>
        </w:rPr>
        <w:t>项目联系方式（询问）：</w:t>
      </w:r>
      <w:r>
        <w:rPr>
          <w:rFonts w:hint="eastAsia" w:ascii="宋体" w:hAnsi="宋体" w:cs="宋体"/>
          <w:sz w:val="24"/>
          <w:highlight w:val="none"/>
          <w:lang w:val="en-US" w:eastAsia="zh-CN"/>
        </w:rPr>
        <w:t>0571-89540621</w:t>
      </w:r>
    </w:p>
    <w:p w14:paraId="4DAA4F26">
      <w:pPr>
        <w:spacing w:line="360" w:lineRule="auto"/>
        <w:ind w:firstLine="480"/>
        <w:rPr>
          <w:rFonts w:hint="eastAsia" w:ascii="宋体" w:hAnsi="宋体" w:cs="宋体"/>
          <w:sz w:val="24"/>
          <w:highlight w:val="none"/>
        </w:rPr>
      </w:pPr>
      <w:r>
        <w:rPr>
          <w:rFonts w:hint="eastAsia" w:ascii="宋体" w:hAnsi="宋体" w:cs="宋体"/>
          <w:sz w:val="24"/>
          <w:highlight w:val="none"/>
        </w:rPr>
        <w:t>质疑联系人：</w:t>
      </w:r>
      <w:r>
        <w:rPr>
          <w:rFonts w:hint="eastAsia" w:ascii="宋体" w:hAnsi="宋体" w:cs="宋体"/>
          <w:sz w:val="24"/>
          <w:highlight w:val="none"/>
          <w:lang w:eastAsia="zh-CN"/>
        </w:rPr>
        <w:t>邵旭峰</w:t>
      </w:r>
    </w:p>
    <w:p w14:paraId="38155D8D">
      <w:pPr>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rPr>
        <w:t>质疑联系方式：</w:t>
      </w:r>
      <w:r>
        <w:rPr>
          <w:rFonts w:hint="eastAsia" w:ascii="宋体" w:hAnsi="宋体" w:cs="宋体"/>
          <w:sz w:val="24"/>
          <w:highlight w:val="none"/>
          <w:lang w:val="en-US" w:eastAsia="zh-CN"/>
        </w:rPr>
        <w:t>0571-89540588</w:t>
      </w:r>
    </w:p>
    <w:p w14:paraId="7B31894A">
      <w:pPr>
        <w:spacing w:line="360" w:lineRule="auto"/>
        <w:ind w:firstLine="480"/>
        <w:rPr>
          <w:rFonts w:ascii="宋体" w:hAnsi="宋体" w:cs="宋体"/>
          <w:sz w:val="24"/>
          <w:highlight w:val="none"/>
        </w:rPr>
      </w:pPr>
      <w:r>
        <w:rPr>
          <w:rFonts w:hint="eastAsia" w:ascii="宋体" w:hAnsi="宋体" w:cs="宋体"/>
          <w:sz w:val="24"/>
          <w:highlight w:val="none"/>
        </w:rPr>
        <w:t xml:space="preserve">3.同级政府采购监督管理部门            </w:t>
      </w:r>
    </w:p>
    <w:p w14:paraId="55BA266A">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名 </w:t>
      </w:r>
      <w:r>
        <w:rPr>
          <w:rFonts w:hint="eastAsia" w:ascii="宋体" w:hAnsi="宋体" w:cs="宋体"/>
          <w:sz w:val="24"/>
          <w:highlight w:val="none"/>
          <w:lang w:val="en-US" w:eastAsia="zh-CN"/>
        </w:rPr>
        <w:t xml:space="preserve">   </w:t>
      </w:r>
      <w:r>
        <w:rPr>
          <w:rFonts w:hint="eastAsia" w:ascii="宋体" w:hAnsi="宋体" w:cs="宋体"/>
          <w:sz w:val="24"/>
          <w:highlight w:val="none"/>
        </w:rPr>
        <w:t>称：杭州市临安区财政局政府采购监管科、浙江省政府采购行政裁决服务中心（杭州）</w:t>
      </w:r>
    </w:p>
    <w:p w14:paraId="0FBBBB16">
      <w:pPr>
        <w:spacing w:line="360" w:lineRule="auto"/>
        <w:ind w:firstLine="480"/>
        <w:rPr>
          <w:rFonts w:hint="eastAsia" w:ascii="宋体" w:hAnsi="宋体" w:cs="宋体"/>
          <w:sz w:val="24"/>
          <w:highlight w:val="none"/>
        </w:rPr>
      </w:pPr>
      <w:r>
        <w:rPr>
          <w:rFonts w:hint="eastAsia" w:ascii="宋体" w:hAnsi="宋体" w:cs="宋体"/>
          <w:sz w:val="24"/>
          <w:highlight w:val="none"/>
        </w:rPr>
        <w:t>地</w:t>
      </w:r>
      <w:r>
        <w:rPr>
          <w:rFonts w:hint="eastAsia" w:ascii="宋体" w:hAnsi="宋体" w:cs="宋体"/>
          <w:sz w:val="24"/>
          <w:highlight w:val="none"/>
          <w:lang w:val="en-US" w:eastAsia="zh-CN"/>
        </w:rPr>
        <w:t xml:space="preserve">    </w:t>
      </w:r>
      <w:r>
        <w:rPr>
          <w:rFonts w:hint="eastAsia" w:ascii="宋体" w:hAnsi="宋体" w:cs="宋体"/>
          <w:sz w:val="24"/>
          <w:highlight w:val="none"/>
        </w:rPr>
        <w:t>址：杭州市上城区清泰街549号城建综合大楼11楼（快递仅限ems或顺丰）</w:t>
      </w:r>
    </w:p>
    <w:p w14:paraId="51A37B50">
      <w:pPr>
        <w:spacing w:line="360" w:lineRule="auto"/>
        <w:ind w:firstLine="480"/>
        <w:rPr>
          <w:rFonts w:hint="eastAsia" w:ascii="宋体" w:hAnsi="宋体" w:cs="宋体"/>
          <w:sz w:val="24"/>
          <w:highlight w:val="none"/>
        </w:rPr>
      </w:pPr>
      <w:r>
        <w:rPr>
          <w:rFonts w:hint="eastAsia" w:ascii="宋体" w:hAnsi="宋体" w:cs="宋体"/>
          <w:sz w:val="24"/>
          <w:highlight w:val="none"/>
        </w:rPr>
        <w:t>传</w:t>
      </w:r>
      <w:r>
        <w:rPr>
          <w:rFonts w:hint="eastAsia" w:ascii="宋体" w:hAnsi="宋体" w:cs="宋体"/>
          <w:sz w:val="24"/>
          <w:highlight w:val="none"/>
          <w:lang w:val="en-US" w:eastAsia="zh-CN"/>
        </w:rPr>
        <w:t xml:space="preserve">    </w:t>
      </w:r>
      <w:r>
        <w:rPr>
          <w:rFonts w:hint="eastAsia" w:ascii="宋体" w:hAnsi="宋体" w:cs="宋体"/>
          <w:sz w:val="24"/>
          <w:highlight w:val="none"/>
        </w:rPr>
        <w:t>真：</w:t>
      </w:r>
      <w:bookmarkStart w:id="13" w:name="OLE_LINK3"/>
      <w:r>
        <w:rPr>
          <w:rFonts w:hint="eastAsia" w:ascii="宋体" w:hAnsi="宋体" w:cs="宋体"/>
          <w:sz w:val="24"/>
          <w:highlight w:val="none"/>
        </w:rPr>
        <w:t>0571-89541600</w:t>
      </w:r>
      <w:bookmarkEnd w:id="13"/>
    </w:p>
    <w:p w14:paraId="69A1BCBB">
      <w:pPr>
        <w:spacing w:line="360" w:lineRule="auto"/>
        <w:ind w:firstLine="480"/>
        <w:rPr>
          <w:rFonts w:hint="eastAsia" w:ascii="宋体" w:hAnsi="宋体" w:cs="宋体"/>
          <w:sz w:val="24"/>
          <w:highlight w:val="none"/>
        </w:rPr>
      </w:pPr>
      <w:r>
        <w:rPr>
          <w:rFonts w:hint="eastAsia" w:ascii="宋体" w:hAnsi="宋体" w:cs="宋体"/>
          <w:sz w:val="24"/>
          <w:highlight w:val="none"/>
        </w:rPr>
        <w:t>联</w:t>
      </w:r>
      <w:r>
        <w:rPr>
          <w:rFonts w:hint="eastAsia" w:ascii="宋体" w:hAnsi="宋体" w:cs="宋体"/>
          <w:sz w:val="24"/>
          <w:highlight w:val="none"/>
          <w:lang w:val="en-US" w:eastAsia="zh-CN"/>
        </w:rPr>
        <w:t xml:space="preserve"> </w:t>
      </w:r>
      <w:r>
        <w:rPr>
          <w:rFonts w:hint="eastAsia" w:ascii="宋体" w:hAnsi="宋体" w:cs="宋体"/>
          <w:sz w:val="24"/>
          <w:highlight w:val="none"/>
        </w:rPr>
        <w:t>系</w:t>
      </w:r>
      <w:r>
        <w:rPr>
          <w:rFonts w:hint="eastAsia" w:ascii="宋体" w:hAnsi="宋体" w:cs="宋体"/>
          <w:sz w:val="24"/>
          <w:highlight w:val="none"/>
          <w:lang w:val="en-US" w:eastAsia="zh-CN"/>
        </w:rPr>
        <w:t xml:space="preserve"> </w:t>
      </w:r>
      <w:r>
        <w:rPr>
          <w:rFonts w:hint="eastAsia" w:ascii="宋体" w:hAnsi="宋体" w:cs="宋体"/>
          <w:sz w:val="24"/>
          <w:highlight w:val="none"/>
        </w:rPr>
        <w:t>人：朱女士</w:t>
      </w:r>
    </w:p>
    <w:p w14:paraId="363FC39A">
      <w:pPr>
        <w:spacing w:line="360" w:lineRule="auto"/>
        <w:ind w:firstLine="480"/>
        <w:rPr>
          <w:rFonts w:ascii="宋体" w:hAnsi="宋体" w:cs="宋体"/>
          <w:color w:val="auto"/>
          <w:sz w:val="24"/>
          <w:highlight w:val="none"/>
        </w:rPr>
      </w:pPr>
      <w:r>
        <w:rPr>
          <w:rFonts w:hint="eastAsia" w:ascii="宋体" w:hAnsi="宋体" w:cs="宋体"/>
          <w:sz w:val="24"/>
          <w:highlight w:val="none"/>
        </w:rPr>
        <w:t>监督投诉电话：0571-87800218</w:t>
      </w:r>
      <w:r>
        <w:rPr>
          <w:rFonts w:hint="eastAsia" w:ascii="宋体" w:hAnsi="宋体" w:cs="宋体"/>
          <w:color w:val="auto"/>
          <w:sz w:val="24"/>
          <w:highlight w:val="none"/>
        </w:rPr>
        <w:t xml:space="preserve">    </w:t>
      </w:r>
    </w:p>
    <w:p w14:paraId="61A4B8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AA94169">
      <w:pPr>
        <w:spacing w:line="360" w:lineRule="auto"/>
        <w:ind w:firstLine="480" w:firstLineChars="200"/>
        <w:rPr>
          <w:rFonts w:hAnsi="宋体" w:cs="宋体"/>
          <w:b/>
          <w:color w:val="auto"/>
          <w:sz w:val="36"/>
          <w:szCs w:val="20"/>
          <w:highlight w:val="none"/>
        </w:rPr>
      </w:pPr>
      <w:r>
        <w:rPr>
          <w:rFonts w:hint="eastAsia" w:ascii="宋体" w:hAnsi="宋体" w:cs="宋体"/>
          <w:color w:val="auto"/>
          <w:sz w:val="24"/>
          <w:highlight w:val="none"/>
        </w:rPr>
        <w:t>CA问题联系电话（人工）：汇信CA 400-888-4636；天谷CA 400-087-8198。</w:t>
      </w:r>
    </w:p>
    <w:p w14:paraId="3C59165C">
      <w:pPr>
        <w:tabs>
          <w:tab w:val="left" w:pos="432"/>
        </w:tabs>
        <w:outlineLvl w:val="9"/>
        <w:rPr>
          <w:rFonts w:ascii="宋体"/>
          <w:snapToGrid w:val="0"/>
          <w:color w:val="auto"/>
          <w:highlight w:val="none"/>
        </w:rPr>
      </w:pPr>
      <w:r>
        <w:rPr>
          <w:color w:val="auto"/>
          <w:highlight w:val="none"/>
        </w:rPr>
        <w:br w:type="page"/>
      </w:r>
    </w:p>
    <w:p w14:paraId="48FFF33E">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65C6C65F">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85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4854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trPr>
        <w:tc>
          <w:tcPr>
            <w:tcW w:w="629" w:type="dxa"/>
            <w:tcBorders>
              <w:tl2br w:val="nil"/>
              <w:tr2bl w:val="nil"/>
            </w:tcBorders>
            <w:vAlign w:val="center"/>
          </w:tcPr>
          <w:p w14:paraId="539D9549">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l2br w:val="nil"/>
              <w:tr2bl w:val="nil"/>
            </w:tcBorders>
            <w:vAlign w:val="center"/>
          </w:tcPr>
          <w:p w14:paraId="3ABDF066">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l2br w:val="nil"/>
              <w:tr2bl w:val="nil"/>
            </w:tcBorders>
            <w:vAlign w:val="center"/>
          </w:tcPr>
          <w:p w14:paraId="24532B76">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C06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5" w:hRule="atLeast"/>
        </w:trPr>
        <w:tc>
          <w:tcPr>
            <w:tcW w:w="629" w:type="dxa"/>
            <w:tcBorders>
              <w:tl2br w:val="nil"/>
              <w:tr2bl w:val="nil"/>
            </w:tcBorders>
            <w:vAlign w:val="center"/>
          </w:tcPr>
          <w:p w14:paraId="00D690F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l2br w:val="nil"/>
              <w:tr2bl w:val="nil"/>
            </w:tcBorders>
            <w:vAlign w:val="center"/>
          </w:tcPr>
          <w:p w14:paraId="5C4E4C6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l2br w:val="nil"/>
              <w:tr2bl w:val="nil"/>
            </w:tcBorders>
            <w:vAlign w:val="center"/>
          </w:tcPr>
          <w:p w14:paraId="07B5412C">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kern w:val="0"/>
                <w:sz w:val="24"/>
                <w:highlight w:val="none"/>
                <w:u w:val="single"/>
                <w:lang w:val="en-US" w:eastAsia="zh-CN"/>
              </w:rPr>
              <w:t xml:space="preserve"> 便携式计算机 </w:t>
            </w:r>
            <w:r>
              <w:rPr>
                <w:rFonts w:hint="eastAsia" w:ascii="宋体" w:hAnsi="宋体" w:cs="宋体"/>
                <w:color w:val="auto"/>
                <w:sz w:val="24"/>
                <w:highlight w:val="none"/>
              </w:rPr>
              <w:t>。</w:t>
            </w:r>
          </w:p>
        </w:tc>
      </w:tr>
      <w:tr w14:paraId="19B4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45DC16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l2br w:val="nil"/>
              <w:tr2bl w:val="nil"/>
            </w:tcBorders>
            <w:vAlign w:val="center"/>
          </w:tcPr>
          <w:p w14:paraId="62A2755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l2br w:val="nil"/>
              <w:tr2bl w:val="nil"/>
            </w:tcBorders>
            <w:vAlign w:val="center"/>
          </w:tcPr>
          <w:p w14:paraId="7EC16B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eastAsia="zh-CN"/>
              </w:rPr>
              <w:t>便携式计算机</w:t>
            </w:r>
            <w:r>
              <w:rPr>
                <w:rFonts w:hint="eastAsia" w:ascii="宋体" w:hAnsi="宋体" w:cs="宋体"/>
                <w:color w:val="auto"/>
                <w:kern w:val="0"/>
                <w:sz w:val="24"/>
                <w:highlight w:val="none"/>
              </w:rPr>
              <w:t>，属于</w:t>
            </w:r>
            <w:r>
              <w:rPr>
                <w:rFonts w:hint="eastAsia" w:ascii="宋体" w:hAnsi="宋体" w:cs="宋体"/>
                <w:b/>
                <w:bCs/>
                <w:color w:val="auto"/>
                <w:kern w:val="0"/>
                <w:sz w:val="24"/>
                <w:highlight w:val="none"/>
                <w:u w:val="single"/>
                <w:lang w:eastAsia="zh-CN"/>
              </w:rPr>
              <w:t>工业</w:t>
            </w:r>
            <w:r>
              <w:rPr>
                <w:rFonts w:hint="eastAsia" w:ascii="宋体" w:hAnsi="宋体" w:cs="宋体"/>
                <w:color w:val="auto"/>
                <w:kern w:val="0"/>
                <w:sz w:val="24"/>
                <w:highlight w:val="none"/>
              </w:rPr>
              <w:t>行业；</w:t>
            </w:r>
          </w:p>
          <w:p w14:paraId="62E0BA70">
            <w:pPr>
              <w:pStyle w:val="3"/>
              <w:ind w:left="0" w:leftChars="0" w:firstLine="0" w:firstLineChars="0"/>
              <w:rPr>
                <w:rFonts w:hint="eastAsia" w:ascii="宋体" w:hAnsi="宋体" w:eastAsia="仿宋_GB2312" w:cs="宋体"/>
                <w:color w:val="auto"/>
                <w:highlight w:val="none"/>
                <w:lang w:val="en-US" w:eastAsia="zh-CN"/>
              </w:rPr>
            </w:pPr>
            <w:r>
              <w:rPr>
                <w:rFonts w:hint="eastAsia" w:ascii="宋体" w:hAnsi="宋体" w:cs="宋体"/>
                <w:b w:val="0"/>
                <w:bCs w:val="0"/>
                <w:color w:val="auto"/>
                <w:kern w:val="0"/>
                <w:sz w:val="24"/>
                <w:szCs w:val="24"/>
                <w:highlight w:val="none"/>
                <w:lang w:val="en-US" w:eastAsia="zh-CN" w:bidi="ar-SA"/>
              </w:rPr>
              <w:t>注</w:t>
            </w:r>
            <w:r>
              <w:rPr>
                <w:rFonts w:hint="eastAsia" w:ascii="宋体" w:hAnsi="宋体" w:eastAsia="宋体" w:cs="宋体"/>
                <w:b w:val="0"/>
                <w:bCs w:val="0"/>
                <w:color w:val="auto"/>
                <w:kern w:val="0"/>
                <w:sz w:val="24"/>
                <w:szCs w:val="24"/>
                <w:highlight w:val="none"/>
                <w:lang w:val="en-US" w:eastAsia="zh-CN" w:bidi="ar-SA"/>
              </w:rPr>
              <w:t>：中小企业划型标准详见附件</w:t>
            </w:r>
            <w:r>
              <w:rPr>
                <w:rFonts w:hint="eastAsia" w:ascii="宋体" w:hAnsi="宋体" w:cs="宋体"/>
                <w:b w:val="0"/>
                <w:bCs w:val="0"/>
                <w:color w:val="auto"/>
                <w:kern w:val="0"/>
                <w:sz w:val="24"/>
                <w:szCs w:val="24"/>
                <w:highlight w:val="none"/>
                <w:lang w:val="en-US" w:eastAsia="zh-CN" w:bidi="ar-SA"/>
              </w:rPr>
              <w:t>8</w:t>
            </w:r>
            <w:r>
              <w:rPr>
                <w:rFonts w:hint="eastAsia" w:ascii="宋体" w:hAnsi="宋体" w:eastAsia="宋体" w:cs="宋体"/>
                <w:b w:val="0"/>
                <w:bCs w:val="0"/>
                <w:color w:val="auto"/>
                <w:kern w:val="0"/>
                <w:sz w:val="24"/>
                <w:szCs w:val="24"/>
                <w:highlight w:val="none"/>
                <w:lang w:val="en-US" w:eastAsia="zh-CN" w:bidi="ar-SA"/>
              </w:rPr>
              <w:t>。</w:t>
            </w:r>
          </w:p>
        </w:tc>
      </w:tr>
      <w:tr w14:paraId="31CB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95F22A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l2br w:val="nil"/>
              <w:tr2bl w:val="nil"/>
            </w:tcBorders>
            <w:vAlign w:val="center"/>
          </w:tcPr>
          <w:p w14:paraId="6E8AE47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l2br w:val="nil"/>
              <w:tr2bl w:val="nil"/>
            </w:tcBorders>
            <w:vAlign w:val="center"/>
          </w:tcPr>
          <w:p w14:paraId="3CA8973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67230354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06F7469C">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729059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r>
              <w:rPr>
                <w:rFonts w:hint="eastAsia" w:ascii="宋体" w:hAnsi="宋体" w:eastAsia="宋体" w:cs="宋体"/>
                <w:color w:val="auto"/>
                <w:kern w:val="0"/>
                <w:sz w:val="24"/>
                <w:highlight w:val="none"/>
              </w:rPr>
              <w:t>优先采购向我国企业转让技术、与我国企业签订消化吸收再创新方案的供应商的进口产品，详见评分标准。</w:t>
            </w:r>
          </w:p>
        </w:tc>
      </w:tr>
      <w:tr w14:paraId="10A8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9ED611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l2br w:val="nil"/>
              <w:tr2bl w:val="nil"/>
            </w:tcBorders>
            <w:vAlign w:val="center"/>
          </w:tcPr>
          <w:p w14:paraId="338F3975">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l2br w:val="nil"/>
              <w:tr2bl w:val="nil"/>
            </w:tcBorders>
            <w:vAlign w:val="center"/>
          </w:tcPr>
          <w:p w14:paraId="49E519A1">
            <w:pPr>
              <w:spacing w:line="360" w:lineRule="auto"/>
              <w:rPr>
                <w:rFonts w:hint="eastAsia" w:ascii="宋体" w:hAnsi="宋体" w:cs="宋体"/>
                <w:b/>
                <w:bCs/>
                <w:sz w:val="24"/>
                <w:highlight w:val="none"/>
              </w:rPr>
            </w:pPr>
            <w:sdt>
              <w:sdtPr>
                <w:rPr>
                  <w:rFonts w:hint="eastAsia" w:ascii="宋体" w:hAnsi="宋体" w:cs="宋体"/>
                  <w:kern w:val="0"/>
                  <w:sz w:val="24"/>
                  <w:highlight w:val="none"/>
                </w:rPr>
                <w:id w:val="412653405"/>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运输</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r>
              <w:rPr>
                <w:rFonts w:hint="eastAsia" w:ascii="宋体" w:hAnsi="宋体" w:cs="宋体"/>
                <w:b/>
                <w:bCs/>
                <w:sz w:val="24"/>
              </w:rPr>
              <w:t>供应商将其他内容分包的视为“</w:t>
            </w:r>
            <w:r>
              <w:rPr>
                <w:rFonts w:hint="eastAsia" w:ascii="宋体" w:hAnsi="宋体" w:cs="宋体"/>
                <w:b/>
                <w:bCs/>
                <w:kern w:val="0"/>
                <w:sz w:val="24"/>
              </w:rPr>
              <w:t>投标文件含有采购人不能接受的附加条件”，投标无效。</w:t>
            </w:r>
          </w:p>
          <w:p w14:paraId="6FF8FCE4">
            <w:pPr>
              <w:spacing w:line="360" w:lineRule="auto"/>
              <w:rPr>
                <w:rFonts w:ascii="宋体" w:hAnsi="宋体" w:cs="宋体"/>
                <w:sz w:val="24"/>
                <w:highlight w:val="none"/>
              </w:rPr>
            </w:pPr>
            <w:sdt>
              <w:sdtPr>
                <w:rPr>
                  <w:rFonts w:hint="eastAsia" w:ascii="宋体" w:hAnsi="宋体" w:cs="宋体"/>
                  <w:kern w:val="0"/>
                  <w:sz w:val="24"/>
                  <w:highlight w:val="none"/>
                </w:rPr>
                <w:id w:val="28702034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cs="宋体"/>
                    <w:kern w:val="0"/>
                    <w:sz w:val="24"/>
                    <w:highlight w:val="none"/>
                  </w:rPr>
                  <w:t>☐</w:t>
                </w:r>
              </w:sdtContent>
            </w:sdt>
            <w:r>
              <w:rPr>
                <w:rFonts w:hint="eastAsia" w:ascii="宋体" w:hAnsi="宋体" w:cs="宋体"/>
                <w:kern w:val="0"/>
                <w:sz w:val="24"/>
                <w:highlight w:val="none"/>
              </w:rPr>
              <w:t xml:space="preserve"> B</w:t>
            </w:r>
            <w:r>
              <w:rPr>
                <w:rFonts w:hint="eastAsia" w:ascii="宋体" w:hAnsi="宋体" w:cs="宋体"/>
                <w:sz w:val="24"/>
                <w:highlight w:val="none"/>
              </w:rPr>
              <w:t>不同意分包。</w:t>
            </w:r>
          </w:p>
          <w:p w14:paraId="1E4798AF">
            <w:pPr>
              <w:spacing w:line="360" w:lineRule="auto"/>
              <w:rPr>
                <w:rFonts w:ascii="宋体" w:hAnsi="宋体" w:cs="宋体"/>
                <w:color w:val="auto"/>
                <w:sz w:val="24"/>
                <w:highlight w:val="none"/>
              </w:rPr>
            </w:pPr>
            <w:r>
              <w:rPr>
                <w:rFonts w:hint="eastAsia" w:ascii="宋体" w:hAnsi="宋体" w:cs="宋体"/>
                <w:sz w:val="24"/>
                <w:highlight w:val="none"/>
              </w:rPr>
              <w:t>注：不得限制大中型企业向小微企业合理分包。</w:t>
            </w:r>
          </w:p>
        </w:tc>
      </w:tr>
      <w:tr w14:paraId="7DCD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BEC886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l2br w:val="nil"/>
              <w:tr2bl w:val="nil"/>
            </w:tcBorders>
            <w:vAlign w:val="center"/>
          </w:tcPr>
          <w:p w14:paraId="4639945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l2br w:val="nil"/>
              <w:tr2bl w:val="nil"/>
            </w:tcBorders>
            <w:vAlign w:val="center"/>
          </w:tcPr>
          <w:p w14:paraId="746FC9BE">
            <w:pPr>
              <w:spacing w:line="360" w:lineRule="auto"/>
              <w:rPr>
                <w:color w:val="auto"/>
                <w:sz w:val="24"/>
                <w:szCs w:val="32"/>
                <w:highlight w:val="none"/>
              </w:rPr>
            </w:pPr>
            <w:sdt>
              <w:sdtPr>
                <w:rPr>
                  <w:rFonts w:hint="eastAsia"/>
                  <w:color w:val="auto"/>
                  <w:highlight w:val="none"/>
                </w:rPr>
                <w:id w:val="681833070"/>
                <w14:checkbox>
                  <w14:checked w14:val="1"/>
                  <w14:checkedState w14:val="00FE" w14:font="Wingdings"/>
                  <w14:uncheckedState w14:val="2610" w14:font="MS Gothic"/>
                </w14:checkbox>
              </w:sdtPr>
              <w:sdtEndPr>
                <w:rPr>
                  <w:rFonts w:hint="eastAsia"/>
                  <w:color w:val="auto"/>
                  <w:sz w:val="24"/>
                  <w:szCs w:val="32"/>
                  <w:highlight w:val="none"/>
                </w:rPr>
              </w:sdtEndPr>
              <w:sdtContent>
                <w:r>
                  <w:rPr>
                    <w:rFonts w:hint="eastAsia" w:ascii="Wingdings" w:hAnsi="Wingdings" w:eastAsia="宋体" w:cs="Times New Roman"/>
                    <w:color w:val="auto"/>
                    <w:kern w:val="2"/>
                    <w:sz w:val="24"/>
                    <w:szCs w:val="32"/>
                    <w:highlight w:val="none"/>
                    <w:lang w:val="en-US" w:eastAsia="zh-CN" w:bidi="ar-SA"/>
                  </w:rPr>
                  <w:t>þ</w:t>
                </w:r>
              </w:sdtContent>
            </w:sdt>
            <w:r>
              <w:rPr>
                <w:rFonts w:hint="eastAsia"/>
                <w:color w:val="auto"/>
                <w:sz w:val="24"/>
                <w:szCs w:val="32"/>
                <w:highlight w:val="none"/>
                <w:lang w:val="en-US" w:eastAsia="zh-CN"/>
              </w:rPr>
              <w:t xml:space="preserve"> </w:t>
            </w:r>
            <w:r>
              <w:rPr>
                <w:rFonts w:hint="eastAsia"/>
                <w:color w:val="auto"/>
                <w:sz w:val="24"/>
                <w:szCs w:val="32"/>
                <w:highlight w:val="none"/>
              </w:rPr>
              <w:t>A不组织。</w:t>
            </w:r>
          </w:p>
          <w:p w14:paraId="0C290E80">
            <w:pPr>
              <w:spacing w:line="360" w:lineRule="auto"/>
              <w:rPr>
                <w:rFonts w:hint="eastAsia"/>
                <w:color w:val="auto"/>
                <w:sz w:val="24"/>
                <w:szCs w:val="32"/>
                <w:highlight w:val="none"/>
              </w:rPr>
            </w:pPr>
            <w:sdt>
              <w:sdtPr>
                <w:rPr>
                  <w:rFonts w:hint="eastAsia"/>
                  <w:color w:val="auto"/>
                  <w:sz w:val="24"/>
                  <w:szCs w:val="32"/>
                  <w:highlight w:val="none"/>
                </w:rPr>
                <w:id w:val="238790731"/>
                <w14:checkbox>
                  <w14:checked w14:val="0"/>
                  <w14:checkedState w14:val="00FE" w14:font="Wingdings"/>
                  <w14:uncheckedState w14:val="2610" w14:font="MS Gothic"/>
                </w14:checkbox>
              </w:sdtPr>
              <w:sdtEndPr>
                <w:rPr>
                  <w:rFonts w:hint="eastAsia"/>
                  <w:color w:val="auto"/>
                  <w:sz w:val="24"/>
                  <w:szCs w:val="32"/>
                  <w:highlight w:val="none"/>
                </w:rPr>
              </w:sdtEndPr>
              <w:sdtContent>
                <w:r>
                  <w:rPr>
                    <w:rFonts w:hint="eastAsia"/>
                    <w:color w:val="auto"/>
                    <w:sz w:val="24"/>
                    <w:szCs w:val="32"/>
                    <w:highlight w:val="none"/>
                  </w:rPr>
                  <w:t>☐</w:t>
                </w:r>
              </w:sdtContent>
            </w:sdt>
            <w:r>
              <w:rPr>
                <w:rFonts w:hint="eastAsia"/>
                <w:color w:val="auto"/>
                <w:sz w:val="24"/>
                <w:szCs w:val="32"/>
                <w:highlight w:val="none"/>
                <w:lang w:val="en-US" w:eastAsia="zh-CN"/>
              </w:rPr>
              <w:t xml:space="preserve"> </w:t>
            </w:r>
            <w:r>
              <w:rPr>
                <w:rFonts w:hint="eastAsia"/>
                <w:color w:val="auto"/>
                <w:sz w:val="24"/>
                <w:szCs w:val="32"/>
                <w:highlight w:val="none"/>
              </w:rPr>
              <w:t>B组织，时间：</w:t>
            </w:r>
            <w:r>
              <w:rPr>
                <w:rFonts w:hint="eastAsia"/>
                <w:color w:val="auto"/>
                <w:sz w:val="24"/>
                <w:szCs w:val="32"/>
                <w:highlight w:val="none"/>
                <w:u w:val="single"/>
              </w:rPr>
              <w:t xml:space="preserve">    </w:t>
            </w:r>
            <w:r>
              <w:rPr>
                <w:rFonts w:hint="eastAsia"/>
                <w:color w:val="auto"/>
                <w:sz w:val="24"/>
                <w:szCs w:val="32"/>
                <w:highlight w:val="none"/>
                <w:lang w:eastAsia="zh-CN"/>
              </w:rPr>
              <w:t>，</w:t>
            </w:r>
            <w:r>
              <w:rPr>
                <w:rFonts w:hint="eastAsia"/>
                <w:color w:val="auto"/>
                <w:sz w:val="24"/>
                <w:szCs w:val="32"/>
                <w:highlight w:val="none"/>
              </w:rPr>
              <w:t>地点：</w:t>
            </w:r>
            <w:r>
              <w:rPr>
                <w:rFonts w:hint="eastAsia"/>
                <w:color w:val="auto"/>
                <w:sz w:val="24"/>
                <w:szCs w:val="32"/>
                <w:highlight w:val="none"/>
                <w:u w:val="single"/>
              </w:rPr>
              <w:t xml:space="preserve">    </w:t>
            </w:r>
            <w:r>
              <w:rPr>
                <w:rFonts w:hint="eastAsia"/>
                <w:color w:val="auto"/>
                <w:sz w:val="24"/>
                <w:szCs w:val="32"/>
                <w:highlight w:val="none"/>
              </w:rPr>
              <w:t>，联系人：</w:t>
            </w:r>
            <w:r>
              <w:rPr>
                <w:rFonts w:hint="eastAsia"/>
                <w:color w:val="auto"/>
                <w:sz w:val="24"/>
                <w:szCs w:val="32"/>
                <w:highlight w:val="none"/>
                <w:u w:val="single"/>
              </w:rPr>
              <w:t xml:space="preserve">    </w:t>
            </w:r>
            <w:r>
              <w:rPr>
                <w:rFonts w:hint="eastAsia"/>
                <w:color w:val="auto"/>
                <w:sz w:val="24"/>
                <w:szCs w:val="32"/>
                <w:highlight w:val="none"/>
              </w:rPr>
              <w:t>，联系方式：</w:t>
            </w:r>
            <w:r>
              <w:rPr>
                <w:rFonts w:hint="eastAsia"/>
                <w:color w:val="auto"/>
                <w:sz w:val="24"/>
                <w:szCs w:val="32"/>
                <w:highlight w:val="none"/>
                <w:u w:val="single"/>
              </w:rPr>
              <w:t xml:space="preserve">    </w:t>
            </w:r>
            <w:r>
              <w:rPr>
                <w:rFonts w:hint="eastAsia"/>
                <w:color w:val="auto"/>
                <w:sz w:val="24"/>
                <w:szCs w:val="32"/>
                <w:highlight w:val="none"/>
              </w:rPr>
              <w:t>。</w:t>
            </w:r>
          </w:p>
          <w:p w14:paraId="7505500C">
            <w:pPr>
              <w:pStyle w:val="82"/>
              <w:spacing w:line="360" w:lineRule="auto"/>
              <w:ind w:firstLine="0" w:firstLineChars="0"/>
              <w:rPr>
                <w:color w:val="auto"/>
                <w:highlight w:val="none"/>
              </w:rPr>
            </w:pPr>
            <w:sdt>
              <w:sdtPr>
                <w:rPr>
                  <w:rFonts w:hint="eastAsia"/>
                  <w:color w:val="auto"/>
                  <w:highlight w:val="none"/>
                </w:rPr>
                <w:id w:val="878495525"/>
                <w14:checkbox>
                  <w14:checked w14:val="0"/>
                  <w14:checkedState w14:val="00FE" w14:font="Wingdings"/>
                  <w14:uncheckedState w14:val="2610" w14:font="MS Gothic"/>
                </w14:checkbox>
              </w:sdtPr>
              <w:sdtEndPr>
                <w:rPr>
                  <w:rFonts w:hint="eastAsia"/>
                  <w:color w:val="auto"/>
                  <w:sz w:val="24"/>
                  <w:szCs w:val="32"/>
                  <w:highlight w:val="none"/>
                </w:rPr>
              </w:sdtEndPr>
              <w:sdtContent>
                <w:r>
                  <w:rPr>
                    <w:rFonts w:hint="eastAsia" w:ascii="MS Gothic" w:hAnsi="MS Gothic" w:eastAsia="宋体" w:cs="Times New Roman"/>
                    <w:color w:val="auto"/>
                    <w:kern w:val="2"/>
                    <w:sz w:val="24"/>
                    <w:szCs w:val="32"/>
                    <w:highlight w:val="none"/>
                    <w:lang w:val="en-US" w:eastAsia="zh-CN" w:bidi="ar-SA"/>
                  </w:rPr>
                  <w:t>☐</w:t>
                </w:r>
              </w:sdtContent>
            </w:sdt>
            <w:r>
              <w:rPr>
                <w:rFonts w:hint="eastAsia"/>
                <w:color w:val="auto"/>
                <w:sz w:val="24"/>
                <w:szCs w:val="32"/>
                <w:highlight w:val="none"/>
                <w:lang w:val="en-US" w:eastAsia="zh-CN"/>
              </w:rPr>
              <w:t xml:space="preserve"> </w:t>
            </w:r>
            <w:r>
              <w:rPr>
                <w:rFonts w:hint="eastAsia" w:ascii="Times New Roman" w:hAnsi="Times New Roman" w:eastAsia="宋体" w:cs="Times New Roman"/>
                <w:color w:val="auto"/>
                <w:kern w:val="2"/>
                <w:sz w:val="24"/>
                <w:szCs w:val="32"/>
                <w:highlight w:val="none"/>
                <w:lang w:val="en-US" w:eastAsia="zh-CN" w:bidi="ar-SA"/>
              </w:rPr>
              <w:t>C不统一组织，供应商在获取采购文件后，自行至项目现场考察。地点：</w:t>
            </w:r>
            <w:r>
              <w:rPr>
                <w:rFonts w:hint="eastAsia" w:ascii="Times New Roman" w:hAnsi="Times New Roman" w:eastAsia="宋体" w:cs="Times New Roman"/>
                <w:color w:val="auto"/>
                <w:kern w:val="2"/>
                <w:sz w:val="24"/>
                <w:szCs w:val="32"/>
                <w:highlight w:val="none"/>
                <w:u w:val="single"/>
                <w:lang w:val="en-US" w:eastAsia="zh-CN" w:bidi="ar-SA"/>
              </w:rPr>
              <w:t xml:space="preserve">    </w:t>
            </w:r>
            <w:r>
              <w:rPr>
                <w:rFonts w:hint="eastAsia" w:ascii="Times New Roman" w:hAnsi="Times New Roman" w:eastAsia="宋体" w:cs="Times New Roman"/>
                <w:color w:val="auto"/>
                <w:kern w:val="2"/>
                <w:sz w:val="24"/>
                <w:szCs w:val="32"/>
                <w:highlight w:val="none"/>
                <w:lang w:val="en-US" w:eastAsia="zh-CN" w:bidi="ar-SA"/>
              </w:rPr>
              <w:t>，联系人：</w:t>
            </w:r>
            <w:r>
              <w:rPr>
                <w:rFonts w:hint="eastAsia" w:ascii="Times New Roman" w:hAnsi="Times New Roman" w:eastAsia="宋体" w:cs="Times New Roman"/>
                <w:color w:val="auto"/>
                <w:kern w:val="2"/>
                <w:sz w:val="24"/>
                <w:szCs w:val="32"/>
                <w:highlight w:val="none"/>
                <w:u w:val="single"/>
                <w:lang w:val="en-US" w:eastAsia="zh-CN" w:bidi="ar-SA"/>
              </w:rPr>
              <w:t xml:space="preserve">    </w:t>
            </w:r>
            <w:r>
              <w:rPr>
                <w:rFonts w:hint="eastAsia" w:ascii="Times New Roman" w:hAnsi="Times New Roman" w:eastAsia="宋体" w:cs="Times New Roman"/>
                <w:color w:val="auto"/>
                <w:kern w:val="2"/>
                <w:sz w:val="24"/>
                <w:szCs w:val="32"/>
                <w:highlight w:val="none"/>
                <w:lang w:val="en-US" w:eastAsia="zh-CN" w:bidi="ar-SA"/>
              </w:rPr>
              <w:t>，联系方式：</w:t>
            </w:r>
            <w:r>
              <w:rPr>
                <w:rFonts w:hint="eastAsia" w:ascii="Times New Roman" w:hAnsi="Times New Roman" w:eastAsia="宋体" w:cs="Times New Roman"/>
                <w:color w:val="auto"/>
                <w:kern w:val="2"/>
                <w:sz w:val="24"/>
                <w:szCs w:val="32"/>
                <w:highlight w:val="none"/>
                <w:u w:val="single"/>
                <w:lang w:val="en-US" w:eastAsia="zh-CN" w:bidi="ar-SA"/>
              </w:rPr>
              <w:t xml:space="preserve">    </w:t>
            </w:r>
            <w:r>
              <w:rPr>
                <w:rFonts w:hint="eastAsia" w:ascii="Times New Roman" w:hAnsi="Times New Roman" w:eastAsia="宋体" w:cs="Times New Roman"/>
                <w:color w:val="auto"/>
                <w:kern w:val="2"/>
                <w:sz w:val="24"/>
                <w:szCs w:val="32"/>
                <w:highlight w:val="none"/>
                <w:lang w:val="en-US" w:eastAsia="zh-CN" w:bidi="ar-SA"/>
              </w:rPr>
              <w:t>。</w:t>
            </w:r>
          </w:p>
        </w:tc>
      </w:tr>
      <w:tr w14:paraId="04A2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2D8A70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l2br w:val="nil"/>
              <w:tr2bl w:val="nil"/>
            </w:tcBorders>
            <w:vAlign w:val="center"/>
          </w:tcPr>
          <w:p w14:paraId="4F7774F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l2br w:val="nil"/>
              <w:tr2bl w:val="nil"/>
            </w:tcBorders>
            <w:vAlign w:val="center"/>
          </w:tcPr>
          <w:p w14:paraId="0D7DEC8E">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527626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481CFE16">
            <w:pPr>
              <w:spacing w:line="360" w:lineRule="auto"/>
              <w:rPr>
                <w:rFonts w:hint="eastAsia" w:ascii="宋体" w:hAnsi="宋体" w:eastAsia="宋体" w:cs="宋体"/>
                <w:color w:val="auto"/>
                <w:kern w:val="0"/>
                <w:sz w:val="24"/>
                <w:highlight w:val="none"/>
                <w:lang w:eastAsia="zh-CN"/>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B要求提供</w:t>
            </w:r>
            <w:r>
              <w:rPr>
                <w:rFonts w:hint="eastAsia" w:ascii="宋体" w:hAnsi="宋体" w:cs="宋体"/>
                <w:b/>
                <w:bCs/>
                <w:color w:val="auto"/>
                <w:kern w:val="0"/>
                <w:sz w:val="24"/>
                <w:highlight w:val="none"/>
              </w:rPr>
              <w:t>（未提供样品</w:t>
            </w:r>
            <w:r>
              <w:rPr>
                <w:rFonts w:hint="eastAsia" w:ascii="宋体" w:hAnsi="宋体" w:cs="宋体"/>
                <w:b/>
                <w:bCs/>
                <w:color w:val="auto"/>
                <w:kern w:val="0"/>
                <w:sz w:val="24"/>
                <w:highlight w:val="none"/>
                <w:lang w:eastAsia="zh-CN"/>
              </w:rPr>
              <w:t>或样品提供不全</w:t>
            </w:r>
            <w:r>
              <w:rPr>
                <w:rFonts w:hint="eastAsia" w:ascii="宋体" w:hAnsi="宋体" w:cs="宋体"/>
                <w:b/>
                <w:bCs/>
                <w:color w:val="auto"/>
                <w:kern w:val="0"/>
                <w:sz w:val="24"/>
                <w:highlight w:val="none"/>
              </w:rPr>
              <w:t>或提供样品不满足采购需求实质性条件的供应商，投标无效</w:t>
            </w:r>
            <w:r>
              <w:rPr>
                <w:rFonts w:hint="eastAsia" w:ascii="宋体" w:hAnsi="宋体" w:cs="宋体"/>
                <w:b/>
                <w:bCs/>
                <w:color w:val="auto"/>
                <w:kern w:val="0"/>
                <w:sz w:val="24"/>
                <w:highlight w:val="none"/>
                <w:lang w:eastAsia="zh-CN"/>
              </w:rPr>
              <w:t>）</w:t>
            </w:r>
          </w:p>
          <w:p w14:paraId="31990E32">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snapToGrid w:val="0"/>
                <w:color w:val="auto"/>
                <w:kern w:val="28"/>
                <w:sz w:val="24"/>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kern w:val="0"/>
                <w:sz w:val="24"/>
                <w:highlight w:val="none"/>
                <w:shd w:val="clear" w:color="FFFFFF" w:fill="D9D9D9"/>
                <w:lang w:eastAsia="zh-CN"/>
              </w:rPr>
              <w:t>（</w:t>
            </w:r>
            <w:r>
              <w:rPr>
                <w:rFonts w:hint="eastAsia" w:ascii="宋体" w:hAnsi="宋体" w:cs="宋体"/>
                <w:kern w:val="0"/>
                <w:sz w:val="24"/>
                <w:highlight w:val="none"/>
                <w:shd w:val="clear" w:color="FFFFFF" w:fill="D9D9D9"/>
                <w:lang w:val="en-US" w:eastAsia="zh-CN"/>
              </w:rPr>
              <w:t>注：非核心产品不能设置为样品</w:t>
            </w:r>
            <w:r>
              <w:rPr>
                <w:rFonts w:hint="eastAsia" w:ascii="宋体" w:hAnsi="宋体" w:cs="宋体"/>
                <w:kern w:val="0"/>
                <w:sz w:val="24"/>
                <w:highlight w:val="none"/>
                <w:shd w:val="clear" w:color="FFFFFF" w:fill="D9D9D9"/>
                <w:lang w:eastAsia="zh-CN"/>
              </w:rPr>
              <w:t>）</w:t>
            </w:r>
            <w:r>
              <w:rPr>
                <w:rFonts w:ascii="宋体" w:hAnsi="宋体" w:cs="宋体"/>
                <w:kern w:val="0"/>
                <w:sz w:val="24"/>
                <w:highlight w:val="none"/>
              </w:rPr>
              <w:t xml:space="preserve"> </w:t>
            </w:r>
          </w:p>
          <w:p w14:paraId="7054583B">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AA13AFD">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624A40B4">
            <w:pPr>
              <w:spacing w:line="360" w:lineRule="auto"/>
              <w:ind w:firstLine="240" w:firstLineChars="100"/>
              <w:rPr>
                <w:rFonts w:ascii="宋体" w:hAnsi="宋体" w:cs="宋体"/>
                <w:color w:val="auto"/>
                <w:sz w:val="24"/>
                <w:highlight w:val="none"/>
              </w:rPr>
            </w:pPr>
            <w:sdt>
              <w:sdtPr>
                <w:rPr>
                  <w:rFonts w:hint="eastAsia" w:ascii="宋体" w:hAnsi="宋体" w:cs="宋体"/>
                  <w:color w:val="auto"/>
                  <w:kern w:val="0"/>
                  <w:sz w:val="24"/>
                  <w:highlight w:val="none"/>
                </w:rPr>
                <w:id w:val="99407917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样品分未超过价格分的50%；</w:t>
            </w:r>
          </w:p>
          <w:p w14:paraId="010C0838">
            <w:pPr>
              <w:spacing w:line="360" w:lineRule="auto"/>
              <w:ind w:firstLine="240" w:firstLineChars="100"/>
              <w:rPr>
                <w:rFonts w:ascii="宋体" w:hAnsi="宋体" w:cs="宋体"/>
                <w:color w:val="auto"/>
                <w:kern w:val="0"/>
                <w:sz w:val="24"/>
                <w:highlight w:val="none"/>
              </w:rPr>
            </w:pPr>
            <w:sdt>
              <w:sdtPr>
                <w:rPr>
                  <w:rFonts w:hint="eastAsia" w:ascii="宋体" w:hAnsi="宋体" w:cs="宋体"/>
                  <w:color w:val="auto"/>
                  <w:kern w:val="0"/>
                  <w:sz w:val="24"/>
                  <w:highlight w:val="none"/>
                </w:rPr>
                <w:id w:val="19138983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样品分超过价格分的50%，理由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DC1227F">
            <w:pPr>
              <w:pStyle w:val="23"/>
              <w:ind w:firstLine="240" w:firstLineChars="100"/>
              <w:rPr>
                <w:color w:val="auto"/>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0A488B9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sz w:val="24"/>
                <w:u w:val="singl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sz w:val="24"/>
                <w:u w:val="singl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84DC3BF">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014349F1">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341850BB">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1D02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5" w:hRule="atLeast"/>
        </w:trPr>
        <w:tc>
          <w:tcPr>
            <w:tcW w:w="629" w:type="dxa"/>
            <w:tcBorders>
              <w:tl2br w:val="nil"/>
              <w:tr2bl w:val="nil"/>
            </w:tcBorders>
            <w:vAlign w:val="center"/>
          </w:tcPr>
          <w:p w14:paraId="654E616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l2br w:val="nil"/>
              <w:tr2bl w:val="nil"/>
            </w:tcBorders>
            <w:vAlign w:val="center"/>
          </w:tcPr>
          <w:p w14:paraId="29553A5E">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l2br w:val="nil"/>
              <w:tr2bl w:val="nil"/>
            </w:tcBorders>
            <w:vAlign w:val="center"/>
          </w:tcPr>
          <w:p w14:paraId="6F90FF6F">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303706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65855D6">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B组织。</w:t>
            </w:r>
          </w:p>
          <w:p w14:paraId="28606B6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lang w:val="en-US" w:eastAsia="zh-CN"/>
              </w:rPr>
              <w:t>20</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rPr>
              <w:t>人。讲解演示结束后按要求解答评标委员会提问。</w:t>
            </w:r>
          </w:p>
          <w:p w14:paraId="302E40C4">
            <w:pPr>
              <w:snapToGrid w:val="0"/>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（2）方案讲解演示</w:t>
            </w:r>
            <w:r>
              <w:rPr>
                <w:rFonts w:hint="eastAsia" w:ascii="宋体" w:hAnsi="宋体" w:cs="宋体"/>
                <w:color w:val="auto"/>
                <w:kern w:val="0"/>
                <w:sz w:val="24"/>
                <w:highlight w:val="none"/>
                <w:lang w:eastAsia="zh-CN"/>
              </w:rPr>
              <w:t>方式：</w:t>
            </w:r>
          </w:p>
          <w:p w14:paraId="6A0A89D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交易中心现场讲解演示。现场讲解地点为</w:t>
            </w:r>
            <w:r>
              <w:rPr>
                <w:rFonts w:hint="eastAsia" w:ascii="宋体" w:hAnsi="宋体" w:cs="宋体"/>
                <w:color w:val="auto"/>
                <w:sz w:val="24"/>
                <w:highlight w:val="none"/>
                <w:u w:val="single"/>
              </w:rPr>
              <w:t>浙江省杭州市临安区锦北街道科技大道4398号市民中心1号楼B座4楼询标室B436</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71128474">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4214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782C493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l2br w:val="nil"/>
              <w:tr2bl w:val="nil"/>
            </w:tcBorders>
            <w:vAlign w:val="center"/>
          </w:tcPr>
          <w:p w14:paraId="4EAF9E2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、资质等</w:t>
            </w:r>
            <w:r>
              <w:rPr>
                <w:rFonts w:hint="eastAsia" w:ascii="宋体" w:hAnsi="宋体" w:cs="宋体"/>
                <w:b/>
                <w:color w:val="auto"/>
                <w:sz w:val="24"/>
                <w:highlight w:val="none"/>
              </w:rPr>
              <w:t>证明文件</w:t>
            </w:r>
          </w:p>
        </w:tc>
        <w:tc>
          <w:tcPr>
            <w:tcW w:w="6095" w:type="dxa"/>
            <w:tcBorders>
              <w:tl2br w:val="nil"/>
              <w:tr2bl w:val="nil"/>
            </w:tcBorders>
            <w:vAlign w:val="center"/>
          </w:tcPr>
          <w:p w14:paraId="23B44EFD">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78245C49">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2234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66877A81">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4D1AE175">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5ABE5108">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1FDC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1E71A7B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l2br w:val="nil"/>
              <w:tr2bl w:val="nil"/>
            </w:tcBorders>
            <w:vAlign w:val="center"/>
          </w:tcPr>
          <w:p w14:paraId="5885FDC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l2br w:val="nil"/>
              <w:tr2bl w:val="nil"/>
            </w:tcBorders>
            <w:vAlign w:val="center"/>
          </w:tcPr>
          <w:p w14:paraId="41A05A3D">
            <w:pPr>
              <w:snapToGrid w:val="0"/>
              <w:spacing w:line="360" w:lineRule="auto"/>
              <w:rPr>
                <w:rFonts w:hint="eastAsia"/>
                <w:color w:val="auto"/>
                <w:sz w:val="24"/>
                <w:szCs w:val="24"/>
                <w:highlight w:val="none"/>
              </w:rPr>
            </w:pPr>
            <w:r>
              <w:rPr>
                <w:rFonts w:hint="eastAsia"/>
                <w:color w:val="auto"/>
                <w:sz w:val="24"/>
                <w:szCs w:val="24"/>
                <w:highlight w:val="none"/>
              </w:rPr>
              <w:t>采购人拟采购的产品属于品目清单范围的，采购人将依据国家确定的认证机构出具的、处于有效期之内的节能产品、环境标志产品认证证书，对获得证书的产品实施政府优先采购或强制采购。</w:t>
            </w:r>
          </w:p>
          <w:p w14:paraId="6FA19E3C">
            <w:pPr>
              <w:snapToGrid w:val="0"/>
              <w:spacing w:line="360" w:lineRule="auto"/>
              <w:ind w:firstLine="480" w:firstLineChars="200"/>
              <w:rPr>
                <w:rFonts w:hint="eastAsia"/>
                <w:b/>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rPr>
              <w:t>强制采购。产品：</w:t>
            </w:r>
            <w:r>
              <w:rPr>
                <w:rFonts w:hint="eastAsia"/>
                <w:color w:val="auto"/>
                <w:sz w:val="24"/>
                <w:szCs w:val="24"/>
                <w:highlight w:val="none"/>
                <w:u w:val="single"/>
                <w:lang w:eastAsia="zh-CN"/>
              </w:rPr>
              <w:t>便携式计算机</w:t>
            </w:r>
            <w:r>
              <w:rPr>
                <w:rFonts w:hint="eastAsia"/>
                <w:color w:val="auto"/>
                <w:sz w:val="24"/>
                <w:szCs w:val="24"/>
                <w:highlight w:val="none"/>
              </w:rPr>
              <w:t>。▲</w:t>
            </w:r>
            <w:r>
              <w:rPr>
                <w:rFonts w:hint="eastAsia"/>
                <w:b/>
                <w:bCs/>
                <w:color w:val="auto"/>
                <w:sz w:val="24"/>
                <w:szCs w:val="24"/>
                <w:highlight w:val="none"/>
              </w:rPr>
              <w:t>实施政府强制采购，投标人就相应的投标产品未提供国家确定的认证机构</w:t>
            </w:r>
            <w:r>
              <w:rPr>
                <w:rFonts w:hint="eastAsia"/>
                <w:b/>
                <w:bCs/>
                <w:color w:val="auto"/>
                <w:spacing w:val="-6"/>
                <w:sz w:val="24"/>
                <w:szCs w:val="24"/>
                <w:highlight w:val="none"/>
              </w:rPr>
              <w:t>出具的、处于有效期之内的节能产品认证证书的，投标无效。</w:t>
            </w:r>
          </w:p>
          <w:p w14:paraId="08035FB3">
            <w:pPr>
              <w:snapToGrid w:val="0"/>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rPr>
              <w:t xml:space="preserve">优先采购节能产品。产品：        </w:t>
            </w:r>
          </w:p>
          <w:p w14:paraId="0171297B">
            <w:pPr>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优先采购环保产品。产品：</w:t>
            </w:r>
            <w:r>
              <w:rPr>
                <w:rFonts w:hint="eastAsia"/>
                <w:color w:val="auto"/>
                <w:sz w:val="24"/>
                <w:szCs w:val="24"/>
                <w:highlight w:val="none"/>
                <w:lang w:eastAsia="zh-CN"/>
              </w:rPr>
              <w:t>便携式计算机。</w:t>
            </w:r>
          </w:p>
          <w:p w14:paraId="2FBA1540">
            <w:pPr>
              <w:snapToGrid w:val="0"/>
              <w:spacing w:line="360" w:lineRule="auto"/>
              <w:ind w:firstLine="480" w:firstLineChars="200"/>
              <w:rPr>
                <w:rFonts w:hint="eastAsia" w:ascii="宋体" w:hAnsi="宋体" w:cs="宋体"/>
                <w:color w:val="auto"/>
                <w:kern w:val="0"/>
                <w:sz w:val="24"/>
                <w:highlight w:val="none"/>
                <w:lang w:eastAsia="zh-CN"/>
              </w:rPr>
            </w:pPr>
            <w:r>
              <w:rPr>
                <w:rFonts w:hint="eastAsia"/>
                <w:color w:val="auto"/>
                <w:sz w:val="24"/>
                <w:szCs w:val="24"/>
                <w:highlight w:val="none"/>
                <w:lang w:eastAsia="zh-CN"/>
              </w:rPr>
              <w:t>□</w:t>
            </w:r>
            <w:r>
              <w:rPr>
                <w:rFonts w:hint="eastAsia"/>
                <w:color w:val="auto"/>
                <w:sz w:val="24"/>
                <w:szCs w:val="24"/>
                <w:highlight w:val="none"/>
              </w:rPr>
              <w:t>无。</w:t>
            </w:r>
          </w:p>
        </w:tc>
      </w:tr>
      <w:tr w14:paraId="7416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65" w:hRule="atLeast"/>
        </w:trPr>
        <w:tc>
          <w:tcPr>
            <w:tcW w:w="629" w:type="dxa"/>
            <w:tcBorders>
              <w:tl2br w:val="nil"/>
              <w:tr2bl w:val="nil"/>
            </w:tcBorders>
            <w:vAlign w:val="center"/>
          </w:tcPr>
          <w:p w14:paraId="2D1BDAC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l2br w:val="nil"/>
              <w:tr2bl w:val="nil"/>
            </w:tcBorders>
            <w:vAlign w:val="center"/>
          </w:tcPr>
          <w:p w14:paraId="3B49653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l2br w:val="nil"/>
              <w:tr2bl w:val="nil"/>
            </w:tcBorders>
            <w:vAlign w:val="center"/>
          </w:tcPr>
          <w:p w14:paraId="4785D37D">
            <w:pPr>
              <w:keepNext/>
              <w:keepLines w:val="0"/>
              <w:pageBreakBefore w:val="0"/>
              <w:widowControl w:val="0"/>
              <w:kinsoku/>
              <w:wordWrap/>
              <w:overflowPunct/>
              <w:topLinePunct w:val="0"/>
              <w:autoSpaceDE/>
              <w:autoSpaceDN/>
              <w:bidi w:val="0"/>
              <w:adjustRightInd w:val="0"/>
              <w:snapToGrid/>
              <w:spacing w:line="440" w:lineRule="exact"/>
              <w:ind w:firstLine="240" w:firstLineChars="1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（1）有关本项目实施所需的所有费用（含税费）均计入报价。</w:t>
            </w:r>
            <w:r>
              <w:rPr>
                <w:rFonts w:hint="eastAsia" w:ascii="宋体" w:hAnsi="宋体" w:cs="宋体"/>
                <w:b/>
                <w:bCs/>
                <w:color w:val="auto"/>
                <w:kern w:val="0"/>
                <w:sz w:val="24"/>
                <w:highlight w:val="none"/>
                <w:lang w:val="zh-CN"/>
              </w:rPr>
              <w:t>投标文件开标一览表（报价表）是报价的唯一载体，如投标人在政府采购云平台填写的投标报价与投标文件报价文件中开标一览表（报价表）不一致的，以报价文件中开标一览表（报价表）为准。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bCs/>
                <w:color w:val="auto"/>
                <w:kern w:val="0"/>
                <w:sz w:val="24"/>
                <w:highlight w:val="none"/>
                <w:lang w:val="zh-CN"/>
              </w:rPr>
              <w:t>提醒：验收时检测费用由采购人承担，不包含在投标总价中。</w:t>
            </w:r>
          </w:p>
          <w:p w14:paraId="1DA81062">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（2）政府采购评审中出现下列情形之一的，评审委员会应当启动异常低价投标（响应）审查程序：</w:t>
            </w:r>
          </w:p>
          <w:p w14:paraId="03224271">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1.投标（响应）报价低于全部通过符合性审查供应商投标（响应）报价平均值50%的，即投标（响应）报价</w:t>
            </w:r>
            <w:r>
              <w:rPr>
                <w:rFonts w:hint="eastAsia" w:ascii="宋体" w:hAnsi="宋体" w:cs="宋体"/>
                <w:b/>
                <w:bCs/>
                <w:color w:val="auto"/>
                <w:kern w:val="0"/>
                <w:sz w:val="24"/>
                <w:highlight w:val="none"/>
                <w:lang w:val="en-US" w:eastAsia="zh-CN"/>
              </w:rPr>
              <w:t>＜</w:t>
            </w:r>
            <w:r>
              <w:rPr>
                <w:rFonts w:hint="eastAsia" w:ascii="宋体" w:hAnsi="宋体" w:cs="宋体"/>
                <w:b/>
                <w:bCs/>
                <w:color w:val="auto"/>
                <w:kern w:val="0"/>
                <w:sz w:val="24"/>
                <w:highlight w:val="none"/>
                <w:lang w:val="zh-CN"/>
              </w:rPr>
              <w:t>全部通过符合性审查供应商投标（响应）报价平均值×50%；</w:t>
            </w:r>
          </w:p>
          <w:p w14:paraId="57D13D7C">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2.投标（响应）报价低于通过符合性审查的次低报价供应商投标（响应）报价50%的，即投标（响应）报价</w:t>
            </w:r>
            <w:r>
              <w:rPr>
                <w:rFonts w:hint="eastAsia" w:ascii="宋体" w:hAnsi="宋体" w:cs="宋体"/>
                <w:b/>
                <w:bCs/>
                <w:color w:val="auto"/>
                <w:kern w:val="0"/>
                <w:sz w:val="24"/>
                <w:highlight w:val="none"/>
                <w:lang w:val="en-US" w:eastAsia="zh-CN"/>
              </w:rPr>
              <w:t>＜</w:t>
            </w:r>
            <w:r>
              <w:rPr>
                <w:rFonts w:hint="eastAsia" w:ascii="宋体" w:hAnsi="宋体" w:cs="宋体"/>
                <w:b/>
                <w:bCs/>
                <w:color w:val="auto"/>
                <w:kern w:val="0"/>
                <w:sz w:val="24"/>
                <w:highlight w:val="none"/>
                <w:lang w:val="zh-CN"/>
              </w:rPr>
              <w:t>通过符合性审查的次低报价供应商投标（响应）报价×50%；</w:t>
            </w:r>
          </w:p>
          <w:p w14:paraId="4B6BC886">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3.投标（响应）报价低于采购项目最高限价45%的，即投标（响应）报价</w:t>
            </w:r>
            <w:r>
              <w:rPr>
                <w:rFonts w:hint="eastAsia" w:ascii="宋体" w:hAnsi="宋体" w:cs="宋体"/>
                <w:b/>
                <w:bCs/>
                <w:color w:val="auto"/>
                <w:kern w:val="0"/>
                <w:sz w:val="24"/>
                <w:highlight w:val="none"/>
                <w:lang w:val="en-US" w:eastAsia="zh-CN"/>
              </w:rPr>
              <w:t>＜</w:t>
            </w:r>
            <w:r>
              <w:rPr>
                <w:rFonts w:hint="eastAsia" w:ascii="宋体" w:hAnsi="宋体" w:cs="宋体"/>
                <w:b/>
                <w:bCs/>
                <w:color w:val="auto"/>
                <w:kern w:val="0"/>
                <w:sz w:val="24"/>
                <w:highlight w:val="none"/>
                <w:lang w:val="zh-CN"/>
              </w:rPr>
              <w:t>采购项目最高限价×45%；</w:t>
            </w:r>
          </w:p>
          <w:p w14:paraId="54A0FF78">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4.评审委员会基于专业判断，认为供应商报价过低，有可能影响产品质量或者不能诚信履约的其他情形。</w:t>
            </w:r>
          </w:p>
          <w:p w14:paraId="1CF2064E">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注：采购人可以结合具体项目实际情况，提高上述第1项至第3项中启动异常低价投标（响应）审查的数值标准，并在招标文件中予以明确，但是最高不得超过65%。</w:t>
            </w:r>
          </w:p>
          <w:p w14:paraId="2D00919E">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相关法律法规对供应商报价有规定的，从其规定。</w:t>
            </w:r>
          </w:p>
          <w:p w14:paraId="5F39F6A1">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（3）投标报价出现下列情形的，投标无效：</w:t>
            </w:r>
          </w:p>
          <w:p w14:paraId="37D55041">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投标文件出现不是唯一的、有选择性投标报价的；</w:t>
            </w:r>
          </w:p>
          <w:p w14:paraId="39CFB26A">
            <w:pPr>
              <w:keepNext w:val="0"/>
              <w:keepLines w:val="0"/>
              <w:pageBreakBefore w:val="0"/>
              <w:widowControl w:val="0"/>
              <w:kinsoku/>
              <w:wordWrap/>
              <w:overflowPunct/>
              <w:topLinePunct w:val="0"/>
              <w:autoSpaceDE/>
              <w:autoSpaceDN/>
              <w:bidi w:val="0"/>
              <w:adjustRightInd w:val="0"/>
              <w:snapToGrid/>
              <w:spacing w:line="440" w:lineRule="exact"/>
              <w:ind w:firstLine="217" w:firstLineChars="100"/>
              <w:textAlignment w:val="auto"/>
              <w:rPr>
                <w:rFonts w:hint="eastAsia" w:ascii="宋体" w:hAnsi="宋体" w:cs="宋体"/>
                <w:b/>
                <w:bCs/>
                <w:color w:val="auto"/>
                <w:w w:val="90"/>
                <w:kern w:val="0"/>
                <w:sz w:val="24"/>
                <w:highlight w:val="none"/>
                <w:lang w:val="zh-CN"/>
              </w:rPr>
            </w:pPr>
            <w:r>
              <w:rPr>
                <w:rFonts w:hint="eastAsia" w:ascii="宋体" w:hAnsi="宋体" w:cs="宋体"/>
                <w:b/>
                <w:bCs/>
                <w:color w:val="auto"/>
                <w:w w:val="90"/>
                <w:kern w:val="0"/>
                <w:sz w:val="24"/>
                <w:highlight w:val="none"/>
                <w:lang w:val="zh-CN"/>
              </w:rPr>
              <w:t>投标报价超过招标文件中规定的预算金额或者最高限价的；</w:t>
            </w:r>
          </w:p>
          <w:p w14:paraId="26B328E0">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评审委员会启动异常低价投标（响应）审查后，投标（响应）供应商不能提供书面说明、证明材料，或者提供的书面说明、证明材料不能证明其报价合理性的；</w:t>
            </w:r>
          </w:p>
          <w:p w14:paraId="13EB2B35">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ascii="宋体" w:hAnsi="宋体" w:cs="宋体"/>
                <w:color w:val="auto"/>
                <w:sz w:val="24"/>
                <w:highlight w:val="none"/>
              </w:rPr>
            </w:pPr>
            <w:r>
              <w:rPr>
                <w:rFonts w:hint="eastAsia" w:ascii="宋体" w:hAnsi="宋体" w:cs="宋体"/>
                <w:b/>
                <w:bCs/>
                <w:color w:val="auto"/>
                <w:kern w:val="0"/>
                <w:sz w:val="24"/>
                <w:highlight w:val="none"/>
                <w:lang w:val="zh-CN"/>
              </w:rPr>
              <w:t>投标人对根据修正原则修正后的报价不确认的。</w:t>
            </w:r>
          </w:p>
        </w:tc>
      </w:tr>
      <w:tr w14:paraId="4DEF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32" w:hRule="atLeast"/>
        </w:trPr>
        <w:tc>
          <w:tcPr>
            <w:tcW w:w="629" w:type="dxa"/>
            <w:tcBorders>
              <w:tl2br w:val="nil"/>
              <w:tr2bl w:val="nil"/>
            </w:tcBorders>
            <w:vAlign w:val="center"/>
          </w:tcPr>
          <w:p w14:paraId="739998D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l2br w:val="nil"/>
              <w:tr2bl w:val="nil"/>
            </w:tcBorders>
            <w:vAlign w:val="center"/>
          </w:tcPr>
          <w:p w14:paraId="61B2F961">
            <w:pPr>
              <w:snapToGrid w:val="0"/>
              <w:spacing w:line="360" w:lineRule="auto"/>
              <w:jc w:val="center"/>
              <w:rPr>
                <w:rFonts w:ascii="宋体" w:hAnsi="宋体" w:cs="宋体"/>
                <w:b/>
                <w:color w:val="auto"/>
                <w:sz w:val="24"/>
                <w:highlight w:val="none"/>
              </w:rPr>
            </w:pPr>
            <w:r>
              <w:rPr>
                <w:rFonts w:hint="eastAsia" w:ascii="宋体" w:hAnsi="宋体" w:cs="宋体"/>
                <w:b/>
                <w:color w:val="auto"/>
                <w:w w:val="90"/>
                <w:sz w:val="24"/>
                <w:highlight w:val="none"/>
              </w:rPr>
              <w:t>中小企业信用融资</w:t>
            </w:r>
          </w:p>
        </w:tc>
        <w:tc>
          <w:tcPr>
            <w:tcW w:w="6095" w:type="dxa"/>
            <w:tcBorders>
              <w:tl2br w:val="nil"/>
              <w:tr2bl w:val="nil"/>
            </w:tcBorders>
            <w:vAlign w:val="center"/>
          </w:tcPr>
          <w:p w14:paraId="1E373690">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D76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7B2C94B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l2br w:val="nil"/>
              <w:tr2bl w:val="nil"/>
            </w:tcBorders>
            <w:vAlign w:val="center"/>
          </w:tcPr>
          <w:p w14:paraId="0B069856">
            <w:pPr>
              <w:snapToGrid w:val="0"/>
              <w:spacing w:line="360" w:lineRule="auto"/>
              <w:jc w:val="center"/>
              <w:rPr>
                <w:rFonts w:ascii="宋体" w:hAnsi="宋体" w:cs="宋体"/>
                <w:b/>
                <w:color w:val="auto"/>
                <w:sz w:val="24"/>
                <w:highlight w:val="none"/>
              </w:rPr>
            </w:pPr>
            <w:r>
              <w:rPr>
                <w:rFonts w:hint="eastAsia" w:ascii="宋体" w:hAnsi="宋体" w:cs="宋体"/>
                <w:b/>
                <w:color w:val="auto"/>
                <w:w w:val="90"/>
                <w:sz w:val="24"/>
                <w:highlight w:val="none"/>
              </w:rPr>
              <w:t>备份投标文件送达地点和签收人员</w:t>
            </w:r>
          </w:p>
        </w:tc>
        <w:tc>
          <w:tcPr>
            <w:tcW w:w="6095" w:type="dxa"/>
            <w:tcBorders>
              <w:tl2br w:val="nil"/>
              <w:tr2bl w:val="nil"/>
            </w:tcBorders>
            <w:vAlign w:val="center"/>
          </w:tcPr>
          <w:p w14:paraId="59004055">
            <w:pPr>
              <w:pStyle w:val="33"/>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w:t>
            </w:r>
            <w:r>
              <w:rPr>
                <w:rFonts w:hint="eastAsia" w:hAnsi="宋体" w:cs="宋体"/>
                <w:kern w:val="28"/>
                <w:sz w:val="24"/>
                <w:szCs w:val="24"/>
                <w:u w:val="single"/>
              </w:rPr>
              <w:t>杭州市</w:t>
            </w:r>
            <w:r>
              <w:rPr>
                <w:rFonts w:hint="eastAsia" w:hAnsi="宋体" w:cs="宋体"/>
                <w:kern w:val="28"/>
                <w:sz w:val="24"/>
                <w:szCs w:val="24"/>
                <w:u w:val="single"/>
                <w:lang w:eastAsia="zh-CN"/>
              </w:rPr>
              <w:t>临安区锦北街道科技大道</w:t>
            </w:r>
            <w:r>
              <w:rPr>
                <w:rFonts w:hint="eastAsia" w:hAnsi="宋体" w:cs="宋体"/>
                <w:kern w:val="28"/>
                <w:sz w:val="24"/>
                <w:szCs w:val="24"/>
                <w:u w:val="single"/>
                <w:lang w:val="en-US" w:eastAsia="zh-CN"/>
              </w:rPr>
              <w:t>4398号市民中心B座B448室</w:t>
            </w:r>
            <w:r>
              <w:rPr>
                <w:rFonts w:hint="eastAsia" w:hAnsi="宋体" w:cs="宋体"/>
                <w:kern w:val="28"/>
                <w:sz w:val="24"/>
                <w:szCs w:val="24"/>
                <w:u w:val="single"/>
              </w:rPr>
              <w:t>（杭州市公共资源交易中心</w:t>
            </w:r>
            <w:r>
              <w:rPr>
                <w:rFonts w:hint="eastAsia" w:hAnsi="宋体" w:cs="宋体"/>
                <w:kern w:val="28"/>
                <w:sz w:val="24"/>
                <w:szCs w:val="24"/>
                <w:u w:val="single"/>
                <w:lang w:eastAsia="zh-CN"/>
              </w:rPr>
              <w:t>临安分中心</w:t>
            </w:r>
            <w:r>
              <w:rPr>
                <w:rFonts w:hint="eastAsia" w:hAnsi="宋体" w:cs="宋体"/>
                <w:kern w:val="28"/>
                <w:sz w:val="24"/>
                <w:szCs w:val="24"/>
                <w:u w:val="single"/>
              </w:rPr>
              <w:t>政府采购</w:t>
            </w:r>
            <w:r>
              <w:rPr>
                <w:rFonts w:hint="eastAsia" w:hAnsi="宋体" w:cs="宋体"/>
                <w:kern w:val="28"/>
                <w:sz w:val="24"/>
                <w:szCs w:val="24"/>
                <w:u w:val="single"/>
                <w:lang w:eastAsia="zh-CN"/>
              </w:rPr>
              <w:t>科</w:t>
            </w:r>
            <w:r>
              <w:rPr>
                <w:rFonts w:hint="eastAsia" w:hAnsi="宋体" w:cs="宋体"/>
                <w:kern w:val="28"/>
                <w:sz w:val="24"/>
                <w:szCs w:val="24"/>
                <w:u w:val="single"/>
              </w:rPr>
              <w:t>）</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；备份投标文件签收人员联系电话：</w:t>
            </w:r>
            <w:r>
              <w:rPr>
                <w:rFonts w:hint="eastAsia" w:hAnsi="宋体" w:cs="宋体"/>
                <w:kern w:val="28"/>
                <w:sz w:val="24"/>
                <w:szCs w:val="24"/>
                <w:u w:val="single"/>
              </w:rPr>
              <w:t>0571-</w:t>
            </w:r>
            <w:r>
              <w:rPr>
                <w:rFonts w:hint="eastAsia" w:hAnsi="宋体" w:cs="宋体"/>
                <w:kern w:val="28"/>
                <w:sz w:val="24"/>
                <w:szCs w:val="24"/>
                <w:u w:val="single"/>
                <w:lang w:val="en-US" w:eastAsia="zh-CN"/>
              </w:rPr>
              <w:t>89540588</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4246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40A1D83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l2br w:val="nil"/>
              <w:tr2bl w:val="nil"/>
            </w:tcBorders>
            <w:vAlign w:val="center"/>
          </w:tcPr>
          <w:p w14:paraId="392092E5">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l2br w:val="nil"/>
              <w:tr2bl w:val="nil"/>
            </w:tcBorders>
            <w:vAlign w:val="center"/>
          </w:tcPr>
          <w:p w14:paraId="002F0F0B">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r>
              <w:rPr>
                <w:rFonts w:hint="eastAsia" w:ascii="宋体" w:hAnsi="宋体" w:cs="宋体"/>
                <w:snapToGrid w:val="0"/>
                <w:kern w:val="28"/>
                <w:sz w:val="24"/>
                <w:highlight w:val="none"/>
              </w:rPr>
              <w:t>招标文件第四部分评分标准有其他规定的，从其规定。</w:t>
            </w:r>
          </w:p>
        </w:tc>
      </w:tr>
      <w:tr w14:paraId="7006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515E4DCF">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00FCBFB4">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3A8704C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9489171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r>
              <w:rPr>
                <w:rFonts w:hint="eastAsia" w:ascii="宋体" w:hAnsi="宋体" w:cs="宋体"/>
                <w:snapToGrid w:val="0"/>
                <w:kern w:val="28"/>
                <w:sz w:val="24"/>
                <w:highlight w:val="none"/>
              </w:rPr>
              <w:t>招标文件第四部分评分标准有其他规定的，从其规定。</w:t>
            </w:r>
          </w:p>
          <w:p w14:paraId="221FA485">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r>
              <w:rPr>
                <w:rFonts w:hint="eastAsia" w:ascii="宋体" w:hAnsi="宋体" w:cs="宋体"/>
                <w:snapToGrid w:val="0"/>
                <w:kern w:val="28"/>
                <w:sz w:val="24"/>
                <w:highlight w:val="none"/>
              </w:rPr>
              <w:t>招标文件第四部分评分标准有其他规定的，从其规定。</w:t>
            </w:r>
          </w:p>
        </w:tc>
      </w:tr>
      <w:tr w14:paraId="2683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atLeast"/>
        </w:trPr>
        <w:tc>
          <w:tcPr>
            <w:tcW w:w="629" w:type="dxa"/>
            <w:tcBorders>
              <w:tl2br w:val="nil"/>
              <w:tr2bl w:val="nil"/>
            </w:tcBorders>
            <w:vAlign w:val="center"/>
          </w:tcPr>
          <w:p w14:paraId="5C377A67">
            <w:pPr>
              <w:snapToGrid w:val="0"/>
              <w:spacing w:line="360" w:lineRule="auto"/>
              <w:jc w:val="center"/>
              <w:rPr>
                <w:rFonts w:hint="default" w:ascii="宋体" w:hAnsi="宋体" w:eastAsia="宋体" w:cs="宋体"/>
                <w:color w:val="auto"/>
                <w:sz w:val="24"/>
                <w:highlight w:val="none"/>
                <w:lang w:val="en-US" w:eastAsia="zh-CN"/>
              </w:rPr>
            </w:pPr>
            <w:bookmarkStart w:id="14" w:name="第三部分"/>
            <w:bookmarkStart w:id="15" w:name="_Toc164416483"/>
            <w:r>
              <w:rPr>
                <w:rFonts w:hint="eastAsia" w:ascii="宋体" w:hAnsi="宋体" w:cs="宋体"/>
                <w:color w:val="auto"/>
                <w:sz w:val="24"/>
                <w:highlight w:val="none"/>
                <w:lang w:val="en-US" w:eastAsia="zh-CN"/>
              </w:rPr>
              <w:t>14</w:t>
            </w:r>
          </w:p>
        </w:tc>
        <w:tc>
          <w:tcPr>
            <w:tcW w:w="1843" w:type="dxa"/>
            <w:tcBorders>
              <w:tl2br w:val="nil"/>
              <w:tr2bl w:val="nil"/>
            </w:tcBorders>
            <w:vAlign w:val="center"/>
          </w:tcPr>
          <w:p w14:paraId="25479443">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l2br w:val="nil"/>
              <w:tr2bl w:val="nil"/>
            </w:tcBorders>
            <w:vAlign w:val="center"/>
          </w:tcPr>
          <w:p w14:paraId="01DF1057">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lang w:val="en" w:eastAsia="zh-CN"/>
              </w:rPr>
              <w:t>。</w:t>
            </w:r>
          </w:p>
        </w:tc>
      </w:tr>
      <w:bookmarkEnd w:id="10"/>
    </w:tbl>
    <w:p w14:paraId="6EAA5047">
      <w:pPr>
        <w:bidi w:val="0"/>
        <w:rPr>
          <w:rFonts w:hint="eastAsia"/>
        </w:rPr>
      </w:pPr>
    </w:p>
    <w:p w14:paraId="16D17EF7">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2378AAC1">
      <w:pPr>
        <w:snapToGrid w:val="0"/>
        <w:spacing w:line="360" w:lineRule="auto"/>
        <w:jc w:val="left"/>
        <w:outlineLvl w:val="9"/>
        <w:rPr>
          <w:rFonts w:ascii="宋体" w:hAnsi="宋体" w:cs="宋体"/>
          <w:b/>
          <w:color w:val="auto"/>
          <w:sz w:val="24"/>
          <w:highlight w:val="none"/>
        </w:rPr>
      </w:pPr>
      <w:r>
        <w:rPr>
          <w:rFonts w:hint="eastAsia" w:ascii="宋体" w:hAnsi="宋体" w:cs="宋体"/>
          <w:b/>
          <w:color w:val="auto"/>
          <w:sz w:val="24"/>
          <w:highlight w:val="none"/>
        </w:rPr>
        <w:t>1.适用范围</w:t>
      </w:r>
    </w:p>
    <w:p w14:paraId="775B368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317ACFBD">
      <w:pPr>
        <w:adjustRightInd/>
        <w:spacing w:line="360" w:lineRule="auto"/>
        <w:outlineLvl w:val="9"/>
        <w:rPr>
          <w:rFonts w:ascii="宋体" w:hAnsi="宋体" w:cs="宋体"/>
          <w:b/>
          <w:color w:val="auto"/>
          <w:sz w:val="24"/>
          <w:highlight w:val="none"/>
        </w:rPr>
      </w:pPr>
      <w:r>
        <w:rPr>
          <w:rFonts w:hint="eastAsia" w:ascii="宋体" w:hAnsi="宋体" w:cs="宋体"/>
          <w:b/>
          <w:color w:val="auto"/>
          <w:sz w:val="24"/>
          <w:highlight w:val="none"/>
        </w:rPr>
        <w:t>2.定义</w:t>
      </w:r>
    </w:p>
    <w:p w14:paraId="127A3F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2.1“采购人”系指招标公告中载明的本项目的采购人。</w:t>
      </w:r>
    </w:p>
    <w:p w14:paraId="170FCF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3DDDAC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2.3“投标人”系指响应招标、参加投标竞争的法人、其他组织或者自然人。</w:t>
      </w:r>
    </w:p>
    <w:p w14:paraId="2FCED6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2.4“负责人”系指法人企业的法定负责人，或其他组织为法律、行政法规规定代表单位行使职权的主要负责人，或自然人本人。</w:t>
      </w:r>
    </w:p>
    <w:p w14:paraId="6CE673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FED55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260F8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4413C1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14:paraId="71B14BF4">
      <w:pPr>
        <w:spacing w:line="360" w:lineRule="auto"/>
        <w:rPr>
          <w:rFonts w:ascii="宋体" w:hAnsi="宋体" w:cs="宋体"/>
          <w:b/>
          <w:color w:val="auto"/>
          <w:sz w:val="24"/>
          <w:highlight w:val="none"/>
        </w:rPr>
      </w:pPr>
      <w:r>
        <w:rPr>
          <w:rFonts w:hint="eastAsia" w:ascii="宋体" w:hAnsi="宋体" w:cs="宋体"/>
          <w:b/>
          <w:color w:val="auto"/>
          <w:sz w:val="24"/>
          <w:highlight w:val="none"/>
        </w:rPr>
        <w:t>3.采购项目需要落实的政府采购政策</w:t>
      </w:r>
    </w:p>
    <w:p w14:paraId="2878E6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3AABF9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3.2支持绿色发展</w:t>
      </w:r>
    </w:p>
    <w:p w14:paraId="69F7E8CA">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▲按要求实施政府强制采购的，投标人就相应的投标产品未提供国家确定的认证机构出具的、处于有效期之内的节能产品认证证书的，投标无效。</w:t>
      </w:r>
    </w:p>
    <w:p w14:paraId="778500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746A68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6"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4675D3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鼓励供应商在参加政府采购过程中开展绿色设计、选择绿色材料、打造绿色制造工艺、开展绿色运输、做好废弃产品回收处理，实现产品全周期的绿色环保。鼓励采购单位对其提高预付款比例、免收履约保证金。</w:t>
      </w:r>
      <w:bookmarkEnd w:id="16"/>
    </w:p>
    <w:p w14:paraId="0951B6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12B768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4996C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37924D6">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36F8FD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B0966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7" w:name="_Hlk101132181"/>
      <w:r>
        <w:rPr>
          <w:rFonts w:hint="eastAsia" w:ascii="宋体" w:hAnsi="宋体" w:cs="宋体"/>
          <w:color w:val="auto"/>
          <w:sz w:val="24"/>
          <w:highlight w:val="none"/>
        </w:rPr>
        <w:t>联合协议或者分包意向协议约定小微企业的合同份额占到合同总金额30%以上的</w:t>
      </w:r>
      <w:bookmarkEnd w:id="17"/>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7379A0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5E7B9A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59DBE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047B1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3DE815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624187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50B7EC2A">
      <w:pPr>
        <w:tabs>
          <w:tab w:val="left" w:pos="432"/>
        </w:tabs>
        <w:adjustRightInd w:val="0"/>
        <w:spacing w:line="360" w:lineRule="auto"/>
        <w:ind w:left="0" w:firstLine="480" w:firstLineChars="200"/>
        <w:outlineLvl w:val="9"/>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1CBFCA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7E7D39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40E27F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3.6支持本国产品</w:t>
      </w:r>
    </w:p>
    <w:p w14:paraId="54DA31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3.6.1本国产品标准适用于货物，包括政府采购货物项目和服务项目中涉及的货物。</w:t>
      </w:r>
    </w:p>
    <w:p w14:paraId="62D8E0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3.6.2本项目既有本国产品又有非本国产品参与竞争的，对本国产品的报价给予20%的价格扣除，用扣除后的价格参与评审。</w:t>
      </w:r>
    </w:p>
    <w:p w14:paraId="06F8F32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3.6.3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154E94B">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3.6.4评审委员会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宋体" w:hAnsi="宋体" w:cs="宋体"/>
          <w:color w:val="auto"/>
          <w:sz w:val="24"/>
          <w:highlight w:val="none"/>
        </w:rPr>
        <w:cr/>
      </w:r>
      <w:r>
        <w:rPr>
          <w:rFonts w:hint="eastAsia" w:ascii="宋体" w:hAnsi="宋体" w:cs="宋体"/>
          <w:b/>
          <w:color w:val="auto"/>
          <w:sz w:val="24"/>
          <w:highlight w:val="none"/>
        </w:rPr>
        <w:t>4.询问、质疑、投诉、补偿救济</w:t>
      </w:r>
    </w:p>
    <w:p w14:paraId="731AA4A8">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14:paraId="7E98B705">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0C9CE4D">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1D65A3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633033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58CBE40B">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7C5F1386">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40793D61">
      <w:pPr>
        <w:pStyle w:val="5"/>
        <w:spacing w:line="360" w:lineRule="auto"/>
        <w:ind w:left="0" w:leftChars="0"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1371F45C">
      <w:pPr>
        <w:pStyle w:val="33"/>
        <w:spacing w:line="360" w:lineRule="auto"/>
        <w:ind w:left="479" w:leftChars="228" w:firstLine="0" w:firstLineChars="0"/>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21CBD36C">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220D7881">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59ED5815">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3C9B0C58">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17A6434F">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2BDF3154">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5A5283BB">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3E0C8C3">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供应商提交的质疑函需一式三份。供应商为自然人的，应当由本人签字；供应商为法人或者其他组织的，应当由法定代表人、主要负责人，或者其授权代表签字或者盖章，并加盖公章。</w:t>
      </w:r>
    </w:p>
    <w:p w14:paraId="420BA868">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质疑函范本及制作说明详见附件2。</w:t>
      </w:r>
    </w:p>
    <w:p w14:paraId="74B1DEAB">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4.3.4对同一采购程序环节的质疑，供应商须在法定质疑期内一次性提出。</w:t>
      </w:r>
    </w:p>
    <w:p w14:paraId="4E6A1AC4">
      <w:pPr>
        <w:keepNext w:val="0"/>
        <w:keepLines w:val="0"/>
        <w:pageBreakBefore w:val="0"/>
        <w:kinsoku/>
        <w:wordWrap/>
        <w:overflowPunct/>
        <w:topLinePunct w:val="0"/>
        <w:autoSpaceDE/>
        <w:autoSpaceDN/>
        <w:bidi w:val="0"/>
        <w:spacing w:beforeAutospacing="0" w:afterAutospacing="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4.3</w:t>
      </w:r>
      <w:r>
        <w:rPr>
          <w:rFonts w:hint="eastAsia" w:asciiTheme="minorEastAsia" w:hAnsiTheme="minorEastAsia" w:eastAsiaTheme="minorEastAsia" w:cstheme="minorEastAsia"/>
          <w:sz w:val="24"/>
          <w:szCs w:val="24"/>
        </w:rPr>
        <w:t>.5采购人或者</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在质疑回复后5个工作日内，在浙江政府采购网的“其他公告”栏目公开质疑答复，答复内容应当完整。质疑函作为附件上传。</w:t>
      </w:r>
    </w:p>
    <w:p w14:paraId="26310D99">
      <w:pPr>
        <w:keepNext w:val="0"/>
        <w:keepLines w:val="0"/>
        <w:pageBreakBefore w:val="0"/>
        <w:kinsoku/>
        <w:wordWrap/>
        <w:overflowPunct/>
        <w:topLinePunct w:val="0"/>
        <w:autoSpaceDE/>
        <w:autoSpaceDN/>
        <w:bidi w:val="0"/>
        <w:spacing w:beforeAutospacing="0" w:afterAutospacing="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询问、质疑答复责任主体如下：</w:t>
      </w:r>
    </w:p>
    <w:p w14:paraId="67779A30">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b/>
          <w:sz w:val="28"/>
          <w:szCs w:val="28"/>
          <w:highlight w:val="none"/>
          <w:lang w:val="en-US" w:eastAsia="zh-CN"/>
        </w:rPr>
        <w:t>询问、</w:t>
      </w:r>
      <w:r>
        <w:rPr>
          <w:rFonts w:hint="eastAsia" w:asciiTheme="minorEastAsia" w:hAnsiTheme="minorEastAsia" w:eastAsiaTheme="minorEastAsia"/>
          <w:b/>
          <w:sz w:val="28"/>
          <w:szCs w:val="28"/>
          <w:highlight w:val="none"/>
        </w:rPr>
        <w:t>质疑答复责任主体一览表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51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62CCA6AC">
            <w:pPr>
              <w:pStyle w:val="33"/>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lang w:val="en-US" w:eastAsia="zh-CN"/>
              </w:rPr>
              <w:t>询问、</w:t>
            </w:r>
            <w:r>
              <w:rPr>
                <w:rFonts w:hint="eastAsia" w:asciiTheme="minorEastAsia" w:hAnsiTheme="minorEastAsia" w:eastAsiaTheme="minorEastAsia"/>
                <w:b/>
                <w:bCs/>
                <w:sz w:val="24"/>
                <w:highlight w:val="none"/>
              </w:rPr>
              <w:t>质疑内容</w:t>
            </w:r>
          </w:p>
        </w:tc>
        <w:tc>
          <w:tcPr>
            <w:tcW w:w="2232" w:type="dxa"/>
            <w:vAlign w:val="center"/>
          </w:tcPr>
          <w:p w14:paraId="593AC637">
            <w:pPr>
              <w:pStyle w:val="33"/>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lang w:val="en-US" w:eastAsia="zh-CN"/>
              </w:rPr>
              <w:t>询问、</w:t>
            </w:r>
            <w:r>
              <w:rPr>
                <w:rFonts w:hint="eastAsia" w:asciiTheme="minorEastAsia" w:hAnsiTheme="minorEastAsia" w:eastAsiaTheme="minorEastAsia"/>
                <w:b/>
                <w:bCs/>
                <w:sz w:val="24"/>
                <w:highlight w:val="none"/>
              </w:rPr>
              <w:t>质疑答复</w:t>
            </w:r>
          </w:p>
          <w:p w14:paraId="5FF60FE9">
            <w:pPr>
              <w:pStyle w:val="33"/>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责任主体</w:t>
            </w:r>
          </w:p>
        </w:tc>
      </w:tr>
      <w:tr w14:paraId="5281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95663D1">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对采购文件提出</w:t>
            </w:r>
            <w:r>
              <w:rPr>
                <w:rFonts w:hint="eastAsia" w:asciiTheme="minorEastAsia" w:hAnsiTheme="minorEastAsia" w:eastAsiaTheme="minorEastAsia"/>
                <w:sz w:val="24"/>
                <w:highlight w:val="none"/>
                <w:lang w:val="en-US" w:eastAsia="zh-CN"/>
              </w:rPr>
              <w:t>询问、</w:t>
            </w:r>
            <w:r>
              <w:rPr>
                <w:rFonts w:hint="eastAsia" w:asciiTheme="minorEastAsia" w:hAnsiTheme="minorEastAsia" w:eastAsiaTheme="minorEastAsia"/>
                <w:sz w:val="24"/>
                <w:highlight w:val="none"/>
              </w:rPr>
              <w:t>质疑</w:t>
            </w:r>
          </w:p>
        </w:tc>
        <w:tc>
          <w:tcPr>
            <w:tcW w:w="4536" w:type="dxa"/>
            <w:vAlign w:val="center"/>
          </w:tcPr>
          <w:p w14:paraId="5B805E34">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w:t>
            </w:r>
            <w:r>
              <w:rPr>
                <w:rFonts w:hint="eastAsia" w:asciiTheme="minorEastAsia" w:hAnsiTheme="minorEastAsia" w:eastAsiaTheme="minorEastAsia"/>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sz w:val="24"/>
                <w:highlight w:val="none"/>
              </w:rPr>
              <w:t>的</w:t>
            </w:r>
            <w:r>
              <w:rPr>
                <w:rFonts w:hint="eastAsia" w:asciiTheme="minorEastAsia" w:hAnsiTheme="minorEastAsia" w:eastAsiaTheme="minorEastAsia"/>
                <w:sz w:val="24"/>
                <w:highlight w:val="none"/>
                <w:lang w:val="en-US" w:eastAsia="zh-CN"/>
              </w:rPr>
              <w:t>询问、</w:t>
            </w:r>
            <w:r>
              <w:rPr>
                <w:rFonts w:hint="eastAsia" w:asciiTheme="minorEastAsia" w:hAnsiTheme="minorEastAsia" w:eastAsiaTheme="minorEastAsia"/>
                <w:sz w:val="24"/>
                <w:highlight w:val="none"/>
              </w:rPr>
              <w:t>质疑</w:t>
            </w:r>
          </w:p>
        </w:tc>
        <w:tc>
          <w:tcPr>
            <w:tcW w:w="2232" w:type="dxa"/>
            <w:vAlign w:val="center"/>
          </w:tcPr>
          <w:p w14:paraId="1B957ECD">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14:paraId="1B71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F35917A">
            <w:pPr>
              <w:pStyle w:val="33"/>
              <w:spacing w:line="360" w:lineRule="auto"/>
              <w:jc w:val="center"/>
              <w:rPr>
                <w:rFonts w:asciiTheme="minorEastAsia" w:hAnsiTheme="minorEastAsia" w:eastAsiaTheme="minorEastAsia"/>
                <w:sz w:val="24"/>
                <w:highlight w:val="none"/>
              </w:rPr>
            </w:pPr>
          </w:p>
        </w:tc>
        <w:tc>
          <w:tcPr>
            <w:tcW w:w="4536" w:type="dxa"/>
            <w:vAlign w:val="center"/>
          </w:tcPr>
          <w:p w14:paraId="4950F81E">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对采购文件中其他内容提出的</w:t>
            </w:r>
            <w:r>
              <w:rPr>
                <w:rFonts w:hint="eastAsia" w:asciiTheme="minorEastAsia" w:hAnsiTheme="minorEastAsia" w:eastAsiaTheme="minorEastAsia"/>
                <w:sz w:val="24"/>
                <w:highlight w:val="none"/>
                <w:lang w:val="en-US" w:eastAsia="zh-CN"/>
              </w:rPr>
              <w:t>询问、</w:t>
            </w:r>
            <w:r>
              <w:rPr>
                <w:rFonts w:hint="eastAsia" w:asciiTheme="minorEastAsia" w:hAnsiTheme="minorEastAsia" w:eastAsiaTheme="minorEastAsia"/>
                <w:sz w:val="24"/>
                <w:highlight w:val="none"/>
              </w:rPr>
              <w:t>质疑</w:t>
            </w:r>
          </w:p>
        </w:tc>
        <w:tc>
          <w:tcPr>
            <w:tcW w:w="2232" w:type="dxa"/>
            <w:vAlign w:val="center"/>
          </w:tcPr>
          <w:p w14:paraId="1CF7AF50">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采购机构</w:t>
            </w:r>
          </w:p>
        </w:tc>
      </w:tr>
      <w:tr w14:paraId="1A30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9B59F4B">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采购结果</w:t>
            </w:r>
            <w:r>
              <w:rPr>
                <w:rFonts w:hint="eastAsia" w:asciiTheme="minorEastAsia" w:hAnsiTheme="minorEastAsia" w:eastAsiaTheme="minorEastAsia"/>
                <w:sz w:val="24"/>
                <w:highlight w:val="none"/>
              </w:rPr>
              <w:t>提出</w:t>
            </w:r>
            <w:r>
              <w:rPr>
                <w:rFonts w:hint="eastAsia" w:asciiTheme="minorEastAsia" w:hAnsiTheme="minorEastAsia" w:eastAsiaTheme="minorEastAsia"/>
                <w:sz w:val="24"/>
                <w:highlight w:val="none"/>
                <w:lang w:val="en-US" w:eastAsia="zh-CN"/>
              </w:rPr>
              <w:t>询问、</w:t>
            </w:r>
            <w:r>
              <w:rPr>
                <w:rFonts w:hint="eastAsia" w:asciiTheme="minorEastAsia" w:hAnsiTheme="minorEastAsia" w:eastAsiaTheme="minorEastAsia"/>
                <w:sz w:val="24"/>
                <w:highlight w:val="none"/>
              </w:rPr>
              <w:t>质疑</w:t>
            </w:r>
          </w:p>
        </w:tc>
        <w:tc>
          <w:tcPr>
            <w:tcW w:w="4536" w:type="dxa"/>
            <w:vAlign w:val="center"/>
          </w:tcPr>
          <w:p w14:paraId="6B99C9A9">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szCs w:val="21"/>
                <w:highlight w:val="none"/>
              </w:rPr>
              <w:t>对“现场考察、答疑会”、 “甲方负责接收和保存的样品” 、“资格审查”</w:t>
            </w:r>
            <w:r>
              <w:rPr>
                <w:rFonts w:hint="eastAsia" w:asciiTheme="minorEastAsia" w:hAnsiTheme="minorEastAsia" w:eastAsiaTheme="minorEastAsia"/>
                <w:sz w:val="24"/>
                <w:szCs w:val="21"/>
                <w:highlight w:val="none"/>
                <w:lang w:eastAsia="zh-CN"/>
              </w:rPr>
              <w:t>、“</w:t>
            </w:r>
            <w:r>
              <w:rPr>
                <w:rFonts w:hint="eastAsia" w:asciiTheme="minorEastAsia" w:hAnsiTheme="minorEastAsia" w:eastAsiaTheme="minorEastAsia"/>
                <w:sz w:val="24"/>
                <w:szCs w:val="21"/>
                <w:highlight w:val="none"/>
                <w:lang w:val="en-US" w:eastAsia="zh-CN"/>
              </w:rPr>
              <w:t>评审”</w:t>
            </w:r>
            <w:r>
              <w:rPr>
                <w:rFonts w:hint="eastAsia" w:asciiTheme="minorEastAsia" w:hAnsiTheme="minorEastAsia" w:eastAsiaTheme="minorEastAsia"/>
                <w:sz w:val="24"/>
                <w:szCs w:val="21"/>
                <w:highlight w:val="none"/>
              </w:rPr>
              <w:t>等环节的</w:t>
            </w:r>
            <w:r>
              <w:rPr>
                <w:rFonts w:hint="eastAsia" w:asciiTheme="minorEastAsia" w:hAnsiTheme="minorEastAsia" w:eastAsiaTheme="minorEastAsia"/>
                <w:sz w:val="24"/>
                <w:szCs w:val="21"/>
                <w:highlight w:val="none"/>
                <w:lang w:val="en-US" w:eastAsia="zh-CN"/>
              </w:rPr>
              <w:t>询问、</w:t>
            </w:r>
            <w:r>
              <w:rPr>
                <w:rFonts w:hint="eastAsia" w:asciiTheme="minorEastAsia" w:hAnsiTheme="minorEastAsia" w:eastAsiaTheme="minorEastAsia"/>
                <w:sz w:val="24"/>
                <w:szCs w:val="21"/>
                <w:highlight w:val="none"/>
              </w:rPr>
              <w:t>质疑</w:t>
            </w:r>
          </w:p>
        </w:tc>
        <w:tc>
          <w:tcPr>
            <w:tcW w:w="2232" w:type="dxa"/>
            <w:vAlign w:val="center"/>
          </w:tcPr>
          <w:p w14:paraId="1EC598D6">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14:paraId="0A04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4B4B5BB0">
            <w:pPr>
              <w:pStyle w:val="33"/>
              <w:spacing w:line="360" w:lineRule="auto"/>
              <w:jc w:val="center"/>
              <w:rPr>
                <w:rFonts w:asciiTheme="minorEastAsia" w:hAnsiTheme="minorEastAsia" w:eastAsiaTheme="minorEastAsia"/>
                <w:sz w:val="24"/>
                <w:highlight w:val="none"/>
              </w:rPr>
            </w:pPr>
          </w:p>
        </w:tc>
        <w:tc>
          <w:tcPr>
            <w:tcW w:w="4536" w:type="dxa"/>
            <w:vAlign w:val="center"/>
          </w:tcPr>
          <w:p w14:paraId="2BB01BEC">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采购结果其他</w:t>
            </w:r>
            <w:r>
              <w:rPr>
                <w:rFonts w:hint="eastAsia" w:asciiTheme="minorEastAsia" w:hAnsiTheme="minorEastAsia" w:eastAsiaTheme="minorEastAsia"/>
                <w:sz w:val="24"/>
                <w:szCs w:val="21"/>
                <w:highlight w:val="none"/>
              </w:rPr>
              <w:t>环节的</w:t>
            </w:r>
            <w:r>
              <w:rPr>
                <w:rFonts w:hint="eastAsia" w:asciiTheme="minorEastAsia" w:hAnsiTheme="minorEastAsia" w:eastAsiaTheme="minorEastAsia"/>
                <w:sz w:val="24"/>
                <w:szCs w:val="21"/>
                <w:highlight w:val="none"/>
                <w:lang w:val="en-US" w:eastAsia="zh-CN"/>
              </w:rPr>
              <w:t>询问、</w:t>
            </w:r>
            <w:r>
              <w:rPr>
                <w:rFonts w:hint="eastAsia" w:asciiTheme="minorEastAsia" w:hAnsiTheme="minorEastAsia" w:eastAsiaTheme="minorEastAsia"/>
                <w:sz w:val="24"/>
                <w:szCs w:val="21"/>
                <w:highlight w:val="none"/>
              </w:rPr>
              <w:t>质疑</w:t>
            </w:r>
          </w:p>
        </w:tc>
        <w:tc>
          <w:tcPr>
            <w:tcW w:w="2232" w:type="dxa"/>
            <w:vAlign w:val="center"/>
          </w:tcPr>
          <w:p w14:paraId="4C967EF9">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采购机构</w:t>
            </w:r>
          </w:p>
        </w:tc>
      </w:tr>
    </w:tbl>
    <w:p w14:paraId="112D8616">
      <w:pPr>
        <w:bidi w:val="0"/>
        <w:spacing w:line="360" w:lineRule="auto"/>
        <w:rPr>
          <w:rFonts w:hint="eastAsia" w:asciiTheme="minorEastAsia" w:hAnsiTheme="minorEastAsia" w:eastAsiaTheme="minorEastAsia" w:cstheme="minorEastAsia"/>
          <w:sz w:val="24"/>
          <w:szCs w:val="24"/>
        </w:rPr>
      </w:pPr>
    </w:p>
    <w:p w14:paraId="68B8507A">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4.3</w:t>
      </w:r>
      <w:r>
        <w:rPr>
          <w:rFonts w:hint="eastAsia" w:asciiTheme="minorEastAsia" w:hAnsiTheme="minorEastAsia" w:eastAsiaTheme="minorEastAsia" w:cstheme="minorEastAsia"/>
          <w:sz w:val="24"/>
          <w:szCs w:val="24"/>
        </w:rPr>
        <w:t>.6询问或者质疑事项可能影响采购结果的，采购人应当暂停签订合同，已经签订合同的，应当中止履行合同。</w:t>
      </w:r>
    </w:p>
    <w:p w14:paraId="1B923E04">
      <w:pPr>
        <w:bidi w:val="0"/>
        <w:spacing w:line="360" w:lineRule="auto"/>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4.4供应商投诉</w:t>
      </w:r>
    </w:p>
    <w:p w14:paraId="64B88CBB">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4.4.1质疑供应商对采购人、</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的答复不满意或者采购人、</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未在规定的时间内作出答复的，可以在答复期满后十五个工作日内向同级政府采购监督管理部门提出投诉。</w:t>
      </w:r>
    </w:p>
    <w:p w14:paraId="0A4C494C">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w:t>
      </w:r>
      <w:r>
        <w:rPr>
          <w:rFonts w:hint="eastAsia" w:asciiTheme="minorEastAsia" w:hAnsiTheme="minorEastAsia" w:eastAsiaTheme="minorEastAsia" w:cstheme="minorEastAsia"/>
          <w:sz w:val="24"/>
          <w:szCs w:val="24"/>
          <w:lang w:val="zh-CN"/>
        </w:rPr>
        <w:t>2</w:t>
      </w:r>
      <w:r>
        <w:rPr>
          <w:rFonts w:hint="eastAsia" w:asciiTheme="minorEastAsia" w:hAnsiTheme="minorEastAsia" w:eastAsiaTheme="minorEastAsia" w:cstheme="minorEastAsia"/>
          <w:sz w:val="24"/>
          <w:szCs w:val="24"/>
        </w:rPr>
        <w:t>供应商投诉的事项不得超出已质疑事项的范围，基于质疑答复内容提出的投诉事项除外。</w:t>
      </w:r>
    </w:p>
    <w:p w14:paraId="75E1FF05">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4.4.3供应商投诉应当有明确的请求和必要的证明材料。</w:t>
      </w:r>
    </w:p>
    <w:p w14:paraId="17324CC1">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4.4.4以联合体形式参加政府采购活动的，其投诉应当由组成联合体的所有供应商共同提出。</w:t>
      </w:r>
    </w:p>
    <w:p w14:paraId="355E1D57">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4.4.5根据政府采购行政裁决省市区三级联动试点工作安排，杭州市本级</w:t>
      </w:r>
      <w:r>
        <w:rPr>
          <w:rFonts w:hint="eastAsia" w:asciiTheme="minorEastAsia" w:hAnsiTheme="minorEastAsia" w:eastAsiaTheme="minorEastAsia" w:cstheme="minorEastAsia"/>
          <w:sz w:val="24"/>
          <w:szCs w:val="24"/>
          <w:lang w:eastAsia="zh-CN"/>
        </w:rPr>
        <w:t>及各区、县（市）</w:t>
      </w:r>
      <w:r>
        <w:rPr>
          <w:rFonts w:hint="eastAsia" w:asciiTheme="minorEastAsia" w:hAnsiTheme="minorEastAsia" w:eastAsiaTheme="minorEastAsia" w:cstheme="minorEastAsia"/>
          <w:sz w:val="24"/>
          <w:szCs w:val="24"/>
        </w:rPr>
        <w:t>政府采购项目投诉材料可寄送至浙江省政府采购行政裁决服务中心（杭州），地址：</w:t>
      </w:r>
      <w:r>
        <w:rPr>
          <w:rFonts w:hint="eastAsia" w:asciiTheme="minorEastAsia" w:hAnsiTheme="minorEastAsia" w:eastAsiaTheme="minorEastAsia" w:cstheme="minorEastAsia"/>
          <w:sz w:val="24"/>
          <w:szCs w:val="24"/>
          <w:lang w:eastAsia="zh-CN"/>
        </w:rPr>
        <w:t>杭州市上城区清泰街549号城建综合大楼11楼</w:t>
      </w:r>
      <w:r>
        <w:rPr>
          <w:rFonts w:hint="eastAsia" w:asciiTheme="minorEastAsia" w:hAnsiTheme="minorEastAsia" w:eastAsiaTheme="minorEastAsia" w:cstheme="minorEastAsia"/>
          <w:sz w:val="24"/>
          <w:szCs w:val="24"/>
        </w:rPr>
        <w:t>（快递仅限ems或顺丰）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收件人：朱女士，电话：</w:t>
      </w:r>
      <w:r>
        <w:rPr>
          <w:rFonts w:hint="eastAsia" w:asciiTheme="minorEastAsia" w:hAnsiTheme="minorEastAsia" w:eastAsiaTheme="minorEastAsia" w:cstheme="minorEastAsia"/>
          <w:sz w:val="24"/>
          <w:szCs w:val="24"/>
          <w:lang w:val="en-US" w:eastAsia="zh-CN"/>
        </w:rPr>
        <w:t>0571-87800218</w:t>
      </w:r>
    </w:p>
    <w:p w14:paraId="502187F4">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4.5补偿救济</w:t>
      </w:r>
    </w:p>
    <w:p w14:paraId="0FB59288">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采购人因政策变化、规划调整而不履行政府采购合同的，供应商可依据《杭州市涉企补偿救济实施办法（试行）》向采购人提起补偿申请。</w:t>
      </w:r>
    </w:p>
    <w:p w14:paraId="0E07424E">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投诉书范本及制作说明详见附件3。</w:t>
      </w:r>
    </w:p>
    <w:p w14:paraId="1A46184A">
      <w:pPr>
        <w:bidi w:val="0"/>
      </w:pPr>
    </w:p>
    <w:p w14:paraId="2166FB32">
      <w:pPr>
        <w:adjustRightInd/>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0E5514A0">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招标文件的构成</w:t>
      </w:r>
    </w:p>
    <w:p w14:paraId="51B231A2">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5.1招标文件包括下列文件及附件：</w:t>
      </w:r>
    </w:p>
    <w:p w14:paraId="083535C4">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5FCFBB1D">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25AFBDBD">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3E70879">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4D84AC2A">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3AEB9335">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7F1048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5B99D9F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6.招标文件的澄清、修改</w:t>
      </w:r>
    </w:p>
    <w:p w14:paraId="75DEA356">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5A29DBC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6.2</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D5C1855">
      <w:pPr>
        <w:bidi w:val="0"/>
        <w:rPr>
          <w:rFonts w:hint="eastAsia"/>
          <w:lang w:val="en-US" w:eastAsia="zh-CN"/>
        </w:rPr>
      </w:pPr>
    </w:p>
    <w:p w14:paraId="1A342BB4">
      <w:pPr>
        <w:adjustRightInd/>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三、投标</w:t>
      </w:r>
    </w:p>
    <w:p w14:paraId="621D0F3C">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7.招标文件的获取</w:t>
      </w:r>
    </w:p>
    <w:p w14:paraId="10FD1398">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76D34019">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6B805AC1">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01457CBE">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50483C0D">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539A06BA">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10.投标文件的语言</w:t>
      </w:r>
    </w:p>
    <w:p w14:paraId="25990691">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0832DECA">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11.投标文件的组成</w:t>
      </w:r>
    </w:p>
    <w:p w14:paraId="3DFA326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6972B63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A71646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8" w:name="_Hlk101259339"/>
      <w:r>
        <w:rPr>
          <w:rFonts w:hint="eastAsia" w:ascii="宋体" w:hAnsi="宋体" w:cs="宋体"/>
          <w:snapToGrid w:val="0"/>
          <w:color w:val="auto"/>
          <w:kern w:val="28"/>
          <w:sz w:val="24"/>
          <w:szCs w:val="20"/>
          <w:highlight w:val="none"/>
        </w:rPr>
        <w:t>联合协议</w:t>
      </w:r>
      <w:bookmarkEnd w:id="18"/>
      <w:r>
        <w:rPr>
          <w:rFonts w:hint="eastAsia" w:ascii="宋体" w:hAnsi="宋体" w:cs="宋体"/>
          <w:snapToGrid w:val="0"/>
          <w:color w:val="auto"/>
          <w:kern w:val="28"/>
          <w:sz w:val="24"/>
          <w:szCs w:val="20"/>
          <w:highlight w:val="none"/>
        </w:rPr>
        <w:t>（如果有)；</w:t>
      </w:r>
    </w:p>
    <w:p w14:paraId="0A119AB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0C79F6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59A1382">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450B20B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p>
    <w:p w14:paraId="48D9CFB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14057AB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9A506C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608CBD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5EC651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D1A73C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2F9CA334">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5E8936F">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p>
    <w:p w14:paraId="6D654E58">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65CAC2E4">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11.3.2关于符合本国产品标准的声明函或财政部会同有关部门规定的有关证明文件（如果有）；</w:t>
      </w:r>
    </w:p>
    <w:p w14:paraId="18441A90">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ascii="宋体" w:hAnsi="宋体" w:cs="宋体"/>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cs="宋体"/>
          <w:b w:val="0"/>
          <w:bCs w:val="0"/>
          <w:color w:val="auto"/>
          <w:sz w:val="24"/>
          <w:szCs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（如果有）</w:t>
      </w:r>
    </w:p>
    <w:p w14:paraId="6D4B507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5039438">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57D1DF6C">
      <w:pPr>
        <w:spacing w:line="360" w:lineRule="auto"/>
        <w:ind w:firstLine="480" w:firstLineChars="2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1CF85B19">
      <w:pPr>
        <w:pStyle w:val="132"/>
        <w:snapToGrid w:val="0"/>
        <w:spacing w:before="0" w:line="360" w:lineRule="auto"/>
        <w:ind w:firstLine="0" w:firstLineChars="0"/>
        <w:outlineLvl w:val="9"/>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w:t>
      </w:r>
      <w:r>
        <w:rPr>
          <w:rFonts w:hint="eastAsia" w:ascii="宋体" w:hAnsi="宋体" w:cs="宋体"/>
          <w:b/>
          <w:color w:val="auto"/>
          <w:szCs w:val="24"/>
          <w:highlight w:val="none"/>
        </w:rPr>
        <w:t>投标文件的编制</w:t>
      </w:r>
    </w:p>
    <w:p w14:paraId="590BE5DF">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9BF6852">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586101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722CDA8E">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49A6BE3">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98E7D21">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17E00402">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77BB714E">
      <w:pPr>
        <w:pStyle w:val="132"/>
        <w:spacing w:before="0" w:line="360" w:lineRule="auto"/>
        <w:ind w:firstLine="0" w:firstLineChars="0"/>
        <w:rPr>
          <w:rFonts w:ascii="宋体" w:hAnsi="宋体" w:cs="宋体"/>
          <w:b/>
          <w:color w:val="auto"/>
          <w:szCs w:val="24"/>
          <w:highlight w:val="none"/>
        </w:rPr>
      </w:pPr>
      <w:r>
        <w:rPr>
          <w:rFonts w:hint="eastAsia" w:ascii="宋体" w:hAnsi="宋体" w:cs="宋体"/>
          <w:b/>
          <w:color w:val="auto"/>
          <w:szCs w:val="24"/>
          <w:highlight w:val="none"/>
        </w:rPr>
        <w:t>14.投标文件的提交、补充、修改、撤回</w:t>
      </w:r>
    </w:p>
    <w:p w14:paraId="15E12D16">
      <w:pPr>
        <w:pStyle w:val="132"/>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ascii="宋体" w:hAnsi="宋体" w:cs="宋体"/>
          <w:color w:val="auto"/>
          <w:szCs w:val="24"/>
          <w:highlight w:val="none"/>
        </w:rPr>
      </w:pPr>
      <w:r>
        <w:rPr>
          <w:rFonts w:hint="eastAsia" w:ascii="宋体" w:hAnsi="宋体" w:cs="宋体"/>
          <w:color w:val="auto"/>
          <w:szCs w:val="24"/>
          <w:highlight w:val="none"/>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0790C1E">
      <w:pPr>
        <w:pStyle w:val="132"/>
        <w:spacing w:before="0" w:line="360" w:lineRule="auto"/>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69BB6C1E">
      <w:pPr>
        <w:pStyle w:val="132"/>
        <w:spacing w:before="0" w:line="360" w:lineRule="auto"/>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2182CFDF">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7CADA3D2">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3F08903A">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70F30E1">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2929A5FE">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4B98E7DA">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w:t>
      </w:r>
      <w:r>
        <w:rPr>
          <w:rFonts w:hint="eastAsia" w:hAnsi="宋体" w:cs="宋体"/>
          <w:b/>
          <w:color w:val="auto"/>
          <w:w w:val="90"/>
          <w:sz w:val="24"/>
          <w:szCs w:val="24"/>
          <w:highlight w:val="none"/>
        </w:rPr>
        <w:t>投标人仅提交备份投标文件，未在电子交易平台传输递交投标文件的，投标无效。</w:t>
      </w:r>
    </w:p>
    <w:p w14:paraId="1DAC744B">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60AE697D">
      <w:pPr>
        <w:pStyle w:val="25"/>
        <w:spacing w:line="360" w:lineRule="auto"/>
        <w:ind w:firstLine="360" w:firstLineChars="150"/>
        <w:rPr>
          <w:rFonts w:hint="eastAsia" w:eastAsia="宋体" w:cs="宋体"/>
          <w:color w:val="auto"/>
          <w:szCs w:val="21"/>
          <w:highlight w:val="none"/>
          <w:lang w:eastAsia="zh-CN"/>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r>
        <w:rPr>
          <w:rFonts w:hint="eastAsia" w:cs="宋体"/>
          <w:color w:val="auto"/>
          <w:szCs w:val="21"/>
          <w:highlight w:val="none"/>
          <w:lang w:eastAsia="zh-CN"/>
        </w:rPr>
        <w:t>。</w:t>
      </w:r>
    </w:p>
    <w:p w14:paraId="7EAFBB96">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6196F12D">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6BC8744B">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5857D3DB">
      <w:pPr>
        <w:pStyle w:val="132"/>
        <w:spacing w:before="0"/>
        <w:ind w:firstLine="480"/>
        <w:rPr>
          <w:rFonts w:hint="eastAsia"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677A4123">
      <w:pPr>
        <w:rPr>
          <w:rFonts w:hint="eastAsia" w:ascii="宋体" w:hAnsi="宋体" w:cs="宋体"/>
          <w:color w:val="auto"/>
          <w:highlight w:val="none"/>
        </w:rPr>
      </w:pPr>
      <w:r>
        <w:rPr>
          <w:rFonts w:hint="eastAsia" w:ascii="宋体" w:hAnsi="宋体" w:cs="宋体"/>
          <w:color w:val="auto"/>
          <w:highlight w:val="none"/>
        </w:rPr>
        <w:br w:type="page"/>
      </w:r>
    </w:p>
    <w:p w14:paraId="4BF0E38B">
      <w:pPr>
        <w:adjustRightInd/>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四、开标、资格审查与信用信息查询</w:t>
      </w:r>
    </w:p>
    <w:p w14:paraId="7087FAF1">
      <w:pPr>
        <w:pStyle w:val="557"/>
        <w:spacing w:before="0" w:line="360" w:lineRule="auto"/>
        <w:ind w:left="0" w:leftChars="0" w:firstLine="0" w:firstLineChars="0"/>
        <w:contextualSpacing/>
        <w:rPr>
          <w:rFonts w:ascii="宋体" w:hAnsi="宋体" w:cs="宋体"/>
          <w:color w:val="auto"/>
          <w:sz w:val="24"/>
          <w:highlight w:val="none"/>
        </w:rPr>
      </w:pPr>
      <w:r>
        <w:rPr>
          <w:rFonts w:hint="eastAsia" w:ascii="宋体" w:hAnsi="宋体" w:cs="宋体"/>
          <w:b/>
          <w:color w:val="auto"/>
          <w:sz w:val="24"/>
          <w:szCs w:val="24"/>
          <w:highlight w:val="none"/>
        </w:rPr>
        <w:t>18.开标</w:t>
      </w:r>
    </w:p>
    <w:p w14:paraId="0D414DCF">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15B46488">
      <w:pPr>
        <w:pStyle w:val="557"/>
        <w:spacing w:before="0" w:line="360" w:lineRule="auto"/>
        <w:ind w:left="0" w:leftChars="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1D4A4441">
      <w:pPr>
        <w:pStyle w:val="557"/>
        <w:spacing w:before="0" w:line="360" w:lineRule="auto"/>
        <w:ind w:left="0" w:leftChars="0" w:firstLine="480" w:firstLineChars="200"/>
        <w:contextualSpacing/>
        <w:rPr>
          <w:rFonts w:hint="eastAsia" w:ascii="宋体" w:hAnsi="宋体" w:cs="宋体"/>
          <w:b/>
          <w:color w:val="auto"/>
          <w:sz w:val="24"/>
          <w:highlight w:val="none"/>
        </w:rPr>
      </w:pPr>
      <w:r>
        <w:rPr>
          <w:rFonts w:hint="eastAsia" w:ascii="宋体" w:hAnsi="宋体" w:cs="宋体"/>
          <w:color w:val="auto"/>
          <w:sz w:val="24"/>
          <w:highlight w:val="none"/>
        </w:rPr>
        <w:t>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6A3B272C">
      <w:pPr>
        <w:pStyle w:val="557"/>
        <w:spacing w:before="0" w:line="360" w:lineRule="auto"/>
        <w:ind w:left="0" w:firstLine="482" w:firstLineChars="200"/>
        <w:contextualSpacing/>
        <w:rPr>
          <w:rFonts w:hint="eastAsia" w:ascii="宋体" w:hAnsi="宋体" w:cs="宋体"/>
          <w:b/>
          <w:color w:val="auto"/>
          <w:sz w:val="24"/>
          <w:highlight w:val="none"/>
        </w:rPr>
      </w:pPr>
      <w:r>
        <w:rPr>
          <w:rFonts w:hint="eastAsia" w:ascii="宋体" w:hAnsi="宋体" w:cs="宋体"/>
          <w:b/>
          <w:sz w:val="24"/>
          <w:highlight w:val="none"/>
          <w:lang w:val="en-US" w:eastAsia="zh-CN"/>
        </w:rPr>
        <w:t>18.4开标记录开启后，请将附件10《政府采购活动现场确认声明书》填写完整发送至邮箱：3169291718@qq.com。</w:t>
      </w:r>
    </w:p>
    <w:p w14:paraId="68F09628">
      <w:pPr>
        <w:pStyle w:val="132"/>
        <w:spacing w:before="0"/>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19</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资格审查</w:t>
      </w:r>
    </w:p>
    <w:p w14:paraId="0C45356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采购人依据法律法规和招标文件的规定，对投标人的资格进行审查。</w:t>
      </w:r>
    </w:p>
    <w:p w14:paraId="54B7BFAF">
      <w:pPr>
        <w:pStyle w:val="132"/>
        <w:spacing w:before="0" w:line="360" w:lineRule="auto"/>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3E3D159E">
      <w:pPr>
        <w:pStyle w:val="132"/>
        <w:spacing w:before="0" w:line="360" w:lineRule="auto"/>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6042440">
      <w:pPr>
        <w:pStyle w:val="132"/>
        <w:adjustRightInd w:val="0"/>
        <w:snapToGrid w:val="0"/>
        <w:spacing w:before="0" w:line="360" w:lineRule="auto"/>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67A746F5">
      <w:pPr>
        <w:pStyle w:val="132"/>
        <w:spacing w:before="0"/>
        <w:ind w:left="0" w:leftChars="0" w:firstLine="0" w:firstLineChars="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信用信息查询</w:t>
      </w:r>
    </w:p>
    <w:p w14:paraId="5F2C51A2">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将在资格审查时通过“信用中国”网站(www.creditchina.gov.cn)、中国政府采购网(www.ccgp.gov.cn)渠道查询投标人的信用记录。</w:t>
      </w:r>
    </w:p>
    <w:p w14:paraId="2B939E7A">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2BC2C007">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40A39404">
      <w:pPr>
        <w:pStyle w:val="132"/>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D204892">
      <w:r>
        <w:rPr>
          <w:rFonts w:hint="eastAsia" w:ascii="宋体" w:hAnsi="宋体" w:cs="宋体"/>
          <w:color w:val="auto"/>
          <w:highlight w:val="none"/>
        </w:rPr>
        <w:br w:type="page"/>
      </w:r>
    </w:p>
    <w:p w14:paraId="751B6747">
      <w:pPr>
        <w:adjustRightInd/>
        <w:spacing w:line="360" w:lineRule="auto"/>
        <w:ind w:firstLine="3845" w:firstLineChars="1197"/>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五、评标</w:t>
      </w:r>
    </w:p>
    <w:p w14:paraId="4958DE0E">
      <w:pPr>
        <w:spacing w:line="360" w:lineRule="auto"/>
        <w:rPr>
          <w:rFonts w:ascii="宋体" w:hAnsi="宋体" w:cs="宋体"/>
          <w:b/>
          <w:color w:val="auto"/>
          <w:sz w:val="24"/>
          <w:highlight w:val="none"/>
        </w:rPr>
      </w:pPr>
      <w:bookmarkStart w:id="19" w:name="_Toc91899903"/>
      <w:r>
        <w:rPr>
          <w:rFonts w:hint="eastAsia" w:ascii="宋体" w:hAnsi="宋体" w:cs="宋体"/>
          <w:b/>
          <w:color w:val="auto"/>
          <w:sz w:val="24"/>
          <w:highlight w:val="none"/>
        </w:rPr>
        <w:t>21.</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2DCC8584">
      <w:pPr>
        <w:bidi w:val="0"/>
      </w:pPr>
    </w:p>
    <w:p w14:paraId="09781E01">
      <w:pPr>
        <w:adjustRightInd/>
        <w:spacing w:line="360" w:lineRule="auto"/>
        <w:ind w:firstLine="3845" w:firstLineChars="1197"/>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六、定标</w:t>
      </w:r>
    </w:p>
    <w:p w14:paraId="5BB65644">
      <w:pPr>
        <w:pStyle w:val="25"/>
        <w:spacing w:line="360" w:lineRule="auto"/>
        <w:ind w:left="479" w:hanging="479" w:hangingChars="199"/>
        <w:rPr>
          <w:rFonts w:cs="宋体"/>
          <w:b/>
          <w:color w:val="auto"/>
          <w:highlight w:val="none"/>
        </w:rPr>
      </w:pPr>
      <w:r>
        <w:rPr>
          <w:rFonts w:hint="eastAsia" w:cs="宋体"/>
          <w:b/>
          <w:color w:val="auto"/>
          <w:highlight w:val="none"/>
        </w:rPr>
        <w:t>22.确定中标供应商</w:t>
      </w:r>
    </w:p>
    <w:p w14:paraId="5F38A8FE">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656A9A5F">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23.中标通知与中标结果公告</w:t>
      </w:r>
    </w:p>
    <w:p w14:paraId="66236296">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23.1自中标人确定之日起2个工作日内，</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通过电子交易平台向中标人发出中标通知书，同时编制发布采购结果公告。</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也可以以纸质形式进行中标通知。</w:t>
      </w:r>
    </w:p>
    <w:p w14:paraId="1F2374BC">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23.2中标结果公告内容包括采购人及其委托的</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02E6CC3E">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23.3公告期限为1个工作日。</w:t>
      </w:r>
    </w:p>
    <w:p w14:paraId="453CC555">
      <w:pPr>
        <w:pStyle w:val="132"/>
        <w:adjustRightInd w:val="0"/>
        <w:snapToGrid w:val="0"/>
        <w:spacing w:before="0"/>
        <w:ind w:firstLine="480" w:firstLineChars="200"/>
        <w:rPr>
          <w:rFonts w:hint="eastAsia" w:ascii="宋体" w:hAnsi="宋体" w:cs="宋体"/>
          <w:bCs/>
          <w:color w:val="auto"/>
          <w:szCs w:val="24"/>
          <w:highlight w:val="none"/>
        </w:rPr>
      </w:pPr>
      <w:r>
        <w:rPr>
          <w:rFonts w:hint="eastAsia" w:ascii="宋体" w:hAnsi="宋体" w:cs="宋体"/>
          <w:b w:val="0"/>
          <w:bCs/>
          <w:color w:val="auto"/>
          <w:szCs w:val="24"/>
          <w:highlight w:val="none"/>
        </w:rPr>
        <w:t>2</w:t>
      </w:r>
      <w:r>
        <w:rPr>
          <w:rFonts w:hint="eastAsia" w:ascii="宋体" w:hAnsi="宋体" w:cs="宋体"/>
          <w:b w:val="0"/>
          <w:bCs/>
          <w:color w:val="auto"/>
          <w:szCs w:val="24"/>
          <w:highlight w:val="none"/>
          <w:lang w:eastAsia="zh-CN"/>
        </w:rPr>
        <w:t>3</w:t>
      </w:r>
      <w:r>
        <w:rPr>
          <w:rFonts w:hint="eastAsia" w:ascii="宋体" w:hAnsi="宋体" w:cs="宋体"/>
          <w:b w:val="0"/>
          <w:bCs/>
          <w:color w:val="auto"/>
          <w:szCs w:val="24"/>
          <w:highlight w:val="none"/>
          <w:lang w:val="en-US" w:eastAsia="zh-CN"/>
        </w:rPr>
        <w:t>.4</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07C944CD">
      <w:pPr>
        <w:pStyle w:val="132"/>
        <w:adjustRightInd w:val="0"/>
        <w:snapToGrid w:val="0"/>
        <w:spacing w:before="0"/>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24.投标材料复核。在评审结束后、确认采购结果前，采购人或采购代理机构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p>
    <w:p w14:paraId="378F71B7">
      <w:pPr>
        <w:rPr>
          <w:rFonts w:hint="eastAsia" w:ascii="宋体" w:hAnsi="宋体" w:cs="宋体"/>
          <w:bCs/>
          <w:color w:val="auto"/>
          <w:szCs w:val="24"/>
          <w:highlight w:val="none"/>
        </w:rPr>
      </w:pPr>
      <w:r>
        <w:rPr>
          <w:rFonts w:hint="eastAsia" w:ascii="宋体" w:hAnsi="宋体" w:cs="宋体"/>
          <w:bCs/>
          <w:color w:val="auto"/>
          <w:szCs w:val="24"/>
          <w:highlight w:val="none"/>
        </w:rPr>
        <w:br w:type="page"/>
      </w:r>
    </w:p>
    <w:p w14:paraId="79A28DBD">
      <w:pPr>
        <w:adjustRightInd/>
        <w:spacing w:line="360" w:lineRule="auto"/>
        <w:ind w:firstLine="3845" w:firstLineChars="1197"/>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七、合同授予</w:t>
      </w:r>
    </w:p>
    <w:p w14:paraId="4C92881D">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w:t>
      </w:r>
      <w:r>
        <w:rPr>
          <w:rFonts w:hint="eastAsia" w:cs="宋体"/>
          <w:color w:val="auto"/>
          <w:highlight w:val="none"/>
        </w:rPr>
        <w:t>合同主要条款详见第五部分拟签订的合同文本。</w:t>
      </w:r>
    </w:p>
    <w:p w14:paraId="6A537AEC">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.合同的签订</w:t>
      </w:r>
    </w:p>
    <w:p w14:paraId="28F4E346">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CCD60BF">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010B193A">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71D1D763">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60781F17">
      <w:pPr>
        <w:pStyle w:val="132"/>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1360CC5E">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.履约保证金</w:t>
      </w:r>
    </w:p>
    <w:p w14:paraId="44739D26">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EF501FF">
      <w:pPr>
        <w:tabs>
          <w:tab w:val="left" w:pos="432"/>
        </w:tabs>
        <w:spacing w:line="360" w:lineRule="auto"/>
        <w:ind w:left="0" w:firstLine="480" w:firstLineChars="200"/>
        <w:outlineLvl w:val="9"/>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2789CDCF">
      <w:pPr>
        <w:tabs>
          <w:tab w:val="left" w:pos="432"/>
        </w:tabs>
        <w:spacing w:line="360" w:lineRule="auto"/>
        <w:outlineLvl w:val="9"/>
        <w:rPr>
          <w:color w:val="auto"/>
          <w:highlight w:val="none"/>
        </w:rPr>
      </w:pPr>
      <w:r>
        <w:rPr>
          <w:rFonts w:ascii="宋体" w:hAnsi="宋体" w:eastAsia="宋体" w:cs="Times New Roman"/>
          <w:b/>
          <w:bCs/>
          <w:color w:val="auto"/>
          <w:kern w:val="2"/>
          <w:sz w:val="24"/>
          <w:szCs w:val="32"/>
          <w:highlight w:val="none"/>
          <w:lang w:val="en-US"/>
        </w:rPr>
        <w:t>2</w:t>
      </w:r>
      <w:r>
        <w:rPr>
          <w:rFonts w:hint="eastAsia" w:ascii="宋体" w:hAnsi="宋体" w:cs="Times New Roman"/>
          <w:b/>
          <w:bCs/>
          <w:color w:val="auto"/>
          <w:kern w:val="2"/>
          <w:sz w:val="24"/>
          <w:szCs w:val="32"/>
          <w:highlight w:val="none"/>
          <w:lang w:val="en-US" w:eastAsia="zh-CN"/>
        </w:rPr>
        <w:t>8</w:t>
      </w:r>
      <w:r>
        <w:rPr>
          <w:rFonts w:ascii="宋体" w:hAnsi="宋体" w:eastAsia="宋体" w:cs="Times New Roman"/>
          <w:b/>
          <w:bCs/>
          <w:color w:val="auto"/>
          <w:kern w:val="2"/>
          <w:sz w:val="24"/>
          <w:szCs w:val="32"/>
          <w:highlight w:val="none"/>
          <w:lang w:val="en-US"/>
        </w:rPr>
        <w:t>.预付款</w:t>
      </w:r>
    </w:p>
    <w:p w14:paraId="2CBF7FA1">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4E294928">
      <w:pPr>
        <w:bidi w:val="0"/>
      </w:pPr>
    </w:p>
    <w:p w14:paraId="68B7B705">
      <w:pPr>
        <w:adjustRightInd/>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八、电子交易活动的中止</w:t>
      </w:r>
    </w:p>
    <w:p w14:paraId="2058F0E9">
      <w:pPr>
        <w:pStyle w:val="132"/>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hint="eastAsia" w:ascii="宋体" w:hAnsi="宋体" w:cs="宋体"/>
          <w:b/>
          <w:bCs/>
          <w:color w:val="auto"/>
          <w:kern w:val="2"/>
          <w:sz w:val="24"/>
          <w:szCs w:val="24"/>
          <w:highlight w:val="none"/>
          <w:lang w:val="en-US" w:eastAsia="zh-CN"/>
        </w:rPr>
        <w:t>9</w:t>
      </w:r>
      <w:r>
        <w:rPr>
          <w:rFonts w:hint="eastAsia" w:ascii="宋体" w:hAnsi="宋体" w:cs="宋体"/>
          <w:b/>
          <w:color w:val="auto"/>
          <w:szCs w:val="24"/>
          <w:highlight w:val="none"/>
        </w:rPr>
        <w:t>.电子交易活动的中止。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288A682B">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5712565A">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2E15E80C">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501B6D6">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7F3AF9E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3446646D">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461EE8B7">
      <w:pPr>
        <w:bidi w:val="0"/>
      </w:pPr>
    </w:p>
    <w:p w14:paraId="25424B20">
      <w:pPr>
        <w:adjustRightInd/>
        <w:spacing w:line="360" w:lineRule="auto"/>
        <w:ind w:firstLine="3845" w:firstLineChars="1197"/>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九、验收</w:t>
      </w:r>
    </w:p>
    <w:p w14:paraId="68241CC0">
      <w:pPr>
        <w:pStyle w:val="25"/>
        <w:spacing w:line="360" w:lineRule="auto"/>
        <w:ind w:firstLine="0" w:firstLineChars="0"/>
        <w:rPr>
          <w:rFonts w:cs="宋体"/>
          <w:b/>
          <w:color w:val="auto"/>
          <w:highlight w:val="none"/>
        </w:rPr>
      </w:pPr>
      <w:r>
        <w:rPr>
          <w:rFonts w:hint="eastAsia" w:cs="宋体"/>
          <w:b/>
          <w:color w:val="auto"/>
          <w:highlight w:val="none"/>
        </w:rPr>
        <w:t>3</w:t>
      </w:r>
      <w:r>
        <w:rPr>
          <w:rFonts w:hint="eastAsia" w:cs="宋体"/>
          <w:b/>
          <w:color w:val="auto"/>
          <w:highlight w:val="none"/>
          <w:lang w:val="en-US" w:eastAsia="zh-CN"/>
        </w:rPr>
        <w:t>1</w:t>
      </w:r>
      <w:r>
        <w:rPr>
          <w:rFonts w:hint="eastAsia" w:cs="宋体"/>
          <w:b/>
          <w:color w:val="auto"/>
          <w:highlight w:val="none"/>
        </w:rPr>
        <w:t>.验收</w:t>
      </w:r>
    </w:p>
    <w:p w14:paraId="3B953EAF">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A1CC63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73F934DA">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6924D6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9"/>
      <w:bookmarkStart w:id="20" w:name="_Hlt74707468"/>
      <w:bookmarkEnd w:id="20"/>
      <w:bookmarkStart w:id="21" w:name="_Hlt74729768"/>
      <w:bookmarkEnd w:id="21"/>
      <w:bookmarkStart w:id="22" w:name="_Hlt74714665"/>
      <w:bookmarkEnd w:id="22"/>
      <w:bookmarkStart w:id="23" w:name="_Hlt68072990"/>
      <w:bookmarkEnd w:id="23"/>
      <w:bookmarkStart w:id="24" w:name="_Hlt68073093"/>
      <w:bookmarkEnd w:id="24"/>
      <w:bookmarkStart w:id="25" w:name="_Hlt68057669"/>
      <w:bookmarkEnd w:id="25"/>
      <w:bookmarkStart w:id="26" w:name="_Hlt75236011"/>
      <w:bookmarkEnd w:id="26"/>
      <w:bookmarkStart w:id="27" w:name="_Hlt68403820"/>
      <w:bookmarkEnd w:id="27"/>
      <w:bookmarkStart w:id="28" w:name="_Hlt74730295"/>
      <w:bookmarkEnd w:id="28"/>
      <w:bookmarkStart w:id="29" w:name="_Hlt75236101"/>
      <w:bookmarkEnd w:id="29"/>
      <w:bookmarkStart w:id="30" w:name="_Hlt75236290"/>
      <w:bookmarkEnd w:id="30"/>
      <w:bookmarkStart w:id="31" w:name="_Hlt68072998"/>
      <w:bookmarkEnd w:id="31"/>
    </w:p>
    <w:p w14:paraId="16A5F0C9">
      <w:pPr>
        <w:tabs>
          <w:tab w:val="left" w:pos="432"/>
        </w:tabs>
        <w:adjustRightInd w:val="0"/>
        <w:snapToGrid w:val="0"/>
        <w:spacing w:line="360" w:lineRule="auto"/>
        <w:ind w:left="0" w:firstLine="480" w:firstLineChars="200"/>
        <w:outlineLvl w:val="9"/>
        <w:rPr>
          <w:rFonts w:ascii="宋体" w:hAnsi="宋体" w:eastAsia="宋体" w:cs="宋体"/>
          <w:b w:val="0"/>
          <w:bCs w:val="0"/>
          <w:color w:val="auto"/>
          <w:kern w:val="0"/>
          <w:sz w:val="24"/>
          <w:szCs w:val="24"/>
          <w:highlight w:val="none"/>
          <w:lang w:val="en-US"/>
        </w:rPr>
      </w:pPr>
      <w:r>
        <w:rPr>
          <w:rFonts w:hint="eastAsia" w:ascii="宋体" w:hAnsi="宋体" w:cs="宋体"/>
          <w:b w:val="0"/>
          <w:bCs w:val="0"/>
          <w:color w:val="auto"/>
          <w:kern w:val="0"/>
          <w:sz w:val="24"/>
          <w:szCs w:val="24"/>
          <w:highlight w:val="none"/>
          <w:lang w:val="en-US" w:eastAsia="zh-CN"/>
        </w:rPr>
        <w:t>31</w:t>
      </w:r>
      <w:r>
        <w:rPr>
          <w:rFonts w:hint="eastAsia" w:ascii="宋体" w:hAnsi="宋体" w:eastAsia="宋体" w:cs="宋体"/>
          <w:b w:val="0"/>
          <w:bCs w:val="0"/>
          <w:color w:val="auto"/>
          <w:kern w:val="0"/>
          <w:sz w:val="24"/>
          <w:szCs w:val="24"/>
          <w:highlight w:val="none"/>
          <w:lang w:val="en-US"/>
        </w:rPr>
        <w:t>.5对于满足合同约定的采购资金支付条件的，供应商可通过政采云平台提起在线支付申请、查询支付结果，路径为政采云-我的工作台-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3F87AD7F">
      <w:pPr>
        <w:rPr>
          <w:color w:val="auto"/>
          <w:highlight w:val="none"/>
        </w:rPr>
      </w:pPr>
    </w:p>
    <w:p w14:paraId="0B9F8503">
      <w:pPr>
        <w:rPr>
          <w:color w:val="auto"/>
          <w:highlight w:val="none"/>
        </w:rPr>
      </w:pPr>
      <w:r>
        <w:rPr>
          <w:color w:val="auto"/>
          <w:highlight w:val="none"/>
        </w:rPr>
        <w:br w:type="page"/>
      </w:r>
    </w:p>
    <w:p w14:paraId="4E5B9077">
      <w:pPr>
        <w:spacing w:line="360" w:lineRule="auto"/>
        <w:jc w:val="center"/>
        <w:outlineLvl w:val="0"/>
        <w:rPr>
          <w:rFonts w:ascii="宋体" w:hAnsi="宋体" w:cs="宋体"/>
          <w:b/>
          <w:sz w:val="36"/>
          <w:szCs w:val="36"/>
          <w:highlight w:val="none"/>
          <w:shd w:val="clear" w:color="auto" w:fill="auto"/>
        </w:rPr>
      </w:pPr>
      <w:r>
        <w:rPr>
          <w:rFonts w:hint="eastAsia" w:ascii="宋体" w:hAnsi="宋体" w:cs="宋体"/>
          <w:b/>
          <w:sz w:val="36"/>
          <w:szCs w:val="36"/>
          <w:highlight w:val="none"/>
          <w:shd w:val="clear" w:color="auto" w:fill="auto"/>
        </w:rPr>
        <w:t>第三部分 采购需求</w:t>
      </w:r>
    </w:p>
    <w:p w14:paraId="0E28868C">
      <w:pPr>
        <w:pStyle w:val="23"/>
        <w:rPr>
          <w:rFonts w:hint="eastAsia"/>
          <w:lang w:eastAsia="zh-CN"/>
        </w:rPr>
      </w:pPr>
      <w:r>
        <w:rPr>
          <w:rFonts w:hint="eastAsia"/>
        </w:rPr>
        <w:t>“▲” 系指实质性要求条款</w:t>
      </w:r>
      <w:r>
        <w:rPr>
          <w:rFonts w:hint="eastAsia"/>
          <w:lang w:eastAsia="zh-CN"/>
        </w:rPr>
        <w:t>，不满足或未响应招标文件的实质性要求的，投标无效。</w:t>
      </w:r>
      <w:bookmarkStart w:id="32" w:name="OLE_LINK83"/>
      <w:bookmarkStart w:id="33" w:name="OLE_LINK5"/>
    </w:p>
    <w:p w14:paraId="0F873646">
      <w:pPr>
        <w:keepNext w:val="0"/>
        <w:keepLines w:val="0"/>
        <w:pageBreakBefore w:val="0"/>
        <w:kinsoku/>
        <w:wordWrap/>
        <w:overflowPunct/>
        <w:topLinePunct w:val="0"/>
        <w:autoSpaceDE/>
        <w:autoSpaceDN/>
        <w:bidi w:val="0"/>
        <w:adjustRightInd w:val="0"/>
        <w:spacing w:line="360" w:lineRule="auto"/>
        <w:ind w:firstLine="482" w:firstLineChars="200"/>
        <w:textAlignment w:val="auto"/>
        <w:outlineLvl w:val="9"/>
        <w:rPr>
          <w:rFonts w:ascii="宋体" w:hAnsi="宋体" w:cs="宋体"/>
          <w:b/>
          <w:sz w:val="24"/>
        </w:rPr>
      </w:pPr>
      <w:r>
        <w:rPr>
          <w:rFonts w:hint="eastAsia" w:ascii="宋体" w:hAnsi="宋体" w:cs="宋体"/>
          <w:b/>
          <w:sz w:val="24"/>
        </w:rPr>
        <w:t>一、项目概况</w:t>
      </w:r>
    </w:p>
    <w:p w14:paraId="72F7A945">
      <w:pPr>
        <w:pStyle w:val="5"/>
        <w:keepNext w:val="0"/>
        <w:keepLines w:val="0"/>
        <w:pageBreakBefore w:val="0"/>
        <w:kinsoku/>
        <w:wordWrap/>
        <w:overflowPunct/>
        <w:topLinePunct w:val="0"/>
        <w:autoSpaceDE/>
        <w:autoSpaceDN/>
        <w:bidi w:val="0"/>
        <w:adjustRightInd w:val="0"/>
        <w:spacing w:line="360" w:lineRule="auto"/>
        <w:ind w:firstLine="480" w:firstLineChars="200"/>
        <w:textAlignment w:val="auto"/>
        <w:outlineLvl w:val="9"/>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auto"/>
          <w:sz w:val="24"/>
          <w:szCs w:val="24"/>
        </w:rPr>
        <w:t>1、</w:t>
      </w:r>
      <w:bookmarkStart w:id="34" w:name="OLE_LINK94"/>
      <w:r>
        <w:rPr>
          <w:rFonts w:hint="eastAsia" w:asciiTheme="minorEastAsia" w:hAnsiTheme="minorEastAsia" w:eastAsiaTheme="minorEastAsia" w:cstheme="minorEastAsia"/>
          <w:color w:val="auto"/>
          <w:sz w:val="24"/>
          <w:szCs w:val="24"/>
        </w:rPr>
        <w:t>采购内容：</w:t>
      </w:r>
      <w:bookmarkStart w:id="35" w:name="OLE_LINK4"/>
      <w:r>
        <w:rPr>
          <w:rFonts w:hint="eastAsia" w:asciiTheme="minorEastAsia" w:hAnsiTheme="minorEastAsia" w:eastAsiaTheme="minorEastAsia" w:cstheme="minorEastAsia"/>
          <w:color w:val="auto"/>
          <w:sz w:val="24"/>
          <w:szCs w:val="24"/>
        </w:rPr>
        <w:t>符合信息技术创新改造产品要求的便携式</w:t>
      </w:r>
      <w:r>
        <w:rPr>
          <w:rFonts w:asciiTheme="minorEastAsia" w:hAnsiTheme="minorEastAsia" w:eastAsiaTheme="minorEastAsia" w:cstheme="minorEastAsia"/>
          <w:color w:val="auto"/>
          <w:sz w:val="24"/>
          <w:szCs w:val="24"/>
        </w:rPr>
        <w:t>计算机</w:t>
      </w:r>
      <w:r>
        <w:rPr>
          <w:rFonts w:hint="eastAsia" w:asciiTheme="minorEastAsia" w:hAnsiTheme="minorEastAsia" w:eastAsiaTheme="minorEastAsia" w:cstheme="minorEastAsia"/>
          <w:color w:val="auto"/>
          <w:sz w:val="24"/>
          <w:szCs w:val="24"/>
          <w:lang w:val="en-US" w:eastAsia="zh-CN"/>
        </w:rPr>
        <w:t>54</w:t>
      </w:r>
      <w:r>
        <w:rPr>
          <w:rFonts w:hint="eastAsia" w:asciiTheme="minorEastAsia" w:hAnsiTheme="minorEastAsia" w:eastAsiaTheme="minorEastAsia" w:cstheme="minorEastAsia"/>
          <w:color w:val="auto"/>
          <w:sz w:val="24"/>
          <w:szCs w:val="24"/>
        </w:rPr>
        <w:t>台</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配</w:t>
      </w:r>
      <w:r>
        <w:rPr>
          <w:rFonts w:hint="eastAsia" w:asciiTheme="minorEastAsia" w:hAnsiTheme="minorEastAsia" w:eastAsiaTheme="minorEastAsia" w:cstheme="minorEastAsia"/>
          <w:sz w:val="24"/>
          <w:szCs w:val="24"/>
        </w:rPr>
        <w:t>套国产化操作系统</w:t>
      </w:r>
      <w:bookmarkEnd w:id="34"/>
      <w:bookmarkEnd w:id="35"/>
      <w:bookmarkStart w:id="36" w:name="OLE_LINK85"/>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Cs/>
          <w:sz w:val="24"/>
          <w:szCs w:val="24"/>
        </w:rPr>
        <w:t>具体包括安装、产品调试、验收与相关的操作培训及不少于3年（含）7×24小时免费设备保修和售后现场技术服务等内容。</w:t>
      </w:r>
    </w:p>
    <w:p w14:paraId="6E6B0C04">
      <w:pPr>
        <w:pStyle w:val="5"/>
        <w:keepNext w:val="0"/>
        <w:keepLines w:val="0"/>
        <w:pageBreakBefore w:val="0"/>
        <w:kinsoku/>
        <w:wordWrap/>
        <w:overflowPunct/>
        <w:topLinePunct w:val="0"/>
        <w:autoSpaceDE/>
        <w:autoSpaceDN/>
        <w:bidi w:val="0"/>
        <w:adjustRightInd w:val="0"/>
        <w:spacing w:line="360" w:lineRule="auto"/>
        <w:ind w:firstLine="480" w:firstLineChars="200"/>
        <w:textAlignment w:val="auto"/>
        <w:outlineLvl w:val="9"/>
        <w:rPr>
          <w:rFonts w:asciiTheme="minorEastAsia" w:hAnsiTheme="minorEastAsia" w:eastAsiaTheme="minorEastAsia" w:cstheme="minorEastAsia"/>
          <w:sz w:val="24"/>
          <w:szCs w:val="24"/>
        </w:rPr>
      </w:pPr>
      <w:bookmarkStart w:id="37" w:name="OLE_LINK19"/>
      <w:r>
        <w:rPr>
          <w:rFonts w:hint="eastAsia" w:asciiTheme="minorEastAsia" w:hAnsiTheme="minorEastAsia" w:eastAsiaTheme="minorEastAsia" w:cstheme="minorEastAsia"/>
          <w:sz w:val="24"/>
          <w:szCs w:val="24"/>
        </w:rPr>
        <w:t>2、本采购项目为交钥匙项目，包括设备费、材料费、安装调试费、运输费、税收、售</w:t>
      </w:r>
      <w:bookmarkEnd w:id="36"/>
      <w:r>
        <w:rPr>
          <w:rFonts w:hint="eastAsia" w:asciiTheme="minorEastAsia" w:hAnsiTheme="minorEastAsia" w:eastAsiaTheme="minorEastAsia" w:cstheme="minorEastAsia"/>
          <w:sz w:val="24"/>
          <w:szCs w:val="24"/>
        </w:rPr>
        <w:t>后服务、采购需求中未提到但在实际采购和</w:t>
      </w:r>
      <w:bookmarkEnd w:id="37"/>
      <w:r>
        <w:rPr>
          <w:rFonts w:hint="eastAsia" w:asciiTheme="minorEastAsia" w:hAnsiTheme="minorEastAsia" w:eastAsiaTheme="minorEastAsia" w:cstheme="minorEastAsia"/>
          <w:sz w:val="24"/>
          <w:szCs w:val="24"/>
        </w:rPr>
        <w:t>安装过程中需要配置的各种设备、材料及其他费用等须由投标人支付的所有费用。</w:t>
      </w:r>
    </w:p>
    <w:p w14:paraId="6CD984BB">
      <w:pPr>
        <w:pStyle w:val="5"/>
        <w:keepNext w:val="0"/>
        <w:keepLines w:val="0"/>
        <w:pageBreakBefore w:val="0"/>
        <w:kinsoku/>
        <w:wordWrap/>
        <w:overflowPunct/>
        <w:topLinePunct w:val="0"/>
        <w:autoSpaceDE/>
        <w:autoSpaceDN/>
        <w:bidi w:val="0"/>
        <w:adjustRightInd w:val="0"/>
        <w:spacing w:line="360" w:lineRule="auto"/>
        <w:ind w:firstLine="482" w:firstLineChars="200"/>
        <w:textAlignment w:val="auto"/>
        <w:outlineLvl w:val="9"/>
        <w:rPr>
          <w:rFonts w:asciiTheme="minorEastAsia" w:hAnsiTheme="minorEastAsia" w:eastAsiaTheme="minorEastAsia" w:cstheme="minorEastAsia"/>
          <w:b/>
          <w:bCs/>
          <w:snapToGrid/>
          <w:color w:val="auto"/>
          <w:kern w:val="2"/>
          <w:sz w:val="24"/>
          <w:szCs w:val="24"/>
          <w:lang w:val="zh-TW"/>
        </w:rPr>
      </w:pPr>
      <w:bookmarkStart w:id="38" w:name="OLE_LINK20"/>
      <w:bookmarkStart w:id="39" w:name="OLE_LINK22"/>
      <w:r>
        <w:rPr>
          <w:rFonts w:hint="eastAsia" w:asciiTheme="minorEastAsia" w:hAnsiTheme="minorEastAsia" w:eastAsiaTheme="minorEastAsia" w:cstheme="minorEastAsia"/>
          <w:b/>
          <w:bCs/>
          <w:snapToGrid/>
          <w:color w:val="auto"/>
          <w:kern w:val="2"/>
          <w:sz w:val="24"/>
          <w:szCs w:val="24"/>
        </w:rPr>
        <w:t>3、</w:t>
      </w:r>
      <w:r>
        <w:rPr>
          <w:rFonts w:hint="eastAsia" w:asciiTheme="minorEastAsia" w:hAnsiTheme="minorEastAsia" w:eastAsiaTheme="minorEastAsia" w:cstheme="minorEastAsia"/>
          <w:b/>
          <w:bCs/>
          <w:snapToGrid/>
          <w:color w:val="auto"/>
          <w:kern w:val="2"/>
          <w:sz w:val="24"/>
          <w:szCs w:val="24"/>
          <w:lang w:val="zh-TW"/>
        </w:rPr>
        <w:t>▲承诺提供3年操作系统</w:t>
      </w:r>
      <w:r>
        <w:rPr>
          <w:rFonts w:hint="eastAsia" w:asciiTheme="minorEastAsia" w:hAnsiTheme="minorEastAsia" w:eastAsiaTheme="minorEastAsia" w:cstheme="minorEastAsia"/>
          <w:b/>
          <w:bCs/>
          <w:snapToGrid/>
          <w:color w:val="auto"/>
          <w:kern w:val="2"/>
          <w:sz w:val="24"/>
          <w:szCs w:val="24"/>
        </w:rPr>
        <w:t>的</w:t>
      </w:r>
      <w:r>
        <w:rPr>
          <w:rFonts w:hint="eastAsia" w:asciiTheme="minorEastAsia" w:hAnsiTheme="minorEastAsia" w:eastAsiaTheme="minorEastAsia" w:cstheme="minorEastAsia"/>
          <w:b/>
          <w:bCs/>
          <w:snapToGrid/>
          <w:color w:val="auto"/>
          <w:kern w:val="2"/>
          <w:sz w:val="24"/>
          <w:szCs w:val="24"/>
          <w:lang w:val="zh-TW"/>
        </w:rPr>
        <w:t>技术支持、运维、升级、软件适配及上门服务（需在商务技术文件中提供相应承诺，否则投标无效</w:t>
      </w:r>
      <w:r>
        <w:rPr>
          <w:rFonts w:hint="eastAsia" w:asciiTheme="minorEastAsia" w:hAnsiTheme="minorEastAsia" w:eastAsiaTheme="minorEastAsia" w:cstheme="minorEastAsia"/>
          <w:b/>
          <w:bCs/>
          <w:snapToGrid/>
          <w:color w:val="auto"/>
          <w:kern w:val="2"/>
          <w:sz w:val="24"/>
          <w:szCs w:val="24"/>
          <w:lang w:val="en-US" w:eastAsia="zh-CN"/>
        </w:rPr>
        <w:t xml:space="preserve"> </w:t>
      </w:r>
      <w:r>
        <w:rPr>
          <w:rFonts w:hint="eastAsia" w:asciiTheme="minorEastAsia" w:hAnsiTheme="minorEastAsia" w:eastAsiaTheme="minorEastAsia" w:cstheme="minorEastAsia"/>
          <w:b/>
          <w:bCs/>
          <w:snapToGrid/>
          <w:color w:val="auto"/>
          <w:kern w:val="2"/>
          <w:sz w:val="24"/>
          <w:szCs w:val="24"/>
          <w:lang w:val="zh-TW"/>
        </w:rPr>
        <w:t>）。</w:t>
      </w:r>
    </w:p>
    <w:p w14:paraId="4B50EE59">
      <w:pPr>
        <w:pStyle w:val="5"/>
        <w:keepNext w:val="0"/>
        <w:keepLines w:val="0"/>
        <w:pageBreakBefore w:val="0"/>
        <w:kinsoku/>
        <w:wordWrap/>
        <w:overflowPunct/>
        <w:topLinePunct w:val="0"/>
        <w:autoSpaceDE/>
        <w:autoSpaceDN/>
        <w:bidi w:val="0"/>
        <w:adjustRightInd w:val="0"/>
        <w:spacing w:line="360" w:lineRule="auto"/>
        <w:ind w:firstLine="482" w:firstLineChars="200"/>
        <w:textAlignment w:val="auto"/>
        <w:outlineLvl w:val="9"/>
        <w:rPr>
          <w:rFonts w:asciiTheme="minorEastAsia" w:hAnsiTheme="minorEastAsia" w:eastAsiaTheme="minorEastAsia" w:cstheme="minorEastAsia"/>
          <w:b/>
          <w:bCs/>
          <w:snapToGrid/>
          <w:color w:val="auto"/>
          <w:kern w:val="2"/>
          <w:sz w:val="24"/>
          <w:szCs w:val="24"/>
          <w:lang w:val="zh-TW"/>
        </w:rPr>
      </w:pPr>
      <w:r>
        <w:rPr>
          <w:rFonts w:hint="eastAsia" w:asciiTheme="minorEastAsia" w:hAnsiTheme="minorEastAsia" w:eastAsiaTheme="minorEastAsia" w:cstheme="minorEastAsia"/>
          <w:b/>
          <w:bCs/>
          <w:snapToGrid/>
          <w:color w:val="auto"/>
          <w:kern w:val="2"/>
          <w:sz w:val="24"/>
          <w:szCs w:val="24"/>
        </w:rPr>
        <w:t>4、</w:t>
      </w:r>
      <w:bookmarkStart w:id="40" w:name="OLE_LINK21"/>
      <w:r>
        <w:rPr>
          <w:rFonts w:hint="eastAsia" w:asciiTheme="minorEastAsia" w:hAnsiTheme="minorEastAsia" w:eastAsiaTheme="minorEastAsia" w:cstheme="minorEastAsia"/>
          <w:b/>
          <w:bCs/>
          <w:color w:val="auto"/>
          <w:sz w:val="24"/>
          <w:szCs w:val="24"/>
        </w:rPr>
        <w:t>▲承诺提供配套正版授权</w:t>
      </w:r>
      <w:bookmarkEnd w:id="40"/>
      <w:r>
        <w:rPr>
          <w:rFonts w:hint="eastAsia" w:asciiTheme="minorEastAsia" w:hAnsiTheme="minorEastAsia" w:eastAsiaTheme="minorEastAsia" w:cstheme="minorEastAsia"/>
          <w:b/>
          <w:bCs/>
          <w:color w:val="auto"/>
          <w:sz w:val="24"/>
          <w:szCs w:val="24"/>
        </w:rPr>
        <w:t>操作系统为永久激活版本，3年内更新至最新版本</w:t>
      </w:r>
      <w:r>
        <w:rPr>
          <w:rFonts w:hint="eastAsia" w:asciiTheme="minorEastAsia" w:hAnsiTheme="minorEastAsia" w:eastAsiaTheme="minorEastAsia" w:cstheme="minorEastAsia"/>
          <w:b/>
          <w:bCs/>
          <w:snapToGrid/>
          <w:color w:val="auto"/>
          <w:kern w:val="2"/>
          <w:sz w:val="24"/>
          <w:szCs w:val="24"/>
          <w:lang w:val="zh-TW"/>
        </w:rPr>
        <w:t>（需在商务技术文件中提供相应承诺，否则投标无效）。</w:t>
      </w:r>
    </w:p>
    <w:bookmarkEnd w:id="38"/>
    <w:bookmarkEnd w:id="39"/>
    <w:p w14:paraId="50BA1464">
      <w:pPr>
        <w:keepNext w:val="0"/>
        <w:keepLines w:val="0"/>
        <w:pageBreakBefore w:val="0"/>
        <w:kinsoku/>
        <w:wordWrap/>
        <w:overflowPunct/>
        <w:topLinePunct w:val="0"/>
        <w:autoSpaceDE/>
        <w:autoSpaceDN/>
        <w:bidi w:val="0"/>
        <w:adjustRightInd w:val="0"/>
        <w:spacing w:line="360" w:lineRule="auto"/>
        <w:ind w:firstLine="482" w:firstLineChars="200"/>
        <w:textAlignment w:val="auto"/>
        <w:outlineLvl w:val="9"/>
        <w:rPr>
          <w:rFonts w:ascii="宋体" w:hAnsi="宋体" w:cs="宋体"/>
          <w:b/>
          <w:sz w:val="24"/>
        </w:rPr>
      </w:pPr>
      <w:r>
        <w:rPr>
          <w:rFonts w:hint="eastAsia" w:ascii="宋体" w:hAnsi="宋体" w:cs="宋体"/>
          <w:b/>
          <w:sz w:val="24"/>
        </w:rPr>
        <w:t>二、参数要求</w:t>
      </w:r>
    </w:p>
    <w:p w14:paraId="6A057375">
      <w:pPr>
        <w:spacing w:line="360" w:lineRule="auto"/>
        <w:ind w:firstLine="480" w:firstLineChars="200"/>
        <w:rPr>
          <w:sz w:val="24"/>
        </w:rPr>
      </w:pPr>
      <w:r>
        <w:rPr>
          <w:rFonts w:hint="eastAsia"/>
          <w:sz w:val="24"/>
        </w:rPr>
        <w:t>（</w:t>
      </w:r>
      <w:r>
        <w:rPr>
          <w:rFonts w:hint="eastAsia"/>
          <w:sz w:val="24"/>
          <w:lang w:val="en-US" w:eastAsia="zh-CN"/>
        </w:rPr>
        <w:t>1</w:t>
      </w:r>
      <w:r>
        <w:rPr>
          <w:rFonts w:hint="eastAsia"/>
          <w:sz w:val="24"/>
        </w:rPr>
        <w:t>）便携式计算机：</w:t>
      </w:r>
      <w:r>
        <w:rPr>
          <w:rFonts w:hint="eastAsia"/>
          <w:sz w:val="24"/>
          <w:lang w:val="en-US" w:eastAsia="zh-CN"/>
        </w:rPr>
        <w:t>54</w:t>
      </w:r>
      <w:r>
        <w:rPr>
          <w:rFonts w:hint="eastAsia"/>
          <w:sz w:val="24"/>
        </w:rPr>
        <w:t>台（含操作系统等）</w:t>
      </w:r>
      <w:r>
        <w:rPr>
          <w:rFonts w:hint="eastAsia" w:ascii="宋体" w:hAnsi="宋体" w:cs="宋体"/>
          <w:b/>
          <w:bCs/>
          <w:kern w:val="0"/>
          <w:sz w:val="24"/>
          <w:lang w:val="zh-CN"/>
        </w:rPr>
        <w:t>需</w:t>
      </w:r>
    </w:p>
    <w:p w14:paraId="4C9D5F7C">
      <w:pPr>
        <w:tabs>
          <w:tab w:val="left" w:pos="0"/>
        </w:tabs>
        <w:spacing w:line="360" w:lineRule="auto"/>
        <w:ind w:firstLine="482" w:firstLineChars="200"/>
        <w:rPr>
          <w:rFonts w:ascii="宋体" w:hAnsi="宋体" w:cs="宋体"/>
          <w:b/>
          <w:bCs/>
          <w:kern w:val="0"/>
          <w:sz w:val="24"/>
          <w:lang w:val="zh-CN"/>
        </w:rPr>
      </w:pPr>
      <w:r>
        <w:rPr>
          <w:rFonts w:hint="eastAsia" w:asciiTheme="minorEastAsia" w:hAnsiTheme="minorEastAsia" w:eastAsiaTheme="minorEastAsia" w:cstheme="minorEastAsia"/>
          <w:b/>
          <w:bCs/>
          <w:sz w:val="24"/>
        </w:rPr>
        <w:t>▲</w:t>
      </w:r>
      <w:r>
        <w:rPr>
          <w:rFonts w:hint="eastAsia" w:ascii="宋体" w:hAnsi="宋体" w:cs="宋体"/>
          <w:b/>
          <w:bCs/>
          <w:kern w:val="0"/>
          <w:sz w:val="24"/>
          <w:lang w:val="zh-CN"/>
        </w:rPr>
        <w:t>投标人</w:t>
      </w:r>
      <w:r>
        <w:rPr>
          <w:rFonts w:hint="eastAsia" w:ascii="宋体" w:hAnsi="宋体" w:cs="宋体"/>
          <w:b/>
          <w:bCs/>
          <w:kern w:val="0"/>
          <w:sz w:val="24"/>
        </w:rPr>
        <w:t>就</w:t>
      </w:r>
      <w:r>
        <w:rPr>
          <w:rFonts w:hint="eastAsia" w:ascii="宋体" w:hAnsi="宋体" w:cs="宋体"/>
          <w:b/>
          <w:bCs/>
          <w:kern w:val="0"/>
          <w:sz w:val="24"/>
          <w:lang w:eastAsia="zh-CN"/>
        </w:rPr>
        <w:t>便携式计算机</w:t>
      </w:r>
      <w:r>
        <w:rPr>
          <w:rFonts w:hint="eastAsia" w:ascii="宋体" w:hAnsi="宋体" w:cs="宋体"/>
          <w:b/>
          <w:bCs/>
          <w:kern w:val="0"/>
          <w:sz w:val="24"/>
        </w:rPr>
        <w:t>提供</w:t>
      </w:r>
      <w:r>
        <w:rPr>
          <w:rFonts w:hint="eastAsia" w:ascii="宋体" w:hAnsi="宋体" w:cs="宋体"/>
          <w:b/>
          <w:bCs/>
          <w:kern w:val="0"/>
          <w:sz w:val="24"/>
          <w:lang w:val="zh-CN"/>
        </w:rPr>
        <w:t>国家确定的认证机构出具的、处于有效期之内的节能产品认证证书，未提供的投标无效。</w:t>
      </w:r>
      <w:bookmarkStart w:id="578" w:name="_GoBack"/>
      <w:bookmarkEnd w:id="578"/>
    </w:p>
    <w:tbl>
      <w:tblPr>
        <w:tblStyle w:val="63"/>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0"/>
        <w:gridCol w:w="849"/>
        <w:gridCol w:w="2300"/>
        <w:gridCol w:w="5499"/>
      </w:tblGrid>
      <w:tr w14:paraId="275A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580" w:type="dxa"/>
            <w:tcBorders>
              <w:tl2br w:val="nil"/>
              <w:tr2bl w:val="nil"/>
            </w:tcBorders>
            <w:shd w:val="clear" w:color="auto" w:fill="auto"/>
            <w:noWrap/>
            <w:vAlign w:val="center"/>
          </w:tcPr>
          <w:p w14:paraId="161DAEC4">
            <w:pPr>
              <w:spacing w:line="240" w:lineRule="auto"/>
              <w:jc w:val="center"/>
              <w:rPr>
                <w:b/>
              </w:rPr>
            </w:pPr>
            <w:r>
              <w:rPr>
                <w:rFonts w:hint="eastAsia"/>
                <w:b/>
              </w:rPr>
              <w:t>序号</w:t>
            </w:r>
          </w:p>
        </w:tc>
        <w:tc>
          <w:tcPr>
            <w:tcW w:w="849" w:type="dxa"/>
            <w:tcBorders>
              <w:tl2br w:val="nil"/>
              <w:tr2bl w:val="nil"/>
            </w:tcBorders>
            <w:shd w:val="clear" w:color="auto" w:fill="auto"/>
            <w:vAlign w:val="center"/>
          </w:tcPr>
          <w:p w14:paraId="435E9F66">
            <w:pPr>
              <w:spacing w:line="240" w:lineRule="auto"/>
              <w:jc w:val="center"/>
              <w:rPr>
                <w:rFonts w:hint="eastAsia"/>
                <w:b/>
              </w:rPr>
            </w:pPr>
            <w:r>
              <w:rPr>
                <w:rFonts w:hint="eastAsia"/>
                <w:b/>
              </w:rPr>
              <w:t>一级</w:t>
            </w:r>
          </w:p>
          <w:p w14:paraId="6C2A63BE">
            <w:pPr>
              <w:spacing w:line="240" w:lineRule="auto"/>
              <w:jc w:val="center"/>
              <w:rPr>
                <w:b/>
              </w:rPr>
            </w:pPr>
            <w:r>
              <w:rPr>
                <w:rFonts w:hint="eastAsia"/>
                <w:b/>
              </w:rPr>
              <w:t>指标</w:t>
            </w:r>
          </w:p>
        </w:tc>
        <w:tc>
          <w:tcPr>
            <w:tcW w:w="2300" w:type="dxa"/>
            <w:tcBorders>
              <w:tl2br w:val="nil"/>
              <w:tr2bl w:val="nil"/>
            </w:tcBorders>
            <w:shd w:val="clear" w:color="auto" w:fill="auto"/>
            <w:vAlign w:val="center"/>
          </w:tcPr>
          <w:p w14:paraId="0529CEEF">
            <w:pPr>
              <w:spacing w:line="240" w:lineRule="auto"/>
              <w:jc w:val="center"/>
              <w:rPr>
                <w:b/>
              </w:rPr>
            </w:pPr>
            <w:r>
              <w:rPr>
                <w:rFonts w:hint="eastAsia"/>
                <w:b/>
              </w:rPr>
              <w:t>二级指标</w:t>
            </w:r>
          </w:p>
        </w:tc>
        <w:tc>
          <w:tcPr>
            <w:tcW w:w="5499" w:type="dxa"/>
            <w:tcBorders>
              <w:tl2br w:val="nil"/>
              <w:tr2bl w:val="nil"/>
            </w:tcBorders>
            <w:shd w:val="clear" w:color="auto" w:fill="auto"/>
            <w:vAlign w:val="center"/>
          </w:tcPr>
          <w:p w14:paraId="7278650A">
            <w:pPr>
              <w:spacing w:line="240" w:lineRule="auto"/>
              <w:jc w:val="center"/>
              <w:rPr>
                <w:b/>
              </w:rPr>
            </w:pPr>
            <w:r>
              <w:rPr>
                <w:rFonts w:hint="eastAsia"/>
                <w:b/>
              </w:rPr>
              <w:t>技术参数</w:t>
            </w:r>
          </w:p>
        </w:tc>
      </w:tr>
      <w:tr w14:paraId="4501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2C769454">
            <w:pPr>
              <w:pStyle w:val="258"/>
              <w:numPr>
                <w:ilvl w:val="0"/>
                <w:numId w:val="0"/>
              </w:numPr>
              <w:autoSpaceDE w:val="0"/>
              <w:autoSpaceDN w:val="0"/>
              <w:spacing w:line="240" w:lineRule="auto"/>
              <w:ind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849" w:type="dxa"/>
            <w:tcBorders>
              <w:tl2br w:val="nil"/>
              <w:tr2bl w:val="nil"/>
            </w:tcBorders>
            <w:shd w:val="clear" w:color="auto" w:fill="auto"/>
            <w:vAlign w:val="center"/>
          </w:tcPr>
          <w:p w14:paraId="6240DB3B">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CPU规格</w:t>
            </w:r>
          </w:p>
        </w:tc>
        <w:tc>
          <w:tcPr>
            <w:tcW w:w="2300" w:type="dxa"/>
            <w:tcBorders>
              <w:tl2br w:val="nil"/>
              <w:tr2bl w:val="nil"/>
            </w:tcBorders>
            <w:shd w:val="clear" w:color="auto" w:fill="auto"/>
            <w:vAlign w:val="center"/>
          </w:tcPr>
          <w:p w14:paraId="040348D4">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▲CPU信息</w:t>
            </w:r>
          </w:p>
        </w:tc>
        <w:tc>
          <w:tcPr>
            <w:tcW w:w="5499" w:type="dxa"/>
            <w:tcBorders>
              <w:tl2br w:val="nil"/>
              <w:tr2bl w:val="nil"/>
            </w:tcBorders>
            <w:shd w:val="clear" w:color="auto" w:fill="auto"/>
            <w:vAlign w:val="center"/>
          </w:tcPr>
          <w:p w14:paraId="7297EFDE">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国产ARM处理器，CPU型号麒麟9000C，≥8核12线程，频率≥2.</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GHz，末级缓存容量≥8MB，支持的内存最高速率≥6400MT/s，热设计功耗≤15W，CPU符合安全可靠测评II级</w:t>
            </w:r>
          </w:p>
        </w:tc>
      </w:tr>
      <w:tr w14:paraId="532A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214C771F">
            <w:pPr>
              <w:pStyle w:val="258"/>
              <w:numPr>
                <w:ilvl w:val="0"/>
                <w:numId w:val="0"/>
              </w:numPr>
              <w:autoSpaceDE w:val="0"/>
              <w:autoSpaceDN w:val="0"/>
              <w:spacing w:line="240" w:lineRule="auto"/>
              <w:ind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849" w:type="dxa"/>
            <w:vMerge w:val="restart"/>
            <w:tcBorders>
              <w:tl2br w:val="nil"/>
              <w:tr2bl w:val="nil"/>
            </w:tcBorders>
            <w:shd w:val="clear" w:color="auto" w:fill="auto"/>
            <w:noWrap/>
            <w:vAlign w:val="center"/>
          </w:tcPr>
          <w:p w14:paraId="2B2CA93B">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内存规格</w:t>
            </w:r>
          </w:p>
        </w:tc>
        <w:tc>
          <w:tcPr>
            <w:tcW w:w="2300" w:type="dxa"/>
            <w:tcBorders>
              <w:tl2br w:val="nil"/>
              <w:tr2bl w:val="nil"/>
            </w:tcBorders>
            <w:shd w:val="clear" w:color="auto" w:fill="auto"/>
            <w:vAlign w:val="center"/>
          </w:tcPr>
          <w:p w14:paraId="1DBDC8C1">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▲内存配置容量</w:t>
            </w:r>
          </w:p>
        </w:tc>
        <w:tc>
          <w:tcPr>
            <w:tcW w:w="5499" w:type="dxa"/>
            <w:tcBorders>
              <w:tl2br w:val="nil"/>
              <w:tr2bl w:val="nil"/>
            </w:tcBorders>
            <w:shd w:val="clear" w:color="auto" w:fill="auto"/>
            <w:noWrap/>
            <w:vAlign w:val="center"/>
          </w:tcPr>
          <w:p w14:paraId="43CE733E">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≥16GB，内存读写速率≥6400MT/s</w:t>
            </w:r>
          </w:p>
        </w:tc>
      </w:tr>
      <w:tr w14:paraId="4F9A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1625820C">
            <w:pPr>
              <w:pStyle w:val="258"/>
              <w:numPr>
                <w:ilvl w:val="0"/>
                <w:numId w:val="0"/>
              </w:numPr>
              <w:autoSpaceDE w:val="0"/>
              <w:autoSpaceDN w:val="0"/>
              <w:spacing w:line="240" w:lineRule="auto"/>
              <w:ind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849" w:type="dxa"/>
            <w:vMerge w:val="continue"/>
            <w:tcBorders>
              <w:tl2br w:val="nil"/>
              <w:tr2bl w:val="nil"/>
            </w:tcBorders>
            <w:shd w:val="clear" w:color="auto" w:fill="auto"/>
            <w:noWrap/>
            <w:vAlign w:val="center"/>
          </w:tcPr>
          <w:p w14:paraId="2B11F92D">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CAC3221">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内存类型</w:t>
            </w:r>
          </w:p>
        </w:tc>
        <w:tc>
          <w:tcPr>
            <w:tcW w:w="5499" w:type="dxa"/>
            <w:tcBorders>
              <w:tl2br w:val="nil"/>
              <w:tr2bl w:val="nil"/>
            </w:tcBorders>
            <w:shd w:val="clear" w:color="auto" w:fill="auto"/>
            <w:vAlign w:val="center"/>
          </w:tcPr>
          <w:p w14:paraId="1B8C475E">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支持DDR5/LPDDR5/LPDDR5X及以上内存类型</w:t>
            </w:r>
          </w:p>
        </w:tc>
      </w:tr>
      <w:tr w14:paraId="594F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tblHeader/>
          <w:jc w:val="center"/>
        </w:trPr>
        <w:tc>
          <w:tcPr>
            <w:tcW w:w="580" w:type="dxa"/>
            <w:tcBorders>
              <w:tl2br w:val="nil"/>
              <w:tr2bl w:val="nil"/>
            </w:tcBorders>
            <w:shd w:val="clear" w:color="auto" w:fill="auto"/>
            <w:noWrap/>
            <w:vAlign w:val="center"/>
          </w:tcPr>
          <w:p w14:paraId="1B44B5FC">
            <w:pPr>
              <w:pStyle w:val="258"/>
              <w:numPr>
                <w:ilvl w:val="0"/>
                <w:numId w:val="0"/>
              </w:numPr>
              <w:autoSpaceDE w:val="0"/>
              <w:autoSpaceDN w:val="0"/>
              <w:spacing w:line="240" w:lineRule="auto"/>
              <w:ind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849" w:type="dxa"/>
            <w:vMerge w:val="continue"/>
            <w:tcBorders>
              <w:tl2br w:val="nil"/>
              <w:tr2bl w:val="nil"/>
            </w:tcBorders>
            <w:shd w:val="clear" w:color="auto" w:fill="auto"/>
            <w:noWrap/>
            <w:vAlign w:val="center"/>
          </w:tcPr>
          <w:p w14:paraId="1DF1ACAA">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240ADEDA">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内存条配置数量（板载内存不涉及）</w:t>
            </w:r>
          </w:p>
        </w:tc>
        <w:tc>
          <w:tcPr>
            <w:tcW w:w="5499" w:type="dxa"/>
            <w:tcBorders>
              <w:tl2br w:val="nil"/>
              <w:tr2bl w:val="nil"/>
            </w:tcBorders>
            <w:shd w:val="clear" w:color="auto" w:fill="auto"/>
            <w:noWrap/>
            <w:vAlign w:val="center"/>
          </w:tcPr>
          <w:p w14:paraId="19349296">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r>
      <w:tr w14:paraId="4A9C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37EDF370">
            <w:pPr>
              <w:pStyle w:val="258"/>
              <w:numPr>
                <w:ilvl w:val="0"/>
                <w:numId w:val="0"/>
              </w:numPr>
              <w:autoSpaceDE w:val="0"/>
              <w:autoSpaceDN w:val="0"/>
              <w:spacing w:line="240" w:lineRule="auto"/>
              <w:ind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849" w:type="dxa"/>
            <w:vMerge w:val="restart"/>
            <w:tcBorders>
              <w:tl2br w:val="nil"/>
              <w:tr2bl w:val="nil"/>
            </w:tcBorders>
            <w:shd w:val="clear" w:color="auto" w:fill="auto"/>
            <w:noWrap/>
            <w:vAlign w:val="center"/>
          </w:tcPr>
          <w:p w14:paraId="633DB7B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主板规格</w:t>
            </w:r>
          </w:p>
        </w:tc>
        <w:tc>
          <w:tcPr>
            <w:tcW w:w="2300" w:type="dxa"/>
            <w:tcBorders>
              <w:tl2br w:val="nil"/>
              <w:tr2bl w:val="nil"/>
            </w:tcBorders>
            <w:shd w:val="clear" w:color="auto" w:fill="auto"/>
            <w:vAlign w:val="center"/>
          </w:tcPr>
          <w:p w14:paraId="38099A32">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主板集成模块</w:t>
            </w:r>
          </w:p>
        </w:tc>
        <w:tc>
          <w:tcPr>
            <w:tcW w:w="5499" w:type="dxa"/>
            <w:tcBorders>
              <w:tl2br w:val="nil"/>
              <w:tr2bl w:val="nil"/>
            </w:tcBorders>
            <w:shd w:val="clear" w:color="auto" w:fill="auto"/>
            <w:vAlign w:val="center"/>
          </w:tcPr>
          <w:p w14:paraId="5BD50BAE">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集成资源扩展模块、计算处理模块、音频扩展模块等，主板的互联拓扑可通过处理器或交换电路实现</w:t>
            </w:r>
          </w:p>
        </w:tc>
      </w:tr>
      <w:tr w14:paraId="0A5D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44025F0">
            <w:pPr>
              <w:pStyle w:val="258"/>
              <w:numPr>
                <w:ilvl w:val="0"/>
                <w:numId w:val="0"/>
              </w:numPr>
              <w:autoSpaceDE w:val="0"/>
              <w:autoSpaceDN w:val="0"/>
              <w:spacing w:line="240" w:lineRule="auto"/>
              <w:ind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849" w:type="dxa"/>
            <w:vMerge w:val="continue"/>
            <w:tcBorders>
              <w:tl2br w:val="nil"/>
              <w:tr2bl w:val="nil"/>
            </w:tcBorders>
            <w:shd w:val="clear" w:color="auto" w:fill="auto"/>
            <w:noWrap/>
            <w:vAlign w:val="center"/>
          </w:tcPr>
          <w:p w14:paraId="367F4804">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4C2446E1">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▲主板支持的CPU和内存情况</w:t>
            </w:r>
          </w:p>
        </w:tc>
        <w:tc>
          <w:tcPr>
            <w:tcW w:w="5499" w:type="dxa"/>
            <w:tcBorders>
              <w:tl2br w:val="nil"/>
              <w:tr2bl w:val="nil"/>
            </w:tcBorders>
            <w:shd w:val="clear" w:color="auto" w:fill="auto"/>
            <w:vAlign w:val="center"/>
          </w:tcPr>
          <w:p w14:paraId="7A275588">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（1）支持ARM架构CPU和DDR5及以上内存；</w:t>
            </w:r>
          </w:p>
          <w:p w14:paraId="452EAB2F">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（2）内存型号和数量：最小支持1条DDR5（板载内存不涉及）。</w:t>
            </w:r>
          </w:p>
        </w:tc>
      </w:tr>
      <w:tr w14:paraId="2806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124BE243">
            <w:pPr>
              <w:pStyle w:val="258"/>
              <w:numPr>
                <w:ilvl w:val="0"/>
                <w:numId w:val="0"/>
              </w:numPr>
              <w:autoSpaceDE w:val="0"/>
              <w:autoSpaceDN w:val="0"/>
              <w:spacing w:line="240" w:lineRule="auto"/>
              <w:ind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849" w:type="dxa"/>
            <w:vMerge w:val="continue"/>
            <w:tcBorders>
              <w:tl2br w:val="nil"/>
              <w:tr2bl w:val="nil"/>
            </w:tcBorders>
            <w:shd w:val="clear" w:color="auto" w:fill="auto"/>
            <w:noWrap/>
            <w:vAlign w:val="center"/>
          </w:tcPr>
          <w:p w14:paraId="6B3083E1">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E1CDBB0">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主板内置PCIe插槽数量</w:t>
            </w:r>
          </w:p>
        </w:tc>
        <w:tc>
          <w:tcPr>
            <w:tcW w:w="5499" w:type="dxa"/>
            <w:tcBorders>
              <w:tl2br w:val="nil"/>
              <w:tr2bl w:val="nil"/>
            </w:tcBorders>
            <w:shd w:val="clear" w:color="auto" w:fill="auto"/>
            <w:vAlign w:val="center"/>
          </w:tcPr>
          <w:p w14:paraId="3929F3FB">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≥0</w:t>
            </w:r>
          </w:p>
        </w:tc>
      </w:tr>
      <w:tr w14:paraId="2B5C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57F7E41">
            <w:pPr>
              <w:pStyle w:val="258"/>
              <w:numPr>
                <w:ilvl w:val="0"/>
                <w:numId w:val="0"/>
              </w:numPr>
              <w:autoSpaceDE w:val="0"/>
              <w:autoSpaceDN w:val="0"/>
              <w:spacing w:line="240" w:lineRule="auto"/>
              <w:ind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849" w:type="dxa"/>
            <w:vMerge w:val="continue"/>
            <w:tcBorders>
              <w:tl2br w:val="nil"/>
              <w:tr2bl w:val="nil"/>
            </w:tcBorders>
            <w:shd w:val="clear" w:color="auto" w:fill="auto"/>
            <w:noWrap/>
            <w:vAlign w:val="center"/>
          </w:tcPr>
          <w:p w14:paraId="453A268E">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A9DA9D2">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特殊孔位及接口</w:t>
            </w:r>
          </w:p>
        </w:tc>
        <w:tc>
          <w:tcPr>
            <w:tcW w:w="5499" w:type="dxa"/>
            <w:tcBorders>
              <w:tl2br w:val="nil"/>
              <w:tr2bl w:val="nil"/>
            </w:tcBorders>
            <w:shd w:val="clear" w:color="auto" w:fill="auto"/>
            <w:vAlign w:val="center"/>
          </w:tcPr>
          <w:p w14:paraId="4A1C4E5F">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sz w:val="21"/>
              </w:rPr>
              <w:t>主板支持安装多功能导入装置板卡，或预留相应孔位及接口</w:t>
            </w:r>
          </w:p>
        </w:tc>
      </w:tr>
      <w:tr w14:paraId="16E6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12D5FD1E">
            <w:pPr>
              <w:pStyle w:val="258"/>
              <w:numPr>
                <w:ilvl w:val="0"/>
                <w:numId w:val="0"/>
              </w:numPr>
              <w:autoSpaceDE w:val="0"/>
              <w:autoSpaceDN w:val="0"/>
              <w:spacing w:line="240" w:lineRule="auto"/>
              <w:ind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849" w:type="dxa"/>
            <w:vMerge w:val="continue"/>
            <w:tcBorders>
              <w:tl2br w:val="nil"/>
              <w:tr2bl w:val="nil"/>
            </w:tcBorders>
            <w:shd w:val="clear" w:color="auto" w:fill="auto"/>
            <w:noWrap/>
            <w:vAlign w:val="center"/>
          </w:tcPr>
          <w:p w14:paraId="781E6C91">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4738F09A">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单内存插槽最大可支持容量（板载内存不涉及）</w:t>
            </w:r>
          </w:p>
        </w:tc>
        <w:tc>
          <w:tcPr>
            <w:tcW w:w="5499" w:type="dxa"/>
            <w:tcBorders>
              <w:tl2br w:val="nil"/>
              <w:tr2bl w:val="nil"/>
            </w:tcBorders>
            <w:shd w:val="clear" w:color="auto" w:fill="auto"/>
            <w:vAlign w:val="center"/>
          </w:tcPr>
          <w:p w14:paraId="62659937">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≥8GB</w:t>
            </w:r>
          </w:p>
        </w:tc>
      </w:tr>
      <w:tr w14:paraId="73D3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5E397B27">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849" w:type="dxa"/>
            <w:vMerge w:val="continue"/>
            <w:tcBorders>
              <w:tl2br w:val="nil"/>
              <w:tr2bl w:val="nil"/>
            </w:tcBorders>
            <w:shd w:val="clear" w:color="auto" w:fill="auto"/>
            <w:noWrap/>
            <w:vAlign w:val="center"/>
          </w:tcPr>
          <w:p w14:paraId="58A7EDD1">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5708441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▲内存插槽满配时提供的最高内存总容量</w:t>
            </w:r>
          </w:p>
        </w:tc>
        <w:tc>
          <w:tcPr>
            <w:tcW w:w="5499" w:type="dxa"/>
            <w:tcBorders>
              <w:tl2br w:val="nil"/>
              <w:tr2bl w:val="nil"/>
            </w:tcBorders>
            <w:shd w:val="clear" w:color="auto" w:fill="auto"/>
            <w:noWrap/>
            <w:vAlign w:val="center"/>
          </w:tcPr>
          <w:p w14:paraId="14872023">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≥16GB</w:t>
            </w:r>
          </w:p>
        </w:tc>
      </w:tr>
      <w:tr w14:paraId="5C43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32473F9C">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849" w:type="dxa"/>
            <w:vMerge w:val="restart"/>
            <w:tcBorders>
              <w:tl2br w:val="nil"/>
              <w:tr2bl w:val="nil"/>
            </w:tcBorders>
            <w:shd w:val="clear" w:color="auto" w:fill="auto"/>
            <w:noWrap/>
            <w:vAlign w:val="center"/>
          </w:tcPr>
          <w:p w14:paraId="34463AA3">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存储设备规格</w:t>
            </w:r>
          </w:p>
        </w:tc>
        <w:tc>
          <w:tcPr>
            <w:tcW w:w="2300" w:type="dxa"/>
            <w:tcBorders>
              <w:tl2br w:val="nil"/>
              <w:tr2bl w:val="nil"/>
            </w:tcBorders>
            <w:shd w:val="clear" w:color="auto" w:fill="auto"/>
            <w:vAlign w:val="center"/>
          </w:tcPr>
          <w:p w14:paraId="21A46FF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▲固态盘数量</w:t>
            </w:r>
          </w:p>
        </w:tc>
        <w:tc>
          <w:tcPr>
            <w:tcW w:w="5499" w:type="dxa"/>
            <w:tcBorders>
              <w:tl2br w:val="nil"/>
              <w:tr2bl w:val="nil"/>
            </w:tcBorders>
            <w:shd w:val="clear" w:color="auto" w:fill="auto"/>
            <w:noWrap/>
            <w:vAlign w:val="center"/>
          </w:tcPr>
          <w:p w14:paraId="28296EAF">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≥1个</w:t>
            </w:r>
          </w:p>
        </w:tc>
      </w:tr>
      <w:tr w14:paraId="5600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664E4F54">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c>
          <w:tcPr>
            <w:tcW w:w="849" w:type="dxa"/>
            <w:vMerge w:val="continue"/>
            <w:tcBorders>
              <w:tl2br w:val="nil"/>
              <w:tr2bl w:val="nil"/>
            </w:tcBorders>
            <w:shd w:val="clear" w:color="auto" w:fill="auto"/>
            <w:noWrap/>
            <w:vAlign w:val="center"/>
          </w:tcPr>
          <w:p w14:paraId="7D457D73">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BB12901">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▲固态存储容量</w:t>
            </w:r>
          </w:p>
        </w:tc>
        <w:tc>
          <w:tcPr>
            <w:tcW w:w="5499" w:type="dxa"/>
            <w:tcBorders>
              <w:tl2br w:val="nil"/>
              <w:tr2bl w:val="nil"/>
            </w:tcBorders>
            <w:shd w:val="clear" w:color="auto" w:fill="auto"/>
            <w:noWrap/>
            <w:vAlign w:val="center"/>
          </w:tcPr>
          <w:p w14:paraId="73E35A0B">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≥512GB</w:t>
            </w:r>
          </w:p>
        </w:tc>
      </w:tr>
      <w:tr w14:paraId="731D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2C154515">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w:t>
            </w:r>
          </w:p>
        </w:tc>
        <w:tc>
          <w:tcPr>
            <w:tcW w:w="849" w:type="dxa"/>
            <w:vMerge w:val="continue"/>
            <w:tcBorders>
              <w:tl2br w:val="nil"/>
              <w:tr2bl w:val="nil"/>
            </w:tcBorders>
            <w:shd w:val="clear" w:color="auto" w:fill="auto"/>
            <w:noWrap/>
            <w:vAlign w:val="center"/>
          </w:tcPr>
          <w:p w14:paraId="652C7329">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6C4811E7">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固态存储接口协议</w:t>
            </w:r>
          </w:p>
        </w:tc>
        <w:tc>
          <w:tcPr>
            <w:tcW w:w="5499" w:type="dxa"/>
            <w:tcBorders>
              <w:tl2br w:val="nil"/>
              <w:tr2bl w:val="nil"/>
            </w:tcBorders>
            <w:shd w:val="clear" w:color="auto" w:fill="auto"/>
            <w:noWrap/>
            <w:vAlign w:val="center"/>
          </w:tcPr>
          <w:p w14:paraId="56F4D04C">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支持PCIe/NVMe/UFS等类型接口协议</w:t>
            </w:r>
          </w:p>
        </w:tc>
      </w:tr>
      <w:tr w14:paraId="1AFC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1BE6BB1E">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w:t>
            </w:r>
          </w:p>
        </w:tc>
        <w:tc>
          <w:tcPr>
            <w:tcW w:w="849" w:type="dxa"/>
            <w:vMerge w:val="continue"/>
            <w:tcBorders>
              <w:tl2br w:val="nil"/>
              <w:tr2bl w:val="nil"/>
            </w:tcBorders>
            <w:shd w:val="clear" w:color="auto" w:fill="auto"/>
            <w:noWrap/>
            <w:vAlign w:val="center"/>
          </w:tcPr>
          <w:p w14:paraId="797E65BE">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10FC0B56">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固态存储形态</w:t>
            </w:r>
          </w:p>
        </w:tc>
        <w:tc>
          <w:tcPr>
            <w:tcW w:w="5499" w:type="dxa"/>
            <w:tcBorders>
              <w:tl2br w:val="nil"/>
              <w:tr2bl w:val="nil"/>
            </w:tcBorders>
            <w:shd w:val="clear" w:color="auto" w:fill="auto"/>
            <w:noWrap/>
            <w:vAlign w:val="center"/>
          </w:tcPr>
          <w:p w14:paraId="0F142A51">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可采用插卡或板载等形态，插卡形态宜符合M.2 或mSATA 等标准尺寸和接口定义</w:t>
            </w:r>
          </w:p>
        </w:tc>
      </w:tr>
      <w:tr w14:paraId="56F0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A579CE9">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w:t>
            </w:r>
          </w:p>
        </w:tc>
        <w:tc>
          <w:tcPr>
            <w:tcW w:w="849" w:type="dxa"/>
            <w:vMerge w:val="continue"/>
            <w:tcBorders>
              <w:tl2br w:val="nil"/>
              <w:tr2bl w:val="nil"/>
            </w:tcBorders>
            <w:shd w:val="clear" w:color="auto" w:fill="auto"/>
            <w:noWrap/>
            <w:vAlign w:val="center"/>
          </w:tcPr>
          <w:p w14:paraId="7906C2AC">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154E0E1B">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存储设备扩展盘位</w:t>
            </w:r>
          </w:p>
        </w:tc>
        <w:tc>
          <w:tcPr>
            <w:tcW w:w="5499" w:type="dxa"/>
            <w:tcBorders>
              <w:tl2br w:val="nil"/>
              <w:tr2bl w:val="nil"/>
            </w:tcBorders>
            <w:shd w:val="clear" w:color="auto" w:fill="auto"/>
            <w:vAlign w:val="center"/>
          </w:tcPr>
          <w:p w14:paraId="75F253D2">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≥0</w:t>
            </w:r>
          </w:p>
        </w:tc>
      </w:tr>
      <w:tr w14:paraId="176A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587396E1">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w:t>
            </w:r>
          </w:p>
        </w:tc>
        <w:tc>
          <w:tcPr>
            <w:tcW w:w="849" w:type="dxa"/>
            <w:vMerge w:val="continue"/>
            <w:tcBorders>
              <w:tl2br w:val="nil"/>
              <w:tr2bl w:val="nil"/>
            </w:tcBorders>
            <w:shd w:val="clear" w:color="auto" w:fill="auto"/>
            <w:noWrap/>
            <w:vAlign w:val="center"/>
          </w:tcPr>
          <w:p w14:paraId="3CA7BAE1">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43C23D9">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▲存储设备其他参与要求</w:t>
            </w:r>
          </w:p>
        </w:tc>
        <w:tc>
          <w:tcPr>
            <w:tcW w:w="5499" w:type="dxa"/>
            <w:tcBorders>
              <w:tl2br w:val="nil"/>
              <w:tr2bl w:val="nil"/>
            </w:tcBorders>
            <w:shd w:val="clear" w:color="auto" w:fill="auto"/>
            <w:vAlign w:val="center"/>
          </w:tcPr>
          <w:p w14:paraId="4D7812EB">
            <w:pPr>
              <w:spacing w:line="240" w:lineRule="auto"/>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a）固态盘应符合SJ/T 11654 相关规定</w:t>
            </w:r>
            <w:r>
              <w:rPr>
                <w:rFonts w:hint="eastAsia" w:asciiTheme="minorEastAsia" w:hAnsiTheme="minorEastAsia" w:eastAsiaTheme="minorEastAsia" w:cstheme="minorEastAsia"/>
                <w:lang w:eastAsia="zh-CN"/>
              </w:rPr>
              <w:t>；</w:t>
            </w:r>
          </w:p>
          <w:p w14:paraId="6666EEAD">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b）机械硬盘准备时间应不大于30s；侧面固定螺丝孔数量可为4 孔或6孔；工作状态环境温度应满足5℃</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55℃；其它参数应符合GB/T 12628的相关规定</w:t>
            </w:r>
          </w:p>
        </w:tc>
      </w:tr>
      <w:tr w14:paraId="3C61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475473A9">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17</w:t>
            </w:r>
          </w:p>
        </w:tc>
        <w:tc>
          <w:tcPr>
            <w:tcW w:w="849" w:type="dxa"/>
            <w:vMerge w:val="restart"/>
            <w:tcBorders>
              <w:tl2br w:val="nil"/>
              <w:tr2bl w:val="nil"/>
            </w:tcBorders>
            <w:shd w:val="clear" w:color="auto" w:fill="auto"/>
            <w:noWrap/>
            <w:vAlign w:val="center"/>
          </w:tcPr>
          <w:p w14:paraId="794775E0">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显卡规格</w:t>
            </w:r>
          </w:p>
        </w:tc>
        <w:tc>
          <w:tcPr>
            <w:tcW w:w="2300" w:type="dxa"/>
            <w:tcBorders>
              <w:tl2br w:val="nil"/>
              <w:tr2bl w:val="nil"/>
            </w:tcBorders>
            <w:shd w:val="clear" w:color="auto" w:fill="auto"/>
            <w:vAlign w:val="center"/>
          </w:tcPr>
          <w:p w14:paraId="107F2132">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显卡类型</w:t>
            </w:r>
          </w:p>
        </w:tc>
        <w:tc>
          <w:tcPr>
            <w:tcW w:w="5499" w:type="dxa"/>
            <w:tcBorders>
              <w:tl2br w:val="nil"/>
              <w:tr2bl w:val="nil"/>
            </w:tcBorders>
            <w:shd w:val="clear" w:color="auto" w:fill="auto"/>
            <w:vAlign w:val="center"/>
          </w:tcPr>
          <w:p w14:paraId="40896B43">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独立显卡或集成显卡</w:t>
            </w:r>
          </w:p>
        </w:tc>
      </w:tr>
      <w:tr w14:paraId="1400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6D6CA22C">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18</w:t>
            </w:r>
          </w:p>
        </w:tc>
        <w:tc>
          <w:tcPr>
            <w:tcW w:w="849" w:type="dxa"/>
            <w:vMerge w:val="continue"/>
            <w:tcBorders>
              <w:tl2br w:val="nil"/>
              <w:tr2bl w:val="nil"/>
            </w:tcBorders>
            <w:shd w:val="clear" w:color="auto" w:fill="auto"/>
            <w:noWrap/>
            <w:vAlign w:val="center"/>
          </w:tcPr>
          <w:p w14:paraId="51C6E4A6">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153610F">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独立显卡显存类型</w:t>
            </w:r>
          </w:p>
        </w:tc>
        <w:tc>
          <w:tcPr>
            <w:tcW w:w="5499" w:type="dxa"/>
            <w:tcBorders>
              <w:tl2br w:val="nil"/>
              <w:tr2bl w:val="nil"/>
            </w:tcBorders>
            <w:shd w:val="clear" w:color="auto" w:fill="auto"/>
            <w:vAlign w:val="center"/>
          </w:tcPr>
          <w:p w14:paraId="01BEF987">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若配置独立显卡，显存类型应为DDR3/DDR4/GDDR5/GDDR6/LPDDR4</w:t>
            </w:r>
          </w:p>
        </w:tc>
      </w:tr>
      <w:tr w14:paraId="170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750904C6">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19</w:t>
            </w:r>
          </w:p>
        </w:tc>
        <w:tc>
          <w:tcPr>
            <w:tcW w:w="849" w:type="dxa"/>
            <w:vMerge w:val="continue"/>
            <w:tcBorders>
              <w:tl2br w:val="nil"/>
              <w:tr2bl w:val="nil"/>
            </w:tcBorders>
            <w:shd w:val="clear" w:color="auto" w:fill="auto"/>
            <w:noWrap/>
            <w:vAlign w:val="center"/>
          </w:tcPr>
          <w:p w14:paraId="20A1E69A">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2D5CC1D3">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独立显卡显存位宽</w:t>
            </w:r>
          </w:p>
        </w:tc>
        <w:tc>
          <w:tcPr>
            <w:tcW w:w="5499" w:type="dxa"/>
            <w:tcBorders>
              <w:tl2br w:val="nil"/>
              <w:tr2bl w:val="nil"/>
            </w:tcBorders>
            <w:shd w:val="clear" w:color="auto" w:fill="auto"/>
            <w:vAlign w:val="center"/>
          </w:tcPr>
          <w:p w14:paraId="6670C06E">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若配置独立显卡，显存位宽≥32位</w:t>
            </w:r>
          </w:p>
        </w:tc>
      </w:tr>
      <w:tr w14:paraId="2EE6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24B3E4E">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849" w:type="dxa"/>
            <w:vMerge w:val="continue"/>
            <w:tcBorders>
              <w:tl2br w:val="nil"/>
              <w:tr2bl w:val="nil"/>
            </w:tcBorders>
            <w:shd w:val="clear" w:color="auto" w:fill="auto"/>
            <w:noWrap/>
            <w:vAlign w:val="center"/>
          </w:tcPr>
          <w:p w14:paraId="753FB1D8">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44E1D3A6">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独立显卡显存容量</w:t>
            </w:r>
          </w:p>
        </w:tc>
        <w:tc>
          <w:tcPr>
            <w:tcW w:w="5499" w:type="dxa"/>
            <w:tcBorders>
              <w:tl2br w:val="nil"/>
              <w:tr2bl w:val="nil"/>
            </w:tcBorders>
            <w:shd w:val="clear" w:color="auto" w:fill="auto"/>
            <w:vAlign w:val="center"/>
          </w:tcPr>
          <w:p w14:paraId="052F989E">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若配置独立显卡，显存容量≥512MB</w:t>
            </w:r>
          </w:p>
        </w:tc>
      </w:tr>
      <w:tr w14:paraId="6B40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345BC4E3">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w:t>
            </w:r>
          </w:p>
        </w:tc>
        <w:tc>
          <w:tcPr>
            <w:tcW w:w="849" w:type="dxa"/>
            <w:vMerge w:val="continue"/>
            <w:tcBorders>
              <w:tl2br w:val="nil"/>
              <w:tr2bl w:val="nil"/>
            </w:tcBorders>
            <w:shd w:val="clear" w:color="auto" w:fill="auto"/>
            <w:noWrap/>
            <w:vAlign w:val="center"/>
          </w:tcPr>
          <w:p w14:paraId="44DE9CDB">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005F9DD">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独立显卡接口协议</w:t>
            </w:r>
          </w:p>
        </w:tc>
        <w:tc>
          <w:tcPr>
            <w:tcW w:w="5499" w:type="dxa"/>
            <w:tcBorders>
              <w:tl2br w:val="nil"/>
              <w:tr2bl w:val="nil"/>
            </w:tcBorders>
            <w:shd w:val="clear" w:color="auto" w:fill="auto"/>
            <w:vAlign w:val="center"/>
          </w:tcPr>
          <w:p w14:paraId="276B6083">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支持PCIe协议版本大于等于2.0或HT（HyperTransport）协议版本大于等于3.0的独立显卡接口协议（集成显卡不涉及）</w:t>
            </w:r>
          </w:p>
        </w:tc>
      </w:tr>
      <w:tr w14:paraId="1B7A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blHeader/>
          <w:jc w:val="center"/>
        </w:trPr>
        <w:tc>
          <w:tcPr>
            <w:tcW w:w="580" w:type="dxa"/>
            <w:tcBorders>
              <w:tl2br w:val="nil"/>
              <w:tr2bl w:val="nil"/>
            </w:tcBorders>
            <w:shd w:val="clear" w:color="auto" w:fill="auto"/>
            <w:noWrap/>
            <w:vAlign w:val="center"/>
          </w:tcPr>
          <w:p w14:paraId="3F5367E9">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22</w:t>
            </w:r>
          </w:p>
        </w:tc>
        <w:tc>
          <w:tcPr>
            <w:tcW w:w="849" w:type="dxa"/>
            <w:vMerge w:val="restart"/>
            <w:tcBorders>
              <w:tl2br w:val="nil"/>
              <w:tr2bl w:val="nil"/>
            </w:tcBorders>
            <w:shd w:val="clear" w:color="auto" w:fill="auto"/>
            <w:noWrap/>
            <w:vAlign w:val="center"/>
          </w:tcPr>
          <w:p w14:paraId="3F600127">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显示设备规格</w:t>
            </w:r>
          </w:p>
        </w:tc>
        <w:tc>
          <w:tcPr>
            <w:tcW w:w="2300" w:type="dxa"/>
            <w:tcBorders>
              <w:tl2br w:val="nil"/>
              <w:tr2bl w:val="nil"/>
            </w:tcBorders>
            <w:shd w:val="clear" w:color="auto" w:fill="auto"/>
            <w:vAlign w:val="center"/>
          </w:tcPr>
          <w:p w14:paraId="0AC6782F">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▲显示屏屏占比</w:t>
            </w:r>
          </w:p>
        </w:tc>
        <w:tc>
          <w:tcPr>
            <w:tcW w:w="5499" w:type="dxa"/>
            <w:tcBorders>
              <w:tl2br w:val="nil"/>
              <w:tr2bl w:val="nil"/>
            </w:tcBorders>
            <w:shd w:val="clear" w:color="auto" w:fill="auto"/>
            <w:vAlign w:val="center"/>
          </w:tcPr>
          <w:p w14:paraId="2F210A27">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≥80%</w:t>
            </w:r>
          </w:p>
        </w:tc>
      </w:tr>
      <w:tr w14:paraId="7579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5C3CC8E5">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23</w:t>
            </w:r>
          </w:p>
        </w:tc>
        <w:tc>
          <w:tcPr>
            <w:tcW w:w="849" w:type="dxa"/>
            <w:vMerge w:val="continue"/>
            <w:tcBorders>
              <w:tl2br w:val="nil"/>
              <w:tr2bl w:val="nil"/>
            </w:tcBorders>
            <w:shd w:val="clear" w:color="auto" w:fill="auto"/>
            <w:noWrap/>
            <w:vAlign w:val="center"/>
          </w:tcPr>
          <w:p w14:paraId="2E1BF9A8">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5EC0D16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▲显示屏分辨率</w:t>
            </w:r>
          </w:p>
        </w:tc>
        <w:tc>
          <w:tcPr>
            <w:tcW w:w="5499" w:type="dxa"/>
            <w:tcBorders>
              <w:tl2br w:val="nil"/>
              <w:tr2bl w:val="nil"/>
            </w:tcBorders>
            <w:shd w:val="clear" w:color="auto" w:fill="auto"/>
            <w:noWrap/>
            <w:vAlign w:val="center"/>
          </w:tcPr>
          <w:p w14:paraId="4182DA56">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≥1920</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1080</w:t>
            </w:r>
          </w:p>
        </w:tc>
      </w:tr>
      <w:tr w14:paraId="6841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52B4F220">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24</w:t>
            </w:r>
          </w:p>
        </w:tc>
        <w:tc>
          <w:tcPr>
            <w:tcW w:w="849" w:type="dxa"/>
            <w:vMerge w:val="continue"/>
            <w:tcBorders>
              <w:tl2br w:val="nil"/>
              <w:tr2bl w:val="nil"/>
            </w:tcBorders>
            <w:shd w:val="clear" w:color="auto" w:fill="auto"/>
            <w:noWrap/>
            <w:vAlign w:val="center"/>
          </w:tcPr>
          <w:p w14:paraId="70B46328">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CE3B72D">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显示屏像素密度</w:t>
            </w:r>
          </w:p>
        </w:tc>
        <w:tc>
          <w:tcPr>
            <w:tcW w:w="5499" w:type="dxa"/>
            <w:tcBorders>
              <w:tl2br w:val="nil"/>
              <w:tr2bl w:val="nil"/>
            </w:tcBorders>
            <w:shd w:val="clear" w:color="auto" w:fill="auto"/>
            <w:vAlign w:val="center"/>
          </w:tcPr>
          <w:p w14:paraId="1142CCAF">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≥150像素/英寸</w:t>
            </w:r>
          </w:p>
        </w:tc>
      </w:tr>
      <w:tr w14:paraId="5F6D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7EA7AFB3">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25</w:t>
            </w:r>
          </w:p>
        </w:tc>
        <w:tc>
          <w:tcPr>
            <w:tcW w:w="849" w:type="dxa"/>
            <w:vMerge w:val="continue"/>
            <w:tcBorders>
              <w:tl2br w:val="nil"/>
              <w:tr2bl w:val="nil"/>
            </w:tcBorders>
            <w:shd w:val="clear" w:color="auto" w:fill="auto"/>
            <w:noWrap/>
            <w:vAlign w:val="center"/>
          </w:tcPr>
          <w:p w14:paraId="122CB1EA">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B056481">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显示屏可视角度</w:t>
            </w:r>
          </w:p>
        </w:tc>
        <w:tc>
          <w:tcPr>
            <w:tcW w:w="5499" w:type="dxa"/>
            <w:tcBorders>
              <w:tl2br w:val="nil"/>
              <w:tr2bl w:val="nil"/>
            </w:tcBorders>
            <w:shd w:val="clear" w:color="auto" w:fill="auto"/>
            <w:vAlign w:val="center"/>
          </w:tcPr>
          <w:p w14:paraId="363EC12B">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水平≥170°</w:t>
            </w:r>
          </w:p>
        </w:tc>
      </w:tr>
      <w:tr w14:paraId="6584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191989FA">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26</w:t>
            </w:r>
          </w:p>
        </w:tc>
        <w:tc>
          <w:tcPr>
            <w:tcW w:w="849" w:type="dxa"/>
            <w:vMerge w:val="continue"/>
            <w:tcBorders>
              <w:tl2br w:val="nil"/>
              <w:tr2bl w:val="nil"/>
            </w:tcBorders>
            <w:shd w:val="clear" w:color="auto" w:fill="auto"/>
            <w:noWrap/>
            <w:vAlign w:val="center"/>
          </w:tcPr>
          <w:p w14:paraId="6D92C306">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55FBE4E9">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▲显示屏尺寸</w:t>
            </w:r>
          </w:p>
        </w:tc>
        <w:tc>
          <w:tcPr>
            <w:tcW w:w="5499" w:type="dxa"/>
            <w:tcBorders>
              <w:tl2br w:val="nil"/>
              <w:tr2bl w:val="nil"/>
            </w:tcBorders>
            <w:shd w:val="clear" w:color="auto" w:fill="auto"/>
            <w:noWrap/>
            <w:vAlign w:val="center"/>
          </w:tcPr>
          <w:p w14:paraId="5B368C5B">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≥14英寸</w:t>
            </w:r>
          </w:p>
        </w:tc>
      </w:tr>
      <w:tr w14:paraId="469D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20F41DF2">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27</w:t>
            </w:r>
          </w:p>
        </w:tc>
        <w:tc>
          <w:tcPr>
            <w:tcW w:w="849" w:type="dxa"/>
            <w:vMerge w:val="continue"/>
            <w:tcBorders>
              <w:tl2br w:val="nil"/>
              <w:tr2bl w:val="nil"/>
            </w:tcBorders>
            <w:shd w:val="clear" w:color="auto" w:fill="auto"/>
            <w:noWrap/>
            <w:vAlign w:val="center"/>
          </w:tcPr>
          <w:p w14:paraId="744DEDD7">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52E0EE5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▲显示屏屏幕比例</w:t>
            </w:r>
          </w:p>
        </w:tc>
        <w:tc>
          <w:tcPr>
            <w:tcW w:w="5499" w:type="dxa"/>
            <w:tcBorders>
              <w:tl2br w:val="nil"/>
              <w:tr2bl w:val="nil"/>
            </w:tcBorders>
            <w:shd w:val="clear" w:color="auto" w:fill="auto"/>
            <w:noWrap/>
            <w:vAlign w:val="center"/>
          </w:tcPr>
          <w:p w14:paraId="48A40FC6">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16:9/16:10/3:2等</w:t>
            </w:r>
          </w:p>
        </w:tc>
      </w:tr>
      <w:tr w14:paraId="7FDF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61324488">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28</w:t>
            </w:r>
          </w:p>
        </w:tc>
        <w:tc>
          <w:tcPr>
            <w:tcW w:w="849" w:type="dxa"/>
            <w:vMerge w:val="continue"/>
            <w:tcBorders>
              <w:tl2br w:val="nil"/>
              <w:tr2bl w:val="nil"/>
            </w:tcBorders>
            <w:shd w:val="clear" w:color="auto" w:fill="auto"/>
            <w:noWrap/>
            <w:vAlign w:val="center"/>
          </w:tcPr>
          <w:p w14:paraId="03B1CFFC">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4B6C9616">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▲显示屏防蓝光</w:t>
            </w:r>
          </w:p>
        </w:tc>
        <w:tc>
          <w:tcPr>
            <w:tcW w:w="5499" w:type="dxa"/>
            <w:tcBorders>
              <w:tl2br w:val="nil"/>
              <w:tr2bl w:val="nil"/>
            </w:tcBorders>
            <w:shd w:val="clear" w:color="auto" w:fill="auto"/>
            <w:vAlign w:val="center"/>
          </w:tcPr>
          <w:p w14:paraId="78C9BD89">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支持防蓝光模式，蓝光加权辐射亮度比应≤0.0012W/(·cd·sr)（瓦每坎特拉每球面度）</w:t>
            </w:r>
          </w:p>
        </w:tc>
      </w:tr>
      <w:tr w14:paraId="5D58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5D23A0EE">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29</w:t>
            </w:r>
          </w:p>
        </w:tc>
        <w:tc>
          <w:tcPr>
            <w:tcW w:w="849" w:type="dxa"/>
            <w:vMerge w:val="continue"/>
            <w:tcBorders>
              <w:tl2br w:val="nil"/>
              <w:tr2bl w:val="nil"/>
            </w:tcBorders>
            <w:shd w:val="clear" w:color="auto" w:fill="auto"/>
            <w:noWrap/>
            <w:vAlign w:val="center"/>
          </w:tcPr>
          <w:p w14:paraId="2D1C21BE">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048F202C">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▲显示屏低频闪</w:t>
            </w:r>
          </w:p>
        </w:tc>
        <w:tc>
          <w:tcPr>
            <w:tcW w:w="5499" w:type="dxa"/>
            <w:tcBorders>
              <w:tl2br w:val="nil"/>
              <w:tr2bl w:val="nil"/>
            </w:tcBorders>
            <w:shd w:val="clear" w:color="auto" w:fill="auto"/>
            <w:vAlign w:val="center"/>
          </w:tcPr>
          <w:p w14:paraId="2727F5E7">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显示屏应支持低频闪≤-35dB</w:t>
            </w:r>
          </w:p>
        </w:tc>
      </w:tr>
      <w:tr w14:paraId="759C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31510DEA">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w:t>
            </w:r>
          </w:p>
        </w:tc>
        <w:tc>
          <w:tcPr>
            <w:tcW w:w="849" w:type="dxa"/>
            <w:vMerge w:val="continue"/>
            <w:tcBorders>
              <w:tl2br w:val="nil"/>
              <w:tr2bl w:val="nil"/>
            </w:tcBorders>
            <w:shd w:val="clear" w:color="auto" w:fill="auto"/>
            <w:noWrap/>
            <w:vAlign w:val="center"/>
          </w:tcPr>
          <w:p w14:paraId="2ED328F9">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56B32A81">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▲显示屏防炫目</w:t>
            </w:r>
          </w:p>
        </w:tc>
        <w:tc>
          <w:tcPr>
            <w:tcW w:w="5499" w:type="dxa"/>
            <w:tcBorders>
              <w:tl2br w:val="nil"/>
              <w:tr2bl w:val="nil"/>
            </w:tcBorders>
            <w:shd w:val="clear" w:color="auto" w:fill="auto"/>
            <w:vAlign w:val="center"/>
          </w:tcPr>
          <w:p w14:paraId="155C07D5">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显示器镜面反射率≤10%</w:t>
            </w:r>
          </w:p>
        </w:tc>
      </w:tr>
      <w:tr w14:paraId="450E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blHeader/>
          <w:jc w:val="center"/>
        </w:trPr>
        <w:tc>
          <w:tcPr>
            <w:tcW w:w="580" w:type="dxa"/>
            <w:tcBorders>
              <w:tl2br w:val="nil"/>
              <w:tr2bl w:val="nil"/>
            </w:tcBorders>
            <w:shd w:val="clear" w:color="auto" w:fill="auto"/>
            <w:noWrap/>
            <w:vAlign w:val="center"/>
          </w:tcPr>
          <w:p w14:paraId="71264C48">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31</w:t>
            </w:r>
          </w:p>
        </w:tc>
        <w:tc>
          <w:tcPr>
            <w:tcW w:w="849" w:type="dxa"/>
            <w:vMerge w:val="restart"/>
            <w:tcBorders>
              <w:tl2br w:val="nil"/>
              <w:tr2bl w:val="nil"/>
            </w:tcBorders>
            <w:shd w:val="clear" w:color="auto" w:fill="auto"/>
            <w:vAlign w:val="center"/>
          </w:tcPr>
          <w:p w14:paraId="31DAAFEC">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外设规格</w:t>
            </w:r>
          </w:p>
        </w:tc>
        <w:tc>
          <w:tcPr>
            <w:tcW w:w="2300" w:type="dxa"/>
            <w:tcBorders>
              <w:tl2br w:val="nil"/>
              <w:tr2bl w:val="nil"/>
            </w:tcBorders>
            <w:shd w:val="clear" w:color="auto" w:fill="auto"/>
            <w:vAlign w:val="center"/>
          </w:tcPr>
          <w:p w14:paraId="0E0A3597">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传声器数量</w:t>
            </w:r>
          </w:p>
        </w:tc>
        <w:tc>
          <w:tcPr>
            <w:tcW w:w="5499" w:type="dxa"/>
            <w:tcBorders>
              <w:tl2br w:val="nil"/>
              <w:tr2bl w:val="nil"/>
            </w:tcBorders>
            <w:shd w:val="clear" w:color="auto" w:fill="auto"/>
            <w:vAlign w:val="center"/>
          </w:tcPr>
          <w:p w14:paraId="2556F38A">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≥1个</w:t>
            </w:r>
          </w:p>
        </w:tc>
      </w:tr>
      <w:tr w14:paraId="2D7E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475295EF">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32</w:t>
            </w:r>
          </w:p>
        </w:tc>
        <w:tc>
          <w:tcPr>
            <w:tcW w:w="849" w:type="dxa"/>
            <w:vMerge w:val="continue"/>
            <w:tcBorders>
              <w:tl2br w:val="nil"/>
              <w:tr2bl w:val="nil"/>
            </w:tcBorders>
            <w:shd w:val="clear" w:color="auto" w:fill="auto"/>
            <w:vAlign w:val="center"/>
          </w:tcPr>
          <w:p w14:paraId="183ECAC1">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6740C80C">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扬声器数量</w:t>
            </w:r>
          </w:p>
        </w:tc>
        <w:tc>
          <w:tcPr>
            <w:tcW w:w="5499" w:type="dxa"/>
            <w:tcBorders>
              <w:tl2br w:val="nil"/>
              <w:tr2bl w:val="nil"/>
            </w:tcBorders>
            <w:shd w:val="clear" w:color="auto" w:fill="auto"/>
            <w:vAlign w:val="center"/>
          </w:tcPr>
          <w:p w14:paraId="66C15018">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≥1个</w:t>
            </w:r>
          </w:p>
        </w:tc>
      </w:tr>
      <w:tr w14:paraId="5A95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147F757">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33</w:t>
            </w:r>
          </w:p>
        </w:tc>
        <w:tc>
          <w:tcPr>
            <w:tcW w:w="849" w:type="dxa"/>
            <w:vMerge w:val="continue"/>
            <w:tcBorders>
              <w:tl2br w:val="nil"/>
              <w:tr2bl w:val="nil"/>
            </w:tcBorders>
            <w:shd w:val="clear" w:color="auto" w:fill="auto"/>
            <w:vAlign w:val="center"/>
          </w:tcPr>
          <w:p w14:paraId="75B975B0">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46F051E8">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▲鼠标数量</w:t>
            </w:r>
          </w:p>
        </w:tc>
        <w:tc>
          <w:tcPr>
            <w:tcW w:w="5499" w:type="dxa"/>
            <w:tcBorders>
              <w:tl2br w:val="nil"/>
              <w:tr2bl w:val="nil"/>
            </w:tcBorders>
            <w:shd w:val="clear" w:color="auto" w:fill="auto"/>
            <w:vAlign w:val="center"/>
          </w:tcPr>
          <w:p w14:paraId="79825878">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≥1个</w:t>
            </w:r>
          </w:p>
        </w:tc>
      </w:tr>
      <w:tr w14:paraId="03AB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38DCBD13">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34</w:t>
            </w:r>
          </w:p>
        </w:tc>
        <w:tc>
          <w:tcPr>
            <w:tcW w:w="849" w:type="dxa"/>
            <w:vMerge w:val="continue"/>
            <w:tcBorders>
              <w:tl2br w:val="nil"/>
              <w:tr2bl w:val="nil"/>
            </w:tcBorders>
            <w:shd w:val="clear" w:color="auto" w:fill="auto"/>
            <w:vAlign w:val="center"/>
          </w:tcPr>
          <w:p w14:paraId="4220AF5B">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6C5B8B9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键盘数量</w:t>
            </w:r>
          </w:p>
        </w:tc>
        <w:tc>
          <w:tcPr>
            <w:tcW w:w="5499" w:type="dxa"/>
            <w:tcBorders>
              <w:tl2br w:val="nil"/>
              <w:tr2bl w:val="nil"/>
            </w:tcBorders>
            <w:shd w:val="clear" w:color="auto" w:fill="auto"/>
            <w:vAlign w:val="center"/>
          </w:tcPr>
          <w:p w14:paraId="4614F2D1">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≥1个</w:t>
            </w:r>
          </w:p>
        </w:tc>
      </w:tr>
      <w:tr w14:paraId="35F5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592008C">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35</w:t>
            </w:r>
          </w:p>
        </w:tc>
        <w:tc>
          <w:tcPr>
            <w:tcW w:w="849" w:type="dxa"/>
            <w:vMerge w:val="continue"/>
            <w:tcBorders>
              <w:tl2br w:val="nil"/>
              <w:tr2bl w:val="nil"/>
            </w:tcBorders>
            <w:shd w:val="clear" w:color="auto" w:fill="auto"/>
            <w:vAlign w:val="center"/>
          </w:tcPr>
          <w:p w14:paraId="69FDE509">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541BBCEE">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触控板数量</w:t>
            </w:r>
          </w:p>
        </w:tc>
        <w:tc>
          <w:tcPr>
            <w:tcW w:w="5499" w:type="dxa"/>
            <w:tcBorders>
              <w:tl2br w:val="nil"/>
              <w:tr2bl w:val="nil"/>
            </w:tcBorders>
            <w:shd w:val="clear" w:color="auto" w:fill="auto"/>
            <w:vAlign w:val="center"/>
          </w:tcPr>
          <w:p w14:paraId="384B9EB3">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≥1个</w:t>
            </w:r>
          </w:p>
        </w:tc>
      </w:tr>
      <w:tr w14:paraId="6FAB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8CB35D0">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36</w:t>
            </w:r>
          </w:p>
        </w:tc>
        <w:tc>
          <w:tcPr>
            <w:tcW w:w="849" w:type="dxa"/>
            <w:vMerge w:val="continue"/>
            <w:tcBorders>
              <w:tl2br w:val="nil"/>
              <w:tr2bl w:val="nil"/>
            </w:tcBorders>
            <w:shd w:val="clear" w:color="auto" w:fill="auto"/>
            <w:vAlign w:val="center"/>
          </w:tcPr>
          <w:p w14:paraId="79174AE3">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41919FB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摄像头数量</w:t>
            </w:r>
          </w:p>
        </w:tc>
        <w:tc>
          <w:tcPr>
            <w:tcW w:w="5499" w:type="dxa"/>
            <w:tcBorders>
              <w:tl2br w:val="nil"/>
              <w:tr2bl w:val="nil"/>
            </w:tcBorders>
            <w:shd w:val="clear" w:color="auto" w:fill="auto"/>
            <w:vAlign w:val="center"/>
          </w:tcPr>
          <w:p w14:paraId="1ED8079D">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≥1个</w:t>
            </w:r>
          </w:p>
        </w:tc>
      </w:tr>
      <w:tr w14:paraId="6159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2426A3FD">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37</w:t>
            </w:r>
          </w:p>
        </w:tc>
        <w:tc>
          <w:tcPr>
            <w:tcW w:w="849" w:type="dxa"/>
            <w:vMerge w:val="continue"/>
            <w:tcBorders>
              <w:tl2br w:val="nil"/>
              <w:tr2bl w:val="nil"/>
            </w:tcBorders>
            <w:shd w:val="clear" w:color="auto" w:fill="auto"/>
            <w:vAlign w:val="center"/>
          </w:tcPr>
          <w:p w14:paraId="24BC9FA6">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201EBEC9">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光驱数量</w:t>
            </w:r>
          </w:p>
        </w:tc>
        <w:tc>
          <w:tcPr>
            <w:tcW w:w="5499" w:type="dxa"/>
            <w:tcBorders>
              <w:tl2br w:val="nil"/>
              <w:tr2bl w:val="nil"/>
            </w:tcBorders>
            <w:shd w:val="clear" w:color="auto" w:fill="auto"/>
            <w:vAlign w:val="center"/>
          </w:tcPr>
          <w:p w14:paraId="29949DB8">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≥0个</w:t>
            </w:r>
          </w:p>
        </w:tc>
      </w:tr>
      <w:tr w14:paraId="045A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249828F1">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38</w:t>
            </w:r>
          </w:p>
        </w:tc>
        <w:tc>
          <w:tcPr>
            <w:tcW w:w="849" w:type="dxa"/>
            <w:vMerge w:val="continue"/>
            <w:tcBorders>
              <w:tl2br w:val="nil"/>
              <w:tr2bl w:val="nil"/>
            </w:tcBorders>
            <w:shd w:val="clear" w:color="auto" w:fill="auto"/>
            <w:vAlign w:val="center"/>
          </w:tcPr>
          <w:p w14:paraId="339BBE0C">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41B154E9">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▲键盘按键数目</w:t>
            </w:r>
          </w:p>
        </w:tc>
        <w:tc>
          <w:tcPr>
            <w:tcW w:w="5499" w:type="dxa"/>
            <w:tcBorders>
              <w:tl2br w:val="nil"/>
              <w:tr2bl w:val="nil"/>
            </w:tcBorders>
            <w:shd w:val="clear" w:color="auto" w:fill="auto"/>
            <w:vAlign w:val="center"/>
          </w:tcPr>
          <w:p w14:paraId="7D6D6C48">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62 键/84 键/105 键等</w:t>
            </w:r>
          </w:p>
        </w:tc>
      </w:tr>
      <w:tr w14:paraId="7334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68AD574F">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39</w:t>
            </w:r>
          </w:p>
        </w:tc>
        <w:tc>
          <w:tcPr>
            <w:tcW w:w="849" w:type="dxa"/>
            <w:vMerge w:val="continue"/>
            <w:tcBorders>
              <w:tl2br w:val="nil"/>
              <w:tr2bl w:val="nil"/>
            </w:tcBorders>
            <w:shd w:val="clear" w:color="auto" w:fill="auto"/>
            <w:vAlign w:val="center"/>
          </w:tcPr>
          <w:p w14:paraId="2F25FB7E">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FE8660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▲摄像头像素</w:t>
            </w:r>
          </w:p>
        </w:tc>
        <w:tc>
          <w:tcPr>
            <w:tcW w:w="5499" w:type="dxa"/>
            <w:tcBorders>
              <w:tl2br w:val="nil"/>
              <w:tr2bl w:val="nil"/>
            </w:tcBorders>
            <w:shd w:val="clear" w:color="auto" w:fill="auto"/>
            <w:vAlign w:val="center"/>
          </w:tcPr>
          <w:p w14:paraId="3594BB27">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≥100万</w:t>
            </w:r>
          </w:p>
        </w:tc>
      </w:tr>
      <w:tr w14:paraId="3F8C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60F43AB3">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40</w:t>
            </w:r>
          </w:p>
        </w:tc>
        <w:tc>
          <w:tcPr>
            <w:tcW w:w="849" w:type="dxa"/>
            <w:vMerge w:val="continue"/>
            <w:tcBorders>
              <w:tl2br w:val="nil"/>
              <w:tr2bl w:val="nil"/>
            </w:tcBorders>
            <w:shd w:val="clear" w:color="auto" w:fill="auto"/>
            <w:vAlign w:val="center"/>
          </w:tcPr>
          <w:p w14:paraId="00A54B77">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19B79C1C">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摄像头分辨率</w:t>
            </w:r>
          </w:p>
        </w:tc>
        <w:tc>
          <w:tcPr>
            <w:tcW w:w="5499" w:type="dxa"/>
            <w:tcBorders>
              <w:tl2br w:val="nil"/>
              <w:tr2bl w:val="nil"/>
            </w:tcBorders>
            <w:shd w:val="clear" w:color="auto" w:fill="auto"/>
            <w:vAlign w:val="center"/>
          </w:tcPr>
          <w:p w14:paraId="654A666C">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≥1280</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720</w:t>
            </w:r>
          </w:p>
        </w:tc>
      </w:tr>
      <w:tr w14:paraId="2085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281BEF66">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41</w:t>
            </w:r>
          </w:p>
        </w:tc>
        <w:tc>
          <w:tcPr>
            <w:tcW w:w="849" w:type="dxa"/>
            <w:vMerge w:val="continue"/>
            <w:tcBorders>
              <w:tl2br w:val="nil"/>
              <w:tr2bl w:val="nil"/>
            </w:tcBorders>
            <w:shd w:val="clear" w:color="auto" w:fill="auto"/>
            <w:vAlign w:val="center"/>
          </w:tcPr>
          <w:p w14:paraId="083359D9">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8A23B9E">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内置扬声器功率</w:t>
            </w:r>
          </w:p>
        </w:tc>
        <w:tc>
          <w:tcPr>
            <w:tcW w:w="5499" w:type="dxa"/>
            <w:tcBorders>
              <w:tl2br w:val="nil"/>
              <w:tr2bl w:val="nil"/>
            </w:tcBorders>
            <w:shd w:val="clear" w:color="auto" w:fill="auto"/>
            <w:vAlign w:val="center"/>
          </w:tcPr>
          <w:p w14:paraId="04665280">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≥1瓦/个</w:t>
            </w:r>
          </w:p>
        </w:tc>
      </w:tr>
      <w:tr w14:paraId="1B87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6BB15CC3">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42</w:t>
            </w:r>
          </w:p>
        </w:tc>
        <w:tc>
          <w:tcPr>
            <w:tcW w:w="849" w:type="dxa"/>
            <w:vMerge w:val="continue"/>
            <w:tcBorders>
              <w:tl2br w:val="nil"/>
              <w:tr2bl w:val="nil"/>
            </w:tcBorders>
            <w:shd w:val="clear" w:color="auto" w:fill="auto"/>
            <w:vAlign w:val="center"/>
          </w:tcPr>
          <w:p w14:paraId="2349A15B">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24A540C8">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内置扬声器频率范围</w:t>
            </w:r>
          </w:p>
        </w:tc>
        <w:tc>
          <w:tcPr>
            <w:tcW w:w="5499" w:type="dxa"/>
            <w:tcBorders>
              <w:tl2br w:val="nil"/>
              <w:tr2bl w:val="nil"/>
            </w:tcBorders>
            <w:shd w:val="clear" w:color="auto" w:fill="auto"/>
            <w:vAlign w:val="center"/>
          </w:tcPr>
          <w:p w14:paraId="450CD6C9">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100Hz-20kHz，其中100Hz-200Hz：35dB及以上；200Hz-12kHz：55dB及以上，12kHz-18kHz：35dB及以上</w:t>
            </w:r>
          </w:p>
        </w:tc>
      </w:tr>
      <w:tr w14:paraId="51D2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45B4C44A">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43</w:t>
            </w:r>
          </w:p>
        </w:tc>
        <w:tc>
          <w:tcPr>
            <w:tcW w:w="849" w:type="dxa"/>
            <w:vMerge w:val="continue"/>
            <w:tcBorders>
              <w:tl2br w:val="nil"/>
              <w:tr2bl w:val="nil"/>
            </w:tcBorders>
            <w:shd w:val="clear" w:color="auto" w:fill="auto"/>
            <w:vAlign w:val="center"/>
          </w:tcPr>
          <w:p w14:paraId="76C5DA85">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0D45FBA4">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内置扬声器总谐波失真</w:t>
            </w:r>
          </w:p>
        </w:tc>
        <w:tc>
          <w:tcPr>
            <w:tcW w:w="5499" w:type="dxa"/>
            <w:tcBorders>
              <w:tl2br w:val="nil"/>
              <w:tr2bl w:val="nil"/>
            </w:tcBorders>
            <w:shd w:val="clear" w:color="auto" w:fill="auto"/>
            <w:vAlign w:val="center"/>
          </w:tcPr>
          <w:p w14:paraId="40489B73">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总谐波失真在300Hz-7kHz频率范围内宜不高于5%</w:t>
            </w:r>
          </w:p>
        </w:tc>
      </w:tr>
      <w:tr w14:paraId="2940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EAB83C9">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44</w:t>
            </w:r>
          </w:p>
        </w:tc>
        <w:tc>
          <w:tcPr>
            <w:tcW w:w="849" w:type="dxa"/>
            <w:vMerge w:val="continue"/>
            <w:tcBorders>
              <w:tl2br w:val="nil"/>
              <w:tr2bl w:val="nil"/>
            </w:tcBorders>
            <w:shd w:val="clear" w:color="auto" w:fill="auto"/>
            <w:vAlign w:val="center"/>
          </w:tcPr>
          <w:p w14:paraId="76A667BB">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4A3F75D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内置扬声器最大声压级</w:t>
            </w:r>
          </w:p>
        </w:tc>
        <w:tc>
          <w:tcPr>
            <w:tcW w:w="5499" w:type="dxa"/>
            <w:tcBorders>
              <w:tl2br w:val="nil"/>
              <w:tr2bl w:val="nil"/>
            </w:tcBorders>
            <w:shd w:val="clear" w:color="auto" w:fill="auto"/>
            <w:vAlign w:val="center"/>
          </w:tcPr>
          <w:p w14:paraId="2C183215">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最大声压级在粉红噪声播放场景下，工作距离处声压级宜不低于70dB</w:t>
            </w:r>
          </w:p>
        </w:tc>
      </w:tr>
      <w:tr w14:paraId="7321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3A0D7467">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45</w:t>
            </w:r>
          </w:p>
        </w:tc>
        <w:tc>
          <w:tcPr>
            <w:tcW w:w="849" w:type="dxa"/>
            <w:vMerge w:val="continue"/>
            <w:tcBorders>
              <w:tl2br w:val="nil"/>
              <w:tr2bl w:val="nil"/>
            </w:tcBorders>
            <w:shd w:val="clear" w:color="auto" w:fill="auto"/>
            <w:vAlign w:val="center"/>
          </w:tcPr>
          <w:p w14:paraId="5056124F">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6AB83C31">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键盘键程</w:t>
            </w:r>
          </w:p>
        </w:tc>
        <w:tc>
          <w:tcPr>
            <w:tcW w:w="5499" w:type="dxa"/>
            <w:tcBorders>
              <w:tl2br w:val="nil"/>
              <w:tr2bl w:val="nil"/>
            </w:tcBorders>
            <w:shd w:val="clear" w:color="auto" w:fill="auto"/>
            <w:vAlign w:val="center"/>
          </w:tcPr>
          <w:p w14:paraId="54E615AA">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0.9mm</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2.3mm</w:t>
            </w:r>
          </w:p>
        </w:tc>
      </w:tr>
      <w:tr w14:paraId="44D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3763629D">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46</w:t>
            </w:r>
          </w:p>
        </w:tc>
        <w:tc>
          <w:tcPr>
            <w:tcW w:w="849" w:type="dxa"/>
            <w:vMerge w:val="continue"/>
            <w:tcBorders>
              <w:tl2br w:val="nil"/>
              <w:tr2bl w:val="nil"/>
            </w:tcBorders>
            <w:shd w:val="clear" w:color="auto" w:fill="auto"/>
            <w:vAlign w:val="center"/>
          </w:tcPr>
          <w:p w14:paraId="06DAE891">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46B6220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键盘按键压力</w:t>
            </w:r>
          </w:p>
        </w:tc>
        <w:tc>
          <w:tcPr>
            <w:tcW w:w="5499" w:type="dxa"/>
            <w:tcBorders>
              <w:tl2br w:val="nil"/>
              <w:tr2bl w:val="nil"/>
            </w:tcBorders>
            <w:shd w:val="clear" w:color="auto" w:fill="auto"/>
            <w:vAlign w:val="center"/>
          </w:tcPr>
          <w:p w14:paraId="6F5935C8">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按键压力宜在0.3～0.8N之间</w:t>
            </w:r>
          </w:p>
        </w:tc>
      </w:tr>
      <w:tr w14:paraId="3518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1F76D33E">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47</w:t>
            </w:r>
          </w:p>
        </w:tc>
        <w:tc>
          <w:tcPr>
            <w:tcW w:w="849" w:type="dxa"/>
            <w:vMerge w:val="continue"/>
            <w:tcBorders>
              <w:tl2br w:val="nil"/>
              <w:tr2bl w:val="nil"/>
            </w:tcBorders>
            <w:shd w:val="clear" w:color="auto" w:fill="auto"/>
            <w:vAlign w:val="center"/>
          </w:tcPr>
          <w:p w14:paraId="5C3D73E0">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09E979AA">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键盘颜色</w:t>
            </w:r>
          </w:p>
        </w:tc>
        <w:tc>
          <w:tcPr>
            <w:tcW w:w="5499" w:type="dxa"/>
            <w:tcBorders>
              <w:tl2br w:val="nil"/>
              <w:tr2bl w:val="nil"/>
            </w:tcBorders>
            <w:shd w:val="clear" w:color="auto" w:fill="auto"/>
            <w:vAlign w:val="center"/>
          </w:tcPr>
          <w:p w14:paraId="15369BD4">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黑色/银色/白色等商务色系</w:t>
            </w:r>
          </w:p>
        </w:tc>
      </w:tr>
      <w:tr w14:paraId="0E91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70D7AC9B">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48</w:t>
            </w:r>
          </w:p>
        </w:tc>
        <w:tc>
          <w:tcPr>
            <w:tcW w:w="849" w:type="dxa"/>
            <w:vMerge w:val="continue"/>
            <w:tcBorders>
              <w:tl2br w:val="nil"/>
              <w:tr2bl w:val="nil"/>
            </w:tcBorders>
            <w:shd w:val="clear" w:color="auto" w:fill="auto"/>
            <w:vAlign w:val="center"/>
          </w:tcPr>
          <w:p w14:paraId="1306CCCD">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65B5B94F">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鼠标连接方式</w:t>
            </w:r>
          </w:p>
        </w:tc>
        <w:tc>
          <w:tcPr>
            <w:tcW w:w="5499" w:type="dxa"/>
            <w:tcBorders>
              <w:tl2br w:val="nil"/>
              <w:tr2bl w:val="nil"/>
            </w:tcBorders>
            <w:shd w:val="clear" w:color="auto" w:fill="auto"/>
            <w:vAlign w:val="center"/>
          </w:tcPr>
          <w:p w14:paraId="70FD6004">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有线或无线</w:t>
            </w:r>
          </w:p>
        </w:tc>
      </w:tr>
      <w:tr w14:paraId="174E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blHeader/>
          <w:jc w:val="center"/>
        </w:trPr>
        <w:tc>
          <w:tcPr>
            <w:tcW w:w="580" w:type="dxa"/>
            <w:tcBorders>
              <w:tl2br w:val="nil"/>
              <w:tr2bl w:val="nil"/>
            </w:tcBorders>
            <w:shd w:val="clear" w:color="auto" w:fill="auto"/>
            <w:noWrap/>
            <w:vAlign w:val="center"/>
          </w:tcPr>
          <w:p w14:paraId="5D398AE1">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49</w:t>
            </w:r>
          </w:p>
        </w:tc>
        <w:tc>
          <w:tcPr>
            <w:tcW w:w="849" w:type="dxa"/>
            <w:vMerge w:val="continue"/>
            <w:tcBorders>
              <w:tl2br w:val="nil"/>
              <w:tr2bl w:val="nil"/>
            </w:tcBorders>
            <w:shd w:val="clear" w:color="auto" w:fill="auto"/>
            <w:vAlign w:val="center"/>
          </w:tcPr>
          <w:p w14:paraId="4EA7AA62">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28AB38D7">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有线鼠标连接线</w:t>
            </w:r>
          </w:p>
        </w:tc>
        <w:tc>
          <w:tcPr>
            <w:tcW w:w="5499" w:type="dxa"/>
            <w:tcBorders>
              <w:tl2br w:val="nil"/>
              <w:tr2bl w:val="nil"/>
            </w:tcBorders>
            <w:shd w:val="clear" w:color="auto" w:fill="auto"/>
            <w:vAlign w:val="center"/>
          </w:tcPr>
          <w:p w14:paraId="1FDDEA47">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≥1.5米</w:t>
            </w:r>
          </w:p>
        </w:tc>
      </w:tr>
      <w:tr w14:paraId="61D0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6D1D4C6">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50</w:t>
            </w:r>
          </w:p>
        </w:tc>
        <w:tc>
          <w:tcPr>
            <w:tcW w:w="849" w:type="dxa"/>
            <w:vMerge w:val="continue"/>
            <w:tcBorders>
              <w:tl2br w:val="nil"/>
              <w:tr2bl w:val="nil"/>
            </w:tcBorders>
            <w:shd w:val="clear" w:color="auto" w:fill="auto"/>
            <w:vAlign w:val="center"/>
          </w:tcPr>
          <w:p w14:paraId="344E87A5">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4F9E636C">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鼠标DPI分辨率</w:t>
            </w:r>
          </w:p>
        </w:tc>
        <w:tc>
          <w:tcPr>
            <w:tcW w:w="5499" w:type="dxa"/>
            <w:tcBorders>
              <w:tl2br w:val="nil"/>
              <w:tr2bl w:val="nil"/>
            </w:tcBorders>
            <w:shd w:val="clear" w:color="auto" w:fill="auto"/>
            <w:vAlign w:val="center"/>
          </w:tcPr>
          <w:p w14:paraId="7BA22D19">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800</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1600</w:t>
            </w:r>
          </w:p>
        </w:tc>
      </w:tr>
      <w:tr w14:paraId="4030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50586177">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51</w:t>
            </w:r>
          </w:p>
        </w:tc>
        <w:tc>
          <w:tcPr>
            <w:tcW w:w="849" w:type="dxa"/>
            <w:vMerge w:val="continue"/>
            <w:tcBorders>
              <w:tl2br w:val="nil"/>
              <w:tr2bl w:val="nil"/>
            </w:tcBorders>
            <w:shd w:val="clear" w:color="auto" w:fill="auto"/>
            <w:vAlign w:val="center"/>
          </w:tcPr>
          <w:p w14:paraId="702F5FD3">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E84F25D">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鼠标颜色</w:t>
            </w:r>
          </w:p>
        </w:tc>
        <w:tc>
          <w:tcPr>
            <w:tcW w:w="5499" w:type="dxa"/>
            <w:tcBorders>
              <w:tl2br w:val="nil"/>
              <w:tr2bl w:val="nil"/>
            </w:tcBorders>
            <w:shd w:val="clear" w:color="auto" w:fill="auto"/>
            <w:vAlign w:val="center"/>
          </w:tcPr>
          <w:p w14:paraId="66FF53F1">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黑色/银色/白色等商务色系</w:t>
            </w:r>
          </w:p>
        </w:tc>
      </w:tr>
      <w:tr w14:paraId="0867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6E5589B5">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52</w:t>
            </w:r>
          </w:p>
        </w:tc>
        <w:tc>
          <w:tcPr>
            <w:tcW w:w="849" w:type="dxa"/>
            <w:vMerge w:val="continue"/>
            <w:tcBorders>
              <w:tl2br w:val="nil"/>
              <w:tr2bl w:val="nil"/>
            </w:tcBorders>
            <w:shd w:val="clear" w:color="auto" w:fill="auto"/>
            <w:vAlign w:val="center"/>
          </w:tcPr>
          <w:p w14:paraId="023B1050">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F26CF7D">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鼠标其他要求</w:t>
            </w:r>
          </w:p>
        </w:tc>
        <w:tc>
          <w:tcPr>
            <w:tcW w:w="5499" w:type="dxa"/>
            <w:tcBorders>
              <w:tl2br w:val="nil"/>
              <w:tr2bl w:val="nil"/>
            </w:tcBorders>
            <w:shd w:val="clear" w:color="auto" w:fill="auto"/>
            <w:vAlign w:val="center"/>
          </w:tcPr>
          <w:p w14:paraId="6898887B">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其它参数应符合GB/T26245的相关规定</w:t>
            </w:r>
          </w:p>
        </w:tc>
      </w:tr>
      <w:tr w14:paraId="0FA6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2B42379D">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53</w:t>
            </w:r>
          </w:p>
        </w:tc>
        <w:tc>
          <w:tcPr>
            <w:tcW w:w="849" w:type="dxa"/>
            <w:vMerge w:val="continue"/>
            <w:tcBorders>
              <w:tl2br w:val="nil"/>
              <w:tr2bl w:val="nil"/>
            </w:tcBorders>
            <w:shd w:val="clear" w:color="auto" w:fill="auto"/>
            <w:vAlign w:val="center"/>
          </w:tcPr>
          <w:p w14:paraId="02BAA1E5">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2994D4D">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触控板尺寸</w:t>
            </w:r>
          </w:p>
        </w:tc>
        <w:tc>
          <w:tcPr>
            <w:tcW w:w="5499" w:type="dxa"/>
            <w:tcBorders>
              <w:tl2br w:val="nil"/>
              <w:tr2bl w:val="nil"/>
            </w:tcBorders>
            <w:shd w:val="clear" w:color="auto" w:fill="auto"/>
            <w:vAlign w:val="center"/>
          </w:tcPr>
          <w:p w14:paraId="501D93BA">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≥70mm×50mm</w:t>
            </w:r>
          </w:p>
        </w:tc>
      </w:tr>
      <w:tr w14:paraId="0E4F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792289B5">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54</w:t>
            </w:r>
          </w:p>
        </w:tc>
        <w:tc>
          <w:tcPr>
            <w:tcW w:w="849" w:type="dxa"/>
            <w:vMerge w:val="continue"/>
            <w:tcBorders>
              <w:tl2br w:val="nil"/>
              <w:tr2bl w:val="nil"/>
            </w:tcBorders>
            <w:shd w:val="clear" w:color="auto" w:fill="auto"/>
            <w:vAlign w:val="center"/>
          </w:tcPr>
          <w:p w14:paraId="59B7AA80">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18C546C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触控板材质</w:t>
            </w:r>
          </w:p>
        </w:tc>
        <w:tc>
          <w:tcPr>
            <w:tcW w:w="5499" w:type="dxa"/>
            <w:tcBorders>
              <w:tl2br w:val="nil"/>
              <w:tr2bl w:val="nil"/>
            </w:tcBorders>
            <w:shd w:val="clear" w:color="auto" w:fill="auto"/>
            <w:vAlign w:val="center"/>
          </w:tcPr>
          <w:p w14:paraId="2C6DD74F">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采用麦拉片或玻璃等材质</w:t>
            </w:r>
          </w:p>
        </w:tc>
      </w:tr>
      <w:tr w14:paraId="3EEE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37D76E66">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55</w:t>
            </w:r>
          </w:p>
        </w:tc>
        <w:tc>
          <w:tcPr>
            <w:tcW w:w="849" w:type="dxa"/>
            <w:vMerge w:val="continue"/>
            <w:tcBorders>
              <w:tl2br w:val="nil"/>
              <w:tr2bl w:val="nil"/>
            </w:tcBorders>
            <w:shd w:val="clear" w:color="auto" w:fill="auto"/>
            <w:vAlign w:val="center"/>
          </w:tcPr>
          <w:p w14:paraId="4590B066">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63CD55E">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光驱规格</w:t>
            </w:r>
          </w:p>
        </w:tc>
        <w:tc>
          <w:tcPr>
            <w:tcW w:w="5499" w:type="dxa"/>
            <w:tcBorders>
              <w:tl2br w:val="nil"/>
              <w:tr2bl w:val="nil"/>
            </w:tcBorders>
            <w:shd w:val="clear" w:color="auto" w:fill="auto"/>
            <w:noWrap/>
            <w:vAlign w:val="center"/>
          </w:tcPr>
          <w:p w14:paraId="1AACBA02">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此指标不做要求</w:t>
            </w:r>
          </w:p>
        </w:tc>
      </w:tr>
      <w:tr w14:paraId="1A26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1BA4F725">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56</w:t>
            </w:r>
          </w:p>
        </w:tc>
        <w:tc>
          <w:tcPr>
            <w:tcW w:w="849" w:type="dxa"/>
            <w:vMerge w:val="restart"/>
            <w:tcBorders>
              <w:tl2br w:val="nil"/>
              <w:tr2bl w:val="nil"/>
            </w:tcBorders>
            <w:shd w:val="clear" w:color="auto" w:fill="auto"/>
            <w:noWrap/>
            <w:vAlign w:val="center"/>
          </w:tcPr>
          <w:p w14:paraId="57F0BD33">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网络设备规格</w:t>
            </w:r>
          </w:p>
        </w:tc>
        <w:tc>
          <w:tcPr>
            <w:tcW w:w="2300" w:type="dxa"/>
            <w:tcBorders>
              <w:tl2br w:val="nil"/>
              <w:tr2bl w:val="nil"/>
            </w:tcBorders>
            <w:shd w:val="clear" w:color="auto" w:fill="auto"/>
            <w:vAlign w:val="center"/>
          </w:tcPr>
          <w:p w14:paraId="5660C0AC">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▲有线网卡数量</w:t>
            </w:r>
          </w:p>
        </w:tc>
        <w:tc>
          <w:tcPr>
            <w:tcW w:w="5499" w:type="dxa"/>
            <w:tcBorders>
              <w:tl2br w:val="nil"/>
              <w:tr2bl w:val="nil"/>
            </w:tcBorders>
            <w:shd w:val="clear" w:color="auto" w:fill="auto"/>
            <w:vAlign w:val="center"/>
          </w:tcPr>
          <w:p w14:paraId="58914B6B">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≥1（可通过扩展坞支持）</w:t>
            </w:r>
          </w:p>
        </w:tc>
      </w:tr>
      <w:tr w14:paraId="0559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14345BE0">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57</w:t>
            </w:r>
          </w:p>
        </w:tc>
        <w:tc>
          <w:tcPr>
            <w:tcW w:w="849" w:type="dxa"/>
            <w:vMerge w:val="continue"/>
            <w:tcBorders>
              <w:tl2br w:val="nil"/>
              <w:tr2bl w:val="nil"/>
            </w:tcBorders>
            <w:shd w:val="clear" w:color="auto" w:fill="auto"/>
            <w:noWrap/>
            <w:vAlign w:val="center"/>
          </w:tcPr>
          <w:p w14:paraId="3B619461">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0FFF20F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无线网卡及天线数量</w:t>
            </w:r>
          </w:p>
        </w:tc>
        <w:tc>
          <w:tcPr>
            <w:tcW w:w="5499" w:type="dxa"/>
            <w:tcBorders>
              <w:tl2br w:val="nil"/>
              <w:tr2bl w:val="nil"/>
            </w:tcBorders>
            <w:shd w:val="clear" w:color="auto" w:fill="auto"/>
            <w:vAlign w:val="center"/>
          </w:tcPr>
          <w:p w14:paraId="1EC9BFAB">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r>
      <w:tr w14:paraId="2B83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D10117A">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58</w:t>
            </w:r>
          </w:p>
        </w:tc>
        <w:tc>
          <w:tcPr>
            <w:tcW w:w="849" w:type="dxa"/>
            <w:vMerge w:val="continue"/>
            <w:tcBorders>
              <w:tl2br w:val="nil"/>
              <w:tr2bl w:val="nil"/>
            </w:tcBorders>
            <w:shd w:val="clear" w:color="auto" w:fill="auto"/>
            <w:noWrap/>
            <w:vAlign w:val="center"/>
          </w:tcPr>
          <w:p w14:paraId="31AFB394">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088ABAB6">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单无线网卡天线数量</w:t>
            </w:r>
          </w:p>
        </w:tc>
        <w:tc>
          <w:tcPr>
            <w:tcW w:w="5499" w:type="dxa"/>
            <w:tcBorders>
              <w:tl2br w:val="nil"/>
              <w:tr2bl w:val="nil"/>
            </w:tcBorders>
            <w:shd w:val="clear" w:color="auto" w:fill="auto"/>
            <w:vAlign w:val="center"/>
          </w:tcPr>
          <w:p w14:paraId="2959C2D3">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≥0</w:t>
            </w:r>
          </w:p>
        </w:tc>
      </w:tr>
      <w:tr w14:paraId="0F9C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611021E0">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59</w:t>
            </w:r>
          </w:p>
        </w:tc>
        <w:tc>
          <w:tcPr>
            <w:tcW w:w="849" w:type="dxa"/>
            <w:vMerge w:val="restart"/>
            <w:tcBorders>
              <w:tl2br w:val="nil"/>
              <w:tr2bl w:val="nil"/>
            </w:tcBorders>
            <w:shd w:val="clear" w:color="auto" w:fill="auto"/>
            <w:noWrap/>
            <w:vAlign w:val="center"/>
          </w:tcPr>
          <w:p w14:paraId="52234A5F">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外部接口规格</w:t>
            </w:r>
          </w:p>
        </w:tc>
        <w:tc>
          <w:tcPr>
            <w:tcW w:w="2300" w:type="dxa"/>
            <w:tcBorders>
              <w:tl2br w:val="nil"/>
              <w:tr2bl w:val="nil"/>
            </w:tcBorders>
            <w:shd w:val="clear" w:color="auto" w:fill="auto"/>
            <w:vAlign w:val="center"/>
          </w:tcPr>
          <w:p w14:paraId="5DF9FF89">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▲USB接口数量</w:t>
            </w:r>
          </w:p>
        </w:tc>
        <w:tc>
          <w:tcPr>
            <w:tcW w:w="5499" w:type="dxa"/>
            <w:tcBorders>
              <w:tl2br w:val="nil"/>
              <w:tr2bl w:val="nil"/>
            </w:tcBorders>
            <w:shd w:val="clear" w:color="auto" w:fill="auto"/>
            <w:vAlign w:val="center"/>
          </w:tcPr>
          <w:p w14:paraId="2BB6EACB">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USB 接口数量应不少于3 个，至少包含1 个USB3.0 及以上标准接口（可通过拓展坞实现）</w:t>
            </w:r>
          </w:p>
        </w:tc>
      </w:tr>
      <w:tr w14:paraId="00DF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2F0C7E49">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60</w:t>
            </w:r>
          </w:p>
        </w:tc>
        <w:tc>
          <w:tcPr>
            <w:tcW w:w="849" w:type="dxa"/>
            <w:vMerge w:val="continue"/>
            <w:tcBorders>
              <w:tl2br w:val="nil"/>
              <w:tr2bl w:val="nil"/>
            </w:tcBorders>
            <w:shd w:val="clear" w:color="auto" w:fill="auto"/>
            <w:noWrap/>
            <w:vAlign w:val="center"/>
          </w:tcPr>
          <w:p w14:paraId="492F2693">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0DAD183">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▲视频接口数量</w:t>
            </w:r>
          </w:p>
        </w:tc>
        <w:tc>
          <w:tcPr>
            <w:tcW w:w="5499" w:type="dxa"/>
            <w:tcBorders>
              <w:tl2br w:val="nil"/>
              <w:tr2bl w:val="nil"/>
            </w:tcBorders>
            <w:shd w:val="clear" w:color="auto" w:fill="auto"/>
            <w:vAlign w:val="center"/>
          </w:tcPr>
          <w:p w14:paraId="1277D249">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r>
      <w:tr w14:paraId="09CA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17A3EBF6">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61</w:t>
            </w:r>
          </w:p>
        </w:tc>
        <w:tc>
          <w:tcPr>
            <w:tcW w:w="849" w:type="dxa"/>
            <w:vMerge w:val="continue"/>
            <w:tcBorders>
              <w:tl2br w:val="nil"/>
              <w:tr2bl w:val="nil"/>
            </w:tcBorders>
            <w:shd w:val="clear" w:color="auto" w:fill="auto"/>
            <w:noWrap/>
            <w:vAlign w:val="center"/>
          </w:tcPr>
          <w:p w14:paraId="7816A406">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64C67920">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▲输入充电接口数量</w:t>
            </w:r>
          </w:p>
        </w:tc>
        <w:tc>
          <w:tcPr>
            <w:tcW w:w="5499" w:type="dxa"/>
            <w:tcBorders>
              <w:tl2br w:val="nil"/>
              <w:tr2bl w:val="nil"/>
            </w:tcBorders>
            <w:shd w:val="clear" w:color="auto" w:fill="auto"/>
            <w:vAlign w:val="center"/>
          </w:tcPr>
          <w:p w14:paraId="3F167A47">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r>
      <w:tr w14:paraId="37DE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716711B7">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62</w:t>
            </w:r>
          </w:p>
        </w:tc>
        <w:tc>
          <w:tcPr>
            <w:tcW w:w="849" w:type="dxa"/>
            <w:vMerge w:val="continue"/>
            <w:tcBorders>
              <w:tl2br w:val="nil"/>
              <w:tr2bl w:val="nil"/>
            </w:tcBorders>
            <w:shd w:val="clear" w:color="auto" w:fill="auto"/>
            <w:noWrap/>
            <w:vAlign w:val="center"/>
          </w:tcPr>
          <w:p w14:paraId="25DA548A">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009C0F0">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▲音频接口数量</w:t>
            </w:r>
          </w:p>
        </w:tc>
        <w:tc>
          <w:tcPr>
            <w:tcW w:w="5499" w:type="dxa"/>
            <w:tcBorders>
              <w:tl2br w:val="nil"/>
              <w:tr2bl w:val="nil"/>
            </w:tcBorders>
            <w:shd w:val="clear" w:color="auto" w:fill="auto"/>
            <w:vAlign w:val="center"/>
          </w:tcPr>
          <w:p w14:paraId="7AC19F80">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r>
      <w:tr w14:paraId="0715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D4D9C70">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63</w:t>
            </w:r>
          </w:p>
        </w:tc>
        <w:tc>
          <w:tcPr>
            <w:tcW w:w="849" w:type="dxa"/>
            <w:vMerge w:val="continue"/>
            <w:tcBorders>
              <w:tl2br w:val="nil"/>
              <w:tr2bl w:val="nil"/>
            </w:tcBorders>
            <w:shd w:val="clear" w:color="auto" w:fill="auto"/>
            <w:noWrap/>
            <w:vAlign w:val="center"/>
          </w:tcPr>
          <w:p w14:paraId="0D5FD927">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4B198B00">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存储卡接口数量</w:t>
            </w:r>
          </w:p>
        </w:tc>
        <w:tc>
          <w:tcPr>
            <w:tcW w:w="5499" w:type="dxa"/>
            <w:tcBorders>
              <w:tl2br w:val="nil"/>
              <w:tr2bl w:val="nil"/>
            </w:tcBorders>
            <w:shd w:val="clear" w:color="auto" w:fill="auto"/>
            <w:vAlign w:val="center"/>
          </w:tcPr>
          <w:p w14:paraId="636994FE">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≥0</w:t>
            </w:r>
          </w:p>
        </w:tc>
      </w:tr>
      <w:tr w14:paraId="4C51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121211F7">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64</w:t>
            </w:r>
          </w:p>
        </w:tc>
        <w:tc>
          <w:tcPr>
            <w:tcW w:w="849" w:type="dxa"/>
            <w:vMerge w:val="restart"/>
            <w:tcBorders>
              <w:tl2br w:val="nil"/>
              <w:tr2bl w:val="nil"/>
            </w:tcBorders>
            <w:shd w:val="clear" w:color="auto" w:fill="auto"/>
            <w:noWrap/>
            <w:vAlign w:val="center"/>
          </w:tcPr>
          <w:p w14:paraId="2D53B9F9">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电池规格</w:t>
            </w:r>
          </w:p>
        </w:tc>
        <w:tc>
          <w:tcPr>
            <w:tcW w:w="2300" w:type="dxa"/>
            <w:tcBorders>
              <w:tl2br w:val="nil"/>
              <w:tr2bl w:val="nil"/>
            </w:tcBorders>
            <w:shd w:val="clear" w:color="auto" w:fill="auto"/>
            <w:vAlign w:val="center"/>
          </w:tcPr>
          <w:p w14:paraId="0DFBC655">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▲电池额定能量</w:t>
            </w:r>
          </w:p>
        </w:tc>
        <w:tc>
          <w:tcPr>
            <w:tcW w:w="5499" w:type="dxa"/>
            <w:tcBorders>
              <w:tl2br w:val="nil"/>
              <w:tr2bl w:val="nil"/>
            </w:tcBorders>
            <w:shd w:val="clear" w:color="auto" w:fill="auto"/>
            <w:vAlign w:val="center"/>
          </w:tcPr>
          <w:p w14:paraId="276DC7B3">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≥50Wh</w:t>
            </w:r>
          </w:p>
        </w:tc>
      </w:tr>
      <w:tr w14:paraId="4D67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55962B80">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65</w:t>
            </w:r>
          </w:p>
        </w:tc>
        <w:tc>
          <w:tcPr>
            <w:tcW w:w="849" w:type="dxa"/>
            <w:vMerge w:val="continue"/>
            <w:tcBorders>
              <w:tl2br w:val="nil"/>
              <w:tr2bl w:val="nil"/>
            </w:tcBorders>
            <w:shd w:val="clear" w:color="auto" w:fill="auto"/>
            <w:noWrap/>
            <w:vAlign w:val="center"/>
          </w:tcPr>
          <w:p w14:paraId="0A661846">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1A51071">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▲电池充放电次数</w:t>
            </w:r>
          </w:p>
        </w:tc>
        <w:tc>
          <w:tcPr>
            <w:tcW w:w="5499" w:type="dxa"/>
            <w:tcBorders>
              <w:tl2br w:val="nil"/>
              <w:tr2bl w:val="nil"/>
            </w:tcBorders>
            <w:shd w:val="clear" w:color="auto" w:fill="auto"/>
            <w:vAlign w:val="center"/>
          </w:tcPr>
          <w:p w14:paraId="50964B04">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≥500次（常温下500次充放电后电池容量应不低于原始容量的80%）</w:t>
            </w:r>
          </w:p>
        </w:tc>
      </w:tr>
      <w:tr w14:paraId="5518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539AE475">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66</w:t>
            </w:r>
          </w:p>
        </w:tc>
        <w:tc>
          <w:tcPr>
            <w:tcW w:w="849" w:type="dxa"/>
            <w:vMerge w:val="continue"/>
            <w:tcBorders>
              <w:tl2br w:val="nil"/>
              <w:tr2bl w:val="nil"/>
            </w:tcBorders>
            <w:shd w:val="clear" w:color="auto" w:fill="auto"/>
            <w:noWrap/>
            <w:vAlign w:val="center"/>
          </w:tcPr>
          <w:p w14:paraId="5472A489">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D8CA1A8">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快速充电功能</w:t>
            </w:r>
          </w:p>
        </w:tc>
        <w:tc>
          <w:tcPr>
            <w:tcW w:w="5499" w:type="dxa"/>
            <w:tcBorders>
              <w:tl2br w:val="nil"/>
              <w:tr2bl w:val="nil"/>
            </w:tcBorders>
            <w:shd w:val="clear" w:color="auto" w:fill="auto"/>
            <w:vAlign w:val="center"/>
          </w:tcPr>
          <w:p w14:paraId="48B1E159">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支持快速充电功能，如UFCS、USBPD</w:t>
            </w:r>
          </w:p>
        </w:tc>
      </w:tr>
      <w:tr w14:paraId="0628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434EA2B1">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67</w:t>
            </w:r>
          </w:p>
        </w:tc>
        <w:tc>
          <w:tcPr>
            <w:tcW w:w="849" w:type="dxa"/>
            <w:vMerge w:val="continue"/>
            <w:tcBorders>
              <w:tl2br w:val="nil"/>
              <w:tr2bl w:val="nil"/>
            </w:tcBorders>
            <w:shd w:val="clear" w:color="auto" w:fill="auto"/>
            <w:noWrap/>
            <w:vAlign w:val="center"/>
          </w:tcPr>
          <w:p w14:paraId="0F9444FE">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5EAF7569">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电池安全要求</w:t>
            </w:r>
          </w:p>
        </w:tc>
        <w:tc>
          <w:tcPr>
            <w:tcW w:w="5499" w:type="dxa"/>
            <w:tcBorders>
              <w:tl2br w:val="nil"/>
              <w:tr2bl w:val="nil"/>
            </w:tcBorders>
            <w:shd w:val="clear" w:color="auto" w:fill="auto"/>
            <w:vAlign w:val="center"/>
          </w:tcPr>
          <w:p w14:paraId="035EB9FC">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符合GB31241的规定</w:t>
            </w:r>
          </w:p>
        </w:tc>
      </w:tr>
      <w:tr w14:paraId="7C3B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EF2B536">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68</w:t>
            </w:r>
          </w:p>
        </w:tc>
        <w:tc>
          <w:tcPr>
            <w:tcW w:w="849" w:type="dxa"/>
            <w:vMerge w:val="continue"/>
            <w:tcBorders>
              <w:tl2br w:val="nil"/>
              <w:tr2bl w:val="nil"/>
            </w:tcBorders>
            <w:shd w:val="clear" w:color="auto" w:fill="auto"/>
            <w:noWrap/>
            <w:vAlign w:val="center"/>
          </w:tcPr>
          <w:p w14:paraId="38AF544A">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3AB47A6">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电池电芯材质</w:t>
            </w:r>
          </w:p>
        </w:tc>
        <w:tc>
          <w:tcPr>
            <w:tcW w:w="5499" w:type="dxa"/>
            <w:tcBorders>
              <w:tl2br w:val="nil"/>
              <w:tr2bl w:val="nil"/>
            </w:tcBorders>
            <w:shd w:val="clear" w:color="auto" w:fill="auto"/>
            <w:noWrap/>
            <w:vAlign w:val="center"/>
          </w:tcPr>
          <w:p w14:paraId="7669E6AA">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供应商给出电池电芯材料信息</w:t>
            </w:r>
          </w:p>
        </w:tc>
      </w:tr>
      <w:tr w14:paraId="213B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3B08EAB9">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69</w:t>
            </w:r>
          </w:p>
        </w:tc>
        <w:tc>
          <w:tcPr>
            <w:tcW w:w="849" w:type="dxa"/>
            <w:vMerge w:val="restart"/>
            <w:tcBorders>
              <w:tl2br w:val="nil"/>
              <w:tr2bl w:val="nil"/>
            </w:tcBorders>
            <w:shd w:val="clear" w:color="auto" w:fill="auto"/>
            <w:noWrap/>
            <w:vAlign w:val="center"/>
          </w:tcPr>
          <w:p w14:paraId="1361FE32">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整机基础规格</w:t>
            </w:r>
          </w:p>
        </w:tc>
        <w:tc>
          <w:tcPr>
            <w:tcW w:w="2300" w:type="dxa"/>
            <w:tcBorders>
              <w:tl2br w:val="nil"/>
              <w:tr2bl w:val="nil"/>
            </w:tcBorders>
            <w:shd w:val="clear" w:color="auto" w:fill="auto"/>
            <w:vAlign w:val="center"/>
          </w:tcPr>
          <w:p w14:paraId="6B72C208">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整机外观</w:t>
            </w:r>
          </w:p>
        </w:tc>
        <w:tc>
          <w:tcPr>
            <w:tcW w:w="5499" w:type="dxa"/>
            <w:tcBorders>
              <w:tl2br w:val="nil"/>
              <w:tr2bl w:val="nil"/>
            </w:tcBorders>
            <w:shd w:val="clear" w:color="auto" w:fill="auto"/>
            <w:vAlign w:val="center"/>
          </w:tcPr>
          <w:p w14:paraId="59924F41">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a)产品表面不应有凹痕、划伤、裂缝、变形和污染等。表面涂层均匀，不应起泡、龟裂、脱落和磨损，金属零部件无锈蚀及其它机械损伤；</w:t>
            </w:r>
          </w:p>
          <w:p w14:paraId="35EA33BE">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b)产品表面说明功能的文字、符号、标志，应清晰、端正、牢固；</w:t>
            </w:r>
          </w:p>
          <w:p w14:paraId="4F935B9B">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c)宜在产品显著位置提供运行状态指示功能，并由生产厂商提供详细参数</w:t>
            </w:r>
          </w:p>
        </w:tc>
      </w:tr>
      <w:tr w14:paraId="3E91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5156DE5F">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70</w:t>
            </w:r>
          </w:p>
        </w:tc>
        <w:tc>
          <w:tcPr>
            <w:tcW w:w="849" w:type="dxa"/>
            <w:vMerge w:val="continue"/>
            <w:tcBorders>
              <w:tl2br w:val="nil"/>
              <w:tr2bl w:val="nil"/>
            </w:tcBorders>
            <w:shd w:val="clear" w:color="auto" w:fill="auto"/>
            <w:noWrap/>
            <w:vAlign w:val="center"/>
          </w:tcPr>
          <w:p w14:paraId="404CE899">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E864459">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整机结构</w:t>
            </w:r>
          </w:p>
        </w:tc>
        <w:tc>
          <w:tcPr>
            <w:tcW w:w="5499" w:type="dxa"/>
            <w:tcBorders>
              <w:tl2br w:val="nil"/>
              <w:tr2bl w:val="nil"/>
            </w:tcBorders>
            <w:shd w:val="clear" w:color="auto" w:fill="auto"/>
            <w:vAlign w:val="center"/>
          </w:tcPr>
          <w:p w14:paraId="1E6DAACD">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a)产品应符合GB/T4208的相关规定；</w:t>
            </w:r>
          </w:p>
          <w:p w14:paraId="4D589E01">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b)产品内部结构应符合通用部件的安装需要；</w:t>
            </w:r>
          </w:p>
          <w:p w14:paraId="07A9AE27">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c)所有输入输出接口应符合相关国家或行业标准；</w:t>
            </w:r>
          </w:p>
          <w:p w14:paraId="6EC352AA">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d)产品零部件应紧固无松动，可插拔部件应可靠连接，开关、按钮和其它控制部件应灵活可靠，布局应方便使用；</w:t>
            </w:r>
          </w:p>
          <w:p w14:paraId="582F2E36">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e)所有I/O连接器及需插接线缆的部位应预留用户操作空间，方便插拔解锁与插拔线缆；</w:t>
            </w:r>
          </w:p>
          <w:p w14:paraId="2FC17126">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f)可插拔板卡插槽部位应预留安装、拆卸或更换板卡空间；</w:t>
            </w:r>
          </w:p>
          <w:p w14:paraId="585928C4">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g)拆装可能接触到的金属剪口或金属尖角部位应做防划伤处理，以保证安全；</w:t>
            </w:r>
          </w:p>
          <w:p w14:paraId="0B0A9534">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h)整机内部走线应规整，固线结构和位置要合理可靠并做防割线处理，需便于理线和插拔操作，走线应不影响系统各主要部件组装和拆卸；</w:t>
            </w:r>
          </w:p>
          <w:p w14:paraId="31322A9D">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i)如需通过孔走线，过线孔应做防割线处理；</w:t>
            </w:r>
          </w:p>
          <w:p w14:paraId="1EDC2C83">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j)各插头位置和插拔方向应合理，应做到插拔无障碍设计，具备防呆设计，有效避免误操作；</w:t>
            </w:r>
          </w:p>
          <w:p w14:paraId="2DE19F6C">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k)各主要部件拆装无障碍，使用常规工具拆装，无特殊拆装工具需求；</w:t>
            </w:r>
          </w:p>
          <w:p w14:paraId="37D487C7">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l)各主要部件拆装步骤要少，各自拆装需避免相互干扰；</w:t>
            </w:r>
          </w:p>
          <w:p w14:paraId="7C2D8024">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m)对于整机或零部件外表面为高亮面的，应粘贴保护膜，保护膜需粘贴牢固，运输、组装等过程不易脱落，撕下无残留；</w:t>
            </w:r>
          </w:p>
          <w:p w14:paraId="30015D91">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n)显示屏的开合机械寿命应能承受至少15000次的显示屏开合，显示屏机械转轴的扭力应保持初始状态下扭力的75%以上；</w:t>
            </w:r>
          </w:p>
          <w:p w14:paraId="72CDBCAB">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o)其它要求应符合GB/T9813.2的相关规定</w:t>
            </w:r>
          </w:p>
        </w:tc>
      </w:tr>
      <w:tr w14:paraId="322B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3F9D1952">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71</w:t>
            </w:r>
          </w:p>
        </w:tc>
        <w:tc>
          <w:tcPr>
            <w:tcW w:w="849" w:type="dxa"/>
            <w:vMerge w:val="continue"/>
            <w:tcBorders>
              <w:tl2br w:val="nil"/>
              <w:tr2bl w:val="nil"/>
            </w:tcBorders>
            <w:shd w:val="clear" w:color="auto" w:fill="auto"/>
            <w:noWrap/>
            <w:vAlign w:val="center"/>
          </w:tcPr>
          <w:p w14:paraId="410121F0">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3A23AE3">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▲整机噪音</w:t>
            </w:r>
          </w:p>
        </w:tc>
        <w:tc>
          <w:tcPr>
            <w:tcW w:w="5499" w:type="dxa"/>
            <w:tcBorders>
              <w:tl2br w:val="nil"/>
              <w:tr2bl w:val="nil"/>
            </w:tcBorders>
            <w:shd w:val="clear" w:color="auto" w:fill="auto"/>
            <w:vAlign w:val="center"/>
          </w:tcPr>
          <w:p w14:paraId="04538CF9">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25摄氏度环温条件：</w:t>
            </w:r>
          </w:p>
          <w:p w14:paraId="55DC83D2">
            <w:pPr>
              <w:spacing w:line="240" w:lineRule="auto"/>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空闲小于等于38dBA</w:t>
            </w:r>
            <w:r>
              <w:rPr>
                <w:rFonts w:hint="eastAsia" w:asciiTheme="minorEastAsia" w:hAnsiTheme="minorEastAsia" w:eastAsiaTheme="minorEastAsia" w:cstheme="minorEastAsia"/>
                <w:lang w:eastAsia="zh-CN"/>
              </w:rPr>
              <w:t>；</w:t>
            </w:r>
          </w:p>
          <w:p w14:paraId="461FE94A">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满载小于等于45dBA</w:t>
            </w:r>
          </w:p>
        </w:tc>
      </w:tr>
      <w:tr w14:paraId="005B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59FED7EB">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72</w:t>
            </w:r>
          </w:p>
        </w:tc>
        <w:tc>
          <w:tcPr>
            <w:tcW w:w="849" w:type="dxa"/>
            <w:vMerge w:val="continue"/>
            <w:tcBorders>
              <w:tl2br w:val="nil"/>
              <w:tr2bl w:val="nil"/>
            </w:tcBorders>
            <w:shd w:val="clear" w:color="auto" w:fill="auto"/>
            <w:noWrap/>
            <w:vAlign w:val="center"/>
          </w:tcPr>
          <w:p w14:paraId="7E3CF766">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E15EBA0">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整机散热</w:t>
            </w:r>
          </w:p>
        </w:tc>
        <w:tc>
          <w:tcPr>
            <w:tcW w:w="5499" w:type="dxa"/>
            <w:tcBorders>
              <w:tl2br w:val="nil"/>
              <w:tr2bl w:val="nil"/>
            </w:tcBorders>
            <w:shd w:val="clear" w:color="auto" w:fill="auto"/>
            <w:vAlign w:val="center"/>
          </w:tcPr>
          <w:p w14:paraId="24AD08BB">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产品在环境温度25℃且运行在满载的状态下，可触及面温度范围内应不高于45℃，各表面温度应符合以下要求：</w:t>
            </w:r>
          </w:p>
          <w:p w14:paraId="2653CCB1">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a)键帽温度不高于38℃；</w:t>
            </w:r>
          </w:p>
          <w:p w14:paraId="36EA473D">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b)键盘间隙温度不高于40℃；</w:t>
            </w:r>
          </w:p>
          <w:p w14:paraId="2A07CCD6">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c)掌托温度不高于38℃；</w:t>
            </w:r>
          </w:p>
          <w:p w14:paraId="1EEF5405">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d)触控板温度不高于38℃；</w:t>
            </w:r>
          </w:p>
          <w:p w14:paraId="2AA691CC">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e)底壳温度不高于45℃</w:t>
            </w:r>
          </w:p>
        </w:tc>
      </w:tr>
      <w:tr w14:paraId="203C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7E7975A9">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73</w:t>
            </w:r>
          </w:p>
        </w:tc>
        <w:tc>
          <w:tcPr>
            <w:tcW w:w="849" w:type="dxa"/>
            <w:vMerge w:val="continue"/>
            <w:tcBorders>
              <w:tl2br w:val="nil"/>
              <w:tr2bl w:val="nil"/>
            </w:tcBorders>
            <w:shd w:val="clear" w:color="auto" w:fill="auto"/>
            <w:noWrap/>
            <w:vAlign w:val="center"/>
          </w:tcPr>
          <w:p w14:paraId="6E2C2B5F">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799B243">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整机能效限定值</w:t>
            </w:r>
          </w:p>
        </w:tc>
        <w:tc>
          <w:tcPr>
            <w:tcW w:w="5499" w:type="dxa"/>
            <w:tcBorders>
              <w:tl2br w:val="nil"/>
              <w:tr2bl w:val="nil"/>
            </w:tcBorders>
            <w:shd w:val="clear" w:color="auto" w:fill="auto"/>
            <w:vAlign w:val="center"/>
          </w:tcPr>
          <w:p w14:paraId="08ACBF4D">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产品能效限定值应达到GB28380-2012标准中能效等级2级及以上</w:t>
            </w:r>
          </w:p>
        </w:tc>
      </w:tr>
      <w:tr w14:paraId="3E64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1C579209">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74</w:t>
            </w:r>
          </w:p>
        </w:tc>
        <w:tc>
          <w:tcPr>
            <w:tcW w:w="849" w:type="dxa"/>
            <w:vMerge w:val="continue"/>
            <w:tcBorders>
              <w:tl2br w:val="nil"/>
              <w:tr2bl w:val="nil"/>
            </w:tcBorders>
            <w:shd w:val="clear" w:color="auto" w:fill="auto"/>
            <w:noWrap/>
            <w:vAlign w:val="center"/>
          </w:tcPr>
          <w:p w14:paraId="685C4D64">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675DA652">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整机重量</w:t>
            </w:r>
          </w:p>
        </w:tc>
        <w:tc>
          <w:tcPr>
            <w:tcW w:w="5499" w:type="dxa"/>
            <w:tcBorders>
              <w:tl2br w:val="nil"/>
              <w:tr2bl w:val="nil"/>
            </w:tcBorders>
            <w:shd w:val="clear" w:color="auto" w:fill="auto"/>
            <w:vAlign w:val="center"/>
          </w:tcPr>
          <w:p w14:paraId="208B104F">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≤2.2kg</w:t>
            </w:r>
          </w:p>
        </w:tc>
      </w:tr>
      <w:tr w14:paraId="58AA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67E24C2A">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75</w:t>
            </w:r>
          </w:p>
        </w:tc>
        <w:tc>
          <w:tcPr>
            <w:tcW w:w="849" w:type="dxa"/>
            <w:vMerge w:val="continue"/>
            <w:tcBorders>
              <w:tl2br w:val="nil"/>
              <w:tr2bl w:val="nil"/>
            </w:tcBorders>
            <w:shd w:val="clear" w:color="auto" w:fill="auto"/>
            <w:noWrap/>
            <w:vAlign w:val="center"/>
          </w:tcPr>
          <w:p w14:paraId="6978410D">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6B185DD1">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整机厚度</w:t>
            </w:r>
          </w:p>
        </w:tc>
        <w:tc>
          <w:tcPr>
            <w:tcW w:w="5499" w:type="dxa"/>
            <w:tcBorders>
              <w:tl2br w:val="nil"/>
              <w:tr2bl w:val="nil"/>
            </w:tcBorders>
            <w:shd w:val="clear" w:color="auto" w:fill="auto"/>
            <w:vAlign w:val="center"/>
          </w:tcPr>
          <w:p w14:paraId="3456FF46">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≤22mm（不含脚垫）</w:t>
            </w:r>
          </w:p>
        </w:tc>
      </w:tr>
      <w:tr w14:paraId="66D6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1E4A3B18">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76</w:t>
            </w:r>
          </w:p>
        </w:tc>
        <w:tc>
          <w:tcPr>
            <w:tcW w:w="849" w:type="dxa"/>
            <w:vMerge w:val="continue"/>
            <w:tcBorders>
              <w:tl2br w:val="nil"/>
              <w:tr2bl w:val="nil"/>
            </w:tcBorders>
            <w:shd w:val="clear" w:color="auto" w:fill="auto"/>
            <w:noWrap/>
            <w:vAlign w:val="center"/>
          </w:tcPr>
          <w:p w14:paraId="4B268BFA">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3EF30E63">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机身材质</w:t>
            </w:r>
          </w:p>
        </w:tc>
        <w:tc>
          <w:tcPr>
            <w:tcW w:w="5499" w:type="dxa"/>
            <w:tcBorders>
              <w:tl2br w:val="nil"/>
              <w:tr2bl w:val="nil"/>
            </w:tcBorders>
            <w:shd w:val="clear" w:color="auto" w:fill="auto"/>
            <w:noWrap/>
            <w:vAlign w:val="center"/>
          </w:tcPr>
          <w:p w14:paraId="3EBBB6FE">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塑料/金属等</w:t>
            </w:r>
          </w:p>
        </w:tc>
      </w:tr>
      <w:tr w14:paraId="1F92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0EF5A21B">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77</w:t>
            </w:r>
          </w:p>
        </w:tc>
        <w:tc>
          <w:tcPr>
            <w:tcW w:w="849" w:type="dxa"/>
            <w:vMerge w:val="continue"/>
            <w:tcBorders>
              <w:tl2br w:val="nil"/>
              <w:tr2bl w:val="nil"/>
            </w:tcBorders>
            <w:shd w:val="clear" w:color="auto" w:fill="auto"/>
            <w:noWrap/>
            <w:vAlign w:val="center"/>
          </w:tcPr>
          <w:p w14:paraId="5CF13D7D">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6BA2FAAB">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机身颜色</w:t>
            </w:r>
          </w:p>
        </w:tc>
        <w:tc>
          <w:tcPr>
            <w:tcW w:w="5499" w:type="dxa"/>
            <w:tcBorders>
              <w:tl2br w:val="nil"/>
              <w:tr2bl w:val="nil"/>
            </w:tcBorders>
            <w:shd w:val="clear" w:color="auto" w:fill="auto"/>
            <w:vAlign w:val="center"/>
          </w:tcPr>
          <w:p w14:paraId="427B9256">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灰色/黑色等商务色系</w:t>
            </w:r>
          </w:p>
        </w:tc>
      </w:tr>
      <w:tr w14:paraId="59BB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blHeader/>
          <w:jc w:val="center"/>
        </w:trPr>
        <w:tc>
          <w:tcPr>
            <w:tcW w:w="580" w:type="dxa"/>
            <w:tcBorders>
              <w:tl2br w:val="nil"/>
              <w:tr2bl w:val="nil"/>
            </w:tcBorders>
            <w:shd w:val="clear" w:color="auto" w:fill="auto"/>
            <w:noWrap/>
            <w:vAlign w:val="center"/>
          </w:tcPr>
          <w:p w14:paraId="7F973471">
            <w:pPr>
              <w:pStyle w:val="258"/>
              <w:numPr>
                <w:ilvl w:val="0"/>
                <w:numId w:val="0"/>
              </w:numPr>
              <w:autoSpaceDE w:val="0"/>
              <w:autoSpaceDN w:val="0"/>
              <w:spacing w:line="240" w:lineRule="auto"/>
              <w:ind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78</w:t>
            </w:r>
          </w:p>
        </w:tc>
        <w:tc>
          <w:tcPr>
            <w:tcW w:w="849" w:type="dxa"/>
            <w:vMerge w:val="continue"/>
            <w:tcBorders>
              <w:tl2br w:val="nil"/>
              <w:tr2bl w:val="nil"/>
            </w:tcBorders>
            <w:shd w:val="clear" w:color="auto" w:fill="auto"/>
            <w:noWrap/>
            <w:vAlign w:val="center"/>
          </w:tcPr>
          <w:p w14:paraId="3FE4660A">
            <w:pPr>
              <w:spacing w:line="240" w:lineRule="auto"/>
              <w:jc w:val="center"/>
              <w:rPr>
                <w:rFonts w:hint="eastAsia" w:asciiTheme="minorEastAsia" w:hAnsiTheme="minorEastAsia" w:eastAsiaTheme="minorEastAsia" w:cstheme="minorEastAsia"/>
              </w:rPr>
            </w:pPr>
          </w:p>
        </w:tc>
        <w:tc>
          <w:tcPr>
            <w:tcW w:w="2300" w:type="dxa"/>
            <w:tcBorders>
              <w:tl2br w:val="nil"/>
              <w:tr2bl w:val="nil"/>
            </w:tcBorders>
            <w:shd w:val="clear" w:color="auto" w:fill="auto"/>
            <w:vAlign w:val="center"/>
          </w:tcPr>
          <w:p w14:paraId="72E8D556">
            <w:pPr>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▲预装操作系统</w:t>
            </w:r>
          </w:p>
        </w:tc>
        <w:tc>
          <w:tcPr>
            <w:tcW w:w="5499" w:type="dxa"/>
            <w:tcBorders>
              <w:tl2br w:val="nil"/>
              <w:tr2bl w:val="nil"/>
            </w:tcBorders>
            <w:shd w:val="clear" w:color="auto" w:fill="auto"/>
            <w:vAlign w:val="center"/>
          </w:tcPr>
          <w:p w14:paraId="0AA4F062">
            <w:pPr>
              <w:spacing w:line="24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预装正版国产系统（统信UOS、麒麟KOS等操作系统），并提供3年技术服务，数量：</w:t>
            </w: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套。</w:t>
            </w:r>
          </w:p>
        </w:tc>
      </w:tr>
    </w:tbl>
    <w:p w14:paraId="378D4BD5">
      <w:pPr>
        <w:bidi w:val="0"/>
        <w:rPr>
          <w:rFonts w:hint="eastAsia"/>
        </w:rPr>
      </w:pPr>
    </w:p>
    <w:p w14:paraId="5AD83F04">
      <w:pPr>
        <w:keepNext w:val="0"/>
        <w:keepLines w:val="0"/>
        <w:pageBreakBefore w:val="0"/>
        <w:kinsoku/>
        <w:wordWrap/>
        <w:overflowPunct/>
        <w:topLinePunct w:val="0"/>
        <w:autoSpaceDE/>
        <w:autoSpaceDN/>
        <w:bidi w:val="0"/>
        <w:spacing w:line="360" w:lineRule="auto"/>
        <w:ind w:firstLine="482" w:firstLineChars="200"/>
        <w:jc w:val="both"/>
        <w:textAlignment w:val="auto"/>
        <w:outlineLvl w:val="9"/>
        <w:rPr>
          <w:rFonts w:ascii="宋体" w:hAnsi="宋体" w:cs="宋体"/>
          <w:b/>
          <w:sz w:val="24"/>
        </w:rPr>
      </w:pPr>
      <w:r>
        <w:rPr>
          <w:rFonts w:hint="eastAsia" w:ascii="宋体" w:hAnsi="宋体" w:cs="宋体"/>
          <w:b/>
          <w:sz w:val="24"/>
        </w:rPr>
        <w:t>三、部署要求</w:t>
      </w:r>
    </w:p>
    <w:p w14:paraId="410690F9">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供应商为项目建设提供团队、基础软硬件、总体方案和全面服务保障，对项目建设提供技术把控、总体集成、项目实施管理等工作，配合进行应用软件的安装部署、测试上线工作等，通过对项目的整体组织、技术进行规划，满足建设要求，通过对整个工程进行管理，协助各方资源，统筹安排各分项目实施计划及制定技术方案，解决各分项目间的无缝衔接问题。通过控制总工期，控制工程质量，实现工程验收。</w:t>
      </w:r>
    </w:p>
    <w:p w14:paraId="0F2DD6BD">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实施内容清单中货物供货、安装调试、系统集成、培训、质保期内的售后服务、旧电脑设备按采购单位要求把旧设备存放至指定地点等。投标报价包括货物、搬运、安装、调试、集成、售后服务费、培训费、有关部门的验收费、政策性文件规定及合同包含的所有风险、责任等各项全部费用，采购需求清单中未提到，但在实际项目实施过程中需要配置的配件等各种费用，均计入投标报价中，不得额外收费。</w:t>
      </w:r>
    </w:p>
    <w:p w14:paraId="797C4FA8">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实施期间，供应商需指派专职项目经理负责各实施主体单位项目的建设管理工作，并派驻主要项目组成员（含项目经理、实施工程师等）驻各实施主体单位现场实施。各系统集成商按各实施主体单位要求，统筹信息技术创新改造终端的运维，提供符合条件运维服务。</w:t>
      </w:r>
    </w:p>
    <w:p w14:paraId="42AFF52A">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3.项目实施期间，接受</w:t>
      </w:r>
      <w:r>
        <w:rPr>
          <w:rFonts w:hint="eastAsia" w:asciiTheme="minorEastAsia" w:hAnsiTheme="minorEastAsia" w:eastAsiaTheme="minorEastAsia" w:cstheme="minorEastAsia"/>
          <w:sz w:val="24"/>
          <w:szCs w:val="24"/>
          <w:lang w:val="en-US" w:eastAsia="zh-CN"/>
        </w:rPr>
        <w:t>采购单位</w:t>
      </w:r>
      <w:r>
        <w:rPr>
          <w:rFonts w:hint="eastAsia" w:asciiTheme="minorEastAsia" w:hAnsiTheme="minorEastAsia" w:eastAsiaTheme="minorEastAsia" w:cstheme="minorEastAsia"/>
          <w:sz w:val="24"/>
          <w:szCs w:val="24"/>
        </w:rPr>
        <w:t>的统一指导和工作安排，落实有关工作任务和要求。</w:t>
      </w:r>
    </w:p>
    <w:p w14:paraId="18B8C639">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eastAsia"/>
        </w:rPr>
      </w:pPr>
      <w:r>
        <w:rPr>
          <w:rFonts w:hint="eastAsia" w:asciiTheme="minorEastAsia" w:hAnsiTheme="minorEastAsia" w:eastAsiaTheme="minorEastAsia" w:cstheme="minorEastAsia"/>
          <w:sz w:val="24"/>
          <w:szCs w:val="24"/>
        </w:rPr>
        <w:t>4.项目实施期间，如出现人员不到位、进度不到位、目标任务未完成等情况而被投诉，或者发生泄密等违规行为，将视情节严重程度对各供应商进行违约处罚。</w:t>
      </w:r>
    </w:p>
    <w:p w14:paraId="053393C1">
      <w:pPr>
        <w:keepNext w:val="0"/>
        <w:keepLines w:val="0"/>
        <w:pageBreakBefore w:val="0"/>
        <w:kinsoku/>
        <w:wordWrap/>
        <w:overflowPunct/>
        <w:topLinePunct w:val="0"/>
        <w:autoSpaceDE/>
        <w:autoSpaceDN/>
        <w:bidi w:val="0"/>
        <w:spacing w:line="360" w:lineRule="auto"/>
        <w:ind w:firstLine="482" w:firstLineChars="200"/>
        <w:jc w:val="both"/>
        <w:textAlignment w:val="auto"/>
        <w:outlineLvl w:val="9"/>
        <w:rPr>
          <w:rFonts w:ascii="宋体" w:hAnsi="宋体" w:cs="宋体"/>
          <w:b/>
          <w:sz w:val="24"/>
        </w:rPr>
      </w:pPr>
      <w:r>
        <w:rPr>
          <w:rFonts w:hint="eastAsia" w:ascii="宋体" w:hAnsi="宋体" w:cs="宋体"/>
          <w:b/>
          <w:sz w:val="24"/>
        </w:rPr>
        <w:t>四、其他要求</w:t>
      </w:r>
    </w:p>
    <w:p w14:paraId="763648B0">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免费质保期至少</w:t>
      </w:r>
      <w:r>
        <w:rPr>
          <w:rFonts w:hint="eastAsia" w:asciiTheme="minorEastAsia" w:hAnsiTheme="minorEastAsia" w:eastAsiaTheme="minorEastAsia" w:cstheme="minorEastAsia"/>
          <w:sz w:val="24"/>
          <w:szCs w:val="24"/>
          <w:lang w:val="en-US"/>
        </w:rPr>
        <w:t>3</w:t>
      </w:r>
      <w:r>
        <w:rPr>
          <w:rFonts w:hint="eastAsia" w:asciiTheme="minorEastAsia" w:hAnsiTheme="minorEastAsia" w:eastAsiaTheme="minorEastAsia" w:cstheme="minorEastAsia"/>
          <w:sz w:val="24"/>
          <w:szCs w:val="24"/>
        </w:rPr>
        <w:t>年。</w:t>
      </w:r>
    </w:p>
    <w:p w14:paraId="79C0E9C1">
      <w:pPr>
        <w:pStyle w:val="5"/>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b/>
          <w:bCs/>
          <w:snapToGrid/>
          <w:color w:val="auto"/>
          <w:kern w:val="2"/>
          <w:sz w:val="24"/>
          <w:szCs w:val="24"/>
          <w:lang w:val="zh-TW"/>
        </w:rPr>
      </w:pPr>
      <w:r>
        <w:rPr>
          <w:rFonts w:hint="eastAsia" w:asciiTheme="minorEastAsia" w:hAnsiTheme="minorEastAsia" w:eastAsiaTheme="minorEastAsia" w:cstheme="minorEastAsia"/>
          <w:sz w:val="24"/>
          <w:szCs w:val="24"/>
        </w:rPr>
        <w:t>2.供应商承诺：在投标设备质保期内提供7×24</w:t>
      </w:r>
      <w:r>
        <w:rPr>
          <w:rFonts w:hint="eastAsia" w:asciiTheme="minorEastAsia" w:hAnsiTheme="minorEastAsia" w:eastAsiaTheme="minorEastAsia" w:cstheme="minorEastAsia"/>
          <w:sz w:val="24"/>
          <w:szCs w:val="24"/>
          <w:lang w:val="en-US" w:eastAsia="zh-CN"/>
        </w:rPr>
        <w:t>小时</w:t>
      </w:r>
      <w:r>
        <w:rPr>
          <w:rFonts w:hint="eastAsia" w:asciiTheme="minorEastAsia" w:hAnsiTheme="minorEastAsia" w:eastAsiaTheme="minorEastAsia" w:cstheme="minorEastAsia"/>
          <w:sz w:val="24"/>
          <w:szCs w:val="24"/>
        </w:rPr>
        <w:t>服务，1小时内到现场。</w:t>
      </w:r>
    </w:p>
    <w:p w14:paraId="13D6C22B">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w:t>
      </w:r>
      <w:r>
        <w:rPr>
          <w:rFonts w:hint="eastAsia" w:asciiTheme="minorEastAsia" w:hAnsiTheme="minorEastAsia" w:eastAsiaTheme="minorEastAsia" w:cstheme="minorEastAsia"/>
          <w:sz w:val="24"/>
          <w:szCs w:val="24"/>
        </w:rPr>
        <w:t>保修条件：符合国家质量监督检验检疫总局、信息产业部第24号令《微型计算机商品修理更换退货责任规定》和其它相关规定。</w:t>
      </w:r>
    </w:p>
    <w:p w14:paraId="046F5A58">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4.</w:t>
      </w:r>
      <w:r>
        <w:rPr>
          <w:rFonts w:hint="eastAsia" w:asciiTheme="minorEastAsia" w:hAnsiTheme="minorEastAsia" w:eastAsiaTheme="minorEastAsia" w:cstheme="minorEastAsia"/>
          <w:sz w:val="24"/>
          <w:szCs w:val="24"/>
        </w:rPr>
        <w:t>供货时间：在合同生效后</w:t>
      </w:r>
      <w:r>
        <w:rPr>
          <w:rFonts w:hint="eastAsia" w:asciiTheme="minorEastAsia" w:hAnsiTheme="minorEastAsia" w:eastAsiaTheme="minorEastAsia" w:cstheme="minorEastAsia"/>
          <w:sz w:val="24"/>
          <w:szCs w:val="24"/>
          <w:lang w:val="en-US"/>
        </w:rPr>
        <w:t>30</w:t>
      </w:r>
      <w:r>
        <w:rPr>
          <w:rFonts w:hint="eastAsia" w:asciiTheme="minorEastAsia" w:hAnsiTheme="minorEastAsia" w:eastAsiaTheme="minorEastAsia" w:cstheme="minorEastAsia"/>
          <w:sz w:val="24"/>
          <w:szCs w:val="24"/>
        </w:rPr>
        <w:t>天内，供应商需将所供产品（出厂原包装）按合同清单所列的采购单位、地址以及货物品种、数量等，运至指定地点拆箱，并负责安装、调试，由采购单位负责验收。</w:t>
      </w:r>
    </w:p>
    <w:p w14:paraId="5D950F6D">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rPr>
      </w:pPr>
      <w:bookmarkStart w:id="41" w:name="OLE_LINK89"/>
      <w:bookmarkStart w:id="42" w:name="OLE_LINK90"/>
      <w:r>
        <w:rPr>
          <w:rFonts w:hint="eastAsia" w:asciiTheme="minorEastAsia" w:hAnsiTheme="minorEastAsia" w:eastAsiaTheme="minorEastAsia" w:cstheme="minorEastAsia"/>
          <w:sz w:val="24"/>
        </w:rPr>
        <w:t>供货地点：临安区范围内（实际情况按采购单位需求进行供货）。</w:t>
      </w:r>
    </w:p>
    <w:p w14:paraId="26BA67CE">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5.安装调试：</w:t>
      </w:r>
    </w:p>
    <w:bookmarkEnd w:id="41"/>
    <w:p w14:paraId="75392875">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为确保安装调试工作安全有序的进行，要求中标人在货物运抵安装现场前3天内，向采购人提供一份详细的安装、调试验收计划和所采用的标准及方法，现场负责人、工程师和参与安装人员的名单，此计划和采用的标准一旦被采购人确认就不得随意更改，否则中标人应承担相应责任。</w:t>
      </w:r>
    </w:p>
    <w:p w14:paraId="7599A635">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（2）设备的安装必须符合有关标准和规范。安装过程中使用人将对设备的安装质量进行监督，安装过程中安全责任由中标人承担。</w:t>
      </w:r>
    </w:p>
    <w:bookmarkEnd w:id="42"/>
    <w:p w14:paraId="11516A15">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rPr>
        <w:t>.验收条件：开</w:t>
      </w:r>
      <w:bookmarkStart w:id="43" w:name="OLE_LINK25"/>
      <w:r>
        <w:rPr>
          <w:rFonts w:hint="eastAsia" w:asciiTheme="minorEastAsia" w:hAnsiTheme="minorEastAsia" w:eastAsiaTheme="minorEastAsia" w:cstheme="minorEastAsia"/>
          <w:sz w:val="24"/>
          <w:szCs w:val="24"/>
        </w:rPr>
        <w:t>箱验收：清点产品装</w:t>
      </w:r>
      <w:bookmarkEnd w:id="43"/>
      <w:r>
        <w:rPr>
          <w:rFonts w:hint="eastAsia" w:asciiTheme="minorEastAsia" w:hAnsiTheme="minorEastAsia" w:eastAsiaTheme="minorEastAsia" w:cstheme="minorEastAsia"/>
          <w:sz w:val="24"/>
          <w:szCs w:val="24"/>
        </w:rPr>
        <w:t>箱内容符合装箱单所列并符合招标文件要求和承诺书承诺；开机验收：产品应通电开机后进行所规定时间的试验运行后方可验收。</w:t>
      </w:r>
    </w:p>
    <w:p w14:paraId="26374F0D">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7</w:t>
      </w:r>
      <w:r>
        <w:rPr>
          <w:rFonts w:hint="eastAsia" w:asciiTheme="minorEastAsia" w:hAnsiTheme="minorEastAsia" w:eastAsiaTheme="minorEastAsia" w:cstheme="minorEastAsia"/>
          <w:sz w:val="24"/>
          <w:szCs w:val="24"/>
        </w:rPr>
        <w:t>.投标人的主机和所有配件、附件，必须保证产品的序列号、产品型号统一对应、描述一致。产品安装调试完毕后，能在其功能范围内保障用户的系统安全、稳定运行。</w:t>
      </w:r>
      <w:r>
        <w:rPr>
          <w:rFonts w:hint="eastAsia" w:asciiTheme="minorEastAsia" w:hAnsiTheme="minorEastAsia" w:eastAsiaTheme="minorEastAsia" w:cstheme="minorEastAsia"/>
          <w:spacing w:val="-6"/>
          <w:sz w:val="24"/>
          <w:szCs w:val="24"/>
        </w:rPr>
        <w:t>软件产品是原厂产品包或原厂家提供许可证协议的正版软件，并符合采购单位的采购要求。</w:t>
      </w:r>
    </w:p>
    <w:p w14:paraId="12C49C7F">
      <w:pPr>
        <w:keepNext w:val="0"/>
        <w:keepLines w:val="0"/>
        <w:pageBreakBefore w:val="0"/>
        <w:kinsoku/>
        <w:wordWrap/>
        <w:overflowPunct/>
        <w:topLinePunct w:val="0"/>
        <w:autoSpaceDE/>
        <w:autoSpaceDN/>
        <w:bidi w:val="0"/>
        <w:spacing w:line="360" w:lineRule="auto"/>
        <w:ind w:firstLine="482" w:firstLineChars="200"/>
        <w:jc w:val="both"/>
        <w:textAlignment w:val="auto"/>
        <w:outlineLvl w:val="9"/>
        <w:rPr>
          <w:rFonts w:ascii="宋体" w:hAnsi="宋体" w:cs="宋体"/>
          <w:b/>
          <w:sz w:val="24"/>
        </w:rPr>
      </w:pPr>
      <w:bookmarkStart w:id="44" w:name="OLE_LINK7"/>
      <w:r>
        <w:rPr>
          <w:rFonts w:hint="eastAsia" w:ascii="宋体" w:hAnsi="宋体" w:cs="宋体"/>
          <w:b/>
          <w:sz w:val="24"/>
        </w:rPr>
        <w:t>五、服务要求</w:t>
      </w:r>
    </w:p>
    <w:bookmarkEnd w:id="44"/>
    <w:p w14:paraId="0218BEB5">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质量保证</w:t>
      </w:r>
    </w:p>
    <w:p w14:paraId="7E33A163">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（1）投标货物必须是经国家“3C”认证的符合国家技术规范和质量标准的合格产品，满足采购单位的使用需求，并具有可靠的售后服务体系，质量可靠、使用安全；</w:t>
      </w:r>
    </w:p>
    <w:p w14:paraId="030E623B">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（2）投标人保证其提供的货物中所有预装和为本项目安装的软件均为具有合法版权或使用权的正版软件且无质量瑕疵；</w:t>
      </w:r>
    </w:p>
    <w:p w14:paraId="09F75213">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（3）在质保期内，如遇软件产品升级、改版，应免费提供更新、升级服务。</w:t>
      </w:r>
    </w:p>
    <w:p w14:paraId="5FFDDF8C">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要求投标人提供不低于标准服务，即与投标设备制造厂商对外公众网站上公布的有效服务标准相一致（投标人不得另行制作网页）。在标准服务基础上，投标人还应达到以下标准：</w:t>
      </w:r>
    </w:p>
    <w:p w14:paraId="51C7CB09">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（1）投标设备的品质和服务由供应商对采购单位负责；</w:t>
      </w:r>
    </w:p>
    <w:p w14:paraId="2E56E637">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（2）投标人应明确说明此次投标的服务策略，提供此次投标设备的服务计划（售后服务内容、等级、相关服务指标、售后服务组织机构及人员安排情况及其联络信息）；</w:t>
      </w:r>
    </w:p>
    <w:p w14:paraId="0D76E81E">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（3）在质保期内除提供设备标准现场保修和技术支持服务外，还应保证相关配套设备及配件等设备3年的服务承诺及备品、备件支持，以满足最终用户硬件故障、升级的要求；</w:t>
      </w:r>
    </w:p>
    <w:p w14:paraId="3EA78992">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（4）在投标设备质保期内，供应商应提供7×24小时的免费现场技术服务，对故障在</w:t>
      </w:r>
      <w:r>
        <w:rPr>
          <w:rFonts w:hint="eastAsia" w:asciiTheme="minorEastAsia" w:hAnsiTheme="minorEastAsia" w:eastAsiaTheme="minorEastAsia" w:cstheme="minorEastAsia"/>
          <w:sz w:val="24"/>
          <w:szCs w:val="24"/>
          <w:lang w:val="en-US"/>
        </w:rPr>
        <w:t>30分钟</w:t>
      </w:r>
      <w:r>
        <w:rPr>
          <w:rFonts w:hint="eastAsia" w:asciiTheme="minorEastAsia" w:hAnsiTheme="minorEastAsia" w:eastAsiaTheme="minorEastAsia" w:cstheme="minorEastAsia"/>
          <w:sz w:val="24"/>
          <w:szCs w:val="24"/>
        </w:rPr>
        <w:t>内响应，</w:t>
      </w:r>
      <w:r>
        <w:rPr>
          <w:rFonts w:hint="eastAsia" w:asciiTheme="minorEastAsia" w:hAnsiTheme="minorEastAsia" w:eastAsiaTheme="minorEastAsia" w:cstheme="minorEastAsia"/>
          <w:sz w:val="24"/>
          <w:szCs w:val="24"/>
          <w:lang w:eastAsia="zh-TW"/>
        </w:rPr>
        <w:t>1</w:t>
      </w:r>
      <w:r>
        <w:rPr>
          <w:rFonts w:hint="eastAsia" w:asciiTheme="minorEastAsia" w:hAnsiTheme="minorEastAsia" w:eastAsiaTheme="minorEastAsia" w:cstheme="minorEastAsia"/>
          <w:sz w:val="24"/>
          <w:szCs w:val="24"/>
        </w:rPr>
        <w:t>小时以内到现场，</w:t>
      </w:r>
      <w:r>
        <w:rPr>
          <w:rFonts w:hint="eastAsia" w:asciiTheme="minorEastAsia" w:hAnsiTheme="minorEastAsia" w:eastAsiaTheme="minorEastAsia" w:cstheme="minorEastAsia"/>
          <w:sz w:val="24"/>
          <w:szCs w:val="24"/>
          <w:lang w:eastAsia="zh-TW"/>
        </w:rPr>
        <w:t>2</w:t>
      </w:r>
      <w:r>
        <w:rPr>
          <w:rFonts w:hint="eastAsia" w:asciiTheme="minorEastAsia" w:hAnsiTheme="minorEastAsia" w:eastAsiaTheme="minorEastAsia" w:cstheme="minorEastAsia"/>
          <w:sz w:val="24"/>
          <w:szCs w:val="24"/>
        </w:rPr>
        <w:t xml:space="preserve">小时以内解决问题；不能解决问题的，必须提供备机，以保证采购单位的正常使用。如果逾期未作出响应，则由于故障所造成的全部损失由供应商承担； </w:t>
      </w:r>
    </w:p>
    <w:p w14:paraId="08726696">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（5）当投标货物发生非人为因素严重故障时，供应商应当免费在七日内将补充或者更换的货物运抵发生故障的货物所在地，由此产生的一切相关费用由供应商负担；</w:t>
      </w:r>
    </w:p>
    <w:p w14:paraId="6C2F4BF1">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（6）质保期内所有因更换或修理设备或部件而导致设备停止运行的时间应从其质保期内扣除；</w:t>
      </w:r>
    </w:p>
    <w:p w14:paraId="41D342D2">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（7）供应商在质保期内安装的任何零配件，必须是其投标设备制造厂商原产的或是经其认可的；</w:t>
      </w:r>
    </w:p>
    <w:p w14:paraId="09FCF7BF">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（8）所有的替代零配件必须是新的未使用和未经修复的，除非最终用户提供书面许可，否则不可使用此范围外的其他（非新的）配件；</w:t>
      </w:r>
    </w:p>
    <w:p w14:paraId="389620EB">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（9）供应商必须为维修和技术支持所未能解决的问题和故障提供正式的升级方案；</w:t>
      </w:r>
    </w:p>
    <w:p w14:paraId="2EB53051">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（10）在质保期内，供应商有责任解决所提供的投标设备和软件系统的任何问题，在质保期满后，当需要时，供应商仍须对因投标设备本身的固有缺陷和瑕疵承担相应责任。</w:t>
      </w:r>
    </w:p>
    <w:p w14:paraId="7B21CBE1">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对设备服务要求的有效响应将被视为投标人对其所投标设备的服务承诺，如果中标，须将服务承诺列入合同的设备服务条款。</w:t>
      </w:r>
    </w:p>
    <w:p w14:paraId="6CEBEE48">
      <w:pPr>
        <w:keepNext w:val="0"/>
        <w:keepLines w:val="0"/>
        <w:pageBreakBefore w:val="0"/>
        <w:kinsoku/>
        <w:wordWrap/>
        <w:overflowPunct/>
        <w:topLinePunct w:val="0"/>
        <w:autoSpaceDE/>
        <w:autoSpaceDN/>
        <w:bidi w:val="0"/>
        <w:spacing w:line="360" w:lineRule="auto"/>
        <w:ind w:firstLine="482" w:firstLineChars="200"/>
        <w:jc w:val="both"/>
        <w:textAlignment w:val="auto"/>
        <w:outlineLvl w:val="9"/>
        <w:rPr>
          <w:rFonts w:ascii="宋体" w:hAnsi="宋体" w:cs="宋体"/>
          <w:b/>
          <w:sz w:val="24"/>
        </w:rPr>
      </w:pPr>
      <w:r>
        <w:rPr>
          <w:rFonts w:hint="eastAsia" w:ascii="宋体" w:hAnsi="宋体" w:cs="宋体"/>
          <w:b/>
          <w:sz w:val="24"/>
        </w:rPr>
        <w:t>六、支付方式</w:t>
      </w:r>
    </w:p>
    <w:p w14:paraId="1993C623">
      <w:pPr>
        <w:pStyle w:val="80"/>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asciiTheme="minorEastAsia" w:hAnsiTheme="minorEastAsia" w:eastAsiaTheme="minorEastAsia" w:cstheme="minorEastAsia"/>
          <w:sz w:val="24"/>
          <w:szCs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624" w:footer="992" w:gutter="0"/>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Theme="minorEastAsia" w:hAnsiTheme="minorEastAsia" w:eastAsiaTheme="minorEastAsia" w:cstheme="minorEastAsia"/>
          <w:sz w:val="24"/>
          <w:szCs w:val="24"/>
          <w:highlight w:val="none"/>
        </w:rPr>
        <w:t>满足支付条件后5个工作日内支付合同总金额40%预付款，项目验收完毕后支付合同总金额的60%。在签订合同时，供应商明确表示无需预付款或者主动要求降低预付款比例的，采购单位可不适用前述规定。</w:t>
      </w:r>
    </w:p>
    <w:p w14:paraId="7B70C821">
      <w:pPr>
        <w:pStyle w:val="24"/>
      </w:pPr>
    </w:p>
    <w:bookmarkEnd w:id="14"/>
    <w:bookmarkEnd w:id="15"/>
    <w:bookmarkEnd w:id="32"/>
    <w:bookmarkEnd w:id="33"/>
    <w:p w14:paraId="6B3C566F">
      <w:pPr>
        <w:jc w:val="center"/>
        <w:outlineLvl w:val="0"/>
        <w:rPr>
          <w:rFonts w:ascii="宋体" w:hAnsi="宋体" w:cs="宋体"/>
          <w:b/>
          <w:color w:val="auto"/>
          <w:sz w:val="36"/>
          <w:szCs w:val="36"/>
          <w:highlight w:val="none"/>
        </w:rPr>
      </w:pPr>
      <w:bookmarkStart w:id="45" w:name="第四部分"/>
      <w:r>
        <w:rPr>
          <w:rFonts w:hint="eastAsia" w:ascii="宋体" w:hAnsi="宋体" w:cs="宋体"/>
          <w:b/>
          <w:color w:val="auto"/>
          <w:sz w:val="36"/>
          <w:szCs w:val="36"/>
          <w:highlight w:val="none"/>
        </w:rPr>
        <w:t xml:space="preserve">第四部分 </w:t>
      </w:r>
      <w:bookmarkStart w:id="46" w:name="_Toc184308081"/>
      <w:bookmarkEnd w:id="46"/>
      <w:bookmarkStart w:id="47" w:name="_Toc184312118"/>
      <w:bookmarkEnd w:id="47"/>
      <w:bookmarkStart w:id="48" w:name="_Toc184314456"/>
      <w:bookmarkEnd w:id="48"/>
      <w:bookmarkStart w:id="49" w:name="_Toc184310314"/>
      <w:bookmarkEnd w:id="49"/>
      <w:bookmarkStart w:id="50" w:name="_Toc184310317"/>
      <w:bookmarkEnd w:id="50"/>
      <w:bookmarkStart w:id="51" w:name="_Toc184313264"/>
      <w:bookmarkEnd w:id="51"/>
      <w:bookmarkStart w:id="52" w:name="_Toc184312077"/>
      <w:bookmarkEnd w:id="52"/>
      <w:bookmarkStart w:id="53" w:name="_Toc184308082"/>
      <w:bookmarkEnd w:id="53"/>
      <w:bookmarkStart w:id="54" w:name="_Toc184312069"/>
      <w:bookmarkEnd w:id="54"/>
      <w:bookmarkStart w:id="55" w:name="_Toc184314458"/>
      <w:bookmarkEnd w:id="55"/>
      <w:bookmarkStart w:id="56" w:name="_Toc184308083"/>
      <w:bookmarkEnd w:id="56"/>
      <w:bookmarkStart w:id="57" w:name="_Toc184312115"/>
      <w:bookmarkEnd w:id="57"/>
      <w:bookmarkStart w:id="58" w:name="_Toc184308063"/>
      <w:bookmarkEnd w:id="58"/>
      <w:bookmarkStart w:id="59" w:name="_Toc184308067"/>
      <w:bookmarkEnd w:id="59"/>
      <w:bookmarkStart w:id="60" w:name="_Toc184308044"/>
      <w:bookmarkEnd w:id="60"/>
      <w:bookmarkStart w:id="61" w:name="_Toc184313263"/>
      <w:bookmarkEnd w:id="61"/>
      <w:bookmarkStart w:id="62" w:name="_Toc184312071"/>
      <w:bookmarkEnd w:id="62"/>
      <w:bookmarkStart w:id="63" w:name="_Toc184310274"/>
      <w:bookmarkEnd w:id="63"/>
      <w:bookmarkStart w:id="64" w:name="_Toc184314422"/>
      <w:bookmarkEnd w:id="64"/>
      <w:bookmarkStart w:id="65" w:name="_Toc184314410"/>
      <w:bookmarkEnd w:id="65"/>
      <w:bookmarkStart w:id="66" w:name="_Toc184308058"/>
      <w:bookmarkEnd w:id="66"/>
      <w:bookmarkStart w:id="67" w:name="_Toc184314450"/>
      <w:bookmarkEnd w:id="67"/>
      <w:bookmarkStart w:id="68" w:name="_Toc184312120"/>
      <w:bookmarkEnd w:id="68"/>
      <w:bookmarkStart w:id="69" w:name="_Toc184314475"/>
      <w:bookmarkEnd w:id="69"/>
      <w:bookmarkStart w:id="70" w:name="_Toc184313253"/>
      <w:bookmarkEnd w:id="70"/>
      <w:bookmarkStart w:id="71" w:name="_Toc184308089"/>
      <w:bookmarkEnd w:id="71"/>
      <w:bookmarkStart w:id="72" w:name="_Toc184310293"/>
      <w:bookmarkEnd w:id="72"/>
      <w:bookmarkStart w:id="73" w:name="_Toc184313290"/>
      <w:bookmarkEnd w:id="73"/>
      <w:bookmarkStart w:id="74" w:name="_Toc184314463"/>
      <w:bookmarkEnd w:id="74"/>
      <w:bookmarkStart w:id="75" w:name="_Toc184308052"/>
      <w:bookmarkEnd w:id="75"/>
      <w:bookmarkStart w:id="76" w:name="_Toc184314439"/>
      <w:bookmarkEnd w:id="76"/>
      <w:bookmarkStart w:id="77" w:name="_Toc184313278"/>
      <w:bookmarkEnd w:id="77"/>
      <w:bookmarkStart w:id="78" w:name="_Toc184313252"/>
      <w:bookmarkEnd w:id="78"/>
      <w:bookmarkStart w:id="79" w:name="_Toc184313260"/>
      <w:bookmarkEnd w:id="79"/>
      <w:bookmarkStart w:id="80" w:name="_Toc184313266"/>
      <w:bookmarkEnd w:id="80"/>
      <w:bookmarkStart w:id="81" w:name="_Toc184313262"/>
      <w:bookmarkEnd w:id="81"/>
      <w:bookmarkStart w:id="82" w:name="_Toc184313239"/>
      <w:bookmarkEnd w:id="82"/>
      <w:bookmarkStart w:id="83" w:name="_Toc184314442"/>
      <w:bookmarkEnd w:id="83"/>
      <w:bookmarkStart w:id="84" w:name="_Toc184314466"/>
      <w:bookmarkEnd w:id="84"/>
      <w:bookmarkStart w:id="85" w:name="_Toc184310282"/>
      <w:bookmarkEnd w:id="85"/>
      <w:bookmarkStart w:id="86" w:name="_Toc184310322"/>
      <w:bookmarkEnd w:id="86"/>
      <w:bookmarkStart w:id="87" w:name="_Toc184313310"/>
      <w:bookmarkEnd w:id="87"/>
      <w:bookmarkStart w:id="88" w:name="_Toc184314420"/>
      <w:bookmarkEnd w:id="88"/>
      <w:bookmarkStart w:id="89" w:name="_Toc184308073"/>
      <w:bookmarkEnd w:id="89"/>
      <w:bookmarkStart w:id="90" w:name="_Toc184312121"/>
      <w:bookmarkEnd w:id="90"/>
      <w:bookmarkStart w:id="91" w:name="_Toc184314467"/>
      <w:bookmarkEnd w:id="91"/>
      <w:bookmarkStart w:id="92" w:name="_Toc184308077"/>
      <w:bookmarkEnd w:id="92"/>
      <w:bookmarkStart w:id="93" w:name="_Toc184312073"/>
      <w:bookmarkEnd w:id="93"/>
      <w:bookmarkStart w:id="94" w:name="_Toc184312128"/>
      <w:bookmarkEnd w:id="94"/>
      <w:bookmarkStart w:id="95" w:name="_Toc184310340"/>
      <w:bookmarkEnd w:id="95"/>
      <w:bookmarkStart w:id="96" w:name="_Toc184312082"/>
      <w:bookmarkEnd w:id="96"/>
      <w:bookmarkStart w:id="97" w:name="_Toc184313248"/>
      <w:bookmarkEnd w:id="97"/>
      <w:bookmarkStart w:id="98" w:name="_Toc184308049"/>
      <w:bookmarkEnd w:id="98"/>
      <w:bookmarkStart w:id="99" w:name="_Toc184312114"/>
      <w:bookmarkEnd w:id="99"/>
      <w:bookmarkStart w:id="100" w:name="_Toc184313296"/>
      <w:bookmarkEnd w:id="100"/>
      <w:bookmarkStart w:id="101" w:name="_Toc184312134"/>
      <w:bookmarkEnd w:id="101"/>
      <w:bookmarkStart w:id="102" w:name="_Toc184310318"/>
      <w:bookmarkEnd w:id="102"/>
      <w:bookmarkStart w:id="103" w:name="_Toc184314468"/>
      <w:bookmarkEnd w:id="103"/>
      <w:bookmarkStart w:id="104" w:name="_Toc184313283"/>
      <w:bookmarkEnd w:id="104"/>
      <w:bookmarkStart w:id="105" w:name="_Toc184310307"/>
      <w:bookmarkEnd w:id="105"/>
      <w:bookmarkStart w:id="106" w:name="_Toc184310327"/>
      <w:bookmarkEnd w:id="106"/>
      <w:bookmarkStart w:id="107" w:name="_Toc184314480"/>
      <w:bookmarkEnd w:id="107"/>
      <w:bookmarkStart w:id="108" w:name="_Toc184314437"/>
      <w:bookmarkEnd w:id="108"/>
      <w:bookmarkStart w:id="109" w:name="_Toc184314433"/>
      <w:bookmarkEnd w:id="109"/>
      <w:bookmarkStart w:id="110" w:name="_Toc184313306"/>
      <w:bookmarkEnd w:id="110"/>
      <w:bookmarkStart w:id="111" w:name="_Toc184314453"/>
      <w:bookmarkEnd w:id="111"/>
      <w:bookmarkStart w:id="112" w:name="_Toc184310338"/>
      <w:bookmarkEnd w:id="112"/>
      <w:bookmarkStart w:id="113" w:name="_Toc184310283"/>
      <w:bookmarkEnd w:id="113"/>
      <w:bookmarkStart w:id="114" w:name="_Toc184313274"/>
      <w:bookmarkEnd w:id="114"/>
      <w:bookmarkStart w:id="115" w:name="_Toc184310309"/>
      <w:bookmarkEnd w:id="115"/>
      <w:bookmarkStart w:id="116" w:name="_Toc184308093"/>
      <w:bookmarkEnd w:id="116"/>
      <w:bookmarkStart w:id="117" w:name="_Toc184312136"/>
      <w:bookmarkEnd w:id="117"/>
      <w:bookmarkStart w:id="118" w:name="_Toc184312123"/>
      <w:bookmarkEnd w:id="118"/>
      <w:bookmarkStart w:id="119" w:name="_Toc184312107"/>
      <w:bookmarkEnd w:id="119"/>
      <w:bookmarkStart w:id="120" w:name="_Toc184308070"/>
      <w:bookmarkEnd w:id="120"/>
      <w:bookmarkStart w:id="121" w:name="_Toc184313255"/>
      <w:bookmarkEnd w:id="121"/>
      <w:bookmarkStart w:id="122" w:name="_Toc184310312"/>
      <w:bookmarkEnd w:id="122"/>
      <w:bookmarkStart w:id="123" w:name="_Toc184308039"/>
      <w:bookmarkEnd w:id="123"/>
      <w:bookmarkStart w:id="124" w:name="_Toc184312111"/>
      <w:bookmarkEnd w:id="124"/>
      <w:bookmarkStart w:id="125" w:name="_Toc184313270"/>
      <w:bookmarkEnd w:id="125"/>
      <w:bookmarkStart w:id="126" w:name="_Toc184310285"/>
      <w:bookmarkEnd w:id="126"/>
      <w:bookmarkStart w:id="127" w:name="_Toc184310301"/>
      <w:bookmarkEnd w:id="127"/>
      <w:bookmarkStart w:id="128" w:name="_Toc184314482"/>
      <w:bookmarkEnd w:id="128"/>
      <w:bookmarkStart w:id="129" w:name="_Toc184312098"/>
      <w:bookmarkEnd w:id="129"/>
      <w:bookmarkStart w:id="130" w:name="_Toc184308095"/>
      <w:bookmarkEnd w:id="130"/>
      <w:bookmarkStart w:id="131" w:name="_Toc184313240"/>
      <w:bookmarkEnd w:id="131"/>
      <w:bookmarkStart w:id="132" w:name="_Toc184312131"/>
      <w:bookmarkEnd w:id="132"/>
      <w:bookmarkStart w:id="133" w:name="_Toc184314441"/>
      <w:bookmarkEnd w:id="133"/>
      <w:bookmarkStart w:id="134" w:name="_Toc184310330"/>
      <w:bookmarkEnd w:id="134"/>
      <w:bookmarkStart w:id="135" w:name="_Toc184310279"/>
      <w:bookmarkEnd w:id="135"/>
      <w:bookmarkStart w:id="136" w:name="_Toc184314423"/>
      <w:bookmarkEnd w:id="136"/>
      <w:bookmarkStart w:id="137" w:name="_Toc184314447"/>
      <w:bookmarkEnd w:id="137"/>
      <w:bookmarkStart w:id="138" w:name="_Toc184313303"/>
      <w:bookmarkEnd w:id="138"/>
      <w:bookmarkStart w:id="139" w:name="_Toc184313295"/>
      <w:bookmarkEnd w:id="139"/>
      <w:bookmarkStart w:id="140" w:name="_Toc184310334"/>
      <w:bookmarkEnd w:id="140"/>
      <w:bookmarkStart w:id="141" w:name="_Toc184313287"/>
      <w:bookmarkEnd w:id="141"/>
      <w:bookmarkStart w:id="142" w:name="_Toc184312117"/>
      <w:bookmarkEnd w:id="142"/>
      <w:bookmarkStart w:id="143" w:name="_Toc184313282"/>
      <w:bookmarkEnd w:id="143"/>
      <w:bookmarkStart w:id="144" w:name="_Toc184312116"/>
      <w:bookmarkEnd w:id="144"/>
      <w:bookmarkStart w:id="145" w:name="_Toc184308050"/>
      <w:bookmarkEnd w:id="145"/>
      <w:bookmarkStart w:id="146" w:name="_Toc184308047"/>
      <w:bookmarkEnd w:id="146"/>
      <w:bookmarkStart w:id="147" w:name="_Toc184312093"/>
      <w:bookmarkEnd w:id="147"/>
      <w:bookmarkStart w:id="148" w:name="_Toc184313284"/>
      <w:bookmarkEnd w:id="148"/>
      <w:bookmarkStart w:id="149" w:name="_Toc184313281"/>
      <w:bookmarkEnd w:id="149"/>
      <w:bookmarkStart w:id="150" w:name="_Toc184310292"/>
      <w:bookmarkEnd w:id="150"/>
      <w:bookmarkStart w:id="151" w:name="_Toc184314415"/>
      <w:bookmarkEnd w:id="151"/>
      <w:bookmarkStart w:id="152" w:name="_Toc184308100"/>
      <w:bookmarkEnd w:id="152"/>
      <w:bookmarkStart w:id="153" w:name="_Toc184310289"/>
      <w:bookmarkEnd w:id="153"/>
      <w:bookmarkStart w:id="154" w:name="_Toc184310344"/>
      <w:bookmarkEnd w:id="154"/>
      <w:bookmarkStart w:id="155" w:name="_Toc184310295"/>
      <w:bookmarkEnd w:id="155"/>
      <w:bookmarkStart w:id="156" w:name="_Toc184310313"/>
      <w:bookmarkEnd w:id="156"/>
      <w:bookmarkStart w:id="157" w:name="_Toc184310337"/>
      <w:bookmarkEnd w:id="157"/>
      <w:bookmarkStart w:id="158" w:name="_Toc184314451"/>
      <w:bookmarkEnd w:id="158"/>
      <w:bookmarkStart w:id="159" w:name="_Toc184313251"/>
      <w:bookmarkEnd w:id="159"/>
      <w:bookmarkStart w:id="160" w:name="_Toc184314464"/>
      <w:bookmarkEnd w:id="160"/>
      <w:bookmarkStart w:id="161" w:name="_Toc184314460"/>
      <w:bookmarkEnd w:id="161"/>
      <w:bookmarkStart w:id="162" w:name="_Toc184312076"/>
      <w:bookmarkEnd w:id="162"/>
      <w:bookmarkStart w:id="163" w:name="_Toc184313273"/>
      <w:bookmarkEnd w:id="163"/>
      <w:bookmarkStart w:id="164" w:name="_Toc184313243"/>
      <w:bookmarkEnd w:id="164"/>
      <w:bookmarkStart w:id="165" w:name="_Toc184314424"/>
      <w:bookmarkEnd w:id="165"/>
      <w:bookmarkStart w:id="166" w:name="_Toc184310316"/>
      <w:bookmarkEnd w:id="166"/>
      <w:bookmarkStart w:id="167" w:name="_Toc184313291"/>
      <w:bookmarkEnd w:id="167"/>
      <w:bookmarkStart w:id="168" w:name="_Toc184314429"/>
      <w:bookmarkEnd w:id="168"/>
      <w:bookmarkStart w:id="169" w:name="_Toc184314478"/>
      <w:bookmarkEnd w:id="169"/>
      <w:bookmarkStart w:id="170" w:name="_Toc184313276"/>
      <w:bookmarkEnd w:id="170"/>
      <w:bookmarkStart w:id="171" w:name="_Toc184313277"/>
      <w:bookmarkEnd w:id="171"/>
      <w:bookmarkStart w:id="172" w:name="_Toc184314473"/>
      <w:bookmarkEnd w:id="172"/>
      <w:bookmarkStart w:id="173" w:name="_Toc184308098"/>
      <w:bookmarkEnd w:id="173"/>
      <w:bookmarkStart w:id="174" w:name="_Toc184312094"/>
      <w:bookmarkEnd w:id="174"/>
      <w:bookmarkStart w:id="175" w:name="_Toc184308079"/>
      <w:bookmarkEnd w:id="175"/>
      <w:bookmarkStart w:id="176" w:name="_Toc184314412"/>
      <w:bookmarkEnd w:id="176"/>
      <w:bookmarkStart w:id="177" w:name="_Toc184312090"/>
      <w:bookmarkEnd w:id="177"/>
      <w:bookmarkStart w:id="178" w:name="_Toc184312085"/>
      <w:bookmarkEnd w:id="178"/>
      <w:bookmarkStart w:id="179" w:name="_Toc184313254"/>
      <w:bookmarkEnd w:id="179"/>
      <w:bookmarkStart w:id="180" w:name="_Toc184314417"/>
      <w:bookmarkEnd w:id="180"/>
      <w:bookmarkStart w:id="181" w:name="_Toc184313256"/>
      <w:bookmarkEnd w:id="181"/>
      <w:bookmarkStart w:id="182" w:name="_Toc184313272"/>
      <w:bookmarkEnd w:id="182"/>
      <w:bookmarkStart w:id="183" w:name="_Toc184310296"/>
      <w:bookmarkEnd w:id="183"/>
      <w:bookmarkStart w:id="184" w:name="_Toc184310319"/>
      <w:bookmarkEnd w:id="184"/>
      <w:bookmarkStart w:id="185" w:name="_Toc184313304"/>
      <w:bookmarkEnd w:id="185"/>
      <w:bookmarkStart w:id="186" w:name="_Toc184308057"/>
      <w:bookmarkEnd w:id="186"/>
      <w:bookmarkStart w:id="187" w:name="_Toc184308068"/>
      <w:bookmarkEnd w:id="187"/>
      <w:bookmarkStart w:id="188" w:name="_Toc184313298"/>
      <w:bookmarkEnd w:id="188"/>
      <w:bookmarkStart w:id="189" w:name="_Toc184308043"/>
      <w:bookmarkEnd w:id="189"/>
      <w:bookmarkStart w:id="190" w:name="_Toc184308080"/>
      <w:bookmarkEnd w:id="190"/>
      <w:bookmarkStart w:id="191" w:name="_Toc184314440"/>
      <w:bookmarkEnd w:id="191"/>
      <w:bookmarkStart w:id="192" w:name="_Toc184312083"/>
      <w:bookmarkEnd w:id="192"/>
      <w:bookmarkStart w:id="193" w:name="_Toc184308040"/>
      <w:bookmarkEnd w:id="193"/>
      <w:bookmarkStart w:id="194" w:name="_Toc184308106"/>
      <w:bookmarkEnd w:id="194"/>
      <w:bookmarkStart w:id="195" w:name="_Toc184313268"/>
      <w:bookmarkEnd w:id="195"/>
      <w:bookmarkStart w:id="196" w:name="_Toc184310308"/>
      <w:bookmarkEnd w:id="196"/>
      <w:bookmarkStart w:id="197" w:name="_Toc184313302"/>
      <w:bookmarkEnd w:id="197"/>
      <w:bookmarkStart w:id="198" w:name="_Toc184308099"/>
      <w:bookmarkEnd w:id="198"/>
      <w:bookmarkStart w:id="199" w:name="_Toc184308038"/>
      <w:bookmarkEnd w:id="199"/>
      <w:bookmarkStart w:id="200" w:name="_Toc184308072"/>
      <w:bookmarkEnd w:id="200"/>
      <w:bookmarkStart w:id="201" w:name="_Toc184308074"/>
      <w:bookmarkEnd w:id="201"/>
      <w:bookmarkStart w:id="202" w:name="_Toc184308053"/>
      <w:bookmarkEnd w:id="202"/>
      <w:bookmarkStart w:id="203" w:name="_Toc184314479"/>
      <w:bookmarkEnd w:id="203"/>
      <w:bookmarkStart w:id="204" w:name="_Toc184312105"/>
      <w:bookmarkEnd w:id="204"/>
      <w:bookmarkStart w:id="205" w:name="_Toc184314459"/>
      <w:bookmarkEnd w:id="205"/>
      <w:bookmarkStart w:id="206" w:name="_Toc184313293"/>
      <w:bookmarkEnd w:id="206"/>
      <w:bookmarkStart w:id="207" w:name="_Toc184308091"/>
      <w:bookmarkEnd w:id="207"/>
      <w:bookmarkStart w:id="208" w:name="_Toc184312088"/>
      <w:bookmarkEnd w:id="208"/>
      <w:bookmarkStart w:id="209" w:name="_Toc184308084"/>
      <w:bookmarkEnd w:id="209"/>
      <w:bookmarkStart w:id="210" w:name="_Toc184308071"/>
      <w:bookmarkEnd w:id="210"/>
      <w:bookmarkStart w:id="211" w:name="_Toc184314481"/>
      <w:bookmarkEnd w:id="211"/>
      <w:bookmarkStart w:id="212" w:name="_Toc184314421"/>
      <w:bookmarkEnd w:id="212"/>
      <w:bookmarkStart w:id="213" w:name="_Toc184308055"/>
      <w:bookmarkEnd w:id="213"/>
      <w:bookmarkStart w:id="214" w:name="_Toc184310342"/>
      <w:bookmarkEnd w:id="214"/>
      <w:bookmarkStart w:id="215" w:name="_Toc184308062"/>
      <w:bookmarkEnd w:id="215"/>
      <w:bookmarkStart w:id="216" w:name="_Toc184312079"/>
      <w:bookmarkEnd w:id="216"/>
      <w:bookmarkStart w:id="217" w:name="_Toc184314474"/>
      <w:bookmarkEnd w:id="217"/>
      <w:bookmarkStart w:id="218" w:name="_Toc184308102"/>
      <w:bookmarkEnd w:id="218"/>
      <w:bookmarkStart w:id="219" w:name="_Toc184314471"/>
      <w:bookmarkEnd w:id="219"/>
      <w:bookmarkStart w:id="220" w:name="_Toc184313249"/>
      <w:bookmarkEnd w:id="220"/>
      <w:bookmarkStart w:id="221" w:name="_Toc184314462"/>
      <w:bookmarkEnd w:id="221"/>
      <w:bookmarkStart w:id="222" w:name="_Toc184312112"/>
      <w:bookmarkEnd w:id="222"/>
      <w:bookmarkStart w:id="223" w:name="_Toc184314477"/>
      <w:bookmarkEnd w:id="223"/>
      <w:bookmarkStart w:id="224" w:name="_Toc184312070"/>
      <w:bookmarkEnd w:id="224"/>
      <w:bookmarkStart w:id="225" w:name="_Toc184312135"/>
      <w:bookmarkEnd w:id="225"/>
      <w:bookmarkStart w:id="226" w:name="_Toc184312132"/>
      <w:bookmarkEnd w:id="226"/>
      <w:bookmarkStart w:id="227" w:name="_Toc184310299"/>
      <w:bookmarkEnd w:id="227"/>
      <w:bookmarkStart w:id="228" w:name="_Toc184308048"/>
      <w:bookmarkEnd w:id="228"/>
      <w:bookmarkStart w:id="229" w:name="_Toc184314476"/>
      <w:bookmarkEnd w:id="229"/>
      <w:bookmarkStart w:id="230" w:name="_Toc184313261"/>
      <w:bookmarkEnd w:id="230"/>
      <w:bookmarkStart w:id="231" w:name="_Toc184314419"/>
      <w:bookmarkEnd w:id="231"/>
      <w:bookmarkStart w:id="232" w:name="_Toc184312096"/>
      <w:bookmarkEnd w:id="232"/>
      <w:bookmarkStart w:id="233" w:name="_Toc184312099"/>
      <w:bookmarkEnd w:id="233"/>
      <w:bookmarkStart w:id="234" w:name="_Toc184308090"/>
      <w:bookmarkEnd w:id="234"/>
      <w:bookmarkStart w:id="235" w:name="_Toc184314449"/>
      <w:bookmarkEnd w:id="235"/>
      <w:bookmarkStart w:id="236" w:name="_Toc184310273"/>
      <w:bookmarkEnd w:id="236"/>
      <w:bookmarkStart w:id="237" w:name="_Toc184310341"/>
      <w:bookmarkEnd w:id="237"/>
      <w:bookmarkStart w:id="238" w:name="_Toc184310275"/>
      <w:bookmarkEnd w:id="238"/>
      <w:bookmarkStart w:id="239" w:name="_Toc184313247"/>
      <w:bookmarkEnd w:id="239"/>
      <w:bookmarkStart w:id="240" w:name="_Toc184312072"/>
      <w:bookmarkEnd w:id="240"/>
      <w:bookmarkStart w:id="241" w:name="_Toc184314414"/>
      <w:bookmarkEnd w:id="241"/>
      <w:bookmarkStart w:id="242" w:name="_Toc184314431"/>
      <w:bookmarkEnd w:id="242"/>
      <w:bookmarkStart w:id="243" w:name="_Toc184308078"/>
      <w:bookmarkEnd w:id="243"/>
      <w:bookmarkStart w:id="244" w:name="_Toc184310321"/>
      <w:bookmarkEnd w:id="244"/>
      <w:bookmarkStart w:id="245" w:name="_Toc184308076"/>
      <w:bookmarkEnd w:id="245"/>
      <w:bookmarkStart w:id="246" w:name="_Toc184312078"/>
      <w:bookmarkEnd w:id="246"/>
      <w:bookmarkStart w:id="247" w:name="_Toc184308092"/>
      <w:bookmarkEnd w:id="247"/>
      <w:bookmarkStart w:id="248" w:name="_Toc184312068"/>
      <w:bookmarkEnd w:id="248"/>
      <w:bookmarkStart w:id="249" w:name="_Toc184312133"/>
      <w:bookmarkEnd w:id="249"/>
      <w:bookmarkStart w:id="250" w:name="_Toc184308056"/>
      <w:bookmarkEnd w:id="250"/>
      <w:bookmarkStart w:id="251" w:name="_Toc184310329"/>
      <w:bookmarkEnd w:id="251"/>
      <w:bookmarkStart w:id="252" w:name="_Toc184313301"/>
      <w:bookmarkEnd w:id="252"/>
      <w:bookmarkStart w:id="253" w:name="_Toc184310332"/>
      <w:bookmarkEnd w:id="253"/>
      <w:bookmarkStart w:id="254" w:name="_Toc184312106"/>
      <w:bookmarkEnd w:id="254"/>
      <w:bookmarkStart w:id="255" w:name="_Toc184314418"/>
      <w:bookmarkEnd w:id="255"/>
      <w:bookmarkStart w:id="256" w:name="_Toc184310286"/>
      <w:bookmarkEnd w:id="256"/>
      <w:bookmarkStart w:id="257" w:name="_Toc184308061"/>
      <w:bookmarkEnd w:id="257"/>
      <w:bookmarkStart w:id="258" w:name="_Toc184312091"/>
      <w:bookmarkEnd w:id="258"/>
      <w:bookmarkStart w:id="259" w:name="_Toc184308104"/>
      <w:bookmarkEnd w:id="259"/>
      <w:bookmarkStart w:id="260" w:name="_Toc184313297"/>
      <w:bookmarkEnd w:id="260"/>
      <w:bookmarkStart w:id="261" w:name="_Toc184308065"/>
      <w:bookmarkEnd w:id="261"/>
      <w:bookmarkStart w:id="262" w:name="_Toc184313279"/>
      <w:bookmarkEnd w:id="262"/>
      <w:bookmarkStart w:id="263" w:name="_Toc184308097"/>
      <w:bookmarkEnd w:id="263"/>
      <w:bookmarkStart w:id="264" w:name="_Toc184310302"/>
      <w:bookmarkEnd w:id="264"/>
      <w:bookmarkStart w:id="265" w:name="_Toc184314445"/>
      <w:bookmarkEnd w:id="265"/>
      <w:bookmarkStart w:id="266" w:name="_Toc184314461"/>
      <w:bookmarkEnd w:id="266"/>
      <w:bookmarkStart w:id="267" w:name="_Toc184310310"/>
      <w:bookmarkEnd w:id="267"/>
      <w:bookmarkStart w:id="268" w:name="_Toc184314454"/>
      <w:bookmarkEnd w:id="268"/>
      <w:bookmarkStart w:id="269" w:name="_Toc184312104"/>
      <w:bookmarkEnd w:id="269"/>
      <w:bookmarkStart w:id="270" w:name="_Toc184314436"/>
      <w:bookmarkEnd w:id="270"/>
      <w:bookmarkStart w:id="271" w:name="_Toc184313257"/>
      <w:bookmarkEnd w:id="271"/>
      <w:bookmarkStart w:id="272" w:name="_Toc184313258"/>
      <w:bookmarkEnd w:id="272"/>
      <w:bookmarkStart w:id="273" w:name="_Toc184314416"/>
      <w:bookmarkEnd w:id="273"/>
      <w:bookmarkStart w:id="274" w:name="_Toc184313271"/>
      <w:bookmarkEnd w:id="274"/>
      <w:bookmarkStart w:id="275" w:name="_Toc184308107"/>
      <w:bookmarkEnd w:id="275"/>
      <w:bookmarkStart w:id="276" w:name="_Toc184308094"/>
      <w:bookmarkEnd w:id="276"/>
      <w:bookmarkStart w:id="277" w:name="_Toc184308096"/>
      <w:bookmarkEnd w:id="277"/>
      <w:bookmarkStart w:id="278" w:name="_Toc184314425"/>
      <w:bookmarkEnd w:id="278"/>
      <w:bookmarkStart w:id="279" w:name="_Toc184314428"/>
      <w:bookmarkEnd w:id="279"/>
      <w:bookmarkStart w:id="280" w:name="_Toc184308103"/>
      <w:bookmarkEnd w:id="280"/>
      <w:bookmarkStart w:id="281" w:name="_Toc184310288"/>
      <w:bookmarkEnd w:id="281"/>
      <w:bookmarkStart w:id="282" w:name="_Toc184308075"/>
      <w:bookmarkEnd w:id="282"/>
      <w:bookmarkStart w:id="283" w:name="_Toc184310294"/>
      <w:bookmarkEnd w:id="283"/>
      <w:bookmarkStart w:id="284" w:name="_Toc184310304"/>
      <w:bookmarkEnd w:id="284"/>
      <w:bookmarkStart w:id="285" w:name="_Toc184310276"/>
      <w:bookmarkEnd w:id="285"/>
      <w:bookmarkStart w:id="286" w:name="_Toc184313286"/>
      <w:bookmarkEnd w:id="286"/>
      <w:bookmarkStart w:id="287" w:name="_Toc184314457"/>
      <w:bookmarkEnd w:id="287"/>
      <w:bookmarkStart w:id="288" w:name="_Toc184313289"/>
      <w:bookmarkEnd w:id="288"/>
      <w:bookmarkStart w:id="289" w:name="_Toc184314465"/>
      <w:bookmarkEnd w:id="289"/>
      <w:bookmarkStart w:id="290" w:name="_Toc184314455"/>
      <w:bookmarkEnd w:id="290"/>
      <w:bookmarkStart w:id="291" w:name="_Toc184308105"/>
      <w:bookmarkEnd w:id="291"/>
      <w:bookmarkStart w:id="292" w:name="_Toc184310297"/>
      <w:bookmarkEnd w:id="292"/>
      <w:bookmarkStart w:id="293" w:name="_Toc184312125"/>
      <w:bookmarkEnd w:id="293"/>
      <w:bookmarkStart w:id="294" w:name="_Toc184312103"/>
      <w:bookmarkEnd w:id="294"/>
      <w:bookmarkStart w:id="295" w:name="_Toc184312109"/>
      <w:bookmarkEnd w:id="295"/>
      <w:bookmarkStart w:id="296" w:name="_Toc184312137"/>
      <w:bookmarkEnd w:id="296"/>
      <w:bookmarkStart w:id="297" w:name="_Toc184310280"/>
      <w:bookmarkEnd w:id="297"/>
      <w:bookmarkStart w:id="298" w:name="_Toc184312097"/>
      <w:bookmarkEnd w:id="298"/>
      <w:bookmarkStart w:id="299" w:name="_Toc184312108"/>
      <w:bookmarkEnd w:id="299"/>
      <w:bookmarkStart w:id="300" w:name="_Toc184312087"/>
      <w:bookmarkEnd w:id="300"/>
      <w:bookmarkStart w:id="301" w:name="_Toc184310315"/>
      <w:bookmarkEnd w:id="301"/>
      <w:bookmarkStart w:id="302" w:name="_Toc184314452"/>
      <w:bookmarkEnd w:id="302"/>
      <w:bookmarkStart w:id="303" w:name="_Toc184308064"/>
      <w:bookmarkEnd w:id="303"/>
      <w:bookmarkStart w:id="304" w:name="_Toc184308088"/>
      <w:bookmarkEnd w:id="304"/>
      <w:bookmarkStart w:id="305" w:name="_Toc184310328"/>
      <w:bookmarkEnd w:id="305"/>
      <w:bookmarkStart w:id="306" w:name="_Toc184308086"/>
      <w:bookmarkEnd w:id="306"/>
      <w:bookmarkStart w:id="307" w:name="_Toc184310343"/>
      <w:bookmarkEnd w:id="307"/>
      <w:bookmarkStart w:id="308" w:name="_Toc184314430"/>
      <w:bookmarkEnd w:id="308"/>
      <w:bookmarkStart w:id="309" w:name="_Toc184314448"/>
      <w:bookmarkEnd w:id="309"/>
      <w:bookmarkStart w:id="310" w:name="_Toc184313267"/>
      <w:bookmarkEnd w:id="310"/>
      <w:bookmarkStart w:id="311" w:name="_Toc184313242"/>
      <w:bookmarkEnd w:id="311"/>
      <w:bookmarkStart w:id="312" w:name="_Toc184308066"/>
      <w:bookmarkEnd w:id="312"/>
      <w:bookmarkStart w:id="313" w:name="_Toc184312113"/>
      <w:bookmarkEnd w:id="313"/>
      <w:bookmarkStart w:id="314" w:name="_Toc184313238"/>
      <w:bookmarkEnd w:id="314"/>
      <w:bookmarkStart w:id="315" w:name="_Toc184310323"/>
      <w:bookmarkEnd w:id="315"/>
      <w:bookmarkStart w:id="316" w:name="_Toc184313280"/>
      <w:bookmarkEnd w:id="316"/>
      <w:bookmarkStart w:id="317" w:name="_Toc184308087"/>
      <w:bookmarkEnd w:id="317"/>
      <w:bookmarkStart w:id="318" w:name="_Toc184310324"/>
      <w:bookmarkEnd w:id="318"/>
      <w:bookmarkStart w:id="319" w:name="_Toc184310281"/>
      <w:bookmarkEnd w:id="319"/>
      <w:bookmarkStart w:id="320" w:name="_Toc184308085"/>
      <w:bookmarkEnd w:id="320"/>
      <w:bookmarkStart w:id="321" w:name="_Toc184308101"/>
      <w:bookmarkEnd w:id="321"/>
      <w:bookmarkStart w:id="322" w:name="_Toc184308046"/>
      <w:bookmarkEnd w:id="322"/>
      <w:bookmarkStart w:id="323" w:name="_Toc184313285"/>
      <w:bookmarkEnd w:id="323"/>
      <w:bookmarkStart w:id="324" w:name="_Toc184313275"/>
      <w:bookmarkEnd w:id="324"/>
      <w:bookmarkStart w:id="325" w:name="_Toc184310287"/>
      <w:bookmarkEnd w:id="325"/>
      <w:bookmarkStart w:id="326" w:name="_Toc184308059"/>
      <w:bookmarkEnd w:id="326"/>
      <w:bookmarkStart w:id="327" w:name="_Toc184312127"/>
      <w:bookmarkEnd w:id="327"/>
      <w:bookmarkStart w:id="328" w:name="_Toc184310335"/>
      <w:bookmarkEnd w:id="328"/>
      <w:bookmarkStart w:id="329" w:name="_Toc184313292"/>
      <w:bookmarkEnd w:id="329"/>
      <w:bookmarkStart w:id="330" w:name="_Toc184308042"/>
      <w:bookmarkEnd w:id="330"/>
      <w:bookmarkStart w:id="331" w:name="_Toc184313244"/>
      <w:bookmarkEnd w:id="331"/>
      <w:bookmarkStart w:id="332" w:name="_Toc184308060"/>
      <w:bookmarkEnd w:id="332"/>
      <w:bookmarkStart w:id="333" w:name="_Toc184314427"/>
      <w:bookmarkEnd w:id="333"/>
      <w:bookmarkStart w:id="334" w:name="_Toc184308054"/>
      <w:bookmarkEnd w:id="334"/>
      <w:bookmarkStart w:id="335" w:name="_Toc184312122"/>
      <w:bookmarkEnd w:id="335"/>
      <w:bookmarkStart w:id="336" w:name="_Toc184313294"/>
      <w:bookmarkEnd w:id="336"/>
      <w:bookmarkStart w:id="337" w:name="_Toc184314469"/>
      <w:bookmarkEnd w:id="337"/>
      <w:bookmarkStart w:id="338" w:name="_Toc184313241"/>
      <w:bookmarkEnd w:id="338"/>
      <w:bookmarkStart w:id="339" w:name="_Toc184308041"/>
      <w:bookmarkEnd w:id="339"/>
      <w:bookmarkStart w:id="340" w:name="_Toc184313299"/>
      <w:bookmarkEnd w:id="340"/>
      <w:bookmarkStart w:id="341" w:name="_Toc184313300"/>
      <w:bookmarkEnd w:id="341"/>
      <w:bookmarkStart w:id="342" w:name="_Toc184312110"/>
      <w:bookmarkEnd w:id="342"/>
      <w:bookmarkStart w:id="343" w:name="_Toc184313245"/>
      <w:bookmarkEnd w:id="343"/>
      <w:bookmarkStart w:id="344" w:name="_Toc184312084"/>
      <w:bookmarkEnd w:id="344"/>
      <w:bookmarkStart w:id="345" w:name="_Toc184310306"/>
      <w:bookmarkEnd w:id="345"/>
      <w:bookmarkStart w:id="346" w:name="_Toc184313259"/>
      <w:bookmarkEnd w:id="346"/>
      <w:bookmarkStart w:id="347" w:name="_Toc184314413"/>
      <w:bookmarkEnd w:id="347"/>
      <w:bookmarkStart w:id="348" w:name="_Toc184310303"/>
      <w:bookmarkEnd w:id="348"/>
      <w:bookmarkStart w:id="349" w:name="_Toc184308108"/>
      <w:bookmarkEnd w:id="349"/>
      <w:bookmarkStart w:id="350" w:name="_Toc184312101"/>
      <w:bookmarkEnd w:id="350"/>
      <w:bookmarkStart w:id="351" w:name="_Toc184308051"/>
      <w:bookmarkEnd w:id="351"/>
      <w:bookmarkStart w:id="352" w:name="_Toc184310339"/>
      <w:bookmarkEnd w:id="352"/>
      <w:bookmarkStart w:id="353" w:name="_Toc184312129"/>
      <w:bookmarkEnd w:id="353"/>
      <w:bookmarkStart w:id="354" w:name="_Toc184312089"/>
      <w:bookmarkEnd w:id="354"/>
      <w:bookmarkStart w:id="355" w:name="_Toc184312102"/>
      <w:bookmarkEnd w:id="355"/>
      <w:bookmarkStart w:id="356" w:name="_Toc184313309"/>
      <w:bookmarkEnd w:id="356"/>
      <w:bookmarkStart w:id="357" w:name="_Toc184310291"/>
      <w:bookmarkEnd w:id="357"/>
      <w:bookmarkStart w:id="358" w:name="_Toc184312080"/>
      <w:bookmarkEnd w:id="358"/>
      <w:bookmarkStart w:id="359" w:name="_Toc184310278"/>
      <w:bookmarkEnd w:id="359"/>
      <w:bookmarkStart w:id="360" w:name="_Toc184312130"/>
      <w:bookmarkEnd w:id="360"/>
      <w:bookmarkStart w:id="361" w:name="_Toc184308069"/>
      <w:bookmarkEnd w:id="361"/>
      <w:bookmarkStart w:id="362" w:name="_Toc184308037"/>
      <w:bookmarkEnd w:id="362"/>
      <w:bookmarkStart w:id="363" w:name="_Toc184314446"/>
      <w:bookmarkEnd w:id="363"/>
      <w:bookmarkStart w:id="364" w:name="_Toc184312139"/>
      <w:bookmarkEnd w:id="364"/>
      <w:bookmarkStart w:id="365" w:name="_Toc184313305"/>
      <w:bookmarkEnd w:id="365"/>
      <w:bookmarkStart w:id="366" w:name="_Toc184308036"/>
      <w:bookmarkEnd w:id="366"/>
      <w:bookmarkStart w:id="367" w:name="_Toc184310305"/>
      <w:bookmarkEnd w:id="367"/>
      <w:bookmarkStart w:id="368" w:name="_Toc184314438"/>
      <w:bookmarkEnd w:id="368"/>
      <w:bookmarkStart w:id="369" w:name="_Toc184310325"/>
      <w:bookmarkEnd w:id="369"/>
      <w:bookmarkStart w:id="370" w:name="_Toc184314434"/>
      <w:bookmarkEnd w:id="370"/>
      <w:bookmarkStart w:id="371" w:name="_Toc184312074"/>
      <w:bookmarkEnd w:id="371"/>
      <w:bookmarkStart w:id="372" w:name="_Toc184313307"/>
      <w:bookmarkEnd w:id="372"/>
      <w:bookmarkStart w:id="373" w:name="_Toc184313308"/>
      <w:bookmarkEnd w:id="373"/>
      <w:bookmarkStart w:id="374" w:name="_Toc184312081"/>
      <w:bookmarkEnd w:id="374"/>
      <w:bookmarkStart w:id="375" w:name="_Toc184310277"/>
      <w:bookmarkEnd w:id="375"/>
      <w:bookmarkStart w:id="376" w:name="_Toc184310272"/>
      <w:bookmarkEnd w:id="376"/>
      <w:bookmarkStart w:id="377" w:name="_Toc184314435"/>
      <w:bookmarkEnd w:id="377"/>
      <w:bookmarkStart w:id="378" w:name="_Toc184313250"/>
      <w:bookmarkEnd w:id="378"/>
      <w:bookmarkStart w:id="379" w:name="_Toc184314472"/>
      <w:bookmarkEnd w:id="379"/>
      <w:bookmarkStart w:id="380" w:name="_Toc184310284"/>
      <w:bookmarkEnd w:id="380"/>
      <w:bookmarkStart w:id="381" w:name="_Toc184313269"/>
      <w:bookmarkEnd w:id="381"/>
      <w:bookmarkStart w:id="382" w:name="_Toc184313288"/>
      <w:bookmarkEnd w:id="382"/>
      <w:bookmarkStart w:id="383" w:name="_Toc184312126"/>
      <w:bookmarkEnd w:id="383"/>
      <w:bookmarkStart w:id="384" w:name="_Toc184314426"/>
      <w:bookmarkEnd w:id="384"/>
      <w:bookmarkStart w:id="385" w:name="_Toc184310331"/>
      <w:bookmarkEnd w:id="385"/>
      <w:bookmarkStart w:id="386" w:name="_Toc184310300"/>
      <w:bookmarkEnd w:id="386"/>
      <w:bookmarkStart w:id="387" w:name="_Toc184312086"/>
      <w:bookmarkEnd w:id="387"/>
      <w:bookmarkStart w:id="388" w:name="_Toc184312095"/>
      <w:bookmarkEnd w:id="388"/>
      <w:bookmarkStart w:id="389" w:name="_Toc184308045"/>
      <w:bookmarkEnd w:id="389"/>
      <w:bookmarkStart w:id="390" w:name="_Toc184312067"/>
      <w:bookmarkEnd w:id="390"/>
      <w:bookmarkStart w:id="391" w:name="_Toc184314443"/>
      <w:bookmarkEnd w:id="391"/>
      <w:bookmarkStart w:id="392" w:name="_Toc184313246"/>
      <w:bookmarkEnd w:id="392"/>
      <w:bookmarkStart w:id="393" w:name="_Toc184312100"/>
      <w:bookmarkEnd w:id="393"/>
      <w:bookmarkStart w:id="394" w:name="_Toc184314432"/>
      <w:bookmarkEnd w:id="394"/>
      <w:bookmarkStart w:id="395" w:name="_Toc184312138"/>
      <w:bookmarkEnd w:id="395"/>
      <w:bookmarkStart w:id="396" w:name="_Toc184310298"/>
      <w:bookmarkEnd w:id="396"/>
      <w:bookmarkStart w:id="397" w:name="_Toc184314470"/>
      <w:bookmarkEnd w:id="397"/>
      <w:bookmarkStart w:id="398" w:name="_Toc184312119"/>
      <w:bookmarkEnd w:id="398"/>
      <w:bookmarkStart w:id="399" w:name="_Toc184314411"/>
      <w:bookmarkEnd w:id="399"/>
      <w:bookmarkStart w:id="400" w:name="_Toc184310336"/>
      <w:bookmarkEnd w:id="400"/>
      <w:bookmarkStart w:id="401" w:name="_Toc184313265"/>
      <w:bookmarkEnd w:id="401"/>
      <w:bookmarkStart w:id="402" w:name="_Toc184312092"/>
      <w:bookmarkEnd w:id="402"/>
      <w:bookmarkStart w:id="403" w:name="_Toc184310311"/>
      <w:bookmarkEnd w:id="403"/>
      <w:bookmarkStart w:id="404" w:name="_Toc184310333"/>
      <w:bookmarkEnd w:id="404"/>
      <w:bookmarkStart w:id="405" w:name="_Toc184312075"/>
      <w:bookmarkEnd w:id="405"/>
      <w:bookmarkStart w:id="406" w:name="_Toc184310320"/>
      <w:bookmarkEnd w:id="406"/>
      <w:bookmarkStart w:id="407" w:name="_Toc184310290"/>
      <w:bookmarkEnd w:id="407"/>
      <w:bookmarkStart w:id="408" w:name="_Toc184312124"/>
      <w:bookmarkEnd w:id="408"/>
      <w:bookmarkStart w:id="409" w:name="_Toc184314444"/>
      <w:bookmarkEnd w:id="409"/>
      <w:bookmarkStart w:id="410" w:name="_Toc184310326"/>
      <w:bookmarkEnd w:id="410"/>
      <w:r>
        <w:rPr>
          <w:rFonts w:hint="eastAsia" w:ascii="宋体" w:hAnsi="宋体" w:cs="宋体"/>
          <w:b/>
          <w:color w:val="auto"/>
          <w:sz w:val="36"/>
          <w:szCs w:val="36"/>
          <w:highlight w:val="none"/>
        </w:rPr>
        <w:t>评标办法</w:t>
      </w:r>
    </w:p>
    <w:p w14:paraId="102F5F51">
      <w:pPr>
        <w:bidi w:val="0"/>
        <w:rPr>
          <w:rFonts w:hint="eastAsia"/>
        </w:rPr>
      </w:pPr>
    </w:p>
    <w:p w14:paraId="52F9E126">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5256"/>
        <w:gridCol w:w="890"/>
        <w:gridCol w:w="1040"/>
        <w:gridCol w:w="1341"/>
      </w:tblGrid>
      <w:tr w14:paraId="6AE7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407" w:type="pct"/>
            <w:vAlign w:val="center"/>
          </w:tcPr>
          <w:p w14:paraId="6AFEBBEE">
            <w:pPr>
              <w:snapToGrid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序号</w:t>
            </w:r>
          </w:p>
        </w:tc>
        <w:tc>
          <w:tcPr>
            <w:tcW w:w="2830" w:type="pct"/>
            <w:vAlign w:val="center"/>
          </w:tcPr>
          <w:p w14:paraId="40B72125">
            <w:pPr>
              <w:snapToGrid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评标标准</w:t>
            </w:r>
          </w:p>
        </w:tc>
        <w:tc>
          <w:tcPr>
            <w:tcW w:w="479" w:type="pct"/>
            <w:vAlign w:val="center"/>
          </w:tcPr>
          <w:p w14:paraId="18199406">
            <w:pPr>
              <w:snapToGrid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权重</w:t>
            </w:r>
          </w:p>
        </w:tc>
        <w:tc>
          <w:tcPr>
            <w:tcW w:w="560" w:type="pct"/>
            <w:vAlign w:val="center"/>
          </w:tcPr>
          <w:p w14:paraId="633B5491">
            <w:pPr>
              <w:snapToGrid w:val="0"/>
              <w:spacing w:line="360" w:lineRule="auto"/>
              <w:jc w:val="center"/>
              <w:rPr>
                <w:rFonts w:cs="仿宋_GB2312" w:asciiTheme="minorEastAsia" w:hAnsiTheme="minorEastAsia" w:eastAsiaTheme="minorEastAsia"/>
                <w:bCs/>
                <w:sz w:val="24"/>
                <w:highlight w:val="none"/>
              </w:rPr>
            </w:pPr>
            <w:r>
              <w:rPr>
                <w:rFonts w:hint="eastAsia" w:cs="仿宋_GB2312" w:asciiTheme="minorEastAsia" w:hAnsiTheme="minorEastAsia" w:eastAsiaTheme="minorEastAsia"/>
                <w:bCs/>
                <w:sz w:val="24"/>
                <w:highlight w:val="none"/>
              </w:rPr>
              <w:t>主观分/客观分属性</w:t>
            </w:r>
          </w:p>
        </w:tc>
        <w:tc>
          <w:tcPr>
            <w:tcW w:w="722" w:type="pct"/>
          </w:tcPr>
          <w:p w14:paraId="1E900A80">
            <w:pPr>
              <w:snapToGrid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bCs/>
                <w:sz w:val="24"/>
                <w:highlight w:val="none"/>
              </w:rPr>
              <w:t>投标文件中评标标准相应的商务技术资料目录*</w:t>
            </w:r>
          </w:p>
        </w:tc>
      </w:tr>
      <w:tr w14:paraId="4DFC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28077B1C">
            <w:pPr>
              <w:keepNext w:val="0"/>
              <w:keepLines w:val="0"/>
              <w:widowControl/>
              <w:suppressLineNumbers w:val="0"/>
              <w:jc w:val="center"/>
              <w:textAlignment w:val="center"/>
              <w:rPr>
                <w:rFonts w:cs="仿宋_GB2312" w:asciiTheme="minorEastAsia" w:hAnsiTheme="minorEastAsia" w:eastAsiaTheme="minorEastAsia"/>
                <w:sz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2830" w:type="pct"/>
            <w:vAlign w:val="center"/>
          </w:tcPr>
          <w:p w14:paraId="68CBBDAB">
            <w:pPr>
              <w:pStyle w:val="258"/>
              <w:ind w:firstLine="0" w:firstLineChars="0"/>
              <w:rPr>
                <w:rFonts w:hint="eastAsia" w:asciiTheme="minorEastAsia" w:hAnsiTheme="minorEastAsia" w:eastAsiaTheme="minorEastAsia" w:cstheme="minorEastAsia"/>
                <w:kern w:val="2"/>
                <w:sz w:val="24"/>
                <w:szCs w:val="24"/>
                <w:highlight w:val="none"/>
                <w:lang w:val="en-US" w:eastAsia="zh-CN" w:bidi="ar-SA"/>
              </w:rPr>
            </w:pPr>
            <w:bookmarkStart w:id="411" w:name="OLE_LINK18"/>
            <w:r>
              <w:rPr>
                <w:rFonts w:hint="eastAsia" w:asciiTheme="minorEastAsia" w:hAnsiTheme="minorEastAsia" w:eastAsiaTheme="minorEastAsia" w:cstheme="minorEastAsia"/>
                <w:kern w:val="2"/>
                <w:sz w:val="24"/>
                <w:szCs w:val="24"/>
                <w:highlight w:val="none"/>
                <w:lang w:val="en-US" w:eastAsia="zh-CN" w:bidi="ar-SA"/>
              </w:rPr>
              <w:t>投标人具有①ISO9001质量管理体系认证证书、②ISO20000信息技术服务管理体系认证证书、③ISO27001信息安全管理体系认证证书、④ISO14001环境管理体系认证证书。</w:t>
            </w:r>
          </w:p>
          <w:p w14:paraId="6931C875">
            <w:pPr>
              <w:pStyle w:val="258"/>
              <w:ind w:firstLine="0" w:firstLineChars="0"/>
              <w:rPr>
                <w:rFonts w:asciiTheme="minorEastAsia" w:hAnsiTheme="minorEastAsia" w:eastAsiaTheme="minorEastAsia" w:cstheme="minorEastAsia"/>
                <w:b/>
                <w:bCs/>
                <w:kern w:val="0"/>
                <w:highlight w:val="none"/>
              </w:rPr>
            </w:pPr>
            <w:r>
              <w:rPr>
                <w:rFonts w:hint="eastAsia" w:asciiTheme="minorEastAsia" w:hAnsiTheme="minorEastAsia" w:eastAsiaTheme="minorEastAsia" w:cstheme="minorEastAsia"/>
                <w:kern w:val="2"/>
                <w:sz w:val="24"/>
                <w:szCs w:val="24"/>
                <w:highlight w:val="none"/>
                <w:lang w:val="en-US" w:eastAsia="zh-CN" w:bidi="ar-SA"/>
              </w:rPr>
              <w:t>以上需提供有效期内的证书扫描件或清晰复印件，每有一个得1分，否则不得分，共4分。</w:t>
            </w:r>
            <w:bookmarkEnd w:id="411"/>
          </w:p>
        </w:tc>
        <w:tc>
          <w:tcPr>
            <w:tcW w:w="479" w:type="pct"/>
            <w:vAlign w:val="center"/>
          </w:tcPr>
          <w:p w14:paraId="2426CC14">
            <w:pPr>
              <w:widowControl/>
              <w:spacing w:line="360" w:lineRule="auto"/>
              <w:jc w:val="center"/>
              <w:textAlignment w:val="center"/>
              <w:rPr>
                <w:rFonts w:hint="eastAsia" w:asciiTheme="minorEastAsia" w:hAnsiTheme="minorEastAsia" w:eastAsiaTheme="minorEastAsia" w:cstheme="minorEastAsia"/>
                <w:b/>
                <w:bCs/>
                <w:kern w:val="0"/>
                <w:sz w:val="24"/>
                <w:highlight w:val="none"/>
                <w:lang w:eastAsia="zh-CN"/>
              </w:rPr>
            </w:pPr>
            <w:r>
              <w:rPr>
                <w:rFonts w:hint="eastAsia" w:asciiTheme="minorEastAsia" w:hAnsiTheme="minorEastAsia" w:eastAsiaTheme="minorEastAsia" w:cstheme="minorEastAsia"/>
                <w:kern w:val="0"/>
                <w:sz w:val="24"/>
                <w:highlight w:val="none"/>
                <w:lang w:val="en-US" w:eastAsia="zh-CN"/>
              </w:rPr>
              <w:t>4</w:t>
            </w:r>
          </w:p>
        </w:tc>
        <w:tc>
          <w:tcPr>
            <w:tcW w:w="560" w:type="pct"/>
            <w:vAlign w:val="center"/>
          </w:tcPr>
          <w:p w14:paraId="0E55EAEC">
            <w:pPr>
              <w:widowControl/>
              <w:spacing w:line="360" w:lineRule="auto"/>
              <w:jc w:val="center"/>
              <w:textAlignment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客观分</w:t>
            </w:r>
          </w:p>
        </w:tc>
        <w:tc>
          <w:tcPr>
            <w:tcW w:w="722" w:type="pct"/>
            <w:vAlign w:val="center"/>
          </w:tcPr>
          <w:p w14:paraId="783FA83C">
            <w:pPr>
              <w:snapToGrid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投标人资信</w:t>
            </w:r>
          </w:p>
        </w:tc>
      </w:tr>
      <w:tr w14:paraId="629F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07" w:type="pct"/>
            <w:vAlign w:val="center"/>
          </w:tcPr>
          <w:p w14:paraId="4431E439">
            <w:pPr>
              <w:keepNext w:val="0"/>
              <w:keepLines w:val="0"/>
              <w:widowControl/>
              <w:suppressLineNumbers w:val="0"/>
              <w:jc w:val="center"/>
              <w:textAlignment w:val="center"/>
              <w:rPr>
                <w:rFonts w:cs="仿宋_GB2312" w:asciiTheme="minorEastAsia" w:hAnsiTheme="minorEastAsia" w:eastAsiaTheme="minorEastAsia"/>
                <w:sz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2830" w:type="pct"/>
            <w:vAlign w:val="center"/>
          </w:tcPr>
          <w:p w14:paraId="62B9560F">
            <w:pPr>
              <w:spacing w:line="360" w:lineRule="auto"/>
              <w:rPr>
                <w:rFonts w:asciiTheme="minorEastAsia" w:hAnsiTheme="minorEastAsia" w:eastAsiaTheme="minorEastAsia" w:cstheme="minorEastAsia"/>
                <w:sz w:val="24"/>
                <w:highlight w:val="none"/>
              </w:rPr>
            </w:pPr>
            <w:bookmarkStart w:id="412" w:name="OLE_LINK2"/>
            <w:r>
              <w:rPr>
                <w:rFonts w:hint="eastAsia" w:asciiTheme="minorEastAsia" w:hAnsiTheme="minorEastAsia" w:eastAsiaTheme="minorEastAsia" w:cstheme="minorEastAsia"/>
                <w:sz w:val="24"/>
                <w:highlight w:val="none"/>
              </w:rPr>
              <w:t>投标人</w:t>
            </w:r>
            <w:r>
              <w:rPr>
                <w:rFonts w:hint="eastAsia" w:asciiTheme="minorEastAsia" w:hAnsiTheme="minorEastAsia" w:eastAsiaTheme="minorEastAsia" w:cstheme="minorEastAsia"/>
                <w:sz w:val="24"/>
                <w:highlight w:val="none"/>
                <w:lang w:val="en-US" w:eastAsia="zh-CN"/>
              </w:rPr>
              <w:t>自</w:t>
            </w:r>
            <w:r>
              <w:rPr>
                <w:rFonts w:hint="eastAsia" w:asciiTheme="minorEastAsia" w:hAnsiTheme="minorEastAsia" w:eastAsiaTheme="minorEastAsia" w:cstheme="minorEastAsia"/>
                <w:sz w:val="24"/>
                <w:highlight w:val="none"/>
              </w:rPr>
              <w:t>2021年1月1日起至开标时间止（以合同签订时间为准）</w:t>
            </w:r>
            <w:r>
              <w:rPr>
                <w:rFonts w:hint="eastAsia" w:asciiTheme="minorEastAsia" w:hAnsiTheme="minorEastAsia" w:eastAsiaTheme="minorEastAsia" w:cstheme="minorEastAsia"/>
                <w:sz w:val="24"/>
                <w:highlight w:val="none"/>
                <w:lang w:val="en-US" w:eastAsia="zh-CN"/>
              </w:rPr>
              <w:t>承接过</w:t>
            </w:r>
            <w:r>
              <w:rPr>
                <w:rFonts w:hint="eastAsia" w:asciiTheme="minorEastAsia" w:hAnsiTheme="minorEastAsia" w:eastAsiaTheme="minorEastAsia" w:cstheme="minorEastAsia"/>
                <w:sz w:val="24"/>
                <w:highlight w:val="none"/>
              </w:rPr>
              <w:t>同类案例（台式计算机</w:t>
            </w:r>
            <w:r>
              <w:rPr>
                <w:rFonts w:hint="eastAsia" w:asciiTheme="minorEastAsia" w:hAnsiTheme="minorEastAsia" w:eastAsiaTheme="minorEastAsia" w:cstheme="minorEastAsia"/>
                <w:sz w:val="24"/>
                <w:highlight w:val="none"/>
                <w:lang w:eastAsia="zh-CN"/>
              </w:rPr>
              <w:t>或便携式计算机</w:t>
            </w:r>
            <w:r>
              <w:rPr>
                <w:rFonts w:hint="eastAsia" w:asciiTheme="minorEastAsia" w:hAnsiTheme="minorEastAsia" w:eastAsiaTheme="minorEastAsia" w:cstheme="minorEastAsia"/>
                <w:sz w:val="24"/>
                <w:highlight w:val="none"/>
              </w:rPr>
              <w:t>），每个案例</w:t>
            </w:r>
            <w:bookmarkStart w:id="413" w:name="OLE_LINK1"/>
            <w:r>
              <w:rPr>
                <w:rFonts w:hint="eastAsia" w:asciiTheme="minorEastAsia" w:hAnsiTheme="minorEastAsia" w:eastAsiaTheme="minorEastAsia" w:cstheme="minorEastAsia"/>
                <w:sz w:val="24"/>
                <w:highlight w:val="none"/>
              </w:rPr>
              <w:t>需提供合同以及验收报告（验收报告必</w:t>
            </w:r>
            <w:r>
              <w:rPr>
                <w:rFonts w:hint="eastAsia" w:asciiTheme="minorEastAsia" w:hAnsiTheme="minorEastAsia" w:eastAsiaTheme="minorEastAsia" w:cstheme="minorEastAsia"/>
                <w:spacing w:val="-6"/>
                <w:sz w:val="24"/>
                <w:highlight w:val="none"/>
              </w:rPr>
              <w:t>须用户单位盖章），每个案例得</w:t>
            </w:r>
            <w:r>
              <w:rPr>
                <w:rFonts w:hint="eastAsia" w:asciiTheme="minorEastAsia" w:hAnsiTheme="minorEastAsia" w:eastAsiaTheme="minorEastAsia" w:cstheme="minorEastAsia"/>
                <w:spacing w:val="-6"/>
                <w:sz w:val="24"/>
                <w:highlight w:val="none"/>
                <w:lang w:val="en-US" w:eastAsia="zh-CN"/>
              </w:rPr>
              <w:t>1</w:t>
            </w:r>
            <w:r>
              <w:rPr>
                <w:rFonts w:hint="eastAsia" w:asciiTheme="minorEastAsia" w:hAnsiTheme="minorEastAsia" w:eastAsiaTheme="minorEastAsia" w:cstheme="minorEastAsia"/>
                <w:spacing w:val="-6"/>
                <w:sz w:val="24"/>
                <w:highlight w:val="none"/>
              </w:rPr>
              <w:t>分，最高得3分。</w:t>
            </w:r>
            <w:bookmarkEnd w:id="412"/>
            <w:bookmarkEnd w:id="413"/>
          </w:p>
        </w:tc>
        <w:tc>
          <w:tcPr>
            <w:tcW w:w="479" w:type="pct"/>
            <w:vAlign w:val="center"/>
          </w:tcPr>
          <w:p w14:paraId="121B2AF4">
            <w:pPr>
              <w:spacing w:line="360" w:lineRule="auto"/>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val="en-US" w:eastAsia="zh-CN"/>
              </w:rPr>
              <w:t>3</w:t>
            </w:r>
          </w:p>
        </w:tc>
        <w:tc>
          <w:tcPr>
            <w:tcW w:w="560" w:type="pct"/>
            <w:vAlign w:val="center"/>
          </w:tcPr>
          <w:p w14:paraId="2C86FB29">
            <w:pPr>
              <w:spacing w:line="360" w:lineRule="auto"/>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客观分</w:t>
            </w:r>
          </w:p>
        </w:tc>
        <w:tc>
          <w:tcPr>
            <w:tcW w:w="722" w:type="pct"/>
            <w:vAlign w:val="center"/>
          </w:tcPr>
          <w:p w14:paraId="423411CD">
            <w:pPr>
              <w:snapToGrid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类似项目情况</w:t>
            </w:r>
          </w:p>
        </w:tc>
      </w:tr>
      <w:tr w14:paraId="37A7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0BB5A51E">
            <w:pPr>
              <w:keepNext w:val="0"/>
              <w:keepLines w:val="0"/>
              <w:widowControl/>
              <w:suppressLineNumbers w:val="0"/>
              <w:jc w:val="center"/>
              <w:textAlignment w:val="center"/>
              <w:rPr>
                <w:rFonts w:cs="仿宋_GB2312" w:asciiTheme="minorEastAsia" w:hAnsiTheme="minorEastAsia" w:eastAsiaTheme="minorEastAsia"/>
                <w:sz w:val="24"/>
                <w:highlight w:val="none"/>
              </w:rPr>
            </w:pPr>
            <w:r>
              <w:rPr>
                <w:rFonts w:hint="eastAsia" w:ascii="宋体" w:hAnsi="宋体" w:eastAsia="宋体" w:cs="宋体"/>
                <w:i w:val="0"/>
                <w:iCs w:val="0"/>
                <w:color w:val="000000"/>
                <w:kern w:val="0"/>
                <w:sz w:val="24"/>
                <w:szCs w:val="24"/>
                <w:u w:val="none"/>
                <w:lang w:val="en-US" w:eastAsia="zh-CN" w:bidi="ar"/>
              </w:rPr>
              <w:t>3</w:t>
            </w:r>
          </w:p>
        </w:tc>
        <w:tc>
          <w:tcPr>
            <w:tcW w:w="2830" w:type="pct"/>
            <w:vAlign w:val="center"/>
          </w:tcPr>
          <w:p w14:paraId="3B20D992">
            <w:pPr>
              <w:spacing w:line="360" w:lineRule="auto"/>
              <w:rPr>
                <w:rFonts w:asciiTheme="minorEastAsia" w:hAnsiTheme="minorEastAsia" w:eastAsiaTheme="minorEastAsia" w:cstheme="minorEastAsia"/>
                <w:sz w:val="24"/>
                <w:highlight w:val="none"/>
              </w:rPr>
            </w:pPr>
            <w:bookmarkStart w:id="414" w:name="OLE_LINK6"/>
            <w:r>
              <w:rPr>
                <w:rFonts w:hint="eastAsia" w:asciiTheme="minorEastAsia" w:hAnsiTheme="minorEastAsia" w:eastAsiaTheme="minorEastAsia" w:cstheme="minorEastAsia"/>
                <w:sz w:val="24"/>
                <w:highlight w:val="none"/>
              </w:rPr>
              <w:t>投标产品的技术指标的吻合程度和偏差情况（包括所投标产品的规格型号、详细配置、主要技术参数、随机软件、证明材料、产品售后等），满足采购文件技术指标的得基准分</w:t>
            </w:r>
            <w:r>
              <w:rPr>
                <w:rFonts w:hint="eastAsia" w:asciiTheme="minorEastAsia" w:hAnsiTheme="minorEastAsia" w:eastAsiaTheme="minorEastAsia" w:cstheme="minorEastAsia"/>
                <w:sz w:val="24"/>
                <w:highlight w:val="none"/>
                <w:lang w:val="en-US" w:eastAsia="zh-CN"/>
              </w:rPr>
              <w:t>30</w:t>
            </w:r>
            <w:r>
              <w:rPr>
                <w:rFonts w:hint="eastAsia" w:asciiTheme="minorEastAsia" w:hAnsiTheme="minorEastAsia" w:eastAsiaTheme="minorEastAsia" w:cstheme="minorEastAsia"/>
                <w:sz w:val="24"/>
                <w:highlight w:val="none"/>
              </w:rPr>
              <w:t>分，带“▲”为实际业务需要，不得出现负偏离，否则做无效标处理，对其他参数或功能要求负偏离或未响应的每项扣</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分。共</w:t>
            </w:r>
            <w:r>
              <w:rPr>
                <w:rFonts w:hint="eastAsia" w:asciiTheme="minorEastAsia" w:hAnsiTheme="minorEastAsia" w:eastAsiaTheme="minorEastAsia" w:cstheme="minorEastAsia"/>
                <w:sz w:val="24"/>
                <w:highlight w:val="none"/>
                <w:lang w:val="en-US" w:eastAsia="zh-CN"/>
              </w:rPr>
              <w:t>30</w:t>
            </w:r>
            <w:r>
              <w:rPr>
                <w:rFonts w:hint="eastAsia" w:asciiTheme="minorEastAsia" w:hAnsiTheme="minorEastAsia" w:eastAsiaTheme="minorEastAsia" w:cstheme="minorEastAsia"/>
                <w:sz w:val="24"/>
                <w:highlight w:val="none"/>
              </w:rPr>
              <w:t>分。</w:t>
            </w:r>
          </w:p>
          <w:p w14:paraId="28DBD07C">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r>
              <w:rPr>
                <w:rFonts w:hint="eastAsia" w:asciiTheme="minorEastAsia" w:hAnsiTheme="minorEastAsia" w:eastAsiaTheme="minorEastAsia" w:cstheme="minorEastAsia"/>
                <w:sz w:val="24"/>
                <w:highlight w:val="none"/>
                <w:lang w:eastAsia="zh-CN"/>
              </w:rPr>
              <w:t>若</w:t>
            </w:r>
            <w:r>
              <w:rPr>
                <w:rFonts w:hint="eastAsia" w:asciiTheme="minorEastAsia" w:hAnsiTheme="minorEastAsia" w:eastAsiaTheme="minorEastAsia" w:cstheme="minorEastAsia"/>
                <w:sz w:val="24"/>
                <w:highlight w:val="none"/>
              </w:rPr>
              <w:t>要求提供测试报告复印件、证书复印件等证明材料而未提供视作一项负偏离。</w:t>
            </w:r>
            <w:bookmarkEnd w:id="414"/>
          </w:p>
        </w:tc>
        <w:tc>
          <w:tcPr>
            <w:tcW w:w="479" w:type="pct"/>
            <w:vAlign w:val="center"/>
          </w:tcPr>
          <w:p w14:paraId="2ED99DEB">
            <w:pPr>
              <w:spacing w:line="360" w:lineRule="auto"/>
              <w:jc w:val="center"/>
              <w:rPr>
                <w:rFonts w:hint="default"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24"/>
                <w:highlight w:val="none"/>
                <w:lang w:val="en-US" w:eastAsia="zh-CN"/>
              </w:rPr>
              <w:t>30</w:t>
            </w:r>
          </w:p>
        </w:tc>
        <w:tc>
          <w:tcPr>
            <w:tcW w:w="560" w:type="pct"/>
            <w:vAlign w:val="center"/>
          </w:tcPr>
          <w:p w14:paraId="485F1B9F">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客观分</w:t>
            </w:r>
          </w:p>
        </w:tc>
        <w:tc>
          <w:tcPr>
            <w:tcW w:w="722" w:type="pct"/>
            <w:vAlign w:val="center"/>
          </w:tcPr>
          <w:p w14:paraId="7094C616">
            <w:pPr>
              <w:snapToGrid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投标产品情况</w:t>
            </w:r>
          </w:p>
        </w:tc>
      </w:tr>
      <w:tr w14:paraId="0129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10F26689">
            <w:pPr>
              <w:keepNext w:val="0"/>
              <w:keepLines w:val="0"/>
              <w:widowControl/>
              <w:suppressLineNumbers w:val="0"/>
              <w:jc w:val="center"/>
              <w:textAlignment w:val="center"/>
              <w:rPr>
                <w:rFonts w:cs="仿宋_GB2312" w:asciiTheme="minorEastAsia" w:hAnsiTheme="minorEastAsia" w:eastAsiaTheme="minorEastAsia"/>
                <w:sz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2830" w:type="pct"/>
            <w:vAlign w:val="center"/>
          </w:tcPr>
          <w:p w14:paraId="741DCDE5">
            <w:pPr>
              <w:spacing w:line="360" w:lineRule="auto"/>
              <w:rPr>
                <w:rFonts w:asciiTheme="minorEastAsia" w:hAnsiTheme="minorEastAsia" w:eastAsiaTheme="minorEastAsia" w:cstheme="minorEastAsia"/>
                <w:sz w:val="24"/>
                <w:highlight w:val="none"/>
              </w:rPr>
            </w:pPr>
            <w:bookmarkStart w:id="415" w:name="OLE_LINK8"/>
            <w:r>
              <w:rPr>
                <w:rFonts w:hint="eastAsia" w:asciiTheme="minorEastAsia" w:hAnsiTheme="minorEastAsia" w:eastAsiaTheme="minorEastAsia" w:cstheme="minorEastAsia"/>
                <w:b w:val="0"/>
                <w:bCs w:val="0"/>
                <w:color w:val="auto"/>
                <w:kern w:val="2"/>
                <w:sz w:val="24"/>
                <w:szCs w:val="24"/>
                <w:highlight w:val="none"/>
                <w:lang w:val="en-US" w:eastAsia="zh-CN" w:bidi="ar-SA"/>
              </w:rPr>
              <w:t>品控管理方案。投标人对产品品质有管理管控过程。交货前，需对交货前产品进行安检以满足本项目要求。方案内容完整、满足采购需求视为符合，全部符合得5分，基本符合得3分，部分符合得1分，不符合或未提供不得分。共5分。</w:t>
            </w:r>
            <w:bookmarkEnd w:id="415"/>
          </w:p>
        </w:tc>
        <w:tc>
          <w:tcPr>
            <w:tcW w:w="479" w:type="pct"/>
            <w:vAlign w:val="center"/>
          </w:tcPr>
          <w:p w14:paraId="63523F98">
            <w:pPr>
              <w:spacing w:line="360" w:lineRule="auto"/>
              <w:jc w:val="center"/>
              <w:rPr>
                <w:rFonts w:hint="eastAsia" w:asciiTheme="minorEastAsia" w:hAnsiTheme="minorEastAsia" w:eastAsiaTheme="minorEastAsia" w:cstheme="minorEastAsia"/>
                <w:sz w:val="24"/>
                <w:highlight w:val="none"/>
                <w:lang w:eastAsia="zh"/>
              </w:rPr>
            </w:pPr>
            <w:r>
              <w:rPr>
                <w:rFonts w:hint="eastAsia" w:asciiTheme="minorEastAsia" w:hAnsiTheme="minorEastAsia" w:eastAsiaTheme="minorEastAsia" w:cstheme="minorEastAsia"/>
                <w:sz w:val="24"/>
                <w:highlight w:val="none"/>
                <w:lang w:eastAsia="zh"/>
              </w:rPr>
              <w:t>5</w:t>
            </w:r>
          </w:p>
        </w:tc>
        <w:tc>
          <w:tcPr>
            <w:tcW w:w="560" w:type="pct"/>
            <w:vAlign w:val="center"/>
          </w:tcPr>
          <w:p w14:paraId="58D6780A">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主观分</w:t>
            </w:r>
          </w:p>
        </w:tc>
        <w:tc>
          <w:tcPr>
            <w:tcW w:w="722" w:type="pct"/>
            <w:vAlign w:val="center"/>
          </w:tcPr>
          <w:p w14:paraId="348337DF">
            <w:pPr>
              <w:snapToGrid w:val="0"/>
              <w:spacing w:line="360" w:lineRule="auto"/>
              <w:jc w:val="center"/>
              <w:rPr>
                <w:rFonts w:cs="仿宋_GB2312" w:asciiTheme="minorEastAsia" w:hAnsiTheme="minorEastAsia" w:eastAsiaTheme="minorEastAsia"/>
                <w:sz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品控管理方案</w:t>
            </w:r>
          </w:p>
        </w:tc>
      </w:tr>
      <w:tr w14:paraId="1CEB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01D50004">
            <w:pPr>
              <w:keepNext w:val="0"/>
              <w:keepLines w:val="0"/>
              <w:widowControl/>
              <w:suppressLineNumbers w:val="0"/>
              <w:jc w:val="center"/>
              <w:textAlignment w:val="center"/>
              <w:rPr>
                <w:rFonts w:cs="仿宋_GB2312" w:asciiTheme="minorEastAsia" w:hAnsiTheme="minorEastAsia" w:eastAsiaTheme="minorEastAsia"/>
                <w:sz w:val="24"/>
                <w:highlight w:val="none"/>
              </w:rPr>
            </w:pPr>
            <w:r>
              <w:rPr>
                <w:rFonts w:hint="eastAsia" w:ascii="宋体" w:hAnsi="宋体" w:eastAsia="宋体" w:cs="宋体"/>
                <w:i w:val="0"/>
                <w:iCs w:val="0"/>
                <w:color w:val="000000"/>
                <w:kern w:val="0"/>
                <w:sz w:val="24"/>
                <w:szCs w:val="24"/>
                <w:u w:val="none"/>
                <w:lang w:val="en-US" w:eastAsia="zh-CN" w:bidi="ar"/>
              </w:rPr>
              <w:t>5</w:t>
            </w:r>
          </w:p>
        </w:tc>
        <w:tc>
          <w:tcPr>
            <w:tcW w:w="2830" w:type="pct"/>
            <w:vAlign w:val="center"/>
          </w:tcPr>
          <w:p w14:paraId="14247062">
            <w:pPr>
              <w:widowControl/>
              <w:spacing w:line="360" w:lineRule="auto"/>
              <w:textAlignment w:val="center"/>
              <w:rPr>
                <w:rFonts w:asciiTheme="minorEastAsia" w:hAnsiTheme="minorEastAsia" w:eastAsiaTheme="minorEastAsia" w:cstheme="minorEastAsia"/>
                <w:sz w:val="24"/>
                <w:highlight w:val="none"/>
              </w:rPr>
            </w:pPr>
            <w:bookmarkStart w:id="416" w:name="OLE_LINK9"/>
            <w:r>
              <w:rPr>
                <w:rFonts w:hint="eastAsia" w:asciiTheme="minorEastAsia" w:hAnsiTheme="minorEastAsia" w:eastAsiaTheme="minorEastAsia" w:cstheme="minorEastAsia"/>
                <w:sz w:val="24"/>
                <w:highlight w:val="none"/>
              </w:rPr>
              <w:t>项目实施方案。投标人提出合理的项目整体实施方案，包括项目交付工期</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送货安装时间、人员安排、设备调试等情况</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方案完整、合理、满足采购需求，组织机构健全，项目实施职责明确，能按照项目分解节点的视为符合要求，全部符合得</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分，基本符合得3分，部分符合得1分，不符合或未提供不得分。共</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分。</w:t>
            </w:r>
            <w:bookmarkEnd w:id="416"/>
          </w:p>
        </w:tc>
        <w:tc>
          <w:tcPr>
            <w:tcW w:w="479" w:type="pct"/>
            <w:vAlign w:val="center"/>
          </w:tcPr>
          <w:p w14:paraId="3696FB76">
            <w:pPr>
              <w:spacing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5</w:t>
            </w:r>
          </w:p>
        </w:tc>
        <w:tc>
          <w:tcPr>
            <w:tcW w:w="560" w:type="pct"/>
            <w:vAlign w:val="center"/>
          </w:tcPr>
          <w:p w14:paraId="486E2E4F">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主观分</w:t>
            </w:r>
          </w:p>
        </w:tc>
        <w:tc>
          <w:tcPr>
            <w:tcW w:w="722" w:type="pct"/>
            <w:vAlign w:val="center"/>
          </w:tcPr>
          <w:p w14:paraId="45A026E3">
            <w:pPr>
              <w:snapToGrid w:val="0"/>
              <w:spacing w:line="360" w:lineRule="auto"/>
              <w:jc w:val="center"/>
              <w:rPr>
                <w:rFonts w:cs="仿宋_GB2312" w:asciiTheme="minorEastAsia" w:hAnsiTheme="minorEastAsia" w:eastAsiaTheme="minorEastAsia"/>
                <w:sz w:val="24"/>
                <w:highlight w:val="none"/>
              </w:rPr>
            </w:pPr>
            <w:r>
              <w:rPr>
                <w:rFonts w:hint="eastAsia" w:ascii="宋体" w:hAnsi="宋体" w:cs="仿宋"/>
                <w:kern w:val="0"/>
                <w:sz w:val="24"/>
                <w:highlight w:val="none"/>
                <w:lang w:bidi="ar"/>
              </w:rPr>
              <w:t>项目实施方案</w:t>
            </w:r>
          </w:p>
        </w:tc>
      </w:tr>
      <w:tr w14:paraId="4A06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668B7E61">
            <w:pPr>
              <w:keepNext w:val="0"/>
              <w:keepLines w:val="0"/>
              <w:widowControl/>
              <w:suppressLineNumbers w:val="0"/>
              <w:jc w:val="center"/>
              <w:textAlignment w:val="center"/>
              <w:rPr>
                <w:rFonts w:cs="仿宋_GB2312" w:asciiTheme="minorEastAsia" w:hAnsiTheme="minorEastAsia" w:eastAsiaTheme="minorEastAsia"/>
                <w:sz w:val="24"/>
                <w:highlight w:val="none"/>
              </w:rPr>
            </w:pPr>
            <w:r>
              <w:rPr>
                <w:rFonts w:hint="eastAsia" w:ascii="宋体" w:hAnsi="宋体" w:cs="宋体"/>
                <w:i w:val="0"/>
                <w:iCs w:val="0"/>
                <w:color w:val="000000"/>
                <w:kern w:val="0"/>
                <w:sz w:val="24"/>
                <w:szCs w:val="24"/>
                <w:u w:val="none"/>
                <w:lang w:val="en-US" w:eastAsia="zh-CN" w:bidi="ar"/>
              </w:rPr>
              <w:t>6</w:t>
            </w:r>
          </w:p>
        </w:tc>
        <w:tc>
          <w:tcPr>
            <w:tcW w:w="2830" w:type="pct"/>
            <w:vAlign w:val="center"/>
          </w:tcPr>
          <w:p w14:paraId="5372C334">
            <w:pPr>
              <w:widowControl/>
              <w:spacing w:line="360" w:lineRule="auto"/>
              <w:textAlignment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项目团队情况（投标人满足以下要求）：</w:t>
            </w:r>
          </w:p>
          <w:p w14:paraId="67B40C0F">
            <w:pPr>
              <w:widowControl/>
              <w:spacing w:line="360" w:lineRule="auto"/>
              <w:textAlignment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（1）项目负责人要求具有：提供人社部门颁发的系统</w:t>
            </w:r>
            <w:r>
              <w:rPr>
                <w:rFonts w:hint="eastAsia" w:asciiTheme="minorEastAsia" w:hAnsiTheme="minorEastAsia" w:eastAsiaTheme="minorEastAsia" w:cstheme="minorEastAsia"/>
                <w:sz w:val="24"/>
                <w:highlight w:val="none"/>
                <w:lang w:val="en-US" w:eastAsia="zh-CN"/>
              </w:rPr>
              <w:t>集成</w:t>
            </w:r>
            <w:r>
              <w:rPr>
                <w:rFonts w:hint="eastAsia" w:asciiTheme="minorEastAsia" w:hAnsiTheme="minorEastAsia" w:eastAsiaTheme="minorEastAsia" w:cstheme="minorEastAsia"/>
                <w:sz w:val="24"/>
                <w:highlight w:val="none"/>
              </w:rPr>
              <w:t>项目管理</w:t>
            </w:r>
            <w:r>
              <w:rPr>
                <w:rFonts w:hint="eastAsia" w:asciiTheme="minorEastAsia" w:hAnsiTheme="minorEastAsia" w:eastAsiaTheme="minorEastAsia" w:cstheme="minorEastAsia"/>
                <w:sz w:val="24"/>
                <w:highlight w:val="none"/>
                <w:lang w:val="en-US" w:eastAsia="zh-CN"/>
              </w:rPr>
              <w:t>工程</w:t>
            </w:r>
            <w:r>
              <w:rPr>
                <w:rFonts w:hint="eastAsia" w:asciiTheme="minorEastAsia" w:hAnsiTheme="minorEastAsia" w:eastAsiaTheme="minorEastAsia" w:cstheme="minorEastAsia"/>
                <w:sz w:val="24"/>
                <w:highlight w:val="none"/>
              </w:rPr>
              <w:t>师证书的得</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分，否则不得分。</w:t>
            </w:r>
          </w:p>
          <w:p w14:paraId="011B3048">
            <w:pPr>
              <w:widowControl/>
              <w:spacing w:line="360" w:lineRule="auto"/>
              <w:textAlignment w:val="center"/>
              <w:rPr>
                <w:rFonts w:hint="eastAsia" w:asciiTheme="minorEastAsia" w:hAnsiTheme="minorEastAsia" w:eastAsiaTheme="minorEastAsia" w:cstheme="minorEastAsia"/>
                <w:sz w:val="24"/>
                <w:highlight w:val="yellow"/>
                <w:lang w:eastAsia="zh-CN"/>
              </w:rPr>
            </w:pPr>
            <w:r>
              <w:rPr>
                <w:rFonts w:hint="eastAsia" w:asciiTheme="minorEastAsia" w:hAnsiTheme="minorEastAsia" w:eastAsiaTheme="minorEastAsia" w:cstheme="minorEastAsia"/>
                <w:sz w:val="24"/>
                <w:highlight w:val="none"/>
              </w:rPr>
              <w:t>（2）专业技术人员4名及以上（不含项目负责人），专业技术人员具备信息化相关的中级</w:t>
            </w:r>
            <w:r>
              <w:rPr>
                <w:rFonts w:hint="eastAsia" w:asciiTheme="minorEastAsia" w:hAnsiTheme="minorEastAsia" w:eastAsiaTheme="minorEastAsia" w:cstheme="minorEastAsia"/>
                <w:sz w:val="24"/>
                <w:highlight w:val="none"/>
                <w:lang w:eastAsia="zh"/>
              </w:rPr>
              <w:t>及以上</w:t>
            </w:r>
            <w:r>
              <w:rPr>
                <w:rFonts w:hint="eastAsia" w:asciiTheme="minorEastAsia" w:hAnsiTheme="minorEastAsia" w:eastAsiaTheme="minorEastAsia" w:cstheme="minorEastAsia"/>
                <w:sz w:val="24"/>
                <w:highlight w:val="none"/>
              </w:rPr>
              <w:t>证书的每人得</w:t>
            </w:r>
            <w:r>
              <w:rPr>
                <w:rFonts w:hint="eastAsia" w:asciiTheme="minorEastAsia" w:hAnsiTheme="minorEastAsia" w:eastAsiaTheme="minorEastAsia" w:cstheme="minorEastAsia"/>
                <w:sz w:val="24"/>
                <w:highlight w:val="none"/>
                <w:lang w:val="en-US" w:eastAsia="zh-CN"/>
              </w:rPr>
              <w:t>0.5</w:t>
            </w:r>
            <w:r>
              <w:rPr>
                <w:rFonts w:hint="eastAsia" w:asciiTheme="minorEastAsia" w:hAnsiTheme="minorEastAsia" w:eastAsiaTheme="minorEastAsia" w:cstheme="minorEastAsia"/>
                <w:sz w:val="24"/>
                <w:highlight w:val="none"/>
              </w:rPr>
              <w:t>分，最多得</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z w:val="24"/>
                <w:highlight w:val="none"/>
                <w:lang w:eastAsia="zh"/>
              </w:rPr>
              <w:t>；</w:t>
            </w:r>
          </w:p>
          <w:p w14:paraId="27112C19">
            <w:pPr>
              <w:widowControl/>
              <w:spacing w:line="360" w:lineRule="auto"/>
              <w:textAlignment w:val="center"/>
              <w:rPr>
                <w:rFonts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4"/>
                <w:highlight w:val="none"/>
              </w:rPr>
              <w:t>以上人员一人不得兼任多个岗位，且均须同时提供投标截止时间近3个月内任意一个月的社保缴纳证明及相关证书，否则不得分。</w:t>
            </w:r>
          </w:p>
        </w:tc>
        <w:tc>
          <w:tcPr>
            <w:tcW w:w="479" w:type="pct"/>
            <w:vAlign w:val="center"/>
          </w:tcPr>
          <w:p w14:paraId="4A4B99A5">
            <w:pPr>
              <w:spacing w:line="360" w:lineRule="auto"/>
              <w:jc w:val="center"/>
              <w:rPr>
                <w:highlight w:val="none"/>
                <w:lang w:val="en-US"/>
              </w:rPr>
            </w:pPr>
            <w:r>
              <w:rPr>
                <w:rFonts w:hint="eastAsia" w:asciiTheme="minorEastAsia" w:hAnsiTheme="minorEastAsia" w:eastAsiaTheme="minorEastAsia" w:cstheme="minorEastAsia"/>
                <w:sz w:val="24"/>
                <w:szCs w:val="24"/>
                <w:highlight w:val="none"/>
                <w:lang w:val="en-US" w:eastAsia="zh-CN"/>
              </w:rPr>
              <w:t>4</w:t>
            </w:r>
          </w:p>
        </w:tc>
        <w:tc>
          <w:tcPr>
            <w:tcW w:w="560" w:type="pct"/>
            <w:vAlign w:val="center"/>
          </w:tcPr>
          <w:p w14:paraId="63EFFF28">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客观分</w:t>
            </w:r>
          </w:p>
        </w:tc>
        <w:tc>
          <w:tcPr>
            <w:tcW w:w="722" w:type="pct"/>
            <w:vAlign w:val="center"/>
          </w:tcPr>
          <w:p w14:paraId="2365519B">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项目组成员情况</w:t>
            </w:r>
          </w:p>
        </w:tc>
      </w:tr>
      <w:tr w14:paraId="23D2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6A13DA19">
            <w:pPr>
              <w:keepNext w:val="0"/>
              <w:keepLines w:val="0"/>
              <w:widowControl/>
              <w:suppressLineNumbers w:val="0"/>
              <w:jc w:val="center"/>
              <w:textAlignment w:val="center"/>
              <w:rPr>
                <w:rFonts w:cs="仿宋_GB2312" w:asciiTheme="minorEastAsia" w:hAnsiTheme="minorEastAsia" w:eastAsiaTheme="minorEastAsia"/>
                <w:sz w:val="24"/>
                <w:highlight w:val="none"/>
              </w:rPr>
            </w:pPr>
            <w:r>
              <w:rPr>
                <w:rFonts w:hint="eastAsia" w:ascii="宋体" w:hAnsi="宋体" w:cs="宋体"/>
                <w:i w:val="0"/>
                <w:iCs w:val="0"/>
                <w:color w:val="000000"/>
                <w:kern w:val="0"/>
                <w:sz w:val="24"/>
                <w:szCs w:val="24"/>
                <w:u w:val="none"/>
                <w:lang w:val="en-US" w:eastAsia="zh-CN" w:bidi="ar"/>
              </w:rPr>
              <w:t>7</w:t>
            </w:r>
          </w:p>
        </w:tc>
        <w:tc>
          <w:tcPr>
            <w:tcW w:w="2830" w:type="pct"/>
            <w:vAlign w:val="center"/>
          </w:tcPr>
          <w:p w14:paraId="5767DDF2">
            <w:pPr>
              <w:widowControl/>
              <w:spacing w:line="360" w:lineRule="auto"/>
              <w:textAlignment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投标人承诺：①提供产品至少3年维保及上门服务；提供售后服务专线7</w:t>
            </w:r>
            <w:r>
              <w:rPr>
                <w:rFonts w:hint="default"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rPr>
              <w:t>24小时在线服务；问题报修后并承诺在报修时间起30分钟内响应，1小时内到达故障现场，2小时完成设备的维修或更换；②质保服务周期内显示器出现产品质量问题后采用换新服务方式。投标人提供7</w:t>
            </w:r>
            <w:r>
              <w:rPr>
                <w:rFonts w:hint="default"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rPr>
              <w:t>24小时上门服务；质保期内如产品出现故障而按照约定更换的，质保期重新计算；③投标人须按采购人要求负责做好系统安装及旧电脑数据迁移工作；</w:t>
            </w:r>
          </w:p>
          <w:p w14:paraId="6131DA61">
            <w:pPr>
              <w:widowControl/>
              <w:spacing w:line="360" w:lineRule="auto"/>
              <w:textAlignment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提供承诺并符合要求的，每一项得1分</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未提供不得分，共</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分。</w:t>
            </w:r>
          </w:p>
        </w:tc>
        <w:tc>
          <w:tcPr>
            <w:tcW w:w="479" w:type="pct"/>
            <w:vAlign w:val="center"/>
          </w:tcPr>
          <w:p w14:paraId="10394333">
            <w:pPr>
              <w:spacing w:line="360" w:lineRule="auto"/>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3</w:t>
            </w:r>
          </w:p>
        </w:tc>
        <w:tc>
          <w:tcPr>
            <w:tcW w:w="560" w:type="pct"/>
            <w:vAlign w:val="center"/>
          </w:tcPr>
          <w:p w14:paraId="1ACAD184">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客观分</w:t>
            </w:r>
          </w:p>
        </w:tc>
        <w:tc>
          <w:tcPr>
            <w:tcW w:w="722" w:type="pct"/>
            <w:vAlign w:val="center"/>
          </w:tcPr>
          <w:p w14:paraId="12603542">
            <w:pPr>
              <w:snapToGrid w:val="0"/>
              <w:spacing w:line="360" w:lineRule="auto"/>
              <w:jc w:val="center"/>
              <w:rPr>
                <w:rFonts w:hint="eastAsia" w:ascii="宋体" w:hAnsi="宋体" w:cs="仿宋"/>
                <w:sz w:val="24"/>
                <w:highlight w:val="none"/>
              </w:rPr>
            </w:pPr>
            <w:r>
              <w:rPr>
                <w:rFonts w:hint="eastAsia" w:ascii="宋体" w:hAnsi="宋体" w:cs="仿宋"/>
                <w:sz w:val="24"/>
                <w:highlight w:val="none"/>
              </w:rPr>
              <w:t>售后服务</w:t>
            </w:r>
          </w:p>
          <w:p w14:paraId="06763669">
            <w:pPr>
              <w:snapToGrid w:val="0"/>
              <w:spacing w:line="360" w:lineRule="auto"/>
              <w:jc w:val="center"/>
              <w:rPr>
                <w:rFonts w:ascii="宋体" w:hAnsi="宋体" w:cs="仿宋"/>
                <w:sz w:val="24"/>
                <w:highlight w:val="none"/>
              </w:rPr>
            </w:pPr>
          </w:p>
        </w:tc>
      </w:tr>
      <w:tr w14:paraId="7331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718762E0">
            <w:pPr>
              <w:keepNext w:val="0"/>
              <w:keepLines w:val="0"/>
              <w:widowControl/>
              <w:suppressLineNumbers w:val="0"/>
              <w:jc w:val="center"/>
              <w:textAlignment w:val="center"/>
              <w:rPr>
                <w:rFonts w:hint="eastAsia" w:cs="仿宋_GB2312" w:asciiTheme="minorEastAsia" w:hAnsiTheme="minorEastAsia" w:eastAsiaTheme="minorEastAsia"/>
                <w:sz w:val="24"/>
                <w:highlight w:val="none"/>
                <w:lang w:eastAsia="zh-CN"/>
              </w:rPr>
            </w:pPr>
            <w:r>
              <w:rPr>
                <w:rFonts w:hint="eastAsia" w:ascii="宋体" w:hAnsi="宋体" w:cs="宋体"/>
                <w:i w:val="0"/>
                <w:iCs w:val="0"/>
                <w:color w:val="000000"/>
                <w:kern w:val="0"/>
                <w:sz w:val="24"/>
                <w:szCs w:val="24"/>
                <w:u w:val="none"/>
                <w:lang w:val="en-US" w:eastAsia="zh-CN" w:bidi="ar"/>
              </w:rPr>
              <w:t>8</w:t>
            </w:r>
          </w:p>
        </w:tc>
        <w:tc>
          <w:tcPr>
            <w:tcW w:w="2830" w:type="pct"/>
            <w:vAlign w:val="center"/>
          </w:tcPr>
          <w:p w14:paraId="18B66B90">
            <w:pPr>
              <w:spacing w:line="360" w:lineRule="auto"/>
              <w:rPr>
                <w:rFonts w:asciiTheme="minorEastAsia" w:hAnsiTheme="minorEastAsia" w:eastAsiaTheme="minorEastAsia" w:cstheme="minorEastAsia"/>
                <w:sz w:val="24"/>
                <w:highlight w:val="none"/>
              </w:rPr>
            </w:pPr>
            <w:bookmarkStart w:id="417" w:name="OLE_LINK16"/>
            <w:r>
              <w:rPr>
                <w:rFonts w:hint="eastAsia" w:asciiTheme="minorEastAsia" w:hAnsiTheme="minorEastAsia" w:eastAsiaTheme="minorEastAsia" w:cstheme="minorEastAsia"/>
                <w:sz w:val="24"/>
                <w:highlight w:val="none"/>
              </w:rPr>
              <w:t>投标人根据采购需求制定相关操作培训方案，培训方案包括：培训内容、培训计划、培训管理、培训质量控制等；根据培训方案内容进行评分，方案科学合理，利于实际操作，能有效达到培训目的的视为符合，全部符合得</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分，基本符合得</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分，部分符合得</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分，方案未提供或不合理的不得分，共</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分。</w:t>
            </w:r>
            <w:bookmarkEnd w:id="417"/>
          </w:p>
        </w:tc>
        <w:tc>
          <w:tcPr>
            <w:tcW w:w="479" w:type="pct"/>
            <w:vAlign w:val="center"/>
          </w:tcPr>
          <w:p w14:paraId="6996168B">
            <w:pPr>
              <w:spacing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3</w:t>
            </w:r>
          </w:p>
        </w:tc>
        <w:tc>
          <w:tcPr>
            <w:tcW w:w="560" w:type="pct"/>
            <w:vAlign w:val="center"/>
          </w:tcPr>
          <w:p w14:paraId="15D992F7">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主观分</w:t>
            </w:r>
          </w:p>
        </w:tc>
        <w:tc>
          <w:tcPr>
            <w:tcW w:w="722" w:type="pct"/>
            <w:vAlign w:val="center"/>
          </w:tcPr>
          <w:p w14:paraId="731834CC">
            <w:pPr>
              <w:snapToGrid w:val="0"/>
              <w:spacing w:line="360" w:lineRule="auto"/>
              <w:jc w:val="center"/>
              <w:rPr>
                <w:rFonts w:ascii="宋体" w:hAnsi="宋体" w:cs="仿宋"/>
                <w:sz w:val="24"/>
                <w:highlight w:val="none"/>
              </w:rPr>
            </w:pPr>
            <w:r>
              <w:rPr>
                <w:rFonts w:hint="eastAsia" w:asciiTheme="minorEastAsia" w:hAnsiTheme="minorEastAsia" w:eastAsiaTheme="minorEastAsia" w:cstheme="minorEastAsia"/>
                <w:sz w:val="24"/>
                <w:highlight w:val="none"/>
              </w:rPr>
              <w:t>技术培训方案</w:t>
            </w:r>
          </w:p>
        </w:tc>
      </w:tr>
      <w:tr w14:paraId="5A9F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33A4F1F5">
            <w:pPr>
              <w:keepNext w:val="0"/>
              <w:keepLines w:val="0"/>
              <w:widowControl/>
              <w:suppressLineNumbers w:val="0"/>
              <w:jc w:val="center"/>
              <w:textAlignment w:val="center"/>
              <w:rPr>
                <w:rFonts w:hint="eastAsia" w:cs="仿宋_GB2312" w:asciiTheme="minorEastAsia" w:hAnsiTheme="minorEastAsia" w:eastAsiaTheme="minorEastAsia"/>
                <w:sz w:val="24"/>
                <w:highlight w:val="none"/>
                <w:lang w:eastAsia="zh-CN"/>
              </w:rPr>
            </w:pPr>
            <w:r>
              <w:rPr>
                <w:rFonts w:hint="eastAsia" w:ascii="宋体" w:hAnsi="宋体" w:cs="宋体"/>
                <w:i w:val="0"/>
                <w:iCs w:val="0"/>
                <w:color w:val="000000"/>
                <w:kern w:val="0"/>
                <w:sz w:val="24"/>
                <w:szCs w:val="24"/>
                <w:u w:val="none"/>
                <w:lang w:val="en-US" w:eastAsia="zh-CN" w:bidi="ar"/>
              </w:rPr>
              <w:t>9</w:t>
            </w:r>
          </w:p>
        </w:tc>
        <w:tc>
          <w:tcPr>
            <w:tcW w:w="2830" w:type="pct"/>
            <w:vAlign w:val="center"/>
          </w:tcPr>
          <w:p w14:paraId="4D60DA39">
            <w:pPr>
              <w:spacing w:line="360" w:lineRule="auto"/>
              <w:rPr>
                <w:rFonts w:asciiTheme="minorEastAsia" w:hAnsiTheme="minorEastAsia" w:eastAsiaTheme="minorEastAsia" w:cstheme="minorEastAsia"/>
                <w:sz w:val="24"/>
                <w:highlight w:val="none"/>
              </w:rPr>
            </w:pPr>
            <w:bookmarkStart w:id="418" w:name="OLE_LINK17"/>
            <w:r>
              <w:rPr>
                <w:rFonts w:hint="eastAsia" w:asciiTheme="minorEastAsia" w:hAnsiTheme="minorEastAsia" w:eastAsiaTheme="minorEastAsia" w:cstheme="minorEastAsia"/>
                <w:sz w:val="24"/>
                <w:highlight w:val="none"/>
                <w:lang w:val="en-US" w:eastAsia="zh-CN"/>
              </w:rPr>
              <w:t>信息技术创新改造</w:t>
            </w:r>
            <w:r>
              <w:rPr>
                <w:rFonts w:hint="eastAsia" w:asciiTheme="minorEastAsia" w:hAnsiTheme="minorEastAsia" w:eastAsiaTheme="minorEastAsia" w:cstheme="minorEastAsia"/>
                <w:sz w:val="24"/>
                <w:highlight w:val="none"/>
              </w:rPr>
              <w:t>适配测试工作方案。投标人具备</w:t>
            </w:r>
            <w:r>
              <w:rPr>
                <w:rFonts w:hint="eastAsia" w:asciiTheme="minorEastAsia" w:hAnsiTheme="minorEastAsia" w:eastAsiaTheme="minorEastAsia" w:cstheme="minorEastAsia"/>
                <w:sz w:val="24"/>
                <w:highlight w:val="none"/>
                <w:lang w:eastAsia="zh-CN"/>
              </w:rPr>
              <w:t>信息技术创新改造</w:t>
            </w:r>
            <w:r>
              <w:rPr>
                <w:rFonts w:hint="eastAsia" w:asciiTheme="minorEastAsia" w:hAnsiTheme="minorEastAsia" w:eastAsiaTheme="minorEastAsia" w:cstheme="minorEastAsia"/>
                <w:sz w:val="24"/>
                <w:highlight w:val="none"/>
              </w:rPr>
              <w:t>适配能力，能够配合采购人完成必要的适配测试工作，提供适配测试工作方案，包括场地、人员等，方案内容详细完整、科学合理，满足采购需求视为符合，全部符合得</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分，基本符合得</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分，部分符合得</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分，不符合或未提供不得分。共</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分。</w:t>
            </w:r>
            <w:bookmarkEnd w:id="418"/>
          </w:p>
        </w:tc>
        <w:tc>
          <w:tcPr>
            <w:tcW w:w="479" w:type="pct"/>
            <w:vAlign w:val="center"/>
          </w:tcPr>
          <w:p w14:paraId="5B7462A9">
            <w:pPr>
              <w:spacing w:line="360"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3</w:t>
            </w:r>
          </w:p>
        </w:tc>
        <w:tc>
          <w:tcPr>
            <w:tcW w:w="560" w:type="pct"/>
            <w:vAlign w:val="center"/>
          </w:tcPr>
          <w:p w14:paraId="053F5830">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主观分</w:t>
            </w:r>
          </w:p>
        </w:tc>
        <w:tc>
          <w:tcPr>
            <w:tcW w:w="722" w:type="pct"/>
            <w:vAlign w:val="center"/>
          </w:tcPr>
          <w:p w14:paraId="0582FD28">
            <w:pPr>
              <w:snapToGrid w:val="0"/>
              <w:spacing w:line="360" w:lineRule="auto"/>
              <w:jc w:val="center"/>
              <w:rPr>
                <w:rFonts w:cs="仿宋_GB2312" w:asciiTheme="minorEastAsia" w:hAnsiTheme="minorEastAsia" w:eastAsiaTheme="minorEastAsia"/>
                <w:sz w:val="24"/>
                <w:highlight w:val="none"/>
              </w:rPr>
            </w:pPr>
            <w:r>
              <w:rPr>
                <w:rFonts w:hint="eastAsia" w:asciiTheme="minorEastAsia" w:hAnsiTheme="minorEastAsia" w:eastAsiaTheme="minorEastAsia" w:cstheme="minorEastAsia"/>
                <w:sz w:val="24"/>
                <w:highlight w:val="none"/>
              </w:rPr>
              <w:t>适配测试工作方案</w:t>
            </w:r>
          </w:p>
        </w:tc>
      </w:tr>
      <w:tr w14:paraId="2217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7C83B08E">
            <w:pPr>
              <w:keepNext w:val="0"/>
              <w:keepLines w:val="0"/>
              <w:widowControl/>
              <w:suppressLineNumbers w:val="0"/>
              <w:jc w:val="center"/>
              <w:textAlignment w:val="center"/>
              <w:rPr>
                <w:rFonts w:hint="default" w:cs="仿宋_GB2312" w:asciiTheme="minorEastAsia" w:hAnsiTheme="minorEastAsia" w:eastAsiaTheme="minorEastAsia"/>
                <w:sz w:val="24"/>
                <w:highlight w:val="none"/>
                <w:lang w:val="en-US" w:eastAsia="zh-CN"/>
              </w:rPr>
            </w:pPr>
            <w:r>
              <w:rPr>
                <w:rFonts w:hint="eastAsia" w:ascii="宋体" w:hAnsi="宋体" w:cs="宋体"/>
                <w:i w:val="0"/>
                <w:iCs w:val="0"/>
                <w:color w:val="000000"/>
                <w:kern w:val="0"/>
                <w:sz w:val="24"/>
                <w:szCs w:val="24"/>
                <w:u w:val="none"/>
                <w:lang w:val="en-US" w:eastAsia="zh-CN" w:bidi="ar"/>
              </w:rPr>
              <w:t>10</w:t>
            </w:r>
          </w:p>
        </w:tc>
        <w:tc>
          <w:tcPr>
            <w:tcW w:w="2830" w:type="pct"/>
          </w:tcPr>
          <w:p w14:paraId="33EEDCC6">
            <w:pPr>
              <w:keepNext w:val="0"/>
              <w:keepLines w:val="0"/>
              <w:pageBreakBefore w:val="0"/>
              <w:kinsoku/>
              <w:wordWrap/>
              <w:overflowPunct/>
              <w:topLinePunct w:val="0"/>
              <w:autoSpaceDE/>
              <w:autoSpaceDN/>
              <w:bidi w:val="0"/>
              <w:snapToGrid/>
              <w:spacing w:line="360" w:lineRule="auto"/>
              <w:jc w:val="both"/>
              <w:textAlignment w:val="auto"/>
              <w:outlineLvl w:val="9"/>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有效投标报价的最低价作为评标基准价，其最低报价为满分；按［投标报价得分</w:t>
            </w:r>
            <w:r>
              <w:rPr>
                <w:rFonts w:cs="仿宋_GB2312" w:asciiTheme="minorEastAsia" w:hAnsiTheme="minorEastAsia" w:eastAsiaTheme="minorEastAsia"/>
                <w:sz w:val="24"/>
                <w:highlight w:val="none"/>
              </w:rPr>
              <w:t>=（评标基准价/投标报价）*</w:t>
            </w:r>
            <w:r>
              <w:rPr>
                <w:rFonts w:hint="eastAsia" w:cs="仿宋_GB2312" w:asciiTheme="minorEastAsia" w:hAnsiTheme="minorEastAsia" w:eastAsiaTheme="minorEastAsia"/>
                <w:sz w:val="24"/>
                <w:highlight w:val="none"/>
                <w:lang w:val="en-US" w:eastAsia="zh-CN"/>
              </w:rPr>
              <w:t>4</w:t>
            </w:r>
            <w:r>
              <w:rPr>
                <w:rFonts w:hint="eastAsia" w:cs="仿宋_GB2312" w:asciiTheme="minorEastAsia" w:hAnsiTheme="minorEastAsia" w:eastAsiaTheme="minorEastAsia"/>
                <w:sz w:val="24"/>
                <w:highlight w:val="none"/>
              </w:rPr>
              <w:t>0</w:t>
            </w:r>
            <w:r>
              <w:rPr>
                <w:rFonts w:cs="仿宋_GB2312" w:asciiTheme="minorEastAsia" w:hAnsiTheme="minorEastAsia" w:eastAsiaTheme="minorEastAsia"/>
                <w:sz w:val="24"/>
                <w:highlight w:val="none"/>
              </w:rPr>
              <w:t>］的计算公式计算。</w:t>
            </w:r>
          </w:p>
          <w:p w14:paraId="02DD5B5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both"/>
              <w:textAlignment w:val="auto"/>
              <w:outlineLvl w:val="9"/>
              <w:rPr>
                <w:rFonts w:cs="仿宋_GB2312" w:asciiTheme="minorEastAsia" w:hAnsiTheme="minorEastAsia" w:eastAsiaTheme="minorEastAsia"/>
                <w:sz w:val="24"/>
                <w:highlight w:val="none"/>
              </w:rPr>
            </w:pPr>
            <w:r>
              <w:rPr>
                <w:rFonts w:cs="仿宋_GB2312" w:asciiTheme="minorEastAsia" w:hAnsiTheme="minorEastAsia" w:eastAsiaTheme="minorEastAsia"/>
                <w:sz w:val="24"/>
                <w:highlight w:val="none"/>
              </w:rPr>
              <w:t>评标过程中，不得去掉报价中的最高报价和最低报价。</w:t>
            </w:r>
          </w:p>
          <w:p w14:paraId="1415D85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both"/>
              <w:textAlignment w:val="auto"/>
              <w:outlineLvl w:val="9"/>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4A656A7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both"/>
              <w:textAlignment w:val="auto"/>
              <w:outlineLvl w:val="9"/>
              <w:rPr>
                <w:rFonts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对于未预留份额专门面向中小企业的政府采购货物项目，以及预留份额政府采购货物项目中的非预留部分标项，对小型和微型企业的投标报价给予</w:t>
            </w:r>
            <w:r>
              <w:rPr>
                <w:rFonts w:hint="eastAsia" w:cs="仿宋_GB2312" w:asciiTheme="minorEastAsia" w:hAnsiTheme="minorEastAsia" w:eastAsiaTheme="minorEastAsia"/>
                <w:b/>
                <w:bCs/>
                <w:sz w:val="24"/>
                <w:highlight w:val="none"/>
              </w:rPr>
              <w:t>10%</w:t>
            </w:r>
            <w:r>
              <w:rPr>
                <w:rFonts w:hint="eastAsia" w:cs="仿宋_GB2312" w:asciiTheme="minorEastAsia" w:hAnsiTheme="minorEastAsia" w:eastAsiaTheme="minorEastAsia"/>
                <w:sz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w:t>
            </w:r>
            <w:r>
              <w:rPr>
                <w:rFonts w:hint="eastAsia" w:cs="仿宋_GB2312" w:asciiTheme="minorEastAsia" w:hAnsiTheme="minorEastAsia" w:eastAsiaTheme="minorEastAsia"/>
                <w:sz w:val="24"/>
                <w:highlight w:val="none"/>
                <w:lang w:val="en-US" w:eastAsia="zh-CN"/>
              </w:rPr>
              <w:t>30</w:t>
            </w:r>
            <w:r>
              <w:rPr>
                <w:rFonts w:hint="eastAsia" w:cs="仿宋_GB2312" w:asciiTheme="minorEastAsia" w:hAnsiTheme="minorEastAsia" w:eastAsiaTheme="minorEastAsia"/>
                <w:sz w:val="24"/>
                <w:highlight w:val="none"/>
              </w:rPr>
              <w:t>%以上的，对联合体或者大中型企业的报价给予</w:t>
            </w:r>
            <w:r>
              <w:rPr>
                <w:rFonts w:hint="eastAsia" w:cs="仿宋_GB2312" w:asciiTheme="minorEastAsia" w:hAnsiTheme="minorEastAsia" w:eastAsiaTheme="minorEastAsia"/>
                <w:b/>
                <w:bCs/>
                <w:sz w:val="24"/>
                <w:highlight w:val="none"/>
              </w:rPr>
              <w:t>4%</w:t>
            </w:r>
            <w:r>
              <w:rPr>
                <w:rFonts w:hint="eastAsia" w:cs="仿宋_GB2312" w:asciiTheme="minorEastAsia" w:hAnsiTheme="minorEastAsia" w:eastAsiaTheme="minorEastAsia"/>
                <w:sz w:val="24"/>
                <w:highlight w:val="none"/>
              </w:rPr>
              <w:t>的扣除，用扣除后的价格参加评审。</w:t>
            </w:r>
          </w:p>
        </w:tc>
        <w:tc>
          <w:tcPr>
            <w:tcW w:w="479" w:type="pct"/>
            <w:vAlign w:val="center"/>
          </w:tcPr>
          <w:p w14:paraId="01E78155">
            <w:pPr>
              <w:spacing w:line="360" w:lineRule="auto"/>
              <w:jc w:val="center"/>
              <w:outlineLvl w:val="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lang w:val="en-US" w:eastAsia="zh-CN"/>
              </w:rPr>
              <w:t>4</w:t>
            </w:r>
            <w:r>
              <w:rPr>
                <w:rFonts w:hint="eastAsia" w:cs="仿宋_GB2312" w:asciiTheme="minorEastAsia" w:hAnsiTheme="minorEastAsia" w:eastAsiaTheme="minorEastAsia"/>
                <w:sz w:val="24"/>
                <w:highlight w:val="none"/>
              </w:rPr>
              <w:t>0</w:t>
            </w:r>
          </w:p>
        </w:tc>
        <w:tc>
          <w:tcPr>
            <w:tcW w:w="560" w:type="pct"/>
            <w:vAlign w:val="center"/>
          </w:tcPr>
          <w:p w14:paraId="5A878433">
            <w:pPr>
              <w:spacing w:line="360" w:lineRule="auto"/>
              <w:jc w:val="center"/>
              <w:outlineLvl w:val="0"/>
              <w:rPr>
                <w:rFonts w:cs="仿宋_GB2312" w:asciiTheme="minorEastAsia" w:hAnsiTheme="minorEastAsia" w:eastAsiaTheme="minorEastAsia"/>
                <w:sz w:val="24"/>
                <w:highlight w:val="none"/>
              </w:rPr>
            </w:pPr>
            <w:r>
              <w:rPr>
                <w:rFonts w:hint="eastAsia" w:asciiTheme="minorEastAsia" w:hAnsiTheme="minorEastAsia" w:eastAsiaTheme="minorEastAsia" w:cstheme="minorEastAsia"/>
                <w:bCs/>
                <w:sz w:val="24"/>
                <w:highlight w:val="none"/>
              </w:rPr>
              <w:t>客观分</w:t>
            </w:r>
          </w:p>
        </w:tc>
        <w:tc>
          <w:tcPr>
            <w:tcW w:w="722" w:type="pct"/>
            <w:vAlign w:val="center"/>
          </w:tcPr>
          <w:p w14:paraId="3448B5C7">
            <w:pPr>
              <w:spacing w:line="360" w:lineRule="auto"/>
              <w:jc w:val="center"/>
              <w:outlineLvl w:val="0"/>
              <w:rPr>
                <w:rFonts w:cs="仿宋_GB2312" w:asciiTheme="minorEastAsia" w:hAnsiTheme="minorEastAsia" w:eastAsiaTheme="minorEastAsia"/>
                <w:sz w:val="24"/>
                <w:highlight w:val="none"/>
              </w:rPr>
            </w:pPr>
            <w:r>
              <w:rPr>
                <w:rFonts w:cs="仿宋_GB2312" w:asciiTheme="minorEastAsia" w:hAnsiTheme="minorEastAsia" w:eastAsiaTheme="minorEastAsia"/>
                <w:sz w:val="24"/>
                <w:highlight w:val="none"/>
              </w:rPr>
              <w:t>/</w:t>
            </w:r>
          </w:p>
        </w:tc>
      </w:tr>
    </w:tbl>
    <w:p w14:paraId="708FB2BB">
      <w:pPr>
        <w:snapToGrid w:val="0"/>
        <w:spacing w:line="360" w:lineRule="auto"/>
        <w:rPr>
          <w:rFonts w:ascii="宋体" w:hAnsi="宋体" w:cs="宋体"/>
          <w:b/>
          <w:color w:val="auto"/>
          <w:sz w:val="24"/>
          <w:highlight w:val="none"/>
        </w:rPr>
      </w:pPr>
      <w:r>
        <w:rPr>
          <w:rFonts w:hint="eastAsia" w:ascii="宋体" w:hAnsi="宋体" w:cs="宋体"/>
          <w:b/>
          <w:bCs/>
          <w:color w:val="auto"/>
          <w:sz w:val="20"/>
          <w:szCs w:val="20"/>
          <w:highlight w:val="none"/>
          <w:shd w:val="clear" w:color="auto" w:fill="FFFFFF"/>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1564ED59">
      <w:pPr>
        <w:snapToGrid w:val="0"/>
        <w:spacing w:line="360" w:lineRule="auto"/>
        <w:jc w:val="both"/>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一、评标方法</w:t>
      </w:r>
    </w:p>
    <w:p w14:paraId="337A76EF">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5C33C303">
      <w:pPr>
        <w:snapToGrid w:val="0"/>
        <w:spacing w:line="360" w:lineRule="auto"/>
        <w:jc w:val="both"/>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二、评标标准</w:t>
      </w:r>
    </w:p>
    <w:p w14:paraId="106B50CF">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2.评标标准：</w:t>
      </w:r>
      <w:r>
        <w:rPr>
          <w:rFonts w:hint="eastAsia" w:ascii="宋体" w:hAnsi="宋体" w:cs="宋体"/>
          <w:color w:val="auto"/>
          <w:kern w:val="0"/>
          <w:sz w:val="24"/>
          <w:highlight w:val="none"/>
        </w:rPr>
        <w:t>见评标办法前附表。</w:t>
      </w:r>
    </w:p>
    <w:p w14:paraId="7B1E6EC0">
      <w:pPr>
        <w:snapToGrid w:val="0"/>
        <w:spacing w:line="360" w:lineRule="auto"/>
        <w:jc w:val="both"/>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三、评标程序</w:t>
      </w:r>
    </w:p>
    <w:p w14:paraId="15429DAB">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46A556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5B95B3A">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6DC257E8">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44922109">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196323F2">
      <w:pPr>
        <w:pStyle w:val="132"/>
        <w:spacing w:before="0"/>
        <w:ind w:firstLine="480"/>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rPr>
        <w:t>3.4.1.1投标文件中开标一览表(报价表)内容与投标文件中相应内容不一致的，以开标一览表(报价表)为准</w:t>
      </w:r>
      <w:r>
        <w:rPr>
          <w:rFonts w:hint="eastAsia" w:ascii="宋体" w:hAnsi="宋体" w:cs="宋体"/>
          <w:color w:val="auto"/>
          <w:kern w:val="0"/>
          <w:szCs w:val="24"/>
          <w:highlight w:val="none"/>
          <w:lang w:eastAsia="zh-CN"/>
        </w:rPr>
        <w:t>；</w:t>
      </w:r>
    </w:p>
    <w:p w14:paraId="4AD9EF84">
      <w:pPr>
        <w:pStyle w:val="132"/>
        <w:spacing w:before="0"/>
        <w:ind w:firstLine="480"/>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rPr>
        <w:t>3.4.1.2大写金额和小写金额不一致的，以大写金额为准</w:t>
      </w:r>
      <w:r>
        <w:rPr>
          <w:rFonts w:hint="eastAsia" w:ascii="宋体" w:hAnsi="宋体" w:cs="宋体"/>
          <w:color w:val="auto"/>
          <w:kern w:val="0"/>
          <w:szCs w:val="24"/>
          <w:highlight w:val="none"/>
          <w:lang w:eastAsia="zh-CN"/>
        </w:rPr>
        <w:t>；</w:t>
      </w:r>
    </w:p>
    <w:p w14:paraId="652D15C8">
      <w:pPr>
        <w:pStyle w:val="132"/>
        <w:spacing w:before="0"/>
        <w:ind w:firstLine="480"/>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rPr>
        <w:t>3.4.1.3单价金额小数点或者百分比有明显错位的，以开标一览表的总价为准，并修改单价</w:t>
      </w:r>
      <w:r>
        <w:rPr>
          <w:rFonts w:hint="eastAsia" w:ascii="宋体" w:hAnsi="宋体" w:cs="宋体"/>
          <w:color w:val="auto"/>
          <w:kern w:val="0"/>
          <w:szCs w:val="24"/>
          <w:highlight w:val="none"/>
          <w:lang w:eastAsia="zh-CN"/>
        </w:rPr>
        <w:t>；</w:t>
      </w:r>
    </w:p>
    <w:p w14:paraId="2AA4EBE8">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5FD4FCC6">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68FD689">
      <w:pPr>
        <w:pStyle w:val="132"/>
        <w:spacing w:before="0"/>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3.4.2政府采购评审中出现招标文件第二部分投标人须知《前附表》“报价要求”第（2）条所列情形之一的，评审委员会应当启动异常低价投标（响应）审查程序。</w:t>
      </w:r>
    </w:p>
    <w:p w14:paraId="092705D9">
      <w:pPr>
        <w:pStyle w:val="132"/>
        <w:spacing w:before="0"/>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08D1B7">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6D863DF">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rPr>
        <w:t>3.4.4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036070F3">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136C882">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3F05F96">
      <w:pPr>
        <w:spacing w:line="360" w:lineRule="auto"/>
        <w:ind w:firstLine="472" w:firstLineChars="196"/>
        <w:rPr>
          <w:rFonts w:hint="eastAsia"/>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B6E2AA2">
      <w:pPr>
        <w:spacing w:line="360" w:lineRule="auto"/>
        <w:jc w:val="both"/>
        <w:rPr>
          <w:rFonts w:hint="eastAsia" w:ascii="宋体" w:hAnsi="宋体" w:cs="宋体"/>
          <w:b/>
          <w:color w:val="auto"/>
          <w:sz w:val="32"/>
          <w:szCs w:val="20"/>
          <w:highlight w:val="none"/>
        </w:rPr>
      </w:pPr>
      <w:r>
        <w:rPr>
          <w:rFonts w:hint="eastAsia" w:ascii="宋体" w:hAnsi="宋体" w:cs="宋体"/>
          <w:b/>
          <w:color w:val="auto"/>
          <w:sz w:val="32"/>
          <w:szCs w:val="20"/>
          <w:highlight w:val="none"/>
        </w:rPr>
        <w:t>四、评标中的其他事项</w:t>
      </w:r>
    </w:p>
    <w:p w14:paraId="2279DF35">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63E0ED0">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0CA9D9A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2611530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2BFC938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36D92B7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00D2C70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4EFF0DED">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4.2.6投标文件出现不是唯一的、有选择性投标报价的</w:t>
      </w:r>
      <w:r>
        <w:rPr>
          <w:rFonts w:hint="eastAsia" w:ascii="宋体" w:hAnsi="宋体" w:cs="宋体"/>
          <w:color w:val="auto"/>
          <w:kern w:val="0"/>
          <w:sz w:val="24"/>
          <w:highlight w:val="none"/>
          <w:lang w:eastAsia="zh-CN"/>
        </w:rPr>
        <w:t>；</w:t>
      </w:r>
    </w:p>
    <w:p w14:paraId="3A15AFAF">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4.2.7投标报价超过招标文件中规定的预算金额或者最高限价的</w:t>
      </w:r>
      <w:r>
        <w:rPr>
          <w:rFonts w:hint="eastAsia" w:ascii="宋体" w:hAnsi="宋体" w:cs="宋体"/>
          <w:color w:val="auto"/>
          <w:kern w:val="0"/>
          <w:sz w:val="24"/>
          <w:highlight w:val="none"/>
          <w:lang w:eastAsia="zh-CN"/>
        </w:rPr>
        <w:t>；</w:t>
      </w:r>
    </w:p>
    <w:p w14:paraId="2ACA84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51B6A4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4.2.9</w:t>
      </w:r>
      <w:r>
        <w:rPr>
          <w:rFonts w:hint="eastAsia" w:ascii="宋体" w:hAnsi="宋体" w:cs="宋体"/>
          <w:color w:val="auto"/>
          <w:kern w:val="0"/>
          <w:sz w:val="24"/>
          <w:highlight w:val="none"/>
        </w:rPr>
        <w:t>评审委员会启动异常低价投标（响应）审查后，投标（响应）供应商不能提供书面说明、证明材料，或者提供的书面说明、证明材料不能证明其报价合理性的；</w:t>
      </w:r>
    </w:p>
    <w:p w14:paraId="13DCE4F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投标人提供虚假材料投标的；</w:t>
      </w:r>
    </w:p>
    <w:p w14:paraId="01F7E13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投标人有恶意串通、妨碍其他投标人的竞争行为、损害采购人或者其他投标人的合法权益情形的；</w:t>
      </w:r>
    </w:p>
    <w:p w14:paraId="6FFC87CD">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5B5ECF2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投标人仅提交备份投标文件，未在电子交易平台传输递交投标文件的，投标无效；</w:t>
      </w:r>
    </w:p>
    <w:p w14:paraId="312DFF69">
      <w:pPr>
        <w:spacing w:line="360" w:lineRule="auto"/>
        <w:ind w:firstLine="480" w:firstLineChars="200"/>
        <w:rPr>
          <w:rFonts w:hint="eastAsia" w:ascii="宋体" w:hAnsi="宋体" w:cs="宋体"/>
          <w:kern w:val="0"/>
          <w:sz w:val="24"/>
          <w:highlight w:val="none"/>
        </w:rPr>
      </w:pPr>
      <w:r>
        <w:rPr>
          <w:rFonts w:hint="eastAsia" w:ascii="宋体" w:hAnsi="宋体" w:eastAsia="宋体" w:cs="宋体"/>
          <w:b w:val="0"/>
          <w:bCs w:val="0"/>
          <w:color w:val="auto"/>
          <w:kern w:val="0"/>
          <w:sz w:val="24"/>
          <w:szCs w:val="24"/>
          <w:highlight w:val="none"/>
          <w:lang w:val="en-US"/>
        </w:rPr>
        <w:t>4.2.1</w:t>
      </w:r>
      <w:r>
        <w:rPr>
          <w:rFonts w:hint="eastAsia" w:ascii="宋体" w:hAnsi="宋体" w:cs="宋体"/>
          <w:b w:val="0"/>
          <w:bCs w:val="0"/>
          <w:color w:val="auto"/>
          <w:kern w:val="0"/>
          <w:sz w:val="24"/>
          <w:szCs w:val="24"/>
          <w:highlight w:val="none"/>
          <w:lang w:val="en-US" w:eastAsia="zh-CN"/>
        </w:rPr>
        <w:t>4</w:t>
      </w:r>
      <w:r>
        <w:rPr>
          <w:rFonts w:hint="eastAsia" w:ascii="宋体" w:hAnsi="宋体" w:cs="宋体"/>
          <w:kern w:val="0"/>
          <w:sz w:val="24"/>
          <w:highlight w:val="none"/>
        </w:rPr>
        <w:t>投标人未提供样品或提供的样品不满足采购需求实质性条件的，投标无效；</w:t>
      </w:r>
    </w:p>
    <w:p w14:paraId="3FDC2839">
      <w:pPr>
        <w:spacing w:line="360" w:lineRule="auto"/>
        <w:ind w:firstLine="480" w:firstLineChars="200"/>
        <w:rPr>
          <w:rFonts w:ascii="宋体" w:hAnsi="宋体" w:eastAsia="宋体" w:cs="宋体"/>
          <w:b w:val="0"/>
          <w:bCs w:val="0"/>
          <w:color w:val="auto"/>
          <w:kern w:val="0"/>
          <w:sz w:val="24"/>
          <w:szCs w:val="24"/>
          <w:highlight w:val="none"/>
          <w:lang w:val="en-US"/>
        </w:rPr>
      </w:pPr>
      <w:r>
        <w:rPr>
          <w:rFonts w:hint="eastAsia" w:ascii="宋体" w:hAnsi="宋体" w:cs="宋体"/>
          <w:b w:val="0"/>
          <w:bCs w:val="0"/>
          <w:color w:val="auto"/>
          <w:kern w:val="0"/>
          <w:sz w:val="24"/>
          <w:szCs w:val="24"/>
          <w:highlight w:val="none"/>
          <w:lang w:val="en-US" w:eastAsia="zh-CN"/>
        </w:rPr>
        <w:t>4.2.15</w:t>
      </w:r>
      <w:r>
        <w:rPr>
          <w:rFonts w:hint="eastAsia" w:ascii="宋体" w:hAnsi="宋体" w:eastAsia="宋体" w:cs="宋体"/>
          <w:b w:val="0"/>
          <w:bCs w:val="0"/>
          <w:color w:val="auto"/>
          <w:kern w:val="0"/>
          <w:sz w:val="24"/>
          <w:szCs w:val="24"/>
          <w:highlight w:val="none"/>
          <w:lang w:val="en-US"/>
        </w:rPr>
        <w:t>投标文件不满足招标文件的其它实质性要求的；</w:t>
      </w:r>
    </w:p>
    <w:p w14:paraId="32531FF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3D967350">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F5FCFF0">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2B3FD922">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1B72DA74">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7E52F519">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3A04B9FF">
      <w:pPr>
        <w:pStyle w:val="25"/>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182A3C26">
      <w:pPr>
        <w:pStyle w:val="25"/>
        <w:snapToGrid w:val="0"/>
        <w:spacing w:line="360" w:lineRule="auto"/>
        <w:ind w:left="0" w:leftChars="0" w:firstLine="482" w:firstLineChars="200"/>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2FF31C11">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40351DC9">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52C3014D">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5BF5488">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2D8455D3">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71BB0586">
      <w:pPr>
        <w:pStyle w:val="25"/>
        <w:snapToGrid w:val="0"/>
        <w:spacing w:line="360" w:lineRule="auto"/>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45"/>
      <w:bookmarkStart w:id="419" w:name="第五部分"/>
      <w:bookmarkStart w:id="420" w:name="_Toc86217003"/>
    </w:p>
    <w:p w14:paraId="6B9C916C">
      <w:pPr>
        <w:rPr>
          <w:rFonts w:ascii="宋体" w:hAnsi="宋体" w:cs="宋体"/>
          <w:b/>
          <w:color w:val="auto"/>
          <w:sz w:val="36"/>
          <w:szCs w:val="36"/>
          <w:highlight w:val="none"/>
        </w:rPr>
      </w:pPr>
      <w:r>
        <w:rPr>
          <w:rFonts w:ascii="宋体" w:hAnsi="宋体" w:cs="宋体"/>
          <w:b/>
          <w:color w:val="auto"/>
          <w:sz w:val="36"/>
          <w:szCs w:val="36"/>
          <w:highlight w:val="none"/>
        </w:rPr>
        <w:br w:type="page"/>
      </w:r>
    </w:p>
    <w:p w14:paraId="3AE8CAE7">
      <w:pPr>
        <w:spacing w:line="360" w:lineRule="auto"/>
        <w:jc w:val="center"/>
        <w:outlineLvl w:val="0"/>
        <w:rPr>
          <w:rFonts w:ascii="宋体" w:hAnsi="宋体" w:cs="宋体"/>
          <w:b/>
          <w:color w:val="auto"/>
          <w:sz w:val="36"/>
          <w:szCs w:val="36"/>
          <w:highlight w:val="none"/>
        </w:rPr>
      </w:pPr>
      <w:bookmarkStart w:id="421" w:name="OLE_LINK23"/>
      <w:r>
        <w:rPr>
          <w:rFonts w:hint="eastAsia" w:ascii="宋体" w:hAnsi="宋体" w:cs="宋体"/>
          <w:b/>
          <w:color w:val="auto"/>
          <w:sz w:val="36"/>
          <w:szCs w:val="36"/>
          <w:highlight w:val="none"/>
        </w:rPr>
        <w:t>第五部分 拟签订的合同文本</w:t>
      </w:r>
    </w:p>
    <w:p w14:paraId="7210627C">
      <w:pPr>
        <w:rPr>
          <w:rFonts w:ascii="宋体" w:hAnsi="宋体" w:cs="宋体"/>
          <w:sz w:val="24"/>
          <w:u w:val="single"/>
          <w:shd w:val="clear" w:color="auto" w:fill="auto"/>
        </w:rPr>
      </w:pPr>
      <w:r>
        <w:rPr>
          <w:rFonts w:hint="eastAsia" w:ascii="宋体" w:hAnsi="宋体" w:cs="宋体"/>
          <w:sz w:val="24"/>
          <w:shd w:val="clear" w:color="auto" w:fill="auto"/>
        </w:rPr>
        <w:t>合同编号：</w:t>
      </w:r>
      <w:r>
        <w:rPr>
          <w:rFonts w:hint="eastAsia" w:ascii="宋体" w:hAnsi="宋体" w:cs="宋体"/>
          <w:sz w:val="24"/>
          <w:u w:val="single"/>
          <w:shd w:val="clear" w:color="auto" w:fill="auto"/>
        </w:rPr>
        <w:t xml:space="preserve">           </w:t>
      </w:r>
    </w:p>
    <w:p w14:paraId="4E5CB6F9">
      <w:pPr>
        <w:spacing w:line="480" w:lineRule="auto"/>
        <w:jc w:val="center"/>
        <w:rPr>
          <w:rFonts w:ascii="宋体" w:hAnsi="宋体" w:cs="宋体"/>
          <w:b/>
          <w:sz w:val="28"/>
          <w:szCs w:val="28"/>
          <w:shd w:val="clear" w:color="auto" w:fill="auto"/>
        </w:rPr>
      </w:pPr>
    </w:p>
    <w:p w14:paraId="428B0D04">
      <w:pPr>
        <w:spacing w:line="480" w:lineRule="auto"/>
        <w:jc w:val="center"/>
        <w:rPr>
          <w:rFonts w:ascii="宋体" w:hAnsi="宋体" w:cs="宋体"/>
          <w:b/>
          <w:sz w:val="24"/>
          <w:shd w:val="clear" w:color="auto" w:fill="auto"/>
        </w:rPr>
      </w:pPr>
    </w:p>
    <w:p w14:paraId="768E2B85">
      <w:pPr>
        <w:spacing w:line="480" w:lineRule="auto"/>
        <w:jc w:val="center"/>
        <w:rPr>
          <w:rFonts w:ascii="宋体" w:hAnsi="宋体" w:cs="宋体"/>
          <w:b/>
          <w:sz w:val="24"/>
          <w:shd w:val="clear" w:color="auto" w:fill="auto"/>
        </w:rPr>
      </w:pPr>
    </w:p>
    <w:p w14:paraId="7384E2B8">
      <w:pPr>
        <w:spacing w:line="480" w:lineRule="auto"/>
        <w:jc w:val="center"/>
        <w:rPr>
          <w:rFonts w:ascii="宋体" w:hAnsi="宋体" w:cs="宋体"/>
          <w:b/>
          <w:sz w:val="36"/>
          <w:szCs w:val="36"/>
          <w:shd w:val="clear" w:color="auto" w:fill="auto"/>
        </w:rPr>
      </w:pPr>
      <w:r>
        <w:rPr>
          <w:rFonts w:hint="eastAsia" w:ascii="宋体" w:hAnsi="宋体" w:cs="宋体"/>
          <w:b/>
          <w:sz w:val="36"/>
          <w:szCs w:val="36"/>
          <w:shd w:val="clear" w:color="auto" w:fill="auto"/>
        </w:rPr>
        <w:t>政府采购合同参考范本</w:t>
      </w:r>
    </w:p>
    <w:p w14:paraId="219E7088">
      <w:pPr>
        <w:spacing w:line="480" w:lineRule="auto"/>
        <w:jc w:val="center"/>
        <w:rPr>
          <w:rFonts w:ascii="宋体" w:hAnsi="宋体" w:cs="宋体"/>
          <w:b/>
          <w:sz w:val="36"/>
          <w:szCs w:val="36"/>
          <w:shd w:val="clear" w:color="auto" w:fill="auto"/>
        </w:rPr>
      </w:pPr>
      <w:r>
        <w:rPr>
          <w:rFonts w:hint="eastAsia" w:ascii="宋体" w:hAnsi="宋体" w:cs="宋体"/>
          <w:b/>
          <w:sz w:val="36"/>
          <w:szCs w:val="36"/>
          <w:shd w:val="clear" w:color="auto" w:fill="auto"/>
        </w:rPr>
        <w:t>（货物类）</w:t>
      </w:r>
    </w:p>
    <w:p w14:paraId="46FE0EAD">
      <w:pPr>
        <w:pStyle w:val="702"/>
        <w:rPr>
          <w:rFonts w:ascii="宋体" w:hAnsi="宋体" w:cs="宋体"/>
          <w:szCs w:val="24"/>
          <w:shd w:val="clear" w:color="auto" w:fill="auto"/>
        </w:rPr>
      </w:pPr>
    </w:p>
    <w:p w14:paraId="1333B786">
      <w:pPr>
        <w:pStyle w:val="702"/>
        <w:ind w:left="0" w:leftChars="0" w:firstLine="0" w:firstLineChars="0"/>
        <w:jc w:val="both"/>
        <w:rPr>
          <w:rFonts w:ascii="宋体" w:hAnsi="宋体" w:cs="宋体"/>
          <w:szCs w:val="24"/>
          <w:shd w:val="clear" w:color="auto" w:fill="auto"/>
        </w:rPr>
      </w:pPr>
    </w:p>
    <w:p w14:paraId="1D8AECF8">
      <w:pPr>
        <w:pStyle w:val="702"/>
        <w:ind w:left="0" w:leftChars="0" w:firstLine="0" w:firstLineChars="0"/>
        <w:jc w:val="center"/>
        <w:outlineLvl w:val="1"/>
        <w:rPr>
          <w:rFonts w:ascii="宋体" w:hAnsi="宋体" w:cs="宋体"/>
          <w:b/>
          <w:szCs w:val="24"/>
          <w:shd w:val="clear" w:color="auto" w:fill="auto"/>
        </w:rPr>
      </w:pPr>
      <w:r>
        <w:rPr>
          <w:rFonts w:hint="eastAsia" w:ascii="宋体" w:hAnsi="宋体" w:cs="宋体"/>
          <w:b/>
          <w:szCs w:val="24"/>
          <w:shd w:val="clear" w:color="auto" w:fill="auto"/>
        </w:rPr>
        <w:t>第一部分 合同书</w:t>
      </w:r>
    </w:p>
    <w:p w14:paraId="0B275DAF">
      <w:pPr>
        <w:pStyle w:val="702"/>
        <w:rPr>
          <w:rFonts w:ascii="宋体" w:hAnsi="宋体" w:cs="宋体"/>
          <w:szCs w:val="24"/>
          <w:shd w:val="clear" w:color="auto" w:fill="auto"/>
        </w:rPr>
      </w:pPr>
    </w:p>
    <w:p w14:paraId="19A96028">
      <w:pPr>
        <w:pStyle w:val="702"/>
        <w:rPr>
          <w:rFonts w:ascii="宋体" w:hAnsi="宋体" w:cs="宋体"/>
          <w:szCs w:val="24"/>
          <w:shd w:val="clear" w:color="auto" w:fill="auto"/>
        </w:rPr>
      </w:pPr>
    </w:p>
    <w:p w14:paraId="239C722B">
      <w:pPr>
        <w:spacing w:before="120" w:line="22" w:lineRule="atLeast"/>
        <w:rPr>
          <w:rFonts w:ascii="宋体" w:hAnsi="宋体" w:cs="宋体"/>
          <w:sz w:val="24"/>
          <w:shd w:val="clear" w:color="auto" w:fill="auto"/>
        </w:rPr>
      </w:pPr>
    </w:p>
    <w:p w14:paraId="092452CC">
      <w:pPr>
        <w:spacing w:before="120" w:line="22" w:lineRule="atLeast"/>
        <w:ind w:left="960"/>
        <w:rPr>
          <w:rFonts w:ascii="宋体" w:hAnsi="宋体" w:cs="宋体"/>
          <w:sz w:val="24"/>
          <w:shd w:val="clear" w:color="auto" w:fill="auto"/>
        </w:rPr>
      </w:pPr>
      <w:r>
        <w:rPr>
          <w:rFonts w:hint="eastAsia" w:ascii="宋体" w:hAnsi="宋体" w:cs="宋体"/>
          <w:sz w:val="24"/>
          <w:shd w:val="clear" w:color="auto" w:fill="auto"/>
        </w:rPr>
        <w:t>项目名称：</w:t>
      </w:r>
      <w:r>
        <w:rPr>
          <w:rFonts w:hint="eastAsia" w:ascii="宋体" w:hAnsi="宋体" w:cs="宋体"/>
          <w:sz w:val="24"/>
          <w:u w:val="single"/>
          <w:shd w:val="clear" w:color="auto" w:fill="auto"/>
        </w:rPr>
        <w:t xml:space="preserve">                                   </w:t>
      </w:r>
    </w:p>
    <w:p w14:paraId="4AEBE8D5">
      <w:pPr>
        <w:pStyle w:val="599"/>
        <w:spacing w:before="120" w:line="22" w:lineRule="atLeast"/>
        <w:rPr>
          <w:rFonts w:ascii="宋体" w:hAnsi="宋体" w:eastAsia="宋体" w:cs="宋体"/>
          <w:szCs w:val="24"/>
          <w:shd w:val="clear" w:color="auto" w:fill="auto"/>
        </w:rPr>
      </w:pPr>
    </w:p>
    <w:p w14:paraId="1EA265DB">
      <w:pPr>
        <w:pStyle w:val="599"/>
        <w:spacing w:before="120" w:line="22" w:lineRule="atLeast"/>
        <w:rPr>
          <w:rFonts w:ascii="宋体" w:hAnsi="宋体" w:eastAsia="宋体" w:cs="宋体"/>
          <w:szCs w:val="24"/>
          <w:shd w:val="clear" w:color="auto" w:fill="auto"/>
        </w:rPr>
      </w:pPr>
    </w:p>
    <w:p w14:paraId="6C8AA757">
      <w:pPr>
        <w:rPr>
          <w:rFonts w:ascii="宋体" w:hAnsi="宋体" w:cs="宋体"/>
          <w:sz w:val="24"/>
          <w:shd w:val="clear" w:color="auto" w:fill="auto"/>
        </w:rPr>
      </w:pPr>
    </w:p>
    <w:p w14:paraId="219BA2D6">
      <w:pPr>
        <w:spacing w:before="120" w:line="22" w:lineRule="atLeast"/>
        <w:ind w:left="960"/>
        <w:rPr>
          <w:rFonts w:ascii="宋体" w:hAnsi="宋体" w:cs="宋体"/>
          <w:sz w:val="24"/>
          <w:u w:val="single"/>
          <w:shd w:val="clear" w:color="auto" w:fill="auto"/>
        </w:rPr>
      </w:pPr>
      <w:r>
        <w:rPr>
          <w:rFonts w:hint="eastAsia" w:ascii="宋体" w:hAnsi="宋体" w:cs="宋体"/>
          <w:sz w:val="24"/>
          <w:shd w:val="clear" w:color="auto" w:fill="auto"/>
        </w:rPr>
        <w:t>甲方：</w:t>
      </w:r>
      <w:r>
        <w:rPr>
          <w:rFonts w:hint="eastAsia" w:ascii="宋体" w:hAnsi="宋体" w:cs="宋体"/>
          <w:sz w:val="24"/>
          <w:u w:val="single"/>
          <w:shd w:val="clear" w:color="auto" w:fill="auto"/>
        </w:rPr>
        <w:t xml:space="preserve">                                       </w:t>
      </w:r>
    </w:p>
    <w:p w14:paraId="6C3B51D2">
      <w:pPr>
        <w:spacing w:before="120" w:line="22" w:lineRule="atLeast"/>
        <w:rPr>
          <w:rFonts w:ascii="宋体" w:hAnsi="宋体" w:cs="宋体"/>
          <w:sz w:val="24"/>
          <w:shd w:val="clear" w:color="auto" w:fill="auto"/>
        </w:rPr>
      </w:pPr>
    </w:p>
    <w:p w14:paraId="731A10E2">
      <w:pPr>
        <w:spacing w:before="120" w:line="22" w:lineRule="atLeast"/>
        <w:ind w:left="960"/>
        <w:rPr>
          <w:rFonts w:ascii="宋体" w:hAnsi="宋体" w:cs="宋体"/>
          <w:sz w:val="24"/>
          <w:u w:val="single"/>
          <w:shd w:val="clear" w:color="auto" w:fill="auto"/>
        </w:rPr>
      </w:pPr>
      <w:r>
        <w:rPr>
          <w:rFonts w:hint="eastAsia" w:ascii="宋体" w:hAnsi="宋体" w:cs="宋体"/>
          <w:sz w:val="24"/>
          <w:shd w:val="clear" w:color="auto" w:fill="auto"/>
        </w:rPr>
        <w:t>乙方：</w:t>
      </w:r>
      <w:r>
        <w:rPr>
          <w:rFonts w:hint="eastAsia" w:ascii="宋体" w:hAnsi="宋体" w:cs="宋体"/>
          <w:sz w:val="24"/>
          <w:u w:val="single"/>
          <w:shd w:val="clear" w:color="auto" w:fill="auto"/>
        </w:rPr>
        <w:t xml:space="preserve">                                       </w:t>
      </w:r>
    </w:p>
    <w:p w14:paraId="6773248E">
      <w:pPr>
        <w:spacing w:before="120" w:line="22" w:lineRule="atLeast"/>
        <w:rPr>
          <w:rFonts w:ascii="宋体" w:hAnsi="宋体" w:cs="宋体"/>
          <w:sz w:val="24"/>
          <w:shd w:val="clear" w:color="auto" w:fill="auto"/>
        </w:rPr>
      </w:pPr>
    </w:p>
    <w:p w14:paraId="7A4EA23A">
      <w:pPr>
        <w:spacing w:before="120" w:line="22" w:lineRule="atLeast"/>
        <w:ind w:firstLine="960" w:firstLineChars="400"/>
        <w:rPr>
          <w:rFonts w:ascii="宋体" w:hAnsi="宋体" w:cs="宋体"/>
          <w:sz w:val="24"/>
          <w:u w:val="single"/>
          <w:shd w:val="clear" w:color="auto" w:fill="auto"/>
        </w:rPr>
      </w:pPr>
      <w:r>
        <w:rPr>
          <w:rFonts w:hint="eastAsia" w:ascii="宋体" w:hAnsi="宋体" w:cs="宋体"/>
          <w:sz w:val="24"/>
          <w:shd w:val="clear" w:color="auto" w:fill="auto"/>
        </w:rPr>
        <w:t>签订地：</w:t>
      </w:r>
      <w:r>
        <w:rPr>
          <w:rFonts w:hint="eastAsia" w:ascii="宋体" w:hAnsi="宋体" w:cs="宋体"/>
          <w:sz w:val="24"/>
          <w:u w:val="single"/>
          <w:shd w:val="clear" w:color="auto" w:fill="auto"/>
        </w:rPr>
        <w:t xml:space="preserve">                                     </w:t>
      </w:r>
    </w:p>
    <w:p w14:paraId="7AB4AB3E">
      <w:pPr>
        <w:spacing w:before="120" w:line="22" w:lineRule="atLeast"/>
        <w:rPr>
          <w:rFonts w:ascii="宋体" w:hAnsi="宋体" w:cs="宋体"/>
          <w:sz w:val="24"/>
          <w:shd w:val="clear" w:color="auto" w:fill="auto"/>
        </w:rPr>
      </w:pPr>
    </w:p>
    <w:p w14:paraId="058E1F13">
      <w:pPr>
        <w:spacing w:before="120" w:line="22" w:lineRule="atLeast"/>
        <w:ind w:firstLine="960" w:firstLineChars="400"/>
        <w:rPr>
          <w:rFonts w:ascii="宋体" w:hAnsi="宋体" w:cs="宋体"/>
          <w:sz w:val="24"/>
          <w:u w:val="single"/>
          <w:shd w:val="clear" w:color="auto" w:fill="auto"/>
        </w:rPr>
      </w:pPr>
      <w:r>
        <w:rPr>
          <w:rFonts w:hint="eastAsia" w:ascii="宋体" w:hAnsi="宋体" w:cs="宋体"/>
          <w:sz w:val="24"/>
          <w:shd w:val="clear" w:color="auto" w:fill="auto"/>
        </w:rPr>
        <w:t>签订日期：</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年</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月</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日</w:t>
      </w:r>
    </w:p>
    <w:p w14:paraId="63B1A5DA">
      <w:pPr>
        <w:widowControl/>
        <w:jc w:val="left"/>
        <w:rPr>
          <w:rFonts w:ascii="宋体" w:hAnsi="宋体" w:cs="宋体"/>
          <w:kern w:val="0"/>
          <w:sz w:val="24"/>
          <w:shd w:val="clear" w:color="auto" w:fill="auto"/>
        </w:rPr>
        <w:sectPr>
          <w:headerReference r:id="rId8" w:type="default"/>
          <w:footerReference r:id="rId9" w:type="default"/>
          <w:pgSz w:w="11907" w:h="16840"/>
          <w:pgMar w:top="680" w:right="1417" w:bottom="471" w:left="1417" w:header="851" w:footer="851" w:gutter="0"/>
          <w:pgBorders>
            <w:top w:val="none" w:sz="0" w:space="0"/>
            <w:left w:val="none" w:sz="0" w:space="0"/>
            <w:bottom w:val="none" w:sz="0" w:space="0"/>
            <w:right w:val="none" w:sz="0" w:space="0"/>
          </w:pgBorders>
          <w:pgNumType w:fmt="decimal"/>
          <w:cols w:space="720" w:num="1"/>
        </w:sectPr>
      </w:pPr>
    </w:p>
    <w:p w14:paraId="0B5B590A">
      <w:pPr>
        <w:spacing w:line="560" w:lineRule="exact"/>
        <w:ind w:firstLine="480" w:firstLineChars="200"/>
        <w:rPr>
          <w:rFonts w:ascii="宋体" w:hAnsi="宋体" w:cs="宋体"/>
          <w:sz w:val="24"/>
          <w:shd w:val="clear" w:color="auto" w:fill="auto"/>
        </w:rPr>
      </w:pPr>
      <w:r>
        <w:rPr>
          <w:rFonts w:hint="eastAsia" w:ascii="宋体" w:hAnsi="宋体" w:cs="宋体"/>
          <w:sz w:val="24"/>
          <w:u w:val="single"/>
          <w:shd w:val="clear" w:color="auto" w:fill="auto"/>
          <w:lang w:val="zh-CN"/>
        </w:rPr>
        <w:t xml:space="preserve">        </w:t>
      </w:r>
      <w:r>
        <w:rPr>
          <w:rFonts w:hint="eastAsia" w:ascii="宋体" w:hAnsi="宋体" w:cs="宋体"/>
          <w:sz w:val="24"/>
          <w:shd w:val="clear" w:color="auto" w:fill="auto"/>
          <w:lang w:val="zh-CN"/>
        </w:rPr>
        <w:t>年</w:t>
      </w:r>
      <w:r>
        <w:rPr>
          <w:rFonts w:hint="eastAsia" w:ascii="宋体" w:hAnsi="宋体" w:cs="宋体"/>
          <w:sz w:val="24"/>
          <w:u w:val="single"/>
          <w:shd w:val="clear" w:color="auto" w:fill="auto"/>
          <w:lang w:val="zh-CN"/>
        </w:rPr>
        <w:t xml:space="preserve">    </w:t>
      </w:r>
      <w:r>
        <w:rPr>
          <w:rFonts w:hint="eastAsia" w:ascii="宋体" w:hAnsi="宋体" w:cs="宋体"/>
          <w:sz w:val="24"/>
          <w:shd w:val="clear" w:color="auto" w:fill="auto"/>
          <w:lang w:val="zh-CN"/>
        </w:rPr>
        <w:t>月</w:t>
      </w:r>
      <w:r>
        <w:rPr>
          <w:rFonts w:hint="eastAsia" w:ascii="宋体" w:hAnsi="宋体" w:cs="宋体"/>
          <w:sz w:val="24"/>
          <w:u w:val="single"/>
          <w:shd w:val="clear" w:color="auto" w:fill="auto"/>
          <w:lang w:val="zh-CN"/>
        </w:rPr>
        <w:t xml:space="preserve">  </w:t>
      </w:r>
      <w:r>
        <w:rPr>
          <w:rFonts w:hint="eastAsia" w:ascii="宋体" w:hAnsi="宋体" w:cs="宋体"/>
          <w:color w:val="auto"/>
          <w:sz w:val="24"/>
          <w:u w:val="single"/>
          <w:shd w:val="clear" w:color="auto" w:fill="auto"/>
          <w:lang w:val="zh-CN"/>
        </w:rPr>
        <w:t xml:space="preserve">  </w:t>
      </w:r>
      <w:r>
        <w:rPr>
          <w:rFonts w:hint="eastAsia" w:ascii="宋体" w:hAnsi="宋体" w:cs="宋体"/>
          <w:color w:val="auto"/>
          <w:sz w:val="24"/>
          <w:shd w:val="clear" w:color="auto" w:fill="auto"/>
          <w:lang w:val="zh-CN"/>
        </w:rPr>
        <w:t>日</w:t>
      </w:r>
      <w:r>
        <w:rPr>
          <w:rFonts w:hint="eastAsia" w:ascii="宋体" w:hAnsi="宋体" w:cs="宋体"/>
          <w:color w:val="auto"/>
          <w:sz w:val="24"/>
          <w:shd w:val="clear" w:color="auto" w:fill="auto"/>
        </w:rPr>
        <w:t>，</w:t>
      </w:r>
      <w:r>
        <w:rPr>
          <w:rFonts w:hint="eastAsia" w:ascii="宋体" w:hAnsi="宋体" w:cs="宋体"/>
          <w:color w:val="auto"/>
          <w:sz w:val="24"/>
          <w:u w:val="single"/>
          <w:shd w:val="clear" w:color="auto" w:fill="auto"/>
        </w:rPr>
        <w:t xml:space="preserve">   （采购人）   </w:t>
      </w:r>
      <w:r>
        <w:rPr>
          <w:rFonts w:hint="eastAsia" w:ascii="宋体" w:hAnsi="宋体" w:cs="宋体"/>
          <w:color w:val="auto"/>
          <w:sz w:val="24"/>
          <w:shd w:val="clear" w:color="auto" w:fill="auto"/>
        </w:rPr>
        <w:t>以</w:t>
      </w:r>
      <w:r>
        <w:rPr>
          <w:rFonts w:hint="eastAsia" w:ascii="宋体" w:hAnsi="宋体" w:cs="宋体"/>
          <w:color w:val="auto"/>
          <w:sz w:val="24"/>
          <w:u w:val="single"/>
          <w:shd w:val="clear" w:color="auto" w:fill="auto"/>
        </w:rPr>
        <w:t xml:space="preserve">   （政府采购方式）  </w:t>
      </w:r>
      <w:r>
        <w:rPr>
          <w:rFonts w:hint="eastAsia" w:ascii="宋体" w:hAnsi="宋体" w:cs="宋体"/>
          <w:color w:val="auto"/>
          <w:sz w:val="24"/>
          <w:shd w:val="clear" w:color="auto" w:fill="auto"/>
        </w:rPr>
        <w:t>对</w:t>
      </w:r>
      <w:r>
        <w:rPr>
          <w:rFonts w:hint="eastAsia" w:ascii="宋体" w:hAnsi="宋体" w:cs="宋体"/>
          <w:color w:val="auto"/>
          <w:sz w:val="24"/>
          <w:u w:val="single"/>
          <w:shd w:val="clear" w:color="auto" w:fill="auto"/>
        </w:rPr>
        <w:t xml:space="preserve">   （项目名称、编号）   </w:t>
      </w:r>
      <w:r>
        <w:rPr>
          <w:rFonts w:hint="eastAsia" w:ascii="宋体" w:hAnsi="宋体" w:cs="宋体"/>
          <w:color w:val="auto"/>
          <w:sz w:val="24"/>
          <w:shd w:val="clear" w:color="auto" w:fill="auto"/>
        </w:rPr>
        <w:t>项目进行了采购。经</w:t>
      </w:r>
      <w:r>
        <w:rPr>
          <w:rFonts w:hint="eastAsia" w:ascii="宋体" w:hAnsi="宋体" w:cs="宋体"/>
          <w:color w:val="auto"/>
          <w:sz w:val="24"/>
          <w:u w:val="single"/>
          <w:shd w:val="clear" w:color="auto" w:fill="auto"/>
        </w:rPr>
        <w:t xml:space="preserve">   （相关评定主体名称）   </w:t>
      </w:r>
      <w:r>
        <w:rPr>
          <w:rFonts w:hint="eastAsia" w:ascii="宋体" w:hAnsi="宋体" w:cs="宋体"/>
          <w:color w:val="auto"/>
          <w:sz w:val="24"/>
          <w:shd w:val="clear" w:color="auto" w:fill="auto"/>
        </w:rPr>
        <w:t>评定，</w:t>
      </w:r>
      <w:r>
        <w:rPr>
          <w:rFonts w:hint="eastAsia" w:ascii="宋体" w:hAnsi="宋体" w:cs="宋体"/>
          <w:color w:val="auto"/>
          <w:sz w:val="24"/>
          <w:u w:val="single"/>
          <w:shd w:val="clear" w:color="auto" w:fill="auto"/>
        </w:rPr>
        <w:t xml:space="preserve">   （中标或者成交供应商名称）</w:t>
      </w:r>
      <w:r>
        <w:rPr>
          <w:rFonts w:hint="eastAsia" w:ascii="宋体" w:hAnsi="宋体" w:cs="宋体"/>
          <w:color w:val="auto"/>
          <w:sz w:val="24"/>
          <w:shd w:val="clear" w:color="auto" w:fill="auto"/>
        </w:rPr>
        <w:t>为该项目</w:t>
      </w:r>
      <w:r>
        <w:rPr>
          <w:rFonts w:hint="eastAsia" w:ascii="宋体" w:hAnsi="宋体" w:cs="宋体"/>
          <w:sz w:val="24"/>
          <w:shd w:val="clear" w:color="auto" w:fill="auto"/>
        </w:rPr>
        <w:t>中标或者成交供应商。现于中标或者成交通知书发出之日起10个工作日内，按照采购文件等确定的事项签订本合同。</w:t>
      </w:r>
    </w:p>
    <w:p w14:paraId="0F6868EF">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lang w:val="zh-CN"/>
        </w:rPr>
        <w:t>根据《中华人民共和国民法典》《中华人民共和国政府采购法》等相关法律法规之规定，按照平等、自愿、公平、诚实信用和绿色的原则，经</w:t>
      </w:r>
      <w:r>
        <w:rPr>
          <w:rFonts w:hint="eastAsia" w:ascii="宋体" w:hAnsi="宋体" w:cs="宋体"/>
          <w:sz w:val="24"/>
          <w:u w:val="single"/>
          <w:shd w:val="clear" w:color="auto" w:fill="auto"/>
        </w:rPr>
        <w:t xml:space="preserve">   （采购人）   </w:t>
      </w:r>
      <w:r>
        <w:rPr>
          <w:rFonts w:hint="eastAsia" w:ascii="宋体" w:hAnsi="宋体" w:cs="宋体"/>
          <w:sz w:val="24"/>
          <w:shd w:val="clear" w:color="auto" w:fill="auto"/>
          <w:lang w:val="zh-CN"/>
        </w:rPr>
        <w:t>(以下简称：甲方)和</w:t>
      </w:r>
      <w:r>
        <w:rPr>
          <w:rFonts w:hint="eastAsia" w:ascii="宋体" w:hAnsi="宋体" w:cs="宋体"/>
          <w:sz w:val="24"/>
          <w:u w:val="single"/>
          <w:shd w:val="clear" w:color="auto" w:fill="auto"/>
        </w:rPr>
        <w:t xml:space="preserve">   （中标或者成交供应商名称）   </w:t>
      </w:r>
      <w:r>
        <w:rPr>
          <w:rFonts w:hint="eastAsia" w:ascii="宋体" w:hAnsi="宋体" w:cs="宋体"/>
          <w:sz w:val="24"/>
          <w:shd w:val="clear" w:color="auto" w:fill="auto"/>
          <w:lang w:val="zh-CN"/>
        </w:rPr>
        <w:t>(以下简称：乙方)协商一致，约定以下合同</w:t>
      </w:r>
      <w:r>
        <w:rPr>
          <w:rFonts w:hint="eastAsia" w:ascii="宋体" w:hAnsi="宋体" w:cs="宋体"/>
          <w:sz w:val="24"/>
          <w:shd w:val="clear" w:color="auto" w:fill="auto"/>
        </w:rPr>
        <w:t>条款，以兹共同遵守、全面履行。</w:t>
      </w:r>
    </w:p>
    <w:p w14:paraId="0F525CF8">
      <w:pPr>
        <w:spacing w:line="560" w:lineRule="exact"/>
        <w:ind w:firstLine="482" w:firstLineChars="200"/>
        <w:outlineLvl w:val="2"/>
        <w:rPr>
          <w:rFonts w:ascii="宋体" w:hAnsi="宋体" w:cs="宋体"/>
          <w:b/>
          <w:sz w:val="24"/>
          <w:shd w:val="clear" w:color="auto" w:fill="auto"/>
        </w:rPr>
      </w:pPr>
      <w:bookmarkStart w:id="422" w:name="_Toc2232"/>
      <w:bookmarkStart w:id="423" w:name="_Toc24059"/>
      <w:bookmarkStart w:id="424" w:name="_Toc3029"/>
      <w:r>
        <w:rPr>
          <w:rFonts w:hint="eastAsia" w:ascii="宋体" w:hAnsi="宋体" w:cs="宋体"/>
          <w:b/>
          <w:sz w:val="24"/>
          <w:shd w:val="clear" w:color="auto" w:fill="auto"/>
        </w:rPr>
        <w:t>1.1合同组成部分</w:t>
      </w:r>
      <w:bookmarkEnd w:id="422"/>
      <w:bookmarkEnd w:id="423"/>
      <w:bookmarkEnd w:id="424"/>
    </w:p>
    <w:p w14:paraId="3C09B624">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5672272">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1.1.1本合同及其补充合同、变更协议；</w:t>
      </w:r>
    </w:p>
    <w:p w14:paraId="0FD6B23E">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1.1.2中标或者成交通知书；</w:t>
      </w:r>
    </w:p>
    <w:p w14:paraId="1C19DCC7">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1.1.3投标或者响应文件（含澄清或者说明文件）；</w:t>
      </w:r>
    </w:p>
    <w:p w14:paraId="3769E527">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1.1.4采购文件（含澄清或者修改文件）；</w:t>
      </w:r>
    </w:p>
    <w:p w14:paraId="447E88E2">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1.1.5其他相关采购文件。</w:t>
      </w:r>
    </w:p>
    <w:p w14:paraId="0C565AE5">
      <w:pPr>
        <w:spacing w:line="560" w:lineRule="exact"/>
        <w:ind w:firstLine="482" w:firstLineChars="200"/>
        <w:outlineLvl w:val="2"/>
        <w:rPr>
          <w:rFonts w:hint="eastAsia" w:ascii="宋体" w:hAnsi="宋体" w:cs="宋体"/>
          <w:b/>
          <w:sz w:val="24"/>
          <w:shd w:val="clear" w:color="auto" w:fill="auto"/>
        </w:rPr>
      </w:pPr>
      <w:bookmarkStart w:id="425" w:name="_Toc21295"/>
      <w:bookmarkStart w:id="426" w:name="_Toc27126"/>
      <w:bookmarkStart w:id="427" w:name="_Toc24300"/>
      <w:r>
        <w:rPr>
          <w:rFonts w:hint="eastAsia" w:ascii="宋体" w:hAnsi="宋体" w:cs="宋体"/>
          <w:b/>
          <w:sz w:val="24"/>
          <w:shd w:val="clear" w:color="auto" w:fill="auto"/>
        </w:rPr>
        <w:t>1.2货物</w:t>
      </w:r>
      <w:bookmarkEnd w:id="425"/>
      <w:bookmarkEnd w:id="426"/>
      <w:bookmarkEnd w:id="427"/>
    </w:p>
    <w:p w14:paraId="291D3057">
      <w:pPr>
        <w:spacing w:line="560" w:lineRule="exact"/>
        <w:ind w:firstLine="480" w:firstLineChars="200"/>
        <w:rPr>
          <w:rFonts w:ascii="宋体" w:hAnsi="宋体" w:cs="宋体"/>
          <w:sz w:val="24"/>
          <w:u w:val="single"/>
          <w:shd w:val="clear" w:color="auto" w:fill="auto"/>
        </w:rPr>
      </w:pPr>
      <w:r>
        <w:rPr>
          <w:rFonts w:hint="eastAsia" w:ascii="宋体" w:hAnsi="宋体" w:cs="宋体"/>
          <w:sz w:val="24"/>
          <w:shd w:val="clear" w:color="auto" w:fill="auto"/>
        </w:rPr>
        <w:t>1.2.1货物名称、品牌、规格型号、花色：</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w:t>
      </w:r>
    </w:p>
    <w:p w14:paraId="385CB82F">
      <w:pPr>
        <w:spacing w:line="560" w:lineRule="exact"/>
        <w:ind w:firstLine="480" w:firstLineChars="200"/>
        <w:rPr>
          <w:rFonts w:ascii="宋体" w:hAnsi="宋体" w:cs="宋体"/>
          <w:sz w:val="24"/>
          <w:u w:val="single"/>
          <w:shd w:val="clear" w:color="auto" w:fill="auto"/>
        </w:rPr>
      </w:pPr>
      <w:r>
        <w:rPr>
          <w:rFonts w:hint="eastAsia" w:ascii="宋体" w:hAnsi="宋体" w:cs="宋体"/>
          <w:sz w:val="24"/>
          <w:shd w:val="clear" w:color="auto" w:fill="auto"/>
        </w:rPr>
        <w:t>1.2.2货物数量：</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w:t>
      </w:r>
    </w:p>
    <w:p w14:paraId="2D95D8B1">
      <w:pPr>
        <w:spacing w:line="560" w:lineRule="exact"/>
        <w:ind w:firstLine="480" w:firstLineChars="200"/>
        <w:rPr>
          <w:rFonts w:ascii="宋体" w:hAnsi="宋体" w:cs="宋体"/>
          <w:sz w:val="24"/>
          <w:u w:val="single"/>
          <w:shd w:val="clear" w:color="auto" w:fill="auto"/>
        </w:rPr>
      </w:pPr>
      <w:r>
        <w:rPr>
          <w:rFonts w:hint="eastAsia" w:ascii="宋体" w:hAnsi="宋体" w:cs="宋体"/>
          <w:sz w:val="24"/>
          <w:shd w:val="clear" w:color="auto" w:fill="auto"/>
        </w:rPr>
        <w:t>1.2.3货物质量：</w:t>
      </w:r>
      <w:r>
        <w:rPr>
          <w:rFonts w:hint="eastAsia" w:ascii="宋体" w:hAnsi="宋体" w:cs="宋体"/>
          <w:sz w:val="24"/>
          <w:u w:val="single"/>
          <w:shd w:val="clear" w:color="auto" w:fill="auto"/>
        </w:rPr>
        <w:t>　　　　　　　　　                      　      ；</w:t>
      </w:r>
    </w:p>
    <w:p w14:paraId="3C7FC6E6">
      <w:pPr>
        <w:spacing w:line="560" w:lineRule="exact"/>
        <w:ind w:firstLine="482" w:firstLineChars="200"/>
        <w:outlineLvl w:val="2"/>
        <w:rPr>
          <w:rFonts w:hint="eastAsia" w:ascii="宋体" w:hAnsi="宋体" w:cs="宋体"/>
          <w:b/>
          <w:sz w:val="24"/>
          <w:shd w:val="clear" w:color="auto" w:fill="auto"/>
        </w:rPr>
      </w:pPr>
      <w:bookmarkStart w:id="428" w:name="_Toc23292"/>
      <w:bookmarkStart w:id="429" w:name="_Toc21631"/>
      <w:bookmarkStart w:id="430" w:name="_Toc21551"/>
      <w:r>
        <w:rPr>
          <w:rFonts w:hint="eastAsia" w:ascii="宋体" w:hAnsi="宋体" w:cs="宋体"/>
          <w:b/>
          <w:sz w:val="24"/>
          <w:shd w:val="clear" w:color="auto" w:fill="auto"/>
        </w:rPr>
        <w:t>1.3价款</w:t>
      </w:r>
      <w:bookmarkEnd w:id="428"/>
      <w:bookmarkEnd w:id="429"/>
      <w:bookmarkEnd w:id="430"/>
    </w:p>
    <w:p w14:paraId="5B5C42FB">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本合同总价（含税）为：￥</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元（大写：</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元人民币）。</w:t>
      </w:r>
    </w:p>
    <w:p w14:paraId="390DE6E7">
      <w:pPr>
        <w:spacing w:line="560" w:lineRule="exact"/>
        <w:ind w:firstLine="480" w:firstLineChars="200"/>
        <w:rPr>
          <w:rFonts w:ascii="宋体" w:hAnsi="宋体" w:cs="宋体"/>
          <w:sz w:val="24"/>
          <w:u w:val="single"/>
          <w:shd w:val="clear" w:color="auto" w:fill="auto"/>
        </w:rPr>
      </w:pPr>
      <w:r>
        <w:rPr>
          <w:rFonts w:hint="eastAsia" w:ascii="宋体" w:hAnsi="宋体" w:cs="宋体"/>
          <w:sz w:val="24"/>
          <w:shd w:val="clear" w:color="auto" w:fill="auto"/>
        </w:rPr>
        <w:t>分项价格：</w:t>
      </w:r>
    </w:p>
    <w:tbl>
      <w:tblPr>
        <w:tblStyle w:val="6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4415"/>
        <w:gridCol w:w="3311"/>
      </w:tblGrid>
      <w:tr w14:paraId="2482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2F979F3D">
            <w:pPr>
              <w:pStyle w:val="320"/>
              <w:spacing w:line="240" w:lineRule="auto"/>
              <w:jc w:val="center"/>
              <w:rPr>
                <w:rFonts w:hAnsi="宋体" w:cs="宋体"/>
                <w:sz w:val="24"/>
                <w:szCs w:val="24"/>
                <w:shd w:val="clear" w:color="auto" w:fill="auto"/>
              </w:rPr>
            </w:pPr>
            <w:r>
              <w:rPr>
                <w:rFonts w:hint="eastAsia" w:hAnsi="宋体" w:cs="宋体"/>
                <w:sz w:val="24"/>
                <w:szCs w:val="24"/>
                <w:shd w:val="clear" w:color="auto" w:fill="auto"/>
              </w:rPr>
              <w:t>序号</w:t>
            </w:r>
          </w:p>
        </w:tc>
        <w:tc>
          <w:tcPr>
            <w:tcW w:w="2378" w:type="pct"/>
            <w:tcBorders>
              <w:top w:val="single" w:color="auto" w:sz="4" w:space="0"/>
              <w:left w:val="single" w:color="auto" w:sz="4" w:space="0"/>
              <w:bottom w:val="single" w:color="auto" w:sz="4" w:space="0"/>
              <w:right w:val="single" w:color="auto" w:sz="4" w:space="0"/>
            </w:tcBorders>
            <w:vAlign w:val="center"/>
          </w:tcPr>
          <w:p w14:paraId="0FF4CEB1">
            <w:pPr>
              <w:pStyle w:val="320"/>
              <w:spacing w:line="240" w:lineRule="auto"/>
              <w:ind w:firstLine="200"/>
              <w:jc w:val="center"/>
              <w:rPr>
                <w:rFonts w:hAnsi="宋体" w:cs="宋体"/>
                <w:sz w:val="24"/>
                <w:szCs w:val="24"/>
                <w:shd w:val="clear" w:color="auto" w:fill="auto"/>
              </w:rPr>
            </w:pPr>
            <w:r>
              <w:rPr>
                <w:rFonts w:hint="eastAsia" w:hAnsi="宋体" w:cs="宋体"/>
                <w:sz w:val="24"/>
                <w:szCs w:val="24"/>
                <w:shd w:val="clear" w:color="auto" w:fill="auto"/>
              </w:rPr>
              <w:t>分项名称</w:t>
            </w:r>
          </w:p>
        </w:tc>
        <w:tc>
          <w:tcPr>
            <w:tcW w:w="1783" w:type="pct"/>
            <w:tcBorders>
              <w:top w:val="single" w:color="auto" w:sz="4" w:space="0"/>
              <w:left w:val="single" w:color="auto" w:sz="4" w:space="0"/>
              <w:bottom w:val="single" w:color="auto" w:sz="4" w:space="0"/>
              <w:right w:val="single" w:color="auto" w:sz="4" w:space="0"/>
            </w:tcBorders>
            <w:vAlign w:val="center"/>
          </w:tcPr>
          <w:p w14:paraId="7648FCDE">
            <w:pPr>
              <w:pStyle w:val="320"/>
              <w:spacing w:line="240" w:lineRule="auto"/>
              <w:jc w:val="center"/>
              <w:rPr>
                <w:rFonts w:hAnsi="宋体" w:cs="宋体"/>
                <w:sz w:val="24"/>
                <w:szCs w:val="24"/>
                <w:shd w:val="clear" w:color="auto" w:fill="auto"/>
              </w:rPr>
            </w:pPr>
            <w:r>
              <w:rPr>
                <w:rFonts w:hint="eastAsia" w:hAnsi="宋体" w:cs="宋体"/>
                <w:sz w:val="24"/>
                <w:szCs w:val="24"/>
                <w:shd w:val="clear" w:color="auto" w:fill="auto"/>
              </w:rPr>
              <w:t>分项价格</w:t>
            </w:r>
          </w:p>
        </w:tc>
      </w:tr>
      <w:tr w14:paraId="6AEB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4BCFB5BC">
            <w:pPr>
              <w:pStyle w:val="320"/>
              <w:spacing w:line="240" w:lineRule="auto"/>
              <w:ind w:firstLine="200"/>
              <w:jc w:val="center"/>
              <w:rPr>
                <w:rFonts w:hAnsi="宋体" w:cs="宋体"/>
                <w:sz w:val="24"/>
                <w:szCs w:val="24"/>
                <w:shd w:val="clear" w:color="auto" w:fill="auto"/>
              </w:rPr>
            </w:pPr>
          </w:p>
        </w:tc>
        <w:tc>
          <w:tcPr>
            <w:tcW w:w="2378" w:type="pct"/>
            <w:tcBorders>
              <w:top w:val="single" w:color="auto" w:sz="4" w:space="0"/>
              <w:left w:val="single" w:color="auto" w:sz="4" w:space="0"/>
              <w:bottom w:val="single" w:color="auto" w:sz="4" w:space="0"/>
              <w:right w:val="single" w:color="auto" w:sz="4" w:space="0"/>
            </w:tcBorders>
            <w:vAlign w:val="center"/>
          </w:tcPr>
          <w:p w14:paraId="203CE000">
            <w:pPr>
              <w:pStyle w:val="320"/>
              <w:spacing w:line="240" w:lineRule="auto"/>
              <w:ind w:firstLine="200"/>
              <w:jc w:val="center"/>
              <w:rPr>
                <w:rFonts w:hAnsi="宋体" w:cs="宋体"/>
                <w:sz w:val="24"/>
                <w:szCs w:val="24"/>
                <w:shd w:val="clear" w:color="auto" w:fill="auto"/>
              </w:rPr>
            </w:pPr>
          </w:p>
        </w:tc>
        <w:tc>
          <w:tcPr>
            <w:tcW w:w="1783" w:type="pct"/>
            <w:tcBorders>
              <w:top w:val="single" w:color="auto" w:sz="4" w:space="0"/>
              <w:left w:val="single" w:color="auto" w:sz="4" w:space="0"/>
              <w:bottom w:val="single" w:color="auto" w:sz="4" w:space="0"/>
              <w:right w:val="single" w:color="auto" w:sz="4" w:space="0"/>
            </w:tcBorders>
            <w:vAlign w:val="center"/>
          </w:tcPr>
          <w:p w14:paraId="1D57BB3E">
            <w:pPr>
              <w:pStyle w:val="320"/>
              <w:spacing w:line="240" w:lineRule="auto"/>
              <w:ind w:firstLine="200"/>
              <w:jc w:val="center"/>
              <w:rPr>
                <w:rFonts w:hAnsi="宋体" w:cs="宋体"/>
                <w:sz w:val="24"/>
                <w:szCs w:val="24"/>
                <w:shd w:val="clear" w:color="auto" w:fill="auto"/>
              </w:rPr>
            </w:pPr>
          </w:p>
        </w:tc>
      </w:tr>
      <w:tr w14:paraId="0ECD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115E5CBD">
            <w:pPr>
              <w:pStyle w:val="320"/>
              <w:spacing w:line="240" w:lineRule="auto"/>
              <w:ind w:firstLine="200"/>
              <w:jc w:val="center"/>
              <w:rPr>
                <w:rFonts w:hAnsi="宋体" w:cs="宋体"/>
                <w:sz w:val="24"/>
                <w:szCs w:val="24"/>
                <w:shd w:val="clear" w:color="auto" w:fill="auto"/>
              </w:rPr>
            </w:pPr>
          </w:p>
        </w:tc>
        <w:tc>
          <w:tcPr>
            <w:tcW w:w="2378" w:type="pct"/>
            <w:tcBorders>
              <w:top w:val="single" w:color="auto" w:sz="4" w:space="0"/>
              <w:left w:val="single" w:color="auto" w:sz="4" w:space="0"/>
              <w:bottom w:val="single" w:color="auto" w:sz="4" w:space="0"/>
              <w:right w:val="single" w:color="auto" w:sz="4" w:space="0"/>
            </w:tcBorders>
            <w:vAlign w:val="center"/>
          </w:tcPr>
          <w:p w14:paraId="778798C6">
            <w:pPr>
              <w:pStyle w:val="320"/>
              <w:spacing w:line="240" w:lineRule="auto"/>
              <w:ind w:firstLine="200"/>
              <w:jc w:val="center"/>
              <w:rPr>
                <w:rFonts w:hAnsi="宋体" w:cs="宋体"/>
                <w:sz w:val="24"/>
                <w:szCs w:val="24"/>
                <w:shd w:val="clear" w:color="auto" w:fill="auto"/>
              </w:rPr>
            </w:pPr>
          </w:p>
        </w:tc>
        <w:tc>
          <w:tcPr>
            <w:tcW w:w="1783" w:type="pct"/>
            <w:tcBorders>
              <w:top w:val="single" w:color="auto" w:sz="4" w:space="0"/>
              <w:left w:val="single" w:color="auto" w:sz="4" w:space="0"/>
              <w:bottom w:val="single" w:color="auto" w:sz="4" w:space="0"/>
              <w:right w:val="single" w:color="auto" w:sz="4" w:space="0"/>
            </w:tcBorders>
            <w:vAlign w:val="center"/>
          </w:tcPr>
          <w:p w14:paraId="6DA7F49D">
            <w:pPr>
              <w:pStyle w:val="320"/>
              <w:spacing w:line="240" w:lineRule="auto"/>
              <w:ind w:firstLine="200"/>
              <w:jc w:val="center"/>
              <w:rPr>
                <w:rFonts w:hAnsi="宋体" w:cs="宋体"/>
                <w:sz w:val="24"/>
                <w:szCs w:val="24"/>
                <w:shd w:val="clear" w:color="auto" w:fill="auto"/>
              </w:rPr>
            </w:pPr>
          </w:p>
        </w:tc>
      </w:tr>
      <w:tr w14:paraId="37DE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1C823518">
            <w:pPr>
              <w:pStyle w:val="320"/>
              <w:spacing w:line="240" w:lineRule="auto"/>
              <w:ind w:firstLine="200"/>
              <w:jc w:val="center"/>
              <w:rPr>
                <w:rFonts w:hAnsi="宋体" w:cs="宋体"/>
                <w:sz w:val="24"/>
                <w:szCs w:val="24"/>
                <w:shd w:val="clear" w:color="auto" w:fill="auto"/>
              </w:rPr>
            </w:pPr>
          </w:p>
        </w:tc>
        <w:tc>
          <w:tcPr>
            <w:tcW w:w="2378" w:type="pct"/>
            <w:tcBorders>
              <w:top w:val="single" w:color="auto" w:sz="4" w:space="0"/>
              <w:left w:val="single" w:color="auto" w:sz="4" w:space="0"/>
              <w:bottom w:val="single" w:color="auto" w:sz="4" w:space="0"/>
              <w:right w:val="single" w:color="auto" w:sz="4" w:space="0"/>
            </w:tcBorders>
            <w:vAlign w:val="center"/>
          </w:tcPr>
          <w:p w14:paraId="0EE4BF7A">
            <w:pPr>
              <w:pStyle w:val="320"/>
              <w:spacing w:line="240" w:lineRule="auto"/>
              <w:ind w:firstLine="200"/>
              <w:jc w:val="center"/>
              <w:rPr>
                <w:rFonts w:hAnsi="宋体" w:cs="宋体"/>
                <w:sz w:val="24"/>
                <w:szCs w:val="24"/>
                <w:shd w:val="clear" w:color="auto" w:fill="auto"/>
              </w:rPr>
            </w:pPr>
          </w:p>
        </w:tc>
        <w:tc>
          <w:tcPr>
            <w:tcW w:w="1783" w:type="pct"/>
            <w:tcBorders>
              <w:top w:val="single" w:color="auto" w:sz="4" w:space="0"/>
              <w:left w:val="single" w:color="auto" w:sz="4" w:space="0"/>
              <w:bottom w:val="single" w:color="auto" w:sz="4" w:space="0"/>
              <w:right w:val="single" w:color="auto" w:sz="4" w:space="0"/>
            </w:tcBorders>
            <w:vAlign w:val="center"/>
          </w:tcPr>
          <w:p w14:paraId="155454DF">
            <w:pPr>
              <w:pStyle w:val="320"/>
              <w:spacing w:line="240" w:lineRule="auto"/>
              <w:ind w:firstLine="200"/>
              <w:jc w:val="center"/>
              <w:rPr>
                <w:rFonts w:hAnsi="宋体" w:cs="宋体"/>
                <w:sz w:val="24"/>
                <w:szCs w:val="24"/>
                <w:shd w:val="clear" w:color="auto" w:fill="auto"/>
              </w:rPr>
            </w:pPr>
          </w:p>
        </w:tc>
      </w:tr>
      <w:tr w14:paraId="29D6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65510876">
            <w:pPr>
              <w:pStyle w:val="320"/>
              <w:spacing w:line="240" w:lineRule="auto"/>
              <w:ind w:firstLine="200"/>
              <w:jc w:val="center"/>
              <w:rPr>
                <w:rFonts w:hAnsi="宋体" w:cs="宋体"/>
                <w:sz w:val="24"/>
                <w:szCs w:val="24"/>
                <w:shd w:val="clear" w:color="auto" w:fill="auto"/>
              </w:rPr>
            </w:pPr>
          </w:p>
        </w:tc>
        <w:tc>
          <w:tcPr>
            <w:tcW w:w="2378" w:type="pct"/>
            <w:tcBorders>
              <w:top w:val="single" w:color="auto" w:sz="4" w:space="0"/>
              <w:left w:val="single" w:color="auto" w:sz="4" w:space="0"/>
              <w:bottom w:val="single" w:color="auto" w:sz="4" w:space="0"/>
              <w:right w:val="single" w:color="auto" w:sz="4" w:space="0"/>
            </w:tcBorders>
            <w:vAlign w:val="center"/>
          </w:tcPr>
          <w:p w14:paraId="115437EA">
            <w:pPr>
              <w:pStyle w:val="320"/>
              <w:spacing w:line="240" w:lineRule="auto"/>
              <w:ind w:firstLine="200"/>
              <w:jc w:val="center"/>
              <w:rPr>
                <w:rFonts w:hAnsi="宋体" w:cs="宋体"/>
                <w:sz w:val="24"/>
                <w:szCs w:val="24"/>
                <w:shd w:val="clear" w:color="auto" w:fill="auto"/>
              </w:rPr>
            </w:pPr>
          </w:p>
        </w:tc>
        <w:tc>
          <w:tcPr>
            <w:tcW w:w="1783" w:type="pct"/>
            <w:tcBorders>
              <w:top w:val="single" w:color="auto" w:sz="4" w:space="0"/>
              <w:left w:val="single" w:color="auto" w:sz="4" w:space="0"/>
              <w:bottom w:val="single" w:color="auto" w:sz="4" w:space="0"/>
              <w:right w:val="single" w:color="auto" w:sz="4" w:space="0"/>
            </w:tcBorders>
            <w:vAlign w:val="center"/>
          </w:tcPr>
          <w:p w14:paraId="58E2774C">
            <w:pPr>
              <w:pStyle w:val="320"/>
              <w:spacing w:line="240" w:lineRule="auto"/>
              <w:ind w:firstLine="200"/>
              <w:jc w:val="center"/>
              <w:rPr>
                <w:rFonts w:hAnsi="宋体" w:cs="宋体"/>
                <w:sz w:val="24"/>
                <w:szCs w:val="24"/>
                <w:shd w:val="clear" w:color="auto" w:fill="auto"/>
              </w:rPr>
            </w:pPr>
          </w:p>
        </w:tc>
      </w:tr>
      <w:tr w14:paraId="417E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tcBorders>
              <w:top w:val="single" w:color="auto" w:sz="4" w:space="0"/>
              <w:left w:val="single" w:color="auto" w:sz="4" w:space="0"/>
              <w:bottom w:val="single" w:color="auto" w:sz="4" w:space="0"/>
              <w:right w:val="single" w:color="auto" w:sz="4" w:space="0"/>
            </w:tcBorders>
            <w:vAlign w:val="center"/>
          </w:tcPr>
          <w:p w14:paraId="5D98E146">
            <w:pPr>
              <w:pStyle w:val="320"/>
              <w:spacing w:line="240" w:lineRule="auto"/>
              <w:ind w:firstLine="200"/>
              <w:jc w:val="center"/>
              <w:rPr>
                <w:rFonts w:hAnsi="宋体" w:cs="宋体"/>
                <w:sz w:val="24"/>
                <w:szCs w:val="24"/>
                <w:shd w:val="clear" w:color="auto" w:fill="auto"/>
              </w:rPr>
            </w:pPr>
            <w:r>
              <w:rPr>
                <w:rFonts w:hint="eastAsia" w:hAnsi="宋体" w:cs="宋体"/>
                <w:sz w:val="24"/>
                <w:szCs w:val="24"/>
                <w:shd w:val="clear" w:color="auto" w:fill="auto"/>
              </w:rPr>
              <w:t>总价</w:t>
            </w:r>
          </w:p>
        </w:tc>
        <w:tc>
          <w:tcPr>
            <w:tcW w:w="1783" w:type="pct"/>
            <w:tcBorders>
              <w:top w:val="single" w:color="auto" w:sz="4" w:space="0"/>
              <w:left w:val="single" w:color="auto" w:sz="4" w:space="0"/>
              <w:bottom w:val="single" w:color="auto" w:sz="4" w:space="0"/>
              <w:right w:val="single" w:color="auto" w:sz="4" w:space="0"/>
            </w:tcBorders>
            <w:vAlign w:val="center"/>
          </w:tcPr>
          <w:p w14:paraId="3B20EF9F">
            <w:pPr>
              <w:pStyle w:val="320"/>
              <w:spacing w:line="240" w:lineRule="auto"/>
              <w:ind w:firstLine="200"/>
              <w:jc w:val="center"/>
              <w:rPr>
                <w:rFonts w:hAnsi="宋体" w:cs="宋体"/>
                <w:sz w:val="24"/>
                <w:szCs w:val="24"/>
                <w:shd w:val="clear" w:color="auto" w:fill="auto"/>
              </w:rPr>
            </w:pPr>
          </w:p>
        </w:tc>
      </w:tr>
    </w:tbl>
    <w:p w14:paraId="294FFEEB">
      <w:pPr>
        <w:bidi w:val="0"/>
        <w:rPr>
          <w:rFonts w:hint="eastAsia"/>
        </w:rPr>
      </w:pPr>
      <w:bookmarkStart w:id="431" w:name="_Toc22618"/>
      <w:bookmarkStart w:id="432" w:name="_Toc1814"/>
      <w:bookmarkStart w:id="433" w:name="_Toc10340"/>
    </w:p>
    <w:p w14:paraId="3E8330E6">
      <w:pPr>
        <w:spacing w:line="480" w:lineRule="auto"/>
        <w:ind w:firstLine="482" w:firstLineChars="200"/>
        <w:outlineLvl w:val="2"/>
        <w:rPr>
          <w:rFonts w:hint="eastAsia" w:ascii="宋体" w:hAnsi="宋体" w:cs="宋体"/>
          <w:b/>
          <w:sz w:val="24"/>
          <w:shd w:val="clear" w:color="auto" w:fill="auto"/>
        </w:rPr>
      </w:pPr>
      <w:r>
        <w:rPr>
          <w:rFonts w:hint="eastAsia" w:ascii="宋体" w:hAnsi="宋体" w:cs="宋体"/>
          <w:b/>
          <w:sz w:val="24"/>
          <w:shd w:val="clear" w:color="auto" w:fill="auto"/>
        </w:rPr>
        <w:t>1.4履约保证金</w:t>
      </w:r>
    </w:p>
    <w:p w14:paraId="0E97E354">
      <w:pPr>
        <w:pStyle w:val="960"/>
        <w:spacing w:before="0" w:beforeAutospacing="0" w:after="0" w:afterAutospacing="0" w:line="480" w:lineRule="auto"/>
        <w:ind w:firstLine="480"/>
        <w:rPr>
          <w:highlight w:val="none"/>
          <w:shd w:val="clear" w:color="auto" w:fill="auto"/>
        </w:rPr>
      </w:pPr>
      <w:r>
        <w:rPr>
          <w:rFonts w:hint="eastAsia"/>
          <w:highlight w:val="none"/>
          <w:shd w:val="clear" w:color="auto" w:fill="auto"/>
        </w:rPr>
        <w:t>乙方</w:t>
      </w:r>
      <w:r>
        <w:rPr>
          <w:rFonts w:hint="eastAsia"/>
          <w:highlight w:val="none"/>
          <w:u w:val="single"/>
          <w:shd w:val="clear" w:color="auto" w:fill="auto"/>
        </w:rPr>
        <w:t xml:space="preserve">  </w:t>
      </w:r>
      <w:r>
        <w:rPr>
          <w:rFonts w:hint="eastAsia"/>
          <w:highlight w:val="none"/>
          <w:shd w:val="clear" w:color="auto" w:fill="auto"/>
        </w:rPr>
        <w:t>否</w:t>
      </w:r>
      <w:r>
        <w:rPr>
          <w:rFonts w:hint="eastAsia"/>
          <w:highlight w:val="none"/>
          <w:u w:val="single"/>
          <w:shd w:val="clear" w:color="auto" w:fill="auto"/>
        </w:rPr>
        <w:t xml:space="preserve"> </w:t>
      </w:r>
      <w:r>
        <w:rPr>
          <w:rFonts w:hint="eastAsia"/>
          <w:highlight w:val="none"/>
          <w:shd w:val="clear" w:color="auto" w:fill="auto"/>
        </w:rPr>
        <w:t>（是</w:t>
      </w:r>
      <w:r>
        <w:rPr>
          <w:rFonts w:hint="eastAsia" w:ascii="仿宋" w:hAnsi="仿宋" w:eastAsia="仿宋" w:cs="仿宋"/>
          <w:highlight w:val="none"/>
          <w:shd w:val="clear" w:color="auto" w:fill="auto"/>
        </w:rPr>
        <w:t>/</w:t>
      </w:r>
      <w:r>
        <w:rPr>
          <w:rFonts w:hint="eastAsia"/>
          <w:highlight w:val="none"/>
          <w:shd w:val="clear" w:color="auto" w:fill="auto"/>
        </w:rPr>
        <w:t>否）需要支付履约保证金。若需要支付履约保证金的，则：</w:t>
      </w:r>
    </w:p>
    <w:p w14:paraId="70371160">
      <w:pPr>
        <w:spacing w:line="480" w:lineRule="auto"/>
        <w:ind w:firstLine="480" w:firstLineChars="200"/>
        <w:outlineLvl w:val="9"/>
        <w:rPr>
          <w:rFonts w:ascii="宋体" w:hAnsi="宋体" w:cs="宋体"/>
          <w:kern w:val="0"/>
          <w:sz w:val="24"/>
          <w:highlight w:val="none"/>
          <w:shd w:val="clear" w:color="auto" w:fill="auto"/>
        </w:rPr>
      </w:pPr>
      <w:r>
        <w:rPr>
          <w:rFonts w:hint="eastAsia" w:ascii="宋体" w:hAnsi="宋体" w:cs="宋体"/>
          <w:kern w:val="0"/>
          <w:sz w:val="24"/>
          <w:highlight w:val="none"/>
          <w:shd w:val="clear" w:color="auto" w:fill="auto"/>
        </w:rPr>
        <w:t>1.4.1履约保证金的比例为合同金额的</w:t>
      </w:r>
      <w:r>
        <w:rPr>
          <w:rFonts w:hint="eastAsia" w:ascii="宋体" w:hAnsi="宋体" w:cs="宋体"/>
          <w:kern w:val="0"/>
          <w:sz w:val="24"/>
          <w:highlight w:val="none"/>
          <w:u w:val="single"/>
          <w:shd w:val="clear" w:color="auto" w:fill="auto"/>
        </w:rPr>
        <w:t xml:space="preserve">  </w:t>
      </w:r>
      <w:r>
        <w:rPr>
          <w:rFonts w:hint="eastAsia" w:ascii="宋体" w:hAnsi="宋体" w:cs="宋体"/>
          <w:kern w:val="0"/>
          <w:sz w:val="24"/>
          <w:highlight w:val="none"/>
          <w:u w:val="single"/>
          <w:shd w:val="clear" w:color="auto" w:fill="auto"/>
          <w:lang w:val="en-US" w:eastAsia="zh-CN"/>
        </w:rPr>
        <w:t>/</w:t>
      </w:r>
      <w:r>
        <w:rPr>
          <w:rFonts w:hint="eastAsia" w:ascii="宋体" w:hAnsi="宋体" w:cs="宋体"/>
          <w:kern w:val="0"/>
          <w:sz w:val="24"/>
          <w:highlight w:val="none"/>
          <w:u w:val="single"/>
          <w:shd w:val="clear" w:color="auto" w:fill="auto"/>
        </w:rPr>
        <w:t xml:space="preserve">  </w:t>
      </w:r>
      <w:r>
        <w:rPr>
          <w:rFonts w:hint="eastAsia" w:ascii="宋体" w:hAnsi="宋体" w:cs="宋体"/>
          <w:kern w:val="0"/>
          <w:sz w:val="24"/>
          <w:highlight w:val="none"/>
          <w:shd w:val="clear" w:color="auto" w:fill="auto"/>
        </w:rPr>
        <w:t>%；</w:t>
      </w:r>
    </w:p>
    <w:p w14:paraId="07703C8F">
      <w:pPr>
        <w:spacing w:line="480" w:lineRule="auto"/>
        <w:ind w:firstLine="480" w:firstLineChars="200"/>
        <w:outlineLvl w:val="9"/>
        <w:rPr>
          <w:rFonts w:ascii="宋体" w:hAnsi="宋体" w:cs="宋体"/>
          <w:kern w:val="0"/>
          <w:sz w:val="24"/>
          <w:shd w:val="clear" w:color="auto" w:fill="auto"/>
        </w:rPr>
      </w:pPr>
      <w:r>
        <w:rPr>
          <w:rFonts w:hint="eastAsia" w:ascii="宋体" w:hAnsi="宋体" w:cs="宋体"/>
          <w:kern w:val="0"/>
          <w:sz w:val="24"/>
          <w:highlight w:val="none"/>
          <w:shd w:val="clear" w:color="auto" w:fill="auto"/>
        </w:rPr>
        <w:t>1.4.2履约保证金支付方式详见</w:t>
      </w:r>
      <w:r>
        <w:rPr>
          <w:rFonts w:hint="eastAsia" w:ascii="宋体" w:hAnsi="宋体" w:cs="宋体"/>
          <w:kern w:val="0"/>
          <w:sz w:val="24"/>
          <w:highlight w:val="none"/>
          <w:u w:val="single"/>
          <w:shd w:val="clear" w:color="auto" w:fill="auto"/>
        </w:rPr>
        <w:t xml:space="preserve">    </w:t>
      </w:r>
      <w:r>
        <w:rPr>
          <w:rFonts w:hint="eastAsia" w:ascii="宋体" w:hAnsi="宋体" w:cs="宋体"/>
          <w:b/>
          <w:i/>
          <w:sz w:val="24"/>
          <w:highlight w:val="none"/>
          <w:u w:val="single"/>
          <w:shd w:val="clear" w:color="auto" w:fill="auto"/>
        </w:rPr>
        <w:t>合同专用条款</w:t>
      </w:r>
      <w:r>
        <w:rPr>
          <w:rFonts w:hint="eastAsia" w:ascii="宋体" w:hAnsi="宋体" w:cs="宋体"/>
          <w:kern w:val="0"/>
          <w:sz w:val="24"/>
          <w:highlight w:val="none"/>
          <w:u w:val="single"/>
          <w:shd w:val="clear" w:color="auto" w:fill="auto"/>
        </w:rPr>
        <w:t xml:space="preserve"> </w:t>
      </w:r>
      <w:r>
        <w:rPr>
          <w:rFonts w:hint="eastAsia" w:ascii="宋体" w:hAnsi="宋体" w:cs="宋体"/>
          <w:kern w:val="0"/>
          <w:sz w:val="24"/>
          <w:u w:val="single"/>
          <w:shd w:val="clear" w:color="auto" w:fill="auto"/>
        </w:rPr>
        <w:t xml:space="preserve">          </w:t>
      </w:r>
      <w:r>
        <w:rPr>
          <w:rFonts w:hint="eastAsia" w:ascii="宋体" w:hAnsi="宋体" w:cs="宋体"/>
          <w:kern w:val="0"/>
          <w:sz w:val="24"/>
          <w:shd w:val="clear" w:color="auto" w:fill="auto"/>
        </w:rPr>
        <w:t>；</w:t>
      </w:r>
    </w:p>
    <w:p w14:paraId="57124D62">
      <w:pPr>
        <w:tabs>
          <w:tab w:val="left" w:pos="0"/>
        </w:tabs>
        <w:spacing w:line="480" w:lineRule="auto"/>
        <w:ind w:left="0" w:firstLine="480" w:firstLineChars="200"/>
        <w:outlineLvl w:val="9"/>
        <w:rPr>
          <w:rFonts w:eastAsia="宋体"/>
          <w:shd w:val="clear" w:color="auto" w:fill="auto"/>
          <w:lang w:val="en-US"/>
        </w:rPr>
      </w:pPr>
      <w:r>
        <w:rPr>
          <w:rFonts w:hint="eastAsia" w:ascii="宋体" w:hAnsi="宋体" w:eastAsia="宋体" w:cs="宋体"/>
          <w:b w:val="0"/>
          <w:bCs w:val="0"/>
          <w:kern w:val="0"/>
          <w:sz w:val="24"/>
          <w:szCs w:val="24"/>
          <w:shd w:val="clear" w:color="auto" w:fill="auto"/>
          <w:lang w:val="en-US"/>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C4E13C7">
      <w:pPr>
        <w:spacing w:line="480" w:lineRule="auto"/>
        <w:ind w:firstLine="480" w:firstLineChars="200"/>
        <w:outlineLvl w:val="9"/>
        <w:rPr>
          <w:shd w:val="clear" w:color="auto" w:fill="auto"/>
        </w:rPr>
      </w:pPr>
      <w:r>
        <w:rPr>
          <w:rFonts w:hint="eastAsia" w:ascii="宋体" w:hAnsi="宋体" w:cs="宋体"/>
          <w:kern w:val="0"/>
          <w:sz w:val="24"/>
          <w:shd w:val="clear" w:color="auto" w:fill="auto"/>
        </w:rPr>
        <w:t>1.4.4甲方在项目验收结束后及时退还履约保证金。甲方在项目通过验收之日起</w:t>
      </w:r>
      <w:r>
        <w:rPr>
          <w:rFonts w:hint="eastAsia" w:ascii="宋体" w:hAnsi="宋体" w:cs="宋体"/>
          <w:kern w:val="0"/>
          <w:sz w:val="24"/>
          <w:u w:val="single"/>
          <w:shd w:val="clear" w:color="auto" w:fill="auto"/>
        </w:rPr>
        <w:t xml:space="preserve">       </w:t>
      </w:r>
      <w:r>
        <w:rPr>
          <w:rFonts w:hint="eastAsia" w:ascii="宋体" w:hAnsi="宋体" w:cs="宋体"/>
          <w:kern w:val="0"/>
          <w:sz w:val="24"/>
          <w:shd w:val="clear" w:color="auto" w:fill="auto"/>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shd w:val="clear" w:color="auto" w:fill="auto"/>
        </w:rPr>
        <w:t xml:space="preserve">  0.05（可根据情况修改）</w:t>
      </w:r>
      <w:r>
        <w:rPr>
          <w:rFonts w:hint="eastAsia" w:ascii="宋体" w:hAnsi="宋体" w:cs="宋体"/>
          <w:sz w:val="24"/>
          <w:u w:val="single"/>
          <w:shd w:val="clear" w:color="auto" w:fill="auto"/>
        </w:rPr>
        <w:t xml:space="preserve"> </w:t>
      </w:r>
      <w:r>
        <w:rPr>
          <w:rFonts w:hint="eastAsia" w:ascii="宋体" w:hAnsi="宋体" w:cs="宋体"/>
          <w:kern w:val="0"/>
          <w:sz w:val="24"/>
          <w:u w:val="single"/>
          <w:shd w:val="clear" w:color="auto" w:fill="auto"/>
        </w:rPr>
        <w:t xml:space="preserve">  </w:t>
      </w:r>
      <w:r>
        <w:rPr>
          <w:rFonts w:hint="eastAsia" w:ascii="宋体" w:hAnsi="宋体" w:cs="宋体"/>
          <w:kern w:val="0"/>
          <w:sz w:val="24"/>
          <w:shd w:val="clear" w:color="auto" w:fill="auto"/>
        </w:rPr>
        <w:t>%计算，最高限额为本合同履约保证金的</w:t>
      </w:r>
      <w:r>
        <w:rPr>
          <w:rFonts w:hint="eastAsia" w:ascii="宋体" w:hAnsi="宋体" w:cs="宋体"/>
          <w:kern w:val="0"/>
          <w:sz w:val="24"/>
          <w:u w:val="single"/>
          <w:shd w:val="clear" w:color="auto" w:fill="auto"/>
        </w:rPr>
        <w:t xml:space="preserve">  20  </w:t>
      </w:r>
      <w:r>
        <w:rPr>
          <w:rFonts w:hint="eastAsia" w:ascii="宋体" w:hAnsi="宋体" w:cs="宋体"/>
          <w:kern w:val="0"/>
          <w:sz w:val="24"/>
          <w:shd w:val="clear" w:color="auto" w:fill="auto"/>
        </w:rPr>
        <w:t xml:space="preserve"> %。</w:t>
      </w:r>
    </w:p>
    <w:p w14:paraId="6424F564">
      <w:pPr>
        <w:spacing w:line="480" w:lineRule="auto"/>
        <w:ind w:firstLine="482" w:firstLineChars="200"/>
        <w:outlineLvl w:val="2"/>
        <w:rPr>
          <w:rFonts w:hint="eastAsia" w:ascii="宋体" w:hAnsi="宋体" w:cs="宋体"/>
          <w:b/>
          <w:sz w:val="24"/>
          <w:shd w:val="clear" w:color="auto" w:fill="auto"/>
        </w:rPr>
      </w:pPr>
      <w:r>
        <w:rPr>
          <w:rFonts w:hint="eastAsia" w:ascii="宋体" w:hAnsi="宋体" w:cs="宋体"/>
          <w:b/>
          <w:sz w:val="24"/>
          <w:shd w:val="clear" w:color="auto" w:fill="auto"/>
        </w:rPr>
        <w:t>1.5</w:t>
      </w:r>
      <w:bookmarkEnd w:id="431"/>
      <w:bookmarkEnd w:id="432"/>
      <w:bookmarkEnd w:id="433"/>
      <w:r>
        <w:rPr>
          <w:rFonts w:hint="eastAsia" w:ascii="宋体" w:hAnsi="宋体" w:cs="宋体"/>
          <w:b/>
          <w:sz w:val="24"/>
          <w:shd w:val="clear" w:color="auto" w:fill="auto"/>
        </w:rPr>
        <w:t>预付款</w:t>
      </w:r>
    </w:p>
    <w:p w14:paraId="0FC9024A">
      <w:pPr>
        <w:pStyle w:val="960"/>
        <w:spacing w:before="0" w:beforeAutospacing="0" w:after="0" w:afterAutospacing="0" w:line="480" w:lineRule="auto"/>
        <w:ind w:firstLine="480"/>
        <w:rPr>
          <w:shd w:val="clear" w:color="auto" w:fill="auto"/>
        </w:rPr>
      </w:pPr>
      <w:r>
        <w:rPr>
          <w:rFonts w:hint="eastAsia"/>
          <w:shd w:val="clear" w:color="auto" w:fill="auto"/>
        </w:rPr>
        <w:t>甲方</w:t>
      </w:r>
      <w:r>
        <w:rPr>
          <w:rFonts w:hint="eastAsia"/>
          <w:u w:val="single"/>
          <w:shd w:val="clear" w:color="auto" w:fill="auto"/>
        </w:rPr>
        <w:t xml:space="preserve"> </w:t>
      </w:r>
      <w:r>
        <w:rPr>
          <w:rFonts w:hint="eastAsia"/>
          <w:u w:val="single"/>
          <w:shd w:val="clear" w:color="auto" w:fill="auto"/>
          <w:lang w:eastAsia="zh-CN"/>
        </w:rPr>
        <w:t>是</w:t>
      </w:r>
      <w:r>
        <w:rPr>
          <w:rFonts w:hint="eastAsia"/>
          <w:shd w:val="clear" w:color="auto" w:fill="auto"/>
        </w:rPr>
        <w:t>（是</w:t>
      </w:r>
      <w:r>
        <w:rPr>
          <w:rFonts w:hint="eastAsia" w:ascii="仿宋" w:hAnsi="仿宋" w:eastAsia="仿宋" w:cs="仿宋"/>
          <w:shd w:val="clear" w:color="auto" w:fill="auto"/>
        </w:rPr>
        <w:t>/</w:t>
      </w:r>
      <w:r>
        <w:rPr>
          <w:rFonts w:hint="eastAsia"/>
          <w:shd w:val="clear" w:color="auto" w:fill="auto"/>
        </w:rPr>
        <w:t>否）需要支付预付款。若需要支付预付款的，则：</w:t>
      </w:r>
    </w:p>
    <w:p w14:paraId="73D55111">
      <w:pPr>
        <w:spacing w:line="480" w:lineRule="auto"/>
        <w:ind w:firstLine="480" w:firstLineChars="200"/>
        <w:rPr>
          <w:rFonts w:ascii="宋体" w:hAnsi="宋体" w:cs="宋体"/>
          <w:kern w:val="0"/>
          <w:sz w:val="24"/>
          <w:shd w:val="clear" w:color="auto" w:fill="auto"/>
        </w:rPr>
      </w:pPr>
      <w:r>
        <w:rPr>
          <w:rFonts w:hint="eastAsia" w:ascii="宋体" w:hAnsi="宋体" w:cs="宋体"/>
          <w:kern w:val="0"/>
          <w:sz w:val="24"/>
          <w:shd w:val="clear" w:color="auto" w:fill="auto"/>
        </w:rPr>
        <w:t>1.5.1预付款比例、支付方式、时间详见</w:t>
      </w:r>
      <w:r>
        <w:rPr>
          <w:rFonts w:hint="eastAsia" w:ascii="宋体" w:hAnsi="宋体" w:cs="宋体"/>
          <w:kern w:val="0"/>
          <w:sz w:val="24"/>
          <w:u w:val="single"/>
          <w:shd w:val="clear" w:color="auto" w:fill="auto"/>
        </w:rPr>
        <w:t xml:space="preserve">    </w:t>
      </w:r>
      <w:r>
        <w:rPr>
          <w:rFonts w:hint="eastAsia" w:ascii="宋体" w:hAnsi="宋体" w:cs="宋体"/>
          <w:b/>
          <w:i/>
          <w:sz w:val="24"/>
          <w:u w:val="single"/>
          <w:shd w:val="clear" w:color="auto" w:fill="auto"/>
        </w:rPr>
        <w:t>合同专用条款</w:t>
      </w:r>
      <w:r>
        <w:rPr>
          <w:rFonts w:hint="eastAsia" w:ascii="宋体" w:hAnsi="宋体" w:cs="宋体"/>
          <w:kern w:val="0"/>
          <w:sz w:val="24"/>
          <w:u w:val="single"/>
          <w:shd w:val="clear" w:color="auto" w:fill="auto"/>
        </w:rPr>
        <w:t xml:space="preserve">           </w:t>
      </w:r>
      <w:r>
        <w:rPr>
          <w:rFonts w:hint="eastAsia" w:ascii="宋体" w:hAnsi="宋体" w:cs="宋体"/>
          <w:kern w:val="0"/>
          <w:sz w:val="24"/>
          <w:shd w:val="clear" w:color="auto" w:fill="auto"/>
        </w:rPr>
        <w:t>；</w:t>
      </w:r>
    </w:p>
    <w:p w14:paraId="141B1CE4">
      <w:pPr>
        <w:pStyle w:val="960"/>
        <w:spacing w:before="0" w:beforeAutospacing="0" w:after="0" w:afterAutospacing="0" w:line="480" w:lineRule="auto"/>
        <w:ind w:firstLine="480"/>
        <w:rPr>
          <w:shd w:val="clear" w:color="auto" w:fill="auto"/>
        </w:rPr>
      </w:pPr>
      <w:r>
        <w:rPr>
          <w:rFonts w:hint="eastAsia"/>
          <w:shd w:val="clear" w:color="auto" w:fill="auto"/>
        </w:rPr>
        <w:t>1.5.2预付款的扣回方式详见</w:t>
      </w:r>
      <w:r>
        <w:rPr>
          <w:rFonts w:hint="eastAsia"/>
          <w:u w:val="single"/>
          <w:shd w:val="clear" w:color="auto" w:fill="auto"/>
        </w:rPr>
        <w:t xml:space="preserve">    </w:t>
      </w:r>
      <w:r>
        <w:rPr>
          <w:rFonts w:hint="eastAsia"/>
          <w:b/>
          <w:i/>
          <w:u w:val="single"/>
          <w:shd w:val="clear" w:color="auto" w:fill="auto"/>
        </w:rPr>
        <w:t>合同专用条款</w:t>
      </w:r>
      <w:r>
        <w:rPr>
          <w:rFonts w:hint="eastAsia"/>
          <w:u w:val="single"/>
          <w:shd w:val="clear" w:color="auto" w:fill="auto"/>
        </w:rPr>
        <w:t xml:space="preserve">           </w:t>
      </w:r>
      <w:r>
        <w:rPr>
          <w:rFonts w:hint="eastAsia"/>
          <w:shd w:val="clear" w:color="auto" w:fill="auto"/>
        </w:rPr>
        <w:t>；</w:t>
      </w:r>
    </w:p>
    <w:p w14:paraId="1BCE78A3">
      <w:pPr>
        <w:pStyle w:val="960"/>
        <w:spacing w:before="0" w:beforeAutospacing="0" w:after="0" w:afterAutospacing="0" w:line="480" w:lineRule="auto"/>
        <w:ind w:firstLine="480"/>
        <w:rPr>
          <w:u w:val="single"/>
          <w:shd w:val="clear" w:color="auto" w:fill="auto"/>
        </w:rPr>
      </w:pPr>
      <w:r>
        <w:rPr>
          <w:rFonts w:hint="eastAsia"/>
          <w:shd w:val="clear" w:color="auto" w:fill="auto"/>
        </w:rPr>
        <w:t>1.5.3预付款的担保措施详见</w:t>
      </w:r>
      <w:r>
        <w:rPr>
          <w:rFonts w:hint="eastAsia"/>
          <w:u w:val="single"/>
          <w:shd w:val="clear" w:color="auto" w:fill="auto"/>
        </w:rPr>
        <w:t xml:space="preserve">    </w:t>
      </w:r>
      <w:r>
        <w:rPr>
          <w:rFonts w:hint="eastAsia"/>
          <w:b/>
          <w:i/>
          <w:u w:val="single"/>
          <w:shd w:val="clear" w:color="auto" w:fill="auto"/>
        </w:rPr>
        <w:t>合同专用条款</w:t>
      </w:r>
      <w:r>
        <w:rPr>
          <w:rFonts w:hint="eastAsia"/>
          <w:u w:val="single"/>
          <w:shd w:val="clear" w:color="auto" w:fill="auto"/>
        </w:rPr>
        <w:t xml:space="preserve">          </w:t>
      </w:r>
      <w:r>
        <w:rPr>
          <w:rFonts w:hint="eastAsia"/>
          <w:shd w:val="clear" w:color="auto" w:fill="auto"/>
        </w:rPr>
        <w:t>。</w:t>
      </w:r>
    </w:p>
    <w:p w14:paraId="38A8AE63">
      <w:pPr>
        <w:spacing w:line="480" w:lineRule="auto"/>
        <w:ind w:firstLine="482" w:firstLineChars="200"/>
        <w:outlineLvl w:val="2"/>
        <w:rPr>
          <w:rFonts w:hint="eastAsia" w:ascii="宋体" w:hAnsi="宋体" w:cs="宋体"/>
          <w:b/>
          <w:sz w:val="24"/>
          <w:shd w:val="clear" w:color="auto" w:fill="auto"/>
        </w:rPr>
      </w:pPr>
      <w:r>
        <w:rPr>
          <w:rFonts w:hint="eastAsia" w:ascii="宋体" w:hAnsi="宋体" w:cs="宋体"/>
          <w:b/>
          <w:sz w:val="24"/>
          <w:shd w:val="clear" w:color="auto" w:fill="auto"/>
        </w:rPr>
        <w:t>1.6资金支付</w:t>
      </w:r>
    </w:p>
    <w:p w14:paraId="1E6F02E5">
      <w:pPr>
        <w:pStyle w:val="960"/>
        <w:spacing w:before="0" w:beforeAutospacing="0" w:after="0" w:afterAutospacing="0" w:line="480" w:lineRule="auto"/>
        <w:ind w:firstLine="480"/>
        <w:rPr>
          <w:shd w:val="clear" w:color="auto" w:fill="auto"/>
        </w:rPr>
      </w:pPr>
      <w:r>
        <w:rPr>
          <w:rFonts w:hint="eastAsia"/>
          <w:shd w:val="clear" w:color="auto" w:fill="auto"/>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DE16C85">
      <w:pPr>
        <w:spacing w:line="480" w:lineRule="auto"/>
        <w:ind w:firstLine="480" w:firstLineChars="200"/>
        <w:outlineLvl w:val="9"/>
        <w:rPr>
          <w:rFonts w:ascii="宋体" w:hAnsi="宋体" w:cs="宋体"/>
          <w:sz w:val="24"/>
          <w:shd w:val="clear" w:color="auto" w:fill="auto"/>
        </w:rPr>
      </w:pPr>
      <w:r>
        <w:rPr>
          <w:rFonts w:hint="eastAsia" w:ascii="宋体" w:hAnsi="宋体" w:cs="宋体"/>
          <w:sz w:val="24"/>
          <w:shd w:val="clear" w:color="auto" w:fill="auto"/>
        </w:rPr>
        <w:t>1.6.2资金支付的方式、时间和条件详见</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1E5CF85E">
      <w:pPr>
        <w:spacing w:line="480" w:lineRule="auto"/>
        <w:ind w:firstLine="482" w:firstLineChars="200"/>
        <w:outlineLvl w:val="2"/>
        <w:rPr>
          <w:rFonts w:hint="eastAsia" w:ascii="宋体" w:hAnsi="宋体" w:cs="宋体"/>
          <w:b/>
          <w:sz w:val="24"/>
          <w:shd w:val="clear" w:color="auto" w:fill="auto"/>
        </w:rPr>
      </w:pPr>
      <w:bookmarkStart w:id="434" w:name="_Toc19304"/>
      <w:bookmarkStart w:id="435" w:name="_Toc2846"/>
      <w:bookmarkStart w:id="436" w:name="_Toc32071"/>
      <w:r>
        <w:rPr>
          <w:rFonts w:hint="eastAsia" w:ascii="宋体" w:hAnsi="宋体" w:cs="宋体"/>
          <w:b/>
          <w:sz w:val="24"/>
          <w:shd w:val="clear" w:color="auto" w:fill="auto"/>
        </w:rPr>
        <w:t>1.7货物交付期限、地点和方式</w:t>
      </w:r>
      <w:bookmarkEnd w:id="434"/>
      <w:bookmarkEnd w:id="435"/>
      <w:bookmarkEnd w:id="436"/>
    </w:p>
    <w:p w14:paraId="40CD7BAC">
      <w:pPr>
        <w:spacing w:line="480" w:lineRule="auto"/>
        <w:ind w:firstLine="480" w:firstLineChars="200"/>
        <w:rPr>
          <w:rFonts w:ascii="宋体" w:hAnsi="宋体" w:cs="宋体"/>
          <w:sz w:val="24"/>
          <w:u w:val="single"/>
          <w:shd w:val="clear" w:color="auto" w:fill="auto"/>
        </w:rPr>
      </w:pPr>
      <w:r>
        <w:rPr>
          <w:rFonts w:hint="eastAsia" w:ascii="宋体" w:hAnsi="宋体" w:cs="宋体"/>
          <w:sz w:val="24"/>
          <w:shd w:val="clear" w:color="auto" w:fill="auto"/>
        </w:rPr>
        <w:t>1.7.1交付期限：详见</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6FBE2DC1">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1.7.2交付地点：</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4A17FFAC">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1.7.3交付方式：</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152D57DD">
      <w:pPr>
        <w:spacing w:line="480" w:lineRule="auto"/>
        <w:ind w:firstLine="482" w:firstLineChars="200"/>
        <w:outlineLvl w:val="2"/>
        <w:rPr>
          <w:rFonts w:hint="eastAsia" w:ascii="宋体" w:hAnsi="宋体" w:cs="宋体"/>
          <w:b/>
          <w:sz w:val="24"/>
          <w:shd w:val="clear" w:color="auto" w:fill="auto"/>
        </w:rPr>
      </w:pPr>
      <w:bookmarkStart w:id="437" w:name="_Toc27250"/>
      <w:bookmarkStart w:id="438" w:name="_Toc19554"/>
      <w:bookmarkStart w:id="439" w:name="_Toc21423"/>
      <w:r>
        <w:rPr>
          <w:rFonts w:hint="eastAsia" w:ascii="宋体" w:hAnsi="宋体" w:cs="宋体"/>
          <w:b/>
          <w:sz w:val="24"/>
          <w:shd w:val="clear" w:color="auto" w:fill="auto"/>
        </w:rPr>
        <w:t>1.8违约责任</w:t>
      </w:r>
      <w:bookmarkEnd w:id="437"/>
      <w:bookmarkEnd w:id="438"/>
      <w:bookmarkEnd w:id="439"/>
    </w:p>
    <w:p w14:paraId="2EBFFFCB">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1.8.1除不可抗力外，如果乙方没有按照本合同约定的期限、地点和方式交付货物，那么甲方可要求乙方支付违约金，违约金按每迟延交付货物一日的应交付而未交付货物价格的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u w:val="single"/>
          <w:shd w:val="clear" w:color="auto" w:fill="auto"/>
        </w:rPr>
        <w:t xml:space="preserve">  0.05</w:t>
      </w:r>
      <w:r>
        <w:rPr>
          <w:rFonts w:hint="eastAsia" w:ascii="宋体" w:hAnsi="宋体" w:cs="宋体"/>
          <w:kern w:val="0"/>
          <w:sz w:val="24"/>
          <w:u w:val="single"/>
          <w:shd w:val="clear" w:color="auto" w:fill="auto"/>
        </w:rPr>
        <w:t>（可根据情况修改）</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%计算，最高限额为本合同总价的</w:t>
      </w:r>
      <w:r>
        <w:rPr>
          <w:rFonts w:hint="eastAsia" w:ascii="宋体" w:hAnsi="宋体" w:cs="宋体"/>
          <w:sz w:val="24"/>
          <w:u w:val="single"/>
          <w:shd w:val="clear" w:color="auto" w:fill="auto"/>
        </w:rPr>
        <w:t xml:space="preserve"> 20   </w:t>
      </w:r>
      <w:r>
        <w:rPr>
          <w:rFonts w:hint="eastAsia" w:ascii="宋体" w:hAnsi="宋体" w:cs="宋体"/>
          <w:sz w:val="24"/>
          <w:shd w:val="clear" w:color="auto" w:fill="auto"/>
        </w:rPr>
        <w:t>%；迟延交付货物的违约金计算数额达到前述最高限额之日起，甲方有权在要求乙方支付违约金的同时，书面通知乙方解除本合同；</w:t>
      </w:r>
    </w:p>
    <w:p w14:paraId="1CBDEEB3">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1.8.2除不可抗力外，如果甲方没有按照本合同约定的付款方式付款，那么乙方可要求甲方支付违约金，违约金按每迟延付款一日的应付而未付款的</w:t>
      </w:r>
      <w:r>
        <w:rPr>
          <w:rFonts w:hint="eastAsia" w:ascii="宋体" w:hAnsi="宋体" w:cs="宋体"/>
          <w:sz w:val="24"/>
          <w:u w:val="single"/>
          <w:shd w:val="clear" w:color="auto" w:fill="auto"/>
        </w:rPr>
        <w:t xml:space="preserve"> 0.05</w:t>
      </w:r>
      <w:r>
        <w:rPr>
          <w:rFonts w:hint="eastAsia" w:ascii="宋体" w:hAnsi="宋体" w:cs="宋体"/>
          <w:kern w:val="0"/>
          <w:sz w:val="24"/>
          <w:u w:val="single"/>
          <w:shd w:val="clear" w:color="auto" w:fill="auto"/>
        </w:rPr>
        <w:t>（可根据情况修改）</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%计算，最高限额为本合同总价的</w:t>
      </w:r>
      <w:r>
        <w:rPr>
          <w:rFonts w:hint="eastAsia" w:ascii="宋体" w:hAnsi="宋体" w:cs="宋体"/>
          <w:sz w:val="24"/>
          <w:u w:val="single"/>
          <w:shd w:val="clear" w:color="auto" w:fill="auto"/>
        </w:rPr>
        <w:t xml:space="preserve">   20   </w:t>
      </w:r>
      <w:r>
        <w:rPr>
          <w:rFonts w:hint="eastAsia" w:ascii="宋体" w:hAnsi="宋体" w:cs="宋体"/>
          <w:sz w:val="24"/>
          <w:shd w:val="clear" w:color="auto" w:fill="auto"/>
        </w:rPr>
        <w:t>%；迟延付款的违约金计算数额达到前述最高限额之日起，乙方有权在要求甲方支付违约金的同时，书面通知甲方解除本合同；</w:t>
      </w:r>
    </w:p>
    <w:p w14:paraId="47449AC6">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1.8.3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3D59693">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D6F9166">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1.8.5如果出现政府采购监督管理部门在处理投诉事项期间，书面通知甲方暂停采购活动的情形，或者询问或质疑事项可能影响中标或者成交结果的，导致甲方中止履行合同的情形，均不视为甲方违约。</w:t>
      </w:r>
    </w:p>
    <w:p w14:paraId="7A462F7D">
      <w:pPr>
        <w:spacing w:line="480" w:lineRule="auto"/>
        <w:ind w:left="-420" w:leftChars="-200" w:right="-420" w:rightChars="-200" w:firstLine="960" w:firstLineChars="400"/>
        <w:rPr>
          <w:rFonts w:ascii="宋体" w:hAnsi="宋体" w:cs="宋体"/>
          <w:shd w:val="clear" w:color="auto" w:fill="auto"/>
        </w:rPr>
      </w:pPr>
      <w:r>
        <w:rPr>
          <w:rFonts w:hint="eastAsia" w:ascii="宋体" w:hAnsi="宋体" w:cs="宋体"/>
          <w:sz w:val="24"/>
          <w:shd w:val="clear" w:color="auto" w:fill="auto"/>
        </w:rPr>
        <w:t>1.8.6违约责任</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另有约定的，从其约定。</w:t>
      </w:r>
    </w:p>
    <w:p w14:paraId="1C426F6C">
      <w:pPr>
        <w:spacing w:line="480" w:lineRule="auto"/>
        <w:ind w:firstLine="482" w:firstLineChars="200"/>
        <w:outlineLvl w:val="2"/>
        <w:rPr>
          <w:rFonts w:hint="eastAsia" w:ascii="宋体" w:hAnsi="宋体" w:cs="宋体"/>
          <w:b/>
          <w:sz w:val="24"/>
          <w:shd w:val="clear" w:color="auto" w:fill="auto"/>
        </w:rPr>
      </w:pPr>
      <w:bookmarkStart w:id="440" w:name="_Toc16021"/>
      <w:bookmarkStart w:id="441" w:name="_Toc28375"/>
      <w:bookmarkStart w:id="442" w:name="_Toc15583"/>
      <w:r>
        <w:rPr>
          <w:rFonts w:hint="eastAsia" w:ascii="宋体" w:hAnsi="宋体" w:cs="宋体"/>
          <w:b/>
          <w:sz w:val="24"/>
          <w:shd w:val="clear" w:color="auto" w:fill="auto"/>
        </w:rPr>
        <w:t>1.9合同争议的解决</w:t>
      </w:r>
      <w:bookmarkEnd w:id="440"/>
      <w:bookmarkEnd w:id="441"/>
      <w:bookmarkEnd w:id="442"/>
    </w:p>
    <w:p w14:paraId="7F65F425">
      <w:pPr>
        <w:spacing w:line="480" w:lineRule="auto"/>
        <w:ind w:right="-420" w:rightChars="-200" w:firstLine="480" w:firstLineChars="200"/>
        <w:rPr>
          <w:rFonts w:ascii="宋体" w:hAnsi="宋体" w:cs="宋体"/>
          <w:sz w:val="24"/>
          <w:shd w:val="clear" w:color="auto" w:fill="auto"/>
        </w:rPr>
      </w:pPr>
      <w:r>
        <w:rPr>
          <w:rFonts w:hint="eastAsia" w:ascii="宋体" w:hAnsi="宋体" w:cs="宋体"/>
          <w:sz w:val="24"/>
          <w:shd w:val="clear" w:color="auto" w:fill="auto"/>
        </w:rPr>
        <w:t>本合同履行过程中发生的任何争议，双方当事人均可通过和解或者调解解决；不愿和解、调解或者和解、调解不成的，可以选择以下第</w:t>
      </w:r>
      <w:r>
        <w:rPr>
          <w:rFonts w:hint="eastAsia" w:ascii="宋体" w:hAnsi="宋体" w:cs="宋体"/>
          <w:b/>
          <w:i/>
          <w:sz w:val="24"/>
          <w:u w:val="single"/>
          <w:shd w:val="clear" w:color="auto" w:fill="auto"/>
        </w:rPr>
        <w:t xml:space="preserve">      </w:t>
      </w:r>
      <w:r>
        <w:rPr>
          <w:rFonts w:hint="eastAsia" w:ascii="宋体" w:hAnsi="宋体" w:cs="宋体"/>
          <w:sz w:val="24"/>
          <w:shd w:val="clear" w:color="auto" w:fill="auto"/>
        </w:rPr>
        <w:t>条款规定的方式解决：</w:t>
      </w:r>
    </w:p>
    <w:p w14:paraId="22DE3169">
      <w:pPr>
        <w:spacing w:line="480" w:lineRule="auto"/>
        <w:ind w:left="-420" w:leftChars="-200" w:right="-420" w:rightChars="-200" w:firstLine="840" w:firstLineChars="350"/>
        <w:rPr>
          <w:rFonts w:ascii="宋体" w:hAnsi="宋体" w:cs="宋体"/>
          <w:sz w:val="24"/>
          <w:shd w:val="clear" w:color="auto" w:fill="auto"/>
        </w:rPr>
      </w:pPr>
      <w:r>
        <w:rPr>
          <w:rFonts w:hint="eastAsia" w:ascii="宋体" w:hAnsi="宋体" w:cs="宋体"/>
          <w:sz w:val="24"/>
          <w:shd w:val="clear" w:color="auto" w:fill="auto"/>
        </w:rPr>
        <w:t>1.9.1将争议提交</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仲裁委员会依申请仲裁时其现行有效的仲裁规则裁决；</w:t>
      </w:r>
    </w:p>
    <w:p w14:paraId="2A3FB96A">
      <w:pPr>
        <w:spacing w:line="480" w:lineRule="auto"/>
        <w:ind w:left="-420" w:leftChars="-200" w:right="-420" w:rightChars="-200" w:firstLine="840" w:firstLineChars="350"/>
        <w:rPr>
          <w:rFonts w:ascii="宋体" w:hAnsi="宋体" w:cs="宋体"/>
          <w:sz w:val="24"/>
          <w:shd w:val="clear" w:color="auto" w:fill="auto"/>
        </w:rPr>
      </w:pPr>
      <w:r>
        <w:rPr>
          <w:rFonts w:hint="eastAsia" w:ascii="宋体" w:hAnsi="宋体" w:cs="宋体"/>
          <w:sz w:val="24"/>
          <w:shd w:val="clear" w:color="auto" w:fill="auto"/>
        </w:rPr>
        <w:t>1.9.2向</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人民法院起诉。</w:t>
      </w:r>
    </w:p>
    <w:p w14:paraId="3F959597">
      <w:pPr>
        <w:spacing w:line="480" w:lineRule="auto"/>
        <w:ind w:firstLine="482" w:firstLineChars="200"/>
        <w:outlineLvl w:val="2"/>
        <w:rPr>
          <w:rFonts w:hint="eastAsia" w:ascii="宋体" w:hAnsi="宋体" w:cs="宋体"/>
          <w:b/>
          <w:sz w:val="24"/>
          <w:shd w:val="clear" w:color="auto" w:fill="auto"/>
        </w:rPr>
      </w:pPr>
      <w:bookmarkStart w:id="443" w:name="_Toc11173"/>
      <w:bookmarkStart w:id="444" w:name="_Toc7245"/>
      <w:bookmarkStart w:id="445" w:name="_Toc15322"/>
      <w:r>
        <w:rPr>
          <w:rFonts w:hint="eastAsia" w:ascii="宋体" w:hAnsi="宋体" w:cs="宋体"/>
          <w:b/>
          <w:sz w:val="24"/>
          <w:shd w:val="clear" w:color="auto" w:fill="auto"/>
        </w:rPr>
        <w:t>2.0合同生效</w:t>
      </w:r>
      <w:bookmarkEnd w:id="443"/>
      <w:bookmarkEnd w:id="444"/>
      <w:bookmarkEnd w:id="445"/>
    </w:p>
    <w:p w14:paraId="53C95216">
      <w:pPr>
        <w:spacing w:line="480" w:lineRule="auto"/>
        <w:ind w:firstLine="480" w:firstLineChars="200"/>
        <w:rPr>
          <w:rFonts w:ascii="宋体" w:hAnsi="宋体" w:cs="宋体"/>
          <w:b/>
          <w:sz w:val="24"/>
          <w:shd w:val="clear" w:color="auto" w:fill="auto"/>
        </w:rPr>
      </w:pPr>
      <w:r>
        <w:rPr>
          <w:rFonts w:hint="eastAsia" w:ascii="宋体" w:hAnsi="宋体" w:cs="宋体"/>
          <w:sz w:val="24"/>
          <w:shd w:val="clear" w:color="auto" w:fill="auto"/>
        </w:rPr>
        <w:t>本合同自双方当事人盖章签字时生效。</w:t>
      </w:r>
    </w:p>
    <w:p w14:paraId="1F67867E">
      <w:pPr>
        <w:autoSpaceDE w:val="0"/>
        <w:autoSpaceDN w:val="0"/>
        <w:spacing w:line="560" w:lineRule="exact"/>
        <w:rPr>
          <w:rFonts w:ascii="宋体" w:hAnsi="宋体" w:cs="宋体"/>
          <w:sz w:val="24"/>
          <w:shd w:val="clear" w:color="auto" w:fill="auto"/>
          <w:lang w:val="zh-CN"/>
        </w:rPr>
      </w:pPr>
    </w:p>
    <w:p w14:paraId="3E31AE3A">
      <w:pPr>
        <w:autoSpaceDE w:val="0"/>
        <w:autoSpaceDN w:val="0"/>
        <w:spacing w:line="560" w:lineRule="exact"/>
        <w:rPr>
          <w:rFonts w:ascii="宋体" w:hAnsi="宋体" w:cs="宋体"/>
          <w:sz w:val="24"/>
          <w:shd w:val="clear" w:color="auto" w:fill="auto"/>
          <w:lang w:val="zh-CN"/>
        </w:rPr>
      </w:pPr>
      <w:r>
        <w:rPr>
          <w:rFonts w:hint="eastAsia" w:ascii="宋体" w:hAnsi="宋体" w:cs="宋体"/>
          <w:b/>
          <w:sz w:val="24"/>
          <w:shd w:val="clear" w:color="auto" w:fill="auto"/>
          <w:lang w:val="zh-CN"/>
        </w:rPr>
        <w:t>甲方</w:t>
      </w:r>
      <w:r>
        <w:rPr>
          <w:rFonts w:hint="eastAsia" w:ascii="宋体" w:hAnsi="宋体" w:cs="宋体"/>
          <w:sz w:val="24"/>
          <w:shd w:val="clear" w:color="auto" w:fill="auto"/>
          <w:lang w:val="zh-CN"/>
        </w:rPr>
        <w:t>：</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b/>
          <w:sz w:val="24"/>
          <w:shd w:val="clear" w:color="auto" w:fill="auto"/>
          <w:lang w:val="zh-CN"/>
        </w:rPr>
        <w:t>乙方</w:t>
      </w:r>
      <w:r>
        <w:rPr>
          <w:rFonts w:hint="eastAsia" w:ascii="宋体" w:hAnsi="宋体" w:cs="宋体"/>
          <w:sz w:val="24"/>
          <w:shd w:val="clear" w:color="auto" w:fill="auto"/>
          <w:lang w:val="zh-CN"/>
        </w:rPr>
        <w:t>：</w:t>
      </w:r>
    </w:p>
    <w:p w14:paraId="4306B9FF">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统一社会信用代码：</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统一社会信用代码或身份证号码：</w:t>
      </w:r>
    </w:p>
    <w:p w14:paraId="678FC804">
      <w:pPr>
        <w:autoSpaceDE w:val="0"/>
        <w:autoSpaceDN w:val="0"/>
        <w:spacing w:line="560" w:lineRule="exact"/>
        <w:rPr>
          <w:rFonts w:ascii="宋体" w:hAnsi="宋体" w:cs="宋体"/>
          <w:sz w:val="24"/>
          <w:shd w:val="clear" w:color="auto" w:fill="auto"/>
          <w:lang w:val="zh-CN"/>
        </w:rPr>
      </w:pPr>
    </w:p>
    <w:p w14:paraId="7B346010">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住所：</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住所：</w:t>
      </w:r>
    </w:p>
    <w:p w14:paraId="2F5DBB0B">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法定代表人或</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法定代表人</w:t>
      </w:r>
    </w:p>
    <w:p w14:paraId="14DCFE09">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授权代表（签字）：</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 xml:space="preserve">或授权代表（签字）： </w:t>
      </w:r>
    </w:p>
    <w:p w14:paraId="6CD7D89A">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联系人：</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联系人：</w:t>
      </w:r>
    </w:p>
    <w:p w14:paraId="332A33A0">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约定送达地址：</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约定送达地址：</w:t>
      </w:r>
    </w:p>
    <w:p w14:paraId="14DD0526">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邮政编码：</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邮政编码：</w:t>
      </w:r>
    </w:p>
    <w:p w14:paraId="42BE2F89">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电话：</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 xml:space="preserve">电话： </w:t>
      </w:r>
    </w:p>
    <w:p w14:paraId="1D38689B">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传真：</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传真：</w:t>
      </w:r>
    </w:p>
    <w:p w14:paraId="5111BC8D">
      <w:pPr>
        <w:autoSpaceDE w:val="0"/>
        <w:autoSpaceDN w:val="0"/>
        <w:spacing w:line="560" w:lineRule="exact"/>
        <w:rPr>
          <w:rFonts w:ascii="宋体" w:hAnsi="宋体" w:cs="宋体"/>
          <w:sz w:val="24"/>
          <w:shd w:val="clear" w:color="auto" w:fill="auto"/>
        </w:rPr>
      </w:pPr>
      <w:r>
        <w:rPr>
          <w:rFonts w:hint="eastAsia" w:ascii="宋体" w:hAnsi="宋体" w:cs="宋体"/>
          <w:sz w:val="24"/>
          <w:shd w:val="clear" w:color="auto" w:fill="auto"/>
          <w:lang w:val="zh-CN"/>
        </w:rPr>
        <w:t>电子邮箱：</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电子邮箱：</w:t>
      </w:r>
    </w:p>
    <w:p w14:paraId="11422BDD">
      <w:pPr>
        <w:autoSpaceDE w:val="0"/>
        <w:autoSpaceDN w:val="0"/>
        <w:spacing w:line="560" w:lineRule="exact"/>
        <w:rPr>
          <w:rFonts w:ascii="宋体" w:hAnsi="宋体" w:cs="宋体"/>
          <w:sz w:val="24"/>
          <w:shd w:val="clear" w:color="auto" w:fill="auto"/>
        </w:rPr>
      </w:pPr>
      <w:r>
        <w:rPr>
          <w:rFonts w:hint="eastAsia" w:ascii="宋体" w:hAnsi="宋体" w:cs="宋体"/>
          <w:sz w:val="24"/>
          <w:shd w:val="clear" w:color="auto" w:fill="auto"/>
        </w:rPr>
        <w:t>开户银行：</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rPr>
        <w:t>开户银行：</w:t>
      </w:r>
    </w:p>
    <w:p w14:paraId="5233A281">
      <w:pPr>
        <w:autoSpaceDE w:val="0"/>
        <w:autoSpaceDN w:val="0"/>
        <w:spacing w:line="560" w:lineRule="exact"/>
        <w:rPr>
          <w:rFonts w:ascii="宋体" w:hAnsi="宋体" w:cs="宋体"/>
          <w:sz w:val="24"/>
          <w:shd w:val="clear" w:color="auto" w:fill="auto"/>
        </w:rPr>
      </w:pPr>
      <w:r>
        <w:rPr>
          <w:rFonts w:hint="eastAsia" w:ascii="宋体" w:hAnsi="宋体" w:cs="宋体"/>
          <w:sz w:val="24"/>
          <w:shd w:val="clear" w:color="auto" w:fill="auto"/>
        </w:rPr>
        <w:t>开户名称：</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rPr>
        <w:t xml:space="preserve">开户名称： </w:t>
      </w:r>
    </w:p>
    <w:p w14:paraId="57327506">
      <w:pPr>
        <w:autoSpaceDE w:val="0"/>
        <w:autoSpaceDN w:val="0"/>
        <w:spacing w:line="560" w:lineRule="exact"/>
        <w:rPr>
          <w:rFonts w:ascii="宋体" w:hAnsi="宋体" w:cs="宋体"/>
          <w:sz w:val="24"/>
          <w:shd w:val="clear" w:color="auto" w:fill="auto"/>
        </w:rPr>
      </w:pPr>
      <w:r>
        <w:rPr>
          <w:rFonts w:hint="eastAsia" w:ascii="宋体" w:hAnsi="宋体" w:cs="宋体"/>
          <w:sz w:val="24"/>
          <w:shd w:val="clear" w:color="auto" w:fill="auto"/>
        </w:rPr>
        <w:t>开户账号：</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rPr>
        <w:t>开户账号：</w:t>
      </w:r>
    </w:p>
    <w:p w14:paraId="7B70D589">
      <w:pPr>
        <w:bidi w:val="0"/>
      </w:pPr>
    </w:p>
    <w:p w14:paraId="062F460F">
      <w:pPr>
        <w:bidi w:val="0"/>
      </w:pPr>
    </w:p>
    <w:p w14:paraId="6FA39E79">
      <w:pPr>
        <w:bidi w:val="0"/>
      </w:pPr>
    </w:p>
    <w:p w14:paraId="5CB29333">
      <w:pPr>
        <w:bidi w:val="0"/>
      </w:pPr>
    </w:p>
    <w:p w14:paraId="59071EAA">
      <w:r>
        <w:rPr>
          <w:rFonts w:ascii="宋体" w:hAnsi="宋体" w:cs="宋体"/>
          <w:sz w:val="24"/>
          <w:shd w:val="clear" w:color="auto" w:fill="auto"/>
        </w:rPr>
        <w:br w:type="page"/>
      </w:r>
    </w:p>
    <w:p w14:paraId="0C209946">
      <w:pPr>
        <w:pStyle w:val="702"/>
        <w:ind w:left="0" w:leftChars="0" w:firstLine="0" w:firstLineChars="0"/>
        <w:jc w:val="center"/>
        <w:outlineLvl w:val="1"/>
        <w:rPr>
          <w:rFonts w:hint="eastAsia" w:ascii="宋体" w:hAnsi="宋体" w:cs="宋体"/>
          <w:b/>
          <w:szCs w:val="24"/>
          <w:shd w:val="clear" w:color="auto" w:fill="auto"/>
        </w:rPr>
      </w:pPr>
      <w:r>
        <w:rPr>
          <w:rFonts w:hint="eastAsia" w:ascii="宋体" w:hAnsi="宋体" w:cs="宋体"/>
          <w:b/>
          <w:szCs w:val="24"/>
          <w:shd w:val="clear" w:color="auto" w:fill="auto"/>
        </w:rPr>
        <w:t>第二部分 合同一般条款</w:t>
      </w:r>
    </w:p>
    <w:p w14:paraId="1BFA158F">
      <w:pPr>
        <w:spacing w:line="560" w:lineRule="exact"/>
        <w:ind w:firstLine="482" w:firstLineChars="200"/>
        <w:outlineLvl w:val="2"/>
        <w:rPr>
          <w:rFonts w:hint="eastAsia" w:ascii="宋体" w:hAnsi="宋体" w:cs="宋体"/>
          <w:b/>
          <w:sz w:val="24"/>
          <w:shd w:val="clear" w:color="auto" w:fill="auto"/>
        </w:rPr>
      </w:pPr>
      <w:bookmarkStart w:id="446" w:name="_Toc19614"/>
      <w:bookmarkStart w:id="447" w:name="_Ref467379109"/>
      <w:bookmarkStart w:id="448" w:name="_Ref467379214"/>
      <w:bookmarkStart w:id="449" w:name="_Toc487900349"/>
      <w:bookmarkStart w:id="450" w:name="_Ref467378499"/>
      <w:bookmarkStart w:id="451" w:name="_Ref467378463"/>
      <w:bookmarkStart w:id="452" w:name="_Toc28763"/>
      <w:bookmarkStart w:id="453" w:name="_Ref467379205"/>
      <w:bookmarkStart w:id="454" w:name="_Ref467379094"/>
      <w:bookmarkStart w:id="455" w:name="_Toc16917"/>
      <w:bookmarkStart w:id="456" w:name="_Ref467378404"/>
      <w:bookmarkStart w:id="457" w:name="_Ref467379101"/>
      <w:bookmarkStart w:id="458" w:name="_Toc279701240"/>
      <w:bookmarkStart w:id="459" w:name="_Toc259093669"/>
      <w:bookmarkStart w:id="460" w:name="_Ref467379225"/>
      <w:bookmarkStart w:id="461" w:name="_Ref467379195"/>
      <w:r>
        <w:rPr>
          <w:rFonts w:hint="eastAsia" w:ascii="宋体" w:hAnsi="宋体" w:cs="宋体"/>
          <w:b/>
          <w:sz w:val="24"/>
          <w:shd w:val="clear" w:color="auto" w:fill="auto"/>
        </w:rPr>
        <w:t>2.1定义</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72E92087">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本合同中的下列词语应按以下内容进行解释：</w:t>
      </w:r>
    </w:p>
    <w:p w14:paraId="1563A756">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2.1.1“合同”系指采购人和中标或成交供应商签订的载明双方当事人所达成的协议，并包括所有的附件、附录和构成合同的其他文件。</w:t>
      </w:r>
    </w:p>
    <w:p w14:paraId="38FF280E">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2.1.2“合同价”系指根据合同约定，中标或成交供应商在完全履行合同义务后，采购人应支付给中标或成交供应商的价格。</w:t>
      </w:r>
    </w:p>
    <w:p w14:paraId="00D4A096">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2.1.3“货物”系指中标或成交供应商根据合同约定应向采购人交付的一切各种形态和种类的物品，包括原材料、燃料、设备、机械、仪表、备件、计算机软件、产品等，并包括工具、手册等其他相关资料。</w:t>
      </w:r>
    </w:p>
    <w:p w14:paraId="0E1F73F3">
      <w:pPr>
        <w:spacing w:line="560" w:lineRule="exact"/>
        <w:ind w:firstLine="480" w:firstLineChars="200"/>
        <w:rPr>
          <w:rFonts w:ascii="宋体" w:hAnsi="宋体" w:cs="宋体"/>
          <w:sz w:val="24"/>
          <w:shd w:val="clear" w:color="auto" w:fill="auto"/>
        </w:rPr>
      </w:pPr>
      <w:bookmarkStart w:id="462" w:name="_Ref467378840"/>
      <w:r>
        <w:rPr>
          <w:rFonts w:hint="eastAsia" w:ascii="宋体" w:hAnsi="宋体" w:cs="宋体"/>
          <w:sz w:val="24"/>
          <w:shd w:val="clear" w:color="auto" w:fill="auto"/>
        </w:rPr>
        <w:t>2.1.4“甲方”系指与中标或成交供应商签署合同的采购人</w:t>
      </w:r>
      <w:bookmarkEnd w:id="462"/>
      <w:r>
        <w:rPr>
          <w:rFonts w:hint="eastAsia" w:ascii="宋体" w:hAnsi="宋体" w:cs="宋体"/>
          <w:sz w:val="24"/>
          <w:shd w:val="clear" w:color="auto" w:fill="auto"/>
        </w:rPr>
        <w:t>；采购人委托采购代理机构代表其与乙方签订合同的，采购人的授权委托书作为合同附件。</w:t>
      </w:r>
    </w:p>
    <w:p w14:paraId="09051A83">
      <w:pPr>
        <w:spacing w:line="560" w:lineRule="exact"/>
        <w:ind w:firstLine="480" w:firstLineChars="200"/>
        <w:rPr>
          <w:rFonts w:ascii="宋体" w:hAnsi="宋体" w:cs="宋体"/>
          <w:sz w:val="24"/>
          <w:shd w:val="clear" w:color="auto" w:fill="auto"/>
        </w:rPr>
      </w:pPr>
      <w:bookmarkStart w:id="463" w:name="_Ref467379400"/>
      <w:r>
        <w:rPr>
          <w:rFonts w:hint="eastAsia" w:ascii="宋体" w:hAnsi="宋体" w:cs="宋体"/>
          <w:sz w:val="24"/>
          <w:shd w:val="clear" w:color="auto" w:fill="auto"/>
        </w:rPr>
        <w:t>2.1.5“乙方”系指根据合同约定交付货物的中标或成交供应商</w:t>
      </w:r>
      <w:bookmarkEnd w:id="463"/>
      <w:r>
        <w:rPr>
          <w:rFonts w:hint="eastAsia" w:ascii="宋体" w:hAnsi="宋体" w:cs="宋体"/>
          <w:sz w:val="24"/>
          <w:shd w:val="clear" w:color="auto" w:fill="auto"/>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A8B1271">
      <w:pPr>
        <w:spacing w:line="560" w:lineRule="exact"/>
        <w:ind w:firstLine="480" w:firstLineChars="200"/>
        <w:rPr>
          <w:rFonts w:ascii="宋体" w:hAnsi="宋体" w:cs="宋体"/>
          <w:sz w:val="24"/>
          <w:shd w:val="clear" w:color="auto" w:fill="auto"/>
        </w:rPr>
      </w:pPr>
      <w:bookmarkStart w:id="464" w:name="_Ref467379436"/>
      <w:r>
        <w:rPr>
          <w:rFonts w:hint="eastAsia" w:ascii="宋体" w:hAnsi="宋体" w:cs="宋体"/>
          <w:sz w:val="24"/>
          <w:shd w:val="clear" w:color="auto" w:fill="auto"/>
        </w:rPr>
        <w:t>2.1.6“现场”系指合同约定货物将要运至或者安装的地点。</w:t>
      </w:r>
      <w:bookmarkEnd w:id="464"/>
    </w:p>
    <w:p w14:paraId="64208F62">
      <w:pPr>
        <w:spacing w:line="560" w:lineRule="exact"/>
        <w:ind w:firstLine="482" w:firstLineChars="200"/>
        <w:outlineLvl w:val="2"/>
        <w:rPr>
          <w:rFonts w:hint="eastAsia" w:ascii="宋体" w:hAnsi="宋体" w:cs="宋体"/>
          <w:b/>
          <w:sz w:val="24"/>
          <w:shd w:val="clear" w:color="auto" w:fill="auto"/>
        </w:rPr>
      </w:pPr>
      <w:bookmarkStart w:id="465" w:name="_Toc13336"/>
      <w:bookmarkStart w:id="466" w:name="_Toc279701241"/>
      <w:bookmarkStart w:id="467" w:name="_Toc32504"/>
      <w:bookmarkStart w:id="468" w:name="_Toc487900350"/>
      <w:bookmarkStart w:id="469" w:name="_Toc259093670"/>
      <w:bookmarkStart w:id="470" w:name="_Toc27635"/>
      <w:r>
        <w:rPr>
          <w:rFonts w:hint="eastAsia" w:ascii="宋体" w:hAnsi="宋体" w:cs="宋体"/>
          <w:b/>
          <w:sz w:val="24"/>
          <w:shd w:val="clear" w:color="auto" w:fill="auto"/>
        </w:rPr>
        <w:t>2.2技术规范</w:t>
      </w:r>
      <w:bookmarkEnd w:id="465"/>
      <w:bookmarkEnd w:id="466"/>
      <w:bookmarkEnd w:id="467"/>
      <w:bookmarkEnd w:id="468"/>
      <w:bookmarkEnd w:id="469"/>
      <w:bookmarkEnd w:id="470"/>
    </w:p>
    <w:p w14:paraId="43B8B86C">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8D9F8B">
      <w:pPr>
        <w:spacing w:line="560" w:lineRule="exact"/>
        <w:ind w:firstLine="482" w:firstLineChars="200"/>
        <w:outlineLvl w:val="2"/>
        <w:rPr>
          <w:rFonts w:hint="eastAsia" w:ascii="宋体" w:hAnsi="宋体" w:cs="宋体"/>
          <w:b/>
          <w:sz w:val="24"/>
          <w:shd w:val="clear" w:color="auto" w:fill="auto"/>
        </w:rPr>
      </w:pPr>
      <w:bookmarkStart w:id="471" w:name="_Toc279701242"/>
      <w:bookmarkStart w:id="472" w:name="_Toc487900351"/>
      <w:bookmarkStart w:id="473" w:name="_Toc259093671"/>
      <w:bookmarkStart w:id="474" w:name="_Toc27853"/>
      <w:bookmarkStart w:id="475" w:name="_Toc9829"/>
      <w:bookmarkStart w:id="476" w:name="_Toc31634"/>
      <w:r>
        <w:rPr>
          <w:rFonts w:hint="eastAsia" w:ascii="宋体" w:hAnsi="宋体" w:cs="宋体"/>
          <w:b/>
          <w:sz w:val="24"/>
          <w:shd w:val="clear" w:color="auto" w:fill="auto"/>
        </w:rPr>
        <w:t>2.3知识产权</w:t>
      </w:r>
      <w:bookmarkEnd w:id="471"/>
      <w:bookmarkEnd w:id="472"/>
      <w:bookmarkEnd w:id="473"/>
      <w:bookmarkEnd w:id="474"/>
      <w:bookmarkEnd w:id="475"/>
      <w:bookmarkEnd w:id="476"/>
    </w:p>
    <w:p w14:paraId="3F2A2249">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shd w:val="clear" w:color="auto" w:fill="auto"/>
        </w:rPr>
        <w:t>乙方还应及时澄清相关信息，使甲方声誉免受损害，甲方保留追责的权利。</w:t>
      </w:r>
    </w:p>
    <w:p w14:paraId="2FDD4FED">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2.3.2具有知识产权的计算机软件等货物的知识产权归属，详见</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5052EE5E">
      <w:pPr>
        <w:spacing w:line="560" w:lineRule="exact"/>
        <w:ind w:firstLine="482" w:firstLineChars="200"/>
        <w:outlineLvl w:val="2"/>
        <w:rPr>
          <w:rFonts w:hint="eastAsia" w:ascii="宋体" w:hAnsi="宋体" w:cs="宋体"/>
          <w:b/>
          <w:sz w:val="24"/>
          <w:shd w:val="clear" w:color="auto" w:fill="auto"/>
        </w:rPr>
      </w:pPr>
      <w:bookmarkStart w:id="477" w:name="_Toc4194"/>
      <w:bookmarkStart w:id="478" w:name="_Toc29149"/>
      <w:bookmarkStart w:id="479" w:name="_Toc11932"/>
      <w:r>
        <w:rPr>
          <w:rFonts w:hint="eastAsia" w:ascii="宋体" w:hAnsi="宋体" w:cs="宋体"/>
          <w:b/>
          <w:sz w:val="24"/>
          <w:shd w:val="clear" w:color="auto" w:fill="auto"/>
        </w:rPr>
        <w:t>2.4包装和装运</w:t>
      </w:r>
      <w:bookmarkEnd w:id="477"/>
      <w:bookmarkEnd w:id="478"/>
      <w:bookmarkEnd w:id="479"/>
    </w:p>
    <w:p w14:paraId="0EC336C3">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2.4.1除</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BDB607C">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07E96232">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2.4.3装运货物的要求和通知，详见</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21B850AB">
      <w:pPr>
        <w:spacing w:line="560" w:lineRule="exact"/>
        <w:ind w:firstLine="482" w:firstLineChars="200"/>
        <w:outlineLvl w:val="2"/>
        <w:rPr>
          <w:rFonts w:hint="eastAsia" w:ascii="宋体" w:hAnsi="宋体" w:cs="宋体"/>
          <w:b/>
          <w:sz w:val="24"/>
          <w:shd w:val="clear" w:color="auto" w:fill="auto"/>
        </w:rPr>
      </w:pPr>
      <w:bookmarkStart w:id="480" w:name="_Ref467378541"/>
      <w:bookmarkStart w:id="481" w:name="_Ref467379542"/>
      <w:bookmarkStart w:id="482" w:name="_Ref467379536"/>
      <w:bookmarkStart w:id="483" w:name="_Ref467378591"/>
      <w:bookmarkStart w:id="484" w:name="_Toc259093674"/>
      <w:bookmarkStart w:id="485" w:name="_Ref467379527"/>
      <w:bookmarkStart w:id="486" w:name="_Toc487900354"/>
      <w:bookmarkStart w:id="487" w:name="_Toc279701245"/>
      <w:bookmarkStart w:id="488" w:name="_Toc26182"/>
      <w:bookmarkStart w:id="489" w:name="_Toc30272"/>
      <w:bookmarkStart w:id="490" w:name="_Toc19074"/>
      <w:r>
        <w:rPr>
          <w:rFonts w:hint="eastAsia" w:ascii="宋体" w:hAnsi="宋体" w:cs="宋体"/>
          <w:b/>
          <w:sz w:val="24"/>
          <w:shd w:val="clear" w:color="auto" w:fill="auto"/>
        </w:rPr>
        <w:t>2.</w:t>
      </w:r>
      <w:bookmarkEnd w:id="480"/>
      <w:bookmarkEnd w:id="481"/>
      <w:bookmarkEnd w:id="482"/>
      <w:bookmarkEnd w:id="483"/>
      <w:bookmarkEnd w:id="484"/>
      <w:bookmarkEnd w:id="485"/>
      <w:bookmarkEnd w:id="486"/>
      <w:bookmarkEnd w:id="487"/>
      <w:r>
        <w:rPr>
          <w:rFonts w:hint="eastAsia" w:ascii="宋体" w:hAnsi="宋体" w:cs="宋体"/>
          <w:b/>
          <w:sz w:val="24"/>
          <w:shd w:val="clear" w:color="auto" w:fill="auto"/>
        </w:rPr>
        <w:t>5履约检查和问题反馈</w:t>
      </w:r>
      <w:bookmarkEnd w:id="488"/>
      <w:bookmarkEnd w:id="489"/>
      <w:bookmarkEnd w:id="490"/>
    </w:p>
    <w:p w14:paraId="7ED6689E">
      <w:pPr>
        <w:spacing w:line="560" w:lineRule="exact"/>
        <w:ind w:firstLine="480" w:firstLineChars="200"/>
        <w:rPr>
          <w:rFonts w:ascii="宋体" w:hAnsi="宋体" w:cs="宋体"/>
          <w:sz w:val="24"/>
          <w:shd w:val="clear" w:color="auto" w:fill="auto"/>
        </w:rPr>
      </w:pPr>
      <w:bookmarkStart w:id="491" w:name="_Ref467379657"/>
      <w:r>
        <w:rPr>
          <w:rFonts w:hint="eastAsia" w:ascii="宋体" w:hAnsi="宋体" w:cs="宋体"/>
          <w:sz w:val="24"/>
          <w:shd w:val="clear" w:color="auto" w:fill="auto"/>
        </w:rPr>
        <w:t>2.5.1</w:t>
      </w:r>
      <w:bookmarkEnd w:id="491"/>
      <w:bookmarkStart w:id="492" w:name="_Toc186431854"/>
      <w:bookmarkStart w:id="493" w:name="_Toc259093676"/>
      <w:bookmarkStart w:id="494" w:name="_Ref467379807"/>
      <w:bookmarkStart w:id="495" w:name="_Ref467379793"/>
      <w:bookmarkStart w:id="496" w:name="_Toc487900357"/>
      <w:bookmarkStart w:id="497" w:name="_Toc279701247"/>
      <w:r>
        <w:rPr>
          <w:rFonts w:hint="eastAsia" w:ascii="宋体" w:hAnsi="宋体" w:cs="宋体"/>
          <w:sz w:val="24"/>
          <w:shd w:val="clear" w:color="auto" w:fill="auto"/>
        </w:rPr>
        <w:t>甲方有权在其认为必要时，对乙方是否能够按照合同约定交付货物进行履约检查，以确保乙方所交付的货物能够依约满足甲方之项目需求，但不得因履约检查妨碍乙方的正常工作，乙方应予积极配合；</w:t>
      </w:r>
    </w:p>
    <w:p w14:paraId="6810B987">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2.5.2合同履行期间，甲方有权将履行过程中出现的问题反馈给乙方，双方当事人应以书面形式约定需要完善和改进的内容</w:t>
      </w:r>
      <w:bookmarkEnd w:id="492"/>
      <w:bookmarkStart w:id="498" w:name="_Toc186431855"/>
      <w:r>
        <w:rPr>
          <w:rFonts w:hint="eastAsia" w:ascii="宋体" w:hAnsi="宋体" w:cs="宋体"/>
          <w:sz w:val="24"/>
          <w:shd w:val="clear" w:color="auto" w:fill="auto"/>
        </w:rPr>
        <w:t>。</w:t>
      </w:r>
    </w:p>
    <w:bookmarkEnd w:id="493"/>
    <w:bookmarkEnd w:id="494"/>
    <w:bookmarkEnd w:id="495"/>
    <w:bookmarkEnd w:id="496"/>
    <w:bookmarkEnd w:id="497"/>
    <w:bookmarkEnd w:id="498"/>
    <w:p w14:paraId="1D2AA5DF">
      <w:pPr>
        <w:spacing w:line="560" w:lineRule="exact"/>
        <w:ind w:firstLine="482" w:firstLineChars="200"/>
        <w:outlineLvl w:val="2"/>
        <w:rPr>
          <w:rFonts w:hint="eastAsia" w:ascii="宋体" w:hAnsi="宋体" w:cs="宋体"/>
          <w:b/>
          <w:sz w:val="24"/>
          <w:shd w:val="clear" w:color="auto" w:fill="auto"/>
        </w:rPr>
      </w:pPr>
      <w:bookmarkStart w:id="499" w:name="_Toc279701248"/>
      <w:bookmarkStart w:id="500" w:name="_Ref467379923"/>
      <w:bookmarkStart w:id="501" w:name="_Ref467379852"/>
      <w:bookmarkStart w:id="502" w:name="_Ref467379863"/>
      <w:bookmarkStart w:id="503" w:name="_Toc487900358"/>
      <w:bookmarkStart w:id="504" w:name="_Toc259093677"/>
      <w:bookmarkStart w:id="505" w:name="_Toc774"/>
      <w:bookmarkStart w:id="506" w:name="_Toc16110"/>
      <w:bookmarkStart w:id="507" w:name="_Toc3225"/>
      <w:r>
        <w:rPr>
          <w:rFonts w:hint="eastAsia" w:ascii="宋体" w:hAnsi="宋体" w:cs="宋体"/>
          <w:b/>
          <w:sz w:val="24"/>
          <w:shd w:val="clear" w:color="auto" w:fill="auto"/>
        </w:rPr>
        <w:t>2.6技术资料</w:t>
      </w:r>
      <w:bookmarkEnd w:id="499"/>
      <w:bookmarkEnd w:id="500"/>
      <w:bookmarkEnd w:id="501"/>
      <w:bookmarkEnd w:id="502"/>
      <w:bookmarkEnd w:id="503"/>
      <w:bookmarkEnd w:id="504"/>
      <w:r>
        <w:rPr>
          <w:rFonts w:hint="eastAsia" w:ascii="宋体" w:hAnsi="宋体" w:cs="宋体"/>
          <w:b/>
          <w:sz w:val="24"/>
          <w:shd w:val="clear" w:color="auto" w:fill="auto"/>
        </w:rPr>
        <w:t>和保密义务</w:t>
      </w:r>
      <w:bookmarkEnd w:id="505"/>
      <w:bookmarkEnd w:id="506"/>
      <w:bookmarkEnd w:id="507"/>
    </w:p>
    <w:p w14:paraId="602FE5D8">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2.6.1乙方有权依据合同约定和项目需要，向甲方了解有关情况，调阅有关资料等，甲方应予积极配合；</w:t>
      </w:r>
    </w:p>
    <w:p w14:paraId="53FB2B54">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2.6.2乙方有义务妥善保管和保护由甲方提供的前款信息和资料等；</w:t>
      </w:r>
    </w:p>
    <w:p w14:paraId="7E71A9B9">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E109068">
      <w:pPr>
        <w:spacing w:line="560" w:lineRule="exact"/>
        <w:ind w:firstLine="482" w:firstLineChars="200"/>
        <w:outlineLvl w:val="2"/>
        <w:rPr>
          <w:rFonts w:hint="eastAsia" w:ascii="宋体" w:hAnsi="宋体" w:cs="宋体"/>
          <w:b/>
          <w:sz w:val="24"/>
          <w:shd w:val="clear" w:color="auto" w:fill="auto"/>
        </w:rPr>
      </w:pPr>
      <w:bookmarkStart w:id="508" w:name="_Toc7860"/>
      <w:r>
        <w:rPr>
          <w:rFonts w:hint="eastAsia" w:ascii="宋体" w:hAnsi="宋体" w:cs="宋体"/>
          <w:b/>
          <w:sz w:val="24"/>
          <w:shd w:val="clear" w:color="auto" w:fill="auto"/>
        </w:rPr>
        <w:t>2.7质量保证</w:t>
      </w:r>
      <w:bookmarkEnd w:id="508"/>
    </w:p>
    <w:p w14:paraId="7B0F5FA9">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2.7.1乙方应建立和完善履行合同的内部质量保证体系，并提供相关内部规章制度给甲方，以便甲方进行监督检查；</w:t>
      </w:r>
    </w:p>
    <w:p w14:paraId="189EF1E8">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2.7.2乙方应保证履行合同的人员数量和素质、软件和硬件设备的配置、场地、环境和设施等满足全面履行合同的要求，并应接受甲方的监督检查。</w:t>
      </w:r>
    </w:p>
    <w:p w14:paraId="0E1E9564">
      <w:pPr>
        <w:spacing w:line="560" w:lineRule="exact"/>
        <w:ind w:firstLine="482" w:firstLineChars="200"/>
        <w:outlineLvl w:val="2"/>
        <w:rPr>
          <w:rFonts w:hint="eastAsia" w:ascii="宋体" w:hAnsi="宋体" w:cs="宋体"/>
          <w:b/>
          <w:sz w:val="24"/>
          <w:shd w:val="clear" w:color="auto" w:fill="auto"/>
        </w:rPr>
      </w:pPr>
      <w:bookmarkStart w:id="509" w:name="_Toc17244"/>
      <w:bookmarkStart w:id="510" w:name="_Toc279701252"/>
      <w:bookmarkStart w:id="511" w:name="_Toc487900362"/>
      <w:bookmarkStart w:id="512" w:name="_Toc259093681"/>
      <w:r>
        <w:rPr>
          <w:rFonts w:hint="eastAsia" w:ascii="宋体" w:hAnsi="宋体" w:cs="宋体"/>
          <w:b/>
          <w:sz w:val="24"/>
          <w:shd w:val="clear" w:color="auto" w:fill="auto"/>
        </w:rPr>
        <w:t>2.8货物的风险负担</w:t>
      </w:r>
      <w:bookmarkEnd w:id="509"/>
    </w:p>
    <w:p w14:paraId="4E3876F3">
      <w:pPr>
        <w:spacing w:line="560" w:lineRule="exact"/>
        <w:ind w:firstLine="480" w:firstLineChars="200"/>
        <w:rPr>
          <w:rFonts w:ascii="宋体" w:hAnsi="宋体" w:cs="宋体"/>
          <w:b/>
          <w:sz w:val="24"/>
          <w:shd w:val="clear" w:color="auto" w:fill="auto"/>
        </w:rPr>
      </w:pPr>
      <w:r>
        <w:rPr>
          <w:rFonts w:hint="eastAsia" w:ascii="宋体" w:hAnsi="宋体" w:cs="宋体"/>
          <w:sz w:val="24"/>
          <w:shd w:val="clear" w:color="auto" w:fill="auto"/>
        </w:rPr>
        <w:t>货物或者在途货物或者交付给第一承运人后的货物毁损、灭失的风险负担详见</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69530181">
      <w:pPr>
        <w:spacing w:line="560" w:lineRule="exact"/>
        <w:ind w:firstLine="482" w:firstLineChars="200"/>
        <w:outlineLvl w:val="2"/>
        <w:rPr>
          <w:rFonts w:hint="eastAsia" w:ascii="宋体" w:hAnsi="宋体" w:cs="宋体"/>
          <w:b/>
          <w:sz w:val="24"/>
          <w:shd w:val="clear" w:color="auto" w:fill="auto"/>
        </w:rPr>
      </w:pPr>
      <w:bookmarkStart w:id="513" w:name="_Toc14055"/>
      <w:r>
        <w:rPr>
          <w:rFonts w:hint="eastAsia" w:ascii="宋体" w:hAnsi="宋体" w:cs="宋体"/>
          <w:b/>
          <w:sz w:val="24"/>
          <w:shd w:val="clear" w:color="auto" w:fill="auto"/>
        </w:rPr>
        <w:t>2.9延迟交货</w:t>
      </w:r>
      <w:bookmarkEnd w:id="510"/>
      <w:bookmarkEnd w:id="511"/>
      <w:bookmarkEnd w:id="512"/>
      <w:bookmarkEnd w:id="513"/>
    </w:p>
    <w:p w14:paraId="4706CDF2">
      <w:pPr>
        <w:spacing w:line="560" w:lineRule="exact"/>
        <w:ind w:firstLine="480" w:firstLineChars="200"/>
        <w:rPr>
          <w:rFonts w:ascii="宋体" w:hAnsi="宋体" w:cs="宋体"/>
          <w:sz w:val="24"/>
          <w:shd w:val="clear" w:color="auto" w:fill="auto"/>
        </w:rPr>
      </w:pPr>
      <w:r>
        <w:rPr>
          <w:rFonts w:hint="eastAsia" w:ascii="宋体" w:hAnsi="宋体"/>
          <w:sz w:val="24"/>
          <w:shd w:val="clear" w:color="auto" w:fill="auto"/>
        </w:rPr>
        <w:t>甲乙双方签订合同后，乙方应按照合同约定履行合同义务，除不可抗力外，乙方不得延迟交货。</w:t>
      </w:r>
      <w:r>
        <w:rPr>
          <w:rFonts w:hint="eastAsia" w:ascii="宋体" w:hAnsi="宋体" w:cs="宋体"/>
          <w:sz w:val="24"/>
          <w:shd w:val="clear" w:color="auto" w:fill="auto"/>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7101F81">
      <w:pPr>
        <w:spacing w:line="560" w:lineRule="exact"/>
        <w:ind w:firstLine="482" w:firstLineChars="200"/>
        <w:outlineLvl w:val="2"/>
        <w:rPr>
          <w:rFonts w:hint="eastAsia" w:ascii="宋体" w:hAnsi="宋体" w:cs="宋体"/>
          <w:b/>
          <w:sz w:val="24"/>
          <w:shd w:val="clear" w:color="auto" w:fill="auto"/>
        </w:rPr>
      </w:pPr>
      <w:bookmarkStart w:id="514" w:name="_Toc7502"/>
      <w:bookmarkStart w:id="515" w:name="_Toc259093683"/>
      <w:bookmarkStart w:id="516" w:name="_Ref467378121"/>
      <w:bookmarkStart w:id="517" w:name="_Toc279701254"/>
      <w:bookmarkStart w:id="518" w:name="_Toc487900364"/>
      <w:r>
        <w:rPr>
          <w:rFonts w:hint="eastAsia" w:ascii="宋体" w:hAnsi="宋体" w:cs="宋体"/>
          <w:b/>
          <w:sz w:val="24"/>
          <w:shd w:val="clear" w:color="auto" w:fill="auto"/>
        </w:rPr>
        <w:t>2.10合同变更</w:t>
      </w:r>
      <w:bookmarkEnd w:id="514"/>
    </w:p>
    <w:p w14:paraId="281B8349">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合同继续履行将损害国家利益和社会公共利益的，双方当事人应当以书面形式变更合同。有过错的一方应当承担赔偿责任，双方当事人都有过错的，各自承担相应的责任。</w:t>
      </w:r>
      <w:bookmarkStart w:id="519" w:name="_Toc487900369"/>
      <w:bookmarkStart w:id="520" w:name="_Toc259093688"/>
      <w:bookmarkStart w:id="521" w:name="_Toc279701259"/>
    </w:p>
    <w:p w14:paraId="0297A060">
      <w:pPr>
        <w:spacing w:line="560" w:lineRule="exact"/>
        <w:ind w:firstLine="482" w:firstLineChars="200"/>
        <w:outlineLvl w:val="2"/>
        <w:rPr>
          <w:rFonts w:hint="eastAsia" w:ascii="宋体" w:hAnsi="宋体" w:cs="宋体"/>
          <w:b/>
          <w:sz w:val="24"/>
          <w:shd w:val="clear" w:color="auto" w:fill="auto"/>
        </w:rPr>
      </w:pPr>
      <w:bookmarkStart w:id="522" w:name="_Toc15237"/>
      <w:bookmarkStart w:id="523" w:name="_Toc10366"/>
      <w:bookmarkStart w:id="524" w:name="_Toc22955"/>
      <w:r>
        <w:rPr>
          <w:rFonts w:hint="eastAsia" w:ascii="宋体" w:hAnsi="宋体" w:cs="宋体"/>
          <w:b/>
          <w:sz w:val="24"/>
          <w:shd w:val="clear" w:color="auto" w:fill="auto"/>
        </w:rPr>
        <w:t>2.11合同转让</w:t>
      </w:r>
      <w:bookmarkEnd w:id="519"/>
      <w:bookmarkEnd w:id="520"/>
      <w:bookmarkEnd w:id="521"/>
      <w:r>
        <w:rPr>
          <w:rFonts w:hint="eastAsia" w:ascii="宋体" w:hAnsi="宋体" w:cs="宋体"/>
          <w:b/>
          <w:sz w:val="24"/>
          <w:shd w:val="clear" w:color="auto" w:fill="auto"/>
        </w:rPr>
        <w:t>和分包</w:t>
      </w:r>
      <w:bookmarkEnd w:id="522"/>
      <w:bookmarkEnd w:id="523"/>
      <w:bookmarkEnd w:id="524"/>
    </w:p>
    <w:p w14:paraId="7D248D5B">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0B445A8">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2.11.2乙方采取分包方式履行合同的，甲方可直接向分包供应商支付款项。</w:t>
      </w:r>
    </w:p>
    <w:p w14:paraId="1340AD93">
      <w:pPr>
        <w:spacing w:line="560" w:lineRule="exact"/>
        <w:ind w:firstLine="482" w:firstLineChars="200"/>
        <w:outlineLvl w:val="2"/>
        <w:rPr>
          <w:rFonts w:hint="eastAsia" w:ascii="宋体" w:hAnsi="宋体" w:cs="宋体"/>
          <w:b/>
          <w:sz w:val="24"/>
          <w:shd w:val="clear" w:color="auto" w:fill="auto"/>
        </w:rPr>
      </w:pPr>
      <w:bookmarkStart w:id="525" w:name="_Toc13566"/>
      <w:bookmarkStart w:id="526" w:name="_Toc14066"/>
      <w:bookmarkStart w:id="527" w:name="_Toc16508"/>
      <w:r>
        <w:rPr>
          <w:rFonts w:hint="eastAsia" w:ascii="宋体" w:hAnsi="宋体" w:cs="宋体"/>
          <w:b/>
          <w:sz w:val="24"/>
          <w:shd w:val="clear" w:color="auto" w:fill="auto"/>
        </w:rPr>
        <w:t>2.12不可抗力</w:t>
      </w:r>
      <w:bookmarkEnd w:id="525"/>
      <w:bookmarkEnd w:id="526"/>
      <w:bookmarkEnd w:id="527"/>
    </w:p>
    <w:p w14:paraId="7942CFD5">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2.12.1如果任何一方遭遇法律规定的不可抗力，致使合同履行受阻时，履行合同的期限应予延长，延长的期限应相当于不可抗力所影响的时间；</w:t>
      </w:r>
    </w:p>
    <w:p w14:paraId="3CDA3DB9">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2.12.2因不可抗力致使不能实现合同目的的，当事人可以解除合同；</w:t>
      </w:r>
    </w:p>
    <w:p w14:paraId="5C38F1BD">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2.12.3因不可抗力致使合同有变更必要的，双方当事人应在</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约定时间内以书面形式变更合同；</w:t>
      </w:r>
    </w:p>
    <w:p w14:paraId="140EC985">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2.12.4受不可抗力影响的一方在不可抗力发生后，应在</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约定时间内以书面形式通知对方当事人，并在</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约定时间内，将有关部门出具的证明文件送达对方当事人。</w:t>
      </w:r>
    </w:p>
    <w:p w14:paraId="0E416F76">
      <w:pPr>
        <w:spacing w:line="560" w:lineRule="exact"/>
        <w:ind w:firstLine="482" w:firstLineChars="200"/>
        <w:outlineLvl w:val="2"/>
        <w:rPr>
          <w:rFonts w:hint="eastAsia" w:ascii="宋体" w:hAnsi="宋体" w:cs="宋体"/>
          <w:b/>
          <w:sz w:val="24"/>
          <w:shd w:val="clear" w:color="auto" w:fill="auto"/>
        </w:rPr>
      </w:pPr>
      <w:bookmarkStart w:id="528" w:name="_Toc487900365"/>
      <w:bookmarkStart w:id="529" w:name="_Toc259093684"/>
      <w:bookmarkStart w:id="530" w:name="_Toc30676"/>
      <w:bookmarkStart w:id="531" w:name="_Toc279701255"/>
      <w:bookmarkStart w:id="532" w:name="_Toc689"/>
      <w:bookmarkStart w:id="533" w:name="_Toc6969"/>
      <w:r>
        <w:rPr>
          <w:rFonts w:hint="eastAsia" w:ascii="宋体" w:hAnsi="宋体" w:cs="宋体"/>
          <w:b/>
          <w:sz w:val="24"/>
          <w:shd w:val="clear" w:color="auto" w:fill="auto"/>
        </w:rPr>
        <w:t>2.13税费</w:t>
      </w:r>
      <w:bookmarkEnd w:id="528"/>
      <w:bookmarkEnd w:id="529"/>
      <w:bookmarkEnd w:id="530"/>
      <w:bookmarkEnd w:id="531"/>
      <w:bookmarkEnd w:id="532"/>
      <w:bookmarkEnd w:id="533"/>
    </w:p>
    <w:p w14:paraId="38088E1B">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与合同有关的一切税费，均按照中华人民共和国法律的相关规定。</w:t>
      </w:r>
    </w:p>
    <w:p w14:paraId="0C79B28F">
      <w:pPr>
        <w:spacing w:line="560" w:lineRule="exact"/>
        <w:ind w:firstLine="482" w:firstLineChars="200"/>
        <w:outlineLvl w:val="2"/>
        <w:rPr>
          <w:rFonts w:hint="eastAsia" w:ascii="宋体" w:hAnsi="宋体" w:cs="宋体"/>
          <w:b/>
          <w:sz w:val="24"/>
          <w:shd w:val="clear" w:color="auto" w:fill="auto"/>
        </w:rPr>
      </w:pPr>
      <w:bookmarkStart w:id="534" w:name="_Toc487900368"/>
      <w:bookmarkStart w:id="535" w:name="_Toc8298"/>
      <w:bookmarkStart w:id="536" w:name="_Toc279701258"/>
      <w:bookmarkStart w:id="537" w:name="_Toc16959"/>
      <w:bookmarkStart w:id="538" w:name="_Toc259093687"/>
      <w:bookmarkStart w:id="539" w:name="_Toc7102"/>
      <w:r>
        <w:rPr>
          <w:rFonts w:hint="eastAsia" w:ascii="宋体" w:hAnsi="宋体" w:cs="宋体"/>
          <w:b/>
          <w:sz w:val="24"/>
          <w:shd w:val="clear" w:color="auto" w:fill="auto"/>
        </w:rPr>
        <w:t>2.14乙方破产</w:t>
      </w:r>
      <w:bookmarkEnd w:id="534"/>
      <w:bookmarkEnd w:id="535"/>
      <w:bookmarkEnd w:id="536"/>
      <w:bookmarkEnd w:id="537"/>
      <w:bookmarkEnd w:id="538"/>
      <w:bookmarkEnd w:id="539"/>
    </w:p>
    <w:p w14:paraId="2C9A58BA">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1B1D1AE">
      <w:pPr>
        <w:spacing w:line="560" w:lineRule="exact"/>
        <w:ind w:firstLine="482" w:firstLineChars="200"/>
        <w:outlineLvl w:val="2"/>
        <w:rPr>
          <w:rFonts w:hint="eastAsia" w:ascii="宋体" w:hAnsi="宋体" w:cs="宋体"/>
          <w:b/>
          <w:sz w:val="24"/>
          <w:shd w:val="clear" w:color="auto" w:fill="auto"/>
        </w:rPr>
      </w:pPr>
      <w:bookmarkStart w:id="540" w:name="_Toc29333"/>
      <w:bookmarkStart w:id="541" w:name="_Toc15387"/>
      <w:bookmarkStart w:id="542" w:name="_Toc6134"/>
      <w:r>
        <w:rPr>
          <w:rFonts w:hint="eastAsia" w:ascii="宋体" w:hAnsi="宋体" w:cs="宋体"/>
          <w:b/>
          <w:sz w:val="24"/>
          <w:shd w:val="clear" w:color="auto" w:fill="auto"/>
        </w:rPr>
        <w:t>2.15合同中止、终止</w:t>
      </w:r>
      <w:bookmarkEnd w:id="540"/>
      <w:bookmarkEnd w:id="541"/>
      <w:bookmarkEnd w:id="542"/>
    </w:p>
    <w:p w14:paraId="67C796E8">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2.15.1双方当事人不得擅自中止或者终止合同；</w:t>
      </w:r>
    </w:p>
    <w:p w14:paraId="3DCA9CCA">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2.15.2合同继续履行将损害国家利益和社会公共利益的，双方当事人应当中止或者终止合同。有过错的一方应当承担赔偿责任，双方当事人都有过错的，各自承担相应的责任。</w:t>
      </w:r>
    </w:p>
    <w:p w14:paraId="033AEB5F">
      <w:pPr>
        <w:spacing w:line="560" w:lineRule="exact"/>
        <w:ind w:firstLine="482" w:firstLineChars="200"/>
        <w:outlineLvl w:val="2"/>
        <w:rPr>
          <w:rFonts w:hint="eastAsia" w:ascii="宋体" w:hAnsi="宋体" w:cs="宋体"/>
          <w:b/>
          <w:sz w:val="24"/>
          <w:shd w:val="clear" w:color="auto" w:fill="auto"/>
        </w:rPr>
      </w:pPr>
      <w:bookmarkStart w:id="543" w:name="_Toc1125"/>
      <w:bookmarkStart w:id="544" w:name="_Toc6596"/>
      <w:bookmarkStart w:id="545" w:name="_Toc14563"/>
      <w:r>
        <w:rPr>
          <w:rFonts w:hint="eastAsia" w:ascii="宋体" w:hAnsi="宋体" w:cs="宋体"/>
          <w:b/>
          <w:sz w:val="24"/>
          <w:shd w:val="clear" w:color="auto" w:fill="auto"/>
        </w:rPr>
        <w:t>2.16检验和验收</w:t>
      </w:r>
      <w:bookmarkEnd w:id="543"/>
      <w:bookmarkEnd w:id="544"/>
      <w:bookmarkEnd w:id="545"/>
    </w:p>
    <w:p w14:paraId="74FF46CC">
      <w:pPr>
        <w:tabs>
          <w:tab w:val="left" w:pos="360"/>
          <w:tab w:val="left" w:pos="540"/>
          <w:tab w:val="left" w:pos="1080"/>
        </w:tabs>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2.16.1货物交付前，乙方应对货物的质量、数量等方面进行详细、全面的检验，并向甲方出具证明货物符合合同约定的文件；货物交付时，甲方在</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约定时间内组织验收，并可依法邀请相关方参加，验收应出具验收书。</w:t>
      </w:r>
    </w:p>
    <w:p w14:paraId="4C0BED4C">
      <w:pPr>
        <w:tabs>
          <w:tab w:val="left" w:pos="360"/>
          <w:tab w:val="left" w:pos="540"/>
          <w:tab w:val="left" w:pos="1080"/>
        </w:tabs>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2089B3E">
      <w:pPr>
        <w:tabs>
          <w:tab w:val="left" w:pos="360"/>
          <w:tab w:val="left" w:pos="540"/>
          <w:tab w:val="left" w:pos="1080"/>
        </w:tabs>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2.16.3</w:t>
      </w:r>
      <w:r>
        <w:rPr>
          <w:rFonts w:hint="eastAsia" w:ascii="宋体" w:hAnsi="宋体" w:cs="宋体"/>
          <w:w w:val="95"/>
          <w:sz w:val="24"/>
          <w:shd w:val="clear" w:color="auto" w:fill="auto"/>
        </w:rPr>
        <w:t>检验和验收标准、程序等具体内容以及前述验收书的效力详见</w:t>
      </w:r>
      <w:r>
        <w:rPr>
          <w:rFonts w:hint="eastAsia" w:ascii="宋体" w:hAnsi="宋体" w:cs="宋体"/>
          <w:b/>
          <w:i/>
          <w:w w:val="95"/>
          <w:sz w:val="24"/>
          <w:u w:val="single"/>
          <w:shd w:val="clear" w:color="auto" w:fill="auto"/>
        </w:rPr>
        <w:t>合同专用条款</w:t>
      </w:r>
      <w:r>
        <w:rPr>
          <w:rFonts w:hint="eastAsia" w:ascii="宋体" w:hAnsi="宋体" w:cs="宋体"/>
          <w:i/>
          <w:w w:val="95"/>
          <w:sz w:val="24"/>
          <w:shd w:val="clear" w:color="auto" w:fill="auto"/>
        </w:rPr>
        <w:t>。</w:t>
      </w:r>
    </w:p>
    <w:bookmarkEnd w:id="515"/>
    <w:bookmarkEnd w:id="516"/>
    <w:bookmarkEnd w:id="517"/>
    <w:bookmarkEnd w:id="518"/>
    <w:p w14:paraId="55018947">
      <w:pPr>
        <w:spacing w:line="560" w:lineRule="exact"/>
        <w:ind w:firstLine="482" w:firstLineChars="200"/>
        <w:outlineLvl w:val="2"/>
        <w:rPr>
          <w:rFonts w:hint="eastAsia" w:ascii="宋体" w:hAnsi="宋体" w:cs="宋体"/>
          <w:b/>
          <w:sz w:val="24"/>
          <w:shd w:val="clear" w:color="auto" w:fill="auto"/>
        </w:rPr>
      </w:pPr>
      <w:bookmarkStart w:id="546" w:name="_Toc487900371"/>
      <w:bookmarkStart w:id="547" w:name="_Toc279701261"/>
      <w:bookmarkStart w:id="548" w:name="_Toc259093690"/>
      <w:bookmarkStart w:id="549" w:name="_Toc11284"/>
      <w:bookmarkStart w:id="550" w:name="_Toc25182"/>
      <w:bookmarkStart w:id="551" w:name="_Toc19604"/>
      <w:r>
        <w:rPr>
          <w:rFonts w:hint="eastAsia" w:ascii="宋体" w:hAnsi="宋体" w:cs="宋体"/>
          <w:b/>
          <w:sz w:val="24"/>
          <w:shd w:val="clear" w:color="auto" w:fill="auto"/>
        </w:rPr>
        <w:t>2.17通知</w:t>
      </w:r>
      <w:bookmarkEnd w:id="546"/>
      <w:bookmarkEnd w:id="547"/>
      <w:bookmarkEnd w:id="548"/>
      <w:r>
        <w:rPr>
          <w:rFonts w:hint="eastAsia" w:ascii="宋体" w:hAnsi="宋体" w:cs="宋体"/>
          <w:b/>
          <w:sz w:val="24"/>
          <w:shd w:val="clear" w:color="auto" w:fill="auto"/>
        </w:rPr>
        <w:t>和送达</w:t>
      </w:r>
      <w:bookmarkEnd w:id="549"/>
      <w:bookmarkEnd w:id="550"/>
      <w:bookmarkEnd w:id="551"/>
    </w:p>
    <w:p w14:paraId="10DA536F">
      <w:pPr>
        <w:spacing w:line="560" w:lineRule="exact"/>
        <w:ind w:firstLine="480" w:firstLineChars="200"/>
        <w:rPr>
          <w:rFonts w:ascii="宋体" w:hAnsi="宋体" w:cs="宋体"/>
          <w:sz w:val="24"/>
          <w:shd w:val="clear" w:color="auto" w:fill="auto"/>
        </w:rPr>
      </w:pPr>
      <w:bookmarkStart w:id="552" w:name="_Toc3135"/>
      <w:bookmarkStart w:id="553" w:name="_Toc6698"/>
      <w:bookmarkStart w:id="554" w:name="_Toc259093691"/>
      <w:bookmarkStart w:id="555" w:name="_Toc487900372"/>
      <w:bookmarkStart w:id="556" w:name="_Toc279701262"/>
      <w:r>
        <w:rPr>
          <w:rFonts w:hint="eastAsia" w:ascii="宋体" w:hAnsi="宋体" w:cs="宋体"/>
          <w:sz w:val="24"/>
          <w:shd w:val="clear" w:color="auto" w:fill="auto"/>
        </w:rPr>
        <w:t xml:space="preserve">2.17.1任何一方因履行合同而以合同第一部分尾部所列明的传真或电子邮件 </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发出的所有通知、文件、材料，均视为已向对方当事人送达；任何一方变更上述送达方式或者地址的，应于</w:t>
      </w:r>
      <w:r>
        <w:rPr>
          <w:rFonts w:hint="eastAsia" w:ascii="宋体" w:hAnsi="宋体" w:cs="宋体"/>
          <w:sz w:val="24"/>
          <w:u w:val="single"/>
          <w:shd w:val="clear" w:color="auto" w:fill="auto"/>
        </w:rPr>
        <w:t>3</w:t>
      </w:r>
      <w:r>
        <w:rPr>
          <w:rFonts w:hint="eastAsia" w:ascii="宋体" w:hAnsi="宋体" w:cs="宋体"/>
          <w:sz w:val="24"/>
          <w:shd w:val="clear" w:color="auto" w:fill="auto"/>
        </w:rPr>
        <w:t>个工作日内书面通知对方当事人，在对方当事人收到有关变更通知之前，变更前的约定送达方式或者地址仍视为有效。</w:t>
      </w:r>
      <w:bookmarkEnd w:id="552"/>
      <w:bookmarkEnd w:id="553"/>
    </w:p>
    <w:p w14:paraId="39E78FD1">
      <w:pPr>
        <w:spacing w:line="560" w:lineRule="exact"/>
        <w:ind w:firstLine="480" w:firstLineChars="200"/>
        <w:rPr>
          <w:rFonts w:ascii="宋体" w:hAnsi="宋体" w:cs="宋体"/>
          <w:sz w:val="24"/>
          <w:shd w:val="clear" w:color="auto" w:fill="auto"/>
        </w:rPr>
      </w:pPr>
      <w:bookmarkStart w:id="557" w:name="_Toc23128"/>
      <w:bookmarkStart w:id="558" w:name="_Toc23294"/>
      <w:r>
        <w:rPr>
          <w:rFonts w:hint="eastAsia" w:ascii="宋体" w:hAnsi="宋体" w:cs="宋体"/>
          <w:sz w:val="24"/>
          <w:shd w:val="clear" w:color="auto" w:fill="auto"/>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557"/>
      <w:bookmarkEnd w:id="558"/>
    </w:p>
    <w:p w14:paraId="0521D68E">
      <w:pPr>
        <w:spacing w:line="560" w:lineRule="exact"/>
        <w:ind w:firstLine="482" w:firstLineChars="200"/>
        <w:outlineLvl w:val="2"/>
        <w:rPr>
          <w:rFonts w:hint="eastAsia" w:ascii="宋体" w:hAnsi="宋体" w:cs="宋体"/>
          <w:b/>
          <w:sz w:val="24"/>
          <w:shd w:val="clear" w:color="auto" w:fill="auto"/>
        </w:rPr>
      </w:pPr>
      <w:bookmarkStart w:id="559" w:name="_Toc30599"/>
      <w:bookmarkStart w:id="560" w:name="_Toc4355"/>
      <w:bookmarkStart w:id="561" w:name="_Toc18540"/>
      <w:r>
        <w:rPr>
          <w:rFonts w:hint="eastAsia" w:ascii="宋体" w:hAnsi="宋体" w:cs="宋体"/>
          <w:b/>
          <w:sz w:val="24"/>
          <w:shd w:val="clear" w:color="auto" w:fill="auto"/>
        </w:rPr>
        <w:t>2.18计量单位</w:t>
      </w:r>
      <w:bookmarkEnd w:id="554"/>
      <w:bookmarkEnd w:id="555"/>
      <w:bookmarkEnd w:id="556"/>
      <w:bookmarkEnd w:id="559"/>
      <w:bookmarkEnd w:id="560"/>
      <w:bookmarkEnd w:id="561"/>
    </w:p>
    <w:p w14:paraId="4E4B1752">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除技术规范中另有规定外,合同的计量单位均使用国家法定计量单位。</w:t>
      </w:r>
    </w:p>
    <w:p w14:paraId="0770FA5F">
      <w:pPr>
        <w:spacing w:line="560" w:lineRule="exact"/>
        <w:ind w:firstLine="482" w:firstLineChars="200"/>
        <w:outlineLvl w:val="2"/>
        <w:rPr>
          <w:rFonts w:hint="eastAsia" w:ascii="宋体" w:hAnsi="宋体" w:cs="宋体"/>
          <w:b/>
          <w:sz w:val="24"/>
          <w:shd w:val="clear" w:color="auto" w:fill="auto"/>
        </w:rPr>
      </w:pPr>
      <w:bookmarkStart w:id="562" w:name="_Toc18567"/>
      <w:bookmarkStart w:id="563" w:name="_Toc12773"/>
      <w:bookmarkStart w:id="564" w:name="_Toc259093692"/>
      <w:bookmarkStart w:id="565" w:name="_Toc279701263"/>
      <w:bookmarkStart w:id="566" w:name="_Toc487900373"/>
      <w:bookmarkStart w:id="567" w:name="_Toc10330"/>
      <w:r>
        <w:rPr>
          <w:rFonts w:hint="eastAsia" w:ascii="宋体" w:hAnsi="宋体" w:cs="宋体"/>
          <w:b/>
          <w:sz w:val="24"/>
          <w:shd w:val="clear" w:color="auto" w:fill="auto"/>
        </w:rPr>
        <w:t>2.19合同使用的文字和适用的法律</w:t>
      </w:r>
      <w:bookmarkEnd w:id="562"/>
      <w:bookmarkEnd w:id="563"/>
      <w:bookmarkEnd w:id="564"/>
      <w:bookmarkEnd w:id="565"/>
      <w:bookmarkEnd w:id="566"/>
      <w:bookmarkEnd w:id="567"/>
    </w:p>
    <w:p w14:paraId="0AF634D4">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2.19.1合同使用汉语书就、变更和解释；</w:t>
      </w:r>
    </w:p>
    <w:p w14:paraId="75C67035">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2.19.2合同适用中华人民共和国法律。</w:t>
      </w:r>
    </w:p>
    <w:p w14:paraId="25F3D307">
      <w:pPr>
        <w:spacing w:line="560" w:lineRule="exact"/>
        <w:ind w:firstLine="482" w:firstLineChars="200"/>
        <w:outlineLvl w:val="2"/>
        <w:rPr>
          <w:rFonts w:hint="eastAsia" w:ascii="宋体" w:hAnsi="宋体" w:cs="宋体"/>
          <w:b/>
          <w:sz w:val="24"/>
          <w:shd w:val="clear" w:color="auto" w:fill="auto"/>
        </w:rPr>
      </w:pPr>
      <w:bookmarkStart w:id="568" w:name="_Toc6885"/>
      <w:bookmarkStart w:id="569" w:name="_Toc19890"/>
      <w:bookmarkStart w:id="570" w:name="_Toc14001"/>
      <w:r>
        <w:rPr>
          <w:rFonts w:hint="eastAsia" w:ascii="宋体" w:hAnsi="宋体" w:cs="宋体"/>
          <w:b/>
          <w:sz w:val="24"/>
          <w:shd w:val="clear" w:color="auto" w:fill="auto"/>
        </w:rPr>
        <w:t>2.20合同份数</w:t>
      </w:r>
      <w:bookmarkEnd w:id="568"/>
      <w:bookmarkEnd w:id="569"/>
      <w:bookmarkEnd w:id="570"/>
    </w:p>
    <w:p w14:paraId="70BB6C94">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合同份数按</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规定，每份均具有同等法律效力。</w:t>
      </w:r>
    </w:p>
    <w:p w14:paraId="65DB3802">
      <w:pPr>
        <w:pStyle w:val="702"/>
        <w:ind w:left="0" w:leftChars="0" w:firstLine="0" w:firstLineChars="0"/>
        <w:jc w:val="center"/>
        <w:outlineLvl w:val="1"/>
        <w:rPr>
          <w:rFonts w:hint="eastAsia" w:ascii="宋体" w:hAnsi="宋体" w:cs="宋体"/>
          <w:b/>
          <w:szCs w:val="24"/>
          <w:shd w:val="clear" w:color="auto" w:fill="auto"/>
        </w:rPr>
      </w:pPr>
      <w:r>
        <w:rPr>
          <w:rFonts w:hint="eastAsia" w:ascii="宋体" w:hAnsi="宋体" w:cs="宋体"/>
          <w:kern w:val="0"/>
          <w:shd w:val="clear" w:color="auto" w:fill="auto"/>
        </w:rPr>
        <w:br w:type="page"/>
      </w:r>
      <w:r>
        <w:rPr>
          <w:rFonts w:hint="eastAsia" w:ascii="宋体" w:hAnsi="宋体" w:cs="宋体"/>
          <w:b/>
          <w:szCs w:val="24"/>
          <w:shd w:val="clear" w:color="auto" w:fill="auto"/>
        </w:rPr>
        <w:t>第三部分  合同专用条款</w:t>
      </w:r>
    </w:p>
    <w:p w14:paraId="7E125E0F">
      <w:pPr>
        <w:spacing w:line="560" w:lineRule="exact"/>
        <w:ind w:left="-420" w:leftChars="-200" w:right="-420" w:rightChars="-200" w:firstLine="480" w:firstLineChars="200"/>
        <w:rPr>
          <w:rFonts w:ascii="宋体" w:hAnsi="宋体" w:cs="宋体"/>
          <w:shd w:val="clear" w:color="auto" w:fill="auto"/>
        </w:rPr>
      </w:pPr>
      <w:r>
        <w:rPr>
          <w:rFonts w:hint="eastAsia" w:ascii="宋体" w:hAnsi="宋体" w:cs="宋体"/>
          <w:sz w:val="24"/>
          <w:shd w:val="clear" w:color="auto" w:fill="auto"/>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93"/>
        <w:gridCol w:w="8233"/>
      </w:tblGrid>
      <w:tr w14:paraId="36FFF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89" w:type="pct"/>
            <w:tcBorders>
              <w:left w:val="single" w:color="auto" w:sz="4" w:space="0"/>
            </w:tcBorders>
            <w:vAlign w:val="center"/>
          </w:tcPr>
          <w:p w14:paraId="2AFE0A5A">
            <w:pPr>
              <w:spacing w:line="240" w:lineRule="auto"/>
              <w:jc w:val="center"/>
              <w:rPr>
                <w:rFonts w:ascii="宋体" w:hAnsi="宋体" w:cs="宋体"/>
                <w:b/>
                <w:sz w:val="24"/>
                <w:highlight w:val="none"/>
                <w:shd w:val="clear" w:color="auto" w:fill="auto"/>
              </w:rPr>
            </w:pPr>
            <w:r>
              <w:rPr>
                <w:rFonts w:hint="eastAsia" w:ascii="宋体" w:hAnsi="宋体" w:cs="宋体"/>
                <w:b/>
                <w:sz w:val="24"/>
                <w:highlight w:val="none"/>
                <w:shd w:val="clear" w:color="auto" w:fill="auto"/>
              </w:rPr>
              <w:t>条款号</w:t>
            </w:r>
          </w:p>
        </w:tc>
        <w:tc>
          <w:tcPr>
            <w:tcW w:w="4510" w:type="pct"/>
            <w:vAlign w:val="center"/>
          </w:tcPr>
          <w:p w14:paraId="3DA70007">
            <w:pPr>
              <w:spacing w:line="240" w:lineRule="auto"/>
              <w:jc w:val="center"/>
              <w:rPr>
                <w:rFonts w:ascii="宋体" w:hAnsi="宋体" w:cs="宋体"/>
                <w:b/>
                <w:sz w:val="24"/>
                <w:highlight w:val="none"/>
                <w:shd w:val="clear" w:color="auto" w:fill="auto"/>
              </w:rPr>
            </w:pPr>
            <w:r>
              <w:rPr>
                <w:rFonts w:hint="eastAsia" w:ascii="宋体" w:hAnsi="宋体" w:cs="宋体"/>
                <w:b/>
                <w:sz w:val="24"/>
                <w:highlight w:val="none"/>
                <w:shd w:val="clear" w:color="auto" w:fill="auto"/>
              </w:rPr>
              <w:t>约定内容</w:t>
            </w:r>
          </w:p>
        </w:tc>
      </w:tr>
      <w:tr w14:paraId="692DE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6430281C">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1.4.2</w:t>
            </w:r>
          </w:p>
        </w:tc>
        <w:tc>
          <w:tcPr>
            <w:tcW w:w="4510" w:type="pct"/>
            <w:vAlign w:val="center"/>
          </w:tcPr>
          <w:p w14:paraId="5C946032">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合同签订后7个工作日内以支票、汇票、本票或者金融机构、担保机构出具的保函等非现金形式，提交履约保证金；鼓励和支持乙方以银行、保险公司出具的保函形式提供履约保证，乙方以银行、保险公司出具保函形式提交履约保证金的，甲方不得拒收</w:t>
            </w:r>
            <w:r>
              <w:rPr>
                <w:rFonts w:hint="eastAsia" w:ascii="宋体" w:hAnsi="宋体" w:cs="宋体"/>
                <w:sz w:val="24"/>
                <w:highlight w:val="none"/>
                <w:shd w:val="clear" w:color="auto" w:fill="auto"/>
                <w:lang w:eastAsia="zh-CN"/>
              </w:rPr>
              <w:t>。</w:t>
            </w:r>
          </w:p>
        </w:tc>
      </w:tr>
      <w:tr w14:paraId="06930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2EE31902">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1.5.1</w:t>
            </w:r>
          </w:p>
        </w:tc>
        <w:tc>
          <w:tcPr>
            <w:tcW w:w="4510" w:type="pct"/>
            <w:vAlign w:val="center"/>
          </w:tcPr>
          <w:p w14:paraId="5F36AFDA">
            <w:pPr>
              <w:spacing w:line="360" w:lineRule="auto"/>
              <w:rPr>
                <w:rFonts w:ascii="宋体" w:hAnsi="宋体" w:eastAsia="宋体" w:cs="宋体"/>
                <w:kern w:val="2"/>
                <w:sz w:val="24"/>
                <w:szCs w:val="24"/>
                <w:highlight w:val="none"/>
                <w:shd w:val="clear" w:color="auto" w:fill="auto"/>
                <w:lang w:val="en-US" w:eastAsia="zh-CN" w:bidi="ar-SA"/>
              </w:rPr>
            </w:pPr>
            <w:r>
              <w:rPr>
                <w:rFonts w:hint="eastAsia" w:asciiTheme="minorEastAsia" w:hAnsiTheme="minorEastAsia" w:eastAsiaTheme="minorEastAsia" w:cstheme="minorEastAsia"/>
                <w:sz w:val="24"/>
                <w:highlight w:val="none"/>
              </w:rPr>
              <w:t>满足支付条件后5个工作日内支付合同总金额40%预付款，项目验收完毕后支付合同总金额的60%。在签订合同时，供应商明确表示无需预付款或者主动要求降低预付款比例的，采购单位可不适用前述规定。</w:t>
            </w:r>
          </w:p>
        </w:tc>
      </w:tr>
      <w:tr w14:paraId="66BEB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6F7C6D99">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 xml:space="preserve">1.5.2 </w:t>
            </w:r>
          </w:p>
        </w:tc>
        <w:tc>
          <w:tcPr>
            <w:tcW w:w="4510" w:type="pct"/>
            <w:vAlign w:val="center"/>
          </w:tcPr>
          <w:p w14:paraId="56B2E2CD">
            <w:pPr>
              <w:spacing w:line="360" w:lineRule="auto"/>
              <w:rPr>
                <w:rFonts w:hint="eastAsia" w:ascii="宋体" w:hAnsi="宋体" w:eastAsia="宋体" w:cs="宋体"/>
                <w:kern w:val="2"/>
                <w:sz w:val="24"/>
                <w:szCs w:val="24"/>
                <w:highlight w:val="none"/>
                <w:shd w:val="clear" w:color="auto" w:fill="auto"/>
                <w:lang w:val="en-US" w:eastAsia="zh-CN" w:bidi="ar-SA"/>
              </w:rPr>
            </w:pPr>
            <w:r>
              <w:rPr>
                <w:rFonts w:hint="eastAsia" w:ascii="宋体" w:hAnsi="宋体" w:cs="宋体"/>
                <w:sz w:val="24"/>
                <w:highlight w:val="none"/>
                <w:shd w:val="clear" w:color="auto" w:fill="auto"/>
                <w:lang w:val="en-US" w:eastAsia="zh-CN"/>
              </w:rPr>
              <w:t>/</w:t>
            </w:r>
          </w:p>
        </w:tc>
      </w:tr>
      <w:tr w14:paraId="1054A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741D8043">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1.5.3</w:t>
            </w:r>
          </w:p>
        </w:tc>
        <w:tc>
          <w:tcPr>
            <w:tcW w:w="4510" w:type="pct"/>
            <w:vAlign w:val="center"/>
          </w:tcPr>
          <w:p w14:paraId="4DE46B3F">
            <w:pPr>
              <w:spacing w:line="360" w:lineRule="auto"/>
              <w:rPr>
                <w:rFonts w:hint="default" w:ascii="宋体" w:hAnsi="宋体" w:eastAsia="宋体" w:cs="宋体"/>
                <w:kern w:val="2"/>
                <w:sz w:val="24"/>
                <w:szCs w:val="24"/>
                <w:highlight w:val="none"/>
                <w:shd w:val="clear" w:color="auto" w:fill="auto"/>
                <w:lang w:val="en-US" w:eastAsia="zh-CN" w:bidi="ar-SA"/>
              </w:rPr>
            </w:pPr>
            <w:r>
              <w:rPr>
                <w:rFonts w:hint="eastAsia" w:ascii="宋体" w:hAnsi="宋体" w:cs="宋体"/>
                <w:sz w:val="24"/>
                <w:highlight w:val="none"/>
                <w:shd w:val="clear" w:color="auto" w:fill="auto"/>
                <w:lang w:val="en-US" w:eastAsia="zh-CN"/>
              </w:rPr>
              <w:t>/</w:t>
            </w:r>
          </w:p>
        </w:tc>
      </w:tr>
      <w:tr w14:paraId="5BD20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3E35CE42">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1.6.2</w:t>
            </w:r>
          </w:p>
        </w:tc>
        <w:tc>
          <w:tcPr>
            <w:tcW w:w="4510" w:type="pct"/>
            <w:vAlign w:val="center"/>
          </w:tcPr>
          <w:p w14:paraId="3AF72FA2">
            <w:pPr>
              <w:pageBreakBefore w:val="0"/>
              <w:widowControl w:val="0"/>
              <w:kinsoku/>
              <w:wordWrap/>
              <w:overflowPunct/>
              <w:topLinePunct w:val="0"/>
              <w:bidi w:val="0"/>
              <w:snapToGrid/>
              <w:spacing w:line="360" w:lineRule="auto"/>
              <w:jc w:val="both"/>
              <w:textAlignment w:val="auto"/>
              <w:outlineLvl w:val="9"/>
              <w:rPr>
                <w:rFonts w:ascii="宋体" w:hAnsi="宋体" w:cs="宋体"/>
                <w:sz w:val="24"/>
                <w:highlight w:val="none"/>
                <w:shd w:val="clear" w:color="auto" w:fill="auto"/>
              </w:rPr>
            </w:pPr>
            <w:r>
              <w:rPr>
                <w:rFonts w:hint="eastAsia" w:asciiTheme="minorEastAsia" w:hAnsiTheme="minorEastAsia" w:eastAsiaTheme="minorEastAsia" w:cstheme="minorEastAsia"/>
                <w:sz w:val="24"/>
                <w:highlight w:val="none"/>
              </w:rPr>
              <w:t>满足支付条件后5个工作日内支付合同总金额40%预付款，项目验收完毕后支付合同总金额的60%。在签订合同时，供应商明确表示无需预付款或者主动要求降低预付款比例的，采购单位可不适用前述规定。</w:t>
            </w:r>
          </w:p>
        </w:tc>
      </w:tr>
      <w:tr w14:paraId="6563A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0C650C53">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1.7.1</w:t>
            </w:r>
          </w:p>
        </w:tc>
        <w:tc>
          <w:tcPr>
            <w:tcW w:w="4510" w:type="pct"/>
            <w:vAlign w:val="center"/>
          </w:tcPr>
          <w:p w14:paraId="157A2769">
            <w:pPr>
              <w:spacing w:line="360" w:lineRule="auto"/>
              <w:rPr>
                <w:rFonts w:ascii="宋体" w:hAnsi="宋体" w:eastAsia="宋体" w:cs="宋体"/>
                <w:kern w:val="2"/>
                <w:sz w:val="24"/>
                <w:szCs w:val="24"/>
                <w:highlight w:val="none"/>
                <w:shd w:val="clear" w:color="auto" w:fill="auto"/>
                <w:lang w:val="en-US" w:eastAsia="zh-CN" w:bidi="ar-SA"/>
              </w:rPr>
            </w:pPr>
            <w:r>
              <w:rPr>
                <w:rFonts w:hint="eastAsia" w:ascii="宋体" w:hAnsi="宋体" w:cs="宋体"/>
                <w:sz w:val="24"/>
                <w:highlight w:val="none"/>
                <w:lang w:val="en-US" w:eastAsia="zh-CN"/>
              </w:rPr>
              <w:t>在合同生效后30天内，供应商需将所供产品（出厂原包装）按合同清单所列的采购单位、地址以及货物品种、数量等，运至指定地点拆箱，并负责安装、调试，由采购单位负责验收。</w:t>
            </w:r>
          </w:p>
        </w:tc>
      </w:tr>
      <w:tr w14:paraId="1D32D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58EA9BAC">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1.7.2</w:t>
            </w:r>
          </w:p>
        </w:tc>
        <w:tc>
          <w:tcPr>
            <w:tcW w:w="4510" w:type="pct"/>
            <w:vAlign w:val="center"/>
          </w:tcPr>
          <w:p w14:paraId="23D1144A">
            <w:pPr>
              <w:spacing w:line="360" w:lineRule="auto"/>
              <w:rPr>
                <w:rFonts w:ascii="宋体" w:hAnsi="宋体" w:cs="宋体" w:eastAsiaTheme="minorEastAsia"/>
                <w:kern w:val="2"/>
                <w:sz w:val="24"/>
                <w:szCs w:val="24"/>
                <w:highlight w:val="none"/>
                <w:shd w:val="clear" w:color="auto" w:fill="auto"/>
                <w:lang w:val="en-US" w:eastAsia="zh-CN" w:bidi="ar-SA"/>
              </w:rPr>
            </w:pPr>
            <w:r>
              <w:rPr>
                <w:rFonts w:hint="eastAsia" w:ascii="宋体" w:hAnsi="宋体" w:cs="宋体"/>
                <w:sz w:val="24"/>
                <w:highlight w:val="none"/>
                <w:shd w:val="clear" w:color="auto" w:fill="auto"/>
                <w:lang w:bidi="ar"/>
              </w:rPr>
              <w:t>招标人指定地点。</w:t>
            </w:r>
          </w:p>
        </w:tc>
      </w:tr>
      <w:tr w14:paraId="41DF2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05AD1F58">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1.7.3</w:t>
            </w:r>
          </w:p>
        </w:tc>
        <w:tc>
          <w:tcPr>
            <w:tcW w:w="4510" w:type="pct"/>
            <w:vAlign w:val="center"/>
          </w:tcPr>
          <w:p w14:paraId="7AACC073">
            <w:pPr>
              <w:spacing w:line="360" w:lineRule="auto"/>
              <w:rPr>
                <w:rFonts w:ascii="宋体" w:hAnsi="宋体" w:cs="宋体" w:eastAsiaTheme="minorEastAsia"/>
                <w:kern w:val="2"/>
                <w:sz w:val="24"/>
                <w:szCs w:val="24"/>
                <w:highlight w:val="none"/>
                <w:shd w:val="clear" w:color="auto" w:fill="auto"/>
                <w:lang w:val="en-US" w:eastAsia="zh-CN" w:bidi="ar-SA"/>
              </w:rPr>
            </w:pPr>
            <w:r>
              <w:rPr>
                <w:rFonts w:hint="eastAsia" w:ascii="宋体" w:hAnsi="宋体" w:cs="宋体"/>
                <w:sz w:val="24"/>
                <w:highlight w:val="none"/>
                <w:shd w:val="clear" w:color="auto" w:fill="auto"/>
                <w:lang w:eastAsia="zh-CN" w:bidi="ar"/>
              </w:rPr>
              <w:t>现场交付</w:t>
            </w:r>
            <w:r>
              <w:rPr>
                <w:rFonts w:hint="eastAsia" w:ascii="宋体" w:hAnsi="宋体" w:cs="宋体"/>
                <w:sz w:val="24"/>
                <w:highlight w:val="none"/>
                <w:shd w:val="clear" w:color="auto" w:fill="auto"/>
                <w:lang w:bidi="ar"/>
              </w:rPr>
              <w:t>。</w:t>
            </w:r>
          </w:p>
        </w:tc>
      </w:tr>
      <w:tr w14:paraId="6E5AB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3EE9E9FC">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1.8.6</w:t>
            </w:r>
          </w:p>
        </w:tc>
        <w:tc>
          <w:tcPr>
            <w:tcW w:w="4510" w:type="pct"/>
            <w:vAlign w:val="center"/>
          </w:tcPr>
          <w:p w14:paraId="11085E9A">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如产品质量未达到投标承诺技术要求及品牌、型号的；采购人将退货处理，乙方承担项目总额20%的违约金。</w:t>
            </w:r>
          </w:p>
        </w:tc>
      </w:tr>
      <w:tr w14:paraId="11DE1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4019D0D2">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1.9</w:t>
            </w:r>
          </w:p>
        </w:tc>
        <w:tc>
          <w:tcPr>
            <w:tcW w:w="4510" w:type="pct"/>
            <w:vAlign w:val="center"/>
          </w:tcPr>
          <w:p w14:paraId="20132C73">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1.</w:t>
            </w:r>
            <w:r>
              <w:rPr>
                <w:rFonts w:hint="eastAsia" w:ascii="宋体" w:hAnsi="宋体" w:cs="宋体"/>
                <w:sz w:val="24"/>
                <w:highlight w:val="none"/>
                <w:shd w:val="clear" w:color="auto" w:fill="auto"/>
                <w:lang w:val="en-US" w:eastAsia="zh-CN" w:bidi="ar"/>
              </w:rPr>
              <w:t>9</w:t>
            </w:r>
            <w:r>
              <w:rPr>
                <w:rFonts w:hint="eastAsia" w:ascii="宋体" w:hAnsi="宋体" w:cs="宋体"/>
                <w:sz w:val="24"/>
                <w:highlight w:val="none"/>
                <w:shd w:val="clear" w:color="auto" w:fill="auto"/>
                <w:lang w:bidi="ar"/>
              </w:rPr>
              <w:t>.2(诉讼)</w:t>
            </w:r>
          </w:p>
        </w:tc>
      </w:tr>
      <w:tr w14:paraId="140AF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16366855">
            <w:pPr>
              <w:spacing w:line="360" w:lineRule="auto"/>
              <w:rPr>
                <w:rFonts w:hint="eastAsia" w:ascii="宋体" w:hAnsi="宋体" w:cs="宋体"/>
                <w:sz w:val="24"/>
                <w:highlight w:val="none"/>
                <w:shd w:val="clear" w:color="auto" w:fill="auto"/>
              </w:rPr>
            </w:pPr>
            <w:r>
              <w:rPr>
                <w:rFonts w:hint="eastAsia" w:ascii="宋体" w:hAnsi="宋体" w:cs="宋体"/>
                <w:sz w:val="24"/>
                <w:highlight w:val="none"/>
                <w:shd w:val="clear" w:color="auto" w:fill="auto"/>
                <w:lang w:val="en-US" w:eastAsia="zh-CN"/>
              </w:rPr>
              <w:t>1.9.1</w:t>
            </w:r>
          </w:p>
        </w:tc>
        <w:tc>
          <w:tcPr>
            <w:tcW w:w="4510" w:type="pct"/>
            <w:vAlign w:val="center"/>
          </w:tcPr>
          <w:p w14:paraId="1A0C8EDE">
            <w:pPr>
              <w:spacing w:line="360" w:lineRule="auto"/>
              <w:ind w:left="-420" w:leftChars="-200" w:right="-420" w:rightChars="-200"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lang w:val="en-US" w:eastAsia="zh-CN" w:bidi="ar"/>
              </w:rPr>
              <w:t>/</w:t>
            </w:r>
          </w:p>
        </w:tc>
      </w:tr>
      <w:tr w14:paraId="0FB90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0250BB30">
            <w:pPr>
              <w:spacing w:line="360" w:lineRule="auto"/>
              <w:rPr>
                <w:rFonts w:hint="eastAsia" w:ascii="宋体" w:hAnsi="宋体" w:cs="宋体"/>
                <w:sz w:val="24"/>
                <w:highlight w:val="none"/>
                <w:shd w:val="clear" w:color="auto" w:fill="auto"/>
              </w:rPr>
            </w:pPr>
            <w:r>
              <w:rPr>
                <w:rFonts w:hint="eastAsia" w:ascii="宋体" w:hAnsi="宋体" w:cs="宋体"/>
                <w:sz w:val="24"/>
                <w:highlight w:val="none"/>
                <w:shd w:val="clear" w:color="auto" w:fill="auto"/>
                <w:lang w:val="en-US" w:eastAsia="zh-CN"/>
              </w:rPr>
              <w:t>1.9.2</w:t>
            </w:r>
          </w:p>
        </w:tc>
        <w:tc>
          <w:tcPr>
            <w:tcW w:w="4510" w:type="pct"/>
            <w:vAlign w:val="center"/>
          </w:tcPr>
          <w:p w14:paraId="74B612CE">
            <w:pPr>
              <w:spacing w:line="360" w:lineRule="auto"/>
              <w:ind w:left="-420" w:leftChars="-200" w:right="-420" w:rightChars="-200"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项目所在地的人民法院</w:t>
            </w:r>
          </w:p>
        </w:tc>
      </w:tr>
      <w:tr w14:paraId="2F642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042ACACF">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2.3.2</w:t>
            </w:r>
          </w:p>
        </w:tc>
        <w:tc>
          <w:tcPr>
            <w:tcW w:w="4510" w:type="pct"/>
            <w:vAlign w:val="center"/>
          </w:tcPr>
          <w:p w14:paraId="2E127F0E">
            <w:pPr>
              <w:spacing w:line="360" w:lineRule="auto"/>
              <w:ind w:left="-420" w:leftChars="-200" w:right="-420" w:rightChars="-200"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归乙方所有，但针对本项目，甲方有无限使用权。</w:t>
            </w:r>
          </w:p>
        </w:tc>
      </w:tr>
      <w:tr w14:paraId="21214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4E39F385">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2.4.1</w:t>
            </w:r>
          </w:p>
        </w:tc>
        <w:tc>
          <w:tcPr>
            <w:tcW w:w="4510" w:type="pct"/>
            <w:vAlign w:val="center"/>
          </w:tcPr>
          <w:p w14:paraId="7BEBB50F">
            <w:pPr>
              <w:spacing w:line="360" w:lineRule="auto"/>
              <w:ind w:left="-420" w:leftChars="-200" w:right="-420" w:rightChars="-200"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按行业及通用条款要求。</w:t>
            </w:r>
          </w:p>
        </w:tc>
      </w:tr>
      <w:tr w14:paraId="74C0C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20B8FF16">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2.4.3</w:t>
            </w:r>
          </w:p>
        </w:tc>
        <w:tc>
          <w:tcPr>
            <w:tcW w:w="4510" w:type="pct"/>
            <w:vAlign w:val="center"/>
          </w:tcPr>
          <w:p w14:paraId="4EF78A02">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装运货物的要求和通知，乙方应提前7天通知甲方并协调设备的卸货及安装事宜。</w:t>
            </w:r>
          </w:p>
        </w:tc>
      </w:tr>
      <w:tr w14:paraId="1596B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tcPr>
          <w:p w14:paraId="5046C192">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 xml:space="preserve">2.8 </w:t>
            </w:r>
          </w:p>
        </w:tc>
        <w:tc>
          <w:tcPr>
            <w:tcW w:w="4510" w:type="pct"/>
            <w:vAlign w:val="top"/>
          </w:tcPr>
          <w:p w14:paraId="0C7639A8">
            <w:pPr>
              <w:spacing w:line="360" w:lineRule="auto"/>
              <w:rPr>
                <w:rFonts w:hint="eastAsia" w:ascii="宋体" w:hAnsi="宋体" w:cs="宋体"/>
                <w:sz w:val="24"/>
                <w:highlight w:val="none"/>
                <w:shd w:val="clear" w:color="auto" w:fill="auto"/>
                <w:lang w:val="en-US" w:eastAsia="zh-CN" w:bidi="ar"/>
              </w:rPr>
            </w:pPr>
            <w:r>
              <w:rPr>
                <w:rFonts w:hint="eastAsia" w:ascii="宋体" w:hAnsi="宋体" w:cs="宋体"/>
                <w:sz w:val="24"/>
                <w:highlight w:val="none"/>
                <w:shd w:val="clear" w:color="auto" w:fill="auto"/>
                <w:lang w:bidi="ar"/>
              </w:rPr>
              <w:t>货物或者在途货物或者交付给第一承运人后的货物毁损、灭失的风险负担均由乙方负责，并承担延期交货的违约责任。</w:t>
            </w:r>
          </w:p>
        </w:tc>
      </w:tr>
      <w:tr w14:paraId="68C7F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33022338">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2.12.3</w:t>
            </w:r>
          </w:p>
        </w:tc>
        <w:tc>
          <w:tcPr>
            <w:tcW w:w="4510" w:type="pct"/>
            <w:vAlign w:val="center"/>
          </w:tcPr>
          <w:p w14:paraId="19AAB2B8">
            <w:pPr>
              <w:spacing w:line="360" w:lineRule="auto"/>
              <w:rPr>
                <w:rFonts w:hint="eastAsia" w:ascii="宋体" w:hAnsi="宋体" w:cs="宋体"/>
                <w:sz w:val="24"/>
                <w:highlight w:val="none"/>
                <w:shd w:val="clear" w:color="auto" w:fill="auto"/>
                <w:lang w:val="en-US" w:eastAsia="zh-CN" w:bidi="ar"/>
              </w:rPr>
            </w:pPr>
            <w:r>
              <w:rPr>
                <w:rFonts w:hint="eastAsia" w:ascii="宋体" w:hAnsi="宋体" w:cs="宋体"/>
                <w:sz w:val="24"/>
                <w:highlight w:val="none"/>
                <w:shd w:val="clear" w:color="auto" w:fill="auto"/>
                <w:lang w:bidi="ar"/>
              </w:rPr>
              <w:t>不可抗力时间发生后7天内以书面形式变更合同。</w:t>
            </w:r>
          </w:p>
        </w:tc>
      </w:tr>
      <w:tr w14:paraId="1E0D4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36985E61">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2.12.4</w:t>
            </w:r>
          </w:p>
        </w:tc>
        <w:tc>
          <w:tcPr>
            <w:tcW w:w="4510" w:type="pct"/>
            <w:vAlign w:val="center"/>
          </w:tcPr>
          <w:p w14:paraId="253E34DA">
            <w:pPr>
              <w:spacing w:line="360" w:lineRule="auto"/>
              <w:rPr>
                <w:rFonts w:hint="eastAsia" w:ascii="宋体" w:hAnsi="宋体" w:cs="宋体"/>
                <w:sz w:val="24"/>
                <w:highlight w:val="none"/>
                <w:shd w:val="clear" w:color="auto" w:fill="auto"/>
                <w:lang w:val="en-US" w:eastAsia="zh-CN" w:bidi="ar"/>
              </w:rPr>
            </w:pPr>
            <w:r>
              <w:rPr>
                <w:rFonts w:hint="eastAsia" w:ascii="宋体" w:hAnsi="宋体" w:cs="宋体"/>
                <w:sz w:val="24"/>
                <w:highlight w:val="none"/>
                <w:shd w:val="clear" w:color="auto" w:fill="auto"/>
                <w:lang w:bidi="ar"/>
              </w:rPr>
              <w:t>受不可抗力影响的一方在不可抗力发生后，应在1个工作日内以书面形式通知对方当事人，并在3个工作日内，将有关部门出具的证明文件送达对方当事人。</w:t>
            </w:r>
          </w:p>
        </w:tc>
      </w:tr>
      <w:tr w14:paraId="19A73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07B612ED">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2.16.1</w:t>
            </w:r>
          </w:p>
        </w:tc>
        <w:tc>
          <w:tcPr>
            <w:tcW w:w="4510" w:type="pct"/>
            <w:vAlign w:val="center"/>
          </w:tcPr>
          <w:p w14:paraId="7E397713">
            <w:pPr>
              <w:spacing w:line="360" w:lineRule="auto"/>
              <w:rPr>
                <w:rFonts w:ascii="宋体" w:hAnsi="宋体" w:cs="宋体" w:eastAsiaTheme="minorEastAsia"/>
                <w:kern w:val="2"/>
                <w:sz w:val="24"/>
                <w:szCs w:val="24"/>
                <w:highlight w:val="none"/>
                <w:shd w:val="clear" w:color="auto" w:fill="auto"/>
                <w:lang w:val="en-US" w:eastAsia="zh-CN" w:bidi="ar-SA"/>
              </w:rPr>
            </w:pPr>
            <w:r>
              <w:rPr>
                <w:rFonts w:hint="eastAsia" w:ascii="宋体" w:hAnsi="宋体" w:cs="宋体"/>
                <w:sz w:val="24"/>
                <w:highlight w:val="none"/>
                <w:shd w:val="clear" w:color="auto" w:fill="auto"/>
                <w:lang w:bidi="ar"/>
              </w:rPr>
              <w:t>提交申请后30天内。</w:t>
            </w:r>
          </w:p>
        </w:tc>
      </w:tr>
      <w:tr w14:paraId="78834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89" w:type="pct"/>
            <w:tcBorders>
              <w:left w:val="single" w:color="auto" w:sz="4" w:space="0"/>
            </w:tcBorders>
            <w:vAlign w:val="center"/>
          </w:tcPr>
          <w:p w14:paraId="42BC3D54">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2.16.3</w:t>
            </w:r>
          </w:p>
        </w:tc>
        <w:tc>
          <w:tcPr>
            <w:tcW w:w="4510" w:type="pct"/>
            <w:vAlign w:val="center"/>
          </w:tcPr>
          <w:p w14:paraId="78ED6B17">
            <w:pPr>
              <w:spacing w:line="360" w:lineRule="auto"/>
              <w:rPr>
                <w:rFonts w:ascii="宋体" w:hAnsi="宋体" w:cs="宋体" w:eastAsiaTheme="minorEastAsia"/>
                <w:kern w:val="2"/>
                <w:sz w:val="24"/>
                <w:szCs w:val="24"/>
                <w:highlight w:val="none"/>
                <w:shd w:val="clear" w:color="auto" w:fill="auto"/>
                <w:lang w:val="en-US" w:eastAsia="zh-CN" w:bidi="ar-SA"/>
              </w:rPr>
            </w:pPr>
            <w:r>
              <w:rPr>
                <w:rFonts w:hint="eastAsia" w:ascii="宋体" w:hAnsi="宋体" w:cs="宋体"/>
                <w:sz w:val="24"/>
                <w:highlight w:val="none"/>
                <w:shd w:val="clear" w:color="auto" w:fill="auto"/>
                <w:lang w:bidi="ar"/>
              </w:rPr>
              <w:t>检验和验收标准，以及前述验收文件的有效性以招标采购需求为准。</w:t>
            </w:r>
          </w:p>
        </w:tc>
      </w:tr>
      <w:tr w14:paraId="410CE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89" w:type="pct"/>
            <w:tcBorders>
              <w:left w:val="single" w:color="auto" w:sz="4" w:space="0"/>
            </w:tcBorders>
            <w:vAlign w:val="center"/>
          </w:tcPr>
          <w:p w14:paraId="2066266E">
            <w:pPr>
              <w:spacing w:line="360" w:lineRule="auto"/>
              <w:ind w:left="-420" w:leftChars="-200" w:right="-420" w:rightChars="-200" w:firstLine="480" w:firstLineChars="200"/>
              <w:outlineLvl w:val="0"/>
              <w:rPr>
                <w:rFonts w:ascii="宋体" w:hAnsi="宋体" w:cs="宋体"/>
                <w:sz w:val="24"/>
                <w:highlight w:val="none"/>
                <w:shd w:val="clear" w:color="auto" w:fill="auto"/>
              </w:rPr>
            </w:pPr>
            <w:r>
              <w:rPr>
                <w:rFonts w:hint="eastAsia" w:ascii="宋体" w:hAnsi="宋体" w:cs="宋体"/>
                <w:sz w:val="24"/>
                <w:highlight w:val="none"/>
                <w:shd w:val="clear" w:color="auto" w:fill="auto"/>
              </w:rPr>
              <w:t xml:space="preserve">2.20 </w:t>
            </w:r>
          </w:p>
        </w:tc>
        <w:tc>
          <w:tcPr>
            <w:tcW w:w="4510" w:type="pct"/>
            <w:vAlign w:val="center"/>
          </w:tcPr>
          <w:p w14:paraId="3DFDA06B">
            <w:pPr>
              <w:spacing w:line="360" w:lineRule="auto"/>
              <w:rPr>
                <w:rFonts w:ascii="宋体" w:hAnsi="宋体" w:eastAsia="宋体" w:cs="宋体"/>
                <w:kern w:val="2"/>
                <w:sz w:val="24"/>
                <w:szCs w:val="24"/>
                <w:highlight w:val="none"/>
                <w:shd w:val="clear" w:color="auto" w:fill="auto"/>
                <w:lang w:val="en-US" w:eastAsia="zh-CN" w:bidi="ar-SA"/>
              </w:rPr>
            </w:pPr>
            <w:r>
              <w:rPr>
                <w:rFonts w:hint="eastAsia" w:cs="仿宋" w:asciiTheme="minorEastAsia" w:hAnsiTheme="minorEastAsia"/>
                <w:color w:val="auto"/>
                <w:sz w:val="24"/>
                <w:highlight w:val="none"/>
                <w:shd w:val="clear" w:color="auto" w:fill="auto"/>
              </w:rPr>
              <w:t>本合同一式六份，双方各执三份。</w:t>
            </w:r>
          </w:p>
        </w:tc>
      </w:tr>
      <w:bookmarkEnd w:id="421"/>
    </w:tbl>
    <w:p w14:paraId="5EAA7275">
      <w:pPr>
        <w:spacing w:line="360" w:lineRule="auto"/>
        <w:ind w:left="-420" w:leftChars="-200" w:right="-420" w:rightChars="-200" w:firstLine="480" w:firstLineChars="200"/>
        <w:rPr>
          <w:rFonts w:ascii="宋体" w:hAnsi="宋体" w:cs="宋体"/>
          <w:sz w:val="24"/>
          <w:shd w:val="clear" w:color="auto" w:fill="auto"/>
        </w:rPr>
      </w:pPr>
    </w:p>
    <w:p w14:paraId="39FFE1D7">
      <w:pPr>
        <w:spacing w:line="360" w:lineRule="auto"/>
        <w:ind w:left="-420" w:leftChars="-200" w:right="-420" w:rightChars="-200"/>
        <w:rPr>
          <w:rFonts w:ascii="宋体" w:hAnsi="宋体" w:cs="宋体"/>
          <w:sz w:val="24"/>
          <w:shd w:val="clear" w:color="auto" w:fill="auto"/>
        </w:rPr>
      </w:pPr>
    </w:p>
    <w:p w14:paraId="4BF23E57">
      <w:pPr>
        <w:spacing w:line="480" w:lineRule="auto"/>
        <w:jc w:val="center"/>
        <w:rPr>
          <w:rFonts w:ascii="宋体" w:hAnsi="宋体" w:cs="宋体"/>
          <w:b/>
          <w:color w:val="auto"/>
          <w:sz w:val="28"/>
          <w:szCs w:val="28"/>
          <w:highlight w:val="none"/>
        </w:rPr>
      </w:pPr>
    </w:p>
    <w:p w14:paraId="03A71B8C">
      <w:pPr>
        <w:spacing w:line="480" w:lineRule="auto"/>
        <w:jc w:val="center"/>
        <w:rPr>
          <w:rFonts w:ascii="宋体" w:hAnsi="宋体" w:cs="宋体"/>
          <w:b/>
          <w:color w:val="auto"/>
          <w:sz w:val="28"/>
          <w:szCs w:val="28"/>
          <w:highlight w:val="none"/>
        </w:rPr>
      </w:pPr>
    </w:p>
    <w:p w14:paraId="4022B182">
      <w:pPr>
        <w:spacing w:line="480" w:lineRule="auto"/>
        <w:jc w:val="center"/>
        <w:rPr>
          <w:rFonts w:ascii="宋体" w:hAnsi="宋体" w:cs="宋体"/>
          <w:b/>
          <w:color w:val="auto"/>
          <w:sz w:val="28"/>
          <w:szCs w:val="28"/>
          <w:highlight w:val="none"/>
        </w:rPr>
      </w:pPr>
    </w:p>
    <w:p w14:paraId="6D3B6440">
      <w:pPr>
        <w:spacing w:line="480" w:lineRule="auto"/>
        <w:jc w:val="center"/>
        <w:rPr>
          <w:rFonts w:ascii="宋体" w:hAnsi="宋体" w:cs="宋体"/>
          <w:b/>
          <w:color w:val="auto"/>
          <w:sz w:val="28"/>
          <w:szCs w:val="28"/>
          <w:highlight w:val="none"/>
        </w:rPr>
      </w:pPr>
    </w:p>
    <w:p w14:paraId="182B534F">
      <w:pPr>
        <w:spacing w:line="480" w:lineRule="auto"/>
        <w:jc w:val="center"/>
        <w:rPr>
          <w:rFonts w:ascii="宋体" w:hAnsi="宋体" w:cs="宋体"/>
          <w:b/>
          <w:color w:val="auto"/>
          <w:sz w:val="28"/>
          <w:szCs w:val="28"/>
          <w:highlight w:val="none"/>
        </w:rPr>
      </w:pPr>
    </w:p>
    <w:p w14:paraId="3E740FBD">
      <w:pPr>
        <w:spacing w:line="480" w:lineRule="auto"/>
        <w:jc w:val="center"/>
        <w:rPr>
          <w:rFonts w:ascii="宋体" w:hAnsi="宋体" w:cs="宋体"/>
          <w:b/>
          <w:color w:val="auto"/>
          <w:sz w:val="28"/>
          <w:szCs w:val="28"/>
          <w:highlight w:val="none"/>
        </w:rPr>
      </w:pPr>
    </w:p>
    <w:p w14:paraId="10F59F14">
      <w:pPr>
        <w:spacing w:line="480" w:lineRule="auto"/>
        <w:jc w:val="center"/>
        <w:rPr>
          <w:rFonts w:ascii="宋体" w:hAnsi="宋体" w:cs="宋体"/>
          <w:b/>
          <w:color w:val="auto"/>
          <w:sz w:val="28"/>
          <w:szCs w:val="28"/>
          <w:highlight w:val="none"/>
        </w:rPr>
      </w:pPr>
    </w:p>
    <w:p w14:paraId="61D841FB">
      <w:pPr>
        <w:spacing w:line="480" w:lineRule="auto"/>
        <w:jc w:val="center"/>
        <w:rPr>
          <w:rFonts w:ascii="宋体" w:hAnsi="宋体" w:cs="宋体"/>
          <w:b/>
          <w:color w:val="auto"/>
          <w:sz w:val="28"/>
          <w:szCs w:val="28"/>
          <w:highlight w:val="none"/>
        </w:rPr>
      </w:pPr>
    </w:p>
    <w:p w14:paraId="31691F6B">
      <w:pPr>
        <w:spacing w:line="480" w:lineRule="auto"/>
        <w:jc w:val="center"/>
        <w:rPr>
          <w:rFonts w:ascii="宋体" w:hAnsi="宋体" w:cs="宋体"/>
          <w:b/>
          <w:color w:val="auto"/>
          <w:sz w:val="28"/>
          <w:szCs w:val="28"/>
          <w:highlight w:val="none"/>
        </w:rPr>
      </w:pPr>
    </w:p>
    <w:p w14:paraId="4A1B5F62">
      <w:pPr>
        <w:spacing w:line="480" w:lineRule="auto"/>
        <w:jc w:val="center"/>
        <w:rPr>
          <w:rFonts w:ascii="宋体" w:hAnsi="宋体" w:cs="宋体"/>
          <w:b/>
          <w:color w:val="auto"/>
          <w:sz w:val="28"/>
          <w:szCs w:val="28"/>
          <w:highlight w:val="none"/>
        </w:rPr>
      </w:pPr>
    </w:p>
    <w:p w14:paraId="4860419D">
      <w:pPr>
        <w:spacing w:line="480" w:lineRule="auto"/>
        <w:jc w:val="both"/>
        <w:rPr>
          <w:rFonts w:ascii="宋体" w:hAnsi="宋体" w:cs="宋体"/>
          <w:b/>
          <w:color w:val="auto"/>
          <w:sz w:val="28"/>
          <w:szCs w:val="28"/>
          <w:highlight w:val="none"/>
        </w:rPr>
      </w:pPr>
    </w:p>
    <w:p w14:paraId="29EAB73D">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19"/>
      <w:r>
        <w:rPr>
          <w:rFonts w:hint="eastAsia" w:ascii="宋体" w:hAnsi="宋体" w:cs="宋体"/>
          <w:b/>
          <w:color w:val="auto"/>
          <w:sz w:val="36"/>
          <w:szCs w:val="20"/>
          <w:highlight w:val="none"/>
        </w:rPr>
        <w:t xml:space="preserve"> </w:t>
      </w:r>
      <w:bookmarkEnd w:id="420"/>
      <w:r>
        <w:rPr>
          <w:rFonts w:hint="eastAsia" w:ascii="宋体" w:hAnsi="宋体" w:cs="宋体"/>
          <w:b/>
          <w:color w:val="auto"/>
          <w:sz w:val="36"/>
          <w:szCs w:val="20"/>
          <w:highlight w:val="none"/>
        </w:rPr>
        <w:t>应提交的有关格式范例</w:t>
      </w:r>
    </w:p>
    <w:p w14:paraId="017ACC75">
      <w:pPr>
        <w:bidi w:val="0"/>
      </w:pPr>
    </w:p>
    <w:p w14:paraId="58548445">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4F5E048">
      <w:pPr>
        <w:spacing w:line="360" w:lineRule="auto"/>
        <w:jc w:val="center"/>
        <w:outlineLvl w:val="9"/>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7B55927">
      <w:pPr>
        <w:bidi w:val="0"/>
      </w:pPr>
    </w:p>
    <w:p w14:paraId="65515D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625F07D8">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68D039B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938D3C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66FE12A5">
      <w:pPr>
        <w:snapToGrid w:val="0"/>
        <w:spacing w:line="360" w:lineRule="auto"/>
        <w:ind w:firstLine="480" w:firstLineChars="200"/>
        <w:rPr>
          <w:rFonts w:ascii="宋体" w:hAnsi="宋体" w:cs="宋体"/>
          <w:color w:val="auto"/>
          <w:sz w:val="24"/>
          <w:highlight w:val="none"/>
        </w:rPr>
      </w:pPr>
    </w:p>
    <w:p w14:paraId="750E12BC">
      <w:pPr>
        <w:spacing w:line="360" w:lineRule="auto"/>
        <w:ind w:firstLine="480" w:firstLineChars="200"/>
        <w:rPr>
          <w:rFonts w:ascii="宋体" w:hAnsi="宋体" w:cs="宋体"/>
          <w:color w:val="auto"/>
          <w:sz w:val="24"/>
          <w:highlight w:val="none"/>
        </w:rPr>
      </w:pPr>
    </w:p>
    <w:p w14:paraId="13AAB88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一、符合参加政府采购活动应当具备的一般条件的承诺函</w:t>
      </w:r>
    </w:p>
    <w:p w14:paraId="6095460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6C46D4A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37B65702">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5B7C94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92AE89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CF8D4E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64BF9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A6A8F9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DF23E6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08F9A68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032BFC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2CB2481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60CEEF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0905A3B9">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33339CD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1CCA646">
      <w:pPr>
        <w:snapToGrid w:val="0"/>
        <w:spacing w:line="360" w:lineRule="auto"/>
        <w:ind w:right="480"/>
        <w:jc w:val="center"/>
        <w:rPr>
          <w:rFonts w:ascii="宋体" w:hAnsi="宋体" w:cs="宋体"/>
          <w:b/>
          <w:color w:val="auto"/>
          <w:kern w:val="0"/>
          <w:sz w:val="32"/>
          <w:szCs w:val="32"/>
          <w:highlight w:val="none"/>
        </w:rPr>
      </w:pPr>
    </w:p>
    <w:p w14:paraId="55A74528">
      <w:pPr>
        <w:snapToGrid w:val="0"/>
        <w:spacing w:line="360" w:lineRule="auto"/>
        <w:ind w:right="480" w:firstLine="559" w:firstLineChars="233"/>
        <w:jc w:val="left"/>
        <w:rPr>
          <w:rFonts w:hint="eastAsia" w:ascii="宋体" w:hAnsi="宋体" w:cs="宋体"/>
          <w:b/>
          <w:color w:val="auto"/>
          <w:kern w:val="0"/>
          <w:sz w:val="32"/>
          <w:szCs w:val="32"/>
          <w:highlight w:val="none"/>
        </w:rPr>
      </w:pPr>
      <w:r>
        <w:rPr>
          <w:rFonts w:hint="eastAsia" w:cs="仿宋_GB2312" w:asciiTheme="minorEastAsia" w:hAnsiTheme="minorEastAsia" w:eastAsiaTheme="minorEastAsia"/>
          <w:sz w:val="24"/>
          <w:highlight w:val="none"/>
        </w:rPr>
        <w:t>注：根据《</w:t>
      </w:r>
      <w:r>
        <w:rPr>
          <w:rFonts w:cs="仿宋_GB2312" w:asciiTheme="minorEastAsia" w:hAnsiTheme="minorEastAsia" w:eastAsiaTheme="minorEastAsia"/>
          <w:sz w:val="24"/>
          <w:highlight w:val="none"/>
        </w:rPr>
        <w:t>关于规范政府采购供应商资格设定及资格审查的通知</w:t>
      </w:r>
      <w:r>
        <w:rPr>
          <w:rFonts w:hint="eastAsia" w:cs="仿宋_GB2312" w:asciiTheme="minorEastAsia" w:hAnsiTheme="minorEastAsia" w:eastAsiaTheme="minorEastAsia"/>
          <w:sz w:val="24"/>
          <w:highlight w:val="none"/>
        </w:rPr>
        <w:t>》（</w:t>
      </w:r>
      <w:r>
        <w:rPr>
          <w:rFonts w:cs="仿宋_GB2312" w:asciiTheme="minorEastAsia" w:hAnsiTheme="minorEastAsia" w:eastAsiaTheme="minorEastAsia"/>
          <w:sz w:val="24"/>
          <w:highlight w:val="none"/>
        </w:rPr>
        <w:t>浙财采监[2013]24号</w:t>
      </w:r>
      <w:r>
        <w:rPr>
          <w:rFonts w:hint="eastAsia" w:cs="仿宋_GB2312" w:asciiTheme="minorEastAsia" w:hAnsiTheme="minorEastAsia" w:eastAsiaTheme="minorEastAsia"/>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0ED0679">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24BBC7B1">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6EBE2511">
      <w:pPr>
        <w:snapToGrid w:val="0"/>
        <w:spacing w:line="360" w:lineRule="auto"/>
        <w:ind w:right="480"/>
        <w:jc w:val="center"/>
        <w:rPr>
          <w:rFonts w:ascii="宋体" w:hAnsi="宋体" w:cs="宋体"/>
          <w:b/>
          <w:color w:val="auto"/>
          <w:kern w:val="0"/>
          <w:sz w:val="32"/>
          <w:szCs w:val="32"/>
          <w:highlight w:val="none"/>
        </w:rPr>
      </w:pPr>
    </w:p>
    <w:p w14:paraId="72A99DD7">
      <w:pPr>
        <w:snapToGrid w:val="0"/>
        <w:spacing w:line="360" w:lineRule="auto"/>
        <w:ind w:right="480"/>
        <w:jc w:val="center"/>
        <w:rPr>
          <w:rFonts w:ascii="宋体" w:hAnsi="宋体" w:cs="宋体"/>
          <w:b/>
          <w:color w:val="auto"/>
          <w:kern w:val="0"/>
          <w:sz w:val="32"/>
          <w:szCs w:val="32"/>
          <w:highlight w:val="none"/>
        </w:rPr>
      </w:pPr>
    </w:p>
    <w:p w14:paraId="06DF1CF6">
      <w:pPr>
        <w:snapToGrid w:val="0"/>
        <w:spacing w:line="360" w:lineRule="auto"/>
        <w:ind w:right="480"/>
        <w:jc w:val="center"/>
        <w:rPr>
          <w:rFonts w:hint="eastAsia" w:ascii="宋体" w:hAnsi="宋体" w:eastAsia="宋体" w:cs="宋体"/>
          <w:b/>
          <w:color w:val="auto"/>
          <w:kern w:val="0"/>
          <w:sz w:val="32"/>
          <w:szCs w:val="32"/>
          <w:highlight w:val="none"/>
          <w:lang w:eastAsia="zh-CN"/>
        </w:rPr>
      </w:pPr>
      <w:r>
        <w:rPr>
          <w:rFonts w:hint="eastAsia" w:ascii="宋体" w:hAnsi="宋体" w:cs="宋体"/>
          <w:b/>
          <w:color w:val="auto"/>
          <w:kern w:val="0"/>
          <w:sz w:val="32"/>
          <w:szCs w:val="32"/>
          <w:highlight w:val="none"/>
        </w:rPr>
        <w:t>三、落实政府采购政策需满足的资格要求</w:t>
      </w:r>
      <w:r>
        <w:rPr>
          <w:rFonts w:hint="eastAsia" w:ascii="宋体" w:hAnsi="宋体" w:cs="宋体"/>
          <w:b/>
          <w:color w:val="auto"/>
          <w:kern w:val="0"/>
          <w:sz w:val="32"/>
          <w:szCs w:val="32"/>
          <w:highlight w:val="none"/>
          <w:lang w:eastAsia="zh-CN"/>
        </w:rPr>
        <w:t>（如果有）</w:t>
      </w:r>
    </w:p>
    <w:p w14:paraId="23FB6C10">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6109D5D1">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77AAD36A">
      <w:pPr>
        <w:widowControl/>
        <w:spacing w:line="360" w:lineRule="auto"/>
        <w:ind w:firstLine="480"/>
        <w:jc w:val="left"/>
        <w:rPr>
          <w:rFonts w:ascii="宋体" w:hAnsi="宋体" w:cs="宋体"/>
          <w:color w:val="auto"/>
          <w:sz w:val="24"/>
          <w:highlight w:val="none"/>
        </w:rPr>
      </w:pPr>
    </w:p>
    <w:p w14:paraId="6AFE6D02">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70D11847">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4A3E076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2531EBB1">
      <w:pPr>
        <w:widowControl/>
        <w:spacing w:line="360" w:lineRule="auto"/>
        <w:ind w:left="150"/>
        <w:jc w:val="center"/>
        <w:rPr>
          <w:rFonts w:ascii="宋体" w:hAnsi="宋体" w:cs="宋体"/>
          <w:b/>
          <w:color w:val="auto"/>
          <w:kern w:val="0"/>
          <w:sz w:val="32"/>
          <w:szCs w:val="32"/>
          <w:highlight w:val="none"/>
        </w:rPr>
      </w:pPr>
    </w:p>
    <w:p w14:paraId="283E4B93">
      <w:pPr>
        <w:widowControl/>
        <w:spacing w:line="360" w:lineRule="auto"/>
        <w:ind w:left="150"/>
        <w:jc w:val="center"/>
        <w:rPr>
          <w:rFonts w:hint="eastAsia" w:ascii="宋体" w:hAnsi="宋体" w:eastAsia="宋体" w:cs="宋体"/>
          <w:b/>
          <w:color w:val="auto"/>
          <w:kern w:val="0"/>
          <w:sz w:val="32"/>
          <w:szCs w:val="32"/>
          <w:highlight w:val="none"/>
          <w:lang w:eastAsia="zh-CN"/>
        </w:rPr>
      </w:pPr>
      <w:r>
        <w:rPr>
          <w:rFonts w:hint="eastAsia" w:ascii="宋体" w:hAnsi="宋体" w:cs="宋体"/>
          <w:b/>
          <w:color w:val="auto"/>
          <w:kern w:val="0"/>
          <w:sz w:val="32"/>
          <w:szCs w:val="32"/>
          <w:highlight w:val="none"/>
        </w:rPr>
        <w:t>四、本项目的特定资格要求</w:t>
      </w:r>
      <w:r>
        <w:rPr>
          <w:rFonts w:hint="eastAsia" w:ascii="宋体" w:hAnsi="宋体" w:cs="宋体"/>
          <w:b/>
          <w:color w:val="auto"/>
          <w:kern w:val="0"/>
          <w:sz w:val="32"/>
          <w:szCs w:val="32"/>
          <w:highlight w:val="none"/>
          <w:lang w:eastAsia="zh-CN"/>
        </w:rPr>
        <w:t>（如果有）</w:t>
      </w:r>
    </w:p>
    <w:p w14:paraId="3CE565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110A533F">
      <w:pPr>
        <w:rPr>
          <w:rFonts w:ascii="宋体" w:hAnsi="宋体" w:cs="宋体"/>
          <w:color w:val="auto"/>
          <w:highlight w:val="none"/>
        </w:rPr>
      </w:pPr>
    </w:p>
    <w:p w14:paraId="1B731455">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70397B5">
      <w:pPr>
        <w:spacing w:line="360" w:lineRule="auto"/>
        <w:ind w:right="420"/>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55E0C368">
      <w:pPr>
        <w:spacing w:line="360" w:lineRule="auto"/>
        <w:jc w:val="center"/>
        <w:outlineLvl w:val="9"/>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332E681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21E30B5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454931EE">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167A245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2FA8098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052D6BC5">
      <w:pPr>
        <w:snapToGrid w:val="0"/>
        <w:spacing w:line="360" w:lineRule="auto"/>
        <w:jc w:val="center"/>
        <w:rPr>
          <w:rFonts w:ascii="宋体" w:hAnsi="宋体" w:cs="宋体"/>
          <w:b/>
          <w:color w:val="auto"/>
          <w:kern w:val="0"/>
          <w:sz w:val="32"/>
          <w:szCs w:val="32"/>
          <w:highlight w:val="none"/>
          <w:lang w:val="zh-CN"/>
        </w:rPr>
      </w:pPr>
    </w:p>
    <w:p w14:paraId="1D84B6D3">
      <w:pPr>
        <w:snapToGrid w:val="0"/>
        <w:spacing w:line="360" w:lineRule="auto"/>
        <w:jc w:val="center"/>
        <w:rPr>
          <w:rFonts w:ascii="宋体" w:hAnsi="宋体" w:cs="宋体"/>
          <w:b/>
          <w:color w:val="auto"/>
          <w:kern w:val="0"/>
          <w:sz w:val="32"/>
          <w:szCs w:val="32"/>
          <w:highlight w:val="none"/>
          <w:lang w:val="zh-CN"/>
        </w:rPr>
      </w:pPr>
    </w:p>
    <w:p w14:paraId="0CEC0213">
      <w:pPr>
        <w:snapToGrid w:val="0"/>
        <w:spacing w:line="360" w:lineRule="auto"/>
        <w:jc w:val="center"/>
        <w:rPr>
          <w:rFonts w:ascii="宋体" w:hAnsi="宋体" w:cs="宋体"/>
          <w:b/>
          <w:color w:val="auto"/>
          <w:kern w:val="0"/>
          <w:sz w:val="32"/>
          <w:szCs w:val="32"/>
          <w:highlight w:val="none"/>
          <w:lang w:val="zh-CN"/>
        </w:rPr>
      </w:pPr>
    </w:p>
    <w:p w14:paraId="11BD7100">
      <w:pPr>
        <w:snapToGrid w:val="0"/>
        <w:spacing w:line="360" w:lineRule="auto"/>
        <w:jc w:val="center"/>
        <w:rPr>
          <w:rFonts w:ascii="宋体" w:hAnsi="宋体" w:cs="宋体"/>
          <w:b/>
          <w:color w:val="auto"/>
          <w:kern w:val="0"/>
          <w:sz w:val="32"/>
          <w:szCs w:val="32"/>
          <w:highlight w:val="none"/>
          <w:lang w:val="zh-CN"/>
        </w:rPr>
      </w:pPr>
    </w:p>
    <w:p w14:paraId="4A12604B">
      <w:r>
        <w:rPr>
          <w:rFonts w:ascii="宋体" w:hAnsi="宋体" w:cs="宋体"/>
          <w:b/>
          <w:color w:val="auto"/>
          <w:kern w:val="0"/>
          <w:sz w:val="32"/>
          <w:szCs w:val="32"/>
          <w:highlight w:val="none"/>
          <w:lang w:val="zh-CN"/>
        </w:rPr>
        <w:br w:type="page"/>
      </w:r>
    </w:p>
    <w:p w14:paraId="790F2E11">
      <w:pPr>
        <w:snapToGrid w:val="0"/>
        <w:spacing w:line="360" w:lineRule="auto"/>
        <w:jc w:val="center"/>
        <w:outlineLvl w:val="2"/>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747BD30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lang w:eastAsia="zh-CN"/>
        </w:rPr>
        <w:t>杭州市公共资源交易中心临安分中心</w:t>
      </w:r>
      <w:r>
        <w:rPr>
          <w:rFonts w:hint="eastAsia" w:ascii="宋体" w:hAnsi="宋体" w:cs="宋体"/>
          <w:color w:val="auto"/>
          <w:sz w:val="24"/>
          <w:highlight w:val="none"/>
        </w:rPr>
        <w:t>：</w:t>
      </w:r>
    </w:p>
    <w:p w14:paraId="3D7838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3CDD47F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C7F2C0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281C013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259DBCA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4476C8D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224A410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D3C6DD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833DC86">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42059D5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5EC2C01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50886D4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BD874C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39BEF1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0F55F6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7C3479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703ABFB">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5B2B66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1B82B89C">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6B537E20">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2.3.2关于符合本国产品标准的声明函或财政部会同有关部门规定的有关证明文件（如果有）；</w:t>
      </w:r>
    </w:p>
    <w:p w14:paraId="3D1C531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5A287B7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8007B0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3787A4F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663B15D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613EFD5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297EE1C5">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335C7DFC">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7D51981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90E95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7ED4BF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D223791">
      <w:pPr>
        <w:snapToGrid w:val="0"/>
        <w:spacing w:line="360" w:lineRule="auto"/>
        <w:ind w:left="420" w:leftChars="200" w:firstLine="4200" w:firstLineChars="1750"/>
        <w:rPr>
          <w:rFonts w:ascii="宋体" w:hAnsi="宋体" w:cs="宋体"/>
          <w:color w:val="auto"/>
          <w:kern w:val="0"/>
          <w:sz w:val="24"/>
          <w:highlight w:val="none"/>
          <w:u w:val="single"/>
        </w:rPr>
      </w:pPr>
    </w:p>
    <w:p w14:paraId="1A7389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B9604C3">
      <w:pPr>
        <w:snapToGrid w:val="0"/>
        <w:spacing w:line="360" w:lineRule="auto"/>
        <w:jc w:val="center"/>
        <w:rPr>
          <w:rFonts w:ascii="宋体" w:hAnsi="宋体" w:cs="宋体"/>
          <w:b/>
          <w:color w:val="auto"/>
          <w:kern w:val="0"/>
          <w:sz w:val="32"/>
          <w:szCs w:val="32"/>
          <w:highlight w:val="none"/>
        </w:rPr>
      </w:pPr>
    </w:p>
    <w:p w14:paraId="647C31AC">
      <w:pPr>
        <w:snapToGrid w:val="0"/>
        <w:spacing w:line="360" w:lineRule="auto"/>
        <w:rPr>
          <w:rFonts w:ascii="宋体" w:hAnsi="宋体" w:cs="宋体"/>
          <w:color w:val="auto"/>
          <w:sz w:val="24"/>
          <w:highlight w:val="none"/>
        </w:rPr>
      </w:pPr>
    </w:p>
    <w:p w14:paraId="3CC81E85">
      <w:pPr>
        <w:jc w:val="center"/>
        <w:rPr>
          <w:rFonts w:ascii="宋体" w:hAnsi="宋体" w:cs="宋体"/>
          <w:b/>
          <w:color w:val="auto"/>
          <w:kern w:val="0"/>
          <w:sz w:val="32"/>
          <w:szCs w:val="32"/>
          <w:highlight w:val="none"/>
        </w:rPr>
      </w:pPr>
    </w:p>
    <w:p w14:paraId="28C9099F">
      <w:pPr>
        <w:jc w:val="center"/>
        <w:rPr>
          <w:rFonts w:ascii="宋体" w:hAnsi="宋体" w:cs="宋体"/>
          <w:b/>
          <w:color w:val="auto"/>
          <w:kern w:val="0"/>
          <w:sz w:val="32"/>
          <w:szCs w:val="32"/>
          <w:highlight w:val="none"/>
        </w:rPr>
      </w:pPr>
    </w:p>
    <w:p w14:paraId="53D40722">
      <w:pPr>
        <w:jc w:val="center"/>
        <w:rPr>
          <w:rFonts w:ascii="宋体" w:hAnsi="宋体" w:cs="宋体"/>
          <w:b/>
          <w:color w:val="auto"/>
          <w:kern w:val="0"/>
          <w:sz w:val="32"/>
          <w:szCs w:val="32"/>
          <w:highlight w:val="none"/>
        </w:rPr>
      </w:pPr>
    </w:p>
    <w:p w14:paraId="702D6A22">
      <w:pPr>
        <w:jc w:val="center"/>
        <w:rPr>
          <w:rFonts w:ascii="宋体" w:hAnsi="宋体" w:cs="宋体"/>
          <w:b/>
          <w:color w:val="auto"/>
          <w:kern w:val="0"/>
          <w:sz w:val="32"/>
          <w:szCs w:val="32"/>
          <w:highlight w:val="none"/>
        </w:rPr>
      </w:pPr>
    </w:p>
    <w:p w14:paraId="03606626">
      <w:pPr>
        <w:jc w:val="center"/>
        <w:rPr>
          <w:rFonts w:ascii="宋体" w:hAnsi="宋体" w:cs="宋体"/>
          <w:b/>
          <w:color w:val="auto"/>
          <w:kern w:val="0"/>
          <w:sz w:val="32"/>
          <w:szCs w:val="32"/>
          <w:highlight w:val="none"/>
        </w:rPr>
      </w:pPr>
    </w:p>
    <w:p w14:paraId="5A269BC7">
      <w:pPr>
        <w:jc w:val="center"/>
        <w:rPr>
          <w:rFonts w:ascii="宋体" w:hAnsi="宋体" w:cs="宋体"/>
          <w:b/>
          <w:color w:val="auto"/>
          <w:kern w:val="0"/>
          <w:sz w:val="32"/>
          <w:szCs w:val="32"/>
          <w:highlight w:val="none"/>
        </w:rPr>
      </w:pPr>
    </w:p>
    <w:p w14:paraId="23652CF4">
      <w:pPr>
        <w:jc w:val="center"/>
        <w:rPr>
          <w:rFonts w:ascii="宋体" w:hAnsi="宋体" w:cs="宋体"/>
          <w:b/>
          <w:color w:val="auto"/>
          <w:kern w:val="0"/>
          <w:sz w:val="32"/>
          <w:szCs w:val="32"/>
          <w:highlight w:val="none"/>
        </w:rPr>
      </w:pPr>
    </w:p>
    <w:p w14:paraId="31AF3301">
      <w:pPr>
        <w:jc w:val="center"/>
        <w:rPr>
          <w:rFonts w:ascii="宋体" w:hAnsi="宋体" w:cs="宋体"/>
          <w:b/>
          <w:color w:val="auto"/>
          <w:kern w:val="0"/>
          <w:sz w:val="32"/>
          <w:szCs w:val="32"/>
          <w:highlight w:val="none"/>
        </w:rPr>
      </w:pPr>
    </w:p>
    <w:p w14:paraId="007191EC">
      <w:pPr>
        <w:jc w:val="center"/>
        <w:rPr>
          <w:rFonts w:ascii="宋体" w:hAnsi="宋体" w:cs="宋体"/>
          <w:b/>
          <w:color w:val="auto"/>
          <w:kern w:val="0"/>
          <w:sz w:val="32"/>
          <w:szCs w:val="32"/>
          <w:highlight w:val="none"/>
        </w:rPr>
      </w:pPr>
    </w:p>
    <w:p w14:paraId="52CACE0F">
      <w:pPr>
        <w:jc w:val="center"/>
        <w:rPr>
          <w:rFonts w:ascii="宋体" w:hAnsi="宋体" w:cs="宋体"/>
          <w:b/>
          <w:color w:val="auto"/>
          <w:kern w:val="0"/>
          <w:sz w:val="32"/>
          <w:szCs w:val="32"/>
          <w:highlight w:val="none"/>
        </w:rPr>
      </w:pPr>
    </w:p>
    <w:p w14:paraId="6D72C4F9">
      <w:pPr>
        <w:jc w:val="center"/>
        <w:rPr>
          <w:rFonts w:ascii="宋体" w:hAnsi="宋体" w:cs="宋体"/>
          <w:b/>
          <w:color w:val="auto"/>
          <w:kern w:val="0"/>
          <w:sz w:val="32"/>
          <w:szCs w:val="32"/>
          <w:highlight w:val="none"/>
        </w:rPr>
      </w:pPr>
    </w:p>
    <w:p w14:paraId="61889F1C">
      <w:pPr>
        <w:jc w:val="center"/>
        <w:rPr>
          <w:rFonts w:hint="eastAsia" w:ascii="宋体" w:hAnsi="宋体" w:cs="宋体"/>
          <w:b/>
          <w:color w:val="auto"/>
          <w:kern w:val="0"/>
          <w:sz w:val="32"/>
          <w:szCs w:val="32"/>
          <w:highlight w:val="none"/>
          <w:lang w:val="zh-CN"/>
        </w:rPr>
      </w:pPr>
    </w:p>
    <w:p w14:paraId="3F5A1B21">
      <w:pPr>
        <w:jc w:val="center"/>
        <w:rPr>
          <w:rFonts w:hint="eastAsia" w:ascii="宋体" w:hAnsi="宋体" w:cs="宋体"/>
          <w:b/>
          <w:color w:val="auto"/>
          <w:kern w:val="0"/>
          <w:sz w:val="32"/>
          <w:szCs w:val="32"/>
          <w:highlight w:val="none"/>
          <w:lang w:val="zh-CN"/>
        </w:rPr>
      </w:pPr>
    </w:p>
    <w:p w14:paraId="4030EF22">
      <w:pPr>
        <w:jc w:val="center"/>
        <w:rPr>
          <w:rFonts w:hint="eastAsia" w:ascii="宋体" w:hAnsi="宋体" w:cs="宋体"/>
          <w:b/>
          <w:color w:val="auto"/>
          <w:kern w:val="0"/>
          <w:sz w:val="32"/>
          <w:szCs w:val="32"/>
          <w:highlight w:val="none"/>
          <w:lang w:val="zh-CN"/>
        </w:rPr>
      </w:pPr>
    </w:p>
    <w:p w14:paraId="02769F8A">
      <w:pPr>
        <w:jc w:val="center"/>
        <w:rPr>
          <w:rFonts w:hint="eastAsia" w:ascii="宋体" w:hAnsi="宋体" w:cs="宋体"/>
          <w:b/>
          <w:color w:val="auto"/>
          <w:kern w:val="0"/>
          <w:sz w:val="32"/>
          <w:szCs w:val="32"/>
          <w:highlight w:val="none"/>
          <w:lang w:val="zh-CN"/>
        </w:rPr>
      </w:pPr>
    </w:p>
    <w:p w14:paraId="5AEB29C4">
      <w:pPr>
        <w:jc w:val="center"/>
        <w:rPr>
          <w:rFonts w:hint="eastAsia" w:ascii="宋体" w:hAnsi="宋体" w:cs="宋体"/>
          <w:b/>
          <w:color w:val="auto"/>
          <w:kern w:val="0"/>
          <w:sz w:val="32"/>
          <w:szCs w:val="32"/>
          <w:highlight w:val="none"/>
          <w:lang w:val="zh-CN"/>
        </w:rPr>
      </w:pPr>
    </w:p>
    <w:p w14:paraId="4F33219C">
      <w:pPr>
        <w:jc w:val="both"/>
        <w:rPr>
          <w:rFonts w:hint="eastAsia" w:ascii="宋体" w:hAnsi="宋体" w:cs="宋体"/>
          <w:b/>
          <w:color w:val="auto"/>
          <w:kern w:val="0"/>
          <w:sz w:val="32"/>
          <w:szCs w:val="32"/>
          <w:highlight w:val="none"/>
          <w:lang w:val="zh-CN"/>
        </w:rPr>
      </w:pPr>
    </w:p>
    <w:p w14:paraId="33AA9B59">
      <w:pPr>
        <w:bidi w:val="0"/>
        <w:rPr>
          <w:rFonts w:hint="eastAsia"/>
          <w:lang w:val="zh-CN"/>
        </w:rPr>
      </w:pPr>
    </w:p>
    <w:p w14:paraId="1D4CBEDC">
      <w:pPr>
        <w:snapToGrid w:val="0"/>
        <w:spacing w:line="360" w:lineRule="auto"/>
        <w:jc w:val="center"/>
        <w:outlineLvl w:val="2"/>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w:t>
      </w:r>
      <w:r>
        <w:rPr>
          <w:rFonts w:hint="eastAsia" w:ascii="宋体" w:hAnsi="宋体" w:cs="宋体"/>
          <w:b/>
          <w:color w:val="auto"/>
          <w:w w:val="90"/>
          <w:kern w:val="0"/>
          <w:sz w:val="32"/>
          <w:szCs w:val="32"/>
          <w:highlight w:val="none"/>
          <w:lang w:val="zh-CN"/>
        </w:rPr>
        <w:t>授权委托书或法定代表人（单位负责人、自然人本人）身份证明</w:t>
      </w:r>
    </w:p>
    <w:p w14:paraId="190A5AB6">
      <w:pPr>
        <w:bidi w:val="0"/>
        <w:rPr>
          <w:rFonts w:hint="eastAsia"/>
          <w:lang w:val="zh-CN"/>
        </w:rPr>
      </w:pPr>
    </w:p>
    <w:p w14:paraId="18D6ACF4">
      <w:pPr>
        <w:snapToGrid w:val="0"/>
        <w:spacing w:line="360" w:lineRule="auto"/>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6A311EA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lang w:eastAsia="zh-CN"/>
        </w:rPr>
        <w:t>杭州市公共资源交易中心临安分中心</w:t>
      </w:r>
      <w:r>
        <w:rPr>
          <w:rFonts w:hint="eastAsia" w:ascii="宋体" w:hAnsi="宋体" w:cs="宋体"/>
          <w:color w:val="auto"/>
          <w:kern w:val="0"/>
          <w:sz w:val="24"/>
          <w:highlight w:val="none"/>
          <w:lang w:val="zh-CN"/>
        </w:rPr>
        <w:t>：</w:t>
      </w:r>
    </w:p>
    <w:p w14:paraId="4E3D1043">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2A18474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6B73AA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855622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4A201EC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6BB9E586">
      <w:pPr>
        <w:snapToGrid w:val="0"/>
        <w:spacing w:line="360" w:lineRule="auto"/>
        <w:rPr>
          <w:rFonts w:ascii="宋体" w:hAnsi="宋体" w:cs="宋体"/>
          <w:color w:val="auto"/>
          <w:sz w:val="24"/>
          <w:highlight w:val="none"/>
        </w:rPr>
      </w:pPr>
    </w:p>
    <w:p w14:paraId="28313BE8">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24D4A78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lang w:eastAsia="zh-CN"/>
        </w:rPr>
        <w:t>杭州市公共资源交易中心临安分中心</w:t>
      </w:r>
      <w:r>
        <w:rPr>
          <w:rFonts w:hint="eastAsia" w:ascii="宋体" w:hAnsi="宋体" w:cs="宋体"/>
          <w:color w:val="auto"/>
          <w:kern w:val="0"/>
          <w:sz w:val="24"/>
          <w:highlight w:val="none"/>
          <w:lang w:val="zh-CN"/>
        </w:rPr>
        <w:t>：</w:t>
      </w:r>
    </w:p>
    <w:p w14:paraId="66AE8739">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8F9B50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9DE4C2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A3FD6FA">
      <w:pPr>
        <w:jc w:val="both"/>
        <w:rPr>
          <w:rFonts w:ascii="宋体" w:hAnsi="宋体" w:cs="宋体"/>
          <w:b/>
          <w:color w:val="auto"/>
          <w:kern w:val="0"/>
          <w:sz w:val="32"/>
          <w:szCs w:val="32"/>
          <w:highlight w:val="none"/>
        </w:rPr>
      </w:pPr>
    </w:p>
    <w:p w14:paraId="4C1D8D81">
      <w:pPr>
        <w:rPr>
          <w:rFonts w:ascii="宋体" w:hAnsi="宋体" w:cs="宋体"/>
          <w:color w:val="auto"/>
          <w:highlight w:val="none"/>
        </w:rPr>
      </w:pPr>
    </w:p>
    <w:p w14:paraId="6A3172D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B835D4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5FFCB5A">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0E4C8DC">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DD52D50">
      <w:pPr>
        <w:tabs>
          <w:tab w:val="left" w:pos="432"/>
        </w:tabs>
        <w:spacing w:line="360" w:lineRule="auto"/>
        <w:outlineLvl w:val="9"/>
        <w:rPr>
          <w:rFonts w:hint="eastAsia" w:asciiTheme="minorEastAsia" w:hAnsiTheme="minorEastAsia" w:eastAsiaTheme="minorEastAsia" w:cstheme="minorEastAsia"/>
          <w:b w:val="0"/>
          <w:bCs w:val="0"/>
          <w:kern w:val="0"/>
          <w:sz w:val="24"/>
          <w:highlight w:val="none"/>
          <w:lang w:val="zh-CN"/>
        </w:rPr>
      </w:pPr>
      <w:r>
        <w:rPr>
          <w:rFonts w:hint="eastAsia" w:asciiTheme="minorEastAsia" w:hAnsiTheme="minorEastAsia" w:eastAsiaTheme="minorEastAsia" w:cstheme="minorEastAsia"/>
          <w:b w:val="0"/>
          <w:bCs w:val="0"/>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77E2D5AF">
      <w:pPr>
        <w:rPr>
          <w:rFonts w:hint="eastAsia"/>
          <w:lang w:val="zh-CN"/>
        </w:rPr>
      </w:pPr>
      <w:r>
        <w:rPr>
          <w:rFonts w:hint="eastAsia" w:asciiTheme="minorEastAsia" w:hAnsiTheme="minorEastAsia" w:eastAsiaTheme="minorEastAsia" w:cstheme="minorEastAsia"/>
          <w:b w:val="0"/>
          <w:bCs w:val="0"/>
          <w:kern w:val="0"/>
          <w:sz w:val="24"/>
          <w:highlight w:val="none"/>
          <w:lang w:val="zh-CN"/>
        </w:rPr>
        <w:br w:type="page"/>
      </w:r>
    </w:p>
    <w:p w14:paraId="5DA68F82">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57C318D">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6B9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819D7B4">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EEB898D">
            <w:pPr>
              <w:pStyle w:val="150"/>
              <w:adjustRightInd w:val="0"/>
              <w:spacing w:line="360" w:lineRule="auto"/>
              <w:rPr>
                <w:rFonts w:hAnsi="宋体" w:cs="宋体"/>
                <w:bCs/>
                <w:color w:val="auto"/>
                <w:sz w:val="24"/>
                <w:highlight w:val="none"/>
              </w:rPr>
            </w:pPr>
          </w:p>
        </w:tc>
      </w:tr>
    </w:tbl>
    <w:p w14:paraId="24E27548">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358741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0EC5DB4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35A4FDB">
      <w:pPr>
        <w:jc w:val="center"/>
        <w:rPr>
          <w:rFonts w:ascii="宋体" w:hAnsi="宋体" w:cs="宋体"/>
          <w:b/>
          <w:color w:val="auto"/>
          <w:kern w:val="0"/>
          <w:sz w:val="32"/>
          <w:szCs w:val="32"/>
          <w:highlight w:val="none"/>
        </w:rPr>
      </w:pPr>
    </w:p>
    <w:p w14:paraId="493B763D">
      <w:pPr>
        <w:jc w:val="center"/>
        <w:rPr>
          <w:rFonts w:ascii="宋体" w:hAnsi="宋体" w:cs="宋体"/>
          <w:b/>
          <w:color w:val="auto"/>
          <w:kern w:val="0"/>
          <w:sz w:val="32"/>
          <w:szCs w:val="32"/>
          <w:highlight w:val="none"/>
        </w:rPr>
      </w:pPr>
    </w:p>
    <w:p w14:paraId="455D7B94">
      <w:pPr>
        <w:jc w:val="center"/>
        <w:rPr>
          <w:rFonts w:ascii="宋体" w:hAnsi="宋体" w:cs="宋体"/>
          <w:b/>
          <w:color w:val="auto"/>
          <w:kern w:val="0"/>
          <w:sz w:val="32"/>
          <w:szCs w:val="32"/>
          <w:highlight w:val="none"/>
        </w:rPr>
      </w:pPr>
    </w:p>
    <w:p w14:paraId="1B4A56FC">
      <w:pPr>
        <w:jc w:val="center"/>
        <w:rPr>
          <w:rFonts w:ascii="宋体" w:hAnsi="宋体" w:cs="宋体"/>
          <w:b/>
          <w:color w:val="auto"/>
          <w:kern w:val="0"/>
          <w:sz w:val="32"/>
          <w:szCs w:val="32"/>
          <w:highlight w:val="none"/>
        </w:rPr>
      </w:pPr>
    </w:p>
    <w:p w14:paraId="547D1CCC">
      <w:pPr>
        <w:jc w:val="center"/>
        <w:rPr>
          <w:rFonts w:ascii="宋体" w:hAnsi="宋体" w:cs="宋体"/>
          <w:b/>
          <w:color w:val="auto"/>
          <w:kern w:val="0"/>
          <w:sz w:val="32"/>
          <w:szCs w:val="32"/>
          <w:highlight w:val="none"/>
        </w:rPr>
      </w:pPr>
    </w:p>
    <w:p w14:paraId="14085E53">
      <w:pPr>
        <w:jc w:val="center"/>
        <w:rPr>
          <w:rFonts w:ascii="宋体" w:hAnsi="宋体" w:cs="宋体"/>
          <w:b/>
          <w:color w:val="auto"/>
          <w:kern w:val="0"/>
          <w:sz w:val="32"/>
          <w:szCs w:val="32"/>
          <w:highlight w:val="none"/>
        </w:rPr>
      </w:pPr>
    </w:p>
    <w:p w14:paraId="4FB07F1A">
      <w:pPr>
        <w:jc w:val="both"/>
        <w:rPr>
          <w:rFonts w:ascii="宋体" w:hAnsi="宋体" w:cs="宋体"/>
          <w:b/>
          <w:color w:val="auto"/>
          <w:kern w:val="0"/>
          <w:sz w:val="32"/>
          <w:szCs w:val="32"/>
          <w:highlight w:val="none"/>
        </w:rPr>
      </w:pPr>
    </w:p>
    <w:p w14:paraId="7FB299C0">
      <w:pPr>
        <w:jc w:val="center"/>
        <w:rPr>
          <w:rFonts w:ascii="宋体" w:hAnsi="宋体" w:cs="宋体"/>
          <w:b/>
          <w:color w:val="auto"/>
          <w:kern w:val="0"/>
          <w:sz w:val="32"/>
          <w:szCs w:val="32"/>
          <w:highlight w:val="none"/>
        </w:rPr>
      </w:pPr>
    </w:p>
    <w:p w14:paraId="45CE95DC">
      <w:pPr>
        <w:jc w:val="center"/>
        <w:rPr>
          <w:rFonts w:ascii="宋体" w:hAnsi="宋体" w:cs="宋体"/>
          <w:b/>
          <w:color w:val="auto"/>
          <w:kern w:val="0"/>
          <w:sz w:val="32"/>
          <w:szCs w:val="32"/>
          <w:highlight w:val="none"/>
        </w:rPr>
      </w:pPr>
    </w:p>
    <w:p w14:paraId="647BE5B1">
      <w:pPr>
        <w:snapToGrid w:val="0"/>
        <w:spacing w:line="360" w:lineRule="auto"/>
        <w:ind w:right="480"/>
        <w:rPr>
          <w:rFonts w:ascii="宋体" w:hAnsi="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5E3DFF1">
      <w:pPr>
        <w:snapToGrid w:val="0"/>
        <w:spacing w:line="360" w:lineRule="auto"/>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35034682">
      <w:pPr>
        <w:widowControl/>
        <w:spacing w:line="360" w:lineRule="auto"/>
        <w:ind w:firstLine="120" w:firstLineChars="50"/>
        <w:jc w:val="left"/>
        <w:rPr>
          <w:rFonts w:ascii="宋体" w:hAnsi="宋体" w:cs="宋体"/>
          <w:color w:val="auto"/>
          <w:sz w:val="24"/>
          <w:highlight w:val="none"/>
        </w:rPr>
      </w:pPr>
      <w:bookmarkStart w:id="571"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571"/>
    <w:p w14:paraId="4F6CDCD7">
      <w:pPr>
        <w:bidi w:val="0"/>
      </w:pPr>
    </w:p>
    <w:p w14:paraId="169D5138">
      <w:pPr>
        <w:bidi w:val="0"/>
      </w:pPr>
    </w:p>
    <w:p w14:paraId="58E4E8B9">
      <w:pPr>
        <w:bidi w:val="0"/>
        <w:rPr>
          <w:lang w:val="en-US"/>
        </w:rPr>
      </w:pPr>
    </w:p>
    <w:p w14:paraId="6217195C">
      <w:pPr>
        <w:bidi w:val="0"/>
      </w:pPr>
    </w:p>
    <w:p w14:paraId="695816D5">
      <w:pPr>
        <w:bidi w:val="0"/>
        <w:rPr>
          <w:lang w:val="en-US"/>
        </w:rPr>
      </w:pPr>
    </w:p>
    <w:p w14:paraId="61C9986D">
      <w:pPr>
        <w:pStyle w:val="23"/>
        <w:rPr>
          <w:lang w:val="en-US"/>
        </w:rPr>
      </w:pPr>
    </w:p>
    <w:p w14:paraId="6D84C29E">
      <w:pPr>
        <w:jc w:val="both"/>
        <w:rPr>
          <w:rFonts w:ascii="宋体" w:hAnsi="宋体" w:cs="宋体"/>
          <w:b/>
          <w:color w:val="auto"/>
          <w:kern w:val="0"/>
          <w:sz w:val="32"/>
          <w:szCs w:val="32"/>
          <w:highlight w:val="none"/>
        </w:rPr>
      </w:pPr>
    </w:p>
    <w:p w14:paraId="6E7802FB">
      <w:pPr>
        <w:pStyle w:val="23"/>
      </w:pPr>
    </w:p>
    <w:p w14:paraId="5BD44999">
      <w:pPr>
        <w:snapToGrid w:val="0"/>
        <w:spacing w:line="360" w:lineRule="auto"/>
        <w:jc w:val="center"/>
        <w:outlineLvl w:val="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21A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8F199CA">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147159B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7313E9A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4A89EC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0521F99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114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B7CC93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55D52712">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105DF5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14:paraId="36F903EE">
            <w:pPr>
              <w:jc w:val="both"/>
              <w:rPr>
                <w:rFonts w:ascii="宋体" w:hAnsi="宋体" w:cs="宋体"/>
                <w:color w:val="auto"/>
                <w:sz w:val="24"/>
                <w:highlight w:val="none"/>
              </w:rPr>
            </w:pPr>
            <w:r>
              <w:rPr>
                <w:rFonts w:hint="eastAsia" w:ascii="宋体" w:hAnsi="宋体" w:cs="宋体"/>
                <w:color w:val="auto"/>
                <w:sz w:val="24"/>
                <w:highlight w:val="none"/>
              </w:rPr>
              <w:t>见投标文件</w:t>
            </w:r>
          </w:p>
          <w:p w14:paraId="31717959">
            <w:pPr>
              <w:jc w:val="both"/>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3E2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016CA66">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784EC1E7">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6F9C1A10">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14:paraId="24E74495">
            <w:pPr>
              <w:jc w:val="both"/>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7E1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4E119F">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0D94965">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33C7C947">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center"/>
          </w:tcPr>
          <w:p w14:paraId="37928865">
            <w:pPr>
              <w:jc w:val="both"/>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B4E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B7416C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56F2FA68">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5556F124">
            <w:pPr>
              <w:rPr>
                <w:rFonts w:hint="eastAsia" w:ascii="宋体" w:hAnsi="宋体" w:cs="宋体"/>
                <w:b w:val="0"/>
                <w:bCs w:val="0"/>
                <w:color w:val="auto"/>
                <w:sz w:val="24"/>
                <w:highlight w:val="none"/>
                <w:lang w:val="en-US" w:eastAsia="zh-CN"/>
              </w:rPr>
            </w:pPr>
          </w:p>
        </w:tc>
        <w:tc>
          <w:tcPr>
            <w:tcW w:w="1418" w:type="dxa"/>
            <w:vAlign w:val="center"/>
          </w:tcPr>
          <w:p w14:paraId="40F72901">
            <w:pPr>
              <w:jc w:val="both"/>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71F3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BE685B3">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96BD38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1329BBD6">
            <w:pPr>
              <w:rPr>
                <w:rFonts w:hint="eastAsia" w:ascii="宋体" w:hAnsi="宋体" w:cs="宋体"/>
                <w:b w:val="0"/>
                <w:bCs w:val="0"/>
                <w:color w:val="auto"/>
                <w:sz w:val="24"/>
                <w:highlight w:val="none"/>
                <w:lang w:val="en-US" w:eastAsia="zh-CN"/>
              </w:rPr>
            </w:pPr>
          </w:p>
        </w:tc>
        <w:tc>
          <w:tcPr>
            <w:tcW w:w="1418" w:type="dxa"/>
            <w:vAlign w:val="center"/>
          </w:tcPr>
          <w:p w14:paraId="406D4279">
            <w:pPr>
              <w:jc w:val="both"/>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1498BC02">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58ADA9B7">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招标文件中实质性要求必须明确响应。</w:t>
      </w:r>
    </w:p>
    <w:p w14:paraId="4A0E0467">
      <w:pPr>
        <w:pStyle w:val="82"/>
        <w:rPr>
          <w:color w:val="auto"/>
          <w:highlight w:val="none"/>
        </w:rPr>
      </w:pPr>
    </w:p>
    <w:p w14:paraId="1FD9656C">
      <w:pPr>
        <w:jc w:val="center"/>
        <w:rPr>
          <w:rFonts w:ascii="宋体" w:hAnsi="宋体" w:cs="宋体"/>
          <w:b/>
          <w:color w:val="auto"/>
          <w:kern w:val="0"/>
          <w:sz w:val="32"/>
          <w:szCs w:val="32"/>
          <w:highlight w:val="none"/>
        </w:rPr>
      </w:pPr>
    </w:p>
    <w:p w14:paraId="7F577296">
      <w:pPr>
        <w:jc w:val="center"/>
        <w:rPr>
          <w:rFonts w:hint="eastAsia" w:ascii="宋体" w:hAnsi="宋体" w:cs="宋体"/>
          <w:b/>
          <w:color w:val="auto"/>
          <w:kern w:val="0"/>
          <w:sz w:val="32"/>
          <w:szCs w:val="32"/>
          <w:highlight w:val="none"/>
        </w:rPr>
      </w:pPr>
    </w:p>
    <w:p w14:paraId="461988A4">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84967FA">
      <w:pPr>
        <w:snapToGrid w:val="0"/>
        <w:spacing w:line="360" w:lineRule="auto"/>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五、评标标准相应的商务技术资料</w:t>
      </w:r>
    </w:p>
    <w:p w14:paraId="78E370DE">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B68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614D70BE">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vAlign w:val="center"/>
          </w:tcPr>
          <w:p w14:paraId="56BCB8E3">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vAlign w:val="center"/>
          </w:tcPr>
          <w:p w14:paraId="0887A8EA">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68B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22E3441F">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vAlign w:val="center"/>
          </w:tcPr>
          <w:p w14:paraId="7519234F">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vAlign w:val="center"/>
          </w:tcPr>
          <w:p w14:paraId="3F2DBE0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0988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58437244">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vAlign w:val="center"/>
          </w:tcPr>
          <w:p w14:paraId="7A33EA6F">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vAlign w:val="center"/>
          </w:tcPr>
          <w:p w14:paraId="0B543E2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F02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41731FD1">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vAlign w:val="center"/>
          </w:tcPr>
          <w:p w14:paraId="0EA7ADBE">
            <w:pPr>
              <w:snapToGrid w:val="0"/>
              <w:spacing w:line="360" w:lineRule="auto"/>
              <w:jc w:val="center"/>
              <w:rPr>
                <w:rFonts w:hint="eastAsia" w:ascii="宋体" w:hAnsi="宋体" w:cs="宋体"/>
                <w:b w:val="0"/>
                <w:bCs/>
                <w:color w:val="auto"/>
                <w:sz w:val="24"/>
                <w:highlight w:val="none"/>
                <w:vertAlign w:val="baseline"/>
              </w:rPr>
            </w:pPr>
          </w:p>
        </w:tc>
        <w:tc>
          <w:tcPr>
            <w:tcW w:w="3046" w:type="dxa"/>
            <w:vAlign w:val="center"/>
          </w:tcPr>
          <w:p w14:paraId="7CE0BA25">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2C8B50EF">
      <w:pPr>
        <w:pStyle w:val="82"/>
        <w:rPr>
          <w:color w:val="auto"/>
          <w:highlight w:val="none"/>
        </w:rPr>
      </w:pPr>
    </w:p>
    <w:p w14:paraId="0908D0A7">
      <w:pPr>
        <w:jc w:val="center"/>
        <w:rPr>
          <w:rFonts w:ascii="宋体" w:hAnsi="宋体" w:cs="宋体"/>
          <w:b/>
          <w:color w:val="auto"/>
          <w:kern w:val="0"/>
          <w:sz w:val="32"/>
          <w:szCs w:val="32"/>
          <w:highlight w:val="none"/>
        </w:rPr>
      </w:pPr>
    </w:p>
    <w:p w14:paraId="2E40DA54">
      <w:pPr>
        <w:jc w:val="center"/>
        <w:rPr>
          <w:rFonts w:ascii="宋体" w:hAnsi="宋体" w:cs="宋体"/>
          <w:b/>
          <w:color w:val="auto"/>
          <w:kern w:val="0"/>
          <w:sz w:val="32"/>
          <w:szCs w:val="32"/>
          <w:highlight w:val="none"/>
        </w:rPr>
      </w:pPr>
    </w:p>
    <w:p w14:paraId="64B76971">
      <w:pPr>
        <w:jc w:val="center"/>
        <w:rPr>
          <w:rFonts w:ascii="宋体" w:hAnsi="宋体" w:cs="宋体"/>
          <w:b/>
          <w:color w:val="auto"/>
          <w:kern w:val="0"/>
          <w:sz w:val="32"/>
          <w:szCs w:val="32"/>
          <w:highlight w:val="none"/>
        </w:rPr>
      </w:pPr>
    </w:p>
    <w:p w14:paraId="448F6BF2">
      <w:pPr>
        <w:snapToGrid w:val="0"/>
        <w:spacing w:line="360" w:lineRule="auto"/>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914"/>
        <w:gridCol w:w="1972"/>
        <w:gridCol w:w="1569"/>
        <w:gridCol w:w="1324"/>
        <w:gridCol w:w="1740"/>
      </w:tblGrid>
      <w:tr w14:paraId="55B8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5A9052C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031" w:type="pct"/>
            <w:tcBorders>
              <w:top w:val="single" w:color="auto" w:sz="4" w:space="0"/>
              <w:left w:val="single" w:color="auto" w:sz="4" w:space="0"/>
              <w:bottom w:val="single" w:color="auto" w:sz="4" w:space="0"/>
              <w:right w:val="single" w:color="auto" w:sz="4" w:space="0"/>
            </w:tcBorders>
            <w:vAlign w:val="center"/>
          </w:tcPr>
          <w:p w14:paraId="492B041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062" w:type="pct"/>
            <w:tcBorders>
              <w:top w:val="single" w:color="auto" w:sz="4" w:space="0"/>
              <w:left w:val="single" w:color="auto" w:sz="4" w:space="0"/>
              <w:bottom w:val="single" w:color="auto" w:sz="4" w:space="0"/>
              <w:right w:val="single" w:color="auto" w:sz="4" w:space="0"/>
            </w:tcBorders>
            <w:vAlign w:val="center"/>
          </w:tcPr>
          <w:p w14:paraId="5F1E499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845" w:type="pct"/>
            <w:tcBorders>
              <w:top w:val="single" w:color="auto" w:sz="4" w:space="0"/>
              <w:left w:val="single" w:color="auto" w:sz="4" w:space="0"/>
              <w:bottom w:val="single" w:color="auto" w:sz="4" w:space="0"/>
              <w:right w:val="single" w:color="auto" w:sz="4" w:space="0"/>
            </w:tcBorders>
            <w:vAlign w:val="center"/>
          </w:tcPr>
          <w:p w14:paraId="186BE23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713" w:type="pct"/>
            <w:tcBorders>
              <w:top w:val="single" w:color="auto" w:sz="4" w:space="0"/>
              <w:left w:val="single" w:color="auto" w:sz="4" w:space="0"/>
              <w:bottom w:val="single" w:color="auto" w:sz="4" w:space="0"/>
              <w:right w:val="single" w:color="auto" w:sz="4" w:space="0"/>
            </w:tcBorders>
            <w:vAlign w:val="center"/>
          </w:tcPr>
          <w:p w14:paraId="439559B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937" w:type="pct"/>
            <w:tcBorders>
              <w:top w:val="single" w:color="auto" w:sz="4" w:space="0"/>
              <w:left w:val="single" w:color="auto" w:sz="4" w:space="0"/>
              <w:bottom w:val="single" w:color="auto" w:sz="4" w:space="0"/>
              <w:right w:val="single" w:color="auto" w:sz="4" w:space="0"/>
            </w:tcBorders>
            <w:vAlign w:val="center"/>
          </w:tcPr>
          <w:p w14:paraId="7E4FA57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541B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729AFAA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031" w:type="pct"/>
            <w:tcBorders>
              <w:top w:val="single" w:color="auto" w:sz="4" w:space="0"/>
              <w:left w:val="single" w:color="auto" w:sz="4" w:space="0"/>
              <w:bottom w:val="single" w:color="auto" w:sz="4" w:space="0"/>
              <w:right w:val="single" w:color="auto" w:sz="4" w:space="0"/>
            </w:tcBorders>
            <w:vAlign w:val="center"/>
          </w:tcPr>
          <w:p w14:paraId="7D415FC1">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062" w:type="pct"/>
            <w:tcBorders>
              <w:top w:val="single" w:color="auto" w:sz="4" w:space="0"/>
              <w:left w:val="single" w:color="auto" w:sz="4" w:space="0"/>
              <w:bottom w:val="single" w:color="auto" w:sz="4" w:space="0"/>
              <w:right w:val="single" w:color="auto" w:sz="4" w:space="0"/>
            </w:tcBorders>
            <w:vAlign w:val="center"/>
          </w:tcPr>
          <w:p w14:paraId="27187CC8">
            <w:pPr>
              <w:snapToGrid w:val="0"/>
              <w:spacing w:line="360" w:lineRule="auto"/>
              <w:jc w:val="center"/>
              <w:rPr>
                <w:rFonts w:ascii="宋体" w:hAnsi="宋体" w:cs="宋体"/>
                <w:color w:val="auto"/>
                <w:sz w:val="24"/>
                <w:highlight w:val="none"/>
              </w:rPr>
            </w:pPr>
          </w:p>
        </w:tc>
        <w:tc>
          <w:tcPr>
            <w:tcW w:w="845" w:type="pct"/>
            <w:tcBorders>
              <w:top w:val="single" w:color="auto" w:sz="4" w:space="0"/>
              <w:left w:val="single" w:color="auto" w:sz="4" w:space="0"/>
              <w:bottom w:val="single" w:color="auto" w:sz="4" w:space="0"/>
              <w:right w:val="single" w:color="auto" w:sz="4" w:space="0"/>
            </w:tcBorders>
            <w:vAlign w:val="center"/>
          </w:tcPr>
          <w:p w14:paraId="537A2695">
            <w:pPr>
              <w:snapToGrid w:val="0"/>
              <w:spacing w:line="360" w:lineRule="auto"/>
              <w:jc w:val="center"/>
              <w:rPr>
                <w:rFonts w:ascii="宋体" w:hAnsi="宋体" w:cs="宋体"/>
                <w:color w:val="auto"/>
                <w:sz w:val="24"/>
                <w:highlight w:val="none"/>
              </w:rPr>
            </w:pPr>
          </w:p>
        </w:tc>
        <w:tc>
          <w:tcPr>
            <w:tcW w:w="713" w:type="pct"/>
            <w:tcBorders>
              <w:top w:val="single" w:color="auto" w:sz="4" w:space="0"/>
              <w:left w:val="single" w:color="auto" w:sz="4" w:space="0"/>
              <w:bottom w:val="single" w:color="auto" w:sz="4" w:space="0"/>
              <w:right w:val="single" w:color="auto" w:sz="4" w:space="0"/>
            </w:tcBorders>
            <w:vAlign w:val="center"/>
          </w:tcPr>
          <w:p w14:paraId="01AACF0B">
            <w:pPr>
              <w:spacing w:line="360" w:lineRule="auto"/>
              <w:jc w:val="center"/>
              <w:rPr>
                <w:rFonts w:ascii="宋体" w:hAnsi="宋体" w:cs="宋体"/>
                <w:color w:val="auto"/>
                <w:sz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46812A6E">
            <w:pPr>
              <w:spacing w:line="360" w:lineRule="auto"/>
              <w:jc w:val="center"/>
              <w:rPr>
                <w:rFonts w:ascii="宋体" w:hAnsi="宋体" w:cs="宋体"/>
                <w:color w:val="auto"/>
                <w:sz w:val="24"/>
                <w:highlight w:val="none"/>
              </w:rPr>
            </w:pPr>
          </w:p>
        </w:tc>
      </w:tr>
      <w:tr w14:paraId="2E90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244C986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031" w:type="pct"/>
            <w:tcBorders>
              <w:top w:val="single" w:color="auto" w:sz="4" w:space="0"/>
              <w:left w:val="single" w:color="auto" w:sz="4" w:space="0"/>
              <w:bottom w:val="single" w:color="auto" w:sz="4" w:space="0"/>
              <w:right w:val="single" w:color="auto" w:sz="4" w:space="0"/>
            </w:tcBorders>
            <w:vAlign w:val="center"/>
          </w:tcPr>
          <w:p w14:paraId="4738FFA4">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062" w:type="pct"/>
            <w:tcBorders>
              <w:top w:val="single" w:color="auto" w:sz="4" w:space="0"/>
              <w:left w:val="single" w:color="auto" w:sz="4" w:space="0"/>
              <w:bottom w:val="single" w:color="auto" w:sz="4" w:space="0"/>
              <w:right w:val="single" w:color="auto" w:sz="4" w:space="0"/>
            </w:tcBorders>
            <w:vAlign w:val="center"/>
          </w:tcPr>
          <w:p w14:paraId="09843470">
            <w:pPr>
              <w:snapToGrid w:val="0"/>
              <w:spacing w:line="360" w:lineRule="auto"/>
              <w:jc w:val="center"/>
              <w:rPr>
                <w:rFonts w:ascii="宋体" w:hAnsi="宋体" w:cs="宋体"/>
                <w:color w:val="auto"/>
                <w:sz w:val="24"/>
                <w:highlight w:val="none"/>
              </w:rPr>
            </w:pPr>
          </w:p>
        </w:tc>
        <w:tc>
          <w:tcPr>
            <w:tcW w:w="845" w:type="pct"/>
            <w:tcBorders>
              <w:top w:val="single" w:color="auto" w:sz="4" w:space="0"/>
              <w:left w:val="single" w:color="auto" w:sz="4" w:space="0"/>
              <w:bottom w:val="single" w:color="auto" w:sz="4" w:space="0"/>
              <w:right w:val="single" w:color="auto" w:sz="4" w:space="0"/>
            </w:tcBorders>
            <w:vAlign w:val="center"/>
          </w:tcPr>
          <w:p w14:paraId="67E3C612">
            <w:pPr>
              <w:snapToGrid w:val="0"/>
              <w:spacing w:line="360" w:lineRule="auto"/>
              <w:jc w:val="center"/>
              <w:rPr>
                <w:rFonts w:ascii="宋体" w:hAnsi="宋体" w:cs="宋体"/>
                <w:color w:val="auto"/>
                <w:sz w:val="24"/>
                <w:highlight w:val="none"/>
              </w:rPr>
            </w:pPr>
          </w:p>
        </w:tc>
        <w:tc>
          <w:tcPr>
            <w:tcW w:w="713" w:type="pct"/>
            <w:tcBorders>
              <w:top w:val="single" w:color="auto" w:sz="4" w:space="0"/>
              <w:left w:val="single" w:color="auto" w:sz="4" w:space="0"/>
              <w:bottom w:val="single" w:color="auto" w:sz="4" w:space="0"/>
              <w:right w:val="single" w:color="auto" w:sz="4" w:space="0"/>
            </w:tcBorders>
            <w:vAlign w:val="center"/>
          </w:tcPr>
          <w:p w14:paraId="1F2A98B3">
            <w:pPr>
              <w:spacing w:line="360" w:lineRule="auto"/>
              <w:jc w:val="center"/>
              <w:rPr>
                <w:rFonts w:ascii="宋体" w:hAnsi="宋体" w:cs="宋体"/>
                <w:color w:val="auto"/>
                <w:sz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1C9E76A4">
            <w:pPr>
              <w:spacing w:line="360" w:lineRule="auto"/>
              <w:jc w:val="center"/>
              <w:rPr>
                <w:rFonts w:ascii="宋体" w:hAnsi="宋体" w:cs="宋体"/>
                <w:color w:val="auto"/>
                <w:sz w:val="24"/>
                <w:highlight w:val="none"/>
              </w:rPr>
            </w:pPr>
          </w:p>
        </w:tc>
      </w:tr>
      <w:tr w14:paraId="120C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5C12DA4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031" w:type="pct"/>
            <w:tcBorders>
              <w:top w:val="single" w:color="auto" w:sz="4" w:space="0"/>
              <w:left w:val="single" w:color="auto" w:sz="4" w:space="0"/>
              <w:bottom w:val="single" w:color="auto" w:sz="4" w:space="0"/>
              <w:right w:val="single" w:color="auto" w:sz="4" w:space="0"/>
            </w:tcBorders>
            <w:vAlign w:val="center"/>
          </w:tcPr>
          <w:p w14:paraId="4774419B">
            <w:pPr>
              <w:snapToGrid w:val="0"/>
              <w:spacing w:line="360" w:lineRule="auto"/>
              <w:jc w:val="center"/>
              <w:rPr>
                <w:rFonts w:ascii="宋体" w:hAnsi="宋体" w:cs="宋体"/>
                <w:color w:val="auto"/>
                <w:sz w:val="24"/>
                <w:highlight w:val="none"/>
              </w:rPr>
            </w:pPr>
          </w:p>
        </w:tc>
        <w:tc>
          <w:tcPr>
            <w:tcW w:w="1062" w:type="pct"/>
            <w:tcBorders>
              <w:top w:val="single" w:color="auto" w:sz="4" w:space="0"/>
              <w:left w:val="single" w:color="auto" w:sz="4" w:space="0"/>
              <w:bottom w:val="single" w:color="auto" w:sz="4" w:space="0"/>
              <w:right w:val="single" w:color="auto" w:sz="4" w:space="0"/>
            </w:tcBorders>
            <w:vAlign w:val="center"/>
          </w:tcPr>
          <w:p w14:paraId="7A479792">
            <w:pPr>
              <w:snapToGrid w:val="0"/>
              <w:spacing w:line="360" w:lineRule="auto"/>
              <w:jc w:val="center"/>
              <w:rPr>
                <w:rFonts w:ascii="宋体" w:hAnsi="宋体" w:cs="宋体"/>
                <w:color w:val="auto"/>
                <w:sz w:val="24"/>
                <w:highlight w:val="none"/>
              </w:rPr>
            </w:pPr>
          </w:p>
        </w:tc>
        <w:tc>
          <w:tcPr>
            <w:tcW w:w="845" w:type="pct"/>
            <w:tcBorders>
              <w:top w:val="single" w:color="auto" w:sz="4" w:space="0"/>
              <w:left w:val="single" w:color="auto" w:sz="4" w:space="0"/>
              <w:bottom w:val="single" w:color="auto" w:sz="4" w:space="0"/>
              <w:right w:val="single" w:color="auto" w:sz="4" w:space="0"/>
            </w:tcBorders>
            <w:vAlign w:val="center"/>
          </w:tcPr>
          <w:p w14:paraId="01BEC399">
            <w:pPr>
              <w:snapToGrid w:val="0"/>
              <w:spacing w:line="360" w:lineRule="auto"/>
              <w:jc w:val="center"/>
              <w:rPr>
                <w:rFonts w:ascii="宋体" w:hAnsi="宋体" w:cs="宋体"/>
                <w:color w:val="auto"/>
                <w:sz w:val="24"/>
                <w:highlight w:val="none"/>
              </w:rPr>
            </w:pPr>
          </w:p>
        </w:tc>
        <w:tc>
          <w:tcPr>
            <w:tcW w:w="713" w:type="pct"/>
            <w:tcBorders>
              <w:top w:val="single" w:color="auto" w:sz="4" w:space="0"/>
              <w:left w:val="single" w:color="auto" w:sz="4" w:space="0"/>
              <w:bottom w:val="single" w:color="auto" w:sz="4" w:space="0"/>
              <w:right w:val="single" w:color="auto" w:sz="4" w:space="0"/>
            </w:tcBorders>
            <w:vAlign w:val="center"/>
          </w:tcPr>
          <w:p w14:paraId="3CBAFD73">
            <w:pPr>
              <w:spacing w:line="360" w:lineRule="auto"/>
              <w:jc w:val="center"/>
              <w:rPr>
                <w:rFonts w:ascii="宋体" w:hAnsi="宋体" w:cs="宋体"/>
                <w:color w:val="auto"/>
                <w:sz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6C05034A">
            <w:pPr>
              <w:spacing w:line="360" w:lineRule="auto"/>
              <w:jc w:val="center"/>
              <w:rPr>
                <w:rFonts w:ascii="宋体" w:hAnsi="宋体" w:cs="宋体"/>
                <w:color w:val="auto"/>
                <w:sz w:val="24"/>
                <w:highlight w:val="none"/>
              </w:rPr>
            </w:pPr>
          </w:p>
        </w:tc>
      </w:tr>
    </w:tbl>
    <w:p w14:paraId="4649336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5AA66AD">
      <w:pPr>
        <w:jc w:val="center"/>
        <w:rPr>
          <w:rFonts w:ascii="宋体" w:hAnsi="宋体" w:cs="宋体"/>
          <w:b/>
          <w:color w:val="auto"/>
          <w:kern w:val="0"/>
          <w:sz w:val="32"/>
          <w:szCs w:val="32"/>
          <w:highlight w:val="none"/>
        </w:rPr>
      </w:pPr>
    </w:p>
    <w:p w14:paraId="0B400A47">
      <w:pPr>
        <w:jc w:val="center"/>
        <w:rPr>
          <w:rFonts w:ascii="宋体" w:hAnsi="宋体" w:cs="宋体"/>
          <w:b/>
          <w:color w:val="auto"/>
          <w:kern w:val="0"/>
          <w:sz w:val="32"/>
          <w:szCs w:val="32"/>
          <w:highlight w:val="none"/>
        </w:rPr>
      </w:pPr>
    </w:p>
    <w:p w14:paraId="587323D4">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653E607">
      <w:pPr>
        <w:snapToGrid w:val="0"/>
        <w:spacing w:line="360" w:lineRule="auto"/>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497"/>
        <w:gridCol w:w="3497"/>
        <w:gridCol w:w="1437"/>
      </w:tblGrid>
      <w:tr w14:paraId="6FB3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7DA7EE1B">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883" w:type="pct"/>
          </w:tcPr>
          <w:p w14:paraId="36BF183A">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1883" w:type="pct"/>
          </w:tcPr>
          <w:p w14:paraId="6789EC38">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774" w:type="pct"/>
          </w:tcPr>
          <w:p w14:paraId="05670A20">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25B1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76A9F804">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883" w:type="pct"/>
          </w:tcPr>
          <w:p w14:paraId="6AC4B4E1">
            <w:pPr>
              <w:jc w:val="center"/>
              <w:rPr>
                <w:rFonts w:ascii="宋体" w:hAnsi="宋体" w:cs="宋体"/>
                <w:b/>
                <w:color w:val="auto"/>
                <w:kern w:val="0"/>
                <w:sz w:val="32"/>
                <w:szCs w:val="32"/>
                <w:highlight w:val="none"/>
              </w:rPr>
            </w:pPr>
          </w:p>
        </w:tc>
        <w:tc>
          <w:tcPr>
            <w:tcW w:w="1883" w:type="pct"/>
          </w:tcPr>
          <w:p w14:paraId="3552CE81">
            <w:pPr>
              <w:jc w:val="center"/>
              <w:rPr>
                <w:rFonts w:ascii="宋体" w:hAnsi="宋体" w:cs="宋体"/>
                <w:b/>
                <w:color w:val="auto"/>
                <w:kern w:val="0"/>
                <w:sz w:val="32"/>
                <w:szCs w:val="32"/>
                <w:highlight w:val="none"/>
              </w:rPr>
            </w:pPr>
          </w:p>
        </w:tc>
        <w:tc>
          <w:tcPr>
            <w:tcW w:w="774" w:type="pct"/>
          </w:tcPr>
          <w:p w14:paraId="5A0CDD8C">
            <w:pPr>
              <w:jc w:val="center"/>
              <w:rPr>
                <w:rFonts w:ascii="宋体" w:hAnsi="宋体" w:cs="宋体"/>
                <w:b/>
                <w:color w:val="auto"/>
                <w:kern w:val="0"/>
                <w:sz w:val="32"/>
                <w:szCs w:val="32"/>
                <w:highlight w:val="none"/>
              </w:rPr>
            </w:pPr>
          </w:p>
        </w:tc>
      </w:tr>
      <w:tr w14:paraId="7CE4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6D95F820">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883" w:type="pct"/>
          </w:tcPr>
          <w:p w14:paraId="713A996F">
            <w:pPr>
              <w:jc w:val="center"/>
              <w:rPr>
                <w:rFonts w:ascii="宋体" w:hAnsi="宋体" w:cs="宋体"/>
                <w:b/>
                <w:color w:val="auto"/>
                <w:kern w:val="0"/>
                <w:sz w:val="32"/>
                <w:szCs w:val="32"/>
                <w:highlight w:val="none"/>
              </w:rPr>
            </w:pPr>
          </w:p>
        </w:tc>
        <w:tc>
          <w:tcPr>
            <w:tcW w:w="1883" w:type="pct"/>
          </w:tcPr>
          <w:p w14:paraId="19C75078">
            <w:pPr>
              <w:jc w:val="center"/>
              <w:rPr>
                <w:rFonts w:ascii="宋体" w:hAnsi="宋体" w:cs="宋体"/>
                <w:b/>
                <w:color w:val="auto"/>
                <w:kern w:val="0"/>
                <w:sz w:val="32"/>
                <w:szCs w:val="32"/>
                <w:highlight w:val="none"/>
              </w:rPr>
            </w:pPr>
          </w:p>
        </w:tc>
        <w:tc>
          <w:tcPr>
            <w:tcW w:w="774" w:type="pct"/>
          </w:tcPr>
          <w:p w14:paraId="60164AF2">
            <w:pPr>
              <w:jc w:val="center"/>
              <w:rPr>
                <w:rFonts w:ascii="宋体" w:hAnsi="宋体" w:cs="宋体"/>
                <w:b/>
                <w:color w:val="auto"/>
                <w:kern w:val="0"/>
                <w:sz w:val="32"/>
                <w:szCs w:val="32"/>
                <w:highlight w:val="none"/>
              </w:rPr>
            </w:pPr>
          </w:p>
        </w:tc>
      </w:tr>
      <w:tr w14:paraId="20D3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36AB31EB">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883" w:type="pct"/>
          </w:tcPr>
          <w:p w14:paraId="7495BCEF">
            <w:pPr>
              <w:jc w:val="center"/>
              <w:rPr>
                <w:rFonts w:ascii="宋体" w:hAnsi="宋体" w:cs="宋体"/>
                <w:b/>
                <w:color w:val="auto"/>
                <w:kern w:val="0"/>
                <w:sz w:val="32"/>
                <w:szCs w:val="32"/>
                <w:highlight w:val="none"/>
              </w:rPr>
            </w:pPr>
          </w:p>
        </w:tc>
        <w:tc>
          <w:tcPr>
            <w:tcW w:w="1883" w:type="pct"/>
          </w:tcPr>
          <w:p w14:paraId="41B7ABA0">
            <w:pPr>
              <w:jc w:val="center"/>
              <w:rPr>
                <w:rFonts w:ascii="宋体" w:hAnsi="宋体" w:cs="宋体"/>
                <w:b/>
                <w:color w:val="auto"/>
                <w:kern w:val="0"/>
                <w:sz w:val="32"/>
                <w:szCs w:val="32"/>
                <w:highlight w:val="none"/>
              </w:rPr>
            </w:pPr>
          </w:p>
        </w:tc>
        <w:tc>
          <w:tcPr>
            <w:tcW w:w="774" w:type="pct"/>
          </w:tcPr>
          <w:p w14:paraId="55891B21">
            <w:pPr>
              <w:jc w:val="center"/>
              <w:rPr>
                <w:rFonts w:ascii="宋体" w:hAnsi="宋体" w:cs="宋体"/>
                <w:b/>
                <w:color w:val="auto"/>
                <w:kern w:val="0"/>
                <w:sz w:val="32"/>
                <w:szCs w:val="32"/>
                <w:highlight w:val="none"/>
              </w:rPr>
            </w:pPr>
          </w:p>
        </w:tc>
      </w:tr>
    </w:tbl>
    <w:p w14:paraId="7929367C">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30EB0E9B">
      <w:pPr>
        <w:jc w:val="center"/>
        <w:rPr>
          <w:rFonts w:ascii="宋体" w:hAnsi="宋体" w:cs="宋体"/>
          <w:b/>
          <w:color w:val="auto"/>
          <w:kern w:val="0"/>
          <w:sz w:val="32"/>
          <w:szCs w:val="32"/>
          <w:highlight w:val="none"/>
        </w:rPr>
      </w:pPr>
    </w:p>
    <w:p w14:paraId="78CCAC03">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0814746B">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2566F530">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7E330C5B">
      <w:pPr>
        <w:pStyle w:val="82"/>
        <w:rPr>
          <w:rFonts w:hint="eastAsia" w:eastAsia="华文楷体"/>
          <w:color w:val="auto"/>
          <w:highlight w:val="none"/>
          <w:lang w:val="en-US" w:eastAsia="zh-CN"/>
        </w:rPr>
      </w:pPr>
    </w:p>
    <w:p w14:paraId="4A789C7E">
      <w:pPr>
        <w:ind w:firstLine="1911" w:firstLineChars="595"/>
        <w:rPr>
          <w:rFonts w:ascii="宋体" w:hAnsi="宋体" w:cs="宋体"/>
          <w:b/>
          <w:bCs/>
          <w:color w:val="auto"/>
          <w:sz w:val="32"/>
          <w:szCs w:val="32"/>
          <w:highlight w:val="none"/>
        </w:rPr>
      </w:pPr>
    </w:p>
    <w:p w14:paraId="4773425E">
      <w:pPr>
        <w:ind w:firstLine="1911" w:firstLineChars="595"/>
        <w:rPr>
          <w:rFonts w:ascii="宋体" w:hAnsi="宋体" w:cs="宋体"/>
          <w:b/>
          <w:bCs/>
          <w:color w:val="auto"/>
          <w:sz w:val="32"/>
          <w:szCs w:val="32"/>
          <w:highlight w:val="none"/>
        </w:rPr>
      </w:pPr>
    </w:p>
    <w:p w14:paraId="42BBD74F">
      <w:pPr>
        <w:ind w:firstLine="1911" w:firstLineChars="595"/>
        <w:rPr>
          <w:rFonts w:ascii="宋体" w:hAnsi="宋体" w:cs="宋体"/>
          <w:b/>
          <w:bCs/>
          <w:color w:val="auto"/>
          <w:sz w:val="32"/>
          <w:szCs w:val="32"/>
          <w:highlight w:val="none"/>
        </w:rPr>
      </w:pPr>
    </w:p>
    <w:p w14:paraId="583845C7">
      <w:pPr>
        <w:ind w:firstLine="1911" w:firstLineChars="595"/>
        <w:rPr>
          <w:rFonts w:ascii="宋体" w:hAnsi="宋体" w:cs="宋体"/>
          <w:b/>
          <w:bCs/>
          <w:color w:val="auto"/>
          <w:sz w:val="32"/>
          <w:szCs w:val="32"/>
          <w:highlight w:val="none"/>
        </w:rPr>
      </w:pPr>
    </w:p>
    <w:p w14:paraId="07166D8C">
      <w:pPr>
        <w:ind w:firstLine="1911" w:firstLineChars="595"/>
        <w:rPr>
          <w:rFonts w:ascii="宋体" w:hAnsi="宋体" w:cs="宋体"/>
          <w:b/>
          <w:bCs/>
          <w:color w:val="auto"/>
          <w:sz w:val="32"/>
          <w:szCs w:val="32"/>
          <w:highlight w:val="none"/>
        </w:rPr>
      </w:pPr>
    </w:p>
    <w:p w14:paraId="791D7DFF">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0AF0FB1">
      <w:pPr>
        <w:snapToGrid w:val="0"/>
        <w:spacing w:line="360" w:lineRule="auto"/>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八、</w:t>
      </w:r>
      <w:r>
        <w:rPr>
          <w:rFonts w:hint="eastAsia" w:ascii="宋体" w:hAnsi="宋体" w:cs="宋体"/>
          <w:b/>
          <w:color w:val="auto"/>
          <w:kern w:val="0"/>
          <w:sz w:val="32"/>
          <w:szCs w:val="32"/>
          <w:highlight w:val="none"/>
          <w:lang w:val="zh-CN"/>
        </w:rPr>
        <w:t>政府采购供应商廉洁自律承诺书</w:t>
      </w:r>
    </w:p>
    <w:p w14:paraId="160A07E8">
      <w:pPr>
        <w:snapToGrid w:val="0"/>
        <w:spacing w:line="360" w:lineRule="auto"/>
        <w:rPr>
          <w:rFonts w:ascii="宋体" w:hAnsi="宋体" w:cs="宋体"/>
          <w:color w:val="auto"/>
          <w:sz w:val="24"/>
          <w:highlight w:val="none"/>
        </w:rPr>
      </w:pPr>
    </w:p>
    <w:p w14:paraId="08DB390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lang w:eastAsia="zh-CN"/>
        </w:rPr>
        <w:t>杭州市公共资源交易中心临安分中心</w:t>
      </w:r>
      <w:r>
        <w:rPr>
          <w:rFonts w:hint="eastAsia" w:ascii="宋体" w:hAnsi="宋体" w:cs="宋体"/>
          <w:color w:val="auto"/>
          <w:kern w:val="0"/>
          <w:sz w:val="24"/>
          <w:highlight w:val="none"/>
          <w:lang w:val="zh-CN"/>
        </w:rPr>
        <w:t>：</w:t>
      </w:r>
    </w:p>
    <w:p w14:paraId="1FCA10D0">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D79DD0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D1AB8D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CF9C94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8F855D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7C3A387A">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177E3B20">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E7DC016">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102D9B6A">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041E20E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61CEFB2C">
      <w:pPr>
        <w:autoSpaceDE w:val="0"/>
        <w:autoSpaceDN w:val="0"/>
        <w:spacing w:line="360" w:lineRule="auto"/>
        <w:ind w:left="2"/>
        <w:jc w:val="left"/>
        <w:rPr>
          <w:rFonts w:ascii="宋体" w:hAnsi="宋体" w:cs="宋体"/>
          <w:color w:val="auto"/>
          <w:kern w:val="0"/>
          <w:sz w:val="24"/>
          <w:highlight w:val="none"/>
          <w:lang w:val="zh-CN"/>
        </w:rPr>
      </w:pPr>
    </w:p>
    <w:p w14:paraId="06CB9E28">
      <w:pPr>
        <w:autoSpaceDE w:val="0"/>
        <w:autoSpaceDN w:val="0"/>
        <w:spacing w:line="360" w:lineRule="auto"/>
        <w:ind w:left="2"/>
        <w:jc w:val="left"/>
        <w:rPr>
          <w:rFonts w:ascii="宋体" w:hAnsi="宋体" w:cs="宋体"/>
          <w:color w:val="auto"/>
          <w:kern w:val="0"/>
          <w:sz w:val="24"/>
          <w:highlight w:val="none"/>
          <w:lang w:val="zh-CN"/>
        </w:rPr>
      </w:pPr>
    </w:p>
    <w:p w14:paraId="59981030">
      <w:pPr>
        <w:autoSpaceDE w:val="0"/>
        <w:autoSpaceDN w:val="0"/>
        <w:spacing w:line="360" w:lineRule="auto"/>
        <w:ind w:left="2"/>
        <w:jc w:val="left"/>
        <w:rPr>
          <w:rFonts w:ascii="宋体" w:hAnsi="宋体" w:cs="宋体"/>
          <w:color w:val="auto"/>
          <w:kern w:val="0"/>
          <w:sz w:val="24"/>
          <w:highlight w:val="none"/>
          <w:lang w:val="zh-CN"/>
        </w:rPr>
      </w:pPr>
    </w:p>
    <w:p w14:paraId="124124E9">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3DD385A">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21B6934">
      <w:pPr>
        <w:spacing w:line="360" w:lineRule="auto"/>
        <w:jc w:val="center"/>
        <w:rPr>
          <w:rFonts w:ascii="宋体" w:hAnsi="宋体" w:cs="宋体"/>
          <w:b/>
          <w:bCs/>
          <w:color w:val="auto"/>
          <w:sz w:val="24"/>
          <w:highlight w:val="none"/>
        </w:rPr>
      </w:pPr>
    </w:p>
    <w:p w14:paraId="4DAF7FD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C5F0FB3">
      <w:pPr>
        <w:spacing w:line="360" w:lineRule="auto"/>
        <w:jc w:val="center"/>
        <w:rPr>
          <w:rFonts w:ascii="宋体" w:hAnsi="宋体" w:cs="宋体"/>
          <w:b/>
          <w:bCs/>
          <w:color w:val="auto"/>
          <w:sz w:val="24"/>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40E2136">
      <w:pPr>
        <w:bidi w:val="0"/>
        <w:rPr>
          <w:rFonts w:hint="eastAsia"/>
        </w:rPr>
      </w:pPr>
    </w:p>
    <w:p w14:paraId="7188FA7E">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290E917C">
      <w:pPr>
        <w:spacing w:line="360" w:lineRule="auto"/>
        <w:jc w:val="center"/>
        <w:outlineLvl w:val="9"/>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9DA1F43">
      <w:pPr>
        <w:bidi w:val="0"/>
      </w:pPr>
    </w:p>
    <w:p w14:paraId="70A019C2">
      <w:pPr>
        <w:pStyle w:val="23"/>
      </w:pPr>
    </w:p>
    <w:p w14:paraId="4F6A21D9">
      <w:pPr>
        <w:numPr>
          <w:ilvl w:val="0"/>
          <w:numId w:val="1"/>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4929598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（2）关于符合本国产品标准的声明函或财政部会同有关部门规定的有关证明文件………………………………………………………………………………………（页码）</w:t>
      </w:r>
    </w:p>
    <w:p w14:paraId="3FBD802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highlight w:val="none"/>
        </w:rPr>
        <w:t>）中小企业声明函………………………………………………………………（页码）</w:t>
      </w:r>
    </w:p>
    <w:p w14:paraId="2F9567F0">
      <w:pPr>
        <w:pStyle w:val="693"/>
        <w:keepNext w:val="0"/>
        <w:pageBreakBefore w:val="0"/>
        <w:tabs>
          <w:tab w:val="clear" w:pos="720"/>
        </w:tabs>
        <w:snapToGrid w:val="0"/>
        <w:spacing w:before="120" w:after="120"/>
        <w:jc w:val="both"/>
        <w:outlineLvl w:val="9"/>
        <w:rPr>
          <w:rFonts w:hint="eastAsia"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6" w:h="16838"/>
          <w:pgMar w:top="1247" w:right="1418" w:bottom="1276"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15FD5F9">
      <w:pPr>
        <w:pStyle w:val="693"/>
        <w:keepNext w:val="0"/>
        <w:pageBreakBefore w:val="0"/>
        <w:tabs>
          <w:tab w:val="clear" w:pos="720"/>
        </w:tabs>
        <w:snapToGrid w:val="0"/>
        <w:spacing w:before="120" w:after="120"/>
        <w:jc w:val="center"/>
        <w:outlineLvl w:val="2"/>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eastAsia="zh-CN"/>
        </w:rPr>
        <w:t>一</w:t>
      </w:r>
      <w:r>
        <w:rPr>
          <w:rFonts w:hint="eastAsia" w:ascii="宋体" w:hAnsi="宋体" w:eastAsia="宋体" w:cs="宋体"/>
          <w:color w:val="auto"/>
          <w:kern w:val="2"/>
          <w:sz w:val="32"/>
          <w:szCs w:val="32"/>
          <w:highlight w:val="none"/>
        </w:rPr>
        <w:t>、开标一览表（报价表）</w:t>
      </w:r>
    </w:p>
    <w:p w14:paraId="20D8F6F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lang w:val="en-US" w:eastAsia="zh-CN"/>
        </w:rPr>
        <w:t>杭州市公共资源交易中心临安分中心</w:t>
      </w:r>
      <w:r>
        <w:rPr>
          <w:rFonts w:hint="eastAsia" w:ascii="宋体" w:hAnsi="宋体" w:cs="宋体"/>
          <w:color w:val="auto"/>
          <w:kern w:val="0"/>
          <w:sz w:val="24"/>
          <w:highlight w:val="none"/>
          <w:lang w:val="zh-CN"/>
        </w:rPr>
        <w:t>：</w:t>
      </w:r>
    </w:p>
    <w:p w14:paraId="35FCD8AC">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753626BB">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847"/>
        <w:gridCol w:w="1698"/>
        <w:gridCol w:w="1548"/>
        <w:gridCol w:w="1286"/>
        <w:gridCol w:w="1286"/>
        <w:gridCol w:w="827"/>
        <w:gridCol w:w="1786"/>
        <w:gridCol w:w="3603"/>
      </w:tblGrid>
      <w:tr w14:paraId="180C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18" w:type="pct"/>
            <w:vAlign w:val="center"/>
          </w:tcPr>
          <w:p w14:paraId="7EA97C39">
            <w:pPr>
              <w:spacing w:line="240" w:lineRule="auto"/>
              <w:jc w:val="center"/>
              <w:rPr>
                <w:rFonts w:ascii="宋体" w:hAnsi="宋体" w:cs="宋体"/>
                <w:b/>
                <w:sz w:val="24"/>
                <w:shd w:val="clear" w:color="auto" w:fill="auto"/>
              </w:rPr>
            </w:pPr>
            <w:r>
              <w:rPr>
                <w:rFonts w:hint="eastAsia" w:ascii="宋体" w:hAnsi="宋体" w:cs="宋体"/>
                <w:b/>
                <w:sz w:val="24"/>
                <w:shd w:val="clear" w:color="auto" w:fill="auto"/>
              </w:rPr>
              <w:t>序号</w:t>
            </w:r>
          </w:p>
        </w:tc>
        <w:tc>
          <w:tcPr>
            <w:tcW w:w="636" w:type="pct"/>
            <w:vAlign w:val="center"/>
          </w:tcPr>
          <w:p w14:paraId="3DA44E50">
            <w:pPr>
              <w:spacing w:line="240" w:lineRule="auto"/>
              <w:jc w:val="center"/>
              <w:rPr>
                <w:rFonts w:ascii="宋体" w:hAnsi="宋体" w:cs="宋体"/>
                <w:b/>
                <w:sz w:val="24"/>
                <w:shd w:val="clear" w:color="auto" w:fill="auto"/>
              </w:rPr>
            </w:pPr>
            <w:r>
              <w:rPr>
                <w:rFonts w:hint="eastAsia" w:ascii="宋体" w:hAnsi="宋体" w:cs="宋体"/>
                <w:b/>
                <w:sz w:val="24"/>
                <w:shd w:val="clear" w:color="auto" w:fill="auto"/>
              </w:rPr>
              <w:t>名称</w:t>
            </w:r>
          </w:p>
        </w:tc>
        <w:tc>
          <w:tcPr>
            <w:tcW w:w="585" w:type="pct"/>
            <w:vAlign w:val="center"/>
          </w:tcPr>
          <w:p w14:paraId="6F0FD9F7">
            <w:pPr>
              <w:spacing w:line="240" w:lineRule="auto"/>
              <w:jc w:val="center"/>
              <w:rPr>
                <w:rFonts w:ascii="宋体" w:hAnsi="宋体" w:cs="宋体"/>
                <w:b/>
                <w:sz w:val="24"/>
                <w:shd w:val="clear" w:color="auto" w:fill="auto"/>
              </w:rPr>
            </w:pPr>
            <w:r>
              <w:rPr>
                <w:rFonts w:hint="eastAsia" w:ascii="宋体" w:hAnsi="宋体" w:cs="宋体"/>
                <w:b/>
                <w:sz w:val="24"/>
                <w:shd w:val="clear" w:color="auto" w:fill="auto"/>
              </w:rPr>
              <w:t>品牌（如果有）</w:t>
            </w:r>
          </w:p>
        </w:tc>
        <w:tc>
          <w:tcPr>
            <w:tcW w:w="532" w:type="pct"/>
            <w:vAlign w:val="center"/>
          </w:tcPr>
          <w:p w14:paraId="28707247">
            <w:pPr>
              <w:spacing w:line="240" w:lineRule="auto"/>
              <w:jc w:val="center"/>
              <w:rPr>
                <w:rFonts w:ascii="宋体" w:hAnsi="宋体" w:cs="宋体"/>
                <w:b/>
                <w:sz w:val="24"/>
                <w:shd w:val="clear" w:color="auto" w:fill="auto"/>
              </w:rPr>
            </w:pPr>
            <w:r>
              <w:rPr>
                <w:rFonts w:hint="eastAsia" w:ascii="宋体" w:hAnsi="宋体" w:cs="宋体"/>
                <w:b/>
                <w:sz w:val="24"/>
                <w:shd w:val="clear" w:color="auto" w:fill="auto"/>
              </w:rPr>
              <w:t>规格型号</w:t>
            </w:r>
          </w:p>
        </w:tc>
        <w:tc>
          <w:tcPr>
            <w:tcW w:w="443" w:type="pct"/>
            <w:vAlign w:val="center"/>
          </w:tcPr>
          <w:p w14:paraId="4F5500ED">
            <w:pPr>
              <w:spacing w:line="240" w:lineRule="auto"/>
              <w:jc w:val="center"/>
              <w:rPr>
                <w:rFonts w:ascii="宋体" w:hAnsi="宋体" w:cs="宋体"/>
                <w:b/>
                <w:sz w:val="24"/>
                <w:shd w:val="clear" w:color="auto" w:fill="auto"/>
              </w:rPr>
            </w:pPr>
            <w:r>
              <w:rPr>
                <w:rFonts w:hint="eastAsia" w:ascii="宋体" w:hAnsi="宋体" w:cs="宋体"/>
                <w:b/>
                <w:sz w:val="24"/>
                <w:shd w:val="clear" w:color="auto" w:fill="auto"/>
              </w:rPr>
              <w:t>数量</w:t>
            </w:r>
          </w:p>
        </w:tc>
        <w:tc>
          <w:tcPr>
            <w:tcW w:w="443" w:type="pct"/>
            <w:vAlign w:val="center"/>
          </w:tcPr>
          <w:p w14:paraId="5B8BC797">
            <w:pPr>
              <w:spacing w:line="240" w:lineRule="auto"/>
              <w:jc w:val="center"/>
              <w:rPr>
                <w:rFonts w:hint="eastAsia" w:ascii="宋体" w:hAnsi="宋体" w:cs="宋体"/>
                <w:b/>
                <w:sz w:val="24"/>
                <w:shd w:val="clear" w:color="auto" w:fill="auto"/>
                <w:lang w:eastAsia="zh-CN"/>
              </w:rPr>
            </w:pPr>
            <w:r>
              <w:rPr>
                <w:rFonts w:hint="eastAsia" w:ascii="宋体" w:hAnsi="宋体" w:cs="宋体"/>
                <w:b/>
                <w:sz w:val="24"/>
                <w:shd w:val="clear" w:color="auto" w:fill="auto"/>
                <w:lang w:eastAsia="zh-CN"/>
              </w:rPr>
              <w:t>上限单价</w:t>
            </w:r>
          </w:p>
        </w:tc>
        <w:tc>
          <w:tcPr>
            <w:tcW w:w="285" w:type="pct"/>
            <w:vAlign w:val="center"/>
          </w:tcPr>
          <w:p w14:paraId="6AF555DC">
            <w:pPr>
              <w:spacing w:line="240" w:lineRule="auto"/>
              <w:jc w:val="center"/>
              <w:rPr>
                <w:rFonts w:hint="eastAsia" w:ascii="宋体" w:hAnsi="宋体" w:cs="宋体"/>
                <w:b/>
                <w:sz w:val="24"/>
                <w:shd w:val="clear" w:color="auto" w:fill="auto"/>
                <w:lang w:eastAsia="zh-CN"/>
              </w:rPr>
            </w:pPr>
            <w:r>
              <w:rPr>
                <w:rFonts w:hint="eastAsia" w:ascii="宋体" w:hAnsi="宋体" w:cs="宋体"/>
                <w:b/>
                <w:sz w:val="24"/>
                <w:shd w:val="clear" w:color="auto" w:fill="auto"/>
                <w:lang w:eastAsia="zh-CN"/>
              </w:rPr>
              <w:t>单价</w:t>
            </w:r>
          </w:p>
        </w:tc>
        <w:tc>
          <w:tcPr>
            <w:tcW w:w="615" w:type="pct"/>
            <w:vAlign w:val="center"/>
          </w:tcPr>
          <w:p w14:paraId="55275807">
            <w:pPr>
              <w:spacing w:line="240" w:lineRule="auto"/>
              <w:jc w:val="center"/>
              <w:rPr>
                <w:rFonts w:hint="eastAsia" w:ascii="宋体" w:hAnsi="宋体" w:eastAsia="宋体" w:cs="宋体"/>
                <w:b/>
                <w:sz w:val="24"/>
                <w:shd w:val="clear" w:color="auto" w:fill="auto"/>
                <w:lang w:eastAsia="zh-CN"/>
              </w:rPr>
            </w:pPr>
            <w:r>
              <w:rPr>
                <w:rFonts w:hint="eastAsia" w:ascii="宋体" w:hAnsi="宋体" w:cs="宋体"/>
                <w:b/>
                <w:sz w:val="24"/>
                <w:shd w:val="clear" w:color="auto" w:fill="auto"/>
                <w:lang w:eastAsia="zh-CN"/>
              </w:rPr>
              <w:t>合计</w:t>
            </w:r>
          </w:p>
        </w:tc>
        <w:tc>
          <w:tcPr>
            <w:tcW w:w="1240" w:type="pct"/>
            <w:vAlign w:val="center"/>
          </w:tcPr>
          <w:p w14:paraId="0B6ACB12">
            <w:pPr>
              <w:spacing w:line="240" w:lineRule="auto"/>
              <w:jc w:val="center"/>
              <w:rPr>
                <w:rFonts w:ascii="宋体" w:hAnsi="宋体" w:cs="宋体"/>
                <w:b/>
                <w:sz w:val="24"/>
                <w:highlight w:val="none"/>
                <w:shd w:val="clear" w:color="auto" w:fill="auto"/>
              </w:rPr>
            </w:pPr>
            <w:r>
              <w:rPr>
                <w:rFonts w:hint="eastAsia" w:ascii="宋体" w:hAnsi="宋体" w:cs="宋体"/>
                <w:b/>
                <w:sz w:val="24"/>
                <w:highlight w:val="none"/>
                <w:shd w:val="clear" w:color="auto" w:fill="auto"/>
              </w:rPr>
              <w:t>备注（如果有）</w:t>
            </w:r>
          </w:p>
        </w:tc>
      </w:tr>
      <w:tr w14:paraId="6039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8" w:type="pct"/>
            <w:vAlign w:val="center"/>
          </w:tcPr>
          <w:p w14:paraId="0E3FE479">
            <w:pPr>
              <w:tabs>
                <w:tab w:val="left" w:pos="0"/>
              </w:tabs>
              <w:spacing w:line="240" w:lineRule="auto"/>
              <w:jc w:val="center"/>
              <w:rPr>
                <w:rFonts w:hint="eastAsia" w:ascii="宋体" w:hAnsi="宋体" w:eastAsia="宋体" w:cs="宋体"/>
                <w:kern w:val="0"/>
                <w:sz w:val="24"/>
                <w:shd w:val="clear" w:color="auto" w:fill="auto"/>
                <w:lang w:val="en-US" w:eastAsia="zh-CN"/>
              </w:rPr>
            </w:pPr>
            <w:r>
              <w:rPr>
                <w:rFonts w:hint="eastAsia" w:ascii="宋体" w:hAnsi="宋体" w:eastAsia="宋体" w:cs="宋体"/>
                <w:kern w:val="0"/>
                <w:sz w:val="24"/>
                <w:shd w:val="clear" w:color="auto" w:fill="auto"/>
                <w:lang w:val="en-US" w:eastAsia="zh-CN"/>
              </w:rPr>
              <w:t>1</w:t>
            </w:r>
          </w:p>
        </w:tc>
        <w:tc>
          <w:tcPr>
            <w:tcW w:w="636" w:type="pct"/>
            <w:vAlign w:val="center"/>
          </w:tcPr>
          <w:p w14:paraId="57FCC25E">
            <w:pPr>
              <w:tabs>
                <w:tab w:val="left" w:pos="0"/>
              </w:tabs>
              <w:spacing w:line="240" w:lineRule="auto"/>
              <w:jc w:val="center"/>
              <w:rPr>
                <w:rFonts w:hint="eastAsia" w:ascii="宋体" w:hAnsi="宋体" w:eastAsia="宋体" w:cs="宋体"/>
                <w:kern w:val="0"/>
                <w:sz w:val="24"/>
                <w:shd w:val="clear" w:color="auto" w:fill="auto"/>
                <w:lang w:val="en-US" w:eastAsia="zh-CN"/>
              </w:rPr>
            </w:pPr>
            <w:r>
              <w:rPr>
                <w:rFonts w:hint="eastAsia" w:ascii="宋体" w:hAnsi="宋体" w:cs="宋体"/>
                <w:kern w:val="0"/>
                <w:sz w:val="24"/>
                <w:shd w:val="clear" w:color="auto" w:fill="auto"/>
                <w:lang w:val="en-US" w:eastAsia="zh-CN"/>
              </w:rPr>
              <w:t>便携式计算机</w:t>
            </w:r>
          </w:p>
        </w:tc>
        <w:tc>
          <w:tcPr>
            <w:tcW w:w="585" w:type="pct"/>
            <w:vAlign w:val="center"/>
          </w:tcPr>
          <w:p w14:paraId="12B647B2">
            <w:pPr>
              <w:snapToGrid w:val="0"/>
              <w:spacing w:line="240" w:lineRule="auto"/>
              <w:jc w:val="center"/>
              <w:rPr>
                <w:rFonts w:ascii="宋体" w:hAnsi="宋体" w:cs="宋体"/>
                <w:color w:val="0000FF"/>
                <w:sz w:val="24"/>
                <w:shd w:val="clear" w:color="auto" w:fill="auto"/>
              </w:rPr>
            </w:pPr>
          </w:p>
        </w:tc>
        <w:tc>
          <w:tcPr>
            <w:tcW w:w="532" w:type="pct"/>
            <w:vAlign w:val="center"/>
          </w:tcPr>
          <w:p w14:paraId="49C17CD2">
            <w:pPr>
              <w:snapToGrid w:val="0"/>
              <w:spacing w:line="240" w:lineRule="auto"/>
              <w:jc w:val="center"/>
              <w:rPr>
                <w:rFonts w:ascii="宋体" w:hAnsi="宋体" w:cs="宋体"/>
                <w:color w:val="0000FF"/>
                <w:sz w:val="24"/>
                <w:shd w:val="clear" w:color="auto" w:fill="auto"/>
              </w:rPr>
            </w:pPr>
          </w:p>
        </w:tc>
        <w:tc>
          <w:tcPr>
            <w:tcW w:w="443" w:type="pct"/>
            <w:vAlign w:val="center"/>
          </w:tcPr>
          <w:p w14:paraId="44A62229">
            <w:pPr>
              <w:tabs>
                <w:tab w:val="left" w:pos="0"/>
              </w:tabs>
              <w:spacing w:line="240" w:lineRule="auto"/>
              <w:jc w:val="center"/>
              <w:rPr>
                <w:rFonts w:hint="default" w:ascii="宋体" w:hAnsi="宋体" w:eastAsia="宋体" w:cs="宋体"/>
                <w:kern w:val="0"/>
                <w:sz w:val="24"/>
                <w:szCs w:val="24"/>
                <w:shd w:val="clear" w:color="auto" w:fill="auto"/>
                <w:lang w:val="en-US" w:eastAsia="zh-CN" w:bidi="ar-SA"/>
              </w:rPr>
            </w:pPr>
            <w:r>
              <w:rPr>
                <w:rFonts w:hint="eastAsia" w:ascii="宋体" w:hAnsi="宋体" w:cs="宋体"/>
                <w:kern w:val="0"/>
                <w:sz w:val="24"/>
                <w:shd w:val="clear" w:color="auto" w:fill="auto"/>
                <w:lang w:val="en-US" w:eastAsia="zh-CN"/>
              </w:rPr>
              <w:t>54</w:t>
            </w:r>
            <w:r>
              <w:rPr>
                <w:rFonts w:hint="eastAsia" w:ascii="宋体" w:hAnsi="宋体" w:eastAsia="宋体" w:cs="宋体"/>
                <w:kern w:val="0"/>
                <w:sz w:val="24"/>
                <w:shd w:val="clear" w:color="auto" w:fill="auto"/>
                <w:lang w:val="en-US" w:eastAsia="zh-CN"/>
              </w:rPr>
              <w:t>套</w:t>
            </w:r>
          </w:p>
        </w:tc>
        <w:tc>
          <w:tcPr>
            <w:tcW w:w="443" w:type="pct"/>
            <w:vAlign w:val="center"/>
          </w:tcPr>
          <w:p w14:paraId="0A3AFF20">
            <w:pPr>
              <w:tabs>
                <w:tab w:val="left" w:pos="0"/>
              </w:tabs>
              <w:spacing w:line="240" w:lineRule="auto"/>
              <w:jc w:val="center"/>
              <w:rPr>
                <w:rFonts w:hint="default" w:ascii="宋体" w:hAnsi="宋体" w:eastAsia="宋体" w:cs="宋体"/>
                <w:b/>
                <w:bCs/>
                <w:kern w:val="0"/>
                <w:sz w:val="24"/>
                <w:shd w:val="clear" w:color="auto" w:fill="auto"/>
                <w:lang w:val="en-US" w:eastAsia="zh-CN"/>
              </w:rPr>
            </w:pPr>
            <w:r>
              <w:rPr>
                <w:rFonts w:hint="eastAsia" w:ascii="宋体" w:hAnsi="宋体" w:cs="宋体"/>
                <w:b/>
                <w:bCs/>
                <w:kern w:val="0"/>
                <w:sz w:val="24"/>
                <w:shd w:val="clear" w:color="auto" w:fill="auto"/>
                <w:lang w:val="en-US" w:eastAsia="zh-CN"/>
              </w:rPr>
              <w:t>7000</w:t>
            </w:r>
          </w:p>
        </w:tc>
        <w:tc>
          <w:tcPr>
            <w:tcW w:w="285" w:type="pct"/>
            <w:vAlign w:val="center"/>
          </w:tcPr>
          <w:p w14:paraId="6EDA582A">
            <w:pPr>
              <w:tabs>
                <w:tab w:val="left" w:pos="0"/>
              </w:tabs>
              <w:spacing w:line="240" w:lineRule="auto"/>
              <w:jc w:val="center"/>
              <w:rPr>
                <w:rFonts w:hint="eastAsia" w:ascii="宋体" w:hAnsi="宋体" w:eastAsia="宋体" w:cs="宋体"/>
                <w:kern w:val="0"/>
                <w:sz w:val="24"/>
                <w:shd w:val="clear" w:color="auto" w:fill="auto"/>
                <w:lang w:val="en-US" w:eastAsia="zh-CN"/>
              </w:rPr>
            </w:pPr>
          </w:p>
        </w:tc>
        <w:tc>
          <w:tcPr>
            <w:tcW w:w="615" w:type="pct"/>
            <w:vAlign w:val="center"/>
          </w:tcPr>
          <w:p w14:paraId="2438CD60">
            <w:pPr>
              <w:tabs>
                <w:tab w:val="left" w:pos="0"/>
              </w:tabs>
              <w:spacing w:line="240" w:lineRule="auto"/>
              <w:jc w:val="center"/>
              <w:rPr>
                <w:rFonts w:hint="default" w:ascii="宋体" w:hAnsi="宋体" w:eastAsia="宋体" w:cs="宋体"/>
                <w:b/>
                <w:bCs/>
                <w:kern w:val="0"/>
                <w:sz w:val="24"/>
                <w:szCs w:val="24"/>
                <w:highlight w:val="none"/>
                <w:shd w:val="clear" w:color="auto" w:fill="auto"/>
                <w:lang w:val="en-US" w:eastAsia="zh-CN" w:bidi="ar-SA"/>
              </w:rPr>
            </w:pPr>
          </w:p>
        </w:tc>
        <w:tc>
          <w:tcPr>
            <w:tcW w:w="1240" w:type="pct"/>
            <w:vAlign w:val="center"/>
          </w:tcPr>
          <w:p w14:paraId="458267D8">
            <w:pPr>
              <w:spacing w:line="240" w:lineRule="auto"/>
              <w:jc w:val="center"/>
              <w:rPr>
                <w:rFonts w:hint="default" w:ascii="宋体" w:hAnsi="宋体" w:eastAsia="宋体" w:cs="宋体"/>
                <w:color w:val="0000FF"/>
                <w:sz w:val="24"/>
                <w:highlight w:val="none"/>
                <w:shd w:val="clear" w:color="auto" w:fill="auto"/>
                <w:lang w:val="en-US" w:eastAsia="zh-CN"/>
              </w:rPr>
            </w:pPr>
          </w:p>
        </w:tc>
      </w:tr>
      <w:tr w14:paraId="07F1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8" w:type="pct"/>
            <w:vAlign w:val="center"/>
          </w:tcPr>
          <w:p w14:paraId="311BE538">
            <w:pPr>
              <w:tabs>
                <w:tab w:val="left" w:pos="0"/>
              </w:tabs>
              <w:spacing w:line="240" w:lineRule="auto"/>
              <w:jc w:val="center"/>
              <w:rPr>
                <w:rFonts w:hint="default" w:ascii="宋体" w:hAnsi="宋体" w:eastAsia="宋体" w:cs="宋体"/>
                <w:kern w:val="0"/>
                <w:sz w:val="24"/>
                <w:shd w:val="clear" w:color="auto" w:fill="auto"/>
                <w:lang w:val="en-US" w:eastAsia="zh-CN"/>
              </w:rPr>
            </w:pPr>
          </w:p>
        </w:tc>
        <w:tc>
          <w:tcPr>
            <w:tcW w:w="636" w:type="pct"/>
            <w:vAlign w:val="center"/>
          </w:tcPr>
          <w:p w14:paraId="6381AA87">
            <w:pPr>
              <w:tabs>
                <w:tab w:val="left" w:pos="0"/>
              </w:tabs>
              <w:spacing w:line="240" w:lineRule="auto"/>
              <w:jc w:val="center"/>
              <w:rPr>
                <w:rFonts w:hint="default" w:ascii="宋体" w:hAnsi="宋体" w:eastAsia="宋体" w:cs="宋体"/>
                <w:kern w:val="0"/>
                <w:sz w:val="24"/>
                <w:shd w:val="clear" w:color="auto" w:fill="auto"/>
                <w:lang w:val="en-US" w:eastAsia="zh-CN"/>
              </w:rPr>
            </w:pPr>
          </w:p>
        </w:tc>
        <w:tc>
          <w:tcPr>
            <w:tcW w:w="585" w:type="pct"/>
            <w:vAlign w:val="center"/>
          </w:tcPr>
          <w:p w14:paraId="56774EEE">
            <w:pPr>
              <w:snapToGrid w:val="0"/>
              <w:spacing w:line="240" w:lineRule="auto"/>
              <w:jc w:val="center"/>
              <w:rPr>
                <w:rFonts w:ascii="宋体" w:hAnsi="宋体" w:cs="宋体"/>
                <w:color w:val="0000FF"/>
                <w:sz w:val="24"/>
                <w:shd w:val="clear" w:color="auto" w:fill="auto"/>
              </w:rPr>
            </w:pPr>
          </w:p>
        </w:tc>
        <w:tc>
          <w:tcPr>
            <w:tcW w:w="532" w:type="pct"/>
            <w:vAlign w:val="center"/>
          </w:tcPr>
          <w:p w14:paraId="3D162F6B">
            <w:pPr>
              <w:snapToGrid w:val="0"/>
              <w:spacing w:line="240" w:lineRule="auto"/>
              <w:jc w:val="center"/>
              <w:rPr>
                <w:rFonts w:ascii="宋体" w:hAnsi="宋体" w:cs="宋体"/>
                <w:color w:val="0000FF"/>
                <w:sz w:val="24"/>
                <w:shd w:val="clear" w:color="auto" w:fill="auto"/>
              </w:rPr>
            </w:pPr>
          </w:p>
        </w:tc>
        <w:tc>
          <w:tcPr>
            <w:tcW w:w="443" w:type="pct"/>
            <w:vAlign w:val="center"/>
          </w:tcPr>
          <w:p w14:paraId="35C3CCDC">
            <w:pPr>
              <w:tabs>
                <w:tab w:val="left" w:pos="0"/>
              </w:tabs>
              <w:spacing w:line="240" w:lineRule="auto"/>
              <w:jc w:val="center"/>
              <w:rPr>
                <w:rFonts w:hint="default" w:ascii="宋体" w:hAnsi="宋体" w:cs="宋体"/>
                <w:kern w:val="0"/>
                <w:sz w:val="24"/>
                <w:shd w:val="clear" w:color="auto" w:fill="auto"/>
                <w:lang w:val="en-US" w:eastAsia="zh-CN"/>
              </w:rPr>
            </w:pPr>
          </w:p>
        </w:tc>
        <w:tc>
          <w:tcPr>
            <w:tcW w:w="443" w:type="pct"/>
            <w:vAlign w:val="center"/>
          </w:tcPr>
          <w:p w14:paraId="249BB297">
            <w:pPr>
              <w:tabs>
                <w:tab w:val="left" w:pos="0"/>
              </w:tabs>
              <w:spacing w:line="240" w:lineRule="auto"/>
              <w:jc w:val="center"/>
              <w:rPr>
                <w:rFonts w:hint="eastAsia" w:ascii="宋体" w:hAnsi="宋体" w:eastAsia="宋体" w:cs="宋体"/>
                <w:b/>
                <w:bCs/>
                <w:kern w:val="0"/>
                <w:sz w:val="24"/>
                <w:shd w:val="clear" w:color="auto" w:fill="auto"/>
                <w:lang w:val="en-US" w:eastAsia="zh-CN"/>
              </w:rPr>
            </w:pPr>
          </w:p>
        </w:tc>
        <w:tc>
          <w:tcPr>
            <w:tcW w:w="285" w:type="pct"/>
            <w:vAlign w:val="center"/>
          </w:tcPr>
          <w:p w14:paraId="0DC803A7">
            <w:pPr>
              <w:tabs>
                <w:tab w:val="left" w:pos="0"/>
              </w:tabs>
              <w:spacing w:line="240" w:lineRule="auto"/>
              <w:jc w:val="center"/>
              <w:rPr>
                <w:rFonts w:hint="eastAsia" w:ascii="宋体" w:hAnsi="宋体" w:eastAsia="宋体" w:cs="宋体"/>
                <w:kern w:val="0"/>
                <w:sz w:val="24"/>
                <w:shd w:val="clear" w:color="auto" w:fill="auto"/>
                <w:lang w:val="en-US" w:eastAsia="zh-CN"/>
              </w:rPr>
            </w:pPr>
          </w:p>
        </w:tc>
        <w:tc>
          <w:tcPr>
            <w:tcW w:w="615" w:type="pct"/>
            <w:vAlign w:val="center"/>
          </w:tcPr>
          <w:p w14:paraId="6B55B9CC">
            <w:pPr>
              <w:tabs>
                <w:tab w:val="left" w:pos="0"/>
              </w:tabs>
              <w:spacing w:line="240" w:lineRule="auto"/>
              <w:jc w:val="center"/>
              <w:rPr>
                <w:rFonts w:hint="default" w:ascii="宋体" w:hAnsi="宋体" w:eastAsia="宋体" w:cs="宋体"/>
                <w:b/>
                <w:bCs/>
                <w:kern w:val="0"/>
                <w:sz w:val="24"/>
                <w:szCs w:val="24"/>
                <w:highlight w:val="none"/>
                <w:shd w:val="clear" w:color="auto" w:fill="auto"/>
                <w:lang w:val="en-US" w:eastAsia="zh-CN" w:bidi="ar-SA"/>
              </w:rPr>
            </w:pPr>
          </w:p>
        </w:tc>
        <w:tc>
          <w:tcPr>
            <w:tcW w:w="1240" w:type="pct"/>
            <w:vAlign w:val="center"/>
          </w:tcPr>
          <w:p w14:paraId="391FC53D">
            <w:pPr>
              <w:spacing w:line="240" w:lineRule="auto"/>
              <w:jc w:val="center"/>
              <w:rPr>
                <w:rFonts w:hint="default" w:ascii="宋体" w:hAnsi="宋体" w:eastAsia="宋体" w:cs="宋体"/>
                <w:color w:val="0000FF"/>
                <w:sz w:val="24"/>
                <w:highlight w:val="none"/>
                <w:shd w:val="clear" w:color="auto" w:fill="auto"/>
                <w:lang w:val="en-US" w:eastAsia="zh-CN"/>
              </w:rPr>
            </w:pPr>
          </w:p>
        </w:tc>
      </w:tr>
      <w:tr w14:paraId="562D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8" w:type="pct"/>
            <w:vAlign w:val="center"/>
          </w:tcPr>
          <w:p w14:paraId="49A02895">
            <w:pPr>
              <w:tabs>
                <w:tab w:val="left" w:pos="0"/>
              </w:tabs>
              <w:spacing w:line="240" w:lineRule="auto"/>
              <w:jc w:val="center"/>
              <w:rPr>
                <w:rFonts w:hint="eastAsia" w:ascii="宋体" w:hAnsi="宋体" w:cs="宋体"/>
                <w:kern w:val="0"/>
                <w:sz w:val="24"/>
                <w:shd w:val="clear" w:color="auto" w:fill="auto"/>
                <w:lang w:val="en-US" w:eastAsia="zh-CN"/>
              </w:rPr>
            </w:pPr>
          </w:p>
        </w:tc>
        <w:tc>
          <w:tcPr>
            <w:tcW w:w="636" w:type="pct"/>
            <w:vAlign w:val="center"/>
          </w:tcPr>
          <w:p w14:paraId="28CAC594">
            <w:pPr>
              <w:tabs>
                <w:tab w:val="left" w:pos="0"/>
              </w:tabs>
              <w:spacing w:line="240" w:lineRule="auto"/>
              <w:jc w:val="center"/>
              <w:rPr>
                <w:rFonts w:hint="eastAsia" w:ascii="宋体" w:hAnsi="宋体" w:cs="宋体"/>
                <w:kern w:val="0"/>
                <w:sz w:val="24"/>
                <w:shd w:val="clear" w:color="auto" w:fill="auto"/>
                <w:lang w:val="en-US" w:eastAsia="zh-CN"/>
              </w:rPr>
            </w:pPr>
            <w:r>
              <w:rPr>
                <w:rFonts w:hint="eastAsia" w:ascii="宋体" w:hAnsi="宋体" w:cs="宋体"/>
                <w:kern w:val="0"/>
                <w:sz w:val="24"/>
                <w:shd w:val="clear" w:color="auto" w:fill="auto"/>
                <w:lang w:val="en-US" w:eastAsia="zh-CN"/>
              </w:rPr>
              <w:t>……</w:t>
            </w:r>
          </w:p>
        </w:tc>
        <w:tc>
          <w:tcPr>
            <w:tcW w:w="585" w:type="pct"/>
            <w:vAlign w:val="center"/>
          </w:tcPr>
          <w:p w14:paraId="59655A3D">
            <w:pPr>
              <w:snapToGrid w:val="0"/>
              <w:spacing w:line="240" w:lineRule="auto"/>
              <w:jc w:val="center"/>
              <w:rPr>
                <w:rFonts w:ascii="宋体" w:hAnsi="宋体" w:cs="宋体"/>
                <w:color w:val="0000FF"/>
                <w:sz w:val="24"/>
                <w:shd w:val="clear" w:color="auto" w:fill="auto"/>
              </w:rPr>
            </w:pPr>
          </w:p>
        </w:tc>
        <w:tc>
          <w:tcPr>
            <w:tcW w:w="532" w:type="pct"/>
            <w:vAlign w:val="center"/>
          </w:tcPr>
          <w:p w14:paraId="0E2EB92B">
            <w:pPr>
              <w:snapToGrid w:val="0"/>
              <w:spacing w:line="240" w:lineRule="auto"/>
              <w:jc w:val="center"/>
              <w:rPr>
                <w:rFonts w:ascii="宋体" w:hAnsi="宋体" w:cs="宋体"/>
                <w:color w:val="0000FF"/>
                <w:sz w:val="24"/>
                <w:shd w:val="clear" w:color="auto" w:fill="auto"/>
              </w:rPr>
            </w:pPr>
          </w:p>
        </w:tc>
        <w:tc>
          <w:tcPr>
            <w:tcW w:w="443" w:type="pct"/>
            <w:vAlign w:val="center"/>
          </w:tcPr>
          <w:p w14:paraId="0D57CFA9">
            <w:pPr>
              <w:tabs>
                <w:tab w:val="left" w:pos="0"/>
              </w:tabs>
              <w:spacing w:line="240" w:lineRule="auto"/>
              <w:jc w:val="center"/>
              <w:rPr>
                <w:rFonts w:hint="eastAsia" w:ascii="宋体" w:hAnsi="宋体" w:cs="宋体"/>
                <w:kern w:val="0"/>
                <w:sz w:val="24"/>
                <w:shd w:val="clear" w:color="auto" w:fill="auto"/>
                <w:lang w:val="en-US" w:eastAsia="zh-CN"/>
              </w:rPr>
            </w:pPr>
          </w:p>
        </w:tc>
        <w:tc>
          <w:tcPr>
            <w:tcW w:w="443" w:type="pct"/>
            <w:vAlign w:val="center"/>
          </w:tcPr>
          <w:p w14:paraId="0F9A71EB">
            <w:pPr>
              <w:tabs>
                <w:tab w:val="left" w:pos="0"/>
              </w:tabs>
              <w:spacing w:line="240" w:lineRule="auto"/>
              <w:jc w:val="center"/>
              <w:rPr>
                <w:rFonts w:hint="eastAsia" w:ascii="宋体" w:hAnsi="宋体" w:cs="宋体"/>
                <w:kern w:val="0"/>
                <w:sz w:val="24"/>
                <w:shd w:val="clear" w:color="auto" w:fill="auto"/>
                <w:lang w:val="en-US" w:eastAsia="zh-CN"/>
              </w:rPr>
            </w:pPr>
          </w:p>
        </w:tc>
        <w:tc>
          <w:tcPr>
            <w:tcW w:w="285" w:type="pct"/>
            <w:vAlign w:val="center"/>
          </w:tcPr>
          <w:p w14:paraId="722C5F69">
            <w:pPr>
              <w:tabs>
                <w:tab w:val="left" w:pos="0"/>
              </w:tabs>
              <w:spacing w:line="240" w:lineRule="auto"/>
              <w:jc w:val="center"/>
              <w:rPr>
                <w:rFonts w:hint="eastAsia" w:ascii="宋体" w:hAnsi="宋体" w:eastAsia="宋体" w:cs="宋体"/>
                <w:kern w:val="0"/>
                <w:sz w:val="24"/>
                <w:shd w:val="clear" w:color="auto" w:fill="auto"/>
                <w:lang w:val="en-US" w:eastAsia="zh-CN"/>
              </w:rPr>
            </w:pPr>
          </w:p>
        </w:tc>
        <w:tc>
          <w:tcPr>
            <w:tcW w:w="615" w:type="pct"/>
            <w:vAlign w:val="center"/>
          </w:tcPr>
          <w:p w14:paraId="788F19F2">
            <w:pPr>
              <w:tabs>
                <w:tab w:val="left" w:pos="0"/>
              </w:tabs>
              <w:spacing w:line="240" w:lineRule="auto"/>
              <w:jc w:val="center"/>
              <w:rPr>
                <w:rFonts w:hint="default" w:ascii="宋体" w:hAnsi="宋体" w:eastAsia="宋体" w:cs="宋体"/>
                <w:b/>
                <w:bCs/>
                <w:kern w:val="0"/>
                <w:sz w:val="24"/>
                <w:szCs w:val="24"/>
                <w:highlight w:val="none"/>
                <w:shd w:val="clear" w:color="auto" w:fill="auto"/>
                <w:lang w:val="en-US" w:eastAsia="zh-CN" w:bidi="ar-SA"/>
              </w:rPr>
            </w:pPr>
          </w:p>
        </w:tc>
        <w:tc>
          <w:tcPr>
            <w:tcW w:w="1240" w:type="pct"/>
            <w:vAlign w:val="center"/>
          </w:tcPr>
          <w:p w14:paraId="74B15280">
            <w:pPr>
              <w:spacing w:line="240" w:lineRule="auto"/>
              <w:jc w:val="center"/>
              <w:rPr>
                <w:rFonts w:hint="default" w:ascii="宋体" w:hAnsi="宋体" w:eastAsia="宋体" w:cs="宋体"/>
                <w:color w:val="0000FF"/>
                <w:sz w:val="24"/>
                <w:highlight w:val="none"/>
                <w:shd w:val="clear" w:color="auto" w:fill="auto"/>
                <w:lang w:val="en-US" w:eastAsia="zh-CN"/>
              </w:rPr>
            </w:pPr>
          </w:p>
        </w:tc>
      </w:tr>
      <w:tr w14:paraId="6BA3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972" w:type="pct"/>
            <w:gridSpan w:val="4"/>
            <w:vAlign w:val="center"/>
          </w:tcPr>
          <w:p w14:paraId="441BDC84">
            <w:pPr>
              <w:spacing w:line="240" w:lineRule="auto"/>
              <w:jc w:val="center"/>
              <w:rPr>
                <w:rFonts w:ascii="宋体" w:hAnsi="宋体" w:cs="宋体"/>
                <w:b/>
                <w:sz w:val="24"/>
                <w:shd w:val="clear" w:color="auto" w:fill="auto"/>
              </w:rPr>
            </w:pPr>
            <w:r>
              <w:rPr>
                <w:rFonts w:hint="eastAsia" w:ascii="宋体" w:hAnsi="宋体" w:cs="宋体"/>
                <w:b/>
                <w:sz w:val="24"/>
                <w:shd w:val="clear" w:color="auto" w:fill="auto"/>
              </w:rPr>
              <w:t>投标报价（小写）</w:t>
            </w:r>
          </w:p>
        </w:tc>
        <w:tc>
          <w:tcPr>
            <w:tcW w:w="3027" w:type="pct"/>
            <w:gridSpan w:val="5"/>
            <w:vAlign w:val="center"/>
          </w:tcPr>
          <w:p w14:paraId="31C49B17">
            <w:pPr>
              <w:spacing w:line="240" w:lineRule="auto"/>
              <w:jc w:val="center"/>
              <w:rPr>
                <w:rFonts w:ascii="宋体" w:hAnsi="宋体" w:cs="宋体"/>
                <w:sz w:val="24"/>
                <w:shd w:val="clear" w:color="auto" w:fill="auto"/>
              </w:rPr>
            </w:pPr>
          </w:p>
        </w:tc>
      </w:tr>
      <w:tr w14:paraId="2224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72" w:type="pct"/>
            <w:gridSpan w:val="4"/>
            <w:vAlign w:val="center"/>
          </w:tcPr>
          <w:p w14:paraId="31D7B03D">
            <w:pPr>
              <w:spacing w:line="240" w:lineRule="auto"/>
              <w:jc w:val="center"/>
              <w:rPr>
                <w:rFonts w:ascii="宋体" w:hAnsi="宋体" w:cs="宋体"/>
                <w:b/>
                <w:sz w:val="24"/>
                <w:shd w:val="clear" w:color="auto" w:fill="auto"/>
              </w:rPr>
            </w:pPr>
            <w:r>
              <w:rPr>
                <w:rFonts w:hint="eastAsia" w:ascii="宋体" w:hAnsi="宋体" w:cs="宋体"/>
                <w:b/>
                <w:sz w:val="24"/>
                <w:shd w:val="clear" w:color="auto" w:fill="auto"/>
              </w:rPr>
              <w:t>投标报价（大写）</w:t>
            </w:r>
          </w:p>
        </w:tc>
        <w:tc>
          <w:tcPr>
            <w:tcW w:w="3027" w:type="pct"/>
            <w:gridSpan w:val="5"/>
            <w:vAlign w:val="center"/>
          </w:tcPr>
          <w:p w14:paraId="49ECC0D7">
            <w:pPr>
              <w:spacing w:line="240" w:lineRule="auto"/>
              <w:jc w:val="center"/>
              <w:rPr>
                <w:rFonts w:ascii="宋体" w:hAnsi="宋体" w:cs="宋体"/>
                <w:sz w:val="24"/>
                <w:shd w:val="clear" w:color="auto" w:fill="auto"/>
              </w:rPr>
            </w:pPr>
          </w:p>
        </w:tc>
      </w:tr>
    </w:tbl>
    <w:p w14:paraId="0A59C26D">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532FA69">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4A3D724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799C0B5F">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67184AF2">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BF9D6BC">
      <w:pPr>
        <w:spacing w:line="360" w:lineRule="auto"/>
        <w:ind w:firstLine="482" w:firstLineChars="200"/>
        <w:rPr>
          <w:rFonts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sz w:val="24"/>
          <w:highlight w:val="none"/>
        </w:rPr>
        <w:t>5、特别说明：供应商报价低于项目预算50%的，应当在报价文件中详细阐述不影响产品质量或者诚信履约的具体原因</w:t>
      </w:r>
    </w:p>
    <w:p w14:paraId="13F9266F">
      <w:pPr>
        <w:bidi w:val="0"/>
        <w:rPr>
          <w:rFonts w:hint="eastAsia"/>
          <w:lang w:val="en-US" w:eastAsia="zh-CN"/>
        </w:rPr>
      </w:pPr>
    </w:p>
    <w:p w14:paraId="637FD46E">
      <w:pPr>
        <w:pStyle w:val="693"/>
        <w:keepNext w:val="0"/>
        <w:pageBreakBefore w:val="0"/>
        <w:tabs>
          <w:tab w:val="clear" w:pos="720"/>
        </w:tabs>
        <w:snapToGrid w:val="0"/>
        <w:spacing w:before="120" w:after="120"/>
        <w:jc w:val="center"/>
        <w:outlineLvl w:val="2"/>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二、关于符合本国产品标准的声明函或财政部会同有关部门规定的有关证明文件（如果有）</w:t>
      </w:r>
    </w:p>
    <w:p w14:paraId="0DBFFABC">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10D55DDB">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B5AF7EC">
      <w:pPr>
        <w:pStyle w:val="693"/>
        <w:keepNext w:val="0"/>
        <w:keepLines w:val="0"/>
        <w:pageBreakBefore w:val="0"/>
        <w:widowControl w:val="0"/>
        <w:tabs>
          <w:tab w:val="clear" w:pos="720"/>
        </w:tabs>
        <w:kinsoku/>
        <w:wordWrap/>
        <w:overflowPunct/>
        <w:topLinePunct w:val="0"/>
        <w:autoSpaceDE/>
        <w:autoSpaceDN/>
        <w:bidi w:val="0"/>
        <w:adjustRightInd w:val="0"/>
        <w:snapToGrid w:val="0"/>
        <w:spacing w:before="120" w:after="120"/>
        <w:ind w:firstLine="641"/>
        <w:textAlignment w:val="auto"/>
        <w:outlineLvl w:val="9"/>
        <w:rPr>
          <w:rFonts w:hint="eastAsia" w:ascii="宋体" w:hAnsi="宋体" w:eastAsia="宋体" w:cs="宋体"/>
          <w:color w:val="auto"/>
          <w:kern w:val="2"/>
          <w:sz w:val="32"/>
          <w:szCs w:val="32"/>
          <w:highlight w:val="none"/>
          <w:lang w:val="en-US" w:eastAsia="zh-CN"/>
        </w:rPr>
      </w:pPr>
    </w:p>
    <w:p w14:paraId="53181DE9">
      <w:pPr>
        <w:pStyle w:val="693"/>
        <w:keepNext w:val="0"/>
        <w:keepLines w:val="0"/>
        <w:pageBreakBefore w:val="0"/>
        <w:widowControl w:val="0"/>
        <w:tabs>
          <w:tab w:val="clear" w:pos="720"/>
        </w:tabs>
        <w:kinsoku/>
        <w:wordWrap/>
        <w:overflowPunct/>
        <w:topLinePunct w:val="0"/>
        <w:autoSpaceDE/>
        <w:autoSpaceDN/>
        <w:bidi w:val="0"/>
        <w:adjustRightInd w:val="0"/>
        <w:snapToGrid w:val="0"/>
        <w:spacing w:before="120" w:after="120"/>
        <w:ind w:firstLine="641"/>
        <w:textAlignment w:val="auto"/>
        <w:outlineLvl w:val="9"/>
        <w:rPr>
          <w:rFonts w:hint="eastAsia" w:ascii="宋体" w:hAnsi="宋体" w:eastAsia="宋体" w:cs="宋体"/>
          <w:color w:val="auto"/>
          <w:kern w:val="2"/>
          <w:sz w:val="32"/>
          <w:szCs w:val="32"/>
          <w:highlight w:val="none"/>
          <w:lang w:val="en-US" w:eastAsia="zh-CN"/>
        </w:rPr>
      </w:pPr>
    </w:p>
    <w:p w14:paraId="7D73C956">
      <w:pPr>
        <w:pStyle w:val="693"/>
        <w:keepNext w:val="0"/>
        <w:keepLines w:val="0"/>
        <w:pageBreakBefore w:val="0"/>
        <w:widowControl w:val="0"/>
        <w:tabs>
          <w:tab w:val="clear" w:pos="720"/>
        </w:tabs>
        <w:kinsoku/>
        <w:wordWrap/>
        <w:overflowPunct/>
        <w:topLinePunct w:val="0"/>
        <w:autoSpaceDE/>
        <w:autoSpaceDN/>
        <w:bidi w:val="0"/>
        <w:adjustRightInd w:val="0"/>
        <w:snapToGrid w:val="0"/>
        <w:spacing w:before="120" w:after="120"/>
        <w:jc w:val="both"/>
        <w:textAlignment w:val="auto"/>
        <w:outlineLvl w:val="9"/>
        <w:rPr>
          <w:rFonts w:hint="eastAsia" w:ascii="宋体" w:hAnsi="宋体" w:eastAsia="宋体" w:cs="宋体"/>
          <w:color w:val="auto"/>
          <w:kern w:val="2"/>
          <w:sz w:val="32"/>
          <w:szCs w:val="32"/>
          <w:highlight w:val="none"/>
          <w:lang w:val="en-US" w:eastAsia="zh-CN"/>
        </w:rPr>
      </w:pPr>
    </w:p>
    <w:p w14:paraId="70446606">
      <w:pPr>
        <w:pStyle w:val="693"/>
        <w:keepNext w:val="0"/>
        <w:pageBreakBefore w:val="0"/>
        <w:tabs>
          <w:tab w:val="clear" w:pos="720"/>
        </w:tabs>
        <w:snapToGrid w:val="0"/>
        <w:spacing w:before="120" w:after="120"/>
        <w:ind w:firstLine="643"/>
        <w:outlineLvl w:val="2"/>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572" w:name="_Hlk101259491"/>
      <w:r>
        <w:rPr>
          <w:rFonts w:hint="eastAsia" w:ascii="宋体" w:hAnsi="宋体" w:eastAsia="宋体" w:cs="宋体"/>
          <w:color w:val="auto"/>
          <w:sz w:val="32"/>
          <w:szCs w:val="32"/>
          <w:highlight w:val="none"/>
        </w:rPr>
        <w:t>（如果有）</w:t>
      </w:r>
      <w:bookmarkEnd w:id="572"/>
    </w:p>
    <w:p w14:paraId="0BC20387">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3A35330C">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2E86CCAE">
      <w:pPr>
        <w:spacing w:line="360" w:lineRule="auto"/>
        <w:ind w:right="420" w:firstLine="3614" w:firstLineChars="1000"/>
        <w:rPr>
          <w:rFonts w:ascii="宋体" w:hAnsi="宋体" w:cs="宋体"/>
          <w:b/>
          <w:color w:val="auto"/>
          <w:kern w:val="0"/>
          <w:sz w:val="36"/>
          <w:szCs w:val="36"/>
          <w:highlight w:val="none"/>
        </w:rPr>
      </w:pPr>
    </w:p>
    <w:p w14:paraId="100A4A9F">
      <w:pPr>
        <w:spacing w:line="360" w:lineRule="auto"/>
        <w:ind w:right="420" w:firstLine="3614" w:firstLineChars="1000"/>
        <w:rPr>
          <w:rFonts w:ascii="宋体" w:hAnsi="宋体" w:cs="宋体"/>
          <w:b/>
          <w:color w:val="auto"/>
          <w:kern w:val="0"/>
          <w:sz w:val="36"/>
          <w:szCs w:val="36"/>
          <w:highlight w:val="none"/>
        </w:rPr>
      </w:pPr>
    </w:p>
    <w:p w14:paraId="0D9A57EC">
      <w:pPr>
        <w:spacing w:line="360" w:lineRule="auto"/>
        <w:ind w:right="420" w:firstLine="3614" w:firstLineChars="1000"/>
        <w:rPr>
          <w:rFonts w:ascii="宋体" w:hAnsi="宋体" w:cs="宋体"/>
          <w:b/>
          <w:color w:val="auto"/>
          <w:kern w:val="0"/>
          <w:sz w:val="36"/>
          <w:szCs w:val="36"/>
          <w:highlight w:val="none"/>
        </w:rPr>
      </w:pPr>
    </w:p>
    <w:p w14:paraId="0ABA8080">
      <w:pPr>
        <w:spacing w:line="360" w:lineRule="auto"/>
        <w:ind w:right="420" w:firstLine="3614" w:firstLineChars="1000"/>
        <w:rPr>
          <w:rFonts w:ascii="宋体" w:hAnsi="宋体" w:cs="宋体"/>
          <w:b/>
          <w:color w:val="auto"/>
          <w:kern w:val="0"/>
          <w:sz w:val="36"/>
          <w:szCs w:val="36"/>
          <w:highlight w:val="none"/>
        </w:rPr>
      </w:pPr>
    </w:p>
    <w:p w14:paraId="2934CE73">
      <w:pPr>
        <w:spacing w:line="360" w:lineRule="auto"/>
        <w:ind w:right="420" w:firstLine="3614" w:firstLineChars="1000"/>
        <w:rPr>
          <w:rFonts w:ascii="宋体" w:hAnsi="宋体" w:cs="宋体"/>
          <w:b/>
          <w:color w:val="auto"/>
          <w:kern w:val="0"/>
          <w:sz w:val="36"/>
          <w:szCs w:val="36"/>
          <w:highlight w:val="none"/>
        </w:rPr>
      </w:pPr>
    </w:p>
    <w:p w14:paraId="0392ECE6">
      <w:pPr>
        <w:spacing w:line="360" w:lineRule="auto"/>
        <w:ind w:right="420"/>
        <w:rPr>
          <w:rFonts w:ascii="宋体" w:hAnsi="宋体" w:cs="宋体"/>
          <w:b/>
          <w:color w:val="auto"/>
          <w:kern w:val="0"/>
          <w:sz w:val="36"/>
          <w:szCs w:val="36"/>
          <w:highlight w:val="none"/>
        </w:rPr>
      </w:pPr>
    </w:p>
    <w:p w14:paraId="43450441">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573" w:name="_Toc465665161"/>
      <w:r>
        <w:rPr>
          <w:rFonts w:hint="eastAsia" w:ascii="宋体" w:hAnsi="宋体" w:cs="宋体"/>
          <w:color w:val="auto"/>
          <w:highlight w:val="none"/>
        </w:rPr>
        <w:t>附件</w:t>
      </w:r>
      <w:bookmarkEnd w:id="573"/>
    </w:p>
    <w:p w14:paraId="6653F81C">
      <w:pPr>
        <w:spacing w:line="360" w:lineRule="auto"/>
        <w:outlineLvl w:val="1"/>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652CB561">
      <w:pPr>
        <w:spacing w:line="360" w:lineRule="auto"/>
        <w:jc w:val="center"/>
        <w:rPr>
          <w:rFonts w:ascii="宋体" w:hAnsi="宋体" w:cs="宋体"/>
          <w:b/>
          <w:color w:val="auto"/>
          <w:spacing w:val="6"/>
          <w:sz w:val="32"/>
          <w:szCs w:val="32"/>
          <w:highlight w:val="none"/>
        </w:rPr>
      </w:pPr>
      <w:bookmarkStart w:id="574" w:name="OLE_LINK13"/>
      <w:bookmarkStart w:id="575" w:name="OLE_LINK14"/>
      <w:r>
        <w:rPr>
          <w:rFonts w:hint="eastAsia" w:ascii="宋体" w:hAnsi="宋体" w:cs="宋体"/>
          <w:b/>
          <w:color w:val="auto"/>
          <w:spacing w:val="6"/>
          <w:sz w:val="32"/>
          <w:szCs w:val="32"/>
          <w:highlight w:val="none"/>
        </w:rPr>
        <w:t>残疾人福利性单位声明函</w:t>
      </w:r>
    </w:p>
    <w:bookmarkEnd w:id="574"/>
    <w:bookmarkEnd w:id="575"/>
    <w:p w14:paraId="712BB1BA">
      <w:pPr>
        <w:spacing w:line="360" w:lineRule="auto"/>
        <w:rPr>
          <w:rFonts w:ascii="宋体" w:hAnsi="宋体" w:cs="宋体"/>
          <w:b/>
          <w:color w:val="auto"/>
          <w:spacing w:val="6"/>
          <w:sz w:val="30"/>
          <w:szCs w:val="30"/>
          <w:highlight w:val="none"/>
        </w:rPr>
      </w:pPr>
    </w:p>
    <w:p w14:paraId="3A0428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698B9F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2ACEB5B">
      <w:pPr>
        <w:spacing w:line="360" w:lineRule="auto"/>
        <w:ind w:firstLine="480" w:firstLineChars="200"/>
        <w:rPr>
          <w:rFonts w:ascii="宋体" w:hAnsi="宋体" w:cs="宋体"/>
          <w:color w:val="auto"/>
          <w:sz w:val="24"/>
          <w:highlight w:val="none"/>
        </w:rPr>
      </w:pPr>
    </w:p>
    <w:p w14:paraId="2599774D">
      <w:pPr>
        <w:spacing w:line="360" w:lineRule="auto"/>
        <w:ind w:firstLine="480" w:firstLineChars="200"/>
        <w:rPr>
          <w:rFonts w:ascii="宋体" w:hAnsi="宋体" w:cs="宋体"/>
          <w:color w:val="auto"/>
          <w:sz w:val="24"/>
          <w:highlight w:val="none"/>
        </w:rPr>
      </w:pPr>
    </w:p>
    <w:p w14:paraId="5AA6ADE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49D9D06">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0B4E3AAE">
      <w:pPr>
        <w:spacing w:line="360" w:lineRule="auto"/>
        <w:ind w:firstLine="480" w:firstLineChars="200"/>
        <w:rPr>
          <w:rFonts w:ascii="宋体" w:hAnsi="宋体" w:cs="宋体"/>
          <w:color w:val="auto"/>
          <w:sz w:val="24"/>
          <w:highlight w:val="none"/>
        </w:rPr>
      </w:pPr>
    </w:p>
    <w:p w14:paraId="3DE0310D">
      <w:pPr>
        <w:spacing w:line="360" w:lineRule="auto"/>
        <w:ind w:firstLine="420" w:firstLineChars="200"/>
        <w:rPr>
          <w:rFonts w:ascii="宋体" w:hAnsi="宋体" w:cs="宋体"/>
          <w:color w:val="auto"/>
          <w:highlight w:val="none"/>
        </w:rPr>
      </w:pPr>
    </w:p>
    <w:p w14:paraId="00CAC4FA">
      <w:pPr>
        <w:spacing w:line="360" w:lineRule="auto"/>
        <w:ind w:firstLine="420" w:firstLineChars="200"/>
        <w:rPr>
          <w:rFonts w:ascii="宋体" w:hAnsi="宋体" w:cs="宋体"/>
          <w:color w:val="auto"/>
          <w:highlight w:val="none"/>
        </w:rPr>
      </w:pPr>
    </w:p>
    <w:p w14:paraId="0BB5DEC8">
      <w:pPr>
        <w:spacing w:line="360" w:lineRule="auto"/>
        <w:ind w:firstLine="420" w:firstLineChars="200"/>
        <w:rPr>
          <w:rFonts w:ascii="宋体" w:hAnsi="宋体" w:cs="宋体"/>
          <w:color w:val="auto"/>
          <w:highlight w:val="none"/>
        </w:rPr>
      </w:pPr>
    </w:p>
    <w:p w14:paraId="4282E7AA">
      <w:pPr>
        <w:spacing w:line="360" w:lineRule="auto"/>
        <w:ind w:firstLine="420" w:firstLineChars="200"/>
        <w:rPr>
          <w:rFonts w:ascii="宋体" w:hAnsi="宋体" w:cs="宋体"/>
          <w:color w:val="auto"/>
          <w:highlight w:val="none"/>
        </w:rPr>
      </w:pPr>
    </w:p>
    <w:p w14:paraId="3E34C3F4">
      <w:pPr>
        <w:spacing w:line="360" w:lineRule="auto"/>
        <w:rPr>
          <w:rFonts w:ascii="宋体" w:hAnsi="宋体" w:cs="宋体"/>
          <w:b/>
          <w:color w:val="auto"/>
          <w:sz w:val="24"/>
          <w:highlight w:val="none"/>
        </w:rPr>
      </w:pPr>
    </w:p>
    <w:p w14:paraId="51831086">
      <w:pPr>
        <w:spacing w:line="360" w:lineRule="auto"/>
        <w:rPr>
          <w:rFonts w:ascii="宋体" w:hAnsi="宋体" w:cs="宋体"/>
          <w:b/>
          <w:color w:val="auto"/>
          <w:sz w:val="24"/>
          <w:highlight w:val="none"/>
        </w:rPr>
      </w:pPr>
    </w:p>
    <w:p w14:paraId="29008D1C">
      <w:pPr>
        <w:spacing w:line="360" w:lineRule="auto"/>
        <w:rPr>
          <w:rFonts w:ascii="宋体" w:hAnsi="宋体" w:cs="宋体"/>
          <w:b/>
          <w:color w:val="auto"/>
          <w:sz w:val="24"/>
          <w:highlight w:val="none"/>
        </w:rPr>
      </w:pPr>
    </w:p>
    <w:p w14:paraId="21464C81">
      <w:pPr>
        <w:spacing w:line="360" w:lineRule="auto"/>
        <w:rPr>
          <w:rFonts w:ascii="宋体" w:hAnsi="宋体" w:cs="宋体"/>
          <w:b/>
          <w:color w:val="auto"/>
          <w:sz w:val="24"/>
          <w:highlight w:val="none"/>
        </w:rPr>
      </w:pPr>
    </w:p>
    <w:p w14:paraId="004D1891">
      <w:pPr>
        <w:spacing w:line="360" w:lineRule="auto"/>
        <w:rPr>
          <w:rFonts w:ascii="宋体" w:hAnsi="宋体" w:cs="宋体"/>
          <w:b/>
          <w:color w:val="auto"/>
          <w:sz w:val="24"/>
          <w:highlight w:val="none"/>
        </w:rPr>
      </w:pPr>
    </w:p>
    <w:p w14:paraId="01FF8C51">
      <w:pPr>
        <w:spacing w:line="360" w:lineRule="auto"/>
        <w:rPr>
          <w:rFonts w:ascii="宋体" w:hAnsi="宋体" w:cs="宋体"/>
          <w:b/>
          <w:color w:val="auto"/>
          <w:sz w:val="24"/>
          <w:highlight w:val="none"/>
        </w:rPr>
      </w:pPr>
    </w:p>
    <w:p w14:paraId="307051DF">
      <w:pPr>
        <w:rPr>
          <w:rFonts w:ascii="宋体" w:hAnsi="宋体" w:cs="宋体"/>
          <w:b/>
          <w:color w:val="auto"/>
          <w:sz w:val="24"/>
          <w:highlight w:val="none"/>
        </w:rPr>
      </w:pPr>
      <w:r>
        <w:rPr>
          <w:rFonts w:ascii="宋体" w:hAnsi="宋体" w:cs="宋体"/>
          <w:b/>
          <w:color w:val="auto"/>
          <w:sz w:val="24"/>
          <w:highlight w:val="none"/>
        </w:rPr>
        <w:br w:type="page"/>
      </w:r>
    </w:p>
    <w:p w14:paraId="67F90FD5">
      <w:pPr>
        <w:spacing w:line="360" w:lineRule="auto"/>
        <w:rPr>
          <w:rFonts w:ascii="宋体" w:hAnsi="宋体" w:cs="宋体"/>
          <w:b/>
          <w:color w:val="auto"/>
          <w:sz w:val="24"/>
          <w:highlight w:val="none"/>
        </w:rPr>
      </w:pPr>
    </w:p>
    <w:p w14:paraId="4F550167">
      <w:pPr>
        <w:spacing w:line="360" w:lineRule="auto"/>
        <w:jc w:val="left"/>
        <w:outlineLvl w:val="1"/>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738F034C">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E0957B3">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2FF715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1AB35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08A59C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04ACEE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6C79F60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883DAD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AB682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D82F93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A051E3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7D7FCF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21D85A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3E8BC4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C556E3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D32A8C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3E4BDD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ADFDFE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CC066E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5F3CB1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E3FC63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7400C9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3B24FA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736D2D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B5F8D0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988EDD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B50721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69CDAC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B00270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1BDCC9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63E633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7C004E0">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0EDE34C">
      <w:pPr>
        <w:rPr>
          <w:rFonts w:hint="eastAsia" w:ascii="宋体" w:hAnsi="宋体" w:cs="宋体"/>
          <w:b/>
          <w:color w:val="auto"/>
          <w:spacing w:val="6"/>
          <w:sz w:val="32"/>
          <w:szCs w:val="32"/>
          <w:highlight w:val="none"/>
        </w:rPr>
      </w:pPr>
      <w:r>
        <w:rPr>
          <w:rFonts w:hint="eastAsia" w:ascii="宋体" w:hAnsi="宋体" w:cs="宋体"/>
          <w:color w:val="auto"/>
          <w:sz w:val="24"/>
          <w:highlight w:val="none"/>
        </w:rPr>
        <w:br w:type="page"/>
      </w:r>
    </w:p>
    <w:p w14:paraId="0862485C">
      <w:pPr>
        <w:spacing w:line="360" w:lineRule="auto"/>
        <w:jc w:val="left"/>
        <w:outlineLvl w:val="1"/>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27F3A50A">
      <w:pPr>
        <w:spacing w:line="360" w:lineRule="auto"/>
        <w:jc w:val="center"/>
        <w:rPr>
          <w:rFonts w:ascii="宋体" w:hAnsi="宋体" w:cs="宋体"/>
          <w:b/>
          <w:color w:val="auto"/>
          <w:sz w:val="24"/>
          <w:highlight w:val="none"/>
        </w:rPr>
      </w:pPr>
    </w:p>
    <w:p w14:paraId="520ED53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0BE70B3">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F5AC96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8C855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761CE1A">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2210856">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4946B85">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9364601">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636E7B1E">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B1AE77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CC1391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424AE6D">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AAF6990">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D57F12A">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5049AD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A75D37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0DF467B">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2DED42CC">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14C646B2">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76B3C20">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B5CBE91">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6B2AD3F">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F80971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4478913">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7049DA86">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484EB1B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B1DCAE6">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3E85D02F">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1F240906">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33C644B0">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486470A">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83B8FA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39AD442">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F8D113C">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7403E4CC">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A3C0637">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66129978">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1D23F9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346C77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08EB751">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1EF89F8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584C8F3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232924E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4CEB6F0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621E4EF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644CB7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008D3A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3569DF32">
      <w:pPr>
        <w:autoSpaceDE w:val="0"/>
        <w:autoSpaceDN w:val="0"/>
        <w:jc w:val="center"/>
        <w:rPr>
          <w:rFonts w:hint="eastAsia" w:ascii="宋体" w:hAnsi="宋体" w:cs="宋体"/>
          <w:b/>
          <w:color w:val="auto"/>
          <w:spacing w:val="6"/>
          <w:sz w:val="32"/>
          <w:szCs w:val="32"/>
          <w:highlight w:val="none"/>
        </w:rPr>
      </w:pPr>
    </w:p>
    <w:p w14:paraId="3FBE0101">
      <w:pPr>
        <w:autoSpaceDE w:val="0"/>
        <w:autoSpaceDN w:val="0"/>
        <w:jc w:val="center"/>
        <w:rPr>
          <w:rFonts w:hint="eastAsia" w:ascii="宋体" w:hAnsi="宋体" w:cs="宋体"/>
          <w:b/>
          <w:color w:val="auto"/>
          <w:spacing w:val="6"/>
          <w:sz w:val="32"/>
          <w:szCs w:val="32"/>
          <w:highlight w:val="none"/>
        </w:rPr>
      </w:pPr>
    </w:p>
    <w:p w14:paraId="67AA34DA">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47F26E3">
      <w:pPr>
        <w:autoSpaceDE w:val="0"/>
        <w:autoSpaceDN w:val="0"/>
        <w:spacing w:line="360" w:lineRule="auto"/>
        <w:jc w:val="center"/>
        <w:outlineLvl w:val="1"/>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7194C0EC">
      <w:pPr>
        <w:spacing w:line="360" w:lineRule="auto"/>
        <w:rPr>
          <w:rFonts w:ascii="宋体" w:hAnsi="宋体" w:cs="宋体"/>
          <w:color w:val="auto"/>
          <w:sz w:val="24"/>
          <w:highlight w:val="none"/>
          <w:u w:val="single"/>
        </w:rPr>
      </w:pPr>
    </w:p>
    <w:p w14:paraId="2172088E">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09D504E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724471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518E889D">
      <w:pPr>
        <w:spacing w:line="360" w:lineRule="auto"/>
        <w:ind w:firstLine="494"/>
        <w:rPr>
          <w:rFonts w:ascii="宋体" w:hAnsi="宋体" w:cs="宋体"/>
          <w:color w:val="auto"/>
          <w:sz w:val="24"/>
          <w:highlight w:val="none"/>
        </w:rPr>
      </w:pPr>
    </w:p>
    <w:p w14:paraId="3229EAE3">
      <w:pPr>
        <w:spacing w:line="360" w:lineRule="auto"/>
        <w:ind w:firstLine="494"/>
        <w:rPr>
          <w:rFonts w:ascii="宋体" w:hAnsi="宋体" w:cs="宋体"/>
          <w:color w:val="auto"/>
          <w:sz w:val="24"/>
          <w:highlight w:val="none"/>
        </w:rPr>
      </w:pPr>
    </w:p>
    <w:p w14:paraId="5627849F">
      <w:pPr>
        <w:spacing w:line="360" w:lineRule="auto"/>
        <w:ind w:firstLine="494"/>
        <w:rPr>
          <w:rFonts w:ascii="宋体" w:hAnsi="宋体" w:cs="宋体"/>
          <w:color w:val="auto"/>
          <w:sz w:val="24"/>
          <w:highlight w:val="none"/>
        </w:rPr>
      </w:pPr>
    </w:p>
    <w:p w14:paraId="40F3037B">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0A0B7343">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E6436A0">
      <w:pPr>
        <w:rPr>
          <w:rFonts w:ascii="宋体" w:hAnsi="宋体" w:cs="宋体"/>
          <w:color w:val="auto"/>
          <w:sz w:val="24"/>
          <w:highlight w:val="none"/>
        </w:rPr>
      </w:pPr>
      <w:r>
        <w:rPr>
          <w:rFonts w:hint="eastAsia" w:ascii="宋体" w:hAnsi="宋体" w:cs="宋体"/>
          <w:b/>
          <w:bCs/>
          <w:color w:val="auto"/>
          <w:sz w:val="24"/>
          <w:highlight w:val="none"/>
        </w:rPr>
        <w:t>附：</w:t>
      </w:r>
    </w:p>
    <w:p w14:paraId="371CFCEC">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1E4CACE9">
      <w:pPr>
        <w:autoSpaceDE w:val="0"/>
        <w:autoSpaceDN w:val="0"/>
        <w:jc w:val="center"/>
        <w:rPr>
          <w:rFonts w:ascii="宋体" w:hAnsi="宋体" w:cs="宋体"/>
          <w:b/>
          <w:color w:val="auto"/>
          <w:spacing w:val="6"/>
          <w:sz w:val="32"/>
          <w:szCs w:val="32"/>
          <w:highlight w:val="none"/>
        </w:rPr>
      </w:pPr>
    </w:p>
    <w:p w14:paraId="4535A986">
      <w:pPr>
        <w:autoSpaceDE w:val="0"/>
        <w:autoSpaceDN w:val="0"/>
        <w:jc w:val="center"/>
        <w:rPr>
          <w:rFonts w:ascii="宋体" w:hAnsi="宋体" w:cs="宋体"/>
          <w:b/>
          <w:color w:val="auto"/>
          <w:spacing w:val="6"/>
          <w:sz w:val="32"/>
          <w:szCs w:val="32"/>
          <w:highlight w:val="none"/>
        </w:rPr>
      </w:pPr>
    </w:p>
    <w:p w14:paraId="3D4756CC">
      <w:pPr>
        <w:autoSpaceDE w:val="0"/>
        <w:autoSpaceDN w:val="0"/>
        <w:jc w:val="center"/>
        <w:rPr>
          <w:rFonts w:ascii="宋体" w:hAnsi="宋体" w:cs="宋体"/>
          <w:b/>
          <w:color w:val="auto"/>
          <w:spacing w:val="6"/>
          <w:sz w:val="32"/>
          <w:szCs w:val="32"/>
          <w:highlight w:val="none"/>
        </w:rPr>
      </w:pPr>
    </w:p>
    <w:p w14:paraId="666EEFC2">
      <w:pPr>
        <w:autoSpaceDE w:val="0"/>
        <w:autoSpaceDN w:val="0"/>
        <w:jc w:val="center"/>
        <w:rPr>
          <w:rFonts w:ascii="宋体" w:hAnsi="宋体" w:cs="宋体"/>
          <w:b/>
          <w:color w:val="auto"/>
          <w:spacing w:val="6"/>
          <w:sz w:val="32"/>
          <w:szCs w:val="32"/>
          <w:highlight w:val="none"/>
        </w:rPr>
      </w:pPr>
    </w:p>
    <w:p w14:paraId="5FBE2D50">
      <w:pPr>
        <w:autoSpaceDE w:val="0"/>
        <w:autoSpaceDN w:val="0"/>
        <w:jc w:val="center"/>
        <w:rPr>
          <w:rFonts w:ascii="宋体" w:hAnsi="宋体" w:cs="宋体"/>
          <w:b/>
          <w:color w:val="auto"/>
          <w:spacing w:val="6"/>
          <w:sz w:val="32"/>
          <w:szCs w:val="32"/>
          <w:highlight w:val="none"/>
        </w:rPr>
      </w:pPr>
    </w:p>
    <w:p w14:paraId="1A82D663">
      <w:pPr>
        <w:autoSpaceDE w:val="0"/>
        <w:autoSpaceDN w:val="0"/>
        <w:jc w:val="center"/>
        <w:rPr>
          <w:rFonts w:ascii="宋体" w:hAnsi="宋体" w:cs="宋体"/>
          <w:b/>
          <w:color w:val="auto"/>
          <w:spacing w:val="6"/>
          <w:sz w:val="32"/>
          <w:szCs w:val="32"/>
          <w:highlight w:val="none"/>
        </w:rPr>
      </w:pPr>
    </w:p>
    <w:p w14:paraId="0600574F">
      <w:pPr>
        <w:autoSpaceDE w:val="0"/>
        <w:autoSpaceDN w:val="0"/>
        <w:jc w:val="center"/>
        <w:rPr>
          <w:rFonts w:ascii="宋体" w:hAnsi="宋体" w:cs="宋体"/>
          <w:b/>
          <w:color w:val="auto"/>
          <w:spacing w:val="6"/>
          <w:sz w:val="32"/>
          <w:szCs w:val="32"/>
          <w:highlight w:val="none"/>
        </w:rPr>
      </w:pPr>
    </w:p>
    <w:p w14:paraId="2704723D">
      <w:pPr>
        <w:autoSpaceDE w:val="0"/>
        <w:autoSpaceDN w:val="0"/>
        <w:jc w:val="center"/>
        <w:rPr>
          <w:rFonts w:ascii="宋体" w:hAnsi="宋体" w:cs="宋体"/>
          <w:b/>
          <w:color w:val="auto"/>
          <w:spacing w:val="6"/>
          <w:sz w:val="32"/>
          <w:szCs w:val="32"/>
          <w:highlight w:val="none"/>
        </w:rPr>
      </w:pPr>
    </w:p>
    <w:p w14:paraId="09BAE47B">
      <w:pPr>
        <w:autoSpaceDE w:val="0"/>
        <w:autoSpaceDN w:val="0"/>
        <w:jc w:val="center"/>
        <w:rPr>
          <w:rFonts w:ascii="宋体" w:hAnsi="宋体" w:cs="宋体"/>
          <w:b/>
          <w:color w:val="auto"/>
          <w:spacing w:val="6"/>
          <w:sz w:val="32"/>
          <w:szCs w:val="32"/>
          <w:highlight w:val="none"/>
        </w:rPr>
      </w:pPr>
    </w:p>
    <w:p w14:paraId="40996377">
      <w:pPr>
        <w:autoSpaceDE w:val="0"/>
        <w:autoSpaceDN w:val="0"/>
        <w:jc w:val="center"/>
        <w:rPr>
          <w:rFonts w:ascii="宋体" w:hAnsi="宋体" w:cs="宋体"/>
          <w:b/>
          <w:color w:val="auto"/>
          <w:spacing w:val="6"/>
          <w:sz w:val="32"/>
          <w:szCs w:val="32"/>
          <w:highlight w:val="none"/>
        </w:rPr>
      </w:pPr>
    </w:p>
    <w:p w14:paraId="3D502953">
      <w:pPr>
        <w:autoSpaceDE w:val="0"/>
        <w:autoSpaceDN w:val="0"/>
        <w:jc w:val="center"/>
        <w:rPr>
          <w:rFonts w:ascii="宋体" w:hAnsi="宋体" w:cs="宋体"/>
          <w:b/>
          <w:color w:val="auto"/>
          <w:spacing w:val="6"/>
          <w:sz w:val="32"/>
          <w:szCs w:val="32"/>
          <w:highlight w:val="none"/>
        </w:rPr>
      </w:pPr>
    </w:p>
    <w:p w14:paraId="2D26620E">
      <w:pPr>
        <w:autoSpaceDE w:val="0"/>
        <w:autoSpaceDN w:val="0"/>
        <w:jc w:val="center"/>
        <w:rPr>
          <w:rFonts w:ascii="宋体" w:hAnsi="宋体" w:cs="宋体"/>
          <w:b/>
          <w:color w:val="auto"/>
          <w:spacing w:val="6"/>
          <w:sz w:val="32"/>
          <w:szCs w:val="32"/>
          <w:highlight w:val="none"/>
        </w:rPr>
      </w:pPr>
    </w:p>
    <w:p w14:paraId="16903E2E">
      <w:pPr>
        <w:autoSpaceDE w:val="0"/>
        <w:autoSpaceDN w:val="0"/>
        <w:jc w:val="center"/>
        <w:rPr>
          <w:rFonts w:ascii="宋体" w:hAnsi="宋体" w:cs="宋体"/>
          <w:b/>
          <w:color w:val="auto"/>
          <w:spacing w:val="6"/>
          <w:sz w:val="32"/>
          <w:szCs w:val="32"/>
          <w:highlight w:val="none"/>
        </w:rPr>
      </w:pPr>
    </w:p>
    <w:p w14:paraId="20B9BC3B">
      <w:pPr>
        <w:autoSpaceDE w:val="0"/>
        <w:autoSpaceDN w:val="0"/>
        <w:jc w:val="center"/>
        <w:rPr>
          <w:rFonts w:ascii="宋体" w:hAnsi="宋体" w:cs="宋体"/>
          <w:b/>
          <w:color w:val="auto"/>
          <w:spacing w:val="6"/>
          <w:sz w:val="32"/>
          <w:szCs w:val="32"/>
          <w:highlight w:val="none"/>
        </w:rPr>
      </w:pPr>
    </w:p>
    <w:p w14:paraId="29CD42B8">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6C3E2FD">
      <w:pPr>
        <w:snapToGrid w:val="0"/>
        <w:spacing w:line="360" w:lineRule="auto"/>
        <w:jc w:val="center"/>
        <w:outlineLvl w:val="1"/>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753E6051">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65FECF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29A968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6B7793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23E02F9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1AC3B17A">
      <w:pPr>
        <w:snapToGrid w:val="0"/>
        <w:spacing w:line="360" w:lineRule="auto"/>
        <w:ind w:firstLine="576"/>
        <w:rPr>
          <w:rFonts w:ascii="宋体" w:hAnsi="宋体" w:cs="宋体"/>
          <w:color w:val="auto"/>
          <w:kern w:val="0"/>
          <w:sz w:val="24"/>
          <w:highlight w:val="none"/>
          <w:lang w:val="zh-CN"/>
        </w:rPr>
      </w:pPr>
      <w:bookmarkStart w:id="576"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7F5E14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1306C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76"/>
    <w:p w14:paraId="65B0918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四、联合体成员中小企业合同份额。（根据项目具体情况二选一填写）</w:t>
      </w:r>
    </w:p>
    <w:p w14:paraId="1403FA1D">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shd w:val="clear" w:color="auto" w:fill="auto"/>
          </w:rPr>
          <w:id w:val="131541968"/>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szCs w:val="24"/>
              <w:highlight w:val="none"/>
              <w:shd w:val="clear" w:color="auto" w:fill="auto"/>
              <w:lang w:val="en-US" w:eastAsia="zh-CN" w:bidi="ar-SA"/>
            </w:rPr>
            <w:t>☐</w:t>
          </w:r>
        </w:sdtContent>
      </w:sdt>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72186DA">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shd w:val="clear" w:color="auto" w:fill="auto"/>
          </w:rPr>
          <w:id w:val="412236895"/>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szCs w:val="24"/>
              <w:highlight w:val="none"/>
              <w:shd w:val="clear" w:color="auto" w:fill="auto"/>
              <w:lang w:val="en-US" w:eastAsia="zh-CN" w:bidi="ar-SA"/>
            </w:rPr>
            <w:t>☐</w:t>
          </w:r>
        </w:sdtContent>
      </w:sdt>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62FC0B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2996512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40A8EED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64E3ECD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943E60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2B163AF">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5B2C07A">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FE55D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C8A41FE">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AE1FD2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342EF21">
      <w:pPr>
        <w:autoSpaceDE w:val="0"/>
        <w:autoSpaceDN w:val="0"/>
        <w:jc w:val="center"/>
        <w:rPr>
          <w:rFonts w:ascii="宋体" w:hAnsi="宋体" w:cs="宋体"/>
          <w:b/>
          <w:color w:val="auto"/>
          <w:spacing w:val="6"/>
          <w:sz w:val="32"/>
          <w:szCs w:val="32"/>
          <w:highlight w:val="none"/>
        </w:rPr>
      </w:pPr>
    </w:p>
    <w:p w14:paraId="63A8983F">
      <w:pPr>
        <w:autoSpaceDE w:val="0"/>
        <w:autoSpaceDN w:val="0"/>
        <w:jc w:val="center"/>
        <w:rPr>
          <w:rFonts w:ascii="宋体" w:hAnsi="宋体" w:cs="宋体"/>
          <w:b/>
          <w:color w:val="auto"/>
          <w:spacing w:val="6"/>
          <w:sz w:val="32"/>
          <w:szCs w:val="32"/>
          <w:highlight w:val="none"/>
        </w:rPr>
      </w:pPr>
    </w:p>
    <w:p w14:paraId="7D5B8BCD">
      <w:pPr>
        <w:autoSpaceDE w:val="0"/>
        <w:autoSpaceDN w:val="0"/>
        <w:jc w:val="center"/>
        <w:rPr>
          <w:rFonts w:ascii="宋体" w:hAnsi="宋体" w:cs="宋体"/>
          <w:b/>
          <w:color w:val="auto"/>
          <w:spacing w:val="6"/>
          <w:sz w:val="32"/>
          <w:szCs w:val="32"/>
          <w:highlight w:val="none"/>
        </w:rPr>
      </w:pPr>
    </w:p>
    <w:p w14:paraId="03F0B383">
      <w:pPr>
        <w:autoSpaceDE w:val="0"/>
        <w:autoSpaceDN w:val="0"/>
        <w:jc w:val="center"/>
        <w:rPr>
          <w:rFonts w:ascii="宋体" w:hAnsi="宋体" w:cs="宋体"/>
          <w:b/>
          <w:color w:val="auto"/>
          <w:spacing w:val="6"/>
          <w:sz w:val="32"/>
          <w:szCs w:val="32"/>
          <w:highlight w:val="none"/>
        </w:rPr>
      </w:pPr>
    </w:p>
    <w:p w14:paraId="2DDFA8CB">
      <w:pPr>
        <w:autoSpaceDE w:val="0"/>
        <w:autoSpaceDN w:val="0"/>
        <w:jc w:val="center"/>
        <w:rPr>
          <w:rFonts w:ascii="宋体" w:hAnsi="宋体" w:cs="宋体"/>
          <w:b/>
          <w:color w:val="auto"/>
          <w:spacing w:val="6"/>
          <w:sz w:val="32"/>
          <w:szCs w:val="32"/>
          <w:highlight w:val="none"/>
        </w:rPr>
      </w:pPr>
    </w:p>
    <w:p w14:paraId="44D5C5AE">
      <w:pPr>
        <w:bidi w:val="0"/>
      </w:pPr>
    </w:p>
    <w:p w14:paraId="07D87675">
      <w:pPr>
        <w:bidi w:val="0"/>
      </w:pPr>
    </w:p>
    <w:p w14:paraId="582C7FF2">
      <w:pPr>
        <w:bidi w:val="0"/>
      </w:pPr>
    </w:p>
    <w:p w14:paraId="38429C53">
      <w:pPr>
        <w:bidi w:val="0"/>
      </w:pPr>
    </w:p>
    <w:p w14:paraId="1C750D41">
      <w:pPr>
        <w:bidi w:val="0"/>
      </w:pPr>
    </w:p>
    <w:p w14:paraId="58A30E98">
      <w:pPr>
        <w:bidi w:val="0"/>
      </w:pPr>
    </w:p>
    <w:p w14:paraId="3EBDCDFC">
      <w:pPr>
        <w:bidi w:val="0"/>
      </w:pPr>
    </w:p>
    <w:p w14:paraId="7C4D983F">
      <w:pPr>
        <w:bidi w:val="0"/>
      </w:pPr>
    </w:p>
    <w:p w14:paraId="487D40E0">
      <w:pPr>
        <w:bidi w:val="0"/>
      </w:pPr>
    </w:p>
    <w:p w14:paraId="0E857BAA">
      <w:pPr>
        <w:bidi w:val="0"/>
      </w:pPr>
    </w:p>
    <w:p w14:paraId="5FC6BC0A">
      <w:pPr>
        <w:bidi w:val="0"/>
      </w:pPr>
    </w:p>
    <w:p w14:paraId="24F8239E">
      <w:pPr>
        <w:bidi w:val="0"/>
      </w:pPr>
    </w:p>
    <w:p w14:paraId="6E1D5075">
      <w:pPr>
        <w:bidi w:val="0"/>
      </w:pPr>
    </w:p>
    <w:p w14:paraId="05006E7E">
      <w:pPr>
        <w:bidi w:val="0"/>
      </w:pPr>
    </w:p>
    <w:p w14:paraId="7840FBBA">
      <w:pPr>
        <w:bidi w:val="0"/>
        <w:rPr>
          <w:rFonts w:hint="eastAsia"/>
        </w:rPr>
      </w:pPr>
    </w:p>
    <w:p w14:paraId="460F3D1F">
      <w:pPr>
        <w:bidi w:val="0"/>
        <w:rPr>
          <w:rFonts w:hint="eastAsia"/>
        </w:rPr>
      </w:pPr>
    </w:p>
    <w:p w14:paraId="58AAAFE5">
      <w:pPr>
        <w:bidi w:val="0"/>
        <w:rPr>
          <w:rFonts w:hint="eastAsia"/>
        </w:rPr>
      </w:pPr>
    </w:p>
    <w:p w14:paraId="1F4666C1">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59F24683">
      <w:pPr>
        <w:snapToGrid w:val="0"/>
        <w:spacing w:line="360" w:lineRule="auto"/>
        <w:jc w:val="center"/>
        <w:outlineLvl w:val="1"/>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0A2E5D9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4706A66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w:t>
      </w:r>
    </w:p>
    <w:p w14:paraId="097AA6DA">
      <w:pPr>
        <w:snapToGrid w:val="0"/>
        <w:spacing w:line="360" w:lineRule="auto"/>
        <w:ind w:firstLine="576"/>
        <w:rPr>
          <w:rFonts w:ascii="宋体" w:hAnsi="宋体" w:cs="宋体"/>
          <w:b/>
          <w:bCs/>
          <w:i w:val="0"/>
          <w:iCs w:val="0"/>
          <w:color w:val="auto"/>
          <w:kern w:val="0"/>
          <w:sz w:val="24"/>
          <w:highlight w:val="none"/>
          <w:lang w:val="zh-CN"/>
        </w:rPr>
      </w:pPr>
      <w:r>
        <w:rPr>
          <w:rFonts w:hint="eastAsia" w:ascii="宋体" w:hAnsi="宋体" w:cs="宋体"/>
          <w:kern w:val="0"/>
          <w:sz w:val="24"/>
          <w:highlight w:val="none"/>
          <w:lang w:val="zh-CN"/>
        </w:rPr>
        <w:t>一、</w:t>
      </w:r>
      <w:r>
        <w:rPr>
          <w:rFonts w:hint="eastAsia" w:ascii="宋体" w:hAnsi="宋体" w:cs="宋体"/>
          <w:kern w:val="0"/>
          <w:sz w:val="24"/>
          <w:highlight w:val="none"/>
          <w:u w:val="single"/>
          <w:lang w:val="zh-CN"/>
        </w:rPr>
        <w:t>（投标人名称）</w:t>
      </w:r>
      <w:r>
        <w:rPr>
          <w:rFonts w:hint="eastAsia" w:ascii="宋体" w:hAnsi="宋体" w:cs="宋体"/>
          <w:kern w:val="0"/>
          <w:sz w:val="24"/>
          <w:highlight w:val="none"/>
          <w:u w:val="none"/>
          <w:lang w:val="zh-CN"/>
        </w:rPr>
        <w:t>将工作</w:t>
      </w:r>
      <w:r>
        <w:rPr>
          <w:rFonts w:hint="eastAsia" w:ascii="宋体" w:hAnsi="宋体" w:cs="宋体"/>
          <w:kern w:val="0"/>
          <w:sz w:val="24"/>
          <w:highlight w:val="none"/>
          <w:lang w:val="zh-CN"/>
        </w:rPr>
        <w:t>分包如下：</w:t>
      </w:r>
      <w:r>
        <w:rPr>
          <w:rFonts w:hint="eastAsia" w:ascii="宋体" w:hAnsi="宋体" w:cs="宋体"/>
          <w:b/>
          <w:bCs/>
          <w:i w:val="0"/>
          <w:iCs w:val="0"/>
          <w:color w:val="auto"/>
          <w:kern w:val="0"/>
          <w:sz w:val="24"/>
          <w:szCs w:val="24"/>
          <w:highlight w:val="none"/>
          <w:lang w:val="zh-CN"/>
        </w:rPr>
        <w:t>（注：投标人只能将招标文件第二部分中“前附表”的“分包”规定的工作进行分包）</w:t>
      </w:r>
    </w:p>
    <w:p w14:paraId="059C52E0">
      <w:pPr>
        <w:snapToGrid w:val="0"/>
        <w:spacing w:line="360" w:lineRule="auto"/>
        <w:ind w:firstLine="576"/>
        <w:rPr>
          <w:rFonts w:hint="eastAsia" w:ascii="宋体" w:hAnsi="宋体" w:eastAsia="宋体" w:cs="宋体"/>
          <w:kern w:val="0"/>
          <w:sz w:val="24"/>
          <w:highlight w:val="none"/>
          <w:lang w:val="zh-CN" w:eastAsia="zh-CN"/>
        </w:rPr>
      </w:pP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（分包供应商1名称）</w:t>
      </w:r>
      <w:r>
        <w:rPr>
          <w:rFonts w:hint="eastAsia" w:ascii="宋体" w:hAnsi="宋体" w:cs="宋体"/>
          <w:kern w:val="0"/>
          <w:sz w:val="24"/>
          <w:highlight w:val="none"/>
          <w:u w:val="single"/>
          <w:lang w:eastAsia="zh-CN"/>
        </w:rPr>
        <w:t>；</w:t>
      </w:r>
    </w:p>
    <w:p w14:paraId="1C0AA957">
      <w:pPr>
        <w:snapToGrid w:val="0"/>
        <w:spacing w:line="360" w:lineRule="auto"/>
        <w:ind w:firstLine="576"/>
        <w:rPr>
          <w:rFonts w:hint="eastAsia" w:ascii="宋体" w:hAnsi="宋体" w:cs="宋体"/>
          <w:kern w:val="0"/>
          <w:sz w:val="24"/>
          <w:highlight w:val="none"/>
          <w:u w:val="single"/>
        </w:rPr>
      </w:pP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w:t>
      </w:r>
      <w:r>
        <w:rPr>
          <w:rFonts w:hint="eastAsia" w:ascii="宋体" w:hAnsi="宋体" w:cs="宋体"/>
          <w:kern w:val="0"/>
          <w:sz w:val="24"/>
          <w:highlight w:val="none"/>
          <w:u w:val="single"/>
          <w:lang w:val="en-US" w:eastAsia="zh-CN"/>
        </w:rPr>
        <w:t>2</w:t>
      </w:r>
      <w:r>
        <w:rPr>
          <w:rFonts w:hint="eastAsia" w:ascii="宋体" w:hAnsi="宋体" w:cs="宋体"/>
          <w:kern w:val="0"/>
          <w:sz w:val="24"/>
          <w:highlight w:val="none"/>
          <w:u w:val="single"/>
        </w:rPr>
        <w:t>名称）</w:t>
      </w:r>
      <w:r>
        <w:rPr>
          <w:rFonts w:hint="eastAsia" w:ascii="宋体" w:hAnsi="宋体" w:cs="宋体"/>
          <w:kern w:val="0"/>
          <w:sz w:val="24"/>
          <w:highlight w:val="none"/>
          <w:u w:val="single"/>
          <w:lang w:eastAsia="zh-CN"/>
        </w:rPr>
        <w:t>；</w:t>
      </w:r>
    </w:p>
    <w:p w14:paraId="039275DF">
      <w:pPr>
        <w:keepNext/>
        <w:keepLines/>
        <w:pageBreakBefore w:val="0"/>
        <w:widowControl w:val="0"/>
        <w:tabs>
          <w:tab w:val="left" w:pos="432"/>
        </w:tabs>
        <w:kinsoku/>
        <w:wordWrap/>
        <w:overflowPunct/>
        <w:topLinePunct w:val="0"/>
        <w:autoSpaceDE/>
        <w:autoSpaceDN/>
        <w:bidi w:val="0"/>
        <w:adjustRightInd/>
        <w:snapToGrid/>
        <w:spacing w:line="360" w:lineRule="auto"/>
        <w:ind w:left="664" w:leftChars="316" w:firstLine="228" w:firstLineChars="95"/>
        <w:textAlignment w:val="auto"/>
        <w:outlineLvl w:val="9"/>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22DE74C1">
      <w:pPr>
        <w:keepNext/>
        <w:keepLines/>
        <w:pageBreakBefore w:val="0"/>
        <w:widowControl w:val="0"/>
        <w:tabs>
          <w:tab w:val="left" w:pos="432"/>
        </w:tabs>
        <w:kinsoku/>
        <w:wordWrap/>
        <w:overflowPunct/>
        <w:topLinePunct w:val="0"/>
        <w:autoSpaceDE/>
        <w:autoSpaceDN/>
        <w:bidi w:val="0"/>
        <w:adjustRightInd/>
        <w:snapToGrid/>
        <w:spacing w:line="360" w:lineRule="auto"/>
        <w:ind w:left="664" w:leftChars="316" w:firstLine="228" w:firstLineChars="95"/>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48A04E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01849A7D">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shd w:val="clear" w:color="auto" w:fill="auto"/>
          </w:rPr>
          <w:id w:val="161509231"/>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szCs w:val="24"/>
              <w:highlight w:val="none"/>
              <w:shd w:val="clear" w:color="auto" w:fill="auto"/>
              <w:lang w:val="en-US" w:eastAsia="zh-CN" w:bidi="ar-SA"/>
            </w:rPr>
            <w:t>☐</w:t>
          </w:r>
        </w:sdtContent>
      </w:sdt>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E8E12E6">
      <w:pPr>
        <w:spacing w:line="360" w:lineRule="auto"/>
        <w:ind w:firstLine="480" w:firstLineChars="200"/>
        <w:rPr>
          <w:rFonts w:ascii="宋体" w:hAnsi="宋体" w:cs="宋体"/>
          <w:b/>
          <w:bCs/>
          <w:color w:val="auto"/>
          <w:kern w:val="0"/>
          <w:sz w:val="24"/>
          <w:highlight w:val="none"/>
          <w:lang w:val="zh-CN"/>
        </w:rPr>
      </w:pPr>
      <w:bookmarkStart w:id="577" w:name="_Hlk101133173"/>
      <w:sdt>
        <w:sdtPr>
          <w:rPr>
            <w:rFonts w:hint="eastAsia" w:ascii="宋体" w:hAnsi="宋体" w:cs="宋体"/>
            <w:color w:val="auto"/>
            <w:kern w:val="0"/>
            <w:sz w:val="24"/>
            <w:highlight w:val="none"/>
            <w:shd w:val="clear" w:color="auto" w:fill="auto"/>
          </w:rPr>
          <w:id w:val="506600367"/>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szCs w:val="24"/>
              <w:highlight w:val="none"/>
              <w:shd w:val="clear" w:color="auto" w:fill="auto"/>
              <w:lang w:val="en-US" w:eastAsia="zh-CN" w:bidi="ar-SA"/>
            </w:rPr>
            <w:t>☐</w:t>
          </w:r>
        </w:sdtContent>
      </w:sdt>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77"/>
    </w:p>
    <w:p w14:paraId="0353B02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265565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8AFB9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69FDF89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7CA7A1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6387BE4">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35F9CDD">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B55D10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1868A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773877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DABB20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78474D5C">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5E66BB1E">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57619C">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2C51DD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DF2054F">
      <w:pPr>
        <w:autoSpaceDE w:val="0"/>
        <w:autoSpaceDN w:val="0"/>
        <w:jc w:val="center"/>
        <w:rPr>
          <w:rFonts w:ascii="宋体" w:hAnsi="宋体" w:cs="宋体"/>
          <w:b/>
          <w:color w:val="auto"/>
          <w:spacing w:val="6"/>
          <w:sz w:val="32"/>
          <w:szCs w:val="32"/>
          <w:highlight w:val="none"/>
        </w:rPr>
      </w:pPr>
    </w:p>
    <w:p w14:paraId="4800985F">
      <w:pPr>
        <w:autoSpaceDE w:val="0"/>
        <w:autoSpaceDN w:val="0"/>
        <w:jc w:val="center"/>
        <w:rPr>
          <w:rFonts w:ascii="宋体" w:hAnsi="宋体" w:cs="宋体"/>
          <w:b/>
          <w:color w:val="auto"/>
          <w:spacing w:val="6"/>
          <w:sz w:val="32"/>
          <w:szCs w:val="32"/>
          <w:highlight w:val="none"/>
        </w:rPr>
      </w:pPr>
    </w:p>
    <w:p w14:paraId="02F5ED88">
      <w:pPr>
        <w:autoSpaceDE w:val="0"/>
        <w:autoSpaceDN w:val="0"/>
        <w:jc w:val="center"/>
        <w:rPr>
          <w:rFonts w:ascii="宋体" w:hAnsi="宋体" w:cs="宋体"/>
          <w:b/>
          <w:color w:val="auto"/>
          <w:spacing w:val="6"/>
          <w:sz w:val="32"/>
          <w:szCs w:val="32"/>
          <w:highlight w:val="none"/>
        </w:rPr>
      </w:pPr>
    </w:p>
    <w:p w14:paraId="2C66ADD7">
      <w:pPr>
        <w:autoSpaceDE w:val="0"/>
        <w:autoSpaceDN w:val="0"/>
        <w:jc w:val="center"/>
        <w:rPr>
          <w:rFonts w:ascii="宋体" w:hAnsi="宋体" w:cs="宋体"/>
          <w:b/>
          <w:color w:val="auto"/>
          <w:spacing w:val="6"/>
          <w:sz w:val="32"/>
          <w:szCs w:val="32"/>
          <w:highlight w:val="none"/>
        </w:rPr>
      </w:pPr>
    </w:p>
    <w:p w14:paraId="4B9A91BE">
      <w:pPr>
        <w:autoSpaceDE w:val="0"/>
        <w:autoSpaceDN w:val="0"/>
        <w:jc w:val="center"/>
        <w:rPr>
          <w:rFonts w:ascii="宋体" w:hAnsi="宋体" w:cs="宋体"/>
          <w:b/>
          <w:color w:val="auto"/>
          <w:spacing w:val="6"/>
          <w:sz w:val="32"/>
          <w:szCs w:val="32"/>
          <w:highlight w:val="none"/>
        </w:rPr>
      </w:pPr>
    </w:p>
    <w:p w14:paraId="69BF0859">
      <w:pPr>
        <w:autoSpaceDE w:val="0"/>
        <w:autoSpaceDN w:val="0"/>
        <w:jc w:val="center"/>
        <w:rPr>
          <w:rFonts w:ascii="宋体" w:hAnsi="宋体" w:cs="宋体"/>
          <w:b/>
          <w:color w:val="auto"/>
          <w:spacing w:val="6"/>
          <w:sz w:val="32"/>
          <w:szCs w:val="32"/>
          <w:highlight w:val="none"/>
        </w:rPr>
      </w:pPr>
    </w:p>
    <w:p w14:paraId="431CD671">
      <w:pPr>
        <w:autoSpaceDE w:val="0"/>
        <w:autoSpaceDN w:val="0"/>
        <w:jc w:val="center"/>
        <w:rPr>
          <w:rFonts w:ascii="宋体" w:hAnsi="宋体" w:cs="宋体"/>
          <w:b/>
          <w:color w:val="auto"/>
          <w:spacing w:val="6"/>
          <w:sz w:val="32"/>
          <w:szCs w:val="32"/>
          <w:highlight w:val="none"/>
        </w:rPr>
      </w:pPr>
    </w:p>
    <w:p w14:paraId="40E51719">
      <w:pPr>
        <w:autoSpaceDE w:val="0"/>
        <w:autoSpaceDN w:val="0"/>
        <w:jc w:val="center"/>
        <w:rPr>
          <w:rFonts w:ascii="宋体" w:hAnsi="宋体" w:cs="宋体"/>
          <w:b/>
          <w:color w:val="auto"/>
          <w:spacing w:val="6"/>
          <w:sz w:val="32"/>
          <w:szCs w:val="32"/>
          <w:highlight w:val="none"/>
        </w:rPr>
      </w:pPr>
    </w:p>
    <w:p w14:paraId="0FA99DE7">
      <w:pPr>
        <w:autoSpaceDE w:val="0"/>
        <w:autoSpaceDN w:val="0"/>
        <w:jc w:val="center"/>
        <w:rPr>
          <w:rFonts w:ascii="宋体" w:hAnsi="宋体" w:cs="宋体"/>
          <w:b/>
          <w:color w:val="auto"/>
          <w:spacing w:val="6"/>
          <w:sz w:val="32"/>
          <w:szCs w:val="32"/>
          <w:highlight w:val="none"/>
        </w:rPr>
      </w:pPr>
    </w:p>
    <w:p w14:paraId="40B351C1">
      <w:pPr>
        <w:autoSpaceDE w:val="0"/>
        <w:autoSpaceDN w:val="0"/>
        <w:jc w:val="center"/>
        <w:rPr>
          <w:rFonts w:ascii="宋体" w:hAnsi="宋体" w:cs="宋体"/>
          <w:b/>
          <w:color w:val="auto"/>
          <w:spacing w:val="6"/>
          <w:sz w:val="32"/>
          <w:szCs w:val="32"/>
          <w:highlight w:val="none"/>
        </w:rPr>
      </w:pPr>
    </w:p>
    <w:p w14:paraId="5D6DB325">
      <w:pPr>
        <w:autoSpaceDE w:val="0"/>
        <w:autoSpaceDN w:val="0"/>
        <w:jc w:val="center"/>
        <w:rPr>
          <w:rFonts w:ascii="宋体" w:hAnsi="宋体" w:cs="宋体"/>
          <w:b/>
          <w:color w:val="auto"/>
          <w:spacing w:val="6"/>
          <w:sz w:val="32"/>
          <w:szCs w:val="32"/>
          <w:highlight w:val="none"/>
        </w:rPr>
      </w:pPr>
    </w:p>
    <w:p w14:paraId="330A5478">
      <w:pPr>
        <w:autoSpaceDE w:val="0"/>
        <w:autoSpaceDN w:val="0"/>
        <w:jc w:val="center"/>
        <w:rPr>
          <w:rFonts w:ascii="宋体" w:hAnsi="宋体" w:cs="宋体"/>
          <w:b/>
          <w:color w:val="auto"/>
          <w:spacing w:val="6"/>
          <w:sz w:val="32"/>
          <w:szCs w:val="32"/>
          <w:highlight w:val="none"/>
        </w:rPr>
      </w:pPr>
    </w:p>
    <w:p w14:paraId="5D474CE6">
      <w:pPr>
        <w:autoSpaceDE w:val="0"/>
        <w:autoSpaceDN w:val="0"/>
        <w:jc w:val="center"/>
        <w:rPr>
          <w:rFonts w:ascii="宋体" w:hAnsi="宋体" w:cs="宋体"/>
          <w:b/>
          <w:color w:val="auto"/>
          <w:spacing w:val="6"/>
          <w:sz w:val="32"/>
          <w:szCs w:val="32"/>
          <w:highlight w:val="none"/>
        </w:rPr>
      </w:pPr>
    </w:p>
    <w:p w14:paraId="3B878565">
      <w:pPr>
        <w:autoSpaceDE w:val="0"/>
        <w:autoSpaceDN w:val="0"/>
        <w:jc w:val="center"/>
        <w:rPr>
          <w:rFonts w:ascii="宋体" w:hAnsi="宋体" w:cs="宋体"/>
          <w:b/>
          <w:color w:val="auto"/>
          <w:spacing w:val="6"/>
          <w:sz w:val="32"/>
          <w:szCs w:val="32"/>
          <w:highlight w:val="none"/>
        </w:rPr>
      </w:pPr>
    </w:p>
    <w:p w14:paraId="34B0C52A">
      <w:pPr>
        <w:autoSpaceDE w:val="0"/>
        <w:autoSpaceDN w:val="0"/>
        <w:jc w:val="center"/>
        <w:rPr>
          <w:rFonts w:ascii="宋体" w:hAnsi="宋体" w:cs="宋体"/>
          <w:b/>
          <w:color w:val="auto"/>
          <w:spacing w:val="6"/>
          <w:sz w:val="32"/>
          <w:szCs w:val="32"/>
          <w:highlight w:val="none"/>
        </w:rPr>
      </w:pPr>
    </w:p>
    <w:p w14:paraId="30ED4CD8">
      <w:pPr>
        <w:autoSpaceDE w:val="0"/>
        <w:autoSpaceDN w:val="0"/>
        <w:jc w:val="center"/>
        <w:rPr>
          <w:rFonts w:ascii="宋体" w:hAnsi="宋体" w:cs="宋体"/>
          <w:b/>
          <w:color w:val="auto"/>
          <w:spacing w:val="6"/>
          <w:sz w:val="32"/>
          <w:szCs w:val="32"/>
          <w:highlight w:val="none"/>
        </w:rPr>
      </w:pPr>
    </w:p>
    <w:p w14:paraId="6FCE9061">
      <w:pPr>
        <w:autoSpaceDE w:val="0"/>
        <w:autoSpaceDN w:val="0"/>
        <w:jc w:val="center"/>
        <w:rPr>
          <w:rFonts w:ascii="宋体" w:hAnsi="宋体" w:cs="宋体"/>
          <w:b/>
          <w:color w:val="auto"/>
          <w:spacing w:val="6"/>
          <w:sz w:val="32"/>
          <w:szCs w:val="32"/>
          <w:highlight w:val="none"/>
        </w:rPr>
      </w:pPr>
    </w:p>
    <w:p w14:paraId="155B63C6">
      <w:pPr>
        <w:autoSpaceDE w:val="0"/>
        <w:autoSpaceDN w:val="0"/>
        <w:jc w:val="center"/>
        <w:rPr>
          <w:rFonts w:ascii="宋体" w:hAnsi="宋体" w:cs="宋体"/>
          <w:b/>
          <w:color w:val="auto"/>
          <w:spacing w:val="6"/>
          <w:sz w:val="32"/>
          <w:szCs w:val="32"/>
          <w:highlight w:val="none"/>
        </w:rPr>
      </w:pPr>
    </w:p>
    <w:p w14:paraId="11AE05B2">
      <w:pPr>
        <w:autoSpaceDE w:val="0"/>
        <w:autoSpaceDN w:val="0"/>
        <w:jc w:val="center"/>
        <w:rPr>
          <w:rFonts w:ascii="宋体" w:hAnsi="宋体" w:cs="宋体"/>
          <w:b/>
          <w:color w:val="auto"/>
          <w:spacing w:val="6"/>
          <w:sz w:val="32"/>
          <w:szCs w:val="32"/>
          <w:highlight w:val="none"/>
        </w:rPr>
      </w:pPr>
    </w:p>
    <w:p w14:paraId="14901486">
      <w:pPr>
        <w:autoSpaceDE w:val="0"/>
        <w:autoSpaceDN w:val="0"/>
        <w:jc w:val="center"/>
        <w:rPr>
          <w:rFonts w:ascii="宋体" w:hAnsi="宋体" w:cs="宋体"/>
          <w:b/>
          <w:color w:val="auto"/>
          <w:spacing w:val="6"/>
          <w:sz w:val="32"/>
          <w:szCs w:val="32"/>
          <w:highlight w:val="none"/>
        </w:rPr>
      </w:pPr>
    </w:p>
    <w:p w14:paraId="753B23E0">
      <w:pPr>
        <w:autoSpaceDE w:val="0"/>
        <w:autoSpaceDN w:val="0"/>
        <w:jc w:val="center"/>
        <w:rPr>
          <w:rFonts w:ascii="宋体" w:hAnsi="宋体" w:cs="宋体"/>
          <w:b/>
          <w:color w:val="auto"/>
          <w:spacing w:val="6"/>
          <w:sz w:val="32"/>
          <w:szCs w:val="32"/>
          <w:highlight w:val="none"/>
        </w:rPr>
      </w:pPr>
    </w:p>
    <w:p w14:paraId="5EC71EEF">
      <w:pPr>
        <w:autoSpaceDE w:val="0"/>
        <w:autoSpaceDN w:val="0"/>
        <w:jc w:val="center"/>
        <w:rPr>
          <w:rFonts w:ascii="宋体" w:hAnsi="宋体" w:cs="宋体"/>
          <w:b/>
          <w:color w:val="auto"/>
          <w:spacing w:val="6"/>
          <w:sz w:val="32"/>
          <w:szCs w:val="32"/>
          <w:highlight w:val="none"/>
        </w:rPr>
      </w:pPr>
    </w:p>
    <w:p w14:paraId="21343D46">
      <w:pPr>
        <w:autoSpaceDE w:val="0"/>
        <w:autoSpaceDN w:val="0"/>
        <w:jc w:val="center"/>
        <w:rPr>
          <w:rFonts w:ascii="宋体" w:hAnsi="宋体" w:cs="宋体"/>
          <w:b/>
          <w:color w:val="auto"/>
          <w:spacing w:val="6"/>
          <w:sz w:val="32"/>
          <w:szCs w:val="32"/>
          <w:highlight w:val="none"/>
        </w:rPr>
      </w:pPr>
    </w:p>
    <w:p w14:paraId="39EC76B2">
      <w:pPr>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572B3B27">
      <w:pPr>
        <w:snapToGrid w:val="0"/>
        <w:spacing w:line="360" w:lineRule="auto"/>
        <w:outlineLvl w:val="1"/>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7</w:t>
      </w:r>
      <w:r>
        <w:rPr>
          <w:rFonts w:hint="eastAsia" w:ascii="宋体" w:hAnsi="宋体" w:cs="宋体"/>
          <w:b/>
          <w:color w:val="auto"/>
          <w:kern w:val="0"/>
          <w:sz w:val="32"/>
          <w:szCs w:val="32"/>
          <w:highlight w:val="none"/>
        </w:rPr>
        <w:t>：中小企业声明函</w:t>
      </w:r>
    </w:p>
    <w:p w14:paraId="4E4D254C">
      <w:pPr>
        <w:spacing w:line="360" w:lineRule="auto"/>
        <w:jc w:val="center"/>
        <w:rPr>
          <w:rFonts w:ascii="宋体" w:hAnsi="宋体" w:cs="宋体"/>
          <w:color w:val="auto"/>
          <w:sz w:val="24"/>
          <w:highlight w:val="none"/>
          <w:u w:val="single"/>
        </w:rPr>
      </w:pPr>
    </w:p>
    <w:p w14:paraId="7BB2C972">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59655A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37C629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612675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78BD60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42F94C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5D4C6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3229812">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7911835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E443809">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①</w:t>
      </w:r>
      <w:r>
        <w:rPr>
          <w:rFonts w:hint="eastAsia" w:ascii="宋体" w:hAnsi="宋体" w:cs="宋体"/>
          <w:color w:val="auto"/>
          <w:sz w:val="24"/>
          <w:highlight w:val="none"/>
        </w:rPr>
        <w:t>从业人员、营业收入、资产总额填报上一年度数据，无上一年度数据的新成立企业可不填报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4BE9225F">
      <w:pPr>
        <w:spacing w:line="360" w:lineRule="auto"/>
        <w:jc w:val="center"/>
        <w:rPr>
          <w:rFonts w:ascii="宋体" w:hAnsi="宋体" w:cs="宋体"/>
          <w:b/>
          <w:color w:val="auto"/>
          <w:sz w:val="32"/>
          <w:szCs w:val="32"/>
          <w:highlight w:val="none"/>
        </w:rPr>
      </w:pPr>
    </w:p>
    <w:p w14:paraId="7BEB8FF0">
      <w:pPr>
        <w:spacing w:line="360" w:lineRule="auto"/>
        <w:jc w:val="center"/>
        <w:rPr>
          <w:rFonts w:ascii="宋体" w:hAnsi="宋体" w:cs="宋体"/>
          <w:b/>
          <w:color w:val="auto"/>
          <w:sz w:val="32"/>
          <w:szCs w:val="32"/>
          <w:highlight w:val="none"/>
        </w:rPr>
      </w:pPr>
    </w:p>
    <w:p w14:paraId="7E1848DE">
      <w:pPr>
        <w:spacing w:line="360" w:lineRule="auto"/>
        <w:jc w:val="center"/>
        <w:rPr>
          <w:rFonts w:ascii="宋体" w:hAnsi="宋体" w:cs="宋体"/>
          <w:b/>
          <w:color w:val="auto"/>
          <w:sz w:val="32"/>
          <w:szCs w:val="32"/>
          <w:highlight w:val="none"/>
        </w:rPr>
      </w:pPr>
    </w:p>
    <w:p w14:paraId="1942DD49">
      <w:pPr>
        <w:spacing w:line="360" w:lineRule="auto"/>
        <w:jc w:val="center"/>
        <w:rPr>
          <w:rFonts w:ascii="宋体" w:hAnsi="宋体" w:cs="宋体"/>
          <w:b/>
          <w:color w:val="auto"/>
          <w:sz w:val="32"/>
          <w:szCs w:val="32"/>
          <w:highlight w:val="none"/>
        </w:rPr>
      </w:pPr>
    </w:p>
    <w:p w14:paraId="1901FCAD">
      <w:pPr>
        <w:spacing w:line="360" w:lineRule="auto"/>
        <w:jc w:val="center"/>
        <w:rPr>
          <w:rFonts w:ascii="宋体" w:hAnsi="宋体" w:cs="宋体"/>
          <w:b/>
          <w:color w:val="auto"/>
          <w:sz w:val="32"/>
          <w:szCs w:val="32"/>
          <w:highlight w:val="none"/>
        </w:rPr>
      </w:pPr>
    </w:p>
    <w:p w14:paraId="7142F0D4">
      <w:pPr>
        <w:pStyle w:val="25"/>
        <w:spacing w:line="360" w:lineRule="auto"/>
        <w:ind w:left="0" w:leftChars="0" w:firstLine="0" w:firstLineChars="0"/>
        <w:outlineLvl w:val="1"/>
        <w:rPr>
          <w:rFonts w:hint="eastAsia" w:cs="仿宋_GB2312" w:asciiTheme="minorEastAsia" w:hAnsiTheme="minorEastAsia" w:eastAsiaTheme="minorEastAsia"/>
          <w:b/>
          <w:color w:val="auto"/>
          <w:kern w:val="2"/>
          <w:sz w:val="32"/>
          <w:szCs w:val="32"/>
          <w:highlight w:val="none"/>
          <w:lang w:val="en-US" w:eastAsia="zh-CN" w:bidi="ar-SA"/>
        </w:rPr>
      </w:pPr>
      <w:r>
        <w:rPr>
          <w:rFonts w:hint="eastAsia" w:cs="仿宋_GB2312" w:asciiTheme="minorEastAsia" w:hAnsiTheme="minorEastAsia" w:eastAsiaTheme="minorEastAsia"/>
          <w:b/>
          <w:color w:val="auto"/>
          <w:kern w:val="2"/>
          <w:sz w:val="32"/>
          <w:szCs w:val="32"/>
          <w:highlight w:val="none"/>
          <w:lang w:val="en-US" w:eastAsia="zh-CN" w:bidi="ar-SA"/>
        </w:rPr>
        <w:t>附件8：中小企业划型标准</w:t>
      </w:r>
    </w:p>
    <w:p w14:paraId="33FECC2B">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各行业划型标准为：</w:t>
      </w:r>
    </w:p>
    <w:p w14:paraId="5BBF5AA2">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32D2D5B8">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AE22E40">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AE23AD">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401AF65">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1718087">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C8010E">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1D61CC4">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2936671">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CEB3E7">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AFFFAA">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CA3F50D">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91538C0">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C37CCB">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33CF56D">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34F99E">
      <w:pPr>
        <w:spacing w:line="360" w:lineRule="auto"/>
        <w:rPr>
          <w:rFonts w:hint="eastAsia"/>
          <w:color w:val="auto"/>
          <w:highlight w:val="none"/>
          <w:lang w:val="en-US" w:eastAsia="zh-CN"/>
        </w:rPr>
      </w:pP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595CB7B2">
      <w:pPr>
        <w:pStyle w:val="23"/>
        <w:jc w:val="both"/>
        <w:rPr>
          <w:rFonts w:hint="eastAsia" w:asciiTheme="minorEastAsia" w:hAnsiTheme="minorEastAsia" w:eastAsiaTheme="minorEastAsia" w:cstheme="minorEastAsia"/>
          <w:b/>
          <w:sz w:val="32"/>
          <w:szCs w:val="32"/>
        </w:rPr>
      </w:pPr>
    </w:p>
    <w:p w14:paraId="517BCA0B">
      <w:pPr>
        <w:pStyle w:val="23"/>
        <w:jc w:val="both"/>
        <w:rPr>
          <w:rFonts w:hint="eastAsia" w:asciiTheme="minorEastAsia" w:hAnsiTheme="minorEastAsia" w:eastAsiaTheme="minorEastAsia" w:cstheme="minorEastAsia"/>
          <w:b/>
          <w:sz w:val="32"/>
          <w:szCs w:val="32"/>
        </w:rPr>
      </w:pPr>
    </w:p>
    <w:p w14:paraId="412BA169">
      <w:pPr>
        <w:pStyle w:val="23"/>
        <w:jc w:val="both"/>
        <w:rPr>
          <w:rFonts w:hint="eastAsia" w:asciiTheme="minorEastAsia" w:hAnsiTheme="minorEastAsia" w:eastAsiaTheme="minorEastAsia" w:cstheme="minorEastAsia"/>
          <w:b/>
          <w:sz w:val="32"/>
          <w:szCs w:val="32"/>
        </w:rPr>
      </w:pPr>
    </w:p>
    <w:p w14:paraId="1F46C713">
      <w:pPr>
        <w:pStyle w:val="23"/>
        <w:jc w:val="both"/>
        <w:rPr>
          <w:rFonts w:hint="eastAsia" w:asciiTheme="minorEastAsia" w:hAnsiTheme="minorEastAsia" w:eastAsiaTheme="minorEastAsia" w:cstheme="minorEastAsia"/>
          <w:b/>
          <w:sz w:val="32"/>
          <w:szCs w:val="32"/>
        </w:rPr>
      </w:pPr>
    </w:p>
    <w:p w14:paraId="66FCC3F9">
      <w:pPr>
        <w:pStyle w:val="23"/>
        <w:jc w:val="both"/>
        <w:rPr>
          <w:rFonts w:hint="eastAsia" w:asciiTheme="minorEastAsia" w:hAnsiTheme="minorEastAsia" w:eastAsiaTheme="minorEastAsia" w:cstheme="minorEastAsia"/>
          <w:b/>
          <w:sz w:val="32"/>
          <w:szCs w:val="32"/>
        </w:rPr>
      </w:pPr>
    </w:p>
    <w:p w14:paraId="006098E1">
      <w:pPr>
        <w:pStyle w:val="23"/>
        <w:jc w:val="both"/>
        <w:rPr>
          <w:rFonts w:hint="eastAsia" w:asciiTheme="minorEastAsia" w:hAnsiTheme="minorEastAsia" w:eastAsiaTheme="minorEastAsia" w:cstheme="minorEastAsia"/>
          <w:b/>
          <w:sz w:val="32"/>
          <w:szCs w:val="32"/>
        </w:rPr>
      </w:pPr>
    </w:p>
    <w:p w14:paraId="0EDF8886">
      <w:pPr>
        <w:pStyle w:val="23"/>
        <w:jc w:val="both"/>
        <w:rPr>
          <w:rFonts w:hint="eastAsia" w:asciiTheme="minorEastAsia" w:hAnsiTheme="minorEastAsia" w:eastAsiaTheme="minorEastAsia" w:cstheme="minorEastAsia"/>
          <w:b/>
          <w:sz w:val="32"/>
          <w:szCs w:val="32"/>
        </w:rPr>
      </w:pPr>
    </w:p>
    <w:p w14:paraId="7E78F059">
      <w:pPr>
        <w:pStyle w:val="23"/>
        <w:jc w:val="both"/>
        <w:rPr>
          <w:rFonts w:hint="eastAsia" w:asciiTheme="minorEastAsia" w:hAnsiTheme="minorEastAsia" w:eastAsiaTheme="minorEastAsia" w:cstheme="minorEastAsia"/>
          <w:b/>
          <w:sz w:val="32"/>
          <w:szCs w:val="32"/>
        </w:rPr>
      </w:pPr>
    </w:p>
    <w:p w14:paraId="08997A06">
      <w:pPr>
        <w:pStyle w:val="23"/>
        <w:jc w:val="both"/>
        <w:rPr>
          <w:rFonts w:hint="eastAsia" w:asciiTheme="minorEastAsia" w:hAnsiTheme="minorEastAsia" w:eastAsiaTheme="minorEastAsia" w:cstheme="minorEastAsia"/>
          <w:b/>
          <w:sz w:val="32"/>
          <w:szCs w:val="32"/>
        </w:rPr>
      </w:pPr>
    </w:p>
    <w:p w14:paraId="1010D841">
      <w:pPr>
        <w:pStyle w:val="23"/>
        <w:jc w:val="both"/>
        <w:rPr>
          <w:rFonts w:hint="eastAsia" w:asciiTheme="minorEastAsia" w:hAnsiTheme="minorEastAsia" w:eastAsiaTheme="minorEastAsia" w:cstheme="minorEastAsia"/>
          <w:b/>
          <w:sz w:val="32"/>
          <w:szCs w:val="32"/>
        </w:rPr>
      </w:pPr>
    </w:p>
    <w:p w14:paraId="7A69BC04">
      <w:pPr>
        <w:pStyle w:val="23"/>
        <w:jc w:val="both"/>
        <w:rPr>
          <w:rFonts w:hint="eastAsia" w:asciiTheme="minorEastAsia" w:hAnsiTheme="minorEastAsia" w:eastAsiaTheme="minorEastAsia" w:cstheme="minorEastAsia"/>
          <w:b/>
          <w:sz w:val="32"/>
          <w:szCs w:val="32"/>
        </w:rPr>
      </w:pPr>
    </w:p>
    <w:p w14:paraId="6FC325C5">
      <w:pPr>
        <w:pStyle w:val="23"/>
        <w:jc w:val="both"/>
        <w:rPr>
          <w:rFonts w:hint="eastAsia" w:asciiTheme="minorEastAsia" w:hAnsiTheme="minorEastAsia" w:eastAsiaTheme="minorEastAsia" w:cstheme="minorEastAsia"/>
          <w:b/>
          <w:sz w:val="32"/>
          <w:szCs w:val="32"/>
        </w:rPr>
      </w:pPr>
    </w:p>
    <w:p w14:paraId="2782CBC5">
      <w:pPr>
        <w:pStyle w:val="23"/>
        <w:jc w:val="both"/>
        <w:rPr>
          <w:rFonts w:hint="eastAsia" w:asciiTheme="minorEastAsia" w:hAnsiTheme="minorEastAsia" w:eastAsiaTheme="minorEastAsia" w:cstheme="minorEastAsia"/>
          <w:b/>
          <w:sz w:val="32"/>
          <w:szCs w:val="32"/>
        </w:rPr>
      </w:pPr>
    </w:p>
    <w:p w14:paraId="34BA22C7">
      <w:pPr>
        <w:pStyle w:val="23"/>
        <w:jc w:val="both"/>
        <w:rPr>
          <w:rFonts w:hint="eastAsia" w:asciiTheme="minorEastAsia" w:hAnsiTheme="minorEastAsia" w:eastAsiaTheme="minorEastAsia" w:cstheme="minorEastAsia"/>
          <w:b/>
          <w:sz w:val="32"/>
          <w:szCs w:val="32"/>
        </w:rPr>
      </w:pPr>
    </w:p>
    <w:p w14:paraId="0B21BDC6">
      <w:pPr>
        <w:pStyle w:val="23"/>
        <w:jc w:val="both"/>
        <w:rPr>
          <w:rFonts w:hint="eastAsia" w:asciiTheme="minorEastAsia" w:hAnsiTheme="minorEastAsia" w:eastAsiaTheme="minorEastAsia" w:cstheme="minorEastAsia"/>
          <w:b/>
          <w:sz w:val="32"/>
          <w:szCs w:val="32"/>
        </w:rPr>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9B5C92A">
      <w:pPr>
        <w:pStyle w:val="25"/>
        <w:spacing w:line="360" w:lineRule="auto"/>
        <w:ind w:left="0" w:leftChars="0" w:firstLine="0" w:firstLineChars="0"/>
        <w:outlineLvl w:val="1"/>
        <w:rPr>
          <w:rFonts w:hint="eastAsia" w:cs="仿宋_GB2312" w:asciiTheme="minorEastAsia" w:hAnsiTheme="minorEastAsia" w:eastAsiaTheme="minorEastAsia"/>
          <w:b/>
          <w:color w:val="auto"/>
          <w:kern w:val="2"/>
          <w:sz w:val="32"/>
          <w:szCs w:val="32"/>
          <w:highlight w:val="none"/>
          <w:lang w:val="en-US" w:eastAsia="zh-CN" w:bidi="ar-SA"/>
        </w:rPr>
      </w:pPr>
      <w:r>
        <w:rPr>
          <w:rFonts w:hint="eastAsia" w:cs="仿宋_GB2312" w:asciiTheme="minorEastAsia" w:hAnsiTheme="minorEastAsia" w:eastAsiaTheme="minorEastAsia"/>
          <w:b/>
          <w:color w:val="auto"/>
          <w:kern w:val="2"/>
          <w:sz w:val="32"/>
          <w:szCs w:val="32"/>
          <w:highlight w:val="none"/>
          <w:lang w:val="zh-CN" w:eastAsia="zh-CN" w:bidi="ar-SA"/>
        </w:rPr>
        <w:t>附件</w:t>
      </w:r>
      <w:r>
        <w:rPr>
          <w:rFonts w:hint="eastAsia" w:cs="仿宋_GB2312" w:asciiTheme="minorEastAsia" w:hAnsiTheme="minorEastAsia" w:eastAsiaTheme="minorEastAsia"/>
          <w:b/>
          <w:color w:val="auto"/>
          <w:kern w:val="2"/>
          <w:sz w:val="32"/>
          <w:szCs w:val="32"/>
          <w:highlight w:val="none"/>
          <w:lang w:val="en-US" w:eastAsia="zh-CN" w:bidi="ar-SA"/>
        </w:rPr>
        <w:t>9：</w:t>
      </w:r>
    </w:p>
    <w:p w14:paraId="0312A23B">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4DB1B4B7">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6E078BB4">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D7DAB4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43EDBA9A">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06EFB8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5292D1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3C7F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0BA472B4">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5FCADEDE">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83F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68202DBD">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1A112627">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3FDE7254">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7D3CA51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2F11018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3EB60AE4">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54BF6C76">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50C4AF0">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35E1AAF2">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5871C591">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5B7A3CDE">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8"/>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5E25DE7B">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2C915732">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118B17C8">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1EBDF26D">
      <w:pPr>
        <w:snapToGrid w:val="0"/>
        <w:spacing w:before="0" w:line="360" w:lineRule="auto"/>
        <w:ind w:left="0"/>
        <w:rPr>
          <w:rFonts w:hint="eastAsia"/>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0F7CCB31">
      <w:pPr>
        <w:pStyle w:val="23"/>
        <w:jc w:val="both"/>
        <w:outlineLvl w:val="1"/>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sz w:val="32"/>
          <w:szCs w:val="32"/>
        </w:rPr>
        <w:t>附件</w:t>
      </w:r>
      <w:r>
        <w:rPr>
          <w:rFonts w:hint="eastAsia" w:asciiTheme="minorEastAsia" w:hAnsiTheme="minorEastAsia" w:eastAsiaTheme="minorEastAsia" w:cstheme="minorEastAsia"/>
          <w:b/>
          <w:sz w:val="32"/>
          <w:szCs w:val="32"/>
          <w:lang w:val="en-US" w:eastAsia="zh-CN"/>
        </w:rPr>
        <w:t>10：</w:t>
      </w:r>
      <w:r>
        <w:rPr>
          <w:rFonts w:hint="eastAsia" w:asciiTheme="minorEastAsia" w:hAnsiTheme="minorEastAsia" w:eastAsiaTheme="minorEastAsia" w:cstheme="minorEastAsia"/>
          <w:b/>
          <w:bCs/>
          <w:sz w:val="32"/>
          <w:szCs w:val="32"/>
          <w:lang w:val="en-US" w:eastAsia="zh-CN"/>
        </w:rPr>
        <w:t>（开标记录开启后，请将此附件填写完整发送至邮箱： 3169291718@qq.com）</w:t>
      </w:r>
    </w:p>
    <w:p w14:paraId="669D4342">
      <w:pPr>
        <w:pStyle w:val="23"/>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政府采购活动现场确认声明书</w:t>
      </w:r>
    </w:p>
    <w:p w14:paraId="79B3A4FE">
      <w:pPr>
        <w:pStyle w:val="23"/>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杭州市公共资源交易中心临安分中心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3C7AF4F1">
      <w:pPr>
        <w:pStyle w:val="23"/>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 ____________（授权代表姓名），经由______________________________（单位） ____________ （法定代表人姓名）合法授权参加</w:t>
      </w: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）政府采购活动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经与本单位法人代表（负责人）联系确认，现就有关公平竞争事项郑重声明如下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09C92356">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本单位与采购人之间</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不存在利害关系</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存在下列利害关系</w:t>
      </w:r>
      <w:r>
        <w:rPr>
          <w:rFonts w:hint="eastAsia" w:asciiTheme="minorEastAsia" w:hAnsiTheme="minorEastAsia" w:eastAsiaTheme="minorEastAsia" w:cstheme="minorEastAsia"/>
          <w:sz w:val="24"/>
          <w:szCs w:val="24"/>
          <w:lang w:eastAsia="zh-CN"/>
        </w:rPr>
        <w:t>：</w:t>
      </w:r>
    </w:p>
    <w:p w14:paraId="58D8DDB7">
      <w:pPr>
        <w:pStyle w:val="23"/>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ind w:left="12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投资关系</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rPr>
        <w:t>B．行政隶属关系</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rPr>
        <w:t>C．业务指导关系</w:t>
      </w:r>
    </w:p>
    <w:p w14:paraId="482FDB1D">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12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D．其他可能影响采购公正的利害关系（如有，请如实说明）。</w:t>
      </w:r>
    </w:p>
    <w:p w14:paraId="6702B625">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二、现己清楚知道参加本项目采购活动的其他所有供应商名称，本单位</w:t>
      </w:r>
    </w:p>
    <w:p w14:paraId="307E0D25">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与其他所有供应商之间均不存在利害关系</w:t>
      </w:r>
    </w:p>
    <w:p w14:paraId="543ED7CD">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与______________（供应商名称）之间存在下列利害关系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13B479A4">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A．法定代表人或负责人或实际控制人是同一人 </w:t>
      </w:r>
    </w:p>
    <w:p w14:paraId="619A2811">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B．法定代表人或负责人或实际控制人是夫妻关系 </w:t>
      </w:r>
    </w:p>
    <w:p w14:paraId="5A18E1A9">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C．法定代表人或负责人或实际控制人是直系血亲关系 </w:t>
      </w:r>
    </w:p>
    <w:p w14:paraId="25019114">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D．法定代表人或负责人或实际控制人存在三代以内旁系血亲关系 </w:t>
      </w:r>
    </w:p>
    <w:p w14:paraId="0559EDDE">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E．法定代表人或负责人或实际控制人存在近姻亲关系 </w:t>
      </w:r>
    </w:p>
    <w:p w14:paraId="2DB1D523">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F．法定代表人或负责人或实际控制人存在股份控制或实际控制关系 </w:t>
      </w:r>
    </w:p>
    <w:p w14:paraId="3953B64F">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G．存在共同直接或间接投资设立子公司、联营企业和合营企业情况 </w:t>
      </w:r>
    </w:p>
    <w:p w14:paraId="03E33C5B">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H．存在分级代理或代销关系、同一生产制造商关系、管理关系、重要业务（占主营业务收入 50 ％以上）或重要财务 往来关系（如融资）等其他实质性控制关系</w:t>
      </w:r>
    </w:p>
    <w:p w14:paraId="1E8BA4AB">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I．其他利害关系情况 ___________________________。</w:t>
      </w:r>
      <w:r>
        <w:rPr>
          <w:rFonts w:hint="eastAsia" w:asciiTheme="minorEastAsia" w:hAnsiTheme="minorEastAsia" w:eastAsiaTheme="minorEastAsia" w:cstheme="minorEastAsia"/>
          <w:sz w:val="24"/>
          <w:szCs w:val="24"/>
          <w:lang w:eastAsia="zh-CN"/>
        </w:rPr>
        <w:t>（如未填写，视同“无”）</w:t>
      </w:r>
      <w:r>
        <w:rPr>
          <w:rFonts w:hint="eastAsia" w:asciiTheme="minorEastAsia" w:hAnsiTheme="minorEastAsia" w:eastAsiaTheme="minorEastAsia" w:cstheme="minorEastAsia"/>
          <w:sz w:val="24"/>
          <w:szCs w:val="24"/>
        </w:rPr>
        <w:t xml:space="preserve"> </w:t>
      </w:r>
    </w:p>
    <w:p w14:paraId="2D74BCCD">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三、现己清楚知道并严格遵守政府采购法律法规。</w:t>
      </w:r>
    </w:p>
    <w:p w14:paraId="2DE47F5F">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四、我发现 ____________________供应商之间存在或可能存在上述第二条第 ____________项利害关系。</w:t>
      </w:r>
      <w:r>
        <w:rPr>
          <w:rFonts w:hint="eastAsia" w:asciiTheme="minorEastAsia" w:hAnsiTheme="minorEastAsia" w:eastAsiaTheme="minorEastAsia" w:cstheme="minorEastAsia"/>
          <w:sz w:val="24"/>
          <w:szCs w:val="24"/>
          <w:lang w:eastAsia="zh-CN"/>
        </w:rPr>
        <w:t>（如未填写，视同“无”）</w:t>
      </w:r>
    </w:p>
    <w:p w14:paraId="1BD4FFAF">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760" w:firstLineChars="2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kern w:val="0"/>
          <w:sz w:val="24"/>
          <w:lang w:val="zh-CN"/>
        </w:rPr>
        <w:t>名称（签章）：</w:t>
      </w:r>
    </w:p>
    <w:p w14:paraId="789FD44A">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760" w:firstLineChars="2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签名</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7D4E7E52">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760" w:firstLineChars="2400"/>
        <w:textAlignment w:val="auto"/>
        <w:rPr>
          <w:rFonts w:ascii="宋体" w:hAnsi="宋体" w:cs="宋体"/>
          <w:b/>
          <w:sz w:val="32"/>
          <w:szCs w:val="32"/>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47C84CEE">
      <w:pPr>
        <w:spacing w:line="360" w:lineRule="auto"/>
        <w:jc w:val="center"/>
        <w:rPr>
          <w:rFonts w:ascii="宋体" w:hAnsi="宋体" w:cs="宋体"/>
          <w:b/>
          <w:color w:val="auto"/>
          <w:sz w:val="32"/>
          <w:szCs w:val="32"/>
          <w:highlight w:val="none"/>
        </w:rPr>
      </w:pPr>
    </w:p>
    <w:p w14:paraId="46E56280">
      <w:pPr>
        <w:spacing w:line="360" w:lineRule="auto"/>
        <w:rPr>
          <w:rFonts w:ascii="宋体" w:hAnsi="宋体" w:cs="宋体"/>
          <w:bCs/>
          <w:color w:val="auto"/>
          <w:sz w:val="24"/>
          <w:highlight w:val="none"/>
        </w:rPr>
      </w:pPr>
    </w:p>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国标宋体-超大字符集"/>
    <w:panose1 w:val="00000000000000000000"/>
    <w:charset w:val="00"/>
    <w:family w:val="swiss"/>
    <w:pitch w:val="default"/>
    <w:sig w:usb0="00000000" w:usb1="00000000" w:usb2="00000000" w:usb3="00000000" w:csb0="00000011" w:csb1="00000000"/>
  </w:font>
  <w:font w:name="国标宋体-超大字符集">
    <w:panose1 w:val="03000509000000000000"/>
    <w:charset w:val="86"/>
    <w:family w:val="auto"/>
    <w:pitch w:val="default"/>
    <w:sig w:usb0="00000001" w:usb1="08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华文中宋"/>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DejaVu Sans"/>
    <w:panose1 w:val="020B0604020202020204"/>
    <w:charset w:val="00"/>
    <w:family w:val="swiss"/>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Cumberland">
    <w:altName w:val="华文中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DejaVu Sans"/>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Noto Naskh Arabic"/>
    <w:panose1 w:val="020B0502020202020204"/>
    <w:charset w:val="00"/>
    <w:family w:val="swiss"/>
    <w:pitch w:val="default"/>
    <w:sig w:usb0="00000000" w:usb1="00000000" w:usb2="00000000" w:usb3="00000000" w:csb0="2000009F" w:csb1="DFD7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华文中宋"/>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MS Gothic"/>
    <w:panose1 w:val="02020609040205080304"/>
    <w:charset w:val="80"/>
    <w:family w:val="roman"/>
    <w:pitch w:val="default"/>
    <w:sig w:usb0="00000000" w:usb1="00000000" w:usb2="00000012" w:usb3="00000000" w:csb0="4002009F" w:csb1="DFD70000"/>
  </w:font>
  <w:font w:name="Cambria Math">
    <w:panose1 w:val="02040503050406030204"/>
    <w:charset w:val="00"/>
    <w:family w:val="auto"/>
    <w:pitch w:val="default"/>
    <w:sig w:usb0="E00006FF" w:usb1="420024FF" w:usb2="02000000" w:usb3="00000000" w:csb0="2000019F" w:csb1="00000000"/>
  </w:font>
  <w:font w:name="Wingdings 2">
    <w:altName w:val="国标宋体-超大字符集"/>
    <w:panose1 w:val="05020102010507070707"/>
    <w:charset w:val="00"/>
    <w:family w:val="auto"/>
    <w:pitch w:val="default"/>
    <w:sig w:usb0="00000000" w:usb1="00000000" w:usb2="00000000" w:usb3="00000000" w:csb0="80000000" w:csb1="00000000"/>
  </w:font>
  <w:font w:name="Impact">
    <w:panose1 w:val="020B08060309020502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0F3C52"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B1347">
    <w:pPr>
      <w:pStyle w:val="4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82065">
                          <w:pPr>
                            <w:pStyle w:val="4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582065">
                    <w:pPr>
                      <w:pStyle w:val="4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1795">
    <w:pPr>
      <w:pStyle w:val="40"/>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9755E">
                          <w:pPr>
                            <w:pStyle w:val="4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AB9755E">
                    <w:pPr>
                      <w:pStyle w:val="4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p w14:paraId="4B4E1127">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250B">
    <w:pPr>
      <w:pStyle w:val="40"/>
      <w:jc w:val="center"/>
      <w:rPr>
        <w:rFonts w:ascii="仿宋_GB2312" w:eastAsia="仿宋_GB2312"/>
        <w:szCs w:val="24"/>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58E39">
                          <w:pPr>
                            <w:pStyle w:val="40"/>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6D58E39">
                    <w:pPr>
                      <w:pStyle w:val="40"/>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2DFED">
    <w:pPr>
      <w:pStyle w:val="40"/>
      <w:framePr w:wrap="around" w:vAnchor="text" w:hAnchor="margin" w:xAlign="right" w:y="1"/>
      <w:rPr>
        <w:rStyle w:val="73"/>
      </w:rPr>
    </w:pPr>
    <w:r>
      <w:fldChar w:fldCharType="begin"/>
    </w:r>
    <w:r>
      <w:rPr>
        <w:rStyle w:val="73"/>
      </w:rPr>
      <w:instrText xml:space="preserve">PAGE  </w:instrText>
    </w:r>
    <w:r>
      <w:fldChar w:fldCharType="end"/>
    </w:r>
  </w:p>
  <w:p w14:paraId="3BD07A4B">
    <w:pPr>
      <w:pStyle w:val="40"/>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9630">
    <w:pPr>
      <w:pStyle w:val="40"/>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251CB">
                          <w:pPr>
                            <w:pStyle w:val="40"/>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5B251CB">
                    <w:pPr>
                      <w:pStyle w:val="40"/>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06739">
    <w:pPr>
      <w:pStyle w:val="40"/>
      <w:framePr w:wrap="around" w:vAnchor="text" w:hAnchor="margin" w:xAlign="right" w:y="1"/>
      <w:rPr>
        <w:rStyle w:val="73"/>
      </w:rPr>
    </w:pPr>
    <w:r>
      <w:fldChar w:fldCharType="begin"/>
    </w:r>
    <w:r>
      <w:rPr>
        <w:rStyle w:val="73"/>
      </w:rPr>
      <w:instrText xml:space="preserve">PAGE  </w:instrText>
    </w:r>
    <w:r>
      <w:fldChar w:fldCharType="end"/>
    </w:r>
  </w:p>
  <w:p w14:paraId="5BA8C0A9">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B0D9">
    <w:pPr>
      <w:pStyle w:val="4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91273">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C91273">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E861">
    <w:pPr>
      <w:pStyle w:val="40"/>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69903">
                          <w:pPr>
                            <w:pStyle w:val="40"/>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569903">
                    <w:pPr>
                      <w:pStyle w:val="40"/>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43E91">
    <w:pPr>
      <w:pStyle w:val="40"/>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A271A">
                          <w:pPr>
                            <w:pStyle w:val="40"/>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2A271A">
                    <w:pPr>
                      <w:pStyle w:val="40"/>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p w14:paraId="244A60EB">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0A14">
    <w:pPr>
      <w:pStyle w:val="40"/>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388C6">
                          <w:pPr>
                            <w:pStyle w:val="40"/>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70388C6">
                    <w:pPr>
                      <w:pStyle w:val="40"/>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p w14:paraId="1DE3832C">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6A44A">
    <w:pPr>
      <w:pStyle w:val="4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9C4A9">
                          <w:pPr>
                            <w:pStyle w:val="40"/>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39C4A9">
                    <w:pPr>
                      <w:pStyle w:val="40"/>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p w14:paraId="0D02CA70">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32711">
    <w:pPr>
      <w:pStyle w:val="4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24569">
                          <w:pPr>
                            <w:pStyle w:val="40"/>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F24569">
                    <w:pPr>
                      <w:pStyle w:val="40"/>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p w14:paraId="76D1883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2CC4">
    <w:pPr>
      <w:pStyle w:val="40"/>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BC43D">
                          <w:pPr>
                            <w:pStyle w:val="40"/>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7BC43D">
                    <w:pPr>
                      <w:pStyle w:val="40"/>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p>
  <w:p w14:paraId="532307E7">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6C6B">
    <w:pPr>
      <w:pStyle w:val="59"/>
      <w:keepNext w:val="0"/>
      <w:keepLines w:val="0"/>
      <w:pageBreakBefore w:val="0"/>
      <w:widowControl/>
      <w:pBdr>
        <w:bottom w:val="single" w:color="auto" w:sz="4" w:space="0"/>
      </w:pBdr>
      <w:tabs>
        <w:tab w:val="center" w:pos="4535"/>
        <w:tab w:val="right" w:pos="9070"/>
      </w:tabs>
      <w:kinsoku/>
      <w:wordWrap/>
      <w:overflowPunct w:val="0"/>
      <w:topLinePunct w:val="0"/>
      <w:bidi w:val="0"/>
      <w:adjustRightInd w:val="0"/>
      <w:snapToGrid/>
      <w:spacing w:after="0" w:afterLines="50"/>
      <w:ind w:firstLine="241" w:firstLineChars="100"/>
      <w:jc w:val="right"/>
      <w:textAlignment w:val="baseline"/>
      <w:rPr>
        <w:rFonts w:ascii="Times New Roman" w:hAnsi="Times New Roman" w:eastAsia="宋体" w:cs="Times New Roman"/>
        <w:b w:val="0"/>
        <w:kern w:val="2"/>
        <w:sz w:val="18"/>
        <w:szCs w:val="18"/>
        <w:lang w:val="en-US" w:eastAsia="zh-CN" w:bidi="ar-SA"/>
      </w:rPr>
    </w:pPr>
    <w:r>
      <w:t></w:t>
    </w:r>
    <w:r>
      <w:rPr>
        <w:rFonts w:ascii="Times New Roman" w:hAnsi="Times New Roman" w:eastAsia="宋体" w:cs="Times New Roman"/>
        <w:b w:val="0"/>
        <w:kern w:val="2"/>
        <w:sz w:val="18"/>
        <w:szCs w:val="18"/>
        <w:lang w:val="en-US" w:eastAsia="zh-CN" w:bidi="ar-SA"/>
      </w:rP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830B">
    <w:pPr>
      <w:pStyle w:val="41"/>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AEEF">
    <w:pPr>
      <w:pStyle w:val="41"/>
      <w:jc w:val="right"/>
    </w:pP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5C1B4">
    <w:pPr>
      <w:pStyle w:val="41"/>
      <w:pBdr>
        <w:bottom w:val="single" w:color="auto" w:sz="6" w:space="0"/>
      </w:pBdr>
      <w:tabs>
        <w:tab w:val="center" w:pos="4535"/>
        <w:tab w:val="right" w:pos="9070"/>
        <w:tab w:val="clear" w:pos="4153"/>
        <w:tab w:val="clear" w:pos="8306"/>
      </w:tabs>
      <w:jc w:val="right"/>
    </w:pPr>
    <w:r>
      <w:t></w:t>
    </w:r>
    <w:r>
      <w:rPr>
        <w:rFonts w:hint="eastAsia"/>
      </w:rPr>
      <w:t xml:space="preserve">             </w:t>
    </w:r>
    <w: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04B93">
    <w:pPr>
      <w:pStyle w:val="41"/>
      <w:pBdr>
        <w:bottom w:val="single" w:color="auto" w:sz="6" w:space="4"/>
      </w:pBdr>
      <w:jc w:val="right"/>
    </w:pPr>
    <w:r>
      <w:t>杭州市政府采购公开招标文件</w:t>
    </w:r>
  </w:p>
  <w:p w14:paraId="5D1CB8CF">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B497A">
    <w:pPr>
      <w:pStyle w:val="41"/>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4FE10">
    <w:pPr>
      <w:pStyle w:val="41"/>
    </w:pPr>
    <w:r>
      <w:t></w:t>
    </w:r>
    <w:r>
      <w:rPr>
        <w:rFonts w:hint="eastAsia"/>
      </w:rPr>
      <w:t xml:space="preserve">         </w:t>
    </w:r>
  </w:p>
  <w:p w14:paraId="6100DD40">
    <w:pPr>
      <w:pStyle w:val="41"/>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935B5">
    <w:pPr>
      <w:pStyle w:val="41"/>
      <w:jc w:val="right"/>
      <w:rPr>
        <w:rFonts w:ascii="仿宋_GB2312" w:eastAsia="仿宋_GB2312"/>
        <w:b/>
        <w:i/>
        <w:u w:val="single"/>
      </w:rPr>
    </w:pPr>
    <w:r>
      <w:t>杭州市政府采购公开招标文件</w:t>
    </w:r>
  </w:p>
  <w:p w14:paraId="6296A913">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0161">
    <w:pPr>
      <w:pStyle w:val="41"/>
      <w:keepNext w:val="0"/>
      <w:keepLines w:val="0"/>
      <w:pageBreakBefore w:val="0"/>
      <w:widowControl w:val="0"/>
      <w:kinsoku/>
      <w:wordWrap/>
      <w:overflowPunct/>
      <w:topLinePunct w:val="0"/>
      <w:bidi w:val="0"/>
      <w:adjustRightInd w:val="0"/>
      <w:snapToGrid w:val="0"/>
      <w:spacing w:after="0" w:afterLines="50"/>
      <w:jc w:val="right"/>
      <w:textAlignment w:val="auto"/>
    </w:pPr>
    <w:r>
      <w:t></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627E">
    <w:pPr>
      <w:pStyle w:val="41"/>
      <w:jc w:val="right"/>
      <w:rPr>
        <w:rFonts w:ascii="仿宋_GB2312" w:eastAsia="仿宋_GB2312"/>
        <w:b/>
        <w:i/>
        <w:u w:val="single"/>
      </w:rPr>
    </w:pPr>
    <w:r>
      <w:t>杭州市政府采购公开招标文件</w:t>
    </w:r>
  </w:p>
  <w:p w14:paraId="3805AD0C">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E0BA7">
    <w:pPr>
      <w:pStyle w:val="41"/>
      <w:jc w:val="right"/>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3A496"/>
    <w:multiLevelType w:val="singleLevel"/>
    <w:tmpl w:val="CF13A496"/>
    <w:lvl w:ilvl="0" w:tentative="0">
      <w:start w:val="1"/>
      <w:numFmt w:val="decimal"/>
      <w:suff w:val="nothing"/>
      <w:lvlText w:val="（%1）"/>
      <w:lvlJc w:val="left"/>
    </w:lvl>
  </w:abstractNum>
  <w:abstractNum w:abstractNumId="1">
    <w:nsid w:val="0A060BBE"/>
    <w:multiLevelType w:val="singleLevel"/>
    <w:tmpl w:val="0A060BBE"/>
    <w:lvl w:ilvl="0" w:tentative="0">
      <w:start w:val="1"/>
      <w:numFmt w:val="upperLetter"/>
      <w:suff w:val="nothing"/>
      <w:lvlText w:val="%1．"/>
      <w:lvlJc w:val="left"/>
      <w:pPr>
        <w:ind w:left="12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ZDAyNWU2ZGM4MTk2MjhkYjBkZjBkZDcyMjI2M2Y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10B"/>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7244EE"/>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447FB3"/>
    <w:rsid w:val="048F763B"/>
    <w:rsid w:val="049F330E"/>
    <w:rsid w:val="04AA775C"/>
    <w:rsid w:val="04AF1889"/>
    <w:rsid w:val="04F66F48"/>
    <w:rsid w:val="05237DB3"/>
    <w:rsid w:val="05251E14"/>
    <w:rsid w:val="057E2F8C"/>
    <w:rsid w:val="05A16594"/>
    <w:rsid w:val="05A7762D"/>
    <w:rsid w:val="060E5941"/>
    <w:rsid w:val="06110FAF"/>
    <w:rsid w:val="06493CA7"/>
    <w:rsid w:val="065A6178"/>
    <w:rsid w:val="066F1CF3"/>
    <w:rsid w:val="06871610"/>
    <w:rsid w:val="06930BB8"/>
    <w:rsid w:val="07155C37"/>
    <w:rsid w:val="07245D42"/>
    <w:rsid w:val="07264C62"/>
    <w:rsid w:val="076D3560"/>
    <w:rsid w:val="0779354C"/>
    <w:rsid w:val="08061376"/>
    <w:rsid w:val="08452D77"/>
    <w:rsid w:val="086401F8"/>
    <w:rsid w:val="08751CAA"/>
    <w:rsid w:val="087E4C40"/>
    <w:rsid w:val="08A365ED"/>
    <w:rsid w:val="08A871D0"/>
    <w:rsid w:val="08D66AD6"/>
    <w:rsid w:val="08DA33A3"/>
    <w:rsid w:val="08E80F13"/>
    <w:rsid w:val="08E87F44"/>
    <w:rsid w:val="08FF5E2E"/>
    <w:rsid w:val="09335624"/>
    <w:rsid w:val="0944690F"/>
    <w:rsid w:val="09535675"/>
    <w:rsid w:val="095F057D"/>
    <w:rsid w:val="09642282"/>
    <w:rsid w:val="09733572"/>
    <w:rsid w:val="09772C16"/>
    <w:rsid w:val="098353B5"/>
    <w:rsid w:val="09A92330"/>
    <w:rsid w:val="09B06B87"/>
    <w:rsid w:val="09BA70D3"/>
    <w:rsid w:val="09C13146"/>
    <w:rsid w:val="09E04166"/>
    <w:rsid w:val="0A1C0718"/>
    <w:rsid w:val="0A3E7710"/>
    <w:rsid w:val="0A5B7E63"/>
    <w:rsid w:val="0A854E82"/>
    <w:rsid w:val="0AA374A5"/>
    <w:rsid w:val="0AAB7649"/>
    <w:rsid w:val="0ABC5606"/>
    <w:rsid w:val="0ACF4E8E"/>
    <w:rsid w:val="0AEA2BFF"/>
    <w:rsid w:val="0AFB3396"/>
    <w:rsid w:val="0B30404E"/>
    <w:rsid w:val="0B4C6C14"/>
    <w:rsid w:val="0B547599"/>
    <w:rsid w:val="0B631A88"/>
    <w:rsid w:val="0B683D45"/>
    <w:rsid w:val="0B7F3F11"/>
    <w:rsid w:val="0B884417"/>
    <w:rsid w:val="0BF6188C"/>
    <w:rsid w:val="0BF73C91"/>
    <w:rsid w:val="0C170175"/>
    <w:rsid w:val="0C215C32"/>
    <w:rsid w:val="0C571A41"/>
    <w:rsid w:val="0C5C1171"/>
    <w:rsid w:val="0C5E1CBC"/>
    <w:rsid w:val="0C615B50"/>
    <w:rsid w:val="0C8445DA"/>
    <w:rsid w:val="0C87121B"/>
    <w:rsid w:val="0CC007F7"/>
    <w:rsid w:val="0CC617AC"/>
    <w:rsid w:val="0CE618DF"/>
    <w:rsid w:val="0CFE707A"/>
    <w:rsid w:val="0D063BDA"/>
    <w:rsid w:val="0D08375F"/>
    <w:rsid w:val="0D184CFB"/>
    <w:rsid w:val="0D1A2A5B"/>
    <w:rsid w:val="0D4A7419"/>
    <w:rsid w:val="0D827401"/>
    <w:rsid w:val="0D84094E"/>
    <w:rsid w:val="0D854AD0"/>
    <w:rsid w:val="0D8A00E9"/>
    <w:rsid w:val="0D8D589E"/>
    <w:rsid w:val="0D8E1E73"/>
    <w:rsid w:val="0DA01C73"/>
    <w:rsid w:val="0DC14423"/>
    <w:rsid w:val="0DD63300"/>
    <w:rsid w:val="0DF50604"/>
    <w:rsid w:val="0DF702FE"/>
    <w:rsid w:val="0E060E51"/>
    <w:rsid w:val="0E5604B2"/>
    <w:rsid w:val="0E6D5D79"/>
    <w:rsid w:val="0E9D0089"/>
    <w:rsid w:val="0EA474D2"/>
    <w:rsid w:val="0EB803EE"/>
    <w:rsid w:val="0EF94D4B"/>
    <w:rsid w:val="0F4958DC"/>
    <w:rsid w:val="0F515DF7"/>
    <w:rsid w:val="0F596BA8"/>
    <w:rsid w:val="0F6248D2"/>
    <w:rsid w:val="0F693536"/>
    <w:rsid w:val="0F761E15"/>
    <w:rsid w:val="0F7B0511"/>
    <w:rsid w:val="0F7B76D9"/>
    <w:rsid w:val="0F816ACD"/>
    <w:rsid w:val="0F9832DB"/>
    <w:rsid w:val="0FBD5398"/>
    <w:rsid w:val="0FBF3FD2"/>
    <w:rsid w:val="0FBF7FF3"/>
    <w:rsid w:val="10646583"/>
    <w:rsid w:val="107D4B15"/>
    <w:rsid w:val="108A3C80"/>
    <w:rsid w:val="10C26171"/>
    <w:rsid w:val="10F33360"/>
    <w:rsid w:val="10FC16EA"/>
    <w:rsid w:val="1101195E"/>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3C77A9D"/>
    <w:rsid w:val="141008D8"/>
    <w:rsid w:val="14125FE6"/>
    <w:rsid w:val="146D271E"/>
    <w:rsid w:val="14982588"/>
    <w:rsid w:val="149A5AD9"/>
    <w:rsid w:val="14A7619D"/>
    <w:rsid w:val="14EF34A9"/>
    <w:rsid w:val="150536C3"/>
    <w:rsid w:val="150C1963"/>
    <w:rsid w:val="151447A0"/>
    <w:rsid w:val="154A6454"/>
    <w:rsid w:val="15762120"/>
    <w:rsid w:val="16A8729C"/>
    <w:rsid w:val="16B33777"/>
    <w:rsid w:val="16BC70A7"/>
    <w:rsid w:val="16C6339E"/>
    <w:rsid w:val="16C97663"/>
    <w:rsid w:val="16F41113"/>
    <w:rsid w:val="172F2D79"/>
    <w:rsid w:val="17557BEF"/>
    <w:rsid w:val="17D349C1"/>
    <w:rsid w:val="18244F26"/>
    <w:rsid w:val="1830729E"/>
    <w:rsid w:val="1852128A"/>
    <w:rsid w:val="1870062C"/>
    <w:rsid w:val="18817102"/>
    <w:rsid w:val="18830A15"/>
    <w:rsid w:val="18852B28"/>
    <w:rsid w:val="188B5321"/>
    <w:rsid w:val="19932372"/>
    <w:rsid w:val="19A20DD5"/>
    <w:rsid w:val="19AE03F1"/>
    <w:rsid w:val="1A071A03"/>
    <w:rsid w:val="1A1F16AE"/>
    <w:rsid w:val="1A3B5C77"/>
    <w:rsid w:val="1A6B1B55"/>
    <w:rsid w:val="1A984BAD"/>
    <w:rsid w:val="1AB8220E"/>
    <w:rsid w:val="1AE4166C"/>
    <w:rsid w:val="1AF06CFB"/>
    <w:rsid w:val="1AF11B8D"/>
    <w:rsid w:val="1B11359C"/>
    <w:rsid w:val="1B2A271F"/>
    <w:rsid w:val="1B530544"/>
    <w:rsid w:val="1B713184"/>
    <w:rsid w:val="1BA209CF"/>
    <w:rsid w:val="1BB4777D"/>
    <w:rsid w:val="1BD75AB8"/>
    <w:rsid w:val="1C0459C2"/>
    <w:rsid w:val="1C1B3B4A"/>
    <w:rsid w:val="1C261257"/>
    <w:rsid w:val="1C88086E"/>
    <w:rsid w:val="1CCB5193"/>
    <w:rsid w:val="1D266CE1"/>
    <w:rsid w:val="1D3963AF"/>
    <w:rsid w:val="1D6A673C"/>
    <w:rsid w:val="1D9247AE"/>
    <w:rsid w:val="1DB567EC"/>
    <w:rsid w:val="1DF51A98"/>
    <w:rsid w:val="1E051CD9"/>
    <w:rsid w:val="1E3D060F"/>
    <w:rsid w:val="1E3F5F7E"/>
    <w:rsid w:val="1E3F7D2E"/>
    <w:rsid w:val="1E4134E4"/>
    <w:rsid w:val="1E5062B3"/>
    <w:rsid w:val="1E523514"/>
    <w:rsid w:val="1E714A66"/>
    <w:rsid w:val="1E802593"/>
    <w:rsid w:val="1E8B6156"/>
    <w:rsid w:val="1EA703CC"/>
    <w:rsid w:val="1EB7330C"/>
    <w:rsid w:val="1EC07EA4"/>
    <w:rsid w:val="1F0A0FF3"/>
    <w:rsid w:val="1F5771FF"/>
    <w:rsid w:val="1FD52574"/>
    <w:rsid w:val="1FE868A9"/>
    <w:rsid w:val="20034907"/>
    <w:rsid w:val="20104B3E"/>
    <w:rsid w:val="20173E4B"/>
    <w:rsid w:val="204E48BC"/>
    <w:rsid w:val="208921B3"/>
    <w:rsid w:val="20973DEB"/>
    <w:rsid w:val="20B26522"/>
    <w:rsid w:val="20B44310"/>
    <w:rsid w:val="20C44BAC"/>
    <w:rsid w:val="211116EB"/>
    <w:rsid w:val="216133FC"/>
    <w:rsid w:val="21C36564"/>
    <w:rsid w:val="21D56769"/>
    <w:rsid w:val="21E52EF3"/>
    <w:rsid w:val="21FB5D7B"/>
    <w:rsid w:val="22015E94"/>
    <w:rsid w:val="220B1C3D"/>
    <w:rsid w:val="221D1D20"/>
    <w:rsid w:val="22334A87"/>
    <w:rsid w:val="22BE6801"/>
    <w:rsid w:val="23085827"/>
    <w:rsid w:val="2326726E"/>
    <w:rsid w:val="233500BF"/>
    <w:rsid w:val="23377FF7"/>
    <w:rsid w:val="236B425F"/>
    <w:rsid w:val="236F8B8F"/>
    <w:rsid w:val="23836192"/>
    <w:rsid w:val="23901F29"/>
    <w:rsid w:val="239C0061"/>
    <w:rsid w:val="23B908A4"/>
    <w:rsid w:val="23E95BEF"/>
    <w:rsid w:val="23F70746"/>
    <w:rsid w:val="23FD0064"/>
    <w:rsid w:val="245375B0"/>
    <w:rsid w:val="24642C0A"/>
    <w:rsid w:val="248F67EE"/>
    <w:rsid w:val="24B22173"/>
    <w:rsid w:val="24B95AD9"/>
    <w:rsid w:val="24BE24DA"/>
    <w:rsid w:val="24CF5825"/>
    <w:rsid w:val="24D663E6"/>
    <w:rsid w:val="24D77F2B"/>
    <w:rsid w:val="25152081"/>
    <w:rsid w:val="258B00E2"/>
    <w:rsid w:val="25A917A6"/>
    <w:rsid w:val="25AD2C17"/>
    <w:rsid w:val="25BE27CC"/>
    <w:rsid w:val="25F74A5C"/>
    <w:rsid w:val="2628662C"/>
    <w:rsid w:val="262D45DE"/>
    <w:rsid w:val="26663631"/>
    <w:rsid w:val="26676136"/>
    <w:rsid w:val="26871DC8"/>
    <w:rsid w:val="26A53EF9"/>
    <w:rsid w:val="26A94201"/>
    <w:rsid w:val="26AC274F"/>
    <w:rsid w:val="26E51CC1"/>
    <w:rsid w:val="26EA4592"/>
    <w:rsid w:val="27044A29"/>
    <w:rsid w:val="271D34C8"/>
    <w:rsid w:val="276142BF"/>
    <w:rsid w:val="27783712"/>
    <w:rsid w:val="27907362"/>
    <w:rsid w:val="28333E1D"/>
    <w:rsid w:val="28454BD6"/>
    <w:rsid w:val="28455253"/>
    <w:rsid w:val="28551971"/>
    <w:rsid w:val="285B1C53"/>
    <w:rsid w:val="285E14BB"/>
    <w:rsid w:val="289F7086"/>
    <w:rsid w:val="28C32028"/>
    <w:rsid w:val="28CC490F"/>
    <w:rsid w:val="28DE40AA"/>
    <w:rsid w:val="29121C13"/>
    <w:rsid w:val="29345E77"/>
    <w:rsid w:val="294C65AD"/>
    <w:rsid w:val="2978138E"/>
    <w:rsid w:val="29806583"/>
    <w:rsid w:val="298B3C4C"/>
    <w:rsid w:val="2998358C"/>
    <w:rsid w:val="29F26D24"/>
    <w:rsid w:val="2A15033F"/>
    <w:rsid w:val="2A1662C1"/>
    <w:rsid w:val="2A1C7367"/>
    <w:rsid w:val="2A2815FA"/>
    <w:rsid w:val="2A6D6092"/>
    <w:rsid w:val="2A7D76B4"/>
    <w:rsid w:val="2B3B360F"/>
    <w:rsid w:val="2B437463"/>
    <w:rsid w:val="2B7807EE"/>
    <w:rsid w:val="2BA50BF7"/>
    <w:rsid w:val="2BBF00EC"/>
    <w:rsid w:val="2BC37CFD"/>
    <w:rsid w:val="2BD5237F"/>
    <w:rsid w:val="2BDF6BEF"/>
    <w:rsid w:val="2BE536CE"/>
    <w:rsid w:val="2BE758D9"/>
    <w:rsid w:val="2BEF8D9A"/>
    <w:rsid w:val="2BF346BB"/>
    <w:rsid w:val="2C09049E"/>
    <w:rsid w:val="2C0A653C"/>
    <w:rsid w:val="2C191F85"/>
    <w:rsid w:val="2CB52F4D"/>
    <w:rsid w:val="2CE82D6F"/>
    <w:rsid w:val="2D343236"/>
    <w:rsid w:val="2D38455E"/>
    <w:rsid w:val="2D575011"/>
    <w:rsid w:val="2DD15014"/>
    <w:rsid w:val="2DF72DE4"/>
    <w:rsid w:val="2E0220AF"/>
    <w:rsid w:val="2E4B082A"/>
    <w:rsid w:val="2E59653C"/>
    <w:rsid w:val="2E5D4E86"/>
    <w:rsid w:val="2E5D790B"/>
    <w:rsid w:val="2E9A3C18"/>
    <w:rsid w:val="2EBB0FEE"/>
    <w:rsid w:val="2EC63002"/>
    <w:rsid w:val="2F0A6B38"/>
    <w:rsid w:val="2F946CCB"/>
    <w:rsid w:val="2FD25781"/>
    <w:rsid w:val="2FDC745C"/>
    <w:rsid w:val="2FFD7934"/>
    <w:rsid w:val="3049169C"/>
    <w:rsid w:val="30733ACD"/>
    <w:rsid w:val="308C3862"/>
    <w:rsid w:val="309379D8"/>
    <w:rsid w:val="30A270F7"/>
    <w:rsid w:val="30B33C47"/>
    <w:rsid w:val="30DF1478"/>
    <w:rsid w:val="30EC586F"/>
    <w:rsid w:val="319C6071"/>
    <w:rsid w:val="31AC537E"/>
    <w:rsid w:val="31E3679B"/>
    <w:rsid w:val="31E732FD"/>
    <w:rsid w:val="32517576"/>
    <w:rsid w:val="328E671A"/>
    <w:rsid w:val="32BE5C2C"/>
    <w:rsid w:val="32FB6478"/>
    <w:rsid w:val="3316538B"/>
    <w:rsid w:val="33263B3F"/>
    <w:rsid w:val="336963EB"/>
    <w:rsid w:val="33816EEB"/>
    <w:rsid w:val="33EB55CD"/>
    <w:rsid w:val="33EC4C02"/>
    <w:rsid w:val="340D2360"/>
    <w:rsid w:val="3410665D"/>
    <w:rsid w:val="34211214"/>
    <w:rsid w:val="342E63AB"/>
    <w:rsid w:val="34950E68"/>
    <w:rsid w:val="34986E94"/>
    <w:rsid w:val="34AF62C9"/>
    <w:rsid w:val="34CB4388"/>
    <w:rsid w:val="34FA6E12"/>
    <w:rsid w:val="353A66E5"/>
    <w:rsid w:val="354D7158"/>
    <w:rsid w:val="358D5588"/>
    <w:rsid w:val="35EB88F0"/>
    <w:rsid w:val="36115B96"/>
    <w:rsid w:val="363A3B40"/>
    <w:rsid w:val="365302AE"/>
    <w:rsid w:val="36607A0A"/>
    <w:rsid w:val="366E227C"/>
    <w:rsid w:val="366F2E0D"/>
    <w:rsid w:val="367B6A5C"/>
    <w:rsid w:val="36A74ADA"/>
    <w:rsid w:val="36AD60D5"/>
    <w:rsid w:val="36B224F9"/>
    <w:rsid w:val="36EC0CC9"/>
    <w:rsid w:val="37202102"/>
    <w:rsid w:val="37342FE3"/>
    <w:rsid w:val="373F410B"/>
    <w:rsid w:val="37EE7094"/>
    <w:rsid w:val="37F2E1A6"/>
    <w:rsid w:val="38296C89"/>
    <w:rsid w:val="383002EB"/>
    <w:rsid w:val="38586797"/>
    <w:rsid w:val="385D15DF"/>
    <w:rsid w:val="38BC0149"/>
    <w:rsid w:val="38D87D1C"/>
    <w:rsid w:val="392D7C95"/>
    <w:rsid w:val="3957905D"/>
    <w:rsid w:val="39636459"/>
    <w:rsid w:val="396B7F6C"/>
    <w:rsid w:val="39817924"/>
    <w:rsid w:val="39B417A9"/>
    <w:rsid w:val="39FC5695"/>
    <w:rsid w:val="3A006D8E"/>
    <w:rsid w:val="3A3651E5"/>
    <w:rsid w:val="3A640570"/>
    <w:rsid w:val="3A744481"/>
    <w:rsid w:val="3A8C7BEF"/>
    <w:rsid w:val="3A906246"/>
    <w:rsid w:val="3B181276"/>
    <w:rsid w:val="3B2349B7"/>
    <w:rsid w:val="3B616CFF"/>
    <w:rsid w:val="3B6259F6"/>
    <w:rsid w:val="3B976654"/>
    <w:rsid w:val="3BC01EFC"/>
    <w:rsid w:val="3BCA786A"/>
    <w:rsid w:val="3BD31E2F"/>
    <w:rsid w:val="3BF15831"/>
    <w:rsid w:val="3C105946"/>
    <w:rsid w:val="3C471448"/>
    <w:rsid w:val="3C5F759A"/>
    <w:rsid w:val="3C5FA11A"/>
    <w:rsid w:val="3C6C525A"/>
    <w:rsid w:val="3CCE23CB"/>
    <w:rsid w:val="3CD17D17"/>
    <w:rsid w:val="3CDA7D58"/>
    <w:rsid w:val="3CDC62D4"/>
    <w:rsid w:val="3CEDF2AF"/>
    <w:rsid w:val="3D1A45CC"/>
    <w:rsid w:val="3D3C7F39"/>
    <w:rsid w:val="3D440F09"/>
    <w:rsid w:val="3D4504A0"/>
    <w:rsid w:val="3D8734BB"/>
    <w:rsid w:val="3D8EF3BE"/>
    <w:rsid w:val="3D9A11D4"/>
    <w:rsid w:val="3DA16D89"/>
    <w:rsid w:val="3DA364BE"/>
    <w:rsid w:val="3DD815DA"/>
    <w:rsid w:val="3DE041CB"/>
    <w:rsid w:val="3E0D48F6"/>
    <w:rsid w:val="3E1868B4"/>
    <w:rsid w:val="3E377251"/>
    <w:rsid w:val="3E42664B"/>
    <w:rsid w:val="3E5A7334"/>
    <w:rsid w:val="3E7B5D6B"/>
    <w:rsid w:val="3E843E66"/>
    <w:rsid w:val="3E8F1850"/>
    <w:rsid w:val="3E8F51FE"/>
    <w:rsid w:val="3E926F87"/>
    <w:rsid w:val="3E9A59DE"/>
    <w:rsid w:val="3EAF4836"/>
    <w:rsid w:val="3EC33DFA"/>
    <w:rsid w:val="3EFB8030"/>
    <w:rsid w:val="3F060E16"/>
    <w:rsid w:val="3F1D1096"/>
    <w:rsid w:val="3F2F0234"/>
    <w:rsid w:val="3F6363FE"/>
    <w:rsid w:val="3F756B8F"/>
    <w:rsid w:val="3F95482B"/>
    <w:rsid w:val="3FBBB13B"/>
    <w:rsid w:val="4019356B"/>
    <w:rsid w:val="402B55A8"/>
    <w:rsid w:val="40592157"/>
    <w:rsid w:val="406E1CAE"/>
    <w:rsid w:val="408C0409"/>
    <w:rsid w:val="40A0133A"/>
    <w:rsid w:val="40C31A53"/>
    <w:rsid w:val="40FF545D"/>
    <w:rsid w:val="410067C8"/>
    <w:rsid w:val="41111B6B"/>
    <w:rsid w:val="41766CF7"/>
    <w:rsid w:val="418F0D2A"/>
    <w:rsid w:val="41A33A6C"/>
    <w:rsid w:val="41D01505"/>
    <w:rsid w:val="424010B3"/>
    <w:rsid w:val="42474939"/>
    <w:rsid w:val="424C3C57"/>
    <w:rsid w:val="42613FF3"/>
    <w:rsid w:val="42660D96"/>
    <w:rsid w:val="428667D2"/>
    <w:rsid w:val="42CD1CE0"/>
    <w:rsid w:val="42E1381E"/>
    <w:rsid w:val="42ED6459"/>
    <w:rsid w:val="42FE58DD"/>
    <w:rsid w:val="43174B3D"/>
    <w:rsid w:val="43342EA7"/>
    <w:rsid w:val="434B790E"/>
    <w:rsid w:val="4360274F"/>
    <w:rsid w:val="43977AB6"/>
    <w:rsid w:val="43A3342B"/>
    <w:rsid w:val="43C77C27"/>
    <w:rsid w:val="43DE09EE"/>
    <w:rsid w:val="44002FAD"/>
    <w:rsid w:val="4433701F"/>
    <w:rsid w:val="44631F99"/>
    <w:rsid w:val="449101DD"/>
    <w:rsid w:val="44DE1391"/>
    <w:rsid w:val="451B225C"/>
    <w:rsid w:val="452410C9"/>
    <w:rsid w:val="45317DFB"/>
    <w:rsid w:val="45601EAE"/>
    <w:rsid w:val="45631853"/>
    <w:rsid w:val="456D3CE4"/>
    <w:rsid w:val="4579042C"/>
    <w:rsid w:val="457F0571"/>
    <w:rsid w:val="45851176"/>
    <w:rsid w:val="45C63B94"/>
    <w:rsid w:val="460E7DA5"/>
    <w:rsid w:val="46422483"/>
    <w:rsid w:val="4659254A"/>
    <w:rsid w:val="465B0637"/>
    <w:rsid w:val="465E3F0D"/>
    <w:rsid w:val="466A16E6"/>
    <w:rsid w:val="46893F2B"/>
    <w:rsid w:val="46C4686E"/>
    <w:rsid w:val="46CE0C5D"/>
    <w:rsid w:val="477B778F"/>
    <w:rsid w:val="478203EC"/>
    <w:rsid w:val="47B025FA"/>
    <w:rsid w:val="4809698F"/>
    <w:rsid w:val="4811697D"/>
    <w:rsid w:val="485418DC"/>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4424D7"/>
    <w:rsid w:val="4AAA53FD"/>
    <w:rsid w:val="4AB82D0F"/>
    <w:rsid w:val="4AC32699"/>
    <w:rsid w:val="4AEB7664"/>
    <w:rsid w:val="4AFD7C19"/>
    <w:rsid w:val="4B0567D1"/>
    <w:rsid w:val="4B15132F"/>
    <w:rsid w:val="4B236AAE"/>
    <w:rsid w:val="4B707271"/>
    <w:rsid w:val="4B870FED"/>
    <w:rsid w:val="4B9739F7"/>
    <w:rsid w:val="4BEE2503"/>
    <w:rsid w:val="4C245A30"/>
    <w:rsid w:val="4CB6685F"/>
    <w:rsid w:val="4CC367FE"/>
    <w:rsid w:val="4D077F3C"/>
    <w:rsid w:val="4D123355"/>
    <w:rsid w:val="4D2A3B31"/>
    <w:rsid w:val="4D312C52"/>
    <w:rsid w:val="4D905305"/>
    <w:rsid w:val="4D964A72"/>
    <w:rsid w:val="4D9C1254"/>
    <w:rsid w:val="4DE86773"/>
    <w:rsid w:val="4E4053C2"/>
    <w:rsid w:val="4E793892"/>
    <w:rsid w:val="4E800872"/>
    <w:rsid w:val="4EC569ED"/>
    <w:rsid w:val="4ED50EA1"/>
    <w:rsid w:val="4ED79385"/>
    <w:rsid w:val="4EEC050C"/>
    <w:rsid w:val="4EEFDA9A"/>
    <w:rsid w:val="4F104EC3"/>
    <w:rsid w:val="4F47354A"/>
    <w:rsid w:val="4F8D1C8E"/>
    <w:rsid w:val="4F911C54"/>
    <w:rsid w:val="4FE625E0"/>
    <w:rsid w:val="4FFD312D"/>
    <w:rsid w:val="5021480F"/>
    <w:rsid w:val="504968C3"/>
    <w:rsid w:val="50962ECB"/>
    <w:rsid w:val="50A42E38"/>
    <w:rsid w:val="50A4577F"/>
    <w:rsid w:val="50B73D1F"/>
    <w:rsid w:val="50BD5BC9"/>
    <w:rsid w:val="50C11EEE"/>
    <w:rsid w:val="50E97CFC"/>
    <w:rsid w:val="50FA4028"/>
    <w:rsid w:val="510D65B7"/>
    <w:rsid w:val="511157AB"/>
    <w:rsid w:val="5142540C"/>
    <w:rsid w:val="5179479F"/>
    <w:rsid w:val="518832C8"/>
    <w:rsid w:val="519D3C50"/>
    <w:rsid w:val="51A0432A"/>
    <w:rsid w:val="51A86090"/>
    <w:rsid w:val="51B7396D"/>
    <w:rsid w:val="520C74BE"/>
    <w:rsid w:val="522E4CC3"/>
    <w:rsid w:val="523D5A2A"/>
    <w:rsid w:val="5244713B"/>
    <w:rsid w:val="52615633"/>
    <w:rsid w:val="526F4DE4"/>
    <w:rsid w:val="52977FD4"/>
    <w:rsid w:val="52A25790"/>
    <w:rsid w:val="52A96B6F"/>
    <w:rsid w:val="52B45975"/>
    <w:rsid w:val="52D94AA4"/>
    <w:rsid w:val="52EA3A62"/>
    <w:rsid w:val="52F50BB8"/>
    <w:rsid w:val="53097272"/>
    <w:rsid w:val="53544462"/>
    <w:rsid w:val="5397158E"/>
    <w:rsid w:val="53B84F4D"/>
    <w:rsid w:val="54013861"/>
    <w:rsid w:val="54487265"/>
    <w:rsid w:val="544D6070"/>
    <w:rsid w:val="54605E1E"/>
    <w:rsid w:val="54B3506A"/>
    <w:rsid w:val="54CA0D16"/>
    <w:rsid w:val="54DD4057"/>
    <w:rsid w:val="54E7490F"/>
    <w:rsid w:val="54F348BC"/>
    <w:rsid w:val="550764A4"/>
    <w:rsid w:val="550B2BF6"/>
    <w:rsid w:val="55214EB5"/>
    <w:rsid w:val="55364EFD"/>
    <w:rsid w:val="555D4828"/>
    <w:rsid w:val="557A4C8B"/>
    <w:rsid w:val="558931E1"/>
    <w:rsid w:val="5591713A"/>
    <w:rsid w:val="55923347"/>
    <w:rsid w:val="55925180"/>
    <w:rsid w:val="55983B1B"/>
    <w:rsid w:val="55A8376B"/>
    <w:rsid w:val="55DC29B6"/>
    <w:rsid w:val="55DD4241"/>
    <w:rsid w:val="56471638"/>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2A7C7B"/>
    <w:rsid w:val="5A2F12D9"/>
    <w:rsid w:val="5A3E2560"/>
    <w:rsid w:val="5A5D3B6E"/>
    <w:rsid w:val="5A637A76"/>
    <w:rsid w:val="5A6D33BA"/>
    <w:rsid w:val="5A792B1F"/>
    <w:rsid w:val="5A874767"/>
    <w:rsid w:val="5AA17199"/>
    <w:rsid w:val="5AA85BE2"/>
    <w:rsid w:val="5AAD6F28"/>
    <w:rsid w:val="5AD63A24"/>
    <w:rsid w:val="5B2E1A1D"/>
    <w:rsid w:val="5B843A1C"/>
    <w:rsid w:val="5B873E3F"/>
    <w:rsid w:val="5BC26006"/>
    <w:rsid w:val="5C02690E"/>
    <w:rsid w:val="5C196DA7"/>
    <w:rsid w:val="5C2A048C"/>
    <w:rsid w:val="5C80234E"/>
    <w:rsid w:val="5C8A680C"/>
    <w:rsid w:val="5CDA8A0C"/>
    <w:rsid w:val="5D0C4701"/>
    <w:rsid w:val="5D0F0395"/>
    <w:rsid w:val="5D221076"/>
    <w:rsid w:val="5D397964"/>
    <w:rsid w:val="5D5A391C"/>
    <w:rsid w:val="5D5F10C0"/>
    <w:rsid w:val="5D891B7B"/>
    <w:rsid w:val="5DAD38EE"/>
    <w:rsid w:val="5DBE9A2C"/>
    <w:rsid w:val="5E006862"/>
    <w:rsid w:val="5E0207B9"/>
    <w:rsid w:val="5E1834A1"/>
    <w:rsid w:val="5E261785"/>
    <w:rsid w:val="5E4A7017"/>
    <w:rsid w:val="5E552BBA"/>
    <w:rsid w:val="5E611C10"/>
    <w:rsid w:val="5E7A0F3F"/>
    <w:rsid w:val="5EAF9488"/>
    <w:rsid w:val="5EE43BA9"/>
    <w:rsid w:val="5EFC7377"/>
    <w:rsid w:val="5F06174D"/>
    <w:rsid w:val="5F159D89"/>
    <w:rsid w:val="5F3A3602"/>
    <w:rsid w:val="5F3F9AF8"/>
    <w:rsid w:val="5F45733B"/>
    <w:rsid w:val="5F6277C6"/>
    <w:rsid w:val="5F6D0B1D"/>
    <w:rsid w:val="5F8D0B82"/>
    <w:rsid w:val="5FCC5339"/>
    <w:rsid w:val="5FE34A5B"/>
    <w:rsid w:val="5FF7A3AB"/>
    <w:rsid w:val="5FFE1E36"/>
    <w:rsid w:val="60232584"/>
    <w:rsid w:val="607330CE"/>
    <w:rsid w:val="60825176"/>
    <w:rsid w:val="609F2AC4"/>
    <w:rsid w:val="60FA2EE8"/>
    <w:rsid w:val="610538E1"/>
    <w:rsid w:val="61054A27"/>
    <w:rsid w:val="610A52BC"/>
    <w:rsid w:val="611D2366"/>
    <w:rsid w:val="61244BA3"/>
    <w:rsid w:val="61421856"/>
    <w:rsid w:val="615227C4"/>
    <w:rsid w:val="61654E3F"/>
    <w:rsid w:val="6182292A"/>
    <w:rsid w:val="619F7F92"/>
    <w:rsid w:val="61F94C26"/>
    <w:rsid w:val="62000E56"/>
    <w:rsid w:val="62075FE3"/>
    <w:rsid w:val="624F3E49"/>
    <w:rsid w:val="62632286"/>
    <w:rsid w:val="62885958"/>
    <w:rsid w:val="62E414AD"/>
    <w:rsid w:val="62F40B65"/>
    <w:rsid w:val="62FC2CFE"/>
    <w:rsid w:val="63024505"/>
    <w:rsid w:val="635600A5"/>
    <w:rsid w:val="635B1DB5"/>
    <w:rsid w:val="63711FED"/>
    <w:rsid w:val="63880DDC"/>
    <w:rsid w:val="63886101"/>
    <w:rsid w:val="638D750D"/>
    <w:rsid w:val="63AC6CC0"/>
    <w:rsid w:val="64055776"/>
    <w:rsid w:val="64240056"/>
    <w:rsid w:val="643E143A"/>
    <w:rsid w:val="64491666"/>
    <w:rsid w:val="648B6EEF"/>
    <w:rsid w:val="64C158BF"/>
    <w:rsid w:val="64CE2EAA"/>
    <w:rsid w:val="6535616F"/>
    <w:rsid w:val="653C3090"/>
    <w:rsid w:val="653FBB0E"/>
    <w:rsid w:val="65854376"/>
    <w:rsid w:val="658767BE"/>
    <w:rsid w:val="65892531"/>
    <w:rsid w:val="66195831"/>
    <w:rsid w:val="661E5CDF"/>
    <w:rsid w:val="662E75B1"/>
    <w:rsid w:val="66342C2E"/>
    <w:rsid w:val="663E784C"/>
    <w:rsid w:val="668B6A45"/>
    <w:rsid w:val="66C040D0"/>
    <w:rsid w:val="66E225B5"/>
    <w:rsid w:val="66FE193A"/>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8E778D"/>
    <w:rsid w:val="6A9665D4"/>
    <w:rsid w:val="6ADE0BD1"/>
    <w:rsid w:val="6AE96859"/>
    <w:rsid w:val="6AF52FA4"/>
    <w:rsid w:val="6B147746"/>
    <w:rsid w:val="6B24787C"/>
    <w:rsid w:val="6B573233"/>
    <w:rsid w:val="6B5B6274"/>
    <w:rsid w:val="6B935D53"/>
    <w:rsid w:val="6C196F71"/>
    <w:rsid w:val="6C226FCB"/>
    <w:rsid w:val="6C31226F"/>
    <w:rsid w:val="6C496C32"/>
    <w:rsid w:val="6C552F0B"/>
    <w:rsid w:val="6C8C67B7"/>
    <w:rsid w:val="6C9D744C"/>
    <w:rsid w:val="6D167928"/>
    <w:rsid w:val="6D26299B"/>
    <w:rsid w:val="6D4772EC"/>
    <w:rsid w:val="6D8E4F15"/>
    <w:rsid w:val="6D9078AF"/>
    <w:rsid w:val="6DAA3FEF"/>
    <w:rsid w:val="6DC0172B"/>
    <w:rsid w:val="6DCB690C"/>
    <w:rsid w:val="6DD41A5B"/>
    <w:rsid w:val="6DDEB12A"/>
    <w:rsid w:val="6DF43C2E"/>
    <w:rsid w:val="6DF51CA3"/>
    <w:rsid w:val="6E6B34D4"/>
    <w:rsid w:val="6E8335BD"/>
    <w:rsid w:val="6E8E12EF"/>
    <w:rsid w:val="6E972936"/>
    <w:rsid w:val="6ED446C5"/>
    <w:rsid w:val="6F2A7D94"/>
    <w:rsid w:val="6F6049BF"/>
    <w:rsid w:val="6F8331F1"/>
    <w:rsid w:val="6FAE1A09"/>
    <w:rsid w:val="6FD75BF8"/>
    <w:rsid w:val="707723D0"/>
    <w:rsid w:val="709062B1"/>
    <w:rsid w:val="70F5661B"/>
    <w:rsid w:val="71360107"/>
    <w:rsid w:val="713B688E"/>
    <w:rsid w:val="71D43752"/>
    <w:rsid w:val="71F1796A"/>
    <w:rsid w:val="72154626"/>
    <w:rsid w:val="72262B5D"/>
    <w:rsid w:val="72283FF7"/>
    <w:rsid w:val="722E7212"/>
    <w:rsid w:val="723A0474"/>
    <w:rsid w:val="725923E4"/>
    <w:rsid w:val="72864BF7"/>
    <w:rsid w:val="729023FC"/>
    <w:rsid w:val="733F48EB"/>
    <w:rsid w:val="73C0646E"/>
    <w:rsid w:val="73FFE36C"/>
    <w:rsid w:val="742222F5"/>
    <w:rsid w:val="74476126"/>
    <w:rsid w:val="74706664"/>
    <w:rsid w:val="747F3682"/>
    <w:rsid w:val="749C4185"/>
    <w:rsid w:val="74FFBAB9"/>
    <w:rsid w:val="75067759"/>
    <w:rsid w:val="752E6DCD"/>
    <w:rsid w:val="7551380D"/>
    <w:rsid w:val="75600BE5"/>
    <w:rsid w:val="7564475C"/>
    <w:rsid w:val="7583797F"/>
    <w:rsid w:val="75BDC257"/>
    <w:rsid w:val="75D20F1D"/>
    <w:rsid w:val="75DA2C18"/>
    <w:rsid w:val="75F54412"/>
    <w:rsid w:val="761D08E0"/>
    <w:rsid w:val="765D347C"/>
    <w:rsid w:val="76826699"/>
    <w:rsid w:val="76972087"/>
    <w:rsid w:val="76C87133"/>
    <w:rsid w:val="76CD08D5"/>
    <w:rsid w:val="76DB4B92"/>
    <w:rsid w:val="77052AA4"/>
    <w:rsid w:val="77136511"/>
    <w:rsid w:val="77340A39"/>
    <w:rsid w:val="77351FD0"/>
    <w:rsid w:val="77472422"/>
    <w:rsid w:val="777F31F2"/>
    <w:rsid w:val="77D1700D"/>
    <w:rsid w:val="77EC04CC"/>
    <w:rsid w:val="77EF512B"/>
    <w:rsid w:val="783D3FBA"/>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24465"/>
    <w:rsid w:val="79F850CE"/>
    <w:rsid w:val="79FD443C"/>
    <w:rsid w:val="7A1D1975"/>
    <w:rsid w:val="7A3E5150"/>
    <w:rsid w:val="7A4670D6"/>
    <w:rsid w:val="7A534B63"/>
    <w:rsid w:val="7A615382"/>
    <w:rsid w:val="7A67303B"/>
    <w:rsid w:val="7AAB1D04"/>
    <w:rsid w:val="7AAF95BE"/>
    <w:rsid w:val="7ABA4368"/>
    <w:rsid w:val="7AD05746"/>
    <w:rsid w:val="7AE75F94"/>
    <w:rsid w:val="7B257FFD"/>
    <w:rsid w:val="7B343476"/>
    <w:rsid w:val="7B5A2978"/>
    <w:rsid w:val="7B5A7E4C"/>
    <w:rsid w:val="7B667AF9"/>
    <w:rsid w:val="7B7468F8"/>
    <w:rsid w:val="7BDF760D"/>
    <w:rsid w:val="7BEE0103"/>
    <w:rsid w:val="7C0806E0"/>
    <w:rsid w:val="7C0A0FE4"/>
    <w:rsid w:val="7C254906"/>
    <w:rsid w:val="7C590818"/>
    <w:rsid w:val="7C7C10F6"/>
    <w:rsid w:val="7C853BEA"/>
    <w:rsid w:val="7C881368"/>
    <w:rsid w:val="7C9FA4D1"/>
    <w:rsid w:val="7CAE9505"/>
    <w:rsid w:val="7CBF4B00"/>
    <w:rsid w:val="7CE27788"/>
    <w:rsid w:val="7D0C32F1"/>
    <w:rsid w:val="7D0F408D"/>
    <w:rsid w:val="7D2D83C8"/>
    <w:rsid w:val="7D491C6C"/>
    <w:rsid w:val="7D5134DE"/>
    <w:rsid w:val="7D5429C0"/>
    <w:rsid w:val="7D6E6D43"/>
    <w:rsid w:val="7DB57A34"/>
    <w:rsid w:val="7DD50545"/>
    <w:rsid w:val="7DD86F60"/>
    <w:rsid w:val="7DDF9A23"/>
    <w:rsid w:val="7DE60973"/>
    <w:rsid w:val="7DEF0916"/>
    <w:rsid w:val="7DFA687D"/>
    <w:rsid w:val="7E1E5218"/>
    <w:rsid w:val="7E6264D6"/>
    <w:rsid w:val="7E9A4E1F"/>
    <w:rsid w:val="7EA7723A"/>
    <w:rsid w:val="7EF56FBB"/>
    <w:rsid w:val="7F0768EB"/>
    <w:rsid w:val="7F143BEC"/>
    <w:rsid w:val="7F3A9001"/>
    <w:rsid w:val="7F715AF2"/>
    <w:rsid w:val="7F7C9443"/>
    <w:rsid w:val="7F7D952F"/>
    <w:rsid w:val="7F886E69"/>
    <w:rsid w:val="7F961E7F"/>
    <w:rsid w:val="7FDCF624"/>
    <w:rsid w:val="7FDF1FFF"/>
    <w:rsid w:val="7FEF7771"/>
    <w:rsid w:val="7FFD20B5"/>
    <w:rsid w:val="7FFF700B"/>
    <w:rsid w:val="9BFDE2EA"/>
    <w:rsid w:val="9D79FA82"/>
    <w:rsid w:val="A75FCF0B"/>
    <w:rsid w:val="A7F7E950"/>
    <w:rsid w:val="A9761CAF"/>
    <w:rsid w:val="AFFF0B4C"/>
    <w:rsid w:val="B35B350B"/>
    <w:rsid w:val="B7BFD184"/>
    <w:rsid w:val="BB7FA927"/>
    <w:rsid w:val="BE59B29C"/>
    <w:rsid w:val="BFD7833A"/>
    <w:rsid w:val="BFEB5CC0"/>
    <w:rsid w:val="BFF35531"/>
    <w:rsid w:val="BFFF7599"/>
    <w:rsid w:val="C2BF814F"/>
    <w:rsid w:val="C734EBED"/>
    <w:rsid w:val="C7B7CCEA"/>
    <w:rsid w:val="CD4763CE"/>
    <w:rsid w:val="CFAE2849"/>
    <w:rsid w:val="D5FB366F"/>
    <w:rsid w:val="D6FF38EA"/>
    <w:rsid w:val="D76FABD3"/>
    <w:rsid w:val="DABCA408"/>
    <w:rsid w:val="DD9F2625"/>
    <w:rsid w:val="DDAA5813"/>
    <w:rsid w:val="DDDF0996"/>
    <w:rsid w:val="DEAB83A4"/>
    <w:rsid w:val="DFD67724"/>
    <w:rsid w:val="E7DD7BCE"/>
    <w:rsid w:val="E97D2C06"/>
    <w:rsid w:val="E9FA9597"/>
    <w:rsid w:val="EADF7D94"/>
    <w:rsid w:val="EBD6A85D"/>
    <w:rsid w:val="EE79BD07"/>
    <w:rsid w:val="EFFADD25"/>
    <w:rsid w:val="F5FFD31F"/>
    <w:rsid w:val="F6755F11"/>
    <w:rsid w:val="F6FFC4CE"/>
    <w:rsid w:val="F7DFAE55"/>
    <w:rsid w:val="F7FB01EE"/>
    <w:rsid w:val="FD6FA049"/>
    <w:rsid w:val="FDD59226"/>
    <w:rsid w:val="FDF76B71"/>
    <w:rsid w:val="FEFD633F"/>
    <w:rsid w:val="FEFFE5D5"/>
    <w:rsid w:val="FF7A14A3"/>
    <w:rsid w:val="FF7F7985"/>
    <w:rsid w:val="FFAF45E8"/>
    <w:rsid w:val="FFCF1770"/>
    <w:rsid w:val="FFEF7E02"/>
    <w:rsid w:val="FFEFB01A"/>
    <w:rsid w:val="FFF54136"/>
    <w:rsid w:val="FFF75317"/>
    <w:rsid w:val="FFFEF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5">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0"/>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3"/>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0"/>
    <w:qFormat/>
    <w:uiPriority w:val="0"/>
    <w:pPr>
      <w:autoSpaceDE w:val="0"/>
      <w:autoSpaceDN w:val="0"/>
      <w:spacing w:line="360" w:lineRule="auto"/>
    </w:pPr>
    <w:rPr>
      <w:rFonts w:ascii="宋体" w:hAnsi="Arial" w:cs="Arial"/>
      <w:snapToGrid w:val="0"/>
      <w:sz w:val="24"/>
      <w:szCs w:val="21"/>
      <w:lang w:val="zh-CN"/>
    </w:rPr>
  </w:style>
  <w:style w:type="paragraph" w:customStyle="1" w:styleId="24">
    <w:name w:val="Default"/>
    <w:next w:val="1"/>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25">
    <w:name w:val="Body Text Indent"/>
    <w:basedOn w:val="1"/>
    <w:next w:val="1"/>
    <w:link w:val="26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6"/>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2"/>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9"/>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7"/>
    <w:qFormat/>
    <w:uiPriority w:val="0"/>
    <w:rPr>
      <w:b/>
      <w:bCs/>
    </w:rPr>
  </w:style>
  <w:style w:type="paragraph" w:styleId="61">
    <w:name w:val="Body Text First Indent"/>
    <w:basedOn w:val="23"/>
    <w:link w:val="321"/>
    <w:qFormat/>
    <w:uiPriority w:val="0"/>
    <w:pPr>
      <w:ind w:firstLine="420"/>
    </w:pPr>
    <w:rPr>
      <w:rFonts w:hAnsi="Calibri" w:cs="Times New Roman"/>
      <w:snapToGrid/>
      <w:szCs w:val="20"/>
    </w:rPr>
  </w:style>
  <w:style w:type="paragraph" w:styleId="62">
    <w:name w:val="Body Text First Indent 2"/>
    <w:basedOn w:val="25"/>
    <w:next w:val="61"/>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8"/>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6"/>
    <w:qFormat/>
    <w:uiPriority w:val="0"/>
    <w:rPr>
      <w:rFonts w:ascii="宋体"/>
      <w:kern w:val="2"/>
      <w:sz w:val="24"/>
      <w:szCs w:val="21"/>
      <w:lang w:val="zh-CN"/>
    </w:rPr>
  </w:style>
  <w:style w:type="character" w:customStyle="1" w:styleId="183">
    <w:name w:val="标题 9 Char"/>
    <w:link w:val="11"/>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0"/>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39"/>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8"/>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basedOn w:val="70"/>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30"/>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6"/>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6"/>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4"/>
    <w:qFormat/>
    <w:uiPriority w:val="0"/>
    <w:rPr>
      <w:rFonts w:ascii="仿宋_GB2312"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basedOn w:val="70"/>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1"/>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basedOn w:val="70"/>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0"/>
    <w:rPr>
      <w:kern w:val="2"/>
      <w:sz w:val="21"/>
      <w:szCs w:val="24"/>
    </w:rPr>
  </w:style>
  <w:style w:type="character" w:customStyle="1" w:styleId="345">
    <w:name w:val="签名 Char"/>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basedOn w:val="70"/>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0"/>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4"/>
    <w:next w:val="24"/>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4"/>
    <w:next w:val="24"/>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8"/>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0"/>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86</Pages>
  <Words>10142</Words>
  <Characters>10934</Characters>
  <Lines>279</Lines>
  <Paragraphs>78</Paragraphs>
  <TotalTime>67</TotalTime>
  <ScaleCrop>false</ScaleCrop>
  <LinksUpToDate>false</LinksUpToDate>
  <CharactersWithSpaces>11170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2021-08-14T16:22:00Z</dcterms:created>
  <dc:creator>玥</dc:creator>
  <cp:lastModifiedBy>Apple killer</cp:lastModifiedBy>
  <cp:lastPrinted>2022-01-11T19:06:00Z</cp:lastPrinted>
  <dcterms:modified xsi:type="dcterms:W3CDTF">2026-05-25T13:41:37Z</dcterms:modified>
  <dc:title>杭州市市民卡扩大发卡工程</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97F0B243B0D6EBCFD7B9BA67829C6E63_43</vt:lpwstr>
  </property>
  <property fmtid="{D5CDD505-2E9C-101B-9397-08002B2CF9AE}" pid="5" name="KSOTemplateDocerSaveRecord">
    <vt:lpwstr>eyJoZGlkIjoiODE5ZDAyNWU2ZGM4MTk2MjhkYjBkZjBkZDcyMjI2M2YiLCJ1c2VySWQiOiIyNjcyMzkzNTAifQ==</vt:lpwstr>
  </property>
</Properties>
</file>