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47F1E">
      <w:pPr>
        <w:pStyle w:val="21"/>
        <w:spacing w:line="276" w:lineRule="auto"/>
        <w:rPr>
          <w:rFonts w:hint="eastAsia" w:hAnsi="宋体" w:cs="宋体"/>
          <w:color w:val="auto"/>
          <w:sz w:val="21"/>
          <w:szCs w:val="21"/>
          <w:highlight w:val="none"/>
        </w:rPr>
      </w:pPr>
      <w:bookmarkStart w:id="70" w:name="_GoBack"/>
      <w:bookmarkEnd w:id="70"/>
    </w:p>
    <w:p w14:paraId="3EA261DC">
      <w:pPr>
        <w:pStyle w:val="21"/>
        <w:spacing w:line="276" w:lineRule="auto"/>
        <w:rPr>
          <w:rFonts w:hint="eastAsia" w:hAnsi="宋体" w:cs="宋体"/>
          <w:color w:val="auto"/>
          <w:highlight w:val="none"/>
        </w:rPr>
      </w:pPr>
    </w:p>
    <w:p w14:paraId="404A26B5">
      <w:pPr>
        <w:pStyle w:val="21"/>
        <w:spacing w:line="276" w:lineRule="auto"/>
        <w:rPr>
          <w:rFonts w:hint="eastAsia" w:hAnsi="宋体" w:cs="宋体"/>
          <w:color w:val="auto"/>
          <w:highlight w:val="none"/>
        </w:rPr>
      </w:pPr>
    </w:p>
    <w:p w14:paraId="327E8ED1">
      <w:pPr>
        <w:pStyle w:val="21"/>
        <w:spacing w:line="276" w:lineRule="auto"/>
        <w:rPr>
          <w:rFonts w:hint="eastAsia" w:hAnsi="宋体" w:cs="宋体"/>
          <w:color w:val="auto"/>
          <w:highlight w:val="none"/>
        </w:rPr>
      </w:pPr>
    </w:p>
    <w:p w14:paraId="3877C5DF">
      <w:pPr>
        <w:pStyle w:val="21"/>
        <w:spacing w:line="276" w:lineRule="auto"/>
        <w:rPr>
          <w:rFonts w:hint="eastAsia" w:hAnsi="宋体" w:cs="宋体"/>
          <w:color w:val="auto"/>
          <w:highlight w:val="none"/>
        </w:rPr>
      </w:pPr>
    </w:p>
    <w:p w14:paraId="4C94DB2E">
      <w:pPr>
        <w:pStyle w:val="21"/>
        <w:spacing w:line="276" w:lineRule="auto"/>
        <w:jc w:val="center"/>
        <w:rPr>
          <w:rFonts w:hint="eastAsia" w:hAnsi="宋体" w:cs="宋体"/>
          <w:b/>
          <w:bCs/>
          <w:color w:val="auto"/>
          <w:sz w:val="84"/>
          <w:highlight w:val="none"/>
        </w:rPr>
      </w:pPr>
      <w:r>
        <w:rPr>
          <w:rFonts w:hint="eastAsia" w:hAnsi="宋体" w:cs="宋体"/>
          <w:b/>
          <w:bCs/>
          <w:color w:val="auto"/>
          <w:sz w:val="84"/>
          <w:highlight w:val="none"/>
        </w:rPr>
        <w:t>磋  商  文  件</w:t>
      </w:r>
    </w:p>
    <w:p w14:paraId="4D276C7A">
      <w:pPr>
        <w:pStyle w:val="21"/>
        <w:spacing w:line="276" w:lineRule="auto"/>
        <w:rPr>
          <w:rFonts w:hint="eastAsia" w:hAnsi="宋体" w:cs="宋体"/>
          <w:color w:val="auto"/>
          <w:highlight w:val="none"/>
        </w:rPr>
      </w:pPr>
    </w:p>
    <w:p w14:paraId="4293A2B9">
      <w:pPr>
        <w:pStyle w:val="21"/>
        <w:spacing w:line="276" w:lineRule="auto"/>
        <w:rPr>
          <w:rFonts w:hint="eastAsia" w:hAnsi="宋体" w:cs="宋体"/>
          <w:color w:val="auto"/>
          <w:highlight w:val="none"/>
        </w:rPr>
      </w:pPr>
    </w:p>
    <w:p w14:paraId="5F900706">
      <w:pPr>
        <w:pStyle w:val="21"/>
        <w:spacing w:line="276" w:lineRule="auto"/>
        <w:rPr>
          <w:rFonts w:hint="eastAsia" w:hAnsi="宋体" w:cs="宋体"/>
          <w:color w:val="auto"/>
          <w:highlight w:val="none"/>
        </w:rPr>
      </w:pPr>
    </w:p>
    <w:p w14:paraId="21EC0BED">
      <w:pPr>
        <w:pStyle w:val="21"/>
        <w:spacing w:line="276" w:lineRule="auto"/>
        <w:rPr>
          <w:rFonts w:hint="eastAsia" w:hAnsi="宋体" w:cs="宋体"/>
          <w:color w:val="auto"/>
          <w:highlight w:val="none"/>
        </w:rPr>
      </w:pPr>
    </w:p>
    <w:p w14:paraId="7EE65473">
      <w:pPr>
        <w:pStyle w:val="21"/>
        <w:spacing w:line="276" w:lineRule="auto"/>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0634-264XZ1ZF0102</w:t>
      </w:r>
    </w:p>
    <w:p w14:paraId="29991865">
      <w:pPr>
        <w:pStyle w:val="21"/>
        <w:spacing w:line="276" w:lineRule="auto"/>
        <w:rPr>
          <w:rFonts w:hint="eastAsia" w:hAnsi="宋体" w:cs="宋体"/>
          <w:b/>
          <w:bCs/>
          <w:color w:val="auto"/>
          <w:sz w:val="32"/>
          <w:szCs w:val="32"/>
          <w:highlight w:val="none"/>
        </w:rPr>
      </w:pPr>
    </w:p>
    <w:p w14:paraId="3EBB9900">
      <w:pPr>
        <w:pStyle w:val="21"/>
        <w:spacing w:line="276" w:lineRule="auto"/>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项目名称：</w:t>
      </w:r>
      <w:r>
        <w:rPr>
          <w:rFonts w:hint="eastAsia" w:hAnsi="宋体" w:cs="宋体"/>
          <w:b/>
          <w:bCs/>
          <w:color w:val="auto"/>
          <w:sz w:val="32"/>
          <w:szCs w:val="32"/>
          <w:highlight w:val="none"/>
          <w:lang w:eastAsia="zh-CN"/>
        </w:rPr>
        <w:t>新疆维吾尔自治区交通运输综合行政执法局网络与信息安全测评及机房、办公设备维护服务项目</w:t>
      </w:r>
    </w:p>
    <w:p w14:paraId="6E0F69C6">
      <w:pPr>
        <w:pStyle w:val="21"/>
        <w:spacing w:line="276" w:lineRule="auto"/>
        <w:rPr>
          <w:rFonts w:hint="eastAsia" w:hAnsi="宋体" w:cs="宋体"/>
          <w:b/>
          <w:bCs/>
          <w:color w:val="auto"/>
          <w:sz w:val="32"/>
          <w:szCs w:val="32"/>
          <w:highlight w:val="none"/>
        </w:rPr>
      </w:pPr>
    </w:p>
    <w:p w14:paraId="554E8A51">
      <w:pPr>
        <w:pStyle w:val="21"/>
        <w:spacing w:line="276" w:lineRule="auto"/>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委托单位：</w:t>
      </w:r>
      <w:r>
        <w:rPr>
          <w:rFonts w:hint="eastAsia" w:hAnsi="宋体" w:cs="宋体"/>
          <w:b/>
          <w:bCs/>
          <w:color w:val="auto"/>
          <w:sz w:val="32"/>
          <w:szCs w:val="32"/>
          <w:highlight w:val="none"/>
          <w:lang w:eastAsia="zh-CN"/>
        </w:rPr>
        <w:t>新疆维吾尔自治区交通运输综合行政执法局</w:t>
      </w:r>
    </w:p>
    <w:p w14:paraId="3E1C2D72">
      <w:pPr>
        <w:pStyle w:val="21"/>
        <w:spacing w:line="276" w:lineRule="auto"/>
        <w:rPr>
          <w:rFonts w:hint="eastAsia" w:hAnsi="宋体" w:cs="宋体"/>
          <w:b/>
          <w:bCs/>
          <w:color w:val="auto"/>
          <w:sz w:val="32"/>
          <w:szCs w:val="32"/>
          <w:highlight w:val="none"/>
        </w:rPr>
      </w:pPr>
    </w:p>
    <w:p w14:paraId="7C1F6A12">
      <w:pPr>
        <w:pStyle w:val="21"/>
        <w:spacing w:line="276" w:lineRule="auto"/>
        <w:rPr>
          <w:rFonts w:hint="eastAsia" w:hAnsi="宋体" w:cs="宋体"/>
          <w:b/>
          <w:bCs/>
          <w:color w:val="auto"/>
          <w:sz w:val="32"/>
          <w:szCs w:val="32"/>
          <w:highlight w:val="none"/>
        </w:rPr>
      </w:pPr>
      <w:r>
        <w:rPr>
          <w:rFonts w:hint="eastAsia" w:hAnsi="宋体" w:cs="宋体"/>
          <w:b/>
          <w:bCs/>
          <w:color w:val="auto"/>
          <w:sz w:val="32"/>
          <w:szCs w:val="32"/>
          <w:highlight w:val="none"/>
        </w:rPr>
        <w:t>采购代理：新疆招标有限公司</w:t>
      </w:r>
    </w:p>
    <w:p w14:paraId="3C811E2F">
      <w:pPr>
        <w:pStyle w:val="21"/>
        <w:spacing w:line="276" w:lineRule="auto"/>
        <w:rPr>
          <w:rFonts w:hint="eastAsia" w:hAnsi="宋体" w:cs="宋体"/>
          <w:color w:val="auto"/>
          <w:highlight w:val="none"/>
        </w:rPr>
      </w:pPr>
    </w:p>
    <w:p w14:paraId="6A6EC970">
      <w:pPr>
        <w:pStyle w:val="21"/>
        <w:spacing w:line="276" w:lineRule="auto"/>
        <w:rPr>
          <w:rFonts w:hint="eastAsia" w:hAnsi="宋体" w:cs="宋体"/>
          <w:color w:val="auto"/>
          <w:highlight w:val="none"/>
        </w:rPr>
      </w:pPr>
    </w:p>
    <w:tbl>
      <w:tblPr>
        <w:tblStyle w:val="38"/>
        <w:tblW w:w="9963"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51B8DD9E">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9963" w:type="dxa"/>
          </w:tcPr>
          <w:p w14:paraId="7111EC53">
            <w:pPr>
              <w:pStyle w:val="21"/>
              <w:spacing w:line="276" w:lineRule="auto"/>
              <w:rPr>
                <w:rFonts w:hint="eastAsia" w:hAnsi="宋体" w:cs="宋体"/>
                <w:color w:val="auto"/>
                <w:highlight w:val="none"/>
              </w:rPr>
            </w:pPr>
          </w:p>
        </w:tc>
      </w:tr>
    </w:tbl>
    <w:p w14:paraId="6D3D8A62">
      <w:pPr>
        <w:spacing w:line="276" w:lineRule="auto"/>
        <w:jc w:val="center"/>
        <w:rPr>
          <w:rFonts w:hint="eastAsia" w:ascii="宋体" w:hAnsi="宋体" w:cs="宋体"/>
          <w:b/>
          <w:color w:val="auto"/>
          <w:sz w:val="24"/>
          <w:highlight w:val="none"/>
        </w:rPr>
      </w:pPr>
      <w:r>
        <w:rPr>
          <w:rFonts w:hint="eastAsia" w:ascii="宋体" w:hAnsi="宋体" w:cs="宋体"/>
          <w:b/>
          <w:color w:val="auto"/>
          <w:sz w:val="24"/>
          <w:highlight w:val="none"/>
        </w:rPr>
        <w:t>新疆招标有限公司编制</w:t>
      </w:r>
    </w:p>
    <w:p w14:paraId="64BA1467">
      <w:pPr>
        <w:spacing w:line="276" w:lineRule="auto"/>
        <w:jc w:val="center"/>
        <w:rPr>
          <w:rFonts w:hint="eastAsia"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36"/>
          <w:highlight w:val="none"/>
        </w:rPr>
        <w:t>目     录</w:t>
      </w:r>
    </w:p>
    <w:p w14:paraId="77A0C8E9">
      <w:pPr>
        <w:pStyle w:val="28"/>
        <w:tabs>
          <w:tab w:val="right" w:leader="dot" w:pos="9737"/>
        </w:tabs>
        <w:spacing w:line="276" w:lineRule="auto"/>
        <w:rPr>
          <w:rFonts w:hint="eastAsia" w:ascii="宋体" w:hAnsi="宋体" w:cs="宋体"/>
          <w:color w:val="auto"/>
          <w:szCs w:val="22"/>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"_Toc83726728" </w:instrText>
      </w:r>
      <w:r>
        <w:rPr>
          <w:rFonts w:hint="eastAsia" w:ascii="宋体" w:hAnsi="宋体" w:cs="宋体"/>
          <w:color w:val="auto"/>
          <w:highlight w:val="none"/>
        </w:rPr>
        <w:fldChar w:fldCharType="separate"/>
      </w:r>
      <w:r>
        <w:rPr>
          <w:rStyle w:val="45"/>
          <w:rFonts w:hint="eastAsia" w:ascii="宋体" w:hAnsi="宋体" w:cs="宋体"/>
          <w:color w:val="auto"/>
          <w:highlight w:val="none"/>
        </w:rPr>
        <w:t>第一部分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_Toc83726728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ACBFD4">
      <w:pPr>
        <w:pStyle w:val="28"/>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"_Toc83726729" </w:instrText>
      </w:r>
      <w:r>
        <w:rPr>
          <w:rFonts w:hint="eastAsia" w:ascii="宋体" w:hAnsi="宋体" w:cs="宋体"/>
          <w:color w:val="auto"/>
          <w:highlight w:val="none"/>
        </w:rPr>
        <w:fldChar w:fldCharType="separate"/>
      </w:r>
      <w:r>
        <w:rPr>
          <w:rStyle w:val="45"/>
          <w:rFonts w:hint="eastAsia" w:ascii="宋体" w:hAnsi="宋体" w:cs="宋体"/>
          <w:color w:val="auto"/>
          <w:highlight w:val="none"/>
        </w:rPr>
        <w:t>第二部分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_Toc83726729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47EE80">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"_Toc83726730" </w:instrText>
      </w:r>
      <w:r>
        <w:rPr>
          <w:rFonts w:hint="eastAsia" w:ascii="宋体" w:hAnsi="宋体" w:cs="宋体"/>
          <w:color w:val="auto"/>
          <w:highlight w:val="none"/>
        </w:rPr>
        <w:fldChar w:fldCharType="separate"/>
      </w:r>
      <w:r>
        <w:rPr>
          <w:rStyle w:val="45"/>
          <w:rFonts w:hint="eastAsia" w:ascii="宋体" w:hAnsi="宋体" w:cs="宋体"/>
          <w:color w:val="auto"/>
          <w:highlight w:val="none"/>
        </w:rPr>
        <w:t>供应商须知附表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_Toc83726730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38936FF">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"_Toc83726731" </w:instrText>
      </w:r>
      <w:r>
        <w:rPr>
          <w:rFonts w:hint="eastAsia" w:ascii="宋体" w:hAnsi="宋体" w:cs="宋体"/>
          <w:color w:val="auto"/>
          <w:highlight w:val="none"/>
        </w:rPr>
        <w:fldChar w:fldCharType="separate"/>
      </w:r>
      <w:r>
        <w:rPr>
          <w:rStyle w:val="45"/>
          <w:rFonts w:hint="eastAsia" w:ascii="宋体" w:hAnsi="宋体" w:cs="宋体"/>
          <w:color w:val="auto"/>
          <w:highlight w:val="none"/>
        </w:rPr>
        <w:t>A  说　明</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_Toc83726731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B66D4">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"_Toc83726732" </w:instrText>
      </w:r>
      <w:r>
        <w:rPr>
          <w:rFonts w:hint="eastAsia" w:ascii="宋体" w:hAnsi="宋体" w:cs="宋体"/>
          <w:color w:val="auto"/>
          <w:highlight w:val="none"/>
        </w:rPr>
        <w:fldChar w:fldCharType="separate"/>
      </w:r>
      <w:r>
        <w:rPr>
          <w:rStyle w:val="45"/>
          <w:rFonts w:hint="eastAsia" w:ascii="宋体" w:hAnsi="宋体" w:cs="宋体"/>
          <w:color w:val="auto"/>
          <w:highlight w:val="none"/>
        </w:rPr>
        <w:t>B  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0CCD70">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"_Toc83726733" </w:instrText>
      </w:r>
      <w:r>
        <w:rPr>
          <w:rFonts w:hint="eastAsia" w:ascii="宋体" w:hAnsi="宋体" w:cs="宋体"/>
          <w:color w:val="auto"/>
          <w:highlight w:val="none"/>
        </w:rPr>
        <w:fldChar w:fldCharType="separate"/>
      </w:r>
      <w:r>
        <w:rPr>
          <w:rStyle w:val="45"/>
          <w:rFonts w:hint="eastAsia" w:ascii="宋体" w:hAnsi="宋体" w:cs="宋体"/>
          <w:color w:val="auto"/>
          <w:highlight w:val="none"/>
        </w:rPr>
        <w:t>C  磋商响应文件的编写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_Toc83726733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736B63F">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"_Toc83726734" </w:instrText>
      </w:r>
      <w:r>
        <w:rPr>
          <w:rFonts w:hint="eastAsia" w:ascii="宋体" w:hAnsi="宋体" w:cs="宋体"/>
          <w:color w:val="auto"/>
          <w:highlight w:val="none"/>
        </w:rPr>
        <w:fldChar w:fldCharType="separate"/>
      </w:r>
      <w:r>
        <w:rPr>
          <w:rStyle w:val="45"/>
          <w:rFonts w:hint="eastAsia" w:ascii="宋体" w:hAnsi="宋体" w:cs="宋体"/>
          <w:color w:val="auto"/>
          <w:highlight w:val="none"/>
        </w:rPr>
        <w:t>D  磋商响应文件的递交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_Toc83726734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F966744">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"_Toc83726735" </w:instrText>
      </w:r>
      <w:r>
        <w:rPr>
          <w:rFonts w:hint="eastAsia" w:ascii="宋体" w:hAnsi="宋体" w:cs="宋体"/>
          <w:color w:val="auto"/>
          <w:highlight w:val="none"/>
        </w:rPr>
        <w:fldChar w:fldCharType="separate"/>
      </w:r>
      <w:r>
        <w:rPr>
          <w:rStyle w:val="45"/>
          <w:rFonts w:hint="eastAsia" w:ascii="宋体" w:hAnsi="宋体" w:cs="宋体"/>
          <w:color w:val="auto"/>
          <w:highlight w:val="none"/>
        </w:rPr>
        <w:t>E  磋商程序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_Toc83726735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E5FED15">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"_Toc83726736" </w:instrText>
      </w:r>
      <w:r>
        <w:rPr>
          <w:rFonts w:hint="eastAsia" w:ascii="宋体" w:hAnsi="宋体" w:cs="宋体"/>
          <w:color w:val="auto"/>
          <w:highlight w:val="none"/>
        </w:rPr>
        <w:fldChar w:fldCharType="separate"/>
      </w:r>
      <w:r>
        <w:rPr>
          <w:rStyle w:val="45"/>
          <w:rFonts w:hint="eastAsia" w:ascii="宋体" w:hAnsi="宋体" w:cs="宋体"/>
          <w:color w:val="auto"/>
          <w:highlight w:val="none"/>
        </w:rPr>
        <w:t>F  授予合同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_Toc83726736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7D3F01">
      <w:pPr>
        <w:pStyle w:val="31"/>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"_Toc83726737" </w:instrText>
      </w:r>
      <w:r>
        <w:rPr>
          <w:rFonts w:hint="eastAsia" w:ascii="宋体" w:hAnsi="宋体" w:cs="宋体"/>
          <w:color w:val="auto"/>
          <w:highlight w:val="none"/>
        </w:rPr>
        <w:fldChar w:fldCharType="separate"/>
      </w:r>
      <w:r>
        <w:rPr>
          <w:rStyle w:val="45"/>
          <w:rFonts w:hint="eastAsia" w:ascii="宋体" w:hAnsi="宋体" w:cs="宋体"/>
          <w:color w:val="auto"/>
          <w:highlight w:val="none"/>
        </w:rPr>
        <w:t>G  磋商失败条件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_Toc83726737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23FCBE">
      <w:pPr>
        <w:pStyle w:val="28"/>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"_Toc83726738" </w:instrText>
      </w:r>
      <w:r>
        <w:rPr>
          <w:rFonts w:hint="eastAsia" w:ascii="宋体" w:hAnsi="宋体" w:cs="宋体"/>
          <w:color w:val="auto"/>
          <w:highlight w:val="none"/>
        </w:rPr>
        <w:fldChar w:fldCharType="separate"/>
      </w:r>
      <w:r>
        <w:rPr>
          <w:rStyle w:val="45"/>
          <w:rFonts w:hint="eastAsia" w:ascii="宋体" w:hAnsi="宋体" w:cs="宋体"/>
          <w:color w:val="auto"/>
          <w:highlight w:val="none"/>
        </w:rPr>
        <w:t>第三部分  服务需求及技术要求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_Toc83726738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9F0D68B">
      <w:pPr>
        <w:pStyle w:val="28"/>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"_Toc83726739" </w:instrText>
      </w:r>
      <w:r>
        <w:rPr>
          <w:rFonts w:hint="eastAsia" w:ascii="宋体" w:hAnsi="宋体" w:cs="宋体"/>
          <w:color w:val="auto"/>
          <w:highlight w:val="none"/>
        </w:rPr>
        <w:fldChar w:fldCharType="separate"/>
      </w:r>
      <w:r>
        <w:rPr>
          <w:rStyle w:val="45"/>
          <w:rFonts w:hint="eastAsia" w:ascii="宋体" w:hAnsi="宋体" w:cs="宋体"/>
          <w:color w:val="auto"/>
          <w:highlight w:val="none"/>
        </w:rPr>
        <w:t>第四部分  合同一般条款（仅供参考）</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_Toc83726739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806977">
      <w:pPr>
        <w:pStyle w:val="28"/>
        <w:tabs>
          <w:tab w:val="right" w:leader="dot" w:pos="9737"/>
        </w:tabs>
        <w:spacing w:line="276" w:lineRule="auto"/>
        <w:rPr>
          <w:rFonts w:hint="eastAsia" w:ascii="宋体" w:hAnsi="宋体" w:cs="宋体"/>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"_Toc83726741" </w:instrText>
      </w:r>
      <w:r>
        <w:rPr>
          <w:rFonts w:hint="eastAsia" w:ascii="宋体" w:hAnsi="宋体" w:cs="宋体"/>
          <w:color w:val="auto"/>
          <w:highlight w:val="none"/>
        </w:rPr>
        <w:fldChar w:fldCharType="separate"/>
      </w:r>
      <w:r>
        <w:rPr>
          <w:rStyle w:val="45"/>
          <w:rFonts w:hint="eastAsia" w:ascii="宋体" w:hAnsi="宋体" w:cs="宋体"/>
          <w:color w:val="auto"/>
          <w:highlight w:val="none"/>
        </w:rPr>
        <w:t>第五部分　范本格式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_Toc83726741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74C024">
      <w:pPr>
        <w:pStyle w:val="28"/>
        <w:tabs>
          <w:tab w:val="right" w:leader="dot" w:pos="8541"/>
        </w:tabs>
        <w:spacing w:line="276"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fldChar w:fldCharType="end"/>
      </w:r>
    </w:p>
    <w:p w14:paraId="264BEA4E">
      <w:pPr>
        <w:pStyle w:val="3"/>
        <w:spacing w:line="276" w:lineRule="auto"/>
        <w:rPr>
          <w:rFonts w:hint="eastAsia" w:cs="宋体"/>
          <w:color w:val="auto"/>
          <w:highlight w:val="none"/>
        </w:rPr>
      </w:pPr>
      <w:r>
        <w:rPr>
          <w:rFonts w:hint="eastAsia" w:cs="宋体"/>
          <w:color w:val="auto"/>
          <w:highlight w:val="none"/>
        </w:rPr>
        <w:br w:type="page"/>
      </w:r>
      <w:bookmarkStart w:id="0" w:name="_Toc349573118"/>
      <w:bookmarkStart w:id="1" w:name="_Toc349637917"/>
      <w:bookmarkStart w:id="2" w:name="_Toc298240402"/>
      <w:bookmarkStart w:id="3" w:name="_Toc83726728"/>
      <w:r>
        <w:rPr>
          <w:rFonts w:hint="eastAsia" w:cs="宋体"/>
          <w:color w:val="auto"/>
          <w:highlight w:val="none"/>
        </w:rPr>
        <w:t xml:space="preserve">第一部分 </w:t>
      </w:r>
      <w:bookmarkEnd w:id="0"/>
      <w:bookmarkEnd w:id="1"/>
      <w:bookmarkEnd w:id="2"/>
      <w:r>
        <w:rPr>
          <w:rFonts w:hint="eastAsia" w:cs="宋体"/>
          <w:color w:val="auto"/>
          <w:highlight w:val="none"/>
        </w:rPr>
        <w:t>磋商公告</w:t>
      </w:r>
      <w:bookmarkEnd w:id="3"/>
    </w:p>
    <w:p w14:paraId="04AC30A0">
      <w:pPr>
        <w:spacing w:line="276" w:lineRule="auto"/>
        <w:contextualSpacing/>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新疆维吾尔自治区交通运输综合行政执法局网络与信息安全测评及机房、办公设备维护服务项目</w:t>
      </w:r>
    </w:p>
    <w:p w14:paraId="2A77A4E8">
      <w:pPr>
        <w:spacing w:line="276" w:lineRule="auto"/>
        <w:contextualSpacing/>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0634-264XZ1ZF0102</w:t>
      </w:r>
    </w:p>
    <w:p w14:paraId="0B204A93">
      <w:pPr>
        <w:pStyle w:val="70"/>
        <w:spacing w:line="276" w:lineRule="auto"/>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新疆招标有限公司受</w:t>
      </w:r>
      <w:r>
        <w:rPr>
          <w:rFonts w:hint="eastAsia" w:ascii="宋体" w:hAnsi="宋体" w:cs="宋体"/>
          <w:color w:val="auto"/>
          <w:sz w:val="24"/>
          <w:szCs w:val="24"/>
          <w:highlight w:val="none"/>
          <w:lang w:eastAsia="zh-CN"/>
        </w:rPr>
        <w:t>新疆维吾尔自治区交通运输综合行政执法局</w:t>
      </w:r>
      <w:r>
        <w:rPr>
          <w:rFonts w:hint="eastAsia" w:ascii="宋体" w:hAnsi="宋体" w:cs="宋体"/>
          <w:color w:val="auto"/>
          <w:sz w:val="24"/>
          <w:szCs w:val="24"/>
          <w:highlight w:val="none"/>
        </w:rPr>
        <w:t>的委托，对</w:t>
      </w:r>
      <w:r>
        <w:rPr>
          <w:rFonts w:hint="eastAsia" w:ascii="宋体" w:hAnsi="宋体" w:cs="宋体"/>
          <w:color w:val="auto"/>
          <w:sz w:val="24"/>
          <w:szCs w:val="24"/>
          <w:highlight w:val="none"/>
          <w:u w:val="single"/>
          <w:lang w:eastAsia="zh-CN"/>
        </w:rPr>
        <w:t>新疆维吾尔自治区交通运输综合行政执法局网络与信息安全测评及机房、办公设备维护服务项目</w:t>
      </w:r>
      <w:r>
        <w:rPr>
          <w:rFonts w:hint="eastAsia" w:ascii="宋体" w:hAnsi="宋体" w:cs="宋体"/>
          <w:color w:val="auto"/>
          <w:sz w:val="24"/>
          <w:szCs w:val="24"/>
          <w:highlight w:val="none"/>
        </w:rPr>
        <w:t>组织竞争性磋商采购。兹邀请合格供应商以加密电子标书的形式前来磋商。</w:t>
      </w:r>
    </w:p>
    <w:p w14:paraId="7C94794B">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1、项目概况</w:t>
      </w:r>
    </w:p>
    <w:p w14:paraId="0C5096ED">
      <w:pPr>
        <w:pStyle w:val="70"/>
        <w:spacing w:line="276" w:lineRule="auto"/>
        <w:ind w:firstLine="480"/>
        <w:contextualSpacing/>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内容：对自治区交通运输综合行政执法局的新疆交通运输执法综合管理信息系统、新疆治超联网管理信息系统、大件运输许可审批系统、工程质量监督执法支队信息化系统共4个业务系统开展网络安全等级保护测评及渗透测试服务；同时配备两名驻场运维工程师，</w:t>
      </w:r>
      <w:r>
        <w:rPr>
          <w:rFonts w:hint="eastAsia" w:ascii="宋体" w:hAnsi="宋体" w:cs="宋体"/>
          <w:color w:val="auto"/>
          <w:sz w:val="24"/>
          <w:szCs w:val="24"/>
          <w:highlight w:val="none"/>
          <w:lang w:eastAsia="zh-CN"/>
        </w:rPr>
        <w:t>分别</w:t>
      </w:r>
      <w:r>
        <w:rPr>
          <w:rFonts w:hint="eastAsia" w:ascii="宋体" w:hAnsi="宋体" w:cs="宋体"/>
          <w:color w:val="auto"/>
          <w:sz w:val="24"/>
          <w:szCs w:val="24"/>
          <w:highlight w:val="none"/>
        </w:rPr>
        <w:t>为执法局提供网络安全驻场运维</w:t>
      </w:r>
      <w:r>
        <w:rPr>
          <w:rFonts w:hint="eastAsia" w:ascii="宋体" w:hAnsi="宋体" w:cs="宋体"/>
          <w:color w:val="auto"/>
          <w:sz w:val="24"/>
          <w:szCs w:val="24"/>
          <w:highlight w:val="none"/>
          <w:lang w:eastAsia="zh-CN"/>
        </w:rPr>
        <w:t>和机房办公设备运维</w:t>
      </w: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en-US" w:eastAsia="zh-CN"/>
        </w:rPr>
        <w:t>详见</w:t>
      </w:r>
      <w:r>
        <w:rPr>
          <w:rFonts w:hint="eastAsia" w:ascii="宋体" w:hAnsi="宋体" w:cs="宋体"/>
          <w:color w:val="auto"/>
          <w:sz w:val="24"/>
          <w:szCs w:val="24"/>
          <w:highlight w:val="none"/>
        </w:rPr>
        <w:t>第三部分  服务需求及技术要求</w:t>
      </w:r>
      <w:r>
        <w:rPr>
          <w:rFonts w:hint="eastAsia" w:ascii="宋体" w:hAnsi="宋体" w:cs="宋体"/>
          <w:color w:val="auto"/>
          <w:sz w:val="24"/>
          <w:szCs w:val="24"/>
          <w:highlight w:val="none"/>
          <w:lang w:eastAsia="zh-CN"/>
        </w:rPr>
        <w:t>。</w:t>
      </w:r>
    </w:p>
    <w:p w14:paraId="43953FA4">
      <w:pPr>
        <w:pStyle w:val="70"/>
        <w:spacing w:line="276" w:lineRule="auto"/>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55.4万元</w:t>
      </w:r>
      <w:r>
        <w:rPr>
          <w:rFonts w:hint="eastAsia" w:ascii="宋体" w:hAnsi="宋体" w:cs="宋体"/>
          <w:color w:val="auto"/>
          <w:sz w:val="24"/>
          <w:szCs w:val="24"/>
          <w:highlight w:val="none"/>
        </w:rPr>
        <w:t>。</w:t>
      </w:r>
    </w:p>
    <w:p w14:paraId="224BECF3">
      <w:pPr>
        <w:pStyle w:val="70"/>
        <w:spacing w:line="276" w:lineRule="auto"/>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合同履行期限（交付期）：合同签订之日起一年</w:t>
      </w:r>
    </w:p>
    <w:p w14:paraId="47182675">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2、项目已经主管部门审批。</w:t>
      </w:r>
    </w:p>
    <w:p w14:paraId="3B9E8728">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3、供应商的资格要求：</w:t>
      </w:r>
    </w:p>
    <w:p w14:paraId="481E93BF">
      <w:pPr>
        <w:pStyle w:val="70"/>
        <w:spacing w:line="276" w:lineRule="auto"/>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3.1符合《中华人民共和国政府采购法》第二十二条规定条件；</w:t>
      </w:r>
    </w:p>
    <w:p w14:paraId="1E62C7E5">
      <w:pPr>
        <w:pStyle w:val="70"/>
        <w:spacing w:line="276" w:lineRule="auto"/>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3.2落实政府采购政策需满足的资格要求：</w:t>
      </w:r>
      <w:r>
        <w:rPr>
          <w:rFonts w:hint="eastAsia" w:ascii="宋体" w:hAnsi="宋体" w:cs="宋体"/>
          <w:color w:val="auto"/>
          <w:sz w:val="24"/>
          <w:szCs w:val="24"/>
          <w:highlight w:val="none"/>
          <w:lang w:eastAsia="zh-CN"/>
        </w:rPr>
        <w:t>本项目专门面向中小企业</w:t>
      </w:r>
      <w:r>
        <w:rPr>
          <w:rFonts w:hint="eastAsia" w:ascii="宋体" w:hAnsi="宋体" w:cs="宋体"/>
          <w:color w:val="auto"/>
          <w:sz w:val="24"/>
          <w:szCs w:val="24"/>
          <w:highlight w:val="none"/>
        </w:rPr>
        <w:t>；</w:t>
      </w:r>
    </w:p>
    <w:p w14:paraId="7439F991">
      <w:pPr>
        <w:pStyle w:val="70"/>
        <w:spacing w:line="276" w:lineRule="auto"/>
        <w:ind w:firstLine="0" w:firstLineChars="0"/>
        <w:contextualSpacing/>
        <w:rPr>
          <w:rFonts w:hint="eastAsia" w:ascii="宋体" w:hAnsi="宋体" w:cs="宋体"/>
          <w:color w:val="auto"/>
          <w:sz w:val="24"/>
          <w:szCs w:val="20"/>
          <w:highlight w:val="none"/>
          <w:lang w:val="zh-CN"/>
        </w:rPr>
      </w:pPr>
      <w:r>
        <w:rPr>
          <w:rFonts w:hint="eastAsia" w:ascii="宋体" w:hAnsi="宋体" w:cs="宋体"/>
          <w:color w:val="auto"/>
          <w:sz w:val="24"/>
          <w:szCs w:val="24"/>
          <w:highlight w:val="none"/>
        </w:rPr>
        <w:t>3.3本项目的特定资格要求：</w:t>
      </w:r>
      <w:r>
        <w:rPr>
          <w:rFonts w:hint="eastAsia" w:ascii="宋体" w:hAnsi="宋体" w:cs="宋体"/>
          <w:color w:val="auto"/>
          <w:sz w:val="24"/>
          <w:szCs w:val="20"/>
          <w:highlight w:val="none"/>
          <w:lang w:val="en-US" w:eastAsia="zh-CN"/>
        </w:rPr>
        <w:t>/</w:t>
      </w:r>
      <w:r>
        <w:rPr>
          <w:rFonts w:hint="eastAsia" w:ascii="宋体" w:hAnsi="宋体" w:cs="宋体"/>
          <w:color w:val="auto"/>
          <w:sz w:val="24"/>
          <w:szCs w:val="20"/>
          <w:highlight w:val="none"/>
          <w:lang w:val="zh-CN"/>
        </w:rPr>
        <w:t>。</w:t>
      </w:r>
    </w:p>
    <w:p w14:paraId="701A879F">
      <w:pPr>
        <w:pStyle w:val="70"/>
        <w:spacing w:line="276" w:lineRule="auto"/>
        <w:ind w:firstLine="0" w:firstLineChars="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4、本项目不接受联合体投标。</w:t>
      </w:r>
    </w:p>
    <w:p w14:paraId="4A360E32">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 xml:space="preserve">5、获取磋商文件的时间期限、方式： </w:t>
      </w:r>
    </w:p>
    <w:p w14:paraId="3260FEB7">
      <w:pPr>
        <w:spacing w:line="276" w:lineRule="auto"/>
        <w:rPr>
          <w:rFonts w:hint="eastAsia" w:ascii="宋体" w:hAnsi="宋体" w:cs="宋体"/>
          <w:color w:val="auto"/>
          <w:sz w:val="24"/>
          <w:szCs w:val="24"/>
          <w:highlight w:val="none"/>
        </w:rPr>
      </w:pPr>
      <w:r>
        <w:rPr>
          <w:rFonts w:hint="eastAsia" w:ascii="宋体" w:hAnsi="宋体" w:cs="宋体"/>
          <w:color w:val="auto"/>
          <w:sz w:val="24"/>
          <w:highlight w:val="none"/>
        </w:rPr>
        <w:t>供应商可从2026年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日至2026年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日，每日10：00时~19：00时（北京时间）</w:t>
      </w:r>
      <w:r>
        <w:rPr>
          <w:rFonts w:hint="eastAsia" w:ascii="宋体" w:hAnsi="宋体" w:cs="宋体"/>
          <w:color w:val="auto"/>
          <w:sz w:val="24"/>
          <w:szCs w:val="24"/>
          <w:highlight w:val="none"/>
        </w:rPr>
        <w:t>在政采云平台（www.zcygov.cn）在线申请获取采购文件（进入“项目采购”应用，在获取采购文件菜单中选择项目，申请获取采购文件），过期不予受理</w:t>
      </w:r>
      <w:r>
        <w:rPr>
          <w:rFonts w:hint="eastAsia" w:ascii="宋体" w:hAnsi="宋体" w:cs="宋体"/>
          <w:color w:val="auto"/>
          <w:sz w:val="24"/>
          <w:highlight w:val="none"/>
        </w:rPr>
        <w:t>。</w:t>
      </w:r>
    </w:p>
    <w:p w14:paraId="4E2D9203">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6、公告期限：3个工作日。</w:t>
      </w:r>
    </w:p>
    <w:p w14:paraId="37322C80">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7、磋商响应截止时间、磋商开始时间：</w:t>
      </w:r>
      <w:r>
        <w:rPr>
          <w:rFonts w:hint="eastAsia" w:ascii="宋体" w:hAnsi="宋体" w:cs="宋体"/>
          <w:color w:val="auto"/>
          <w:sz w:val="24"/>
          <w:highlight w:val="none"/>
          <w:lang w:eastAsia="zh-CN"/>
        </w:rPr>
        <w:t>2026年06月15日11：00时</w:t>
      </w:r>
      <w:r>
        <w:rPr>
          <w:rFonts w:hint="eastAsia" w:ascii="宋体" w:hAnsi="宋体" w:cs="宋体"/>
          <w:color w:val="auto"/>
          <w:sz w:val="24"/>
          <w:highlight w:val="none"/>
        </w:rPr>
        <w:t>（北京时间）</w:t>
      </w:r>
    </w:p>
    <w:p w14:paraId="14CAD9D2">
      <w:pPr>
        <w:pStyle w:val="70"/>
        <w:spacing w:line="276" w:lineRule="auto"/>
        <w:ind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rPr>
        <w:t>8、磋商地点：</w:t>
      </w:r>
      <w:r>
        <w:rPr>
          <w:rFonts w:hint="eastAsia" w:ascii="宋体" w:hAnsi="宋体" w:cs="宋体"/>
          <w:color w:val="auto"/>
          <w:sz w:val="24"/>
          <w:szCs w:val="24"/>
          <w:highlight w:val="none"/>
        </w:rPr>
        <w:t>政采云线上（www.zcygov.cn）</w:t>
      </w:r>
    </w:p>
    <w:p w14:paraId="6B2FE8D7">
      <w:pPr>
        <w:spacing w:line="276" w:lineRule="auto"/>
        <w:contextualSpacing/>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新疆维吾尔自治区交通运输综合行政执法局</w:t>
      </w:r>
    </w:p>
    <w:p w14:paraId="0E45DE78">
      <w:pPr>
        <w:spacing w:line="276" w:lineRule="auto"/>
        <w:contextualSpacing/>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巴合图努尔</w:t>
      </w:r>
      <w:r>
        <w:rPr>
          <w:rFonts w:hint="eastAsia" w:ascii="宋体" w:hAnsi="宋体" w:cs="宋体"/>
          <w:color w:val="auto"/>
          <w:sz w:val="24"/>
          <w:highlight w:val="none"/>
          <w:lang w:val="en-US" w:eastAsia="zh-CN"/>
        </w:rPr>
        <w:t>·穆汗</w:t>
      </w:r>
    </w:p>
    <w:p w14:paraId="60986766">
      <w:pPr>
        <w:spacing w:line="276" w:lineRule="auto"/>
        <w:contextualSpacing/>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联系电话：0991-52816</w:t>
      </w:r>
      <w:r>
        <w:rPr>
          <w:rFonts w:hint="eastAsia" w:ascii="宋体" w:hAnsi="宋体" w:cs="宋体"/>
          <w:color w:val="auto"/>
          <w:sz w:val="24"/>
          <w:highlight w:val="none"/>
          <w:lang w:val="en-US" w:eastAsia="zh-CN"/>
        </w:rPr>
        <w:t>86</w:t>
      </w:r>
    </w:p>
    <w:p w14:paraId="055DFDD7">
      <w:pPr>
        <w:pStyle w:val="17"/>
        <w:rPr>
          <w:rFonts w:hint="eastAsia" w:ascii="宋体" w:hAnsi="宋体" w:cs="宋体"/>
          <w:color w:val="auto"/>
          <w:highlight w:val="none"/>
        </w:rPr>
      </w:pPr>
    </w:p>
    <w:p w14:paraId="27DE6D39">
      <w:pPr>
        <w:pStyle w:val="17"/>
        <w:rPr>
          <w:rFonts w:hint="eastAsia" w:ascii="宋体" w:hAnsi="宋体" w:cs="宋体"/>
          <w:color w:val="auto"/>
          <w:highlight w:val="none"/>
        </w:rPr>
      </w:pPr>
    </w:p>
    <w:p w14:paraId="3FC86917">
      <w:pPr>
        <w:spacing w:line="276"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采购代理机构名称：</w:t>
      </w:r>
      <w:r>
        <w:rPr>
          <w:rFonts w:hint="eastAsia" w:ascii="宋体" w:hAnsi="宋体" w:cs="宋体"/>
          <w:color w:val="auto"/>
          <w:sz w:val="24"/>
          <w:highlight w:val="none"/>
          <w:u w:val="single"/>
        </w:rPr>
        <w:t>新疆招标有限公司</w:t>
      </w:r>
    </w:p>
    <w:p w14:paraId="153BF126">
      <w:pPr>
        <w:spacing w:line="276"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详细地址：新疆维吾尔自治区乌鲁木齐市水磨沟区昆仑东街789号</w:t>
      </w:r>
    </w:p>
    <w:p w14:paraId="45C20EA3">
      <w:pPr>
        <w:spacing w:line="276" w:lineRule="auto"/>
        <w:contextualSpacing/>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lang w:eastAsia="zh-CN"/>
        </w:rPr>
        <w:t>1459486195</w:t>
      </w:r>
      <w:r>
        <w:rPr>
          <w:rFonts w:hint="eastAsia" w:ascii="宋体" w:hAnsi="宋体" w:cs="宋体"/>
          <w:color w:val="auto"/>
          <w:sz w:val="24"/>
          <w:highlight w:val="none"/>
          <w:u w:val="single"/>
        </w:rPr>
        <w:t>@qq.com</w:t>
      </w:r>
    </w:p>
    <w:p w14:paraId="1496FA39">
      <w:pPr>
        <w:spacing w:line="276" w:lineRule="auto"/>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霍靖萱</w:t>
      </w:r>
    </w:p>
    <w:p w14:paraId="79FB6222">
      <w:pPr>
        <w:spacing w:line="276" w:lineRule="auto"/>
        <w:contextualSpacing/>
        <w:rPr>
          <w:rFonts w:hint="eastAsia" w:ascii="宋体" w:hAnsi="宋体" w:cs="宋体"/>
          <w:color w:val="auto"/>
          <w:sz w:val="24"/>
          <w:highlight w:val="none"/>
          <w:u w:val="singl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15509945897</w:t>
      </w:r>
    </w:p>
    <w:p w14:paraId="4C24B7DF">
      <w:pPr>
        <w:pStyle w:val="17"/>
        <w:rPr>
          <w:rFonts w:hint="eastAsia" w:ascii="宋体" w:hAnsi="宋体" w:cs="宋体"/>
          <w:color w:val="auto"/>
          <w:highlight w:val="none"/>
          <w:lang w:eastAsia="zh-CN"/>
        </w:rPr>
      </w:pPr>
    </w:p>
    <w:p w14:paraId="300741FC">
      <w:pPr>
        <w:spacing w:line="276" w:lineRule="auto"/>
        <w:contextualSpacing/>
        <w:rPr>
          <w:rFonts w:hint="eastAsia" w:ascii="宋体" w:hAnsi="宋体" w:cs="宋体"/>
          <w:color w:val="auto"/>
          <w:sz w:val="24"/>
          <w:highlight w:val="none"/>
        </w:rPr>
      </w:pPr>
      <w:r>
        <w:rPr>
          <w:rFonts w:hint="eastAsia" w:ascii="宋体" w:hAnsi="宋体" w:cs="宋体"/>
          <w:color w:val="auto"/>
          <w:sz w:val="24"/>
          <w:highlight w:val="none"/>
        </w:rPr>
        <w:t>账户名称：</w:t>
      </w:r>
      <w:r>
        <w:rPr>
          <w:rFonts w:hint="eastAsia" w:ascii="宋体" w:hAnsi="宋体" w:cs="宋体"/>
          <w:color w:val="auto"/>
          <w:sz w:val="24"/>
          <w:highlight w:val="none"/>
          <w:u w:val="single"/>
        </w:rPr>
        <w:t>新疆招标有限公司</w:t>
      </w:r>
    </w:p>
    <w:p w14:paraId="11F5C163">
      <w:pPr>
        <w:spacing w:line="276"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人民币账号：</w:t>
      </w:r>
      <w:r>
        <w:rPr>
          <w:rFonts w:hint="eastAsia" w:ascii="宋体" w:hAnsi="宋体" w:cs="宋体"/>
          <w:color w:val="auto"/>
          <w:sz w:val="24"/>
          <w:highlight w:val="none"/>
          <w:u w:val="single"/>
        </w:rPr>
        <w:t>3002013709022305571（电汇时请在汇款备注栏注明招标编号）</w:t>
      </w:r>
    </w:p>
    <w:p w14:paraId="69423936">
      <w:pPr>
        <w:spacing w:line="276" w:lineRule="auto"/>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乌鲁木齐工行友好南路支行</w:t>
      </w:r>
    </w:p>
    <w:p w14:paraId="46FD141A">
      <w:pPr>
        <w:pStyle w:val="3"/>
        <w:spacing w:line="276" w:lineRule="auto"/>
        <w:rPr>
          <w:rFonts w:hint="eastAsia" w:cs="宋体"/>
          <w:color w:val="auto"/>
          <w:highlight w:val="none"/>
        </w:rPr>
      </w:pPr>
      <w:bookmarkStart w:id="4" w:name="_Toc267301280"/>
      <w:r>
        <w:rPr>
          <w:rFonts w:hint="eastAsia" w:cs="宋体"/>
          <w:color w:val="auto"/>
          <w:highlight w:val="none"/>
        </w:rPr>
        <w:br w:type="page"/>
      </w:r>
      <w:bookmarkStart w:id="5" w:name="_Toc349637918"/>
      <w:bookmarkStart w:id="6" w:name="_Toc349573119"/>
      <w:bookmarkStart w:id="7" w:name="_Toc298240403"/>
      <w:bookmarkStart w:id="8" w:name="_Toc83726729"/>
      <w:r>
        <w:rPr>
          <w:rFonts w:hint="eastAsia" w:cs="宋体"/>
          <w:color w:val="auto"/>
          <w:highlight w:val="none"/>
        </w:rPr>
        <w:t>第二部分  供应商须知</w:t>
      </w:r>
      <w:bookmarkEnd w:id="4"/>
      <w:bookmarkEnd w:id="5"/>
      <w:bookmarkEnd w:id="6"/>
      <w:bookmarkEnd w:id="7"/>
      <w:bookmarkEnd w:id="8"/>
    </w:p>
    <w:p w14:paraId="41247E2B">
      <w:pPr>
        <w:spacing w:line="276" w:lineRule="auto"/>
        <w:rPr>
          <w:rFonts w:hint="eastAsia" w:ascii="宋体" w:hAnsi="宋体" w:cs="宋体"/>
          <w:color w:val="auto"/>
          <w:sz w:val="24"/>
          <w:highlight w:val="none"/>
          <w:u w:val="single"/>
        </w:rPr>
      </w:pPr>
    </w:p>
    <w:p w14:paraId="2AAB0FEC">
      <w:pPr>
        <w:spacing w:line="276"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目    录</w:t>
      </w:r>
    </w:p>
    <w:p w14:paraId="6DDFA780">
      <w:pPr>
        <w:spacing w:line="276" w:lineRule="auto"/>
        <w:rPr>
          <w:rFonts w:hint="eastAsia" w:ascii="宋体" w:hAnsi="宋体" w:cs="宋体"/>
          <w:color w:val="auto"/>
          <w:sz w:val="24"/>
          <w:highlight w:val="none"/>
        </w:rPr>
      </w:pPr>
    </w:p>
    <w:p w14:paraId="3D3E4B9D">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说明</w:t>
      </w:r>
    </w:p>
    <w:p w14:paraId="12AEB69B">
      <w:pPr>
        <w:pStyle w:val="21"/>
        <w:spacing w:line="276" w:lineRule="auto"/>
        <w:rPr>
          <w:rFonts w:hint="eastAsia" w:hAnsi="宋体" w:cs="宋体"/>
          <w:color w:val="auto"/>
          <w:highlight w:val="none"/>
        </w:rPr>
      </w:pPr>
      <w:r>
        <w:rPr>
          <w:rFonts w:hint="eastAsia" w:hAnsi="宋体" w:cs="宋体"/>
          <w:color w:val="auto"/>
          <w:highlight w:val="none"/>
        </w:rPr>
        <w:t>1.适用范围</w:t>
      </w:r>
    </w:p>
    <w:p w14:paraId="6841605E">
      <w:pPr>
        <w:pStyle w:val="21"/>
        <w:spacing w:line="276" w:lineRule="auto"/>
        <w:rPr>
          <w:rFonts w:hint="eastAsia" w:hAnsi="宋体" w:cs="宋体"/>
          <w:color w:val="auto"/>
          <w:highlight w:val="none"/>
        </w:rPr>
      </w:pPr>
      <w:r>
        <w:rPr>
          <w:rFonts w:hint="eastAsia" w:hAnsi="宋体" w:cs="宋体"/>
          <w:color w:val="auto"/>
          <w:highlight w:val="none"/>
        </w:rPr>
        <w:t>2.定义</w:t>
      </w:r>
    </w:p>
    <w:p w14:paraId="6E6FD58B">
      <w:pPr>
        <w:pStyle w:val="21"/>
        <w:spacing w:line="276" w:lineRule="auto"/>
        <w:rPr>
          <w:rFonts w:hint="eastAsia" w:hAnsi="宋体" w:cs="宋体"/>
          <w:color w:val="auto"/>
          <w:highlight w:val="none"/>
        </w:rPr>
      </w:pPr>
      <w:r>
        <w:rPr>
          <w:rFonts w:hint="eastAsia" w:hAnsi="宋体" w:cs="宋体"/>
          <w:color w:val="auto"/>
          <w:highlight w:val="none"/>
        </w:rPr>
        <w:t>3.合格的供应商</w:t>
      </w:r>
    </w:p>
    <w:p w14:paraId="7D6A027F">
      <w:pPr>
        <w:pStyle w:val="21"/>
        <w:spacing w:line="276" w:lineRule="auto"/>
        <w:rPr>
          <w:rFonts w:hint="eastAsia" w:hAnsi="宋体" w:cs="宋体"/>
          <w:color w:val="auto"/>
          <w:highlight w:val="none"/>
        </w:rPr>
      </w:pPr>
      <w:r>
        <w:rPr>
          <w:rFonts w:hint="eastAsia" w:hAnsi="宋体" w:cs="宋体"/>
          <w:color w:val="auto"/>
          <w:highlight w:val="none"/>
        </w:rPr>
        <w:t>4.供应商资格</w:t>
      </w:r>
    </w:p>
    <w:p w14:paraId="169E5591">
      <w:pPr>
        <w:pStyle w:val="21"/>
        <w:spacing w:line="276" w:lineRule="auto"/>
        <w:rPr>
          <w:rFonts w:hint="eastAsia" w:hAnsi="宋体" w:cs="宋体"/>
          <w:color w:val="auto"/>
          <w:highlight w:val="none"/>
        </w:rPr>
      </w:pPr>
      <w:r>
        <w:rPr>
          <w:rFonts w:hint="eastAsia" w:hAnsi="宋体" w:cs="宋体"/>
          <w:color w:val="auto"/>
          <w:highlight w:val="none"/>
        </w:rPr>
        <w:t>5.磋商费用</w:t>
      </w:r>
    </w:p>
    <w:p w14:paraId="30E0FD31">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磋商文件</w:t>
      </w:r>
    </w:p>
    <w:p w14:paraId="7F8C894C">
      <w:pPr>
        <w:pStyle w:val="21"/>
        <w:spacing w:line="276" w:lineRule="auto"/>
        <w:rPr>
          <w:rFonts w:hint="eastAsia" w:hAnsi="宋体" w:cs="宋体"/>
          <w:color w:val="auto"/>
          <w:highlight w:val="none"/>
        </w:rPr>
      </w:pPr>
      <w:r>
        <w:rPr>
          <w:rFonts w:hint="eastAsia" w:hAnsi="宋体" w:cs="宋体"/>
          <w:color w:val="auto"/>
          <w:highlight w:val="none"/>
        </w:rPr>
        <w:t>6.磋商文件构成</w:t>
      </w:r>
    </w:p>
    <w:p w14:paraId="39394BFC">
      <w:pPr>
        <w:pStyle w:val="21"/>
        <w:spacing w:line="276" w:lineRule="auto"/>
        <w:rPr>
          <w:rFonts w:hint="eastAsia" w:hAnsi="宋体" w:cs="宋体"/>
          <w:color w:val="auto"/>
          <w:highlight w:val="none"/>
        </w:rPr>
      </w:pPr>
      <w:r>
        <w:rPr>
          <w:rFonts w:hint="eastAsia" w:hAnsi="宋体" w:cs="宋体"/>
          <w:color w:val="auto"/>
          <w:highlight w:val="none"/>
        </w:rPr>
        <w:t>7.磋商文件澄清</w:t>
      </w:r>
    </w:p>
    <w:p w14:paraId="68768E1C">
      <w:pPr>
        <w:pStyle w:val="21"/>
        <w:spacing w:line="276" w:lineRule="auto"/>
        <w:rPr>
          <w:rFonts w:hint="eastAsia" w:hAnsi="宋体" w:cs="宋体"/>
          <w:color w:val="auto"/>
          <w:highlight w:val="none"/>
        </w:rPr>
      </w:pPr>
      <w:r>
        <w:rPr>
          <w:rFonts w:hint="eastAsia" w:hAnsi="宋体" w:cs="宋体"/>
          <w:color w:val="auto"/>
          <w:highlight w:val="none"/>
        </w:rPr>
        <w:t>8.磋商文件的修改</w:t>
      </w:r>
    </w:p>
    <w:p w14:paraId="2F978EC5">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磋商响应文件的编写</w:t>
      </w:r>
    </w:p>
    <w:p w14:paraId="56C70634">
      <w:pPr>
        <w:pStyle w:val="21"/>
        <w:spacing w:line="276" w:lineRule="auto"/>
        <w:rPr>
          <w:rFonts w:hint="eastAsia" w:hAnsi="宋体" w:cs="宋体"/>
          <w:color w:val="auto"/>
          <w:highlight w:val="none"/>
        </w:rPr>
      </w:pPr>
      <w:r>
        <w:rPr>
          <w:rFonts w:hint="eastAsia" w:hAnsi="宋体" w:cs="宋体"/>
          <w:color w:val="auto"/>
          <w:highlight w:val="none"/>
        </w:rPr>
        <w:t>9.要求</w:t>
      </w:r>
    </w:p>
    <w:p w14:paraId="1CF90C37">
      <w:pPr>
        <w:pStyle w:val="21"/>
        <w:spacing w:line="276" w:lineRule="auto"/>
        <w:rPr>
          <w:rFonts w:hint="eastAsia" w:hAnsi="宋体" w:cs="宋体"/>
          <w:color w:val="auto"/>
          <w:highlight w:val="none"/>
        </w:rPr>
      </w:pPr>
      <w:r>
        <w:rPr>
          <w:rFonts w:hint="eastAsia" w:hAnsi="宋体" w:cs="宋体"/>
          <w:color w:val="auto"/>
          <w:highlight w:val="none"/>
        </w:rPr>
        <w:t>10.磋商语言</w:t>
      </w:r>
    </w:p>
    <w:p w14:paraId="5F0D2BF3">
      <w:pPr>
        <w:pStyle w:val="21"/>
        <w:spacing w:line="276" w:lineRule="auto"/>
        <w:rPr>
          <w:rFonts w:hint="eastAsia" w:hAnsi="宋体" w:cs="宋体"/>
          <w:color w:val="auto"/>
          <w:highlight w:val="none"/>
        </w:rPr>
      </w:pPr>
      <w:r>
        <w:rPr>
          <w:rFonts w:hint="eastAsia" w:hAnsi="宋体" w:cs="宋体"/>
          <w:color w:val="auto"/>
          <w:highlight w:val="none"/>
        </w:rPr>
        <w:t>11.磋商响应文件的构成</w:t>
      </w:r>
    </w:p>
    <w:p w14:paraId="6465EADC">
      <w:pPr>
        <w:pStyle w:val="21"/>
        <w:spacing w:line="276" w:lineRule="auto"/>
        <w:rPr>
          <w:rFonts w:hint="eastAsia" w:hAnsi="宋体" w:cs="宋体"/>
          <w:color w:val="auto"/>
          <w:highlight w:val="none"/>
        </w:rPr>
      </w:pPr>
      <w:r>
        <w:rPr>
          <w:rFonts w:hint="eastAsia" w:hAnsi="宋体" w:cs="宋体"/>
          <w:color w:val="auto"/>
          <w:highlight w:val="none"/>
        </w:rPr>
        <w:t>12.磋商响应文件格式</w:t>
      </w:r>
    </w:p>
    <w:p w14:paraId="01A2BA6E">
      <w:pPr>
        <w:pStyle w:val="21"/>
        <w:spacing w:line="276" w:lineRule="auto"/>
        <w:rPr>
          <w:rFonts w:hint="eastAsia" w:hAnsi="宋体" w:cs="宋体"/>
          <w:color w:val="auto"/>
          <w:highlight w:val="none"/>
        </w:rPr>
      </w:pPr>
      <w:r>
        <w:rPr>
          <w:rFonts w:hint="eastAsia" w:hAnsi="宋体" w:cs="宋体"/>
          <w:color w:val="auto"/>
          <w:highlight w:val="none"/>
        </w:rPr>
        <w:t>13.磋商报价</w:t>
      </w:r>
    </w:p>
    <w:p w14:paraId="17548B58">
      <w:pPr>
        <w:pStyle w:val="21"/>
        <w:spacing w:line="276" w:lineRule="auto"/>
        <w:rPr>
          <w:rFonts w:hint="eastAsia" w:hAnsi="宋体" w:cs="宋体"/>
          <w:color w:val="auto"/>
          <w:highlight w:val="none"/>
        </w:rPr>
      </w:pPr>
      <w:r>
        <w:rPr>
          <w:rFonts w:hint="eastAsia" w:hAnsi="宋体" w:cs="宋体"/>
          <w:color w:val="auto"/>
          <w:highlight w:val="none"/>
        </w:rPr>
        <w:t>14.磋商货币</w:t>
      </w:r>
    </w:p>
    <w:p w14:paraId="75C439E3">
      <w:pPr>
        <w:pStyle w:val="21"/>
        <w:spacing w:line="276" w:lineRule="auto"/>
        <w:rPr>
          <w:rFonts w:hint="eastAsia" w:hAnsi="宋体" w:cs="宋体"/>
          <w:color w:val="auto"/>
          <w:highlight w:val="none"/>
        </w:rPr>
      </w:pPr>
      <w:r>
        <w:rPr>
          <w:rFonts w:hint="eastAsia" w:hAnsi="宋体" w:cs="宋体"/>
          <w:color w:val="auto"/>
          <w:highlight w:val="none"/>
        </w:rPr>
        <w:t>15.供应商资格的证明文件</w:t>
      </w:r>
    </w:p>
    <w:p w14:paraId="7D537D36">
      <w:pPr>
        <w:pStyle w:val="21"/>
        <w:spacing w:line="276" w:lineRule="auto"/>
        <w:rPr>
          <w:rFonts w:hint="eastAsia" w:hAnsi="宋体" w:cs="宋体"/>
          <w:color w:val="auto"/>
          <w:highlight w:val="none"/>
        </w:rPr>
      </w:pPr>
      <w:r>
        <w:rPr>
          <w:rFonts w:hint="eastAsia" w:hAnsi="宋体" w:cs="宋体"/>
          <w:color w:val="auto"/>
          <w:highlight w:val="none"/>
        </w:rPr>
        <w:t>16.磋商服务符合磋商文件规定的技术响应文件</w:t>
      </w:r>
    </w:p>
    <w:p w14:paraId="11241B92">
      <w:pPr>
        <w:pStyle w:val="21"/>
        <w:spacing w:line="276" w:lineRule="auto"/>
        <w:rPr>
          <w:rFonts w:hint="eastAsia" w:hAnsi="宋体" w:cs="宋体"/>
          <w:color w:val="auto"/>
          <w:highlight w:val="none"/>
        </w:rPr>
      </w:pPr>
      <w:r>
        <w:rPr>
          <w:rFonts w:hint="eastAsia" w:hAnsi="宋体" w:cs="宋体"/>
          <w:color w:val="auto"/>
          <w:highlight w:val="none"/>
        </w:rPr>
        <w:t>17.磋商有效期</w:t>
      </w:r>
    </w:p>
    <w:p w14:paraId="5BB90659">
      <w:pPr>
        <w:pStyle w:val="21"/>
        <w:spacing w:line="276" w:lineRule="auto"/>
        <w:rPr>
          <w:rFonts w:hint="eastAsia" w:hAnsi="宋体" w:cs="宋体"/>
          <w:color w:val="auto"/>
          <w:highlight w:val="none"/>
        </w:rPr>
      </w:pPr>
      <w:r>
        <w:rPr>
          <w:rFonts w:hint="eastAsia" w:hAnsi="宋体" w:cs="宋体"/>
          <w:color w:val="auto"/>
          <w:highlight w:val="none"/>
        </w:rPr>
        <w:t>18.磋商响应文件的书写要求</w:t>
      </w:r>
    </w:p>
    <w:p w14:paraId="401851D9">
      <w:pPr>
        <w:pStyle w:val="21"/>
        <w:spacing w:line="276" w:lineRule="auto"/>
        <w:rPr>
          <w:rFonts w:hint="eastAsia" w:hAnsi="宋体" w:cs="宋体"/>
          <w:color w:val="auto"/>
          <w:highlight w:val="none"/>
        </w:rPr>
      </w:pPr>
      <w:r>
        <w:rPr>
          <w:rFonts w:hint="eastAsia" w:hAnsi="宋体" w:cs="宋体"/>
          <w:color w:val="auto"/>
          <w:highlight w:val="none"/>
        </w:rPr>
        <w:t>19.磋商保证金</w:t>
      </w:r>
    </w:p>
    <w:p w14:paraId="647DD6B0">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磋商响应文件的递交</w:t>
      </w:r>
    </w:p>
    <w:p w14:paraId="778CE58E">
      <w:pPr>
        <w:pStyle w:val="21"/>
        <w:spacing w:line="276" w:lineRule="auto"/>
        <w:rPr>
          <w:rFonts w:hint="eastAsia" w:hAnsi="宋体" w:cs="宋体"/>
          <w:color w:val="auto"/>
          <w:highlight w:val="none"/>
        </w:rPr>
      </w:pPr>
      <w:r>
        <w:rPr>
          <w:rFonts w:hint="eastAsia" w:hAnsi="宋体" w:cs="宋体"/>
          <w:color w:val="auto"/>
          <w:highlight w:val="none"/>
        </w:rPr>
        <w:t>20.磋商响应文件的密封与标记</w:t>
      </w:r>
    </w:p>
    <w:p w14:paraId="370A4E16">
      <w:pPr>
        <w:pStyle w:val="21"/>
        <w:spacing w:line="276" w:lineRule="auto"/>
        <w:rPr>
          <w:rFonts w:hint="eastAsia" w:hAnsi="宋体" w:cs="宋体"/>
          <w:color w:val="auto"/>
          <w:highlight w:val="none"/>
        </w:rPr>
      </w:pPr>
      <w:r>
        <w:rPr>
          <w:rFonts w:hint="eastAsia" w:hAnsi="宋体" w:cs="宋体"/>
          <w:color w:val="auto"/>
          <w:highlight w:val="none"/>
        </w:rPr>
        <w:t>21.磋商截止时间</w:t>
      </w:r>
    </w:p>
    <w:p w14:paraId="54F70C64">
      <w:pPr>
        <w:pStyle w:val="21"/>
        <w:spacing w:line="276" w:lineRule="auto"/>
        <w:rPr>
          <w:rFonts w:hint="eastAsia" w:hAnsi="宋体" w:cs="宋体"/>
          <w:color w:val="auto"/>
          <w:highlight w:val="none"/>
        </w:rPr>
      </w:pPr>
      <w:r>
        <w:rPr>
          <w:rFonts w:hint="eastAsia" w:hAnsi="宋体" w:cs="宋体"/>
          <w:color w:val="auto"/>
          <w:highlight w:val="none"/>
        </w:rPr>
        <w:t>22.磋商响应文件的修改和撤销</w:t>
      </w:r>
    </w:p>
    <w:p w14:paraId="2174BFC5">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磋商程序</w:t>
      </w:r>
    </w:p>
    <w:p w14:paraId="2D3DA0FF">
      <w:pPr>
        <w:pStyle w:val="21"/>
        <w:spacing w:line="276" w:lineRule="auto"/>
        <w:rPr>
          <w:rFonts w:hint="eastAsia" w:hAnsi="宋体" w:cs="宋体"/>
          <w:color w:val="auto"/>
          <w:highlight w:val="none"/>
        </w:rPr>
      </w:pPr>
      <w:r>
        <w:rPr>
          <w:rFonts w:hint="eastAsia" w:hAnsi="宋体" w:cs="宋体"/>
          <w:color w:val="auto"/>
          <w:highlight w:val="none"/>
        </w:rPr>
        <w:t>23.磋商</w:t>
      </w:r>
    </w:p>
    <w:p w14:paraId="7E7AAE2E">
      <w:pPr>
        <w:pStyle w:val="21"/>
        <w:spacing w:line="276" w:lineRule="auto"/>
        <w:rPr>
          <w:rFonts w:hint="eastAsia" w:hAnsi="宋体" w:cs="宋体"/>
          <w:color w:val="auto"/>
          <w:highlight w:val="none"/>
        </w:rPr>
      </w:pPr>
      <w:r>
        <w:rPr>
          <w:rFonts w:hint="eastAsia" w:hAnsi="宋体" w:cs="宋体"/>
          <w:color w:val="auto"/>
          <w:highlight w:val="none"/>
        </w:rPr>
        <w:t>24.磋商过程</w:t>
      </w:r>
    </w:p>
    <w:p w14:paraId="53E68DE7">
      <w:pPr>
        <w:pStyle w:val="21"/>
        <w:spacing w:line="276" w:lineRule="auto"/>
        <w:rPr>
          <w:rFonts w:hint="eastAsia" w:hAnsi="宋体" w:cs="宋体"/>
          <w:color w:val="auto"/>
          <w:highlight w:val="none"/>
        </w:rPr>
      </w:pPr>
      <w:r>
        <w:rPr>
          <w:rFonts w:hint="eastAsia" w:hAnsi="宋体" w:cs="宋体"/>
          <w:color w:val="auto"/>
          <w:highlight w:val="none"/>
        </w:rPr>
        <w:t>25.磋商响应文件的澄清</w:t>
      </w:r>
    </w:p>
    <w:p w14:paraId="19A0A1DA">
      <w:pPr>
        <w:pStyle w:val="21"/>
        <w:spacing w:line="276" w:lineRule="auto"/>
        <w:rPr>
          <w:rFonts w:hint="eastAsia" w:hAnsi="宋体" w:cs="宋体"/>
          <w:color w:val="auto"/>
          <w:highlight w:val="none"/>
        </w:rPr>
      </w:pPr>
      <w:r>
        <w:rPr>
          <w:rFonts w:hint="eastAsia" w:hAnsi="宋体" w:cs="宋体"/>
          <w:color w:val="auto"/>
          <w:highlight w:val="none"/>
        </w:rPr>
        <w:t>26.对磋商响应文件的评标</w:t>
      </w:r>
    </w:p>
    <w:p w14:paraId="361682CA">
      <w:pPr>
        <w:pStyle w:val="21"/>
        <w:spacing w:line="276" w:lineRule="auto"/>
        <w:rPr>
          <w:rFonts w:hint="eastAsia" w:hAnsi="宋体" w:cs="宋体"/>
          <w:color w:val="auto"/>
          <w:highlight w:val="none"/>
        </w:rPr>
      </w:pPr>
      <w:r>
        <w:rPr>
          <w:rFonts w:hint="eastAsia" w:hAnsi="宋体" w:cs="宋体"/>
          <w:color w:val="auto"/>
          <w:highlight w:val="none"/>
        </w:rPr>
        <w:t>27.评标过程的保密性</w:t>
      </w:r>
    </w:p>
    <w:p w14:paraId="13B929B1">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授予合同</w:t>
      </w:r>
    </w:p>
    <w:p w14:paraId="18FE1A22">
      <w:pPr>
        <w:pStyle w:val="21"/>
        <w:spacing w:line="276" w:lineRule="auto"/>
        <w:rPr>
          <w:rFonts w:hint="eastAsia" w:hAnsi="宋体" w:cs="宋体"/>
          <w:color w:val="auto"/>
          <w:highlight w:val="none"/>
        </w:rPr>
      </w:pPr>
      <w:r>
        <w:rPr>
          <w:rFonts w:hint="eastAsia" w:hAnsi="宋体" w:cs="宋体"/>
          <w:color w:val="auto"/>
          <w:highlight w:val="none"/>
        </w:rPr>
        <w:t>28.合同授予标准</w:t>
      </w:r>
    </w:p>
    <w:p w14:paraId="5955D6F1">
      <w:pPr>
        <w:pStyle w:val="21"/>
        <w:spacing w:line="276" w:lineRule="auto"/>
        <w:rPr>
          <w:rFonts w:hint="eastAsia" w:hAnsi="宋体" w:cs="宋体"/>
          <w:color w:val="auto"/>
          <w:highlight w:val="none"/>
        </w:rPr>
      </w:pPr>
      <w:r>
        <w:rPr>
          <w:rFonts w:hint="eastAsia" w:hAnsi="宋体" w:cs="宋体"/>
          <w:color w:val="auto"/>
          <w:highlight w:val="none"/>
        </w:rPr>
        <w:t>29.接受和拒绝任何或所有磋商的权力</w:t>
      </w:r>
    </w:p>
    <w:p w14:paraId="2F3DD954">
      <w:pPr>
        <w:pStyle w:val="21"/>
        <w:spacing w:line="276" w:lineRule="auto"/>
        <w:rPr>
          <w:rFonts w:hint="eastAsia" w:hAnsi="宋体" w:cs="宋体"/>
          <w:color w:val="auto"/>
          <w:highlight w:val="none"/>
        </w:rPr>
      </w:pPr>
      <w:r>
        <w:rPr>
          <w:rFonts w:hint="eastAsia" w:hAnsi="宋体" w:cs="宋体"/>
          <w:color w:val="auto"/>
          <w:highlight w:val="none"/>
        </w:rPr>
        <w:t>30.成交通知书</w:t>
      </w:r>
    </w:p>
    <w:p w14:paraId="744D4E5F">
      <w:pPr>
        <w:pStyle w:val="21"/>
        <w:spacing w:line="276" w:lineRule="auto"/>
        <w:rPr>
          <w:rFonts w:hint="eastAsia" w:hAnsi="宋体" w:cs="宋体"/>
          <w:color w:val="auto"/>
          <w:highlight w:val="none"/>
        </w:rPr>
      </w:pPr>
      <w:r>
        <w:rPr>
          <w:rFonts w:hint="eastAsia" w:hAnsi="宋体" w:cs="宋体"/>
          <w:color w:val="auto"/>
          <w:highlight w:val="none"/>
        </w:rPr>
        <w:t>31.签订合同</w:t>
      </w:r>
    </w:p>
    <w:p w14:paraId="5526F860">
      <w:pPr>
        <w:pStyle w:val="21"/>
        <w:spacing w:line="276" w:lineRule="auto"/>
        <w:rPr>
          <w:rFonts w:hint="eastAsia" w:hAnsi="宋体" w:cs="宋体"/>
          <w:color w:val="auto"/>
          <w:highlight w:val="none"/>
        </w:rPr>
      </w:pPr>
      <w:r>
        <w:rPr>
          <w:rFonts w:hint="eastAsia" w:hAnsi="宋体" w:cs="宋体"/>
          <w:color w:val="auto"/>
          <w:highlight w:val="none"/>
        </w:rPr>
        <w:t>32.履约保证金（如适用）</w:t>
      </w:r>
    </w:p>
    <w:p w14:paraId="32843038">
      <w:pPr>
        <w:pStyle w:val="21"/>
        <w:spacing w:line="276" w:lineRule="auto"/>
        <w:rPr>
          <w:rFonts w:hint="eastAsia" w:hAnsi="宋体" w:cs="宋体"/>
          <w:color w:val="auto"/>
          <w:highlight w:val="none"/>
        </w:rPr>
      </w:pPr>
      <w:r>
        <w:rPr>
          <w:rFonts w:hint="eastAsia" w:hAnsi="宋体" w:cs="宋体"/>
          <w:color w:val="auto"/>
          <w:highlight w:val="none"/>
        </w:rPr>
        <w:t>33.采购代理服务费</w:t>
      </w:r>
    </w:p>
    <w:p w14:paraId="2142291B">
      <w:pPr>
        <w:pStyle w:val="21"/>
        <w:numPr>
          <w:ilvl w:val="0"/>
          <w:numId w:val="6"/>
        </w:numPr>
        <w:spacing w:line="276" w:lineRule="auto"/>
        <w:rPr>
          <w:rFonts w:hint="eastAsia" w:hAnsi="宋体" w:cs="宋体"/>
          <w:color w:val="auto"/>
          <w:highlight w:val="none"/>
        </w:rPr>
      </w:pPr>
      <w:r>
        <w:rPr>
          <w:rFonts w:hint="eastAsia" w:hAnsi="宋体" w:cs="宋体"/>
          <w:color w:val="auto"/>
          <w:highlight w:val="none"/>
        </w:rPr>
        <w:t>磋商失败条件</w:t>
      </w:r>
    </w:p>
    <w:p w14:paraId="569B35C7">
      <w:pPr>
        <w:spacing w:line="276" w:lineRule="auto"/>
        <w:rPr>
          <w:rFonts w:hint="eastAsia" w:ascii="宋体" w:hAnsi="宋体" w:cs="宋体"/>
          <w:color w:val="auto"/>
          <w:sz w:val="24"/>
          <w:highlight w:val="none"/>
        </w:rPr>
      </w:pPr>
    </w:p>
    <w:p w14:paraId="66B8DFEC">
      <w:pPr>
        <w:spacing w:line="276" w:lineRule="auto"/>
        <w:rPr>
          <w:rFonts w:hint="eastAsia" w:ascii="宋体" w:hAnsi="宋体" w:cs="宋体"/>
          <w:color w:val="auto"/>
          <w:sz w:val="24"/>
          <w:highlight w:val="none"/>
        </w:rPr>
      </w:pPr>
    </w:p>
    <w:p w14:paraId="0FDD2699">
      <w:pPr>
        <w:spacing w:line="276" w:lineRule="auto"/>
        <w:rPr>
          <w:rFonts w:hint="eastAsia" w:ascii="宋体" w:hAnsi="宋体" w:cs="宋体"/>
          <w:color w:val="auto"/>
          <w:sz w:val="24"/>
          <w:highlight w:val="none"/>
        </w:rPr>
      </w:pPr>
    </w:p>
    <w:p w14:paraId="4353A988">
      <w:pPr>
        <w:spacing w:line="276" w:lineRule="auto"/>
        <w:rPr>
          <w:rFonts w:hint="eastAsia" w:ascii="宋体" w:hAnsi="宋体" w:cs="宋体"/>
          <w:color w:val="auto"/>
          <w:sz w:val="24"/>
          <w:highlight w:val="none"/>
        </w:rPr>
      </w:pPr>
    </w:p>
    <w:p w14:paraId="1CC61AC9">
      <w:pPr>
        <w:spacing w:line="276" w:lineRule="auto"/>
        <w:rPr>
          <w:rFonts w:hint="eastAsia" w:ascii="宋体" w:hAnsi="宋体" w:cs="宋体"/>
          <w:color w:val="auto"/>
          <w:sz w:val="24"/>
          <w:highlight w:val="none"/>
        </w:rPr>
      </w:pPr>
    </w:p>
    <w:p w14:paraId="69330666">
      <w:pPr>
        <w:pStyle w:val="4"/>
        <w:spacing w:before="0" w:after="100" w:afterAutospacing="1" w:line="276" w:lineRule="auto"/>
        <w:jc w:val="center"/>
        <w:rPr>
          <w:rFonts w:hint="eastAsia" w:ascii="宋体" w:hAnsi="宋体" w:eastAsia="宋体" w:cs="宋体"/>
          <w:color w:val="auto"/>
          <w:sz w:val="28"/>
          <w:szCs w:val="28"/>
          <w:highlight w:val="none"/>
        </w:rPr>
      </w:pPr>
      <w:r>
        <w:rPr>
          <w:rFonts w:hint="eastAsia" w:ascii="宋体" w:hAnsi="宋体" w:eastAsia="宋体" w:cs="宋体"/>
          <w:b w:val="0"/>
          <w:color w:val="auto"/>
          <w:sz w:val="24"/>
          <w:highlight w:val="none"/>
        </w:rPr>
        <w:br w:type="page"/>
      </w:r>
      <w:bookmarkStart w:id="9" w:name="_Toc349573120"/>
      <w:bookmarkStart w:id="10" w:name="_Toc298240404"/>
      <w:bookmarkStart w:id="11" w:name="_Toc83726730"/>
      <w:bookmarkStart w:id="12" w:name="_Toc267301281"/>
      <w:bookmarkStart w:id="13" w:name="_Toc349637919"/>
      <w:r>
        <w:rPr>
          <w:rFonts w:hint="eastAsia" w:ascii="宋体" w:hAnsi="宋体" w:eastAsia="宋体" w:cs="宋体"/>
          <w:color w:val="auto"/>
          <w:sz w:val="28"/>
          <w:szCs w:val="28"/>
          <w:highlight w:val="none"/>
        </w:rPr>
        <w:t>供应商须知附表</w:t>
      </w:r>
      <w:bookmarkEnd w:id="9"/>
      <w:bookmarkEnd w:id="10"/>
      <w:bookmarkEnd w:id="11"/>
      <w:bookmarkEnd w:id="12"/>
      <w:bookmarkEnd w:id="13"/>
    </w:p>
    <w:tbl>
      <w:tblPr>
        <w:tblStyle w:val="38"/>
        <w:tblW w:w="8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7785"/>
        <w:gridCol w:w="6"/>
      </w:tblGrid>
      <w:tr w14:paraId="7AA3A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6" w:type="dxa"/>
          <w:trHeight w:val="2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B28A76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7785" w:type="dxa"/>
            <w:tcBorders>
              <w:top w:val="single" w:color="auto" w:sz="4" w:space="0"/>
              <w:left w:val="single" w:color="auto" w:sz="4" w:space="0"/>
              <w:bottom w:val="single" w:color="auto" w:sz="4" w:space="0"/>
              <w:right w:val="single" w:color="auto" w:sz="4" w:space="0"/>
            </w:tcBorders>
            <w:vAlign w:val="center"/>
          </w:tcPr>
          <w:p w14:paraId="31DAE38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r>
      <w:tr w14:paraId="0653E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37" w:type="dxa"/>
            <w:gridSpan w:val="3"/>
            <w:tcBorders>
              <w:top w:val="single" w:color="auto" w:sz="4" w:space="0"/>
              <w:left w:val="single" w:color="auto" w:sz="4" w:space="0"/>
              <w:bottom w:val="single" w:color="auto" w:sz="4" w:space="0"/>
              <w:right w:val="single" w:color="auto" w:sz="4" w:space="0"/>
            </w:tcBorders>
            <w:vAlign w:val="center"/>
          </w:tcPr>
          <w:p w14:paraId="04DBF8C8">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说          明</w:t>
            </w:r>
          </w:p>
        </w:tc>
      </w:tr>
      <w:tr w14:paraId="36506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B27744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785" w:type="dxa"/>
            <w:tcBorders>
              <w:top w:val="single" w:color="auto" w:sz="4" w:space="0"/>
              <w:left w:val="single" w:color="auto" w:sz="4" w:space="0"/>
              <w:bottom w:val="single" w:color="auto" w:sz="4" w:space="0"/>
              <w:right w:val="single" w:color="auto" w:sz="4" w:space="0"/>
            </w:tcBorders>
            <w:vAlign w:val="center"/>
          </w:tcPr>
          <w:p w14:paraId="0B715283">
            <w:pPr>
              <w:spacing w:line="276"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新疆维吾尔自治区交通运输综合行政执法局网络与信息安全测评及机房、办公设备维护服务项目</w:t>
            </w:r>
          </w:p>
          <w:p w14:paraId="62048E11">
            <w:pPr>
              <w:spacing w:line="276"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0634-264XZ1ZF0102</w:t>
            </w:r>
          </w:p>
        </w:tc>
      </w:tr>
      <w:tr w14:paraId="1C20C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33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C0F4CE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785" w:type="dxa"/>
            <w:tcBorders>
              <w:top w:val="single" w:color="auto" w:sz="4" w:space="0"/>
              <w:left w:val="single" w:color="auto" w:sz="4" w:space="0"/>
              <w:bottom w:val="single" w:color="auto" w:sz="4" w:space="0"/>
              <w:right w:val="single" w:color="auto" w:sz="4" w:space="0"/>
            </w:tcBorders>
            <w:vAlign w:val="center"/>
          </w:tcPr>
          <w:p w14:paraId="736CE93A">
            <w:pPr>
              <w:spacing w:line="276"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新疆维吾尔自治区交通运输综合行政执法局</w:t>
            </w:r>
          </w:p>
        </w:tc>
      </w:tr>
      <w:tr w14:paraId="14B25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9C82E2A">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785" w:type="dxa"/>
            <w:tcBorders>
              <w:top w:val="single" w:color="auto" w:sz="4" w:space="0"/>
              <w:left w:val="single" w:color="auto" w:sz="4" w:space="0"/>
              <w:bottom w:val="single" w:color="auto" w:sz="4" w:space="0"/>
              <w:right w:val="single" w:color="auto" w:sz="4" w:space="0"/>
            </w:tcBorders>
            <w:vAlign w:val="center"/>
          </w:tcPr>
          <w:p w14:paraId="138B091D">
            <w:pPr>
              <w:spacing w:line="276" w:lineRule="auto"/>
              <w:rPr>
                <w:rFonts w:hint="eastAsia" w:ascii="宋体" w:hAnsi="宋体" w:cs="宋体"/>
                <w:b/>
                <w:color w:val="auto"/>
                <w:spacing w:val="8"/>
                <w:sz w:val="24"/>
                <w:szCs w:val="24"/>
                <w:highlight w:val="none"/>
              </w:rPr>
            </w:pPr>
            <w:r>
              <w:rPr>
                <w:rFonts w:hint="eastAsia" w:ascii="宋体" w:hAnsi="宋体" w:cs="宋体"/>
                <w:color w:val="auto"/>
                <w:spacing w:val="8"/>
                <w:sz w:val="24"/>
                <w:szCs w:val="24"/>
                <w:highlight w:val="none"/>
              </w:rPr>
              <w:t>采购代理机构名称：新疆招标有限公司</w:t>
            </w:r>
          </w:p>
          <w:p w14:paraId="68596126">
            <w:pPr>
              <w:spacing w:line="276" w:lineRule="auto"/>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单位地址：乌鲁木齐市水磨沟区昆仑东街789号</w:t>
            </w:r>
          </w:p>
          <w:p w14:paraId="5009A3DC">
            <w:pPr>
              <w:spacing w:line="276" w:lineRule="auto"/>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邮编：830000</w:t>
            </w:r>
          </w:p>
          <w:p w14:paraId="3F74FEC9">
            <w:pPr>
              <w:spacing w:line="276" w:lineRule="auto"/>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电话：0991-4535634</w:t>
            </w:r>
          </w:p>
          <w:p w14:paraId="628A6F3B">
            <w:pPr>
              <w:spacing w:line="276" w:lineRule="auto"/>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传真：0991-4524058</w:t>
            </w:r>
          </w:p>
        </w:tc>
      </w:tr>
      <w:tr w14:paraId="588E8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866E9A9">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785" w:type="dxa"/>
            <w:tcBorders>
              <w:top w:val="single" w:color="auto" w:sz="4" w:space="0"/>
              <w:left w:val="single" w:color="auto" w:sz="4" w:space="0"/>
              <w:bottom w:val="single" w:color="auto" w:sz="4" w:space="0"/>
              <w:right w:val="single" w:color="auto" w:sz="4" w:space="0"/>
            </w:tcBorders>
            <w:vAlign w:val="center"/>
          </w:tcPr>
          <w:p w14:paraId="317B8BD3">
            <w:pPr>
              <w:spacing w:line="276"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磋商保证金：5000元</w:t>
            </w:r>
          </w:p>
          <w:p w14:paraId="626B3620">
            <w:pPr>
              <w:spacing w:line="276"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账户名称：新疆招标有限公司</w:t>
            </w:r>
          </w:p>
          <w:p w14:paraId="3BD6C0C1">
            <w:pPr>
              <w:spacing w:line="276"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人民币账号：3002013709022305571（电汇时请在汇款备注栏注明招标编号）</w:t>
            </w:r>
          </w:p>
          <w:p w14:paraId="61252008">
            <w:pPr>
              <w:spacing w:line="276"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开户银行：乌鲁木齐工行友好南路支行</w:t>
            </w:r>
          </w:p>
        </w:tc>
      </w:tr>
      <w:tr w14:paraId="01580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0B7404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785" w:type="dxa"/>
            <w:tcBorders>
              <w:top w:val="single" w:color="auto" w:sz="4" w:space="0"/>
              <w:left w:val="single" w:color="auto" w:sz="4" w:space="0"/>
              <w:bottom w:val="single" w:color="auto" w:sz="4" w:space="0"/>
              <w:right w:val="single" w:color="auto" w:sz="4" w:space="0"/>
            </w:tcBorders>
            <w:vAlign w:val="center"/>
          </w:tcPr>
          <w:p w14:paraId="4948718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磋商语言：中文</w:t>
            </w:r>
          </w:p>
        </w:tc>
      </w:tr>
      <w:tr w14:paraId="73ABD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637" w:type="dxa"/>
            <w:gridSpan w:val="3"/>
            <w:tcBorders>
              <w:top w:val="single" w:color="auto" w:sz="4" w:space="0"/>
              <w:left w:val="single" w:color="auto" w:sz="4" w:space="0"/>
              <w:bottom w:val="single" w:color="auto" w:sz="4" w:space="0"/>
              <w:right w:val="single" w:color="auto" w:sz="4" w:space="0"/>
            </w:tcBorders>
            <w:vAlign w:val="center"/>
          </w:tcPr>
          <w:p w14:paraId="745A011F">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 应 文 件 的 编 制 和 递 交</w:t>
            </w:r>
          </w:p>
        </w:tc>
      </w:tr>
      <w:tr w14:paraId="52DA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D284BB8">
            <w:pPr>
              <w:tabs>
                <w:tab w:val="left" w:pos="252"/>
                <w:tab w:val="left" w:pos="671"/>
              </w:tabs>
              <w:spacing w:line="276" w:lineRule="auto"/>
              <w:jc w:val="center"/>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6</w:t>
            </w:r>
          </w:p>
        </w:tc>
        <w:tc>
          <w:tcPr>
            <w:tcW w:w="7785" w:type="dxa"/>
            <w:tcBorders>
              <w:top w:val="single" w:color="auto" w:sz="4" w:space="0"/>
              <w:left w:val="single" w:color="auto" w:sz="4" w:space="0"/>
              <w:bottom w:val="single" w:color="auto" w:sz="4" w:space="0"/>
              <w:right w:val="single" w:color="auto" w:sz="4" w:space="0"/>
            </w:tcBorders>
            <w:vAlign w:val="center"/>
          </w:tcPr>
          <w:p w14:paraId="3B4651BE">
            <w:pPr>
              <w:tabs>
                <w:tab w:val="left" w:pos="252"/>
                <w:tab w:val="left" w:pos="671"/>
              </w:tabs>
              <w:spacing w:line="276" w:lineRule="auto"/>
              <w:rPr>
                <w:rFonts w:hint="eastAsia" w:ascii="宋体" w:hAnsi="宋体" w:cs="宋体"/>
                <w:b/>
                <w:color w:val="auto"/>
                <w:spacing w:val="8"/>
                <w:sz w:val="24"/>
                <w:szCs w:val="24"/>
                <w:highlight w:val="none"/>
              </w:rPr>
            </w:pPr>
            <w:r>
              <w:rPr>
                <w:rFonts w:hint="eastAsia" w:ascii="宋体" w:hAnsi="宋体" w:cs="宋体"/>
                <w:b/>
                <w:color w:val="auto"/>
                <w:spacing w:val="8"/>
                <w:sz w:val="24"/>
                <w:szCs w:val="24"/>
                <w:highlight w:val="none"/>
              </w:rPr>
              <w:t>供应商资格标准：</w:t>
            </w:r>
            <w:r>
              <w:rPr>
                <w:rFonts w:hint="eastAsia" w:ascii="宋体" w:hAnsi="宋体" w:cs="宋体"/>
                <w:color w:val="auto"/>
                <w:sz w:val="24"/>
                <w:szCs w:val="24"/>
                <w:highlight w:val="none"/>
              </w:rPr>
              <w:t xml:space="preserve"> </w:t>
            </w:r>
          </w:p>
          <w:p w14:paraId="4F8C1A5F">
            <w:pPr>
              <w:pStyle w:val="21"/>
              <w:spacing w:line="276" w:lineRule="auto"/>
              <w:rPr>
                <w:rFonts w:hint="eastAsia" w:hAnsi="宋体" w:cs="宋体"/>
                <w:color w:val="auto"/>
                <w:highlight w:val="none"/>
              </w:rPr>
            </w:pPr>
            <w:r>
              <w:rPr>
                <w:rFonts w:hint="eastAsia" w:hAnsi="宋体" w:cs="宋体"/>
                <w:color w:val="auto"/>
                <w:highlight w:val="none"/>
              </w:rPr>
              <w:t xml:space="preserve">1 具有独立承担民事责任的能力； </w:t>
            </w:r>
          </w:p>
          <w:p w14:paraId="766A4BE4">
            <w:pPr>
              <w:pStyle w:val="21"/>
              <w:spacing w:line="276" w:lineRule="auto"/>
              <w:rPr>
                <w:rFonts w:hint="eastAsia" w:hAnsi="宋体" w:cs="宋体"/>
                <w:color w:val="auto"/>
                <w:highlight w:val="none"/>
              </w:rPr>
            </w:pPr>
            <w:r>
              <w:rPr>
                <w:rFonts w:hint="eastAsia" w:hAnsi="宋体" w:cs="宋体"/>
                <w:color w:val="auto"/>
                <w:highlight w:val="none"/>
              </w:rPr>
              <w:t>2 具有良好的商业信誉和健全的财务会计制度；（提供会计师事务所出具的2024年度或2025年度财务审计报告或基本开户银行出具的资信证明，新成立不足一年的提供成立之日起至今的财务报表）</w:t>
            </w:r>
          </w:p>
          <w:p w14:paraId="66BDFCEC">
            <w:pPr>
              <w:pStyle w:val="21"/>
              <w:spacing w:line="276" w:lineRule="auto"/>
              <w:rPr>
                <w:rFonts w:hint="eastAsia" w:hAnsi="宋体" w:cs="宋体"/>
                <w:color w:val="auto"/>
                <w:highlight w:val="none"/>
              </w:rPr>
            </w:pPr>
            <w:r>
              <w:rPr>
                <w:rFonts w:hint="eastAsia" w:hAnsi="宋体" w:cs="宋体"/>
                <w:color w:val="auto"/>
                <w:highlight w:val="none"/>
              </w:rPr>
              <w:t>3 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p w14:paraId="79A14A82">
            <w:pPr>
              <w:pStyle w:val="21"/>
              <w:spacing w:line="276" w:lineRule="auto"/>
              <w:rPr>
                <w:rFonts w:hint="eastAsia" w:hAnsi="宋体" w:cs="宋体"/>
                <w:color w:val="auto"/>
                <w:highlight w:val="none"/>
              </w:rPr>
            </w:pPr>
            <w:r>
              <w:rPr>
                <w:rFonts w:hint="eastAsia" w:hAnsi="宋体" w:cs="宋体"/>
                <w:color w:val="auto"/>
                <w:highlight w:val="none"/>
              </w:rPr>
              <w:t>4参加采购活动前三年内，在经营活动中没有重大违法记录。查询渠道“中国政府采购网”、“信用中国”，被列入失信被执行人、重大税收违法案件当事人名单、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1D6655B">
            <w:pPr>
              <w:pStyle w:val="21"/>
              <w:spacing w:line="276" w:lineRule="auto"/>
              <w:rPr>
                <w:rFonts w:hint="eastAsia" w:hAnsi="宋体" w:cs="宋体"/>
                <w:color w:val="auto"/>
                <w:highlight w:val="none"/>
              </w:rPr>
            </w:pPr>
            <w:r>
              <w:rPr>
                <w:rFonts w:hint="eastAsia" w:hAnsi="宋体" w:cs="宋体"/>
                <w:color w:val="auto"/>
                <w:highlight w:val="none"/>
              </w:rPr>
              <w:t>5 单位负责人为同一人或者存在直接控股、管理关系的不同供应商，不得参加同一合同项下的政府采购活动（提供承诺函）；</w:t>
            </w:r>
          </w:p>
          <w:p w14:paraId="0F111207">
            <w:pPr>
              <w:pStyle w:val="21"/>
              <w:spacing w:line="276" w:lineRule="auto"/>
              <w:rPr>
                <w:rFonts w:hint="eastAsia" w:hAnsi="宋体" w:cs="宋体"/>
                <w:color w:val="auto"/>
                <w:highlight w:val="none"/>
              </w:rPr>
            </w:pPr>
            <w:r>
              <w:rPr>
                <w:rFonts w:hint="eastAsia" w:hAnsi="宋体" w:cs="宋体"/>
                <w:color w:val="auto"/>
                <w:highlight w:val="none"/>
              </w:rPr>
              <w:t>6 具有履行合同所必需的设备和专业技术能力（提供承诺函）；</w:t>
            </w:r>
          </w:p>
          <w:p w14:paraId="32BD5C31">
            <w:pPr>
              <w:pStyle w:val="21"/>
              <w:spacing w:line="276" w:lineRule="auto"/>
              <w:rPr>
                <w:rFonts w:hint="eastAsia" w:hAnsi="宋体" w:cs="宋体"/>
                <w:color w:val="auto"/>
                <w:highlight w:val="none"/>
              </w:rPr>
            </w:pPr>
            <w:r>
              <w:rPr>
                <w:rFonts w:hint="eastAsia" w:hAnsi="宋体" w:cs="宋体"/>
                <w:color w:val="auto"/>
                <w:highlight w:val="none"/>
              </w:rPr>
              <w:t>7 符合国家相关法律法规（提供承诺函）；</w:t>
            </w:r>
          </w:p>
          <w:p w14:paraId="05D3B566">
            <w:pPr>
              <w:pStyle w:val="21"/>
              <w:spacing w:line="276" w:lineRule="auto"/>
              <w:rPr>
                <w:rFonts w:hint="eastAsia" w:hAnsi="宋体" w:cs="宋体"/>
                <w:color w:val="auto"/>
                <w:highlight w:val="none"/>
              </w:rPr>
            </w:pPr>
            <w:r>
              <w:rPr>
                <w:rFonts w:hint="eastAsia" w:hAnsi="宋体" w:cs="宋体"/>
                <w:color w:val="auto"/>
                <w:highlight w:val="none"/>
              </w:rPr>
              <w:t>8</w:t>
            </w:r>
            <w:r>
              <w:rPr>
                <w:rFonts w:hint="eastAsia" w:hAnsi="宋体" w:cs="宋体"/>
                <w:color w:val="auto"/>
                <w:highlight w:val="none"/>
                <w:lang w:eastAsia="zh-CN"/>
              </w:rPr>
              <w:t>本项目专门面向中小企业</w:t>
            </w:r>
            <w:r>
              <w:rPr>
                <w:rFonts w:hint="eastAsia" w:hAnsi="宋体" w:cs="宋体"/>
                <w:color w:val="auto"/>
                <w:highlight w:val="none"/>
              </w:rPr>
              <w:t>；（提供中小企业声明函）</w:t>
            </w:r>
          </w:p>
          <w:p w14:paraId="5453CA9E">
            <w:pPr>
              <w:pStyle w:val="21"/>
              <w:spacing w:line="276" w:lineRule="auto"/>
              <w:rPr>
                <w:rFonts w:hint="eastAsia" w:ascii="宋体" w:hAnsi="宋体" w:cs="宋体"/>
                <w:color w:val="auto"/>
                <w:szCs w:val="20"/>
                <w:highlight w:val="none"/>
                <w:lang w:val="zh-CN"/>
              </w:rPr>
            </w:pPr>
            <w:r>
              <w:rPr>
                <w:rFonts w:hint="eastAsia" w:hAnsi="宋体" w:cs="宋体"/>
                <w:color w:val="auto"/>
                <w:highlight w:val="none"/>
              </w:rPr>
              <w:t>9本项目的特定资格要求：</w:t>
            </w:r>
            <w:r>
              <w:rPr>
                <w:rFonts w:hint="eastAsia" w:ascii="宋体" w:hAnsi="宋体" w:cs="宋体"/>
                <w:color w:val="auto"/>
                <w:szCs w:val="20"/>
                <w:highlight w:val="none"/>
                <w:lang w:val="en-US" w:eastAsia="zh-CN"/>
              </w:rPr>
              <w:t>/</w:t>
            </w:r>
          </w:p>
          <w:p w14:paraId="2C9DBBA8">
            <w:pPr>
              <w:pStyle w:val="21"/>
              <w:spacing w:line="276" w:lineRule="auto"/>
              <w:rPr>
                <w:rFonts w:hint="eastAsia" w:ascii="宋体" w:hAnsi="宋体" w:cs="宋体"/>
                <w:color w:val="auto"/>
                <w:szCs w:val="24"/>
                <w:highlight w:val="none"/>
              </w:rPr>
            </w:pPr>
            <w:r>
              <w:rPr>
                <w:rFonts w:hint="eastAsia" w:hAnsi="宋体" w:cs="宋体"/>
                <w:color w:val="auto"/>
                <w:highlight w:val="none"/>
              </w:rPr>
              <w:t>10本项目不接受联合体投标。（提供承诺函）</w:t>
            </w:r>
          </w:p>
        </w:tc>
      </w:tr>
      <w:tr w14:paraId="056D0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F3A2047">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785" w:type="dxa"/>
            <w:tcBorders>
              <w:top w:val="single" w:color="auto" w:sz="4" w:space="0"/>
              <w:left w:val="single" w:color="auto" w:sz="4" w:space="0"/>
              <w:bottom w:val="single" w:color="auto" w:sz="4" w:space="0"/>
              <w:right w:val="single" w:color="auto" w:sz="4" w:space="0"/>
            </w:tcBorders>
            <w:vAlign w:val="center"/>
          </w:tcPr>
          <w:p w14:paraId="3D1AC169">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磋商保证金形式：以电汇、支票、汇票、本票或者金融机构、担保机构出具的保函等非现金形式提交。</w:t>
            </w:r>
          </w:p>
        </w:tc>
      </w:tr>
      <w:tr w14:paraId="1D883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76541C4">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785" w:type="dxa"/>
            <w:tcBorders>
              <w:top w:val="single" w:color="auto" w:sz="4" w:space="0"/>
              <w:left w:val="single" w:color="auto" w:sz="4" w:space="0"/>
              <w:bottom w:val="single" w:color="auto" w:sz="4" w:space="0"/>
              <w:right w:val="single" w:color="auto" w:sz="4" w:space="0"/>
            </w:tcBorders>
            <w:vAlign w:val="center"/>
          </w:tcPr>
          <w:p w14:paraId="6CE2BC00">
            <w:pPr>
              <w:spacing w:line="276"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磋商有效期90天（如不满足将导致废标）</w:t>
            </w:r>
          </w:p>
        </w:tc>
      </w:tr>
      <w:tr w14:paraId="4B15F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CCBBCAB">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7785" w:type="dxa"/>
            <w:tcBorders>
              <w:top w:val="single" w:color="auto" w:sz="4" w:space="0"/>
              <w:left w:val="single" w:color="auto" w:sz="4" w:space="0"/>
              <w:bottom w:val="single" w:color="auto" w:sz="4" w:space="0"/>
              <w:right w:val="single" w:color="auto" w:sz="4" w:space="0"/>
            </w:tcBorders>
            <w:vAlign w:val="center"/>
          </w:tcPr>
          <w:p w14:paraId="51B77606">
            <w:pPr>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所属行业：软件和信息技术服务业</w:t>
            </w:r>
          </w:p>
        </w:tc>
      </w:tr>
      <w:tr w14:paraId="1A04C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33E044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7785" w:type="dxa"/>
            <w:tcBorders>
              <w:top w:val="single" w:color="auto" w:sz="4" w:space="0"/>
              <w:left w:val="single" w:color="auto" w:sz="4" w:space="0"/>
              <w:bottom w:val="single" w:color="auto" w:sz="4" w:space="0"/>
              <w:right w:val="single" w:color="auto" w:sz="4" w:space="0"/>
            </w:tcBorders>
            <w:vAlign w:val="center"/>
          </w:tcPr>
          <w:p w14:paraId="5E88D0EF">
            <w:pPr>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履约保证金：本项目无需缴纳履约保证金。</w:t>
            </w:r>
          </w:p>
        </w:tc>
      </w:tr>
      <w:tr w14:paraId="157EB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835BDB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785" w:type="dxa"/>
            <w:tcBorders>
              <w:top w:val="single" w:color="auto" w:sz="4" w:space="0"/>
              <w:left w:val="single" w:color="auto" w:sz="4" w:space="0"/>
              <w:bottom w:val="single" w:color="auto" w:sz="4" w:space="0"/>
              <w:right w:val="single" w:color="auto" w:sz="4" w:space="0"/>
            </w:tcBorders>
            <w:vAlign w:val="center"/>
          </w:tcPr>
          <w:p w14:paraId="50BC7714">
            <w:pPr>
              <w:spacing w:line="276"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磋商响应文件递交至：</w:t>
            </w:r>
            <w:r>
              <w:rPr>
                <w:rFonts w:hint="eastAsia" w:ascii="宋体" w:hAnsi="宋体" w:cs="宋体"/>
                <w:bCs/>
                <w:color w:val="auto"/>
                <w:sz w:val="24"/>
                <w:szCs w:val="24"/>
                <w:highlight w:val="none"/>
              </w:rPr>
              <w:t>政采云线上（www.zcygov.cn）</w:t>
            </w:r>
          </w:p>
          <w:p w14:paraId="05DEA5F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磋商响应文件递交截止时间：</w:t>
            </w:r>
            <w:r>
              <w:rPr>
                <w:rFonts w:hint="eastAsia" w:ascii="宋体" w:hAnsi="宋体" w:cs="宋体"/>
                <w:color w:val="auto"/>
                <w:sz w:val="24"/>
                <w:highlight w:val="none"/>
                <w:lang w:eastAsia="zh-CN"/>
              </w:rPr>
              <w:t>2026年06月15日11：00时</w:t>
            </w:r>
            <w:r>
              <w:rPr>
                <w:rFonts w:hint="eastAsia" w:ascii="宋体" w:hAnsi="宋体" w:cs="宋体"/>
                <w:color w:val="auto"/>
                <w:sz w:val="24"/>
                <w:highlight w:val="none"/>
              </w:rPr>
              <w:t>（北京时间）</w:t>
            </w:r>
          </w:p>
        </w:tc>
      </w:tr>
      <w:tr w14:paraId="7CAB4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8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095BF60">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785" w:type="dxa"/>
            <w:tcBorders>
              <w:top w:val="single" w:color="auto" w:sz="4" w:space="0"/>
              <w:left w:val="single" w:color="auto" w:sz="4" w:space="0"/>
              <w:bottom w:val="single" w:color="auto" w:sz="4" w:space="0"/>
              <w:right w:val="single" w:color="auto" w:sz="4" w:space="0"/>
            </w:tcBorders>
            <w:vAlign w:val="center"/>
          </w:tcPr>
          <w:p w14:paraId="5365E27E">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开标日期：</w:t>
            </w:r>
            <w:r>
              <w:rPr>
                <w:rFonts w:hint="eastAsia" w:ascii="宋体" w:hAnsi="宋体" w:cs="宋体"/>
                <w:color w:val="auto"/>
                <w:sz w:val="24"/>
                <w:highlight w:val="none"/>
                <w:lang w:eastAsia="zh-CN"/>
              </w:rPr>
              <w:t>2026年06月15日11：00时</w:t>
            </w:r>
            <w:r>
              <w:rPr>
                <w:rFonts w:hint="eastAsia" w:ascii="宋体" w:hAnsi="宋体" w:cs="宋体"/>
                <w:color w:val="auto"/>
                <w:sz w:val="24"/>
                <w:highlight w:val="none"/>
              </w:rPr>
              <w:t>（北京时间）</w:t>
            </w:r>
          </w:p>
          <w:p w14:paraId="6DD10A4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开标地点：政采云线上（www.zcygov.cn）</w:t>
            </w:r>
          </w:p>
        </w:tc>
      </w:tr>
      <w:tr w14:paraId="07405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8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C80757C">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7785" w:type="dxa"/>
            <w:tcBorders>
              <w:top w:val="single" w:color="auto" w:sz="4" w:space="0"/>
              <w:left w:val="single" w:color="auto" w:sz="4" w:space="0"/>
              <w:bottom w:val="single" w:color="auto" w:sz="4" w:space="0"/>
              <w:right w:val="single" w:color="auto" w:sz="4" w:space="0"/>
            </w:tcBorders>
            <w:vAlign w:val="center"/>
          </w:tcPr>
          <w:p w14:paraId="73E12562">
            <w:pPr>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6C0CB0E1">
            <w:pPr>
              <w:numPr>
                <w:ilvl w:val="0"/>
                <w:numId w:val="7"/>
              </w:numPr>
              <w:snapToGrid w:val="0"/>
              <w:spacing w:line="276" w:lineRule="auto"/>
              <w:ind w:left="385" w:hanging="386" w:hangingChars="1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为电子招投标项目，供应商需要使用CA加密设备，凡参加本项目供应商可自主通过新疆CA申领渠道“新疆政务通”申请政采云平台可使用的CA设备。如有操作性问题可与政采云在线客服进行咨询，咨询电话：400-881-7190。</w:t>
            </w:r>
          </w:p>
          <w:p w14:paraId="3D95A5EC">
            <w:pPr>
              <w:numPr>
                <w:ilvl w:val="0"/>
                <w:numId w:val="7"/>
              </w:numPr>
              <w:snapToGrid w:val="0"/>
              <w:spacing w:line="276" w:lineRule="auto"/>
              <w:ind w:left="385" w:hanging="386" w:hangingChars="1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本项目实行网上投标，采用电子响应文件，若供应商参与磋商，自行承担磋商一切费用。</w:t>
            </w:r>
          </w:p>
          <w:p w14:paraId="245EFCBD">
            <w:pPr>
              <w:numPr>
                <w:ilvl w:val="0"/>
                <w:numId w:val="7"/>
              </w:numPr>
              <w:snapToGrid w:val="0"/>
              <w:spacing w:line="276" w:lineRule="auto"/>
              <w:ind w:left="385" w:hanging="386" w:hangingChars="16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各供应商应在开标前应确保成为新疆政府采购网正式注册入库供应商，并完成CA数字证书申领。因未注册入库、未办理CA数字证书等原因造成无法响应或响应失败等后果由供应商自行承担。</w:t>
            </w:r>
          </w:p>
          <w:p w14:paraId="20EAE0E9">
            <w:pPr>
              <w:snapToGrid w:val="0"/>
              <w:spacing w:line="276" w:lineRule="auto"/>
              <w:ind w:left="385" w:hanging="386" w:hangingChars="160"/>
              <w:rPr>
                <w:rFonts w:hint="eastAsia" w:ascii="宋体" w:hAnsi="宋体" w:cs="宋体"/>
                <w:color w:val="auto"/>
                <w:highlight w:val="none"/>
              </w:rPr>
            </w:pPr>
            <w:r>
              <w:rPr>
                <w:rFonts w:hint="eastAsia" w:ascii="宋体" w:hAnsi="宋体" w:cs="宋体"/>
                <w:b/>
                <w:bCs/>
                <w:color w:val="auto"/>
                <w:sz w:val="24"/>
                <w:szCs w:val="24"/>
                <w:highlight w:val="none"/>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14:paraId="1EBD5CEC">
            <w:pPr>
              <w:spacing w:line="276"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5、各供应商须在开标时间在政采云平台自行解密文件。</w:t>
            </w:r>
          </w:p>
        </w:tc>
      </w:tr>
      <w:tr w14:paraId="2B19E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8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8E91236">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7785" w:type="dxa"/>
            <w:tcBorders>
              <w:top w:val="single" w:color="auto" w:sz="4" w:space="0"/>
              <w:left w:val="single" w:color="auto" w:sz="4" w:space="0"/>
              <w:bottom w:val="single" w:color="auto" w:sz="4" w:space="0"/>
              <w:right w:val="single" w:color="auto" w:sz="4" w:space="0"/>
            </w:tcBorders>
            <w:vAlign w:val="center"/>
          </w:tcPr>
          <w:p w14:paraId="28041C87">
            <w:pPr>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中小企业声明函须按本项目采购文件中提供的格式如实进行填写，否则将导致响应无效。</w:t>
            </w:r>
          </w:p>
        </w:tc>
      </w:tr>
      <w:tr w14:paraId="303E9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trHeight w:val="8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F47ACD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7785" w:type="dxa"/>
            <w:tcBorders>
              <w:top w:val="single" w:color="auto" w:sz="4" w:space="0"/>
              <w:left w:val="single" w:color="auto" w:sz="4" w:space="0"/>
              <w:bottom w:val="single" w:color="auto" w:sz="4" w:space="0"/>
              <w:right w:val="single" w:color="auto" w:sz="4" w:space="0"/>
            </w:tcBorders>
            <w:vAlign w:val="center"/>
          </w:tcPr>
          <w:p w14:paraId="7DB6D628">
            <w:pPr>
              <w:pStyle w:val="127"/>
              <w:spacing w:line="360" w:lineRule="exact"/>
              <w:ind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特别说明</w:t>
            </w:r>
          </w:p>
          <w:p w14:paraId="232EB137">
            <w:pPr>
              <w:pStyle w:val="127"/>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1.供应商应认真阅读磋商文件中的每一个条款及要求，因误读磋商文件而造成的后果，采购人概不负责。</w:t>
            </w:r>
          </w:p>
          <w:p w14:paraId="01CB4AE0">
            <w:pPr>
              <w:pStyle w:val="127"/>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2.本次成交单位的成交价，作为发放《成交通知书》和签订合同的价格，且此“报价”在合同实施期间，不做任何调整（经采购人同意调整的除外）。</w:t>
            </w:r>
          </w:p>
          <w:p w14:paraId="076DC8D7">
            <w:pPr>
              <w:pStyle w:val="127"/>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3.如成交，发生以下终止条款，将终止合同执行：</w:t>
            </w:r>
          </w:p>
          <w:p w14:paraId="0B176736">
            <w:pPr>
              <w:pStyle w:val="127"/>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（1）成交供应商违反有关法律、法规，被司法机关、行政监督等部门或行业自律组织处罚或处理的。</w:t>
            </w:r>
          </w:p>
          <w:p w14:paraId="19A9B17C">
            <w:pPr>
              <w:pStyle w:val="127"/>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（2）成交供应商应遵守职业道德、保守商业秘密，否则委托人有权解除协议，因此造成的损失由成交供应商承担。</w:t>
            </w:r>
          </w:p>
          <w:p w14:paraId="0669A01B">
            <w:pPr>
              <w:pStyle w:val="127"/>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（3）提供的服务方案出现与响应文件中所报内容不一致的，且经甲方告知后仍不改正的，接受甲方处罚。</w:t>
            </w:r>
          </w:p>
          <w:p w14:paraId="57FFEDC4">
            <w:pPr>
              <w:spacing w:line="276"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4.为了确保采购质量和维护公平的竞争，磋商小组认为供应商的报价明显低于其他通过符合性审查供应商的报价，有可能影响产品质量或者不能诚信履约的，将要求其在评标现场在磋商小组规定的时间内提供书面说明，必要时提交相关证明材料；供应商不能证明其报价合理性的，磋商小组将其作为无效投标处理，建议报价较低的供应商提前准备本项目成本分析报告（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tc>
      </w:tr>
      <w:tr w14:paraId="7F4B6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637" w:type="dxa"/>
            <w:gridSpan w:val="3"/>
            <w:tcBorders>
              <w:top w:val="single" w:color="auto" w:sz="4" w:space="0"/>
              <w:left w:val="single" w:color="auto" w:sz="4" w:space="0"/>
              <w:bottom w:val="single" w:color="auto" w:sz="4" w:space="0"/>
              <w:right w:val="single" w:color="auto" w:sz="4" w:space="0"/>
            </w:tcBorders>
            <w:vAlign w:val="center"/>
          </w:tcPr>
          <w:p w14:paraId="2966FF6E">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授　予　合　同</w:t>
            </w:r>
          </w:p>
        </w:tc>
      </w:tr>
      <w:tr w14:paraId="7D46A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637" w:type="dxa"/>
            <w:gridSpan w:val="3"/>
            <w:tcBorders>
              <w:top w:val="single" w:color="auto" w:sz="4" w:space="0"/>
              <w:left w:val="single" w:color="auto" w:sz="4" w:space="0"/>
              <w:bottom w:val="single" w:color="auto" w:sz="4" w:space="0"/>
              <w:right w:val="single" w:color="auto" w:sz="4" w:space="0"/>
            </w:tcBorders>
            <w:vAlign w:val="center"/>
          </w:tcPr>
          <w:p w14:paraId="309C545C">
            <w:pPr>
              <w:spacing w:line="240" w:lineRule="auto"/>
              <w:jc w:val="left"/>
              <w:rPr>
                <w:rFonts w:hint="eastAsia" w:ascii="宋体" w:hAnsi="宋体" w:cs="宋体"/>
                <w:color w:val="auto"/>
                <w:sz w:val="24"/>
                <w:szCs w:val="24"/>
                <w:highlight w:val="none"/>
              </w:rPr>
            </w:pPr>
            <w:r>
              <w:rPr>
                <w:rFonts w:hint="eastAsia" w:ascii="宋体" w:hAnsi="宋体" w:eastAsia="宋体" w:cs="宋体"/>
                <w:color w:val="000000"/>
                <w:sz w:val="24"/>
                <w:highlight w:val="none"/>
              </w:rPr>
              <w:t>适用于本投标人须知的额外增加的变动：招标代理服务费由中标人向新疆招标有限公司支付，支付标准参考计委（2002）1980号</w:t>
            </w:r>
            <w:r>
              <w:rPr>
                <w:rFonts w:hint="eastAsia" w:ascii="宋体" w:hAnsi="宋体" w:cs="宋体"/>
                <w:color w:val="000000"/>
                <w:sz w:val="24"/>
                <w:highlight w:val="none"/>
                <w:lang w:val="en-US" w:eastAsia="zh-CN"/>
              </w:rPr>
              <w:t>下浮30%</w:t>
            </w:r>
            <w:r>
              <w:rPr>
                <w:rFonts w:hint="eastAsia" w:ascii="宋体" w:hAnsi="宋体" w:eastAsia="宋体" w:cs="宋体"/>
                <w:color w:val="000000"/>
                <w:sz w:val="24"/>
                <w:highlight w:val="none"/>
              </w:rPr>
              <w:t>执行（不含税）。</w:t>
            </w:r>
          </w:p>
        </w:tc>
      </w:tr>
    </w:tbl>
    <w:p w14:paraId="27E5E64A">
      <w:pPr>
        <w:pStyle w:val="4"/>
        <w:spacing w:before="100" w:beforeAutospacing="1" w:after="100" w:afterAutospacing="1" w:line="276"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4" w:name="_Toc267301282"/>
      <w:bookmarkStart w:id="15" w:name="_Toc349573121"/>
      <w:bookmarkStart w:id="16" w:name="_Toc83726731"/>
      <w:bookmarkStart w:id="17" w:name="_Toc349637920"/>
      <w:bookmarkStart w:id="18" w:name="_Toc298240405"/>
      <w:r>
        <w:rPr>
          <w:rFonts w:hint="eastAsia" w:ascii="宋体" w:hAnsi="宋体" w:eastAsia="宋体" w:cs="宋体"/>
          <w:color w:val="auto"/>
          <w:sz w:val="28"/>
          <w:szCs w:val="28"/>
          <w:highlight w:val="none"/>
        </w:rPr>
        <w:t>A  说　明</w:t>
      </w:r>
      <w:bookmarkEnd w:id="14"/>
      <w:bookmarkEnd w:id="15"/>
      <w:bookmarkEnd w:id="16"/>
      <w:bookmarkEnd w:id="17"/>
      <w:bookmarkEnd w:id="18"/>
    </w:p>
    <w:p w14:paraId="27D15E9F">
      <w:pPr>
        <w:spacing w:line="276" w:lineRule="auto"/>
        <w:rPr>
          <w:rFonts w:hint="eastAsia" w:ascii="宋体" w:hAnsi="宋体" w:cs="宋体"/>
          <w:color w:val="auto"/>
          <w:sz w:val="24"/>
          <w:highlight w:val="none"/>
        </w:rPr>
      </w:pPr>
      <w:r>
        <w:rPr>
          <w:rFonts w:hint="eastAsia" w:ascii="宋体" w:hAnsi="宋体" w:cs="宋体"/>
          <w:color w:val="auto"/>
          <w:sz w:val="24"/>
          <w:highlight w:val="none"/>
        </w:rPr>
        <w:t>1. 适用范围</w:t>
      </w:r>
    </w:p>
    <w:p w14:paraId="5F1510DC">
      <w:pPr>
        <w:numPr>
          <w:ilvl w:val="1"/>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 xml:space="preserve"> 本磋商文件仅适用于本次磋商邀请中所叙述项目的采购。</w:t>
      </w:r>
    </w:p>
    <w:p w14:paraId="17272DC5">
      <w:pPr>
        <w:spacing w:line="276" w:lineRule="auto"/>
        <w:rPr>
          <w:rFonts w:hint="eastAsia" w:ascii="宋体" w:hAnsi="宋体" w:cs="宋体"/>
          <w:color w:val="auto"/>
          <w:sz w:val="24"/>
          <w:highlight w:val="none"/>
        </w:rPr>
      </w:pPr>
      <w:r>
        <w:rPr>
          <w:rFonts w:hint="eastAsia" w:ascii="宋体" w:hAnsi="宋体" w:cs="宋体"/>
          <w:color w:val="auto"/>
          <w:sz w:val="24"/>
          <w:highlight w:val="none"/>
        </w:rPr>
        <w:t>2．定义</w:t>
      </w:r>
    </w:p>
    <w:p w14:paraId="7285CAA0">
      <w:pPr>
        <w:spacing w:line="276" w:lineRule="auto"/>
        <w:rPr>
          <w:rFonts w:hint="eastAsia" w:ascii="宋体" w:hAnsi="宋体" w:cs="宋体"/>
          <w:color w:val="auto"/>
          <w:sz w:val="24"/>
          <w:highlight w:val="none"/>
        </w:rPr>
      </w:pPr>
      <w:r>
        <w:rPr>
          <w:rFonts w:hint="eastAsia" w:ascii="宋体" w:hAnsi="宋体" w:cs="宋体"/>
          <w:color w:val="auto"/>
          <w:sz w:val="24"/>
          <w:highlight w:val="none"/>
        </w:rPr>
        <w:t>2.1 “采购代理机构”系指新疆招标有限公司；</w:t>
      </w:r>
    </w:p>
    <w:p w14:paraId="61D1F3A7">
      <w:pPr>
        <w:spacing w:line="276" w:lineRule="auto"/>
        <w:ind w:left="480" w:hanging="480" w:hangingChars="200"/>
        <w:rPr>
          <w:rFonts w:hint="eastAsia" w:ascii="宋体" w:hAnsi="宋体" w:cs="宋体"/>
          <w:color w:val="auto"/>
          <w:sz w:val="24"/>
          <w:highlight w:val="none"/>
        </w:rPr>
      </w:pPr>
      <w:r>
        <w:rPr>
          <w:rFonts w:hint="eastAsia" w:ascii="宋体" w:hAnsi="宋体" w:cs="宋体"/>
          <w:color w:val="auto"/>
          <w:sz w:val="24"/>
          <w:highlight w:val="none"/>
        </w:rPr>
        <w:t>2.2 “买方、采购人”系指</w:t>
      </w:r>
      <w:r>
        <w:rPr>
          <w:rFonts w:hint="eastAsia" w:ascii="宋体" w:hAnsi="宋体" w:cs="宋体"/>
          <w:color w:val="auto"/>
          <w:sz w:val="24"/>
          <w:szCs w:val="24"/>
          <w:highlight w:val="none"/>
          <w:lang w:eastAsia="zh-CN"/>
        </w:rPr>
        <w:t>新疆维吾尔自治区交通运输综合行政执法局</w:t>
      </w:r>
      <w:r>
        <w:rPr>
          <w:rFonts w:hint="eastAsia" w:ascii="宋体" w:hAnsi="宋体" w:cs="宋体"/>
          <w:color w:val="auto"/>
          <w:sz w:val="24"/>
          <w:highlight w:val="none"/>
        </w:rPr>
        <w:t>；</w:t>
      </w:r>
    </w:p>
    <w:p w14:paraId="51D8C8DF">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 “供应商”系指向采购代理机构提交磋商响应文件的供应商；</w:t>
      </w:r>
    </w:p>
    <w:p w14:paraId="7E214F4A">
      <w:pPr>
        <w:spacing w:line="276" w:lineRule="auto"/>
        <w:rPr>
          <w:rFonts w:hint="eastAsia" w:ascii="宋体" w:hAnsi="宋体" w:cs="宋体"/>
          <w:color w:val="auto"/>
          <w:sz w:val="24"/>
          <w:highlight w:val="none"/>
        </w:rPr>
      </w:pPr>
      <w:r>
        <w:rPr>
          <w:rFonts w:hint="eastAsia" w:ascii="宋体" w:hAnsi="宋体" w:cs="宋体"/>
          <w:color w:val="auto"/>
          <w:sz w:val="24"/>
          <w:highlight w:val="none"/>
        </w:rPr>
        <w:t>2.4 “成交方”系指在本次项目中将被授予合同的供应商。</w:t>
      </w:r>
    </w:p>
    <w:p w14:paraId="73CF5AF2">
      <w:pPr>
        <w:spacing w:line="276" w:lineRule="auto"/>
        <w:rPr>
          <w:rFonts w:hint="eastAsia" w:ascii="宋体" w:hAnsi="宋体" w:cs="宋体"/>
          <w:color w:val="auto"/>
          <w:sz w:val="24"/>
          <w:highlight w:val="none"/>
        </w:rPr>
      </w:pPr>
      <w:r>
        <w:rPr>
          <w:rFonts w:hint="eastAsia" w:ascii="宋体" w:hAnsi="宋体" w:cs="宋体"/>
          <w:color w:val="auto"/>
          <w:sz w:val="24"/>
          <w:highlight w:val="none"/>
        </w:rPr>
        <w:t>3．合格的供应商</w:t>
      </w:r>
    </w:p>
    <w:p w14:paraId="6B4A90B7">
      <w:pPr>
        <w:spacing w:line="276" w:lineRule="auto"/>
        <w:ind w:left="480" w:hanging="480" w:hangingChars="200"/>
        <w:rPr>
          <w:rFonts w:hint="eastAsia" w:ascii="宋体" w:hAnsi="宋体" w:cs="宋体"/>
          <w:color w:val="auto"/>
          <w:sz w:val="24"/>
          <w:highlight w:val="none"/>
        </w:rPr>
      </w:pPr>
      <w:r>
        <w:rPr>
          <w:rFonts w:hint="eastAsia" w:ascii="宋体" w:hAnsi="宋体" w:cs="宋体"/>
          <w:color w:val="auto"/>
          <w:sz w:val="24"/>
          <w:highlight w:val="none"/>
        </w:rPr>
        <w:t>3.1 有能力提供磋商文件中所要求的服务、资格审查合格的为合格的供应商；</w:t>
      </w:r>
    </w:p>
    <w:p w14:paraId="361016AB">
      <w:pPr>
        <w:spacing w:line="276" w:lineRule="auto"/>
        <w:rPr>
          <w:rFonts w:hint="eastAsia" w:ascii="宋体" w:hAnsi="宋体" w:cs="宋体"/>
          <w:color w:val="auto"/>
          <w:sz w:val="24"/>
          <w:highlight w:val="none"/>
        </w:rPr>
      </w:pPr>
      <w:r>
        <w:rPr>
          <w:rFonts w:hint="eastAsia" w:ascii="宋体" w:hAnsi="宋体" w:cs="宋体"/>
          <w:color w:val="auto"/>
          <w:sz w:val="24"/>
          <w:highlight w:val="none"/>
        </w:rPr>
        <w:t>3.2 供应商必须遵守有关的国内法律和规章条例。</w:t>
      </w:r>
    </w:p>
    <w:p w14:paraId="0065B9C4">
      <w:pPr>
        <w:spacing w:line="276" w:lineRule="auto"/>
        <w:ind w:left="482" w:hanging="482" w:hangingChars="200"/>
        <w:rPr>
          <w:rFonts w:hint="eastAsia" w:ascii="宋体" w:hAnsi="宋体" w:cs="宋体"/>
          <w:b/>
          <w:color w:val="auto"/>
          <w:sz w:val="24"/>
          <w:highlight w:val="none"/>
        </w:rPr>
      </w:pPr>
      <w:r>
        <w:rPr>
          <w:rFonts w:hint="eastAsia" w:ascii="宋体" w:hAnsi="宋体" w:cs="宋体"/>
          <w:b/>
          <w:color w:val="auto"/>
          <w:sz w:val="24"/>
          <w:highlight w:val="none"/>
        </w:rPr>
        <w:t>4．供应商资格(废标因素)详见“供应商须知附表第6条”。</w:t>
      </w:r>
    </w:p>
    <w:p w14:paraId="5561F614">
      <w:pPr>
        <w:tabs>
          <w:tab w:val="left" w:pos="252"/>
          <w:tab w:val="left" w:pos="671"/>
        </w:tabs>
        <w:spacing w:line="276" w:lineRule="auto"/>
        <w:rPr>
          <w:rFonts w:hint="eastAsia" w:ascii="宋体" w:hAnsi="宋体" w:cs="宋体"/>
          <w:color w:val="auto"/>
          <w:sz w:val="24"/>
          <w:highlight w:val="none"/>
        </w:rPr>
      </w:pPr>
      <w:r>
        <w:rPr>
          <w:rFonts w:hint="eastAsia" w:ascii="宋体" w:hAnsi="宋体" w:cs="宋体"/>
          <w:color w:val="auto"/>
          <w:sz w:val="24"/>
          <w:highlight w:val="none"/>
        </w:rPr>
        <w:t>5．磋商费用</w:t>
      </w:r>
    </w:p>
    <w:p w14:paraId="7C299F2E">
      <w:pPr>
        <w:spacing w:line="276" w:lineRule="auto"/>
        <w:ind w:left="480" w:hanging="480"/>
        <w:rPr>
          <w:rFonts w:hint="eastAsia" w:ascii="宋体" w:hAnsi="宋体" w:cs="宋体"/>
          <w:color w:val="auto"/>
          <w:sz w:val="24"/>
          <w:highlight w:val="none"/>
        </w:rPr>
      </w:pPr>
      <w:r>
        <w:rPr>
          <w:rFonts w:hint="eastAsia" w:ascii="宋体" w:hAnsi="宋体" w:cs="宋体"/>
          <w:color w:val="auto"/>
          <w:sz w:val="24"/>
          <w:highlight w:val="none"/>
        </w:rPr>
        <w:t>5.1无论磋商结果如何，供应商将自行承担所有与参加磋商有关的全部费用。</w:t>
      </w:r>
    </w:p>
    <w:p w14:paraId="631489F0">
      <w:pPr>
        <w:spacing w:line="276" w:lineRule="auto"/>
        <w:ind w:left="480" w:hanging="480"/>
        <w:rPr>
          <w:rFonts w:hint="eastAsia" w:ascii="宋体" w:hAnsi="宋体" w:cs="宋体"/>
          <w:color w:val="auto"/>
          <w:sz w:val="24"/>
          <w:highlight w:val="none"/>
        </w:rPr>
      </w:pPr>
    </w:p>
    <w:p w14:paraId="10045000">
      <w:pPr>
        <w:pStyle w:val="4"/>
        <w:spacing w:before="100" w:beforeAutospacing="1" w:after="100" w:afterAutospacing="1" w:line="276" w:lineRule="auto"/>
        <w:jc w:val="center"/>
        <w:rPr>
          <w:rFonts w:hint="eastAsia" w:ascii="宋体" w:hAnsi="宋体" w:eastAsia="宋体" w:cs="宋体"/>
          <w:color w:val="auto"/>
          <w:sz w:val="28"/>
          <w:szCs w:val="28"/>
          <w:highlight w:val="none"/>
        </w:rPr>
      </w:pPr>
      <w:bookmarkStart w:id="19" w:name="_Toc349573122"/>
      <w:bookmarkStart w:id="20" w:name="_Toc298240406"/>
      <w:bookmarkStart w:id="21" w:name="_Toc83726732"/>
      <w:bookmarkStart w:id="22" w:name="_Toc349637921"/>
      <w:bookmarkStart w:id="23" w:name="_Toc267301283"/>
      <w:r>
        <w:rPr>
          <w:rFonts w:hint="eastAsia" w:ascii="宋体" w:hAnsi="宋体" w:eastAsia="宋体" w:cs="宋体"/>
          <w:color w:val="auto"/>
          <w:sz w:val="28"/>
          <w:szCs w:val="28"/>
          <w:highlight w:val="none"/>
        </w:rPr>
        <w:t>B  磋商文件</w:t>
      </w:r>
      <w:bookmarkEnd w:id="19"/>
      <w:bookmarkEnd w:id="20"/>
      <w:bookmarkEnd w:id="21"/>
      <w:bookmarkEnd w:id="22"/>
      <w:bookmarkEnd w:id="23"/>
    </w:p>
    <w:p w14:paraId="63F0B98F">
      <w:pPr>
        <w:spacing w:line="276" w:lineRule="auto"/>
        <w:rPr>
          <w:rFonts w:hint="eastAsia" w:ascii="宋体" w:hAnsi="宋体" w:cs="宋体"/>
          <w:color w:val="auto"/>
          <w:sz w:val="24"/>
          <w:highlight w:val="none"/>
        </w:rPr>
      </w:pPr>
      <w:r>
        <w:rPr>
          <w:rFonts w:hint="eastAsia" w:ascii="宋体" w:hAnsi="宋体" w:cs="宋体"/>
          <w:color w:val="auto"/>
          <w:sz w:val="24"/>
          <w:highlight w:val="none"/>
        </w:rPr>
        <w:t>6．磋商文件构成</w:t>
      </w:r>
    </w:p>
    <w:p w14:paraId="2F054108">
      <w:pPr>
        <w:spacing w:line="276" w:lineRule="auto"/>
        <w:rPr>
          <w:rFonts w:hint="eastAsia" w:ascii="宋体" w:hAnsi="宋体" w:cs="宋体"/>
          <w:color w:val="auto"/>
          <w:sz w:val="24"/>
          <w:highlight w:val="none"/>
        </w:rPr>
      </w:pPr>
      <w:r>
        <w:rPr>
          <w:rFonts w:hint="eastAsia" w:ascii="宋体" w:hAnsi="宋体" w:cs="宋体"/>
          <w:color w:val="auto"/>
          <w:sz w:val="24"/>
          <w:highlight w:val="none"/>
        </w:rPr>
        <w:t>6.1磋商文件包括：</w:t>
      </w:r>
    </w:p>
    <w:p w14:paraId="4C9D7FDF">
      <w:pPr>
        <w:spacing w:line="276" w:lineRule="auto"/>
        <w:ind w:firstLine="240"/>
        <w:rPr>
          <w:rFonts w:hint="eastAsia" w:ascii="宋体" w:hAnsi="宋体" w:cs="宋体"/>
          <w:color w:val="auto"/>
          <w:sz w:val="24"/>
          <w:highlight w:val="none"/>
        </w:rPr>
      </w:pPr>
      <w:r>
        <w:rPr>
          <w:rFonts w:hint="eastAsia" w:ascii="宋体" w:hAnsi="宋体" w:cs="宋体"/>
          <w:color w:val="auto"/>
          <w:sz w:val="24"/>
          <w:highlight w:val="none"/>
        </w:rPr>
        <w:t>（1）磋商邀请；</w:t>
      </w:r>
    </w:p>
    <w:p w14:paraId="04C58D08">
      <w:pPr>
        <w:spacing w:line="276" w:lineRule="auto"/>
        <w:ind w:firstLine="240"/>
        <w:rPr>
          <w:rFonts w:hint="eastAsia" w:ascii="宋体" w:hAnsi="宋体" w:cs="宋体"/>
          <w:color w:val="auto"/>
          <w:sz w:val="24"/>
          <w:highlight w:val="none"/>
        </w:rPr>
      </w:pPr>
      <w:r>
        <w:rPr>
          <w:rFonts w:hint="eastAsia" w:ascii="宋体" w:hAnsi="宋体" w:cs="宋体"/>
          <w:color w:val="auto"/>
          <w:sz w:val="24"/>
          <w:highlight w:val="none"/>
        </w:rPr>
        <w:t>（2）供应商须知；</w:t>
      </w:r>
    </w:p>
    <w:p w14:paraId="7CD3C6EC">
      <w:pPr>
        <w:spacing w:line="276" w:lineRule="auto"/>
        <w:ind w:firstLine="240"/>
        <w:rPr>
          <w:rFonts w:hint="eastAsia" w:ascii="宋体" w:hAnsi="宋体" w:cs="宋体"/>
          <w:color w:val="auto"/>
          <w:sz w:val="24"/>
          <w:highlight w:val="none"/>
        </w:rPr>
      </w:pPr>
      <w:r>
        <w:rPr>
          <w:rFonts w:hint="eastAsia" w:ascii="宋体" w:hAnsi="宋体" w:cs="宋体"/>
          <w:color w:val="auto"/>
          <w:sz w:val="24"/>
          <w:highlight w:val="none"/>
        </w:rPr>
        <w:t>（3）服务需求及技术要求；</w:t>
      </w:r>
    </w:p>
    <w:p w14:paraId="7A9C5050">
      <w:pPr>
        <w:spacing w:line="276" w:lineRule="auto"/>
        <w:ind w:firstLine="240"/>
        <w:rPr>
          <w:rFonts w:hint="eastAsia" w:ascii="宋体" w:hAnsi="宋体" w:cs="宋体"/>
          <w:color w:val="auto"/>
          <w:sz w:val="24"/>
          <w:highlight w:val="none"/>
        </w:rPr>
      </w:pPr>
      <w:r>
        <w:rPr>
          <w:rFonts w:hint="eastAsia" w:ascii="宋体" w:hAnsi="宋体" w:cs="宋体"/>
          <w:color w:val="auto"/>
          <w:sz w:val="24"/>
          <w:highlight w:val="none"/>
        </w:rPr>
        <w:t>（4）合同一般条款；</w:t>
      </w:r>
    </w:p>
    <w:p w14:paraId="54F1B401">
      <w:pPr>
        <w:spacing w:line="276" w:lineRule="auto"/>
        <w:ind w:firstLine="240"/>
        <w:rPr>
          <w:rFonts w:hint="eastAsia" w:ascii="宋体" w:hAnsi="宋体" w:cs="宋体"/>
          <w:color w:val="auto"/>
          <w:sz w:val="24"/>
          <w:highlight w:val="none"/>
        </w:rPr>
      </w:pPr>
      <w:r>
        <w:rPr>
          <w:rFonts w:hint="eastAsia" w:ascii="宋体" w:hAnsi="宋体" w:cs="宋体"/>
          <w:color w:val="auto"/>
          <w:sz w:val="24"/>
          <w:highlight w:val="none"/>
        </w:rPr>
        <w:t>（5）范本格式。</w:t>
      </w:r>
    </w:p>
    <w:p w14:paraId="45B8AB6C">
      <w:pPr>
        <w:spacing w:line="276" w:lineRule="auto"/>
        <w:rPr>
          <w:rFonts w:hint="eastAsia" w:ascii="宋体" w:hAnsi="宋体" w:cs="宋体"/>
          <w:color w:val="auto"/>
          <w:sz w:val="24"/>
          <w:highlight w:val="none"/>
        </w:rPr>
      </w:pPr>
      <w:r>
        <w:rPr>
          <w:rFonts w:hint="eastAsia" w:ascii="宋体" w:hAnsi="宋体" w:cs="宋体"/>
          <w:color w:val="auto"/>
          <w:sz w:val="24"/>
          <w:highlight w:val="none"/>
        </w:rPr>
        <w:t>6.2 磋商文件以中文编写。</w:t>
      </w:r>
    </w:p>
    <w:p w14:paraId="1BA4FA26">
      <w:pPr>
        <w:spacing w:line="276" w:lineRule="auto"/>
        <w:ind w:left="360" w:hanging="360" w:hangingChars="150"/>
        <w:rPr>
          <w:rFonts w:hint="eastAsia" w:ascii="宋体" w:hAnsi="宋体" w:cs="宋体"/>
          <w:color w:val="auto"/>
          <w:sz w:val="24"/>
          <w:highlight w:val="none"/>
        </w:rPr>
      </w:pPr>
      <w:r>
        <w:rPr>
          <w:rFonts w:hint="eastAsia" w:ascii="宋体" w:hAnsi="宋体" w:cs="宋体"/>
          <w:color w:val="auto"/>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7BA54974">
      <w:pPr>
        <w:spacing w:line="276" w:lineRule="auto"/>
        <w:rPr>
          <w:rFonts w:hint="eastAsia" w:ascii="宋体" w:hAnsi="宋体" w:cs="宋体"/>
          <w:color w:val="auto"/>
          <w:sz w:val="24"/>
          <w:highlight w:val="none"/>
        </w:rPr>
      </w:pPr>
      <w:r>
        <w:rPr>
          <w:rFonts w:hint="eastAsia" w:ascii="宋体" w:hAnsi="宋体" w:cs="宋体"/>
          <w:color w:val="auto"/>
          <w:sz w:val="24"/>
          <w:highlight w:val="none"/>
        </w:rPr>
        <w:t>7．磋商文件澄清</w:t>
      </w:r>
    </w:p>
    <w:p w14:paraId="6D69D5FE">
      <w:pPr>
        <w:spacing w:line="276" w:lineRule="auto"/>
        <w:ind w:left="480" w:hanging="480"/>
        <w:rPr>
          <w:rFonts w:hint="eastAsia" w:ascii="宋体" w:hAnsi="宋体" w:cs="宋体"/>
          <w:color w:val="auto"/>
          <w:sz w:val="24"/>
          <w:highlight w:val="none"/>
        </w:rPr>
      </w:pPr>
      <w:r>
        <w:rPr>
          <w:rFonts w:hint="eastAsia" w:ascii="宋体" w:hAnsi="宋体" w:cs="宋体"/>
          <w:color w:val="auto"/>
          <w:sz w:val="24"/>
          <w:highlight w:val="none"/>
        </w:rPr>
        <w:t>7.1 供应商对磋商文件有疑问的，可以向采购代理机构提出询问，采购代理机构将及时做出答复；</w:t>
      </w:r>
    </w:p>
    <w:p w14:paraId="19944BF1">
      <w:pPr>
        <w:spacing w:line="276" w:lineRule="auto"/>
        <w:ind w:left="480" w:hanging="480"/>
        <w:rPr>
          <w:rFonts w:hint="eastAsia" w:ascii="宋体" w:hAnsi="宋体" w:cs="宋体"/>
          <w:color w:val="auto"/>
          <w:sz w:val="24"/>
          <w:highlight w:val="none"/>
        </w:rPr>
      </w:pPr>
      <w:r>
        <w:rPr>
          <w:rFonts w:hint="eastAsia" w:ascii="宋体" w:hAnsi="宋体" w:cs="宋体"/>
          <w:color w:val="auto"/>
          <w:sz w:val="24"/>
          <w:highlight w:val="none"/>
        </w:rPr>
        <w:t>7.2 供应商对磋商文件有质疑，须在得到磋商文件之日起至质疑截止时间止，以书面形式向采购代理机构提出质疑；采购代理机构在收到书面质疑后7个工作日内做出答复，并以书面形式通知质疑供应商。</w:t>
      </w:r>
    </w:p>
    <w:p w14:paraId="76C7D6FD">
      <w:pPr>
        <w:spacing w:line="276" w:lineRule="auto"/>
        <w:rPr>
          <w:rFonts w:hint="eastAsia" w:ascii="宋体" w:hAnsi="宋体" w:cs="宋体"/>
          <w:color w:val="auto"/>
          <w:sz w:val="24"/>
          <w:highlight w:val="none"/>
        </w:rPr>
      </w:pPr>
      <w:r>
        <w:rPr>
          <w:rFonts w:hint="eastAsia" w:ascii="宋体" w:hAnsi="宋体" w:cs="宋体"/>
          <w:color w:val="auto"/>
          <w:sz w:val="24"/>
          <w:highlight w:val="none"/>
        </w:rPr>
        <w:t>8．磋商文件的修改</w:t>
      </w:r>
    </w:p>
    <w:p w14:paraId="08F64F68">
      <w:pPr>
        <w:spacing w:line="276" w:lineRule="auto"/>
        <w:ind w:left="480" w:hanging="480"/>
        <w:rPr>
          <w:rFonts w:hint="eastAsia" w:ascii="宋体" w:hAnsi="宋体" w:cs="宋体"/>
          <w:color w:val="auto"/>
          <w:sz w:val="24"/>
          <w:highlight w:val="none"/>
        </w:rPr>
      </w:pPr>
      <w:r>
        <w:rPr>
          <w:rFonts w:hint="eastAsia" w:ascii="宋体" w:hAnsi="宋体" w:cs="宋体"/>
          <w:color w:val="auto"/>
          <w:sz w:val="24"/>
          <w:highlight w:val="none"/>
        </w:rPr>
        <w:t>8.1 对磋商文件进行必要的修改，采购代理机构将在磋商响应截止时间5日前以书面形式通知所有购买磋商文件的供应商。该修改的内容为磋商文件的组成部分；</w:t>
      </w:r>
    </w:p>
    <w:p w14:paraId="1C8C42C2">
      <w:pPr>
        <w:spacing w:line="276" w:lineRule="auto"/>
        <w:ind w:left="480" w:hanging="480"/>
        <w:rPr>
          <w:rFonts w:hint="eastAsia" w:ascii="宋体" w:hAnsi="宋体" w:cs="宋体"/>
          <w:color w:val="auto"/>
          <w:sz w:val="24"/>
          <w:highlight w:val="none"/>
        </w:rPr>
      </w:pPr>
      <w:r>
        <w:rPr>
          <w:rFonts w:hint="eastAsia" w:ascii="宋体" w:hAnsi="宋体" w:cs="宋体"/>
          <w:color w:val="auto"/>
          <w:sz w:val="24"/>
          <w:highlight w:val="none"/>
        </w:rPr>
        <w:t>8.2 在磋商响应截止时间前，采购代理机构可视具体情况延长磋商响应截止时间，并将变更时间书面通知所有购买磋商文件的供应商。</w:t>
      </w:r>
    </w:p>
    <w:p w14:paraId="47093AAA">
      <w:pPr>
        <w:spacing w:line="276" w:lineRule="auto"/>
        <w:ind w:left="480" w:hanging="480"/>
        <w:rPr>
          <w:rFonts w:hint="eastAsia" w:ascii="宋体" w:hAnsi="宋体" w:cs="宋体"/>
          <w:color w:val="auto"/>
          <w:sz w:val="24"/>
          <w:highlight w:val="none"/>
        </w:rPr>
      </w:pPr>
    </w:p>
    <w:p w14:paraId="0DA0649F">
      <w:pPr>
        <w:pStyle w:val="4"/>
        <w:spacing w:before="100" w:beforeAutospacing="1" w:after="100" w:afterAutospacing="1" w:line="276" w:lineRule="auto"/>
        <w:jc w:val="center"/>
        <w:rPr>
          <w:rFonts w:hint="eastAsia" w:ascii="宋体" w:hAnsi="宋体" w:eastAsia="宋体" w:cs="宋体"/>
          <w:color w:val="auto"/>
          <w:sz w:val="28"/>
          <w:szCs w:val="28"/>
          <w:highlight w:val="none"/>
        </w:rPr>
      </w:pPr>
      <w:bookmarkStart w:id="24" w:name="_Toc83726733"/>
      <w:bookmarkStart w:id="25" w:name="_Toc349637922"/>
      <w:bookmarkStart w:id="26" w:name="_Toc267301284"/>
      <w:bookmarkStart w:id="27" w:name="_Toc349573123"/>
      <w:bookmarkStart w:id="28" w:name="_Toc298240407"/>
      <w:r>
        <w:rPr>
          <w:rFonts w:hint="eastAsia" w:ascii="宋体" w:hAnsi="宋体" w:eastAsia="宋体" w:cs="宋体"/>
          <w:color w:val="auto"/>
          <w:sz w:val="28"/>
          <w:szCs w:val="28"/>
          <w:highlight w:val="none"/>
        </w:rPr>
        <w:t>C  磋商响应文件的编写</w:t>
      </w:r>
      <w:bookmarkEnd w:id="24"/>
      <w:bookmarkEnd w:id="25"/>
      <w:bookmarkEnd w:id="26"/>
      <w:bookmarkEnd w:id="27"/>
      <w:bookmarkEnd w:id="28"/>
    </w:p>
    <w:p w14:paraId="354183D0">
      <w:pPr>
        <w:spacing w:line="276" w:lineRule="auto"/>
        <w:rPr>
          <w:rFonts w:hint="eastAsia" w:ascii="宋体" w:hAnsi="宋体" w:cs="宋体"/>
          <w:color w:val="auto"/>
          <w:sz w:val="24"/>
          <w:highlight w:val="none"/>
        </w:rPr>
      </w:pPr>
      <w:r>
        <w:rPr>
          <w:rFonts w:hint="eastAsia" w:ascii="宋体" w:hAnsi="宋体" w:cs="宋体"/>
          <w:color w:val="auto"/>
          <w:sz w:val="24"/>
          <w:highlight w:val="none"/>
        </w:rPr>
        <w:t>9．要求</w:t>
      </w:r>
    </w:p>
    <w:p w14:paraId="2CD737B6">
      <w:pPr>
        <w:spacing w:line="276" w:lineRule="auto"/>
        <w:ind w:left="360" w:hanging="360" w:hangingChars="150"/>
        <w:rPr>
          <w:rFonts w:hint="eastAsia" w:ascii="宋体" w:hAnsi="宋体" w:cs="宋体"/>
          <w:color w:val="auto"/>
          <w:sz w:val="24"/>
          <w:highlight w:val="none"/>
        </w:rPr>
      </w:pPr>
      <w:r>
        <w:rPr>
          <w:rFonts w:hint="eastAsia" w:ascii="宋体" w:hAnsi="宋体" w:cs="宋体"/>
          <w:color w:val="auto"/>
          <w:sz w:val="24"/>
          <w:highlight w:val="none"/>
        </w:rPr>
        <w:t>9.1 供应商应仔细阅读磋商文件的所有内容，按磋商文件的要求提供磋商响应文件，并保证所提供的全部资料的真实性，以使其对磋商文件作出实质性响应，否则，其磋商可能被拒绝。</w:t>
      </w:r>
    </w:p>
    <w:p w14:paraId="2871C9D7">
      <w:pPr>
        <w:spacing w:line="276" w:lineRule="auto"/>
        <w:rPr>
          <w:rFonts w:hint="eastAsia" w:ascii="宋体" w:hAnsi="宋体" w:cs="宋体"/>
          <w:color w:val="auto"/>
          <w:sz w:val="24"/>
          <w:highlight w:val="none"/>
        </w:rPr>
      </w:pPr>
      <w:r>
        <w:rPr>
          <w:rFonts w:hint="eastAsia" w:ascii="宋体" w:hAnsi="宋体" w:cs="宋体"/>
          <w:color w:val="auto"/>
          <w:sz w:val="24"/>
          <w:highlight w:val="none"/>
        </w:rPr>
        <w:t>10．磋商语言</w:t>
      </w:r>
    </w:p>
    <w:p w14:paraId="027D1A6A">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10.1磋商响应文件及供应商与采购代理机构就磋商交换的文件和来往信件，应以中文书写。</w:t>
      </w:r>
    </w:p>
    <w:p w14:paraId="4617310A">
      <w:pPr>
        <w:spacing w:line="276" w:lineRule="auto"/>
        <w:rPr>
          <w:rFonts w:hint="eastAsia" w:ascii="宋体" w:hAnsi="宋体" w:cs="宋体"/>
          <w:color w:val="auto"/>
          <w:sz w:val="24"/>
          <w:highlight w:val="none"/>
        </w:rPr>
      </w:pPr>
      <w:r>
        <w:rPr>
          <w:rFonts w:hint="eastAsia" w:ascii="宋体" w:hAnsi="宋体" w:cs="宋体"/>
          <w:color w:val="auto"/>
          <w:sz w:val="24"/>
          <w:highlight w:val="none"/>
        </w:rPr>
        <w:t>11．磋商响应文件的构成</w:t>
      </w:r>
    </w:p>
    <w:p w14:paraId="3CCA906F">
      <w:pPr>
        <w:spacing w:line="276" w:lineRule="auto"/>
        <w:rPr>
          <w:rFonts w:hint="eastAsia" w:ascii="宋体" w:hAnsi="宋体" w:cs="宋体"/>
          <w:color w:val="auto"/>
          <w:sz w:val="24"/>
          <w:highlight w:val="none"/>
        </w:rPr>
      </w:pPr>
      <w:r>
        <w:rPr>
          <w:rFonts w:hint="eastAsia" w:ascii="宋体" w:hAnsi="宋体" w:cs="宋体"/>
          <w:color w:val="auto"/>
          <w:sz w:val="24"/>
          <w:highlight w:val="none"/>
        </w:rPr>
        <w:t>11.1 供应商编写的磋商响应文件应包括下列内容：</w:t>
      </w:r>
    </w:p>
    <w:p w14:paraId="15935E33">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磋商响应书、报价一览表、分项报价表；</w:t>
      </w:r>
    </w:p>
    <w:p w14:paraId="48B88AAD">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资格证明文件；填写供应商简介表一份</w:t>
      </w:r>
    </w:p>
    <w:p w14:paraId="345E2C4B">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所投服务的相关技术/证明资料（包括服务方案）；</w:t>
      </w:r>
    </w:p>
    <w:p w14:paraId="6D4645E9">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磋商文件服务需求及技术规格、合同特殊条款中要求提交的文件资料。</w:t>
      </w:r>
    </w:p>
    <w:p w14:paraId="08A038CB">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 xml:space="preserve">授权委托书及受委托人身份证复印件； </w:t>
      </w:r>
    </w:p>
    <w:p w14:paraId="448311DD">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 xml:space="preserve">商务条款偏离表； </w:t>
      </w:r>
    </w:p>
    <w:p w14:paraId="69B9C32E">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供应商基本情况表；</w:t>
      </w:r>
    </w:p>
    <w:p w14:paraId="2D69D64D">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项目负责人及成员情况表；</w:t>
      </w:r>
    </w:p>
    <w:p w14:paraId="17B8E5CD">
      <w:pPr>
        <w:numPr>
          <w:ilvl w:val="0"/>
          <w:numId w:val="9"/>
        </w:numPr>
        <w:tabs>
          <w:tab w:val="left" w:pos="540"/>
          <w:tab w:val="left" w:pos="900"/>
          <w:tab w:val="left" w:pos="1080"/>
          <w:tab w:val="clear" w:pos="1440"/>
        </w:tabs>
        <w:spacing w:line="276" w:lineRule="auto"/>
        <w:ind w:left="720" w:hanging="360"/>
        <w:rPr>
          <w:rFonts w:hint="eastAsia" w:ascii="宋体" w:hAnsi="宋体" w:cs="宋体"/>
          <w:color w:val="auto"/>
          <w:sz w:val="24"/>
          <w:highlight w:val="none"/>
        </w:rPr>
      </w:pPr>
      <w:r>
        <w:rPr>
          <w:rFonts w:hint="eastAsia" w:ascii="宋体" w:hAnsi="宋体" w:cs="宋体"/>
          <w:color w:val="auto"/>
          <w:sz w:val="24"/>
          <w:highlight w:val="none"/>
        </w:rPr>
        <w:t xml:space="preserve">供应商诚信承诺书。 </w:t>
      </w:r>
    </w:p>
    <w:p w14:paraId="1A0639BF">
      <w:pPr>
        <w:spacing w:line="276" w:lineRule="auto"/>
        <w:rPr>
          <w:rFonts w:hint="eastAsia" w:ascii="宋体" w:hAnsi="宋体" w:cs="宋体"/>
          <w:color w:val="auto"/>
          <w:sz w:val="24"/>
          <w:highlight w:val="none"/>
        </w:rPr>
      </w:pPr>
      <w:r>
        <w:rPr>
          <w:rFonts w:hint="eastAsia" w:ascii="宋体" w:hAnsi="宋体" w:cs="宋体"/>
          <w:color w:val="auto"/>
          <w:sz w:val="24"/>
          <w:highlight w:val="none"/>
        </w:rPr>
        <w:t>11.2 供应商应将磋商响应文件编制成册，并制作目录。</w:t>
      </w:r>
    </w:p>
    <w:p w14:paraId="11F3291C">
      <w:pPr>
        <w:spacing w:line="276" w:lineRule="auto"/>
        <w:rPr>
          <w:rFonts w:hint="eastAsia" w:ascii="宋体" w:hAnsi="宋体" w:cs="宋体"/>
          <w:color w:val="auto"/>
          <w:sz w:val="24"/>
          <w:highlight w:val="none"/>
        </w:rPr>
      </w:pPr>
      <w:r>
        <w:rPr>
          <w:rFonts w:hint="eastAsia" w:ascii="宋体" w:hAnsi="宋体" w:cs="宋体"/>
          <w:color w:val="auto"/>
          <w:sz w:val="24"/>
          <w:highlight w:val="none"/>
        </w:rPr>
        <w:t>12．磋商响应文件格式</w:t>
      </w:r>
    </w:p>
    <w:p w14:paraId="30B2E027">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12.1 供应商应按磋商文件的范本格式中提供的磋商响应文件格式填写磋商响应书、开标一览表、分项报价表。</w:t>
      </w:r>
    </w:p>
    <w:p w14:paraId="10912ED9">
      <w:pPr>
        <w:spacing w:line="276" w:lineRule="auto"/>
        <w:rPr>
          <w:rFonts w:hint="eastAsia" w:ascii="宋体" w:hAnsi="宋体" w:cs="宋体"/>
          <w:color w:val="auto"/>
          <w:sz w:val="24"/>
          <w:highlight w:val="none"/>
        </w:rPr>
      </w:pPr>
      <w:r>
        <w:rPr>
          <w:rFonts w:hint="eastAsia" w:ascii="宋体" w:hAnsi="宋体" w:cs="宋体"/>
          <w:color w:val="auto"/>
          <w:sz w:val="24"/>
          <w:highlight w:val="none"/>
        </w:rPr>
        <w:t>13．磋商报价</w:t>
      </w:r>
    </w:p>
    <w:p w14:paraId="2368742B">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13.1除本磋商文件另有规定外，供应商应按磋商文件所附相应的开标一览表格式标明拟提供服务的单价和总价等内容。报价以人民币报价，不接受有任何选择性报价。</w:t>
      </w:r>
    </w:p>
    <w:p w14:paraId="3B9C01D9">
      <w:pPr>
        <w:spacing w:line="276" w:lineRule="auto"/>
        <w:rPr>
          <w:rFonts w:hint="eastAsia" w:ascii="宋体" w:hAnsi="宋体" w:cs="宋体"/>
          <w:color w:val="auto"/>
          <w:sz w:val="24"/>
          <w:highlight w:val="none"/>
        </w:rPr>
      </w:pPr>
      <w:r>
        <w:rPr>
          <w:rFonts w:hint="eastAsia" w:ascii="宋体" w:hAnsi="宋体" w:cs="宋体"/>
          <w:color w:val="auto"/>
          <w:sz w:val="24"/>
          <w:highlight w:val="none"/>
        </w:rPr>
        <w:t>13.2 磋商报价应注意下列要求：</w:t>
      </w:r>
    </w:p>
    <w:p w14:paraId="5DC0C891">
      <w:pPr>
        <w:spacing w:line="276" w:lineRule="auto"/>
        <w:rPr>
          <w:rFonts w:hint="eastAsia" w:ascii="宋体" w:hAnsi="宋体" w:cs="宋体"/>
          <w:color w:val="auto"/>
          <w:sz w:val="24"/>
          <w:highlight w:val="none"/>
        </w:rPr>
      </w:pPr>
      <w:r>
        <w:rPr>
          <w:rFonts w:hint="eastAsia" w:ascii="宋体" w:hAnsi="宋体" w:cs="宋体"/>
          <w:color w:val="auto"/>
          <w:sz w:val="24"/>
          <w:highlight w:val="none"/>
        </w:rPr>
        <w:t>13.2.1磋商报价应包括实施该项目涵盖的所有费用。</w:t>
      </w:r>
    </w:p>
    <w:p w14:paraId="266C9043">
      <w:pPr>
        <w:spacing w:line="276" w:lineRule="auto"/>
        <w:ind w:left="629" w:hanging="628" w:hangingChars="262"/>
        <w:rPr>
          <w:rFonts w:hint="eastAsia" w:ascii="宋体" w:hAnsi="宋体" w:cs="宋体"/>
          <w:color w:val="auto"/>
          <w:sz w:val="24"/>
          <w:highlight w:val="none"/>
        </w:rPr>
      </w:pPr>
      <w:r>
        <w:rPr>
          <w:rFonts w:hint="eastAsia" w:ascii="宋体" w:hAnsi="宋体" w:cs="宋体"/>
          <w:color w:val="auto"/>
          <w:sz w:val="24"/>
          <w:highlight w:val="none"/>
        </w:rPr>
        <w:t>13.3 算术性修正。算术性修正是指对磋商响应文件的报价明细进行校核，并对其算术上和运算上的差错给予修正。修正的原则如下：</w:t>
      </w:r>
    </w:p>
    <w:p w14:paraId="3E2F19B7">
      <w:pPr>
        <w:spacing w:line="276"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13.3.1 当以小写表示的金额与大写表示的金额有差异时，以大写表示的金额为准；</w:t>
      </w:r>
    </w:p>
    <w:p w14:paraId="1F907FC4">
      <w:pPr>
        <w:spacing w:line="276"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13.3.2 当单价与数量相乘不等于合价时，以单价计算为准。如果单价有明显的小数点位置差错，应以标出的合价为准，同时对单价予以修正；</w:t>
      </w:r>
    </w:p>
    <w:p w14:paraId="0EE4B5DF">
      <w:pPr>
        <w:spacing w:line="276"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13.3.3 当各明细部分的价格累计不等于合价时，应以各明细的累计计数为准，修正合价。</w:t>
      </w:r>
    </w:p>
    <w:p w14:paraId="221F3B74">
      <w:pPr>
        <w:spacing w:line="276"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13.3.4 按以上原则对算术性差错修正，应取得供应商的同意，并确认修正后最终报价。如果供应商拒绝确认，则其磋商响应文件将不予以评审并按废标处理，没收其磋商担保。</w:t>
      </w:r>
    </w:p>
    <w:p w14:paraId="58C3CC57">
      <w:pPr>
        <w:spacing w:line="276"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13.3.5政府采购评审中出现下列情形之一的，评审委员会应当启动异常低价投标（响应）审查程序：</w:t>
      </w:r>
    </w:p>
    <w:p w14:paraId="6D134AB8">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①投标（响应）报价低于全部通过符合性审查供应商投标（响应）报价平均值50%的，即投标（响应）报价&lt;全部通过符合性审查供应商投标（响应）报价平均值×50%；</w:t>
      </w:r>
    </w:p>
    <w:p w14:paraId="09C51D33">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②投标（响应）报价低于通过符合性审查的次低报价供应商投标（响应）报价50%的，即投标（响应）报价&lt;通过符合性审查的次低报价供应商投标（响应）报价×50%；</w:t>
      </w:r>
    </w:p>
    <w:p w14:paraId="67CD6D9D">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③投标（响应）报价低于采购项目最高限价45%的，即投标（响应）报价&lt;采购项目最高限价×45%；</w:t>
      </w:r>
    </w:p>
    <w:p w14:paraId="3ABA5582">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④评审委员会基于专业判断，认为供应商报价过低，有可能影响产品质量或者不能诚信履约的其他情形。</w:t>
      </w:r>
    </w:p>
    <w:p w14:paraId="7B82A7C0">
      <w:pPr>
        <w:spacing w:line="276" w:lineRule="auto"/>
        <w:rPr>
          <w:rFonts w:hint="eastAsia" w:ascii="宋体" w:hAnsi="宋体" w:cs="宋体"/>
          <w:color w:val="auto"/>
          <w:sz w:val="24"/>
          <w:highlight w:val="none"/>
        </w:rPr>
      </w:pPr>
      <w:r>
        <w:rPr>
          <w:rFonts w:hint="eastAsia" w:ascii="宋体" w:hAnsi="宋体" w:cs="宋体"/>
          <w:color w:val="auto"/>
          <w:sz w:val="24"/>
          <w:highlight w:val="none"/>
        </w:rPr>
        <w:t>14．磋商货币</w:t>
      </w:r>
    </w:p>
    <w:p w14:paraId="60DC6471">
      <w:pPr>
        <w:spacing w:line="276" w:lineRule="auto"/>
        <w:rPr>
          <w:rFonts w:hint="eastAsia" w:ascii="宋体" w:hAnsi="宋体" w:cs="宋体"/>
          <w:color w:val="auto"/>
          <w:sz w:val="24"/>
          <w:highlight w:val="none"/>
        </w:rPr>
      </w:pPr>
      <w:r>
        <w:rPr>
          <w:rFonts w:hint="eastAsia" w:ascii="宋体" w:hAnsi="宋体" w:cs="宋体"/>
          <w:color w:val="auto"/>
          <w:sz w:val="24"/>
          <w:highlight w:val="none"/>
        </w:rPr>
        <w:t>14.1人民币报价。</w:t>
      </w:r>
    </w:p>
    <w:p w14:paraId="4725E9FB">
      <w:pPr>
        <w:spacing w:line="276" w:lineRule="auto"/>
        <w:rPr>
          <w:rFonts w:hint="eastAsia" w:ascii="宋体" w:hAnsi="宋体" w:cs="宋体"/>
          <w:b/>
          <w:color w:val="auto"/>
          <w:sz w:val="24"/>
          <w:highlight w:val="none"/>
        </w:rPr>
      </w:pPr>
      <w:r>
        <w:rPr>
          <w:rFonts w:hint="eastAsia" w:ascii="宋体" w:hAnsi="宋体" w:cs="宋体"/>
          <w:color w:val="auto"/>
          <w:sz w:val="24"/>
          <w:highlight w:val="none"/>
        </w:rPr>
        <w:t>15．</w:t>
      </w:r>
      <w:r>
        <w:rPr>
          <w:rFonts w:hint="eastAsia" w:ascii="宋体" w:hAnsi="宋体" w:cs="宋体"/>
          <w:b/>
          <w:color w:val="auto"/>
          <w:sz w:val="24"/>
          <w:highlight w:val="none"/>
        </w:rPr>
        <w:t>供应商的证明文件：</w:t>
      </w:r>
    </w:p>
    <w:p w14:paraId="62BB0A1E">
      <w:pPr>
        <w:spacing w:line="276" w:lineRule="auto"/>
        <w:ind w:firstLine="482" w:firstLineChars="200"/>
        <w:rPr>
          <w:rFonts w:hint="eastAsia" w:ascii="宋体" w:hAnsi="宋体" w:cs="宋体"/>
          <w:b/>
          <w:color w:val="auto"/>
          <w:spacing w:val="8"/>
          <w:sz w:val="24"/>
          <w:szCs w:val="24"/>
          <w:highlight w:val="none"/>
        </w:rPr>
      </w:pPr>
      <w:r>
        <w:rPr>
          <w:rFonts w:hint="eastAsia" w:ascii="宋体" w:hAnsi="宋体" w:cs="宋体"/>
          <w:b/>
          <w:color w:val="auto"/>
          <w:sz w:val="24"/>
          <w:highlight w:val="none"/>
        </w:rPr>
        <w:t>供应商必须提交证明其有资格进行磋商和有能力履行合同的文件，作为磋商响应文件的一部分。详见“供应商须知附表第6条”</w:t>
      </w:r>
      <w:r>
        <w:rPr>
          <w:rFonts w:hint="eastAsia" w:ascii="宋体" w:hAnsi="宋体" w:cs="宋体"/>
          <w:b/>
          <w:color w:val="auto"/>
          <w:spacing w:val="8"/>
          <w:sz w:val="24"/>
          <w:szCs w:val="24"/>
          <w:highlight w:val="none"/>
        </w:rPr>
        <w:t>。供应商必须按照资格审核要求提供证明材料，否则资格审核不予通过。</w:t>
      </w:r>
    </w:p>
    <w:p w14:paraId="7A10FA98">
      <w:pPr>
        <w:spacing w:line="276" w:lineRule="auto"/>
        <w:ind w:left="73" w:leftChars="35"/>
        <w:rPr>
          <w:rFonts w:hint="eastAsia" w:ascii="宋体" w:hAnsi="宋体" w:cs="宋体"/>
          <w:b/>
          <w:color w:val="auto"/>
          <w:spacing w:val="8"/>
          <w:sz w:val="24"/>
          <w:szCs w:val="24"/>
          <w:highlight w:val="none"/>
        </w:rPr>
      </w:pPr>
      <w:r>
        <w:rPr>
          <w:rFonts w:hint="eastAsia" w:ascii="宋体" w:hAnsi="宋体" w:cs="宋体"/>
          <w:b/>
          <w:color w:val="auto"/>
          <w:spacing w:val="8"/>
          <w:sz w:val="24"/>
          <w:szCs w:val="24"/>
          <w:highlight w:val="none"/>
        </w:rPr>
        <w:t>注：（1）磋商响应文件中，所有供应商签字、法人代表签字、法人代表授权人签字和其它签字处须同时加盖有关有法律效力的印章方为有效；</w:t>
      </w:r>
    </w:p>
    <w:p w14:paraId="385E1A98">
      <w:pPr>
        <w:spacing w:line="276"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（2）所有资格证明文件必须满足磋商文件要求，否则将导致磋商无效。</w:t>
      </w:r>
    </w:p>
    <w:p w14:paraId="0F7ECDD3">
      <w:pPr>
        <w:spacing w:line="276" w:lineRule="auto"/>
        <w:rPr>
          <w:rFonts w:hint="eastAsia" w:ascii="宋体" w:hAnsi="宋体" w:cs="宋体"/>
          <w:color w:val="auto"/>
          <w:sz w:val="24"/>
          <w:highlight w:val="none"/>
        </w:rPr>
      </w:pPr>
      <w:r>
        <w:rPr>
          <w:rFonts w:hint="eastAsia" w:ascii="宋体" w:hAnsi="宋体" w:cs="宋体"/>
          <w:color w:val="auto"/>
          <w:sz w:val="24"/>
          <w:highlight w:val="none"/>
        </w:rPr>
        <w:t>16 磋商服务符合磋商文件规定的技术响应文件</w:t>
      </w:r>
    </w:p>
    <w:p w14:paraId="33E3D2C5">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16.1供应商须提交证明拟供服务符合磋商文件规定的技术响应文件，作为磋商响应文件的一部分。</w:t>
      </w:r>
    </w:p>
    <w:p w14:paraId="59E90934">
      <w:pPr>
        <w:spacing w:line="276" w:lineRule="auto"/>
        <w:rPr>
          <w:rFonts w:hint="eastAsia" w:ascii="宋体" w:hAnsi="宋体" w:cs="宋体"/>
          <w:color w:val="auto"/>
          <w:sz w:val="24"/>
          <w:highlight w:val="none"/>
        </w:rPr>
      </w:pPr>
      <w:r>
        <w:rPr>
          <w:rFonts w:hint="eastAsia" w:ascii="宋体" w:hAnsi="宋体" w:cs="宋体"/>
          <w:color w:val="auto"/>
          <w:sz w:val="24"/>
          <w:highlight w:val="none"/>
        </w:rPr>
        <w:t>16.2上述文件可以是文字资料、图纸和数据，并提供：</w:t>
      </w:r>
    </w:p>
    <w:p w14:paraId="2E4B8BDC">
      <w:pPr>
        <w:spacing w:line="276" w:lineRule="auto"/>
        <w:ind w:firstLine="480"/>
        <w:rPr>
          <w:rFonts w:hint="eastAsia" w:ascii="宋体" w:hAnsi="宋体" w:cs="宋体"/>
          <w:color w:val="auto"/>
          <w:sz w:val="24"/>
          <w:highlight w:val="none"/>
        </w:rPr>
      </w:pPr>
      <w:r>
        <w:rPr>
          <w:rFonts w:hint="eastAsia" w:ascii="宋体" w:hAnsi="宋体" w:cs="宋体"/>
          <w:color w:val="auto"/>
          <w:sz w:val="24"/>
          <w:highlight w:val="none"/>
        </w:rPr>
        <w:t>（1）服务方案。</w:t>
      </w:r>
    </w:p>
    <w:p w14:paraId="1FEAE34A">
      <w:pPr>
        <w:spacing w:line="276" w:lineRule="auto"/>
        <w:ind w:firstLine="480"/>
        <w:rPr>
          <w:rFonts w:hint="eastAsia" w:ascii="宋体" w:hAnsi="宋体" w:cs="宋体"/>
          <w:color w:val="auto"/>
          <w:sz w:val="24"/>
          <w:highlight w:val="none"/>
        </w:rPr>
      </w:pPr>
      <w:r>
        <w:rPr>
          <w:rFonts w:hint="eastAsia" w:ascii="宋体" w:hAnsi="宋体" w:cs="宋体"/>
          <w:color w:val="auto"/>
          <w:sz w:val="24"/>
          <w:highlight w:val="none"/>
        </w:rPr>
        <w:t>没有按要求提供资料或提供资料不完全，将是对本次采购没有作出实质性响应，其风险由供应商自行承担。</w:t>
      </w:r>
    </w:p>
    <w:p w14:paraId="142A8958">
      <w:pPr>
        <w:spacing w:line="276" w:lineRule="auto"/>
        <w:rPr>
          <w:rFonts w:hint="eastAsia" w:ascii="宋体" w:hAnsi="宋体" w:cs="宋体"/>
          <w:color w:val="auto"/>
          <w:sz w:val="24"/>
          <w:highlight w:val="none"/>
        </w:rPr>
      </w:pPr>
      <w:r>
        <w:rPr>
          <w:rFonts w:hint="eastAsia" w:ascii="宋体" w:hAnsi="宋体" w:cs="宋体"/>
          <w:color w:val="auto"/>
          <w:sz w:val="24"/>
          <w:highlight w:val="none"/>
        </w:rPr>
        <w:t>17．磋商的有效期</w:t>
      </w:r>
    </w:p>
    <w:p w14:paraId="7611F9B4">
      <w:pPr>
        <w:spacing w:line="276" w:lineRule="auto"/>
        <w:rPr>
          <w:rFonts w:hint="eastAsia" w:ascii="宋体" w:hAnsi="宋体" w:cs="宋体"/>
          <w:color w:val="auto"/>
          <w:sz w:val="24"/>
          <w:highlight w:val="none"/>
        </w:rPr>
      </w:pPr>
      <w:r>
        <w:rPr>
          <w:rFonts w:hint="eastAsia" w:ascii="宋体" w:hAnsi="宋体" w:cs="宋体"/>
          <w:color w:val="auto"/>
          <w:sz w:val="24"/>
          <w:highlight w:val="none"/>
        </w:rPr>
        <w:t>17.1</w:t>
      </w:r>
      <w:r>
        <w:rPr>
          <w:rFonts w:hint="eastAsia" w:ascii="宋体" w:hAnsi="宋体" w:cs="宋体"/>
          <w:b/>
          <w:color w:val="auto"/>
          <w:sz w:val="24"/>
          <w:highlight w:val="none"/>
        </w:rPr>
        <w:t xml:space="preserve"> 磋商响应文件从开标之日起，磋商有效期为90天。（如不满足将导致磋商无效）</w:t>
      </w:r>
    </w:p>
    <w:p w14:paraId="66EB781F">
      <w:pPr>
        <w:spacing w:line="276" w:lineRule="auto"/>
        <w:rPr>
          <w:rFonts w:hint="eastAsia" w:ascii="宋体" w:hAnsi="宋体" w:cs="宋体"/>
          <w:color w:val="auto"/>
          <w:sz w:val="24"/>
          <w:highlight w:val="none"/>
        </w:rPr>
      </w:pPr>
      <w:r>
        <w:rPr>
          <w:rFonts w:hint="eastAsia" w:ascii="宋体" w:hAnsi="宋体" w:cs="宋体"/>
          <w:color w:val="auto"/>
          <w:sz w:val="24"/>
          <w:highlight w:val="none"/>
        </w:rPr>
        <w:t>17.2 在特殊情况下，采购代理机构可与供应商商量延长磋商响应文件的有效期。</w:t>
      </w:r>
    </w:p>
    <w:p w14:paraId="17BBC31A">
      <w:pPr>
        <w:spacing w:line="276" w:lineRule="auto"/>
        <w:rPr>
          <w:rFonts w:hint="eastAsia" w:ascii="宋体" w:hAnsi="宋体" w:cs="宋体"/>
          <w:color w:val="auto"/>
          <w:sz w:val="24"/>
          <w:highlight w:val="none"/>
        </w:rPr>
      </w:pPr>
      <w:r>
        <w:rPr>
          <w:rFonts w:hint="eastAsia" w:ascii="宋体" w:hAnsi="宋体" w:cs="宋体"/>
          <w:color w:val="auto"/>
          <w:sz w:val="24"/>
          <w:highlight w:val="none"/>
        </w:rPr>
        <w:t>18．磋商响应文件的书写要求。</w:t>
      </w:r>
    </w:p>
    <w:p w14:paraId="62C68B07">
      <w:pPr>
        <w:spacing w:line="276" w:lineRule="auto"/>
        <w:rPr>
          <w:rFonts w:hint="eastAsia" w:ascii="宋体" w:hAnsi="宋体" w:cs="宋体"/>
          <w:color w:val="auto"/>
          <w:sz w:val="24"/>
          <w:highlight w:val="none"/>
        </w:rPr>
      </w:pPr>
      <w:r>
        <w:rPr>
          <w:rFonts w:hint="eastAsia" w:ascii="宋体" w:hAnsi="宋体" w:cs="宋体"/>
          <w:color w:val="auto"/>
          <w:sz w:val="24"/>
          <w:highlight w:val="none"/>
        </w:rPr>
        <w:t>18.1磋商响应文件应清楚工整，修改处应由供应商法人或授权代表签章。</w:t>
      </w:r>
    </w:p>
    <w:p w14:paraId="1537407D">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18.2磋商响应文件应由法人代表或法人授权代表在凡规定签章处逐一签署及加盖单位的公章。</w:t>
      </w:r>
    </w:p>
    <w:p w14:paraId="6F295014">
      <w:pPr>
        <w:spacing w:line="276" w:lineRule="auto"/>
        <w:rPr>
          <w:rFonts w:hint="eastAsia" w:ascii="宋体" w:hAnsi="宋体" w:cs="宋体"/>
          <w:color w:val="auto"/>
          <w:sz w:val="24"/>
          <w:highlight w:val="none"/>
        </w:rPr>
      </w:pPr>
      <w:r>
        <w:rPr>
          <w:rFonts w:hint="eastAsia" w:ascii="宋体" w:hAnsi="宋体" w:cs="宋体"/>
          <w:color w:val="auto"/>
          <w:sz w:val="24"/>
          <w:highlight w:val="none"/>
        </w:rPr>
        <w:t>18.3电报、电话、传真形式的磋商概不接受。</w:t>
      </w:r>
    </w:p>
    <w:p w14:paraId="3BEECFF2">
      <w:pPr>
        <w:spacing w:line="276" w:lineRule="auto"/>
        <w:rPr>
          <w:rFonts w:hint="eastAsia" w:ascii="宋体" w:hAnsi="宋体" w:cs="宋体"/>
          <w:color w:val="auto"/>
          <w:sz w:val="24"/>
          <w:highlight w:val="none"/>
        </w:rPr>
      </w:pPr>
      <w:r>
        <w:rPr>
          <w:rFonts w:hint="eastAsia" w:ascii="宋体" w:hAnsi="宋体" w:cs="宋体"/>
          <w:color w:val="auto"/>
          <w:sz w:val="24"/>
          <w:highlight w:val="none"/>
        </w:rPr>
        <w:t>19．磋商保证金</w:t>
      </w:r>
    </w:p>
    <w:p w14:paraId="1DB6CCFC">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19.1金额：5000元。</w:t>
      </w:r>
    </w:p>
    <w:p w14:paraId="216B4544">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19.2 本次磋商可接受</w:t>
      </w:r>
      <w:r>
        <w:rPr>
          <w:rFonts w:hint="eastAsia" w:ascii="宋体" w:hAnsi="宋体" w:cs="宋体"/>
          <w:color w:val="auto"/>
          <w:sz w:val="24"/>
          <w:szCs w:val="24"/>
          <w:highlight w:val="none"/>
        </w:rPr>
        <w:t>以电汇、支票、汇票、本票或者金融机构、担保机构出具的保函等非现金形式提交，磋商保证金有效期应当与磋商有效期一致</w:t>
      </w:r>
      <w:r>
        <w:rPr>
          <w:rFonts w:hint="eastAsia" w:ascii="宋体" w:hAnsi="宋体" w:cs="宋体"/>
          <w:color w:val="auto"/>
          <w:sz w:val="24"/>
          <w:highlight w:val="none"/>
        </w:rPr>
        <w:t>。</w:t>
      </w:r>
    </w:p>
    <w:p w14:paraId="56FF0D7C">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19.3磋商保证金的退还时间：</w:t>
      </w:r>
    </w:p>
    <w:p w14:paraId="4E3308C7">
      <w:pPr>
        <w:spacing w:line="276" w:lineRule="auto"/>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19.3.1 在成交通知书发出后5个工作日内退还未成交供应商的磋商保证金，在采购合同签订后5个工作日内退还成交供应商的磋商保证金。</w:t>
      </w:r>
    </w:p>
    <w:p w14:paraId="7B9EE3DA">
      <w:pPr>
        <w:spacing w:line="276" w:lineRule="auto"/>
        <w:rPr>
          <w:rFonts w:hint="eastAsia" w:ascii="宋体" w:hAnsi="宋体" w:cs="宋体"/>
          <w:b/>
          <w:color w:val="auto"/>
          <w:sz w:val="24"/>
          <w:highlight w:val="none"/>
        </w:rPr>
      </w:pPr>
      <w:r>
        <w:rPr>
          <w:rFonts w:hint="eastAsia" w:ascii="宋体" w:hAnsi="宋体" w:cs="宋体"/>
          <w:color w:val="auto"/>
          <w:sz w:val="24"/>
          <w:highlight w:val="none"/>
        </w:rPr>
        <w:t>19.4</w:t>
      </w:r>
      <w:r>
        <w:rPr>
          <w:rFonts w:hint="eastAsia" w:ascii="宋体" w:hAnsi="宋体" w:cs="宋体"/>
          <w:b/>
          <w:color w:val="auto"/>
          <w:sz w:val="24"/>
          <w:highlight w:val="none"/>
        </w:rPr>
        <w:t>未按规定提交磋商保证金的磋商，将被视为磋商无效。</w:t>
      </w:r>
    </w:p>
    <w:p w14:paraId="68DC688F">
      <w:pPr>
        <w:pStyle w:val="21"/>
        <w:spacing w:line="276" w:lineRule="auto"/>
        <w:rPr>
          <w:rFonts w:hint="eastAsia" w:hAnsi="宋体" w:cs="宋体"/>
          <w:color w:val="auto"/>
          <w:highlight w:val="none"/>
        </w:rPr>
      </w:pPr>
      <w:r>
        <w:rPr>
          <w:rFonts w:hint="eastAsia" w:hAnsi="宋体" w:cs="宋体"/>
          <w:color w:val="auto"/>
          <w:highlight w:val="none"/>
        </w:rPr>
        <w:t>19.5下列任何情况发生时，磋商保证金将被没收：</w:t>
      </w:r>
    </w:p>
    <w:p w14:paraId="5096CDEC">
      <w:pPr>
        <w:pStyle w:val="21"/>
        <w:spacing w:line="276" w:lineRule="auto"/>
        <w:rPr>
          <w:rFonts w:hint="eastAsia" w:hAnsi="宋体" w:cs="宋体"/>
          <w:color w:val="auto"/>
          <w:highlight w:val="none"/>
        </w:rPr>
      </w:pPr>
      <w:r>
        <w:rPr>
          <w:rFonts w:hint="eastAsia" w:hAnsi="宋体" w:cs="宋体"/>
          <w:color w:val="auto"/>
          <w:highlight w:val="none"/>
        </w:rPr>
        <w:t>19.5.1供应商在磋商文件规定的磋商有效期内撤回其响应文件；</w:t>
      </w:r>
    </w:p>
    <w:p w14:paraId="3576A68E">
      <w:pPr>
        <w:pStyle w:val="21"/>
        <w:spacing w:line="276" w:lineRule="auto"/>
        <w:rPr>
          <w:rFonts w:hint="eastAsia" w:hAnsi="宋体" w:cs="宋体"/>
          <w:color w:val="auto"/>
          <w:highlight w:val="none"/>
        </w:rPr>
      </w:pPr>
      <w:r>
        <w:rPr>
          <w:rFonts w:hint="eastAsia" w:hAnsi="宋体" w:cs="宋体"/>
          <w:color w:val="auto"/>
          <w:highlight w:val="none"/>
        </w:rPr>
        <w:t>19.5.2成交方在规定期限内未能：</w:t>
      </w:r>
    </w:p>
    <w:p w14:paraId="1C73DC33">
      <w:pPr>
        <w:pStyle w:val="21"/>
        <w:spacing w:line="276" w:lineRule="auto"/>
        <w:rPr>
          <w:rFonts w:hint="eastAsia" w:hAnsi="宋体" w:cs="宋体"/>
          <w:color w:val="auto"/>
          <w:highlight w:val="none"/>
        </w:rPr>
      </w:pPr>
      <w:r>
        <w:rPr>
          <w:rFonts w:hint="eastAsia" w:hAnsi="宋体" w:cs="宋体"/>
          <w:color w:val="auto"/>
          <w:highlight w:val="none"/>
        </w:rPr>
        <w:t xml:space="preserve">19.5.2.1按本须知第31条规定签订合同； </w:t>
      </w:r>
    </w:p>
    <w:p w14:paraId="0F5BEB9D">
      <w:pPr>
        <w:pStyle w:val="21"/>
        <w:spacing w:line="276" w:lineRule="auto"/>
        <w:rPr>
          <w:rFonts w:hint="eastAsia" w:hAnsi="宋体" w:cs="宋体"/>
          <w:color w:val="auto"/>
          <w:highlight w:val="none"/>
        </w:rPr>
      </w:pPr>
      <w:r>
        <w:rPr>
          <w:rFonts w:hint="eastAsia" w:hAnsi="宋体" w:cs="宋体"/>
          <w:color w:val="auto"/>
          <w:highlight w:val="none"/>
        </w:rPr>
        <w:t>19.5.2.2按须知第32条向采购人提交履约保证金；</w:t>
      </w:r>
    </w:p>
    <w:p w14:paraId="02C20988">
      <w:pPr>
        <w:pStyle w:val="21"/>
        <w:spacing w:line="276" w:lineRule="auto"/>
        <w:rPr>
          <w:rFonts w:hint="eastAsia" w:hAnsi="宋体" w:cs="宋体"/>
          <w:color w:val="auto"/>
          <w:highlight w:val="none"/>
        </w:rPr>
      </w:pPr>
      <w:r>
        <w:rPr>
          <w:rFonts w:hint="eastAsia" w:hAnsi="宋体" w:cs="宋体"/>
          <w:color w:val="auto"/>
          <w:highlight w:val="none"/>
        </w:rPr>
        <w:t>19.5.2.3按本须知第33条规定向采购代理机构交纳采购代理服务费。</w:t>
      </w:r>
    </w:p>
    <w:p w14:paraId="0F17E0AB">
      <w:pPr>
        <w:pStyle w:val="21"/>
        <w:spacing w:line="276" w:lineRule="auto"/>
        <w:rPr>
          <w:rFonts w:hint="eastAsia" w:hAnsi="宋体" w:cs="宋体"/>
          <w:color w:val="auto"/>
          <w:highlight w:val="none"/>
        </w:rPr>
      </w:pPr>
    </w:p>
    <w:p w14:paraId="5CD11A28">
      <w:pPr>
        <w:pStyle w:val="4"/>
        <w:spacing w:before="100" w:beforeAutospacing="1" w:after="100" w:afterAutospacing="1" w:line="276" w:lineRule="auto"/>
        <w:jc w:val="center"/>
        <w:rPr>
          <w:rFonts w:hint="eastAsia" w:ascii="宋体" w:hAnsi="宋体" w:eastAsia="宋体" w:cs="宋体"/>
          <w:color w:val="auto"/>
          <w:sz w:val="28"/>
          <w:szCs w:val="28"/>
          <w:highlight w:val="none"/>
        </w:rPr>
      </w:pPr>
      <w:bookmarkStart w:id="29" w:name="_Toc349573124"/>
      <w:bookmarkStart w:id="30" w:name="_Toc349637923"/>
      <w:bookmarkStart w:id="31" w:name="_Toc83726734"/>
      <w:bookmarkStart w:id="32" w:name="_Toc298240408"/>
      <w:bookmarkStart w:id="33" w:name="_Toc267301285"/>
      <w:r>
        <w:rPr>
          <w:rFonts w:hint="eastAsia" w:ascii="宋体" w:hAnsi="宋体" w:eastAsia="宋体" w:cs="宋体"/>
          <w:color w:val="auto"/>
          <w:sz w:val="28"/>
          <w:szCs w:val="28"/>
          <w:highlight w:val="none"/>
        </w:rPr>
        <w:t>D  磋商响应文件的递交</w:t>
      </w:r>
      <w:bookmarkEnd w:id="29"/>
      <w:bookmarkEnd w:id="30"/>
      <w:bookmarkEnd w:id="31"/>
      <w:bookmarkEnd w:id="32"/>
      <w:bookmarkEnd w:id="33"/>
    </w:p>
    <w:p w14:paraId="1BDE17D8">
      <w:pPr>
        <w:spacing w:line="276" w:lineRule="auto"/>
        <w:rPr>
          <w:rFonts w:hint="eastAsia" w:ascii="宋体" w:hAnsi="宋体" w:cs="宋体"/>
          <w:color w:val="auto"/>
          <w:sz w:val="24"/>
          <w:highlight w:val="none"/>
        </w:rPr>
      </w:pPr>
      <w:r>
        <w:rPr>
          <w:rFonts w:hint="eastAsia" w:ascii="宋体" w:hAnsi="宋体" w:cs="宋体"/>
          <w:color w:val="auto"/>
          <w:sz w:val="24"/>
          <w:highlight w:val="none"/>
        </w:rPr>
        <w:t>20. 磋商响应文件的标记</w:t>
      </w:r>
    </w:p>
    <w:p w14:paraId="32B5817B">
      <w:pPr>
        <w:spacing w:line="276" w:lineRule="auto"/>
        <w:rPr>
          <w:rFonts w:hint="eastAsia" w:ascii="宋体" w:hAnsi="宋体" w:cs="宋体"/>
          <w:color w:val="auto"/>
          <w:sz w:val="24"/>
          <w:highlight w:val="none"/>
        </w:rPr>
      </w:pPr>
      <w:r>
        <w:rPr>
          <w:rFonts w:hint="eastAsia" w:ascii="宋体" w:hAnsi="宋体" w:cs="宋体"/>
          <w:color w:val="auto"/>
          <w:sz w:val="24"/>
          <w:highlight w:val="none"/>
        </w:rPr>
        <w:t>20.1 磋商响应文件封面应写明：</w:t>
      </w:r>
    </w:p>
    <w:p w14:paraId="7384999E">
      <w:pPr>
        <w:numPr>
          <w:ilvl w:val="0"/>
          <w:numId w:val="10"/>
        </w:numPr>
        <w:tabs>
          <w:tab w:val="left" w:pos="1080"/>
          <w:tab w:val="clear" w:pos="1260"/>
        </w:tabs>
        <w:spacing w:line="276"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采购代理机构：新疆招标有限公司</w:t>
      </w:r>
    </w:p>
    <w:p w14:paraId="4AC68917">
      <w:pPr>
        <w:numPr>
          <w:ilvl w:val="0"/>
          <w:numId w:val="10"/>
        </w:numPr>
        <w:tabs>
          <w:tab w:val="left" w:pos="1080"/>
          <w:tab w:val="clear" w:pos="1260"/>
        </w:tabs>
        <w:spacing w:line="276"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52189D2">
      <w:pPr>
        <w:numPr>
          <w:ilvl w:val="0"/>
          <w:numId w:val="10"/>
        </w:numPr>
        <w:tabs>
          <w:tab w:val="left" w:pos="1080"/>
          <w:tab w:val="clear" w:pos="1260"/>
        </w:tabs>
        <w:spacing w:line="276"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 xml:space="preserve">项目编号： </w:t>
      </w:r>
      <w:r>
        <w:rPr>
          <w:rFonts w:hint="eastAsia" w:ascii="宋体" w:hAnsi="宋体" w:cs="宋体"/>
          <w:color w:val="auto"/>
          <w:sz w:val="24"/>
          <w:highlight w:val="none"/>
          <w:u w:val="single"/>
        </w:rPr>
        <w:t xml:space="preserve">                    </w:t>
      </w:r>
    </w:p>
    <w:p w14:paraId="3AE7947A">
      <w:pPr>
        <w:numPr>
          <w:ilvl w:val="0"/>
          <w:numId w:val="10"/>
        </w:numPr>
        <w:tabs>
          <w:tab w:val="left" w:pos="1080"/>
          <w:tab w:val="clear" w:pos="1260"/>
        </w:tabs>
        <w:spacing w:line="276" w:lineRule="auto"/>
        <w:ind w:left="1080" w:hanging="720"/>
        <w:rPr>
          <w:rFonts w:hint="eastAsia" w:ascii="宋体" w:hAnsi="宋体" w:cs="宋体"/>
          <w:color w:val="auto"/>
          <w:sz w:val="24"/>
          <w:highlight w:val="none"/>
        </w:rPr>
      </w:pPr>
      <w:r>
        <w:rPr>
          <w:rFonts w:hint="eastAsia" w:ascii="宋体" w:hAnsi="宋体" w:cs="宋体"/>
          <w:color w:val="auto"/>
          <w:sz w:val="24"/>
          <w:highlight w:val="none"/>
        </w:rPr>
        <w:t>供应商单位名称：</w:t>
      </w:r>
      <w:r>
        <w:rPr>
          <w:rFonts w:hint="eastAsia" w:ascii="宋体" w:hAnsi="宋体" w:cs="宋体"/>
          <w:color w:val="auto"/>
          <w:sz w:val="24"/>
          <w:highlight w:val="none"/>
          <w:u w:val="single"/>
        </w:rPr>
        <w:t xml:space="preserve">               </w:t>
      </w:r>
    </w:p>
    <w:p w14:paraId="7553F6B7">
      <w:pPr>
        <w:spacing w:line="276" w:lineRule="auto"/>
        <w:rPr>
          <w:rFonts w:hint="eastAsia" w:ascii="宋体" w:hAnsi="宋体" w:cs="宋体"/>
          <w:color w:val="auto"/>
          <w:sz w:val="24"/>
          <w:highlight w:val="none"/>
        </w:rPr>
      </w:pPr>
      <w:r>
        <w:rPr>
          <w:rFonts w:hint="eastAsia" w:ascii="宋体" w:hAnsi="宋体" w:cs="宋体"/>
          <w:color w:val="auto"/>
          <w:sz w:val="24"/>
          <w:highlight w:val="none"/>
        </w:rPr>
        <w:t>21. 磋商截止时间</w:t>
      </w:r>
    </w:p>
    <w:p w14:paraId="36595552">
      <w:pPr>
        <w:spacing w:line="276" w:lineRule="auto"/>
        <w:rPr>
          <w:rFonts w:hint="eastAsia" w:ascii="宋体" w:hAnsi="宋体" w:cs="宋体"/>
          <w:color w:val="auto"/>
          <w:sz w:val="24"/>
          <w:highlight w:val="none"/>
        </w:rPr>
      </w:pPr>
      <w:r>
        <w:rPr>
          <w:rFonts w:hint="eastAsia" w:ascii="宋体" w:hAnsi="宋体" w:cs="宋体"/>
          <w:color w:val="auto"/>
          <w:sz w:val="24"/>
          <w:highlight w:val="none"/>
        </w:rPr>
        <w:t>21.1 磋商响应文件的递交不得迟于</w:t>
      </w:r>
      <w:r>
        <w:rPr>
          <w:rFonts w:hint="eastAsia" w:ascii="宋体" w:hAnsi="宋体" w:cs="宋体"/>
          <w:color w:val="auto"/>
          <w:sz w:val="24"/>
          <w:highlight w:val="none"/>
          <w:lang w:eastAsia="zh-CN"/>
        </w:rPr>
        <w:t>2026年06月15日11：00时</w:t>
      </w:r>
      <w:r>
        <w:rPr>
          <w:rFonts w:hint="eastAsia" w:ascii="宋体" w:hAnsi="宋体" w:cs="宋体"/>
          <w:color w:val="auto"/>
          <w:sz w:val="24"/>
          <w:highlight w:val="none"/>
        </w:rPr>
        <w:t>（北京时间）。</w:t>
      </w:r>
    </w:p>
    <w:p w14:paraId="2D2D4B61">
      <w:pPr>
        <w:spacing w:line="276" w:lineRule="auto"/>
        <w:ind w:left="540" w:leftChars="257"/>
        <w:rPr>
          <w:rFonts w:hint="eastAsia" w:ascii="宋体" w:hAnsi="宋体" w:cs="宋体"/>
          <w:color w:val="auto"/>
          <w:sz w:val="24"/>
          <w:highlight w:val="none"/>
        </w:rPr>
      </w:pPr>
      <w:r>
        <w:rPr>
          <w:rFonts w:hint="eastAsia" w:ascii="宋体" w:hAnsi="宋体" w:cs="宋体"/>
          <w:color w:val="auto"/>
          <w:sz w:val="24"/>
          <w:highlight w:val="none"/>
        </w:rPr>
        <w:t>磋商响应文件递交至：政采云平台</w:t>
      </w:r>
    </w:p>
    <w:p w14:paraId="1D299FA6">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21.2 所有磋商响应文件必须按采购代理机构在磋商邀请中规定的磋商响应截止时间之前上传至政采云。</w:t>
      </w:r>
    </w:p>
    <w:p w14:paraId="3451B817">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21.3 出现第8.2款因磋商文件的修改推迟磋商响应截止时间时，则按采购代理机构修改通知规定的时间递交。</w:t>
      </w:r>
    </w:p>
    <w:p w14:paraId="4C5E29B1">
      <w:pPr>
        <w:spacing w:line="276" w:lineRule="auto"/>
        <w:rPr>
          <w:rFonts w:hint="eastAsia" w:ascii="宋体" w:hAnsi="宋体" w:cs="宋体"/>
          <w:color w:val="auto"/>
          <w:sz w:val="24"/>
          <w:highlight w:val="none"/>
        </w:rPr>
      </w:pPr>
      <w:r>
        <w:rPr>
          <w:rFonts w:hint="eastAsia" w:ascii="宋体" w:hAnsi="宋体" w:cs="宋体"/>
          <w:color w:val="auto"/>
          <w:sz w:val="24"/>
          <w:highlight w:val="none"/>
        </w:rPr>
        <w:t>22．磋商响应文件的修改和撤销</w:t>
      </w:r>
    </w:p>
    <w:p w14:paraId="1E88912E">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22.1 供应商在提交磋商响应文件后可对其磋商响应文件进行修改或撤销，但采购代理机构须在磋商响应截止时间之前收到该修改或撤销的书面通知，该通知须有经正式授权的供应商代表签字。</w:t>
      </w:r>
    </w:p>
    <w:p w14:paraId="7D4AC8DA">
      <w:pPr>
        <w:spacing w:line="276" w:lineRule="auto"/>
        <w:rPr>
          <w:rFonts w:hint="eastAsia" w:ascii="宋体" w:hAnsi="宋体" w:cs="宋体"/>
          <w:color w:val="auto"/>
          <w:sz w:val="24"/>
          <w:highlight w:val="none"/>
        </w:rPr>
      </w:pPr>
      <w:r>
        <w:rPr>
          <w:rFonts w:hint="eastAsia" w:ascii="宋体" w:hAnsi="宋体" w:cs="宋体"/>
          <w:color w:val="auto"/>
          <w:sz w:val="24"/>
          <w:highlight w:val="none"/>
        </w:rPr>
        <w:t>22.2 磋商响应截止时间以后不得修改磋商响应文件。</w:t>
      </w:r>
    </w:p>
    <w:p w14:paraId="6F743357">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22.3 供应商不得在开标时间起至磋商有效期期满前撤销磋商响应文件。否则采购代理机构将没收其磋商保证金。</w:t>
      </w:r>
    </w:p>
    <w:p w14:paraId="225F8ED7">
      <w:pPr>
        <w:spacing w:line="276" w:lineRule="auto"/>
        <w:ind w:left="600" w:hanging="600" w:hangingChars="250"/>
        <w:rPr>
          <w:rFonts w:hint="eastAsia" w:ascii="宋体" w:hAnsi="宋体" w:cs="宋体"/>
          <w:color w:val="auto"/>
          <w:sz w:val="24"/>
          <w:highlight w:val="none"/>
        </w:rPr>
      </w:pPr>
    </w:p>
    <w:p w14:paraId="473DF74B">
      <w:pPr>
        <w:pStyle w:val="4"/>
        <w:spacing w:before="100" w:beforeAutospacing="1" w:after="100" w:afterAutospacing="1" w:line="276" w:lineRule="auto"/>
        <w:jc w:val="center"/>
        <w:rPr>
          <w:rFonts w:hint="eastAsia" w:ascii="宋体" w:hAnsi="宋体" w:eastAsia="宋体" w:cs="宋体"/>
          <w:color w:val="auto"/>
          <w:sz w:val="28"/>
          <w:szCs w:val="28"/>
          <w:highlight w:val="none"/>
        </w:rPr>
      </w:pPr>
      <w:bookmarkStart w:id="34" w:name="_Toc349573125"/>
      <w:bookmarkStart w:id="35" w:name="_Toc83726735"/>
      <w:bookmarkStart w:id="36" w:name="_Toc298240409"/>
      <w:bookmarkStart w:id="37" w:name="_Toc349637924"/>
      <w:bookmarkStart w:id="38" w:name="_Toc267301286"/>
      <w:r>
        <w:rPr>
          <w:rFonts w:hint="eastAsia" w:ascii="宋体" w:hAnsi="宋体" w:eastAsia="宋体" w:cs="宋体"/>
          <w:color w:val="auto"/>
          <w:sz w:val="28"/>
          <w:szCs w:val="28"/>
          <w:highlight w:val="none"/>
        </w:rPr>
        <w:t>E  磋商程序</w:t>
      </w:r>
      <w:bookmarkEnd w:id="34"/>
      <w:bookmarkEnd w:id="35"/>
      <w:bookmarkEnd w:id="36"/>
      <w:bookmarkEnd w:id="37"/>
      <w:bookmarkEnd w:id="38"/>
    </w:p>
    <w:p w14:paraId="631A0B3D">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23．磋商</w:t>
      </w:r>
    </w:p>
    <w:p w14:paraId="2AFC9D8C">
      <w:pPr>
        <w:adjustRightInd w:val="0"/>
        <w:snapToGrid w:val="0"/>
        <w:spacing w:line="276" w:lineRule="auto"/>
        <w:ind w:left="523" w:hanging="523" w:hangingChars="218"/>
        <w:rPr>
          <w:rFonts w:hint="eastAsia" w:ascii="宋体" w:hAnsi="宋体" w:cs="宋体"/>
          <w:b/>
          <w:color w:val="auto"/>
          <w:sz w:val="24"/>
          <w:highlight w:val="none"/>
        </w:rPr>
      </w:pPr>
      <w:r>
        <w:rPr>
          <w:rFonts w:hint="eastAsia" w:ascii="宋体" w:hAnsi="宋体" w:cs="宋体"/>
          <w:color w:val="auto"/>
          <w:sz w:val="24"/>
          <w:highlight w:val="none"/>
        </w:rPr>
        <w:t>23.1</w:t>
      </w:r>
      <w:r>
        <w:rPr>
          <w:rFonts w:hint="eastAsia" w:ascii="宋体" w:hAnsi="宋体" w:cs="宋体"/>
          <w:b/>
          <w:color w:val="auto"/>
          <w:sz w:val="24"/>
          <w:highlight w:val="none"/>
        </w:rPr>
        <w:t>本次采用网上评标系统，供应商在线参加磋商（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1503CB88">
      <w:pPr>
        <w:adjustRightInd w:val="0"/>
        <w:snapToGrid w:val="0"/>
        <w:spacing w:line="276" w:lineRule="auto"/>
        <w:ind w:left="420" w:leftChars="200"/>
        <w:rPr>
          <w:rFonts w:hint="eastAsia" w:ascii="宋体" w:hAnsi="宋体" w:cs="宋体"/>
          <w:color w:val="auto"/>
          <w:sz w:val="24"/>
          <w:highlight w:val="none"/>
        </w:rPr>
      </w:pPr>
      <w:r>
        <w:rPr>
          <w:rFonts w:hint="eastAsia" w:ascii="宋体" w:hAnsi="宋体" w:cs="宋体"/>
          <w:b/>
          <w:color w:val="auto"/>
          <w:sz w:val="24"/>
          <w:highlight w:val="none"/>
        </w:rPr>
        <w:t>供应商登录政采云平台，在磋商响应截止时间后30分钟内用“项目采购----开标评标”功能进行解密电子版响应文件。若供应商在规定时间内未按时解密的，视为无效响应。解密与加密电子版响应文件须使用同一个CA</w:t>
      </w:r>
      <w:r>
        <w:rPr>
          <w:rFonts w:hint="eastAsia" w:ascii="宋体" w:hAnsi="宋体" w:cs="宋体"/>
          <w:color w:val="auto"/>
          <w:sz w:val="24"/>
          <w:highlight w:val="none"/>
        </w:rPr>
        <w:t>；</w:t>
      </w:r>
    </w:p>
    <w:p w14:paraId="789E84F9">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23.2 本次磋商按磋商文件中磋商邀请规定的时间地点进行磋商，将邀请供应商的法定代表人或其授权委托人准时参加磋商会。</w:t>
      </w:r>
    </w:p>
    <w:p w14:paraId="769C9633">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23.3 磋商原则在磋商会议上宣布。</w:t>
      </w:r>
    </w:p>
    <w:p w14:paraId="07D235F4">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23.4 对采购方的纪律要求</w:t>
      </w:r>
    </w:p>
    <w:p w14:paraId="07FF37D8">
      <w:pPr>
        <w:spacing w:line="276"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 xml:space="preserve">      采购方不得泄露磋商活动中应当保密的情况和资料，不得与供应商串通损害国家利益、社会公共利益或者他人合法权益。</w:t>
      </w:r>
    </w:p>
    <w:p w14:paraId="5EA9C91B">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23.5对供应商的纪律要求</w:t>
      </w:r>
    </w:p>
    <w:p w14:paraId="47A9F1B4">
      <w:pPr>
        <w:spacing w:line="276" w:lineRule="auto"/>
        <w:ind w:left="598" w:leftChars="285"/>
        <w:rPr>
          <w:rFonts w:hint="eastAsia" w:ascii="宋体" w:hAnsi="宋体" w:cs="宋体"/>
          <w:color w:val="auto"/>
          <w:sz w:val="24"/>
          <w:highlight w:val="none"/>
        </w:rPr>
      </w:pPr>
      <w:r>
        <w:rPr>
          <w:rFonts w:hint="eastAsia" w:ascii="宋体" w:hAnsi="宋体" w:cs="宋体"/>
          <w:color w:val="auto"/>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15D4E8C2">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23.6 对与磋商活动有关的工作人员的纪律要求</w:t>
      </w:r>
    </w:p>
    <w:p w14:paraId="280CC096">
      <w:pPr>
        <w:spacing w:line="276" w:lineRule="auto"/>
        <w:rPr>
          <w:rFonts w:hint="eastAsia" w:ascii="宋体" w:hAnsi="宋体" w:cs="宋体"/>
          <w:color w:val="auto"/>
          <w:sz w:val="24"/>
          <w:highlight w:val="none"/>
        </w:rPr>
      </w:pPr>
      <w:r>
        <w:rPr>
          <w:rFonts w:hint="eastAsia" w:ascii="宋体" w:hAnsi="宋体" w:cs="宋体"/>
          <w:color w:val="auto"/>
          <w:sz w:val="24"/>
          <w:highlight w:val="none"/>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677EA5F5">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23.7对磋商小组成员要求磋商纪律</w:t>
      </w:r>
    </w:p>
    <w:p w14:paraId="581E9879">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23.7.1磋商小组应当依照有关法律法规的规定，按照磋商文件确定的磋商标准和办法客观、公正的对磋商响应文件提出评审意见。磋商文件没有规定的磋商标准和方法不得作为磋商依据。</w:t>
      </w:r>
    </w:p>
    <w:p w14:paraId="007BECC2">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23.7.2磋商小组成员不得私下接触供应商，不得收受供应商给予的财务或者其他好处，不得向采购方征询确定成交方意向。</w:t>
      </w:r>
    </w:p>
    <w:p w14:paraId="1AE3F48C">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23.7.3不得接受任何单位或个人明示或暗示提出的倾向或排斥特定供应商的要求。</w:t>
      </w:r>
    </w:p>
    <w:p w14:paraId="371BFC38">
      <w:pPr>
        <w:spacing w:line="276" w:lineRule="auto"/>
        <w:rPr>
          <w:rFonts w:hint="eastAsia" w:ascii="宋体" w:hAnsi="宋体" w:cs="宋体"/>
          <w:color w:val="auto"/>
          <w:sz w:val="24"/>
          <w:highlight w:val="none"/>
        </w:rPr>
      </w:pPr>
      <w:r>
        <w:rPr>
          <w:rFonts w:hint="eastAsia" w:ascii="宋体" w:hAnsi="宋体" w:cs="宋体"/>
          <w:color w:val="auto"/>
          <w:sz w:val="24"/>
          <w:highlight w:val="none"/>
        </w:rPr>
        <w:t>23.7.4不得有其他不客观，不公正履行职务的行为。</w:t>
      </w:r>
    </w:p>
    <w:p w14:paraId="480A096E">
      <w:pPr>
        <w:spacing w:line="276" w:lineRule="auto"/>
        <w:rPr>
          <w:rFonts w:hint="eastAsia" w:ascii="宋体" w:hAnsi="宋体" w:cs="宋体"/>
          <w:color w:val="auto"/>
          <w:sz w:val="24"/>
          <w:highlight w:val="none"/>
        </w:rPr>
      </w:pPr>
      <w:r>
        <w:rPr>
          <w:rFonts w:hint="eastAsia" w:ascii="宋体" w:hAnsi="宋体" w:cs="宋体"/>
          <w:color w:val="auto"/>
          <w:sz w:val="24"/>
          <w:highlight w:val="none"/>
        </w:rPr>
        <w:t>24．磋商过程</w:t>
      </w:r>
    </w:p>
    <w:p w14:paraId="64CC0453">
      <w:pPr>
        <w:spacing w:line="276" w:lineRule="auto"/>
        <w:rPr>
          <w:rFonts w:hint="eastAsia" w:ascii="宋体" w:hAnsi="宋体" w:cs="宋体"/>
          <w:color w:val="auto"/>
          <w:sz w:val="24"/>
          <w:highlight w:val="none"/>
        </w:rPr>
      </w:pPr>
      <w:r>
        <w:rPr>
          <w:rFonts w:hint="eastAsia" w:ascii="宋体" w:hAnsi="宋体" w:cs="宋体"/>
          <w:color w:val="auto"/>
          <w:sz w:val="24"/>
          <w:highlight w:val="none"/>
        </w:rPr>
        <w:t>24.1 磋商的依据为磋商文件和磋商响应文件。</w:t>
      </w:r>
    </w:p>
    <w:p w14:paraId="3A15C2EF">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24.2 磋商后磋商小组审查磋商响应文件是否完整，是否有计算错误，要求的保证金是否提供，文件是否恰当地签署。</w:t>
      </w:r>
    </w:p>
    <w:p w14:paraId="1AD48564">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24.3 在对磋商响应文件进行详细评估之前，</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将审查供应商提供的资格证明文件。</w:t>
      </w:r>
      <w:r>
        <w:rPr>
          <w:rFonts w:hint="eastAsia" w:ascii="宋体" w:hAnsi="宋体" w:cs="宋体"/>
          <w:b/>
          <w:color w:val="auto"/>
          <w:sz w:val="24"/>
          <w:highlight w:val="none"/>
        </w:rPr>
        <w:t>如果确定供应商资格不符合磋商文件要求的，其响应将被拒绝。</w:t>
      </w:r>
    </w:p>
    <w:tbl>
      <w:tblPr>
        <w:tblStyle w:val="38"/>
        <w:tblW w:w="1009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4190"/>
        <w:gridCol w:w="4540"/>
        <w:gridCol w:w="876"/>
      </w:tblGrid>
      <w:tr w14:paraId="5B7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674" w:type="dxa"/>
            <w:gridSpan w:val="2"/>
            <w:vAlign w:val="center"/>
          </w:tcPr>
          <w:p w14:paraId="7D6D48AE">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p>
        </w:tc>
        <w:tc>
          <w:tcPr>
            <w:tcW w:w="5416" w:type="dxa"/>
            <w:gridSpan w:val="2"/>
            <w:vAlign w:val="center"/>
          </w:tcPr>
          <w:p w14:paraId="5AF41B65">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资格审查</w:t>
            </w:r>
          </w:p>
        </w:tc>
      </w:tr>
      <w:tr w14:paraId="58EF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84" w:type="dxa"/>
            <w:vAlign w:val="center"/>
          </w:tcPr>
          <w:p w14:paraId="6096AD42">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4190" w:type="dxa"/>
            <w:vAlign w:val="center"/>
          </w:tcPr>
          <w:p w14:paraId="05DD6256">
            <w:pPr>
              <w:adjustRightInd w:val="0"/>
              <w:snapToGrid w:val="0"/>
              <w:spacing w:line="240" w:lineRule="auto"/>
              <w:ind w:left="0" w:leftChars="0" w:right="0" w:righ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评审项</w:t>
            </w:r>
          </w:p>
        </w:tc>
        <w:tc>
          <w:tcPr>
            <w:tcW w:w="4540" w:type="dxa"/>
            <w:vAlign w:val="center"/>
          </w:tcPr>
          <w:p w14:paraId="28459515">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评审内容</w:t>
            </w:r>
          </w:p>
        </w:tc>
        <w:tc>
          <w:tcPr>
            <w:tcW w:w="876" w:type="dxa"/>
            <w:vAlign w:val="center"/>
          </w:tcPr>
          <w:p w14:paraId="7959E2DC">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是否满足</w:t>
            </w:r>
          </w:p>
        </w:tc>
      </w:tr>
      <w:tr w14:paraId="64FF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75F362ED">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p>
        </w:tc>
        <w:tc>
          <w:tcPr>
            <w:tcW w:w="4190" w:type="dxa"/>
            <w:vAlign w:val="center"/>
          </w:tcPr>
          <w:p w14:paraId="13108F29">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具有独立承担民事责任的能力；</w:t>
            </w:r>
          </w:p>
        </w:tc>
        <w:tc>
          <w:tcPr>
            <w:tcW w:w="4540" w:type="dxa"/>
            <w:vAlign w:val="center"/>
          </w:tcPr>
          <w:p w14:paraId="0349AC8C">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876" w:type="dxa"/>
            <w:vAlign w:val="center"/>
          </w:tcPr>
          <w:p w14:paraId="537BADE3">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1CE6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79992FBB">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p>
        </w:tc>
        <w:tc>
          <w:tcPr>
            <w:tcW w:w="4190" w:type="dxa"/>
            <w:vAlign w:val="center"/>
          </w:tcPr>
          <w:p w14:paraId="272E4666">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具有良好的商业信誉和健全的财务会计制度；</w:t>
            </w:r>
          </w:p>
        </w:tc>
        <w:tc>
          <w:tcPr>
            <w:tcW w:w="4540" w:type="dxa"/>
            <w:vAlign w:val="center"/>
          </w:tcPr>
          <w:p w14:paraId="35D2EC15">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提供会计师事务所出具的2024年度或2025年度财务审计报告或基本开户银行出具的资信证明，新成立不足一年的提供成立之日起至今的财务报表</w:t>
            </w:r>
          </w:p>
        </w:tc>
        <w:tc>
          <w:tcPr>
            <w:tcW w:w="876" w:type="dxa"/>
            <w:vAlign w:val="center"/>
          </w:tcPr>
          <w:p w14:paraId="030F8D2E">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24CA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45D682B4">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w:t>
            </w:r>
          </w:p>
        </w:tc>
        <w:tc>
          <w:tcPr>
            <w:tcW w:w="4190" w:type="dxa"/>
            <w:vAlign w:val="center"/>
          </w:tcPr>
          <w:p w14:paraId="618DC105">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有依法缴纳税收和社会保障资金的良好记录；</w:t>
            </w:r>
          </w:p>
        </w:tc>
        <w:tc>
          <w:tcPr>
            <w:tcW w:w="4540" w:type="dxa"/>
            <w:vAlign w:val="center"/>
          </w:tcPr>
          <w:p w14:paraId="0FF3BAA0">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tc>
        <w:tc>
          <w:tcPr>
            <w:tcW w:w="876" w:type="dxa"/>
            <w:vAlign w:val="center"/>
          </w:tcPr>
          <w:p w14:paraId="5B2406FE">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32A0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2C5BECE4">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w:t>
            </w:r>
          </w:p>
        </w:tc>
        <w:tc>
          <w:tcPr>
            <w:tcW w:w="4190" w:type="dxa"/>
            <w:vAlign w:val="center"/>
          </w:tcPr>
          <w:p w14:paraId="1F067E45">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w:t>
            </w:r>
          </w:p>
        </w:tc>
        <w:tc>
          <w:tcPr>
            <w:tcW w:w="4540" w:type="dxa"/>
            <w:vAlign w:val="center"/>
          </w:tcPr>
          <w:p w14:paraId="1904FE13">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以现场查询为准；</w:t>
            </w:r>
          </w:p>
        </w:tc>
        <w:tc>
          <w:tcPr>
            <w:tcW w:w="876" w:type="dxa"/>
            <w:vAlign w:val="center"/>
          </w:tcPr>
          <w:p w14:paraId="4B57B652">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0859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65357C7D">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w:t>
            </w:r>
          </w:p>
        </w:tc>
        <w:tc>
          <w:tcPr>
            <w:tcW w:w="4190" w:type="dxa"/>
            <w:vAlign w:val="center"/>
          </w:tcPr>
          <w:p w14:paraId="7B4FF2AA">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540" w:type="dxa"/>
            <w:vAlign w:val="center"/>
          </w:tcPr>
          <w:p w14:paraId="42BDD555">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提供承诺函</w:t>
            </w:r>
          </w:p>
        </w:tc>
        <w:tc>
          <w:tcPr>
            <w:tcW w:w="876" w:type="dxa"/>
            <w:vAlign w:val="center"/>
          </w:tcPr>
          <w:p w14:paraId="6A1A83BD">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4A1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1106117E">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w:t>
            </w:r>
          </w:p>
        </w:tc>
        <w:tc>
          <w:tcPr>
            <w:tcW w:w="4190" w:type="dxa"/>
            <w:vAlign w:val="center"/>
          </w:tcPr>
          <w:p w14:paraId="4DD32363">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具有履行合同所必需的设备和专业技术能力；</w:t>
            </w:r>
          </w:p>
        </w:tc>
        <w:tc>
          <w:tcPr>
            <w:tcW w:w="4540" w:type="dxa"/>
            <w:vAlign w:val="center"/>
          </w:tcPr>
          <w:p w14:paraId="573B3E72">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提供承诺函</w:t>
            </w:r>
          </w:p>
        </w:tc>
        <w:tc>
          <w:tcPr>
            <w:tcW w:w="876" w:type="dxa"/>
            <w:vAlign w:val="center"/>
          </w:tcPr>
          <w:p w14:paraId="34B4A331">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34C8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11704FAD">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w:t>
            </w:r>
          </w:p>
        </w:tc>
        <w:tc>
          <w:tcPr>
            <w:tcW w:w="4190" w:type="dxa"/>
            <w:vAlign w:val="center"/>
          </w:tcPr>
          <w:p w14:paraId="709FEF30">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符合国家相关法律法规；</w:t>
            </w:r>
          </w:p>
        </w:tc>
        <w:tc>
          <w:tcPr>
            <w:tcW w:w="4540" w:type="dxa"/>
            <w:vAlign w:val="center"/>
          </w:tcPr>
          <w:p w14:paraId="0C852AAF">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提供承诺函</w:t>
            </w:r>
          </w:p>
        </w:tc>
        <w:tc>
          <w:tcPr>
            <w:tcW w:w="876" w:type="dxa"/>
            <w:vAlign w:val="center"/>
          </w:tcPr>
          <w:p w14:paraId="308E3CB8">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28E5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7FF623BD">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w:t>
            </w:r>
          </w:p>
        </w:tc>
        <w:tc>
          <w:tcPr>
            <w:tcW w:w="4190" w:type="dxa"/>
            <w:vAlign w:val="center"/>
          </w:tcPr>
          <w:p w14:paraId="2C9FD025">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本项目专门面向中小企业</w:t>
            </w:r>
            <w:r>
              <w:rPr>
                <w:rFonts w:hint="eastAsia" w:ascii="宋体" w:hAnsi="宋体" w:cs="宋体"/>
                <w:b/>
                <w:bCs/>
                <w:color w:val="auto"/>
                <w:sz w:val="24"/>
                <w:szCs w:val="24"/>
                <w:highlight w:val="none"/>
              </w:rPr>
              <w:t>；</w:t>
            </w:r>
          </w:p>
        </w:tc>
        <w:tc>
          <w:tcPr>
            <w:tcW w:w="4540" w:type="dxa"/>
            <w:vAlign w:val="center"/>
          </w:tcPr>
          <w:p w14:paraId="3CDAE186">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提供</w:t>
            </w:r>
            <w:r>
              <w:rPr>
                <w:rFonts w:hint="eastAsia" w:ascii="宋体" w:hAnsi="宋体" w:cs="宋体"/>
                <w:b/>
                <w:bCs/>
                <w:color w:val="auto"/>
                <w:sz w:val="24"/>
                <w:szCs w:val="24"/>
                <w:highlight w:val="none"/>
              </w:rPr>
              <w:t>《中小企业声明函》</w:t>
            </w:r>
          </w:p>
        </w:tc>
        <w:tc>
          <w:tcPr>
            <w:tcW w:w="876" w:type="dxa"/>
            <w:vAlign w:val="center"/>
          </w:tcPr>
          <w:p w14:paraId="12EF76A6">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3436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4" w:type="dxa"/>
            <w:vAlign w:val="center"/>
          </w:tcPr>
          <w:p w14:paraId="66A7ACF4">
            <w:pPr>
              <w:adjustRightInd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9</w:t>
            </w:r>
          </w:p>
        </w:tc>
        <w:tc>
          <w:tcPr>
            <w:tcW w:w="4190" w:type="dxa"/>
            <w:vAlign w:val="center"/>
          </w:tcPr>
          <w:p w14:paraId="5B167841">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本项目不接受联合体投标</w:t>
            </w:r>
          </w:p>
        </w:tc>
        <w:tc>
          <w:tcPr>
            <w:tcW w:w="4540" w:type="dxa"/>
            <w:vAlign w:val="center"/>
          </w:tcPr>
          <w:p w14:paraId="37A3210E">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提供承诺函</w:t>
            </w:r>
          </w:p>
        </w:tc>
        <w:tc>
          <w:tcPr>
            <w:tcW w:w="876" w:type="dxa"/>
            <w:vAlign w:val="center"/>
          </w:tcPr>
          <w:p w14:paraId="42EB78EC">
            <w:pPr>
              <w:adjustRightInd w:val="0"/>
              <w:snapToGrid w:val="0"/>
              <w:spacing w:line="240" w:lineRule="auto"/>
              <w:ind w:left="0" w:leftChars="0" w:right="0" w:rightChars="0" w:firstLine="0" w:firstLineChars="0"/>
              <w:jc w:val="left"/>
              <w:rPr>
                <w:rFonts w:hint="eastAsia" w:ascii="宋体" w:hAnsi="宋体" w:cs="宋体"/>
                <w:b/>
                <w:bCs/>
                <w:color w:val="auto"/>
                <w:sz w:val="24"/>
                <w:szCs w:val="24"/>
                <w:highlight w:val="none"/>
              </w:rPr>
            </w:pPr>
          </w:p>
        </w:tc>
      </w:tr>
      <w:tr w14:paraId="36B3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74" w:type="dxa"/>
            <w:gridSpan w:val="2"/>
            <w:vAlign w:val="center"/>
          </w:tcPr>
          <w:p w14:paraId="3781902B">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p>
        </w:tc>
        <w:tc>
          <w:tcPr>
            <w:tcW w:w="4540" w:type="dxa"/>
            <w:vAlign w:val="center"/>
          </w:tcPr>
          <w:p w14:paraId="66DB6AB1">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审查结果</w:t>
            </w:r>
          </w:p>
        </w:tc>
        <w:tc>
          <w:tcPr>
            <w:tcW w:w="876" w:type="dxa"/>
            <w:vAlign w:val="center"/>
          </w:tcPr>
          <w:p w14:paraId="3EC91C62">
            <w:pPr>
              <w:adjustRightInd w:val="0"/>
              <w:snapToGrid w:val="0"/>
              <w:spacing w:line="240" w:lineRule="auto"/>
              <w:ind w:left="0" w:leftChars="0" w:right="0" w:rightChars="0" w:firstLine="0" w:firstLineChars="0"/>
              <w:jc w:val="center"/>
              <w:rPr>
                <w:rFonts w:hint="eastAsia" w:ascii="宋体" w:hAnsi="宋体" w:cs="宋体"/>
                <w:b/>
                <w:bCs/>
                <w:color w:val="auto"/>
                <w:sz w:val="24"/>
                <w:szCs w:val="24"/>
                <w:highlight w:val="none"/>
              </w:rPr>
            </w:pPr>
          </w:p>
        </w:tc>
      </w:tr>
    </w:tbl>
    <w:p w14:paraId="11881CF1">
      <w:pPr>
        <w:spacing w:line="276" w:lineRule="auto"/>
        <w:ind w:left="600" w:hanging="600" w:hangingChars="250"/>
        <w:rPr>
          <w:rFonts w:hint="eastAsia" w:ascii="宋体" w:hAnsi="宋体" w:cs="宋体"/>
          <w:color w:val="auto"/>
          <w:sz w:val="24"/>
          <w:highlight w:val="none"/>
        </w:rPr>
      </w:pPr>
    </w:p>
    <w:p w14:paraId="499FE3D1">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24.4 磋商小组将确定每一磋商响应文件是否对磋商文件的要求作出了实质性的响应，而没有重大偏离。</w:t>
      </w:r>
      <w:r>
        <w:rPr>
          <w:rFonts w:hint="eastAsia" w:ascii="宋体" w:hAnsi="宋体" w:cs="宋体"/>
          <w:b/>
          <w:color w:val="auto"/>
          <w:sz w:val="24"/>
          <w:highlight w:val="none"/>
        </w:rPr>
        <w:t>如果确定供应商未作出实质性响应磋商文件要求的，将视为无效磋商。</w:t>
      </w:r>
      <w:r>
        <w:rPr>
          <w:rFonts w:hint="eastAsia" w:ascii="宋体" w:hAnsi="宋体" w:cs="宋体"/>
          <w:color w:val="auto"/>
          <w:sz w:val="24"/>
          <w:highlight w:val="none"/>
        </w:rPr>
        <w:t>实质性响应的磋商响应文件是指没有重大偏离或保留。重大偏离或保留系指影响到磋商文件规定的供货范围、质量和性能，或限制了采购人的权利和供应商的义务的规定，而纠正这些偏离将影响到其他提交实质性响应磋商的供应商的公平竞争地位。</w:t>
      </w:r>
    </w:p>
    <w:tbl>
      <w:tblPr>
        <w:tblStyle w:val="3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948"/>
        <w:gridCol w:w="1276"/>
      </w:tblGrid>
      <w:tr w14:paraId="09EB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963" w:type="dxa"/>
            <w:gridSpan w:val="3"/>
            <w:vAlign w:val="center"/>
          </w:tcPr>
          <w:p w14:paraId="24671680">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符合性审查</w:t>
            </w:r>
          </w:p>
        </w:tc>
      </w:tr>
      <w:tr w14:paraId="7414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9" w:type="dxa"/>
            <w:vAlign w:val="center"/>
          </w:tcPr>
          <w:p w14:paraId="496CFF29">
            <w:pPr>
              <w:adjustRightInd w:val="0"/>
              <w:snapToGrid w:val="0"/>
              <w:spacing w:line="276" w:lineRule="auto"/>
              <w:jc w:val="center"/>
              <w:rPr>
                <w:rFonts w:hint="eastAsia" w:ascii="宋体" w:hAnsi="宋体" w:cs="宋体"/>
                <w:b/>
                <w:bCs/>
                <w:color w:val="auto"/>
                <w:sz w:val="24"/>
                <w:szCs w:val="24"/>
                <w:highlight w:val="none"/>
              </w:rPr>
            </w:pPr>
            <w:bookmarkStart w:id="39" w:name="_Hlk39707193"/>
            <w:r>
              <w:rPr>
                <w:rFonts w:hint="eastAsia" w:ascii="宋体" w:hAnsi="宋体" w:cs="宋体"/>
                <w:b/>
                <w:bCs/>
                <w:color w:val="auto"/>
                <w:sz w:val="24"/>
                <w:szCs w:val="24"/>
                <w:highlight w:val="none"/>
              </w:rPr>
              <w:t>序号</w:t>
            </w:r>
          </w:p>
        </w:tc>
        <w:tc>
          <w:tcPr>
            <w:tcW w:w="7948" w:type="dxa"/>
          </w:tcPr>
          <w:p w14:paraId="09733CAE">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评审内容</w:t>
            </w:r>
          </w:p>
        </w:tc>
        <w:tc>
          <w:tcPr>
            <w:tcW w:w="1276" w:type="dxa"/>
          </w:tcPr>
          <w:p w14:paraId="3E92288F">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是否满足</w:t>
            </w:r>
          </w:p>
        </w:tc>
      </w:tr>
      <w:tr w14:paraId="42D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9" w:type="dxa"/>
            <w:vAlign w:val="center"/>
          </w:tcPr>
          <w:p w14:paraId="61C0E5E5">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p>
        </w:tc>
        <w:tc>
          <w:tcPr>
            <w:tcW w:w="7948" w:type="dxa"/>
          </w:tcPr>
          <w:p w14:paraId="1A510CBF">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在评标过程中，磋商小组若发现</w:t>
            </w:r>
            <w:r>
              <w:rPr>
                <w:rFonts w:hint="eastAsia" w:ascii="宋体" w:hAnsi="宋体" w:cs="宋体"/>
                <w:b/>
                <w:color w:val="auto"/>
                <w:sz w:val="24"/>
                <w:highlight w:val="none"/>
              </w:rPr>
              <w:t>供应商</w:t>
            </w:r>
            <w:r>
              <w:rPr>
                <w:rFonts w:hint="eastAsia" w:ascii="宋体" w:hAnsi="宋体" w:cs="宋体"/>
                <w:b/>
                <w:bCs/>
                <w:color w:val="auto"/>
                <w:sz w:val="24"/>
                <w:szCs w:val="24"/>
                <w:highlight w:val="none"/>
              </w:rPr>
              <w:t>的报价明显低于其他磋商报价，使得其磋商报价可能低于其个别成本的，应当要求该</w:t>
            </w:r>
            <w:r>
              <w:rPr>
                <w:rFonts w:hint="eastAsia" w:ascii="宋体" w:hAnsi="宋体" w:cs="宋体"/>
                <w:b/>
                <w:color w:val="auto"/>
                <w:sz w:val="24"/>
                <w:highlight w:val="none"/>
              </w:rPr>
              <w:t>供应商</w:t>
            </w:r>
            <w:r>
              <w:rPr>
                <w:rFonts w:hint="eastAsia" w:ascii="宋体" w:hAnsi="宋体" w:cs="宋体"/>
                <w:b/>
                <w:bCs/>
                <w:color w:val="auto"/>
                <w:sz w:val="24"/>
                <w:szCs w:val="24"/>
                <w:highlight w:val="none"/>
              </w:rPr>
              <w:t>做出书面说明并提供相关证明材料。</w:t>
            </w:r>
            <w:r>
              <w:rPr>
                <w:rFonts w:hint="eastAsia" w:ascii="宋体" w:hAnsi="宋体" w:cs="宋体"/>
                <w:b/>
                <w:color w:val="auto"/>
                <w:sz w:val="24"/>
                <w:highlight w:val="none"/>
              </w:rPr>
              <w:t>供应商</w:t>
            </w:r>
            <w:r>
              <w:rPr>
                <w:rFonts w:hint="eastAsia" w:ascii="宋体" w:hAnsi="宋体" w:cs="宋体"/>
                <w:b/>
                <w:bCs/>
                <w:color w:val="auto"/>
                <w:sz w:val="24"/>
                <w:szCs w:val="24"/>
                <w:highlight w:val="none"/>
              </w:rPr>
              <w:t>不能合理说明或者不能提供相关证明材料的，磋商小组认定该</w:t>
            </w:r>
            <w:r>
              <w:rPr>
                <w:rFonts w:hint="eastAsia" w:ascii="宋体" w:hAnsi="宋体" w:cs="宋体"/>
                <w:b/>
                <w:color w:val="auto"/>
                <w:sz w:val="24"/>
                <w:highlight w:val="none"/>
              </w:rPr>
              <w:t>供应商</w:t>
            </w:r>
            <w:r>
              <w:rPr>
                <w:rFonts w:hint="eastAsia" w:ascii="宋体" w:hAnsi="宋体" w:cs="宋体"/>
                <w:b/>
                <w:bCs/>
                <w:color w:val="auto"/>
                <w:sz w:val="24"/>
                <w:szCs w:val="24"/>
                <w:highlight w:val="none"/>
              </w:rPr>
              <w:t>以低于成本报价竞标，采购人不接受不符合国家有关部门相关规定的磋商报价或优惠方案，其磋商报价视为无效报价。（异常低价投标（响应）审查详见磋商文件第二部分13.3.5）</w:t>
            </w:r>
          </w:p>
        </w:tc>
        <w:tc>
          <w:tcPr>
            <w:tcW w:w="1276" w:type="dxa"/>
          </w:tcPr>
          <w:p w14:paraId="68207F11">
            <w:pPr>
              <w:adjustRightInd w:val="0"/>
              <w:snapToGrid w:val="0"/>
              <w:spacing w:line="276" w:lineRule="auto"/>
              <w:jc w:val="center"/>
              <w:rPr>
                <w:rFonts w:hint="eastAsia" w:ascii="宋体" w:hAnsi="宋体" w:cs="宋体"/>
                <w:b/>
                <w:bCs/>
                <w:color w:val="auto"/>
                <w:sz w:val="24"/>
                <w:szCs w:val="24"/>
                <w:highlight w:val="none"/>
              </w:rPr>
            </w:pPr>
          </w:p>
        </w:tc>
      </w:tr>
      <w:tr w14:paraId="63A1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9" w:type="dxa"/>
            <w:vAlign w:val="center"/>
          </w:tcPr>
          <w:p w14:paraId="4B1ACDE9">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p>
        </w:tc>
        <w:tc>
          <w:tcPr>
            <w:tcW w:w="7948" w:type="dxa"/>
          </w:tcPr>
          <w:p w14:paraId="41FDCCF5">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磋商报价未高于设定的预算金额。</w:t>
            </w:r>
          </w:p>
        </w:tc>
        <w:tc>
          <w:tcPr>
            <w:tcW w:w="1276" w:type="dxa"/>
          </w:tcPr>
          <w:p w14:paraId="4E3CC015">
            <w:pPr>
              <w:adjustRightInd w:val="0"/>
              <w:snapToGrid w:val="0"/>
              <w:spacing w:line="276" w:lineRule="auto"/>
              <w:jc w:val="center"/>
              <w:rPr>
                <w:rFonts w:hint="eastAsia" w:ascii="宋体" w:hAnsi="宋体" w:cs="宋体"/>
                <w:b/>
                <w:bCs/>
                <w:color w:val="auto"/>
                <w:sz w:val="24"/>
                <w:szCs w:val="24"/>
                <w:highlight w:val="none"/>
              </w:rPr>
            </w:pPr>
          </w:p>
        </w:tc>
      </w:tr>
      <w:tr w14:paraId="380B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9" w:type="dxa"/>
            <w:vAlign w:val="center"/>
          </w:tcPr>
          <w:p w14:paraId="5E92A7D3">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w:t>
            </w:r>
          </w:p>
        </w:tc>
        <w:tc>
          <w:tcPr>
            <w:tcW w:w="7948" w:type="dxa"/>
          </w:tcPr>
          <w:p w14:paraId="3FA8BAC8">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在评标过程中，磋商小组若发现</w:t>
            </w:r>
            <w:r>
              <w:rPr>
                <w:rFonts w:hint="eastAsia" w:ascii="宋体" w:hAnsi="宋体" w:cs="宋体"/>
                <w:b/>
                <w:color w:val="auto"/>
                <w:sz w:val="24"/>
                <w:highlight w:val="none"/>
              </w:rPr>
              <w:t>供应商</w:t>
            </w:r>
            <w:r>
              <w:rPr>
                <w:rFonts w:hint="eastAsia" w:ascii="宋体" w:hAnsi="宋体" w:cs="宋体"/>
                <w:b/>
                <w:bCs/>
                <w:color w:val="auto"/>
                <w:sz w:val="24"/>
                <w:szCs w:val="24"/>
                <w:highlight w:val="none"/>
              </w:rPr>
              <w:t>以他人名义磋商、串通磋商、以行贿手段谋取成交或者以其他弄虚作假方式磋商的，该</w:t>
            </w:r>
            <w:r>
              <w:rPr>
                <w:rFonts w:hint="eastAsia" w:ascii="宋体" w:hAnsi="宋体" w:cs="宋体"/>
                <w:b/>
                <w:color w:val="auto"/>
                <w:sz w:val="24"/>
                <w:highlight w:val="none"/>
              </w:rPr>
              <w:t>供应商</w:t>
            </w:r>
            <w:r>
              <w:rPr>
                <w:rFonts w:hint="eastAsia" w:ascii="宋体" w:hAnsi="宋体" w:cs="宋体"/>
                <w:b/>
                <w:bCs/>
                <w:color w:val="auto"/>
                <w:sz w:val="24"/>
                <w:szCs w:val="24"/>
                <w:highlight w:val="none"/>
              </w:rPr>
              <w:t>的磋商应作废标处理。</w:t>
            </w:r>
          </w:p>
        </w:tc>
        <w:tc>
          <w:tcPr>
            <w:tcW w:w="1276" w:type="dxa"/>
          </w:tcPr>
          <w:p w14:paraId="5DC61AEF">
            <w:pPr>
              <w:adjustRightInd w:val="0"/>
              <w:snapToGrid w:val="0"/>
              <w:spacing w:line="276" w:lineRule="auto"/>
              <w:jc w:val="center"/>
              <w:rPr>
                <w:rFonts w:hint="eastAsia" w:ascii="宋体" w:hAnsi="宋体" w:cs="宋体"/>
                <w:b/>
                <w:bCs/>
                <w:color w:val="auto"/>
                <w:sz w:val="24"/>
                <w:szCs w:val="24"/>
                <w:highlight w:val="none"/>
              </w:rPr>
            </w:pPr>
          </w:p>
        </w:tc>
      </w:tr>
      <w:tr w14:paraId="3392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9" w:type="dxa"/>
            <w:vAlign w:val="center"/>
          </w:tcPr>
          <w:p w14:paraId="313B4E89">
            <w:pPr>
              <w:adjustRightInd w:val="0"/>
              <w:snapToGrid w:val="0"/>
              <w:spacing w:line="276"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4</w:t>
            </w:r>
          </w:p>
        </w:tc>
        <w:tc>
          <w:tcPr>
            <w:tcW w:w="7948" w:type="dxa"/>
          </w:tcPr>
          <w:p w14:paraId="278E6724">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服务期满足磋商文件要求。</w:t>
            </w:r>
          </w:p>
        </w:tc>
        <w:tc>
          <w:tcPr>
            <w:tcW w:w="1276" w:type="dxa"/>
          </w:tcPr>
          <w:p w14:paraId="785AEA5C">
            <w:pPr>
              <w:adjustRightInd w:val="0"/>
              <w:snapToGrid w:val="0"/>
              <w:spacing w:line="276" w:lineRule="auto"/>
              <w:jc w:val="center"/>
              <w:rPr>
                <w:rFonts w:hint="eastAsia" w:ascii="宋体" w:hAnsi="宋体" w:cs="宋体"/>
                <w:b/>
                <w:bCs/>
                <w:color w:val="auto"/>
                <w:sz w:val="24"/>
                <w:szCs w:val="24"/>
                <w:highlight w:val="none"/>
              </w:rPr>
            </w:pPr>
          </w:p>
        </w:tc>
      </w:tr>
      <w:tr w14:paraId="5FD5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9" w:type="dxa"/>
            <w:vAlign w:val="center"/>
          </w:tcPr>
          <w:p w14:paraId="34770515">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w:t>
            </w:r>
          </w:p>
        </w:tc>
        <w:tc>
          <w:tcPr>
            <w:tcW w:w="7948" w:type="dxa"/>
          </w:tcPr>
          <w:p w14:paraId="4689C2A1">
            <w:pPr>
              <w:adjustRightInd w:val="0"/>
              <w:snapToGrid w:val="0"/>
              <w:spacing w:line="276"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磋商有效期满足磋商文件规定</w:t>
            </w:r>
          </w:p>
        </w:tc>
        <w:tc>
          <w:tcPr>
            <w:tcW w:w="1276" w:type="dxa"/>
          </w:tcPr>
          <w:p w14:paraId="329CC6D1">
            <w:pPr>
              <w:adjustRightInd w:val="0"/>
              <w:snapToGrid w:val="0"/>
              <w:spacing w:line="276" w:lineRule="auto"/>
              <w:jc w:val="center"/>
              <w:rPr>
                <w:rFonts w:hint="eastAsia" w:ascii="宋体" w:hAnsi="宋体" w:cs="宋体"/>
                <w:b/>
                <w:bCs/>
                <w:color w:val="auto"/>
                <w:sz w:val="24"/>
                <w:szCs w:val="24"/>
                <w:highlight w:val="none"/>
              </w:rPr>
            </w:pPr>
          </w:p>
        </w:tc>
      </w:tr>
      <w:tr w14:paraId="4B4E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87" w:type="dxa"/>
            <w:gridSpan w:val="2"/>
            <w:vAlign w:val="center"/>
          </w:tcPr>
          <w:p w14:paraId="45903967">
            <w:pPr>
              <w:adjustRightInd w:val="0"/>
              <w:snapToGrid w:val="0"/>
              <w:spacing w:line="276"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审查结果</w:t>
            </w:r>
          </w:p>
        </w:tc>
        <w:tc>
          <w:tcPr>
            <w:tcW w:w="1276" w:type="dxa"/>
          </w:tcPr>
          <w:p w14:paraId="2E5A707F">
            <w:pPr>
              <w:adjustRightInd w:val="0"/>
              <w:snapToGrid w:val="0"/>
              <w:spacing w:line="276" w:lineRule="auto"/>
              <w:jc w:val="center"/>
              <w:rPr>
                <w:rFonts w:hint="eastAsia" w:ascii="宋体" w:hAnsi="宋体" w:cs="宋体"/>
                <w:b/>
                <w:bCs/>
                <w:color w:val="auto"/>
                <w:sz w:val="24"/>
                <w:szCs w:val="24"/>
                <w:highlight w:val="none"/>
              </w:rPr>
            </w:pPr>
          </w:p>
        </w:tc>
      </w:tr>
      <w:bookmarkEnd w:id="39"/>
    </w:tbl>
    <w:p w14:paraId="46B3415A">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25．磋商响应文件的澄清</w:t>
      </w:r>
    </w:p>
    <w:p w14:paraId="09E34B0F">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对重要内容作出书面答复。</w:t>
      </w:r>
    </w:p>
    <w:p w14:paraId="217B4287">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25.2 要澄清的答复应是书面的，但不得对磋商内容进行实质性修改。澄清文件须由供应商法人代表或法人授权代表签字和/或加盖公章并作为磋商响应文件的组成部分。</w:t>
      </w:r>
    </w:p>
    <w:p w14:paraId="0443BD9D">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25.3 磋商结束后，磋商小组要求所有参加磋商的供应商在规定的时间内进行二次报价或多轮报价，以最后一次报价为最终报价。</w:t>
      </w:r>
    </w:p>
    <w:p w14:paraId="69CFA133">
      <w:pPr>
        <w:spacing w:line="276" w:lineRule="auto"/>
        <w:rPr>
          <w:rFonts w:hint="eastAsia" w:ascii="宋体" w:hAnsi="宋体" w:cs="宋体"/>
          <w:color w:val="auto"/>
          <w:sz w:val="24"/>
          <w:highlight w:val="none"/>
        </w:rPr>
      </w:pPr>
      <w:r>
        <w:rPr>
          <w:rFonts w:hint="eastAsia" w:ascii="宋体" w:hAnsi="宋体" w:cs="宋体"/>
          <w:color w:val="auto"/>
          <w:sz w:val="24"/>
          <w:highlight w:val="none"/>
        </w:rPr>
        <w:t>26．确定成交供应商的办法</w:t>
      </w:r>
    </w:p>
    <w:p w14:paraId="2D1FDD6E">
      <w:pPr>
        <w:spacing w:line="276" w:lineRule="auto"/>
        <w:rPr>
          <w:rFonts w:hint="eastAsia" w:ascii="宋体" w:hAnsi="宋体" w:cs="宋体"/>
          <w:bCs/>
          <w:color w:val="auto"/>
          <w:sz w:val="24"/>
          <w:highlight w:val="none"/>
        </w:rPr>
      </w:pPr>
      <w:r>
        <w:rPr>
          <w:rFonts w:hint="eastAsia" w:ascii="宋体" w:hAnsi="宋体" w:cs="宋体"/>
          <w:bCs/>
          <w:color w:val="auto"/>
          <w:sz w:val="24"/>
          <w:highlight w:val="none"/>
        </w:rPr>
        <w:t>26.1磋商小组按照磋商文件要求对磋商响应文件中重要技术指标以及技术和商务上要求的其它重要内容进行审核。</w:t>
      </w:r>
    </w:p>
    <w:p w14:paraId="79855A29">
      <w:pPr>
        <w:spacing w:line="276" w:lineRule="auto"/>
        <w:rPr>
          <w:rFonts w:hint="eastAsia" w:ascii="宋体" w:hAnsi="宋体" w:cs="宋体"/>
          <w:bCs/>
          <w:color w:val="auto"/>
          <w:sz w:val="24"/>
          <w:highlight w:val="none"/>
        </w:rPr>
      </w:pPr>
      <w:r>
        <w:rPr>
          <w:rFonts w:hint="eastAsia" w:ascii="宋体" w:hAnsi="宋体" w:cs="宋体"/>
          <w:bCs/>
          <w:color w:val="auto"/>
          <w:sz w:val="24"/>
          <w:highlight w:val="none"/>
        </w:rPr>
        <w:t>26.2磋商小组和供应商磋商过程中作出的书面承诺是否符合磋商文件中对质量、技术和服务的要求。</w:t>
      </w:r>
    </w:p>
    <w:p w14:paraId="05F91B2D">
      <w:pPr>
        <w:spacing w:line="276" w:lineRule="auto"/>
        <w:rPr>
          <w:rFonts w:hint="eastAsia" w:ascii="宋体" w:hAnsi="宋体" w:cs="宋体"/>
          <w:color w:val="auto"/>
          <w:sz w:val="24"/>
          <w:szCs w:val="24"/>
          <w:highlight w:val="none"/>
        </w:rPr>
      </w:pPr>
      <w:r>
        <w:rPr>
          <w:rFonts w:hint="eastAsia" w:ascii="宋体" w:hAnsi="宋体" w:cs="宋体"/>
          <w:bCs/>
          <w:color w:val="auto"/>
          <w:sz w:val="24"/>
          <w:highlight w:val="none"/>
        </w:rPr>
        <w:t>26.3</w:t>
      </w:r>
      <w:r>
        <w:rPr>
          <w:rFonts w:hint="eastAsia" w:ascii="宋体" w:hAnsi="宋体" w:cs="宋体"/>
          <w:color w:val="auto"/>
          <w:sz w:val="24"/>
          <w:szCs w:val="24"/>
          <w:highlight w:val="none"/>
          <w:shd w:val="clear" w:color="auto" w:fill="FFFFFF"/>
        </w:rPr>
        <w:t>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28C5BF21">
      <w:pPr>
        <w:spacing w:line="276" w:lineRule="auto"/>
        <w:ind w:left="1" w:firstLine="424" w:firstLineChars="177"/>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对响应文件的评估和比较分为两步进行，磋商小组会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10分，技术因素、商务因素占90分。将每位供应商的价格得分、技术得分、商务得分相加即为该供应商的总得分。详细评分标准如下：</w:t>
      </w:r>
    </w:p>
    <w:tbl>
      <w:tblPr>
        <w:tblStyle w:val="38"/>
        <w:tblW w:w="1012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670"/>
        <w:gridCol w:w="6757"/>
        <w:gridCol w:w="679"/>
      </w:tblGrid>
      <w:tr w14:paraId="591B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016" w:type="dxa"/>
            <w:vAlign w:val="center"/>
          </w:tcPr>
          <w:p w14:paraId="4039B203">
            <w:pPr>
              <w:pStyle w:val="122"/>
              <w:keepNext/>
              <w:snapToGrid w:val="0"/>
              <w:spacing w:line="276"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1670" w:type="dxa"/>
            <w:vAlign w:val="center"/>
          </w:tcPr>
          <w:p w14:paraId="0400732D">
            <w:pPr>
              <w:pStyle w:val="122"/>
              <w:keepNext/>
              <w:snapToGrid w:val="0"/>
              <w:spacing w:line="276"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6757" w:type="dxa"/>
            <w:vAlign w:val="center"/>
          </w:tcPr>
          <w:p w14:paraId="0BDAE337">
            <w:pPr>
              <w:pStyle w:val="122"/>
              <w:keepNext/>
              <w:snapToGrid w:val="0"/>
              <w:spacing w:line="276"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679" w:type="dxa"/>
            <w:vAlign w:val="center"/>
          </w:tcPr>
          <w:p w14:paraId="34CE04E0">
            <w:pPr>
              <w:pStyle w:val="122"/>
              <w:keepNext/>
              <w:snapToGrid w:val="0"/>
              <w:spacing w:line="276" w:lineRule="auto"/>
              <w:ind w:firstLine="24"/>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分值</w:t>
            </w:r>
          </w:p>
        </w:tc>
      </w:tr>
      <w:tr w14:paraId="7321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86" w:type="dxa"/>
            <w:gridSpan w:val="2"/>
            <w:vAlign w:val="center"/>
          </w:tcPr>
          <w:p w14:paraId="3071E5AC">
            <w:pPr>
              <w:pStyle w:val="122"/>
              <w:keepNext/>
              <w:snapToGrid w:val="0"/>
              <w:spacing w:line="276" w:lineRule="auto"/>
              <w:ind w:firstLine="2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757" w:type="dxa"/>
            <w:vAlign w:val="center"/>
          </w:tcPr>
          <w:p w14:paraId="7778539C">
            <w:pPr>
              <w:pStyle w:val="122"/>
              <w:keepNext/>
              <w:snapToGrid w:val="0"/>
              <w:spacing w:line="276"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满足磋商文件要求且最终报价最低的磋商报价为评标基准价，其价格分为满分。其他供应商的价格分统一按照下列公式计算：磋商报价得分=(评标基准价／磋商报价)×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p>
        </w:tc>
        <w:tc>
          <w:tcPr>
            <w:tcW w:w="679" w:type="dxa"/>
            <w:vAlign w:val="center"/>
          </w:tcPr>
          <w:p w14:paraId="5EFA9F88">
            <w:pPr>
              <w:pStyle w:val="122"/>
              <w:keepNext/>
              <w:snapToGrid w:val="0"/>
              <w:spacing w:line="276" w:lineRule="auto"/>
              <w:ind w:firstLine="24"/>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2EEB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restart"/>
            <w:vAlign w:val="center"/>
          </w:tcPr>
          <w:p w14:paraId="4750C1C2">
            <w:pPr>
              <w:pStyle w:val="122"/>
              <w:keepNext/>
              <w:snapToGrid w:val="0"/>
              <w:spacing w:line="276" w:lineRule="auto"/>
              <w:ind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670" w:type="dxa"/>
            <w:vAlign w:val="center"/>
          </w:tcPr>
          <w:p w14:paraId="5C81F4BE">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bidi="ar"/>
              </w:rPr>
            </w:pPr>
            <w:r>
              <w:rPr>
                <w:rFonts w:hint="eastAsia" w:ascii="宋体" w:hAnsi="宋体" w:eastAsia="宋体" w:cs="宋体"/>
                <w:color w:val="auto"/>
                <w:sz w:val="24"/>
                <w:szCs w:val="24"/>
                <w:highlight w:val="none"/>
              </w:rPr>
              <w:t>企业服务能力</w:t>
            </w:r>
          </w:p>
        </w:tc>
        <w:tc>
          <w:tcPr>
            <w:tcW w:w="6757" w:type="dxa"/>
            <w:vAlign w:val="center"/>
          </w:tcPr>
          <w:p w14:paraId="2ACCD389">
            <w:pPr>
              <w:pStyle w:val="129"/>
              <w:rPr>
                <w:rFonts w:hint="eastAsia" w:ascii="宋体" w:hAnsi="宋体" w:eastAsia="宋体" w:cs="宋体"/>
                <w:snapToGrid w:val="0"/>
                <w:color w:val="auto"/>
                <w:sz w:val="24"/>
                <w:szCs w:val="24"/>
                <w:highlight w:val="none"/>
                <w:lang w:val="en-US" w:eastAsia="zh-CN" w:bidi="ar"/>
              </w:rPr>
            </w:pPr>
            <w:r>
              <w:rPr>
                <w:rFonts w:hint="eastAsia" w:ascii="宋体" w:hAnsi="宋体" w:eastAsia="宋体" w:cs="宋体"/>
                <w:snapToGrid w:val="0"/>
                <w:color w:val="auto"/>
                <w:sz w:val="24"/>
                <w:szCs w:val="24"/>
                <w:highlight w:val="none"/>
                <w:lang w:val="en-US" w:eastAsia="zh-CN" w:bidi="ar"/>
              </w:rPr>
              <w:t>1. 具有中国网络安全审查技术与认证中心（CCRC）颁发的《信息安全服务资质认证证书》（风险评估/信息系统安全运维/网络安全审计/信息安全应急处理）三级及以上的，每类证书得</w:t>
            </w:r>
            <w:r>
              <w:rPr>
                <w:rFonts w:hint="eastAsia" w:ascii="宋体" w:hAnsi="宋体" w:cs="宋体"/>
                <w:snapToGrid w:val="0"/>
                <w:color w:val="auto"/>
                <w:sz w:val="24"/>
                <w:szCs w:val="24"/>
                <w:highlight w:val="none"/>
                <w:lang w:val="en-US" w:eastAsia="zh-CN" w:bidi="ar"/>
              </w:rPr>
              <w:t>3</w:t>
            </w:r>
            <w:r>
              <w:rPr>
                <w:rFonts w:hint="eastAsia" w:ascii="宋体" w:hAnsi="宋体" w:eastAsia="宋体" w:cs="宋体"/>
                <w:snapToGrid w:val="0"/>
                <w:color w:val="auto"/>
                <w:sz w:val="24"/>
                <w:szCs w:val="24"/>
                <w:highlight w:val="none"/>
                <w:lang w:val="en-US" w:eastAsia="zh-CN" w:bidi="ar"/>
              </w:rPr>
              <w:t>分，本项最高得</w:t>
            </w:r>
            <w:r>
              <w:rPr>
                <w:rFonts w:hint="eastAsia" w:ascii="宋体" w:hAnsi="宋体" w:cs="宋体"/>
                <w:snapToGrid w:val="0"/>
                <w:color w:val="auto"/>
                <w:sz w:val="24"/>
                <w:szCs w:val="24"/>
                <w:highlight w:val="none"/>
                <w:lang w:val="en-US" w:eastAsia="zh-CN" w:bidi="ar"/>
              </w:rPr>
              <w:t>12</w:t>
            </w:r>
            <w:r>
              <w:rPr>
                <w:rFonts w:hint="eastAsia" w:ascii="宋体" w:hAnsi="宋体" w:eastAsia="宋体" w:cs="宋体"/>
                <w:snapToGrid w:val="0"/>
                <w:color w:val="auto"/>
                <w:sz w:val="24"/>
                <w:szCs w:val="24"/>
                <w:highlight w:val="none"/>
                <w:lang w:val="en-US" w:eastAsia="zh-CN" w:bidi="ar"/>
              </w:rPr>
              <w:t>分。</w:t>
            </w:r>
          </w:p>
          <w:p w14:paraId="3850D973">
            <w:pPr>
              <w:pStyle w:val="129"/>
              <w:rPr>
                <w:rFonts w:hint="eastAsia" w:ascii="宋体" w:hAnsi="宋体" w:eastAsia="宋体" w:cs="宋体"/>
                <w:snapToGrid w:val="0"/>
                <w:color w:val="auto"/>
                <w:sz w:val="24"/>
                <w:szCs w:val="24"/>
                <w:highlight w:val="none"/>
                <w:lang w:val="en-US" w:eastAsia="zh-CN" w:bidi="ar"/>
              </w:rPr>
            </w:pPr>
            <w:r>
              <w:rPr>
                <w:rFonts w:hint="eastAsia" w:ascii="宋体" w:hAnsi="宋体" w:eastAsia="宋体" w:cs="宋体"/>
                <w:snapToGrid w:val="0"/>
                <w:color w:val="auto"/>
                <w:sz w:val="24"/>
                <w:szCs w:val="24"/>
                <w:highlight w:val="none"/>
                <w:lang w:val="en-US" w:eastAsia="zh-CN" w:bidi="ar"/>
              </w:rPr>
              <w:t>2. 具有ITSS信息技术服务运行维护标准符合性证书（四级及以上）的，得</w:t>
            </w:r>
            <w:r>
              <w:rPr>
                <w:rFonts w:hint="eastAsia" w:ascii="宋体" w:hAnsi="宋体" w:cs="宋体"/>
                <w:snapToGrid w:val="0"/>
                <w:color w:val="auto"/>
                <w:sz w:val="24"/>
                <w:szCs w:val="24"/>
                <w:highlight w:val="none"/>
                <w:lang w:val="en-US" w:eastAsia="zh-CN" w:bidi="ar"/>
              </w:rPr>
              <w:t>4</w:t>
            </w:r>
            <w:r>
              <w:rPr>
                <w:rFonts w:hint="eastAsia" w:ascii="宋体" w:hAnsi="宋体" w:eastAsia="宋体" w:cs="宋体"/>
                <w:snapToGrid w:val="0"/>
                <w:color w:val="auto"/>
                <w:sz w:val="24"/>
                <w:szCs w:val="24"/>
                <w:highlight w:val="none"/>
                <w:lang w:val="en-US" w:eastAsia="zh-CN" w:bidi="ar"/>
              </w:rPr>
              <w:t>分。</w:t>
            </w:r>
          </w:p>
          <w:p w14:paraId="58BE0973">
            <w:pPr>
              <w:pStyle w:val="129"/>
              <w:rPr>
                <w:rFonts w:hint="eastAsia" w:ascii="宋体" w:hAnsi="宋体" w:eastAsia="宋体" w:cs="宋体"/>
                <w:snapToGrid w:val="0"/>
                <w:color w:val="auto"/>
                <w:sz w:val="24"/>
                <w:szCs w:val="24"/>
                <w:highlight w:val="none"/>
                <w:lang w:bidi="ar"/>
              </w:rPr>
            </w:pPr>
            <w:r>
              <w:rPr>
                <w:rFonts w:hint="eastAsia" w:ascii="宋体" w:hAnsi="宋体" w:eastAsia="宋体" w:cs="宋体"/>
                <w:snapToGrid w:val="0"/>
                <w:color w:val="auto"/>
                <w:sz w:val="24"/>
                <w:szCs w:val="24"/>
                <w:highlight w:val="none"/>
                <w:lang w:val="en-US" w:eastAsia="zh-CN" w:bidi="ar"/>
              </w:rPr>
              <w:t>注：以上均需提供</w:t>
            </w:r>
            <w:r>
              <w:rPr>
                <w:rFonts w:hint="eastAsia" w:ascii="宋体" w:hAnsi="宋体" w:cs="宋体"/>
                <w:snapToGrid w:val="0"/>
                <w:color w:val="auto"/>
                <w:sz w:val="24"/>
                <w:szCs w:val="24"/>
                <w:highlight w:val="none"/>
                <w:lang w:val="en-US" w:eastAsia="zh-CN" w:bidi="ar"/>
              </w:rPr>
              <w:t>有效的</w:t>
            </w:r>
            <w:r>
              <w:rPr>
                <w:rFonts w:hint="eastAsia" w:ascii="宋体" w:hAnsi="宋体" w:eastAsia="宋体" w:cs="宋体"/>
                <w:snapToGrid w:val="0"/>
                <w:color w:val="auto"/>
                <w:sz w:val="24"/>
                <w:szCs w:val="24"/>
                <w:highlight w:val="none"/>
                <w:lang w:val="en-US" w:eastAsia="zh-CN" w:bidi="ar"/>
              </w:rPr>
              <w:t>证书复印件并加盖投标人公章，未提供</w:t>
            </w:r>
            <w:r>
              <w:rPr>
                <w:rFonts w:hint="eastAsia" w:ascii="宋体" w:hAnsi="宋体" w:cs="宋体"/>
                <w:snapToGrid w:val="0"/>
                <w:color w:val="auto"/>
                <w:sz w:val="24"/>
                <w:szCs w:val="24"/>
                <w:highlight w:val="none"/>
                <w:lang w:val="en-US" w:eastAsia="zh-CN" w:bidi="ar"/>
              </w:rPr>
              <w:t>或提供不全的</w:t>
            </w:r>
            <w:r>
              <w:rPr>
                <w:rFonts w:hint="eastAsia" w:ascii="宋体" w:hAnsi="宋体" w:eastAsia="宋体" w:cs="宋体"/>
                <w:snapToGrid w:val="0"/>
                <w:color w:val="auto"/>
                <w:sz w:val="24"/>
                <w:szCs w:val="24"/>
                <w:highlight w:val="none"/>
                <w:lang w:val="en-US" w:eastAsia="zh-CN" w:bidi="ar"/>
              </w:rPr>
              <w:t>不得分。</w:t>
            </w:r>
          </w:p>
        </w:tc>
        <w:tc>
          <w:tcPr>
            <w:tcW w:w="679" w:type="dxa"/>
            <w:vAlign w:val="center"/>
          </w:tcPr>
          <w:p w14:paraId="12B17E3E">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r>
      <w:tr w14:paraId="483D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44F47BD5">
            <w:pPr>
              <w:pStyle w:val="122"/>
              <w:keepNext/>
              <w:snapToGrid w:val="0"/>
              <w:spacing w:line="276" w:lineRule="auto"/>
              <w:ind w:firstLine="24"/>
              <w:rPr>
                <w:rFonts w:hint="eastAsia" w:ascii="宋体" w:hAnsi="宋体" w:eastAsia="宋体" w:cs="宋体"/>
                <w:color w:val="auto"/>
                <w:sz w:val="24"/>
                <w:szCs w:val="24"/>
                <w:highlight w:val="none"/>
              </w:rPr>
            </w:pPr>
          </w:p>
        </w:tc>
        <w:tc>
          <w:tcPr>
            <w:tcW w:w="1670" w:type="dxa"/>
            <w:shd w:val="clear" w:color="auto" w:fill="auto"/>
            <w:vAlign w:val="center"/>
          </w:tcPr>
          <w:p w14:paraId="7784604A">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en-US" w:eastAsia="zh-CN" w:bidi="ar"/>
              </w:rPr>
            </w:pPr>
            <w:r>
              <w:rPr>
                <w:rFonts w:hint="eastAsia" w:ascii="宋体" w:hAnsi="宋体" w:eastAsia="宋体" w:cs="宋体"/>
                <w:color w:val="auto"/>
                <w:sz w:val="24"/>
                <w:szCs w:val="24"/>
                <w:highlight w:val="none"/>
              </w:rPr>
              <w:t>投标业绩</w:t>
            </w:r>
          </w:p>
        </w:tc>
        <w:tc>
          <w:tcPr>
            <w:tcW w:w="6757" w:type="dxa"/>
            <w:shd w:val="clear" w:color="auto" w:fill="auto"/>
            <w:vAlign w:val="center"/>
          </w:tcPr>
          <w:p w14:paraId="6913431F">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bCs/>
                <w:snapToGrid w:val="0"/>
                <w:color w:val="auto"/>
                <w:kern w:val="2"/>
                <w:sz w:val="24"/>
                <w:szCs w:val="24"/>
                <w:highlight w:val="none"/>
                <w:lang w:val="en-US" w:eastAsia="zh-CN" w:bidi="ar"/>
              </w:rPr>
            </w:pPr>
            <w:r>
              <w:rPr>
                <w:rFonts w:hint="eastAsia" w:ascii="宋体" w:hAnsi="宋体" w:eastAsia="宋体" w:cs="宋体"/>
                <w:color w:val="auto"/>
                <w:sz w:val="24"/>
                <w:szCs w:val="24"/>
                <w:highlight w:val="none"/>
              </w:rPr>
              <w:t>提供近三年（2023年1月1日至响应文件提交截止时间）类似项目业绩。每提供1个有效业绩得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分。（提供中标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复印件加盖公章</w:t>
            </w:r>
            <w:r>
              <w:rPr>
                <w:rFonts w:hint="eastAsia" w:ascii="宋体" w:hAnsi="宋体" w:eastAsia="宋体" w:cs="宋体"/>
                <w:color w:val="auto"/>
                <w:sz w:val="24"/>
                <w:szCs w:val="24"/>
                <w:highlight w:val="none"/>
              </w:rPr>
              <w:t>或合同</w:t>
            </w:r>
            <w:r>
              <w:rPr>
                <w:rFonts w:hint="eastAsia" w:ascii="宋体" w:hAnsi="宋体" w:eastAsia="宋体" w:cs="宋体"/>
                <w:color w:val="auto"/>
                <w:sz w:val="24"/>
                <w:szCs w:val="24"/>
                <w:highlight w:val="none"/>
                <w:lang w:eastAsia="zh-CN"/>
              </w:rPr>
              <w:t>复印件加盖公章</w:t>
            </w:r>
            <w:r>
              <w:rPr>
                <w:rFonts w:hint="eastAsia" w:ascii="宋体" w:hAnsi="宋体" w:eastAsia="宋体" w:cs="宋体"/>
                <w:color w:val="auto"/>
                <w:sz w:val="24"/>
                <w:szCs w:val="24"/>
                <w:highlight w:val="none"/>
              </w:rPr>
              <w:t>）</w:t>
            </w:r>
          </w:p>
        </w:tc>
        <w:tc>
          <w:tcPr>
            <w:tcW w:w="679" w:type="dxa"/>
            <w:shd w:val="clear" w:color="auto" w:fill="auto"/>
            <w:vAlign w:val="center"/>
          </w:tcPr>
          <w:p w14:paraId="65278F65">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07C5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6518B176">
            <w:pPr>
              <w:pStyle w:val="122"/>
              <w:keepNext/>
              <w:snapToGrid w:val="0"/>
              <w:spacing w:line="276" w:lineRule="auto"/>
              <w:ind w:firstLine="24"/>
              <w:rPr>
                <w:rFonts w:hint="eastAsia" w:ascii="宋体" w:hAnsi="宋体" w:eastAsia="宋体" w:cs="宋体"/>
                <w:color w:val="auto"/>
                <w:sz w:val="24"/>
                <w:szCs w:val="24"/>
                <w:highlight w:val="none"/>
              </w:rPr>
            </w:pPr>
          </w:p>
        </w:tc>
        <w:tc>
          <w:tcPr>
            <w:tcW w:w="1670" w:type="dxa"/>
            <w:vMerge w:val="restart"/>
            <w:vAlign w:val="center"/>
          </w:tcPr>
          <w:p w14:paraId="2C4FE2A4">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项目服务团队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不少于5名</w:t>
            </w:r>
            <w:r>
              <w:rPr>
                <w:rFonts w:hint="eastAsia" w:ascii="宋体" w:hAnsi="宋体" w:eastAsia="宋体" w:cs="宋体"/>
                <w:color w:val="auto"/>
                <w:sz w:val="24"/>
                <w:szCs w:val="24"/>
                <w:highlight w:val="none"/>
                <w:lang w:eastAsia="zh-CN"/>
              </w:rPr>
              <w:t>）</w:t>
            </w:r>
          </w:p>
        </w:tc>
        <w:tc>
          <w:tcPr>
            <w:tcW w:w="6757" w:type="dxa"/>
            <w:vAlign w:val="center"/>
          </w:tcPr>
          <w:p w14:paraId="2ADDC9E2">
            <w:pPr>
              <w:pStyle w:val="128"/>
              <w:keepNext/>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u w:val="none"/>
                <w:lang w:val="en-US" w:eastAsia="zh-CN"/>
              </w:rPr>
            </w:pPr>
            <w:r>
              <w:rPr>
                <w:rFonts w:ascii="宋体" w:hAnsi="宋体" w:eastAsia="宋体" w:cs="宋体"/>
                <w:color w:val="auto"/>
                <w:sz w:val="24"/>
                <w:szCs w:val="24"/>
                <w:highlight w:val="none"/>
                <w:u w:val="none"/>
              </w:rPr>
              <w:t>①</w:t>
            </w:r>
            <w:r>
              <w:rPr>
                <w:rFonts w:hint="eastAsia" w:ascii="宋体" w:hAnsi="宋体" w:cs="宋体"/>
                <w:color w:val="auto"/>
                <w:kern w:val="0"/>
                <w:sz w:val="24"/>
                <w:szCs w:val="24"/>
                <w:highlight w:val="none"/>
                <w:u w:val="none"/>
                <w:lang w:val="en-US" w:eastAsia="zh-CN"/>
              </w:rPr>
              <w:t>本项目经理</w:t>
            </w:r>
            <w:r>
              <w:rPr>
                <w:rFonts w:hint="eastAsia" w:ascii="宋体" w:hAnsi="宋体" w:eastAsia="宋体" w:cs="宋体"/>
                <w:color w:val="auto"/>
                <w:kern w:val="0"/>
                <w:sz w:val="24"/>
                <w:szCs w:val="24"/>
                <w:highlight w:val="none"/>
                <w:u w:val="none"/>
                <w:lang w:val="en-US" w:eastAsia="zh-CN"/>
              </w:rPr>
              <w:t>具备具备《信息安全等级保护测评师证书》（中级及以上）的，得2分；具备初级证书的，得1分；未提供不得分。</w:t>
            </w:r>
          </w:p>
          <w:p w14:paraId="5DA7223F">
            <w:pPr>
              <w:pStyle w:val="128"/>
              <w:keepNext/>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u w:val="none"/>
                <w:lang w:val="en-US" w:eastAsia="zh-CN"/>
              </w:rPr>
            </w:pPr>
            <w:r>
              <w:rPr>
                <w:rFonts w:ascii="宋体" w:hAnsi="宋体" w:eastAsia="宋体" w:cs="宋体"/>
                <w:color w:val="auto"/>
                <w:sz w:val="24"/>
                <w:szCs w:val="24"/>
                <w:highlight w:val="none"/>
                <w:u w:val="none"/>
              </w:rPr>
              <w:t>②</w:t>
            </w:r>
            <w:r>
              <w:rPr>
                <w:rFonts w:hint="eastAsia" w:ascii="宋体" w:hAnsi="宋体" w:eastAsia="宋体" w:cs="宋体"/>
                <w:color w:val="auto"/>
                <w:sz w:val="24"/>
                <w:szCs w:val="24"/>
                <w:highlight w:val="none"/>
                <w:u w:val="none"/>
              </w:rPr>
              <w:t>项目负责人同时</w:t>
            </w:r>
            <w:r>
              <w:rPr>
                <w:rFonts w:hint="eastAsia" w:ascii="宋体" w:hAnsi="宋体" w:cs="宋体"/>
                <w:color w:val="auto"/>
                <w:sz w:val="24"/>
                <w:szCs w:val="24"/>
                <w:highlight w:val="none"/>
                <w:u w:val="none"/>
                <w:lang w:val="en-US" w:eastAsia="zh-CN"/>
              </w:rPr>
              <w:t>具备</w:t>
            </w:r>
            <w:r>
              <w:rPr>
                <w:rFonts w:hint="eastAsia" w:ascii="宋体" w:hAnsi="宋体" w:eastAsia="宋体" w:cs="宋体"/>
                <w:color w:val="auto"/>
                <w:sz w:val="24"/>
                <w:szCs w:val="24"/>
                <w:highlight w:val="none"/>
                <w:u w:val="none"/>
                <w:lang w:val="en-US" w:eastAsia="zh-CN"/>
              </w:rPr>
              <w:t>注册渗透测试工程师（CISP-PTE）</w:t>
            </w:r>
            <w:r>
              <w:rPr>
                <w:rFonts w:hint="eastAsia" w:ascii="宋体" w:hAnsi="宋体" w:eastAsia="宋体" w:cs="宋体"/>
                <w:color w:val="auto"/>
                <w:kern w:val="0"/>
                <w:sz w:val="24"/>
                <w:szCs w:val="24"/>
                <w:highlight w:val="none"/>
                <w:u w:val="none"/>
                <w:lang w:val="en-US" w:eastAsia="zh-CN"/>
              </w:rPr>
              <w:t>证书</w:t>
            </w:r>
            <w:r>
              <w:rPr>
                <w:rFonts w:hint="eastAsia" w:ascii="宋体" w:hAnsi="宋体" w:cs="宋体"/>
                <w:color w:val="auto"/>
                <w:sz w:val="24"/>
                <w:szCs w:val="24"/>
                <w:highlight w:val="none"/>
                <w:u w:val="none"/>
                <w:lang w:val="en-US" w:eastAsia="zh-CN"/>
              </w:rPr>
              <w:t>的得3</w:t>
            </w:r>
            <w:r>
              <w:rPr>
                <w:rFonts w:hint="eastAsia" w:ascii="宋体" w:hAnsi="宋体" w:eastAsia="宋体" w:cs="宋体"/>
                <w:color w:val="auto"/>
                <w:sz w:val="24"/>
                <w:szCs w:val="24"/>
                <w:highlight w:val="none"/>
                <w:u w:val="none"/>
              </w:rPr>
              <w:t>分，本项最高得3分。</w:t>
            </w:r>
          </w:p>
          <w:p w14:paraId="61B92D7E">
            <w:pPr>
              <w:pStyle w:val="128"/>
              <w:keepNext/>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需提供身份证、劳动合同、近半年任意连续2个月社保证明、</w:t>
            </w:r>
            <w:r>
              <w:rPr>
                <w:rFonts w:hint="eastAsia" w:ascii="宋体" w:hAnsi="宋体" w:cs="宋体"/>
                <w:color w:val="auto"/>
                <w:kern w:val="0"/>
                <w:sz w:val="24"/>
                <w:szCs w:val="24"/>
                <w:highlight w:val="none"/>
                <w:u w:val="none"/>
                <w:lang w:val="en-US" w:eastAsia="zh-CN"/>
              </w:rPr>
              <w:t>有效的人员</w:t>
            </w:r>
            <w:r>
              <w:rPr>
                <w:rFonts w:hint="eastAsia" w:ascii="宋体" w:hAnsi="宋体" w:eastAsia="宋体" w:cs="宋体"/>
                <w:color w:val="auto"/>
                <w:kern w:val="0"/>
                <w:sz w:val="24"/>
                <w:szCs w:val="24"/>
                <w:highlight w:val="none"/>
                <w:u w:val="none"/>
                <w:lang w:val="en-US" w:eastAsia="zh-CN"/>
              </w:rPr>
              <w:t>证书</w:t>
            </w:r>
            <w:r>
              <w:rPr>
                <w:rFonts w:hint="eastAsia" w:ascii="宋体" w:hAnsi="宋体" w:cs="宋体"/>
                <w:color w:val="auto"/>
                <w:kern w:val="0"/>
                <w:sz w:val="24"/>
                <w:szCs w:val="24"/>
                <w:highlight w:val="none"/>
                <w:u w:val="none"/>
                <w:lang w:val="en-US" w:eastAsia="zh-CN"/>
              </w:rPr>
              <w:t>，</w:t>
            </w:r>
            <w:r>
              <w:rPr>
                <w:rFonts w:hint="eastAsia" w:ascii="宋体" w:hAnsi="宋体" w:eastAsia="宋体" w:cs="宋体"/>
                <w:snapToGrid w:val="0"/>
                <w:color w:val="auto"/>
                <w:sz w:val="24"/>
                <w:szCs w:val="24"/>
                <w:highlight w:val="none"/>
                <w:lang w:val="en-US" w:eastAsia="zh-CN" w:bidi="ar"/>
              </w:rPr>
              <w:t>未提供</w:t>
            </w:r>
            <w:r>
              <w:rPr>
                <w:rFonts w:hint="eastAsia" w:ascii="宋体" w:hAnsi="宋体" w:cs="宋体"/>
                <w:snapToGrid w:val="0"/>
                <w:color w:val="auto"/>
                <w:sz w:val="24"/>
                <w:szCs w:val="24"/>
                <w:highlight w:val="none"/>
                <w:lang w:val="en-US" w:eastAsia="zh-CN" w:bidi="ar"/>
              </w:rPr>
              <w:t>或提供不全的</w:t>
            </w:r>
            <w:r>
              <w:rPr>
                <w:rFonts w:hint="eastAsia" w:ascii="宋体" w:hAnsi="宋体" w:eastAsia="宋体" w:cs="宋体"/>
                <w:snapToGrid w:val="0"/>
                <w:color w:val="auto"/>
                <w:sz w:val="24"/>
                <w:szCs w:val="24"/>
                <w:highlight w:val="none"/>
                <w:lang w:val="en-US" w:eastAsia="zh-CN" w:bidi="ar"/>
              </w:rPr>
              <w:t>不得分。</w:t>
            </w:r>
          </w:p>
        </w:tc>
        <w:tc>
          <w:tcPr>
            <w:tcW w:w="679" w:type="dxa"/>
            <w:vAlign w:val="center"/>
          </w:tcPr>
          <w:p w14:paraId="13AD1538">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10F9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6" w:type="dxa"/>
            <w:vMerge w:val="continue"/>
            <w:vAlign w:val="center"/>
          </w:tcPr>
          <w:p w14:paraId="56E9D64B">
            <w:pPr>
              <w:pStyle w:val="122"/>
              <w:keepNext/>
              <w:snapToGrid w:val="0"/>
              <w:spacing w:line="276" w:lineRule="auto"/>
              <w:ind w:firstLine="24"/>
              <w:rPr>
                <w:rFonts w:hint="eastAsia" w:ascii="宋体" w:hAnsi="宋体" w:eastAsia="宋体" w:cs="宋体"/>
                <w:color w:val="auto"/>
                <w:sz w:val="24"/>
                <w:szCs w:val="24"/>
                <w:highlight w:val="none"/>
              </w:rPr>
            </w:pPr>
          </w:p>
        </w:tc>
        <w:tc>
          <w:tcPr>
            <w:tcW w:w="1670" w:type="dxa"/>
            <w:vMerge w:val="continue"/>
            <w:vAlign w:val="center"/>
          </w:tcPr>
          <w:p w14:paraId="43FA5D4E">
            <w:pPr>
              <w:keepNext/>
              <w:snapToGrid w:val="0"/>
              <w:ind w:left="0" w:leftChars="0" w:right="0" w:rightChars="0" w:firstLine="0" w:firstLineChars="0"/>
              <w:jc w:val="center"/>
              <w:rPr>
                <w:rFonts w:hint="eastAsia" w:ascii="宋体" w:hAnsi="宋体" w:eastAsia="宋体" w:cs="宋体"/>
                <w:snapToGrid w:val="0"/>
                <w:color w:val="auto"/>
                <w:kern w:val="2"/>
                <w:sz w:val="24"/>
                <w:szCs w:val="24"/>
                <w:highlight w:val="none"/>
                <w:lang w:bidi="ar"/>
              </w:rPr>
            </w:pPr>
          </w:p>
        </w:tc>
        <w:tc>
          <w:tcPr>
            <w:tcW w:w="6757" w:type="dxa"/>
            <w:vAlign w:val="center"/>
          </w:tcPr>
          <w:p w14:paraId="016FE63B">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团队其他人员须具备以下证书：</w:t>
            </w:r>
          </w:p>
          <w:p w14:paraId="62184B2E">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团队人员具备 </w:t>
            </w:r>
            <w:r>
              <w:rPr>
                <w:rFonts w:hint="eastAsia" w:ascii="宋体" w:hAnsi="宋体" w:cs="宋体"/>
                <w:color w:val="auto"/>
                <w:kern w:val="0"/>
                <w:sz w:val="24"/>
                <w:szCs w:val="24"/>
                <w:highlight w:val="none"/>
                <w:lang w:val="en-US" w:eastAsia="zh-CN"/>
              </w:rPr>
              <w:t>①注册信息安全专业人员（CISP）②信息安全保障人员认证（CISAW）</w:t>
            </w:r>
            <w:r>
              <w:rPr>
                <w:rFonts w:ascii="宋体" w:hAnsi="宋体" w:eastAsia="宋体" w:cs="宋体"/>
                <w:color w:val="auto"/>
                <w:sz w:val="24"/>
                <w:szCs w:val="24"/>
                <w:highlight w:val="none"/>
              </w:rPr>
              <w:t>③</w:t>
            </w:r>
            <w:r>
              <w:rPr>
                <w:rFonts w:hint="eastAsia" w:ascii="宋体" w:hAnsi="宋体" w:eastAsia="宋体" w:cs="宋体"/>
                <w:color w:val="auto"/>
                <w:sz w:val="24"/>
                <w:szCs w:val="24"/>
                <w:highlight w:val="none"/>
              </w:rPr>
              <w:t>注册渗透测试工程师（CISP-PTE)④网络信息安全工程师。</w:t>
            </w:r>
            <w:r>
              <w:rPr>
                <w:rFonts w:hint="eastAsia" w:ascii="宋体" w:hAnsi="宋体" w:eastAsia="宋体" w:cs="宋体"/>
                <w:color w:val="auto"/>
                <w:kern w:val="0"/>
                <w:sz w:val="24"/>
                <w:szCs w:val="24"/>
                <w:highlight w:val="none"/>
                <w:lang w:val="en-US" w:eastAsia="zh-CN"/>
              </w:rPr>
              <w:t>每提供1项得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分，最多得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p w14:paraId="6A39A04E">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同一人员多证不重复计分，不同人员持有同一类证书仅计1次分。需提供团队人员身份证明、劳动合同、近半年任意连续</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个月社保等证明材料</w:t>
            </w:r>
            <w:r>
              <w:rPr>
                <w:rFonts w:hint="eastAsia" w:ascii="宋体" w:hAnsi="宋体" w:cs="宋体"/>
                <w:color w:val="auto"/>
                <w:kern w:val="0"/>
                <w:sz w:val="24"/>
                <w:szCs w:val="24"/>
                <w:highlight w:val="none"/>
                <w:lang w:val="en-US" w:eastAsia="zh-CN"/>
              </w:rPr>
              <w:t>，</w:t>
            </w:r>
            <w:r>
              <w:rPr>
                <w:rFonts w:hint="eastAsia" w:ascii="宋体" w:hAnsi="宋体" w:eastAsia="宋体" w:cs="宋体"/>
                <w:snapToGrid w:val="0"/>
                <w:color w:val="auto"/>
                <w:sz w:val="24"/>
                <w:szCs w:val="24"/>
                <w:highlight w:val="none"/>
                <w:lang w:val="en-US" w:eastAsia="zh-CN" w:bidi="ar"/>
              </w:rPr>
              <w:t>未提供</w:t>
            </w:r>
            <w:r>
              <w:rPr>
                <w:rFonts w:hint="eastAsia" w:ascii="宋体" w:hAnsi="宋体" w:cs="宋体"/>
                <w:snapToGrid w:val="0"/>
                <w:color w:val="auto"/>
                <w:sz w:val="24"/>
                <w:szCs w:val="24"/>
                <w:highlight w:val="none"/>
                <w:lang w:val="en-US" w:eastAsia="zh-CN" w:bidi="ar"/>
              </w:rPr>
              <w:t>或提供不全的</w:t>
            </w:r>
            <w:r>
              <w:rPr>
                <w:rFonts w:hint="eastAsia" w:ascii="宋体" w:hAnsi="宋体" w:eastAsia="宋体" w:cs="宋体"/>
                <w:snapToGrid w:val="0"/>
                <w:color w:val="auto"/>
                <w:sz w:val="24"/>
                <w:szCs w:val="24"/>
                <w:highlight w:val="none"/>
                <w:lang w:val="en-US" w:eastAsia="zh-CN" w:bidi="ar"/>
              </w:rPr>
              <w:t>不得分。</w:t>
            </w:r>
          </w:p>
        </w:tc>
        <w:tc>
          <w:tcPr>
            <w:tcW w:w="679" w:type="dxa"/>
            <w:vAlign w:val="center"/>
          </w:tcPr>
          <w:p w14:paraId="65BF16E5">
            <w:pPr>
              <w:pStyle w:val="128"/>
              <w:keepNext/>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r>
      <w:tr w14:paraId="0810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2F40F605">
            <w:pPr>
              <w:pStyle w:val="122"/>
              <w:keepNext/>
              <w:snapToGrid w:val="0"/>
              <w:spacing w:line="276" w:lineRule="auto"/>
              <w:ind w:firstLine="24"/>
              <w:rPr>
                <w:rFonts w:hint="eastAsia" w:ascii="宋体" w:hAnsi="宋体" w:eastAsia="宋体" w:cs="宋体"/>
                <w:color w:val="auto"/>
                <w:sz w:val="24"/>
                <w:szCs w:val="24"/>
                <w:highlight w:val="none"/>
              </w:rPr>
            </w:pPr>
          </w:p>
        </w:tc>
        <w:tc>
          <w:tcPr>
            <w:tcW w:w="1670" w:type="dxa"/>
            <w:vAlign w:val="center"/>
          </w:tcPr>
          <w:p w14:paraId="136D5203">
            <w:pPr>
              <w:keepNext/>
              <w:snapToGrid w:val="0"/>
              <w:ind w:left="0" w:leftChars="0" w:right="0" w:rightChars="0" w:firstLine="0" w:firstLineChars="0"/>
              <w:jc w:val="center"/>
              <w:rPr>
                <w:rFonts w:hint="eastAsia" w:ascii="宋体" w:hAnsi="宋体" w:eastAsia="宋体" w:cs="宋体"/>
                <w:snapToGrid w:val="0"/>
                <w:color w:val="auto"/>
                <w:kern w:val="2"/>
                <w:sz w:val="24"/>
                <w:szCs w:val="24"/>
                <w:highlight w:val="none"/>
                <w:lang w:bidi="ar"/>
              </w:rPr>
            </w:pPr>
            <w:r>
              <w:rPr>
                <w:rFonts w:hint="eastAsia" w:ascii="宋体" w:hAnsi="宋体" w:eastAsia="宋体" w:cs="宋体"/>
                <w:snapToGrid w:val="0"/>
                <w:color w:val="auto"/>
                <w:kern w:val="2"/>
                <w:sz w:val="24"/>
                <w:szCs w:val="24"/>
                <w:highlight w:val="none"/>
                <w:lang w:bidi="ar"/>
              </w:rPr>
              <w:t>驻场运维工程师</w:t>
            </w:r>
          </w:p>
        </w:tc>
        <w:tc>
          <w:tcPr>
            <w:tcW w:w="6757" w:type="dxa"/>
            <w:vAlign w:val="center"/>
          </w:tcPr>
          <w:p w14:paraId="27092137">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配置驻场网络安全运维工程师、办公设备运维工程师各 1 名：</w:t>
            </w:r>
          </w:p>
          <w:p w14:paraId="01566931">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①网络安全运维工程师：持有注册信息安全工程师</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val="en-US" w:eastAsia="zh-CN"/>
              </w:rPr>
              <w:t>信息安全保障人员</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val="en-US" w:eastAsia="zh-CN"/>
              </w:rPr>
              <w:t>信息安全等级保护测评师（初级及以上）任一</w:t>
            </w:r>
            <w:r>
              <w:rPr>
                <w:rFonts w:hint="eastAsia" w:ascii="宋体" w:hAnsi="宋体" w:cs="宋体"/>
                <w:color w:val="auto"/>
                <w:kern w:val="0"/>
                <w:sz w:val="24"/>
                <w:szCs w:val="24"/>
                <w:highlight w:val="none"/>
                <w:lang w:val="en-US" w:eastAsia="zh-CN"/>
              </w:rPr>
              <w:t>一项有效的人员</w:t>
            </w:r>
            <w:r>
              <w:rPr>
                <w:rFonts w:hint="eastAsia" w:ascii="宋体" w:hAnsi="宋体" w:eastAsia="宋体" w:cs="宋体"/>
                <w:color w:val="auto"/>
                <w:kern w:val="0"/>
                <w:sz w:val="24"/>
                <w:szCs w:val="24"/>
                <w:highlight w:val="none"/>
                <w:lang w:val="en-US" w:eastAsia="zh-CN"/>
              </w:rPr>
              <w:t>证书的，得3分；</w:t>
            </w:r>
            <w:r>
              <w:rPr>
                <w:rFonts w:hint="eastAsia" w:ascii="宋体" w:hAnsi="宋体" w:eastAsia="宋体" w:cs="宋体"/>
                <w:snapToGrid w:val="0"/>
                <w:color w:val="auto"/>
                <w:sz w:val="24"/>
                <w:szCs w:val="24"/>
                <w:highlight w:val="none"/>
                <w:lang w:val="en-US" w:eastAsia="zh-CN" w:bidi="ar"/>
              </w:rPr>
              <w:t>未提供</w:t>
            </w:r>
            <w:r>
              <w:rPr>
                <w:rFonts w:hint="eastAsia" w:ascii="宋体" w:hAnsi="宋体" w:cs="宋体"/>
                <w:snapToGrid w:val="0"/>
                <w:color w:val="auto"/>
                <w:sz w:val="24"/>
                <w:szCs w:val="24"/>
                <w:highlight w:val="none"/>
                <w:lang w:val="en-US" w:eastAsia="zh-CN" w:bidi="ar"/>
              </w:rPr>
              <w:t>或提供不全的</w:t>
            </w:r>
            <w:r>
              <w:rPr>
                <w:rFonts w:hint="eastAsia" w:ascii="宋体" w:hAnsi="宋体" w:eastAsia="宋体" w:cs="宋体"/>
                <w:snapToGrid w:val="0"/>
                <w:color w:val="auto"/>
                <w:sz w:val="24"/>
                <w:szCs w:val="24"/>
                <w:highlight w:val="none"/>
                <w:lang w:val="en-US" w:eastAsia="zh-CN" w:bidi="ar"/>
              </w:rPr>
              <w:t>不得分。</w:t>
            </w:r>
          </w:p>
          <w:p w14:paraId="55018A68">
            <w:pPr>
              <w:pStyle w:val="128"/>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②办公设备运维人员：持有计算机技术与软件专业技术资格（水平）证书（网络工程师、信息系统运行管理员、系统集成项目管理工程师）</w:t>
            </w:r>
            <w:r>
              <w:rPr>
                <w:rFonts w:hint="eastAsia" w:ascii="宋体" w:hAnsi="宋体" w:cs="宋体"/>
                <w:color w:val="auto"/>
                <w:kern w:val="0"/>
                <w:sz w:val="24"/>
                <w:szCs w:val="24"/>
                <w:highlight w:val="none"/>
                <w:u w:val="none"/>
                <w:lang w:val="en-US" w:eastAsia="zh-CN"/>
              </w:rPr>
              <w:t>有效的人员</w:t>
            </w:r>
            <w:r>
              <w:rPr>
                <w:rFonts w:hint="eastAsia" w:ascii="宋体" w:hAnsi="宋体" w:eastAsia="宋体" w:cs="宋体"/>
                <w:color w:val="auto"/>
                <w:kern w:val="0"/>
                <w:sz w:val="24"/>
                <w:szCs w:val="24"/>
                <w:highlight w:val="none"/>
                <w:u w:val="none"/>
                <w:lang w:val="en-US" w:eastAsia="zh-CN"/>
              </w:rPr>
              <w:t>证书</w:t>
            </w:r>
            <w:r>
              <w:rPr>
                <w:rFonts w:hint="eastAsia" w:ascii="宋体" w:hAnsi="宋体" w:eastAsia="宋体" w:cs="宋体"/>
                <w:color w:val="auto"/>
                <w:kern w:val="0"/>
                <w:sz w:val="24"/>
                <w:szCs w:val="24"/>
                <w:highlight w:val="none"/>
                <w:lang w:val="en-US" w:eastAsia="zh-CN"/>
              </w:rPr>
              <w:t>的，得3分；</w:t>
            </w:r>
            <w:r>
              <w:rPr>
                <w:rFonts w:hint="eastAsia" w:ascii="宋体" w:hAnsi="宋体" w:eastAsia="宋体" w:cs="宋体"/>
                <w:snapToGrid w:val="0"/>
                <w:color w:val="auto"/>
                <w:sz w:val="24"/>
                <w:szCs w:val="24"/>
                <w:highlight w:val="none"/>
                <w:lang w:val="en-US" w:eastAsia="zh-CN" w:bidi="ar"/>
              </w:rPr>
              <w:t>未提供</w:t>
            </w:r>
            <w:r>
              <w:rPr>
                <w:rFonts w:hint="eastAsia" w:ascii="宋体" w:hAnsi="宋体" w:cs="宋体"/>
                <w:snapToGrid w:val="0"/>
                <w:color w:val="auto"/>
                <w:sz w:val="24"/>
                <w:szCs w:val="24"/>
                <w:highlight w:val="none"/>
                <w:lang w:val="en-US" w:eastAsia="zh-CN" w:bidi="ar"/>
              </w:rPr>
              <w:t>或提供不全的</w:t>
            </w:r>
            <w:r>
              <w:rPr>
                <w:rFonts w:hint="eastAsia" w:ascii="宋体" w:hAnsi="宋体" w:eastAsia="宋体" w:cs="宋体"/>
                <w:snapToGrid w:val="0"/>
                <w:color w:val="auto"/>
                <w:sz w:val="24"/>
                <w:szCs w:val="24"/>
                <w:highlight w:val="none"/>
                <w:lang w:val="en-US" w:eastAsia="zh-CN" w:bidi="ar"/>
              </w:rPr>
              <w:t>不得分。</w:t>
            </w:r>
          </w:p>
        </w:tc>
        <w:tc>
          <w:tcPr>
            <w:tcW w:w="679" w:type="dxa"/>
            <w:vAlign w:val="center"/>
          </w:tcPr>
          <w:p w14:paraId="12907719">
            <w:pPr>
              <w:pStyle w:val="128"/>
              <w:keepNext/>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r>
      <w:tr w14:paraId="7265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restart"/>
            <w:vAlign w:val="center"/>
          </w:tcPr>
          <w:p w14:paraId="6D91804F">
            <w:pPr>
              <w:pStyle w:val="122"/>
              <w:keepNext/>
              <w:snapToGrid w:val="0"/>
              <w:spacing w:line="276" w:lineRule="auto"/>
              <w:ind w:firstLine="2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670" w:type="dxa"/>
            <w:vAlign w:val="center"/>
          </w:tcPr>
          <w:p w14:paraId="40849F49">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渗透测试服务方案</w:t>
            </w:r>
          </w:p>
          <w:p w14:paraId="538FF832">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6757" w:type="dxa"/>
            <w:vAlign w:val="center"/>
          </w:tcPr>
          <w:p w14:paraId="04BC9C3F">
            <w:pPr>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供应商需针对本项目提供详细的渗透测试服务方案，满足采购需求清单中内容包括但不限于：①安全服务项目目标</w:t>
            </w:r>
            <w:r>
              <w:rPr>
                <w:rFonts w:hint="eastAsia" w:ascii="宋体" w:hAnsi="宋体" w:eastAsia="宋体" w:cs="宋体"/>
                <w:color w:val="auto"/>
                <w:sz w:val="24"/>
                <w:szCs w:val="24"/>
                <w:highlight w:val="none"/>
                <w:lang w:val="en-US" w:eastAsia="zh-CN"/>
              </w:rPr>
              <w:t>及范围</w:t>
            </w:r>
            <w:r>
              <w:rPr>
                <w:rFonts w:hint="eastAsia" w:ascii="宋体" w:hAnsi="宋体" w:eastAsia="宋体" w:cs="宋体"/>
                <w:color w:val="auto"/>
                <w:sz w:val="24"/>
                <w:szCs w:val="24"/>
                <w:highlight w:val="none"/>
              </w:rPr>
              <w:t>②服务内容③</w:t>
            </w:r>
            <w:r>
              <w:rPr>
                <w:rFonts w:hint="eastAsia" w:ascii="宋体" w:hAnsi="宋体" w:eastAsia="宋体" w:cs="宋体"/>
                <w:color w:val="auto"/>
                <w:sz w:val="24"/>
                <w:szCs w:val="24"/>
                <w:highlight w:val="none"/>
                <w:lang w:val="en-US" w:eastAsia="zh-CN"/>
              </w:rPr>
              <w:t>服务流程及交付物</w:t>
            </w:r>
            <w:r>
              <w:rPr>
                <w:rFonts w:hint="eastAsia" w:ascii="宋体" w:hAnsi="宋体" w:cs="宋体"/>
                <w:color w:val="auto"/>
                <w:sz w:val="24"/>
                <w:szCs w:val="24"/>
                <w:highlight w:val="none"/>
                <w:lang w:val="en-US" w:eastAsia="zh-CN"/>
              </w:rPr>
              <w:t>。</w:t>
            </w:r>
          </w:p>
          <w:p w14:paraId="25811598">
            <w:pPr>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以上3项内容均包含，方案内容详细，有完整合理的部署规划，完全满足或优于项目要求的得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分。每有一项内容缺失扣1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提供的方案存在缺陷（缺陷是指：方案不具体、不适用项目实际情况、凭空编造、存在逻辑漏洞、科学原理错误、不可能实现的夸大情形以及涉及的规范、标准与本项目要求不一致等）每项扣0.5分，分数扣完为止。</w:t>
            </w:r>
          </w:p>
        </w:tc>
        <w:tc>
          <w:tcPr>
            <w:tcW w:w="679" w:type="dxa"/>
            <w:vAlign w:val="center"/>
          </w:tcPr>
          <w:p w14:paraId="3632C60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kern w:val="0"/>
                <w:sz w:val="22"/>
                <w:szCs w:val="22"/>
                <w:highlight w:val="none"/>
                <w:u w:val="none"/>
                <w:lang w:val="en-US" w:eastAsia="zh-CN" w:bidi="ar"/>
              </w:rPr>
              <w:t>9</w:t>
            </w:r>
          </w:p>
        </w:tc>
      </w:tr>
      <w:tr w14:paraId="2079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194B8252">
            <w:pPr>
              <w:pStyle w:val="122"/>
              <w:keepNext/>
              <w:snapToGrid w:val="0"/>
              <w:spacing w:line="276" w:lineRule="auto"/>
              <w:ind w:firstLine="24"/>
              <w:rPr>
                <w:rFonts w:hint="eastAsia" w:ascii="宋体" w:hAnsi="宋体" w:eastAsia="宋体" w:cs="宋体"/>
                <w:color w:val="auto"/>
                <w:sz w:val="24"/>
                <w:szCs w:val="24"/>
                <w:highlight w:val="none"/>
              </w:rPr>
            </w:pPr>
          </w:p>
        </w:tc>
        <w:tc>
          <w:tcPr>
            <w:tcW w:w="1670" w:type="dxa"/>
            <w:vAlign w:val="center"/>
          </w:tcPr>
          <w:p w14:paraId="4C4527C5">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网络安全等级保护方案</w:t>
            </w:r>
          </w:p>
          <w:p w14:paraId="2ACA1F39">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6757" w:type="dxa"/>
            <w:vAlign w:val="center"/>
          </w:tcPr>
          <w:p w14:paraId="7BDBAC5D">
            <w:pPr>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供应商需针对本项目提供详细的</w:t>
            </w:r>
            <w:r>
              <w:rPr>
                <w:rFonts w:hint="eastAsia" w:ascii="宋体" w:hAnsi="宋体" w:eastAsia="宋体" w:cs="宋体"/>
                <w:color w:val="auto"/>
                <w:sz w:val="24"/>
                <w:szCs w:val="24"/>
                <w:highlight w:val="none"/>
                <w:lang w:val="en-US" w:eastAsia="zh-CN"/>
              </w:rPr>
              <w:t>等保</w:t>
            </w:r>
            <w:r>
              <w:rPr>
                <w:rFonts w:hint="eastAsia" w:ascii="宋体" w:hAnsi="宋体" w:eastAsia="宋体" w:cs="宋体"/>
                <w:color w:val="auto"/>
                <w:sz w:val="24"/>
                <w:szCs w:val="24"/>
                <w:highlight w:val="none"/>
              </w:rPr>
              <w:t>测</w:t>
            </w:r>
            <w:r>
              <w:rPr>
                <w:rFonts w:hint="eastAsia" w:ascii="宋体" w:hAnsi="宋体" w:eastAsia="宋体" w:cs="宋体"/>
                <w:color w:val="auto"/>
                <w:sz w:val="24"/>
                <w:szCs w:val="24"/>
                <w:highlight w:val="none"/>
                <w:lang w:val="en-US" w:eastAsia="zh-CN"/>
              </w:rPr>
              <w:t>评</w:t>
            </w:r>
            <w:r>
              <w:rPr>
                <w:rFonts w:hint="eastAsia" w:ascii="宋体" w:hAnsi="宋体" w:eastAsia="宋体" w:cs="宋体"/>
                <w:color w:val="auto"/>
                <w:sz w:val="24"/>
                <w:szCs w:val="24"/>
                <w:highlight w:val="none"/>
              </w:rPr>
              <w:t>服务方案，满足采购需求清单中内容包括但不限于：①安全服务项目目标</w:t>
            </w:r>
            <w:r>
              <w:rPr>
                <w:rFonts w:hint="eastAsia" w:ascii="宋体" w:hAnsi="宋体" w:eastAsia="宋体" w:cs="宋体"/>
                <w:color w:val="auto"/>
                <w:sz w:val="24"/>
                <w:szCs w:val="24"/>
                <w:highlight w:val="none"/>
                <w:lang w:val="en-US" w:eastAsia="zh-CN"/>
              </w:rPr>
              <w:t>及范围</w:t>
            </w:r>
            <w:r>
              <w:rPr>
                <w:rFonts w:hint="eastAsia" w:ascii="宋体" w:hAnsi="宋体" w:eastAsia="宋体" w:cs="宋体"/>
                <w:color w:val="auto"/>
                <w:sz w:val="24"/>
                <w:szCs w:val="24"/>
                <w:highlight w:val="none"/>
              </w:rPr>
              <w:t>②服务内容③</w:t>
            </w:r>
            <w:r>
              <w:rPr>
                <w:rFonts w:hint="eastAsia" w:ascii="宋体" w:hAnsi="宋体" w:eastAsia="宋体" w:cs="宋体"/>
                <w:color w:val="auto"/>
                <w:sz w:val="24"/>
                <w:szCs w:val="24"/>
                <w:highlight w:val="none"/>
                <w:lang w:val="en-US" w:eastAsia="zh-CN"/>
              </w:rPr>
              <w:t>服务流程及交付物</w:t>
            </w:r>
            <w:r>
              <w:rPr>
                <w:rFonts w:hint="eastAsia" w:ascii="宋体" w:hAnsi="宋体" w:cs="宋体"/>
                <w:color w:val="auto"/>
                <w:sz w:val="24"/>
                <w:szCs w:val="24"/>
                <w:highlight w:val="none"/>
                <w:lang w:val="en-US" w:eastAsia="zh-CN"/>
              </w:rPr>
              <w:t>。</w:t>
            </w:r>
          </w:p>
          <w:p w14:paraId="6DA46FFA">
            <w:pPr>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以上3项内容均包含，方案内容详细，有完整合理的部署规划，完全满足或优于项目要求的得</w:t>
            </w: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分。每有一项内容缺失扣1</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提供的方案存在缺陷（缺陷是指：方案不具体、不适用项目实际情况、凭空编造、存在逻辑漏洞、科学原理错误、不可能实现的夸大情形以及涉及的规范、标准与本项目要求不一致等）每项扣0.5分，分数扣完为止。</w:t>
            </w:r>
          </w:p>
        </w:tc>
        <w:tc>
          <w:tcPr>
            <w:tcW w:w="679" w:type="dxa"/>
            <w:vAlign w:val="center"/>
          </w:tcPr>
          <w:p w14:paraId="64B7DE9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r>
      <w:tr w14:paraId="1159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31C0653A">
            <w:pPr>
              <w:pStyle w:val="122"/>
              <w:keepNext/>
              <w:snapToGrid w:val="0"/>
              <w:spacing w:line="276" w:lineRule="auto"/>
              <w:ind w:firstLine="24"/>
              <w:jc w:val="center"/>
              <w:rPr>
                <w:rFonts w:hint="eastAsia" w:ascii="宋体" w:hAnsi="宋体" w:eastAsia="宋体" w:cs="宋体"/>
                <w:color w:val="auto"/>
                <w:sz w:val="24"/>
                <w:szCs w:val="24"/>
                <w:highlight w:val="none"/>
              </w:rPr>
            </w:pPr>
          </w:p>
        </w:tc>
        <w:tc>
          <w:tcPr>
            <w:tcW w:w="1670" w:type="dxa"/>
            <w:vAlign w:val="center"/>
          </w:tcPr>
          <w:p w14:paraId="6F00A23A">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安全服务工具先进性说明</w:t>
            </w:r>
          </w:p>
          <w:p w14:paraId="4621F70A">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6757" w:type="dxa"/>
            <w:vAlign w:val="center"/>
          </w:tcPr>
          <w:p w14:paraId="40F99EF5">
            <w:pPr>
              <w:pStyle w:val="18"/>
              <w:keepNext/>
              <w:keepLines w:val="0"/>
              <w:pageBreakBefore w:val="0"/>
              <w:widowControl w:val="0"/>
              <w:kinsoku/>
              <w:wordWrap/>
              <w:overflowPunct/>
              <w:topLinePunct/>
              <w:autoSpaceDE/>
              <w:autoSpaceDN/>
              <w:bidi w:val="0"/>
              <w:adjustRightInd/>
              <w:snapToGrid w:val="0"/>
              <w:spacing w:after="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供应商需针对本项目提供服务工具</w:t>
            </w:r>
          </w:p>
          <w:p w14:paraId="326223B4">
            <w:pPr>
              <w:pStyle w:val="18"/>
              <w:keepNext/>
              <w:keepLines w:val="0"/>
              <w:pageBreakBefore w:val="0"/>
              <w:widowControl w:val="0"/>
              <w:kinsoku/>
              <w:wordWrap/>
              <w:overflowPunct/>
              <w:topLinePunct/>
              <w:autoSpaceDE/>
              <w:autoSpaceDN/>
              <w:bidi w:val="0"/>
              <w:adjustRightInd/>
              <w:snapToGrid w:val="0"/>
              <w:spacing w:after="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必备工具（4分）：具备①恶意代码检测与清除功能、②源代码安全检测功能、③数据安全与访问控制检测功能、④软件测试管理功能。每具备1项功能得1分，此项满分4分；</w:t>
            </w:r>
          </w:p>
          <w:p w14:paraId="5DC2D055">
            <w:pPr>
              <w:pStyle w:val="18"/>
              <w:keepNext/>
              <w:keepLines w:val="0"/>
              <w:pageBreakBefore w:val="0"/>
              <w:widowControl w:val="0"/>
              <w:kinsoku/>
              <w:wordWrap/>
              <w:overflowPunct/>
              <w:topLinePunct/>
              <w:autoSpaceDE/>
              <w:autoSpaceDN/>
              <w:bidi w:val="0"/>
              <w:adjustRightInd/>
              <w:snapToGrid w:val="0"/>
              <w:spacing w:after="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补充工具（6分）：具备①测试流程管理、②性能测试、③云环境/容器环境安全检测、④API接口分析与测试、⑤软件兼容性测试等功能。以上功能中任选3项具备，每项得2分；满分6分。</w:t>
            </w:r>
          </w:p>
          <w:p w14:paraId="31C93BA8">
            <w:pPr>
              <w:pStyle w:val="18"/>
              <w:keepNext/>
              <w:keepLines w:val="0"/>
              <w:pageBreakBefore w:val="0"/>
              <w:widowControl w:val="0"/>
              <w:kinsoku/>
              <w:wordWrap/>
              <w:overflowPunct/>
              <w:topLinePunct/>
              <w:autoSpaceDE/>
              <w:autoSpaceDN/>
              <w:bidi w:val="0"/>
              <w:adjustRightInd/>
              <w:snapToGrid w:val="0"/>
              <w:spacing w:after="0"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 提供对应工具的功能界面截图、软件著作权登记证书或购买合同/服务租赁协议等任意一种证明材料，证明其具备上述功能即可。</w:t>
            </w:r>
          </w:p>
        </w:tc>
        <w:tc>
          <w:tcPr>
            <w:tcW w:w="679" w:type="dxa"/>
            <w:vAlign w:val="center"/>
          </w:tcPr>
          <w:p w14:paraId="7F376CC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i w:val="0"/>
                <w:iCs w:val="0"/>
                <w:color w:val="auto"/>
                <w:kern w:val="0"/>
                <w:sz w:val="22"/>
                <w:szCs w:val="22"/>
                <w:highlight w:val="none"/>
                <w:u w:val="none"/>
                <w:lang w:val="en-US" w:eastAsia="zh-CN" w:bidi="ar"/>
              </w:rPr>
              <w:t>10</w:t>
            </w:r>
          </w:p>
        </w:tc>
      </w:tr>
      <w:tr w14:paraId="4FB4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000224BD">
            <w:pPr>
              <w:pStyle w:val="122"/>
              <w:keepNext/>
              <w:snapToGrid w:val="0"/>
              <w:spacing w:line="276" w:lineRule="auto"/>
              <w:ind w:firstLine="24"/>
              <w:jc w:val="center"/>
              <w:rPr>
                <w:rFonts w:hint="eastAsia" w:ascii="宋体" w:hAnsi="宋体" w:eastAsia="宋体" w:cs="宋体"/>
                <w:color w:val="auto"/>
                <w:sz w:val="24"/>
                <w:szCs w:val="24"/>
                <w:highlight w:val="none"/>
              </w:rPr>
            </w:pPr>
          </w:p>
        </w:tc>
        <w:tc>
          <w:tcPr>
            <w:tcW w:w="1670" w:type="dxa"/>
            <w:vAlign w:val="center"/>
          </w:tcPr>
          <w:p w14:paraId="67FFC2D8">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培训方案</w:t>
            </w:r>
          </w:p>
          <w:p w14:paraId="6A9156FF">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6757" w:type="dxa"/>
            <w:vAlign w:val="center"/>
          </w:tcPr>
          <w:p w14:paraId="299B0D51">
            <w:pPr>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供应商需针对本项目提供详细的培训方案，内容包括但不限于：①培训形式、②培训计划</w:t>
            </w:r>
            <w:r>
              <w:rPr>
                <w:rFonts w:hint="eastAsia" w:ascii="宋体" w:hAnsi="宋体" w:eastAsia="宋体" w:cs="宋体"/>
                <w:color w:val="auto"/>
                <w:sz w:val="24"/>
                <w:szCs w:val="24"/>
                <w:highlight w:val="none"/>
              </w:rPr>
              <w:t>③</w:t>
            </w:r>
            <w:r>
              <w:rPr>
                <w:rFonts w:hint="eastAsia" w:ascii="宋体" w:hAnsi="宋体" w:eastAsia="宋体" w:cs="宋体"/>
                <w:snapToGrid/>
                <w:color w:val="auto"/>
                <w:kern w:val="2"/>
                <w:sz w:val="24"/>
                <w:szCs w:val="24"/>
                <w:highlight w:val="none"/>
                <w:lang w:val="en-US" w:eastAsia="zh-CN" w:bidi="ar-SA"/>
              </w:rPr>
              <w:t>培训材料</w:t>
            </w:r>
            <w:r>
              <w:rPr>
                <w:rFonts w:hint="eastAsia" w:ascii="宋体" w:hAnsi="宋体" w:cs="宋体"/>
                <w:snapToGrid/>
                <w:color w:val="auto"/>
                <w:kern w:val="2"/>
                <w:sz w:val="24"/>
                <w:szCs w:val="24"/>
                <w:highlight w:val="none"/>
                <w:lang w:val="en-US" w:eastAsia="zh-CN" w:bidi="ar-SA"/>
              </w:rPr>
              <w:t>。</w:t>
            </w:r>
          </w:p>
          <w:p w14:paraId="620EF3B6">
            <w:pPr>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以上3项内容均包含，方案内容详细，有完整合理的部署规划，完全满足或优于项目要求的得</w:t>
            </w:r>
            <w:r>
              <w:rPr>
                <w:rFonts w:hint="eastAsia" w:ascii="宋体"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分。每有一项内容缺失扣1</w:t>
            </w:r>
            <w:r>
              <w:rPr>
                <w:rFonts w:hint="eastAsia" w:ascii="宋体" w:hAnsi="宋体" w:cs="宋体"/>
                <w:snapToGrid/>
                <w:color w:val="auto"/>
                <w:kern w:val="2"/>
                <w:sz w:val="24"/>
                <w:szCs w:val="24"/>
                <w:highlight w:val="none"/>
                <w:lang w:val="en-US" w:eastAsia="zh-CN" w:bidi="ar-SA"/>
              </w:rPr>
              <w:t>.5</w:t>
            </w:r>
            <w:r>
              <w:rPr>
                <w:rFonts w:hint="eastAsia" w:ascii="宋体" w:hAnsi="宋体" w:eastAsia="宋体" w:cs="宋体"/>
                <w:snapToGrid/>
                <w:color w:val="auto"/>
                <w:kern w:val="2"/>
                <w:sz w:val="24"/>
                <w:szCs w:val="24"/>
                <w:highlight w:val="none"/>
                <w:lang w:val="en-US" w:eastAsia="zh-CN" w:bidi="ar-SA"/>
              </w:rPr>
              <w:t>分；提供的方案存在缺陷（缺陷是指：方案不具体、不适用项目实际情况、凭空编造、存在逻辑漏洞、科学原理错误、不可能实现的夸大情形以及涉及的规范、标准与本项目要求不一致等）每项扣0.5分，分数扣完为止。</w:t>
            </w:r>
          </w:p>
        </w:tc>
        <w:tc>
          <w:tcPr>
            <w:tcW w:w="679" w:type="dxa"/>
            <w:vAlign w:val="center"/>
          </w:tcPr>
          <w:p w14:paraId="436FAC2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r>
      <w:tr w14:paraId="19C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6" w:type="dxa"/>
            <w:vMerge w:val="continue"/>
            <w:vAlign w:val="center"/>
          </w:tcPr>
          <w:p w14:paraId="1500B770">
            <w:pPr>
              <w:pStyle w:val="122"/>
              <w:keepNext/>
              <w:snapToGrid w:val="0"/>
              <w:spacing w:line="276" w:lineRule="auto"/>
              <w:ind w:firstLine="24"/>
              <w:jc w:val="center"/>
              <w:rPr>
                <w:rFonts w:hint="eastAsia" w:ascii="宋体" w:hAnsi="宋体" w:eastAsia="宋体" w:cs="宋体"/>
                <w:color w:val="auto"/>
                <w:sz w:val="24"/>
                <w:szCs w:val="24"/>
                <w:highlight w:val="none"/>
              </w:rPr>
            </w:pPr>
          </w:p>
        </w:tc>
        <w:tc>
          <w:tcPr>
            <w:tcW w:w="1670" w:type="dxa"/>
            <w:vAlign w:val="center"/>
          </w:tcPr>
          <w:p w14:paraId="0986830F">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应急保</w:t>
            </w:r>
          </w:p>
          <w:p w14:paraId="4A993C36">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障方案</w:t>
            </w:r>
          </w:p>
          <w:p w14:paraId="04BB2347">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6757" w:type="dxa"/>
            <w:vAlign w:val="center"/>
          </w:tcPr>
          <w:p w14:paraId="350CC64D">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供应商需针对本项目提供详细的应急保障方案，内容包括但不限于：①团队名单、</w:t>
            </w:r>
            <w:r>
              <w:rPr>
                <w:rFonts w:hint="eastAsia" w:ascii="宋体" w:hAnsi="宋体" w:eastAsia="宋体" w:cs="宋体"/>
                <w:snapToGrid/>
                <w:color w:val="auto"/>
                <w:kern w:val="2"/>
                <w:sz w:val="24"/>
                <w:szCs w:val="24"/>
                <w:highlight w:val="none"/>
                <w:lang w:val="en-US" w:eastAsia="zh-CN" w:bidi="ar-SA"/>
              </w:rPr>
              <w:t>②</w:t>
            </w:r>
            <w:r>
              <w:rPr>
                <w:rFonts w:hint="eastAsia" w:ascii="宋体" w:hAnsi="宋体" w:eastAsia="宋体" w:cs="宋体"/>
                <w:color w:val="auto"/>
                <w:sz w:val="24"/>
                <w:szCs w:val="24"/>
                <w:highlight w:val="none"/>
              </w:rPr>
              <w:t>保障工具、③应急行动和措施保障</w:t>
            </w:r>
          </w:p>
          <w:p w14:paraId="5E813C65">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项内容均包含，方案内容详细，有完整合理的部署规划，完全满足或优于项目要求的得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分。每有一项内容缺失扣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提供的方案存在缺陷（缺陷是指：方案不具体、不适用项目实际情况、凭空编造、存在逻辑漏洞、科学原理错误、不可能实现的夸大情形以及涉及的规范、标准与本项目要求不一致等）每项扣0.5分，分数扣完为止</w:t>
            </w:r>
            <w:r>
              <w:rPr>
                <w:rFonts w:hint="eastAsia" w:ascii="宋体" w:hAnsi="宋体" w:cs="宋体"/>
                <w:color w:val="auto"/>
                <w:sz w:val="24"/>
                <w:szCs w:val="24"/>
                <w:highlight w:val="none"/>
                <w:lang w:val="en-US" w:eastAsia="zh-CN"/>
              </w:rPr>
              <w:t>。</w:t>
            </w:r>
          </w:p>
        </w:tc>
        <w:tc>
          <w:tcPr>
            <w:tcW w:w="679" w:type="dxa"/>
            <w:vAlign w:val="center"/>
          </w:tcPr>
          <w:p w14:paraId="33E254F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auto"/>
                <w:kern w:val="0"/>
                <w:sz w:val="22"/>
                <w:szCs w:val="22"/>
                <w:highlight w:val="none"/>
                <w:u w:val="none"/>
                <w:lang w:val="en-US" w:eastAsia="zh-CN" w:bidi="ar"/>
              </w:rPr>
              <w:t>6</w:t>
            </w:r>
          </w:p>
        </w:tc>
      </w:tr>
      <w:tr w14:paraId="153B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1016" w:type="dxa"/>
            <w:vMerge w:val="continue"/>
            <w:vAlign w:val="center"/>
          </w:tcPr>
          <w:p w14:paraId="1AB01FE1">
            <w:pPr>
              <w:pStyle w:val="122"/>
              <w:keepNext/>
              <w:snapToGrid w:val="0"/>
              <w:spacing w:line="276" w:lineRule="auto"/>
              <w:ind w:firstLine="24"/>
              <w:jc w:val="center"/>
              <w:rPr>
                <w:rFonts w:hint="eastAsia" w:ascii="宋体" w:hAnsi="宋体" w:eastAsia="宋体" w:cs="宋体"/>
                <w:color w:val="auto"/>
                <w:sz w:val="24"/>
                <w:szCs w:val="24"/>
                <w:highlight w:val="none"/>
              </w:rPr>
            </w:pPr>
          </w:p>
        </w:tc>
        <w:tc>
          <w:tcPr>
            <w:tcW w:w="1670" w:type="dxa"/>
            <w:vAlign w:val="center"/>
          </w:tcPr>
          <w:p w14:paraId="319C530C">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售后服务承诺</w:t>
            </w:r>
          </w:p>
        </w:tc>
        <w:tc>
          <w:tcPr>
            <w:tcW w:w="6757" w:type="dxa"/>
            <w:vAlign w:val="center"/>
          </w:tcPr>
          <w:p w14:paraId="1F8CD027">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自合同签订之日起一年内：</w:t>
            </w:r>
          </w:p>
          <w:p w14:paraId="2B454C1B">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①供应商需承诺为本项目免费提供合理次数的渗透测试服务（明确每年不少于4</w:t>
            </w:r>
            <w:r>
              <w:rPr>
                <w:rFonts w:hint="default"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（每月一次）</w:t>
            </w:r>
            <w:r>
              <w:rPr>
                <w:rFonts w:hint="eastAsia" w:ascii="宋体" w:hAnsi="宋体" w:eastAsia="宋体" w:cs="宋体"/>
                <w:color w:val="auto"/>
                <w:sz w:val="24"/>
                <w:szCs w:val="24"/>
                <w:highlight w:val="none"/>
                <w:lang w:val="en-US" w:eastAsia="zh-CN"/>
              </w:rPr>
              <w:t>，可根据采购人实际需求协商增加，单次测试响应时限不超过2个工作日），提供盖章承诺函得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05AF8F64">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②向采购人承诺在攻防演练、重大节假日等重点时间段安排专业技术人员驻场服务，配合采购人做好演练和重点保障工作，提供盖章承诺函得1分。</w:t>
            </w:r>
          </w:p>
          <w:p w14:paraId="0029CDFB">
            <w:pPr>
              <w:pStyle w:val="128"/>
              <w:keepNext/>
              <w:keepLines w:val="0"/>
              <w:pageBreakBefore w:val="0"/>
              <w:widowControl w:val="0"/>
              <w:kinsoku/>
              <w:wordWrap/>
              <w:overflowPunct/>
              <w:topLinePunct/>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未提供承诺函或提供与内容不相符不得分，承诺函格式自拟。</w:t>
            </w:r>
          </w:p>
        </w:tc>
        <w:tc>
          <w:tcPr>
            <w:tcW w:w="679" w:type="dxa"/>
            <w:vAlign w:val="center"/>
          </w:tcPr>
          <w:p w14:paraId="3167060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r>
    </w:tbl>
    <w:p w14:paraId="14F29499">
      <w:pPr>
        <w:spacing w:line="276"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说明： </w:t>
      </w:r>
    </w:p>
    <w:p w14:paraId="185BC7D5">
      <w:pPr>
        <w:spacing w:line="276"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投标产品为《国家节能产品政府采购品目清单》（最新）中非政府强制采购的产品，提供一项国家正规机构出具的节能产品认证证书或检测报告复印件并加盖公章的评审价格扣除0.5%。</w:t>
      </w:r>
    </w:p>
    <w:p w14:paraId="13851D4E">
      <w:pPr>
        <w:spacing w:line="276"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投标产品为《国家环保产品政府采购品目清单》（最新）中的产品，提供一项国家正规机构出具的环保产品认证证书或检测报告复印件并加盖公章的评审价格扣除0.5%。</w:t>
      </w:r>
    </w:p>
    <w:p w14:paraId="585F22B5">
      <w:pPr>
        <w:spacing w:line="276" w:lineRule="auto"/>
        <w:ind w:left="480" w:hanging="480" w:hangingChars="200"/>
        <w:rPr>
          <w:rFonts w:hint="eastAsia" w:ascii="宋体" w:hAnsi="宋体" w:cs="宋体"/>
          <w:color w:val="auto"/>
          <w:sz w:val="24"/>
          <w:szCs w:val="24"/>
          <w:highlight w:val="none"/>
          <w:shd w:val="clear" w:color="auto" w:fill="FFFFFF"/>
        </w:rPr>
      </w:pPr>
      <w:bookmarkStart w:id="40" w:name="_Toc267301288"/>
      <w:r>
        <w:rPr>
          <w:rFonts w:hint="eastAsia" w:ascii="宋体" w:hAnsi="宋体" w:cs="宋体"/>
          <w:bCs/>
          <w:color w:val="auto"/>
          <w:sz w:val="24"/>
          <w:highlight w:val="none"/>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2B6F2AA">
      <w:pPr>
        <w:spacing w:line="276" w:lineRule="auto"/>
        <w:ind w:left="480" w:hanging="480" w:hangingChars="200"/>
        <w:rPr>
          <w:rFonts w:hint="eastAsia" w:ascii="宋体" w:hAnsi="宋体" w:cs="宋体"/>
          <w:bCs/>
          <w:color w:val="auto"/>
          <w:sz w:val="24"/>
          <w:highlight w:val="none"/>
        </w:rPr>
      </w:pPr>
      <w:r>
        <w:rPr>
          <w:rFonts w:hint="eastAsia" w:ascii="宋体" w:hAnsi="宋体" w:cs="宋体"/>
          <w:bCs/>
          <w:color w:val="auto"/>
          <w:sz w:val="24"/>
          <w:highlight w:val="none"/>
        </w:rPr>
        <w:t>26.5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6F9895FB">
      <w:pPr>
        <w:spacing w:line="276" w:lineRule="auto"/>
        <w:rPr>
          <w:rFonts w:hint="eastAsia" w:ascii="宋体" w:hAnsi="宋体" w:cs="宋体"/>
          <w:color w:val="auto"/>
          <w:sz w:val="24"/>
          <w:highlight w:val="none"/>
        </w:rPr>
      </w:pPr>
      <w:r>
        <w:rPr>
          <w:rFonts w:hint="eastAsia" w:ascii="宋体" w:hAnsi="宋体" w:cs="宋体"/>
          <w:color w:val="auto"/>
          <w:sz w:val="24"/>
          <w:highlight w:val="none"/>
        </w:rPr>
        <w:t>27．磋商过程的保密性</w:t>
      </w:r>
    </w:p>
    <w:p w14:paraId="10897CF8">
      <w:pPr>
        <w:spacing w:line="276" w:lineRule="auto"/>
        <w:ind w:left="552" w:hanging="552" w:hangingChars="230"/>
        <w:rPr>
          <w:rFonts w:hint="eastAsia" w:ascii="宋体" w:hAnsi="宋体" w:cs="宋体"/>
          <w:color w:val="auto"/>
          <w:sz w:val="24"/>
          <w:highlight w:val="none"/>
        </w:rPr>
      </w:pPr>
      <w:r>
        <w:rPr>
          <w:rFonts w:hint="eastAsia" w:ascii="宋体" w:hAnsi="宋体" w:cs="宋体"/>
          <w:color w:val="auto"/>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14:paraId="73E755BB">
      <w:pPr>
        <w:spacing w:line="276" w:lineRule="auto"/>
        <w:ind w:left="552" w:hanging="552" w:hangingChars="230"/>
        <w:rPr>
          <w:rFonts w:hint="eastAsia" w:ascii="宋体" w:hAnsi="宋体" w:cs="宋体"/>
          <w:color w:val="auto"/>
          <w:sz w:val="24"/>
          <w:highlight w:val="none"/>
        </w:rPr>
      </w:pPr>
      <w:r>
        <w:rPr>
          <w:rFonts w:hint="eastAsia" w:ascii="宋体" w:hAnsi="宋体" w:cs="宋体"/>
          <w:color w:val="auto"/>
          <w:sz w:val="24"/>
          <w:highlight w:val="none"/>
        </w:rPr>
        <w:t>27.2 供应商在磋商过程中，所进行的力图影响磋商结果的，不符合《政府采购法》及本次磋商中有关规定的活动，将被取消其磋商资格。</w:t>
      </w:r>
    </w:p>
    <w:p w14:paraId="5C17D7CD">
      <w:pPr>
        <w:spacing w:line="276" w:lineRule="auto"/>
        <w:ind w:left="552" w:hanging="552" w:hangingChars="230"/>
        <w:rPr>
          <w:rFonts w:hint="eastAsia" w:ascii="宋体" w:hAnsi="宋体" w:cs="宋体"/>
          <w:color w:val="auto"/>
          <w:sz w:val="24"/>
          <w:highlight w:val="none"/>
        </w:rPr>
      </w:pPr>
    </w:p>
    <w:p w14:paraId="742D29B5">
      <w:pPr>
        <w:pStyle w:val="4"/>
        <w:spacing w:before="100" w:beforeAutospacing="1" w:after="100" w:afterAutospacing="1" w:line="276" w:lineRule="auto"/>
        <w:jc w:val="center"/>
        <w:rPr>
          <w:rFonts w:hint="eastAsia" w:ascii="宋体" w:hAnsi="宋体" w:eastAsia="宋体" w:cs="宋体"/>
          <w:color w:val="auto"/>
          <w:sz w:val="28"/>
          <w:szCs w:val="28"/>
          <w:highlight w:val="none"/>
        </w:rPr>
      </w:pPr>
      <w:bookmarkStart w:id="41" w:name="_Toc298240410"/>
      <w:bookmarkStart w:id="42" w:name="_Toc83726736"/>
      <w:bookmarkStart w:id="43" w:name="_Toc267301287"/>
      <w:bookmarkStart w:id="44" w:name="_Toc349573126"/>
      <w:bookmarkStart w:id="45" w:name="_Toc471489758"/>
      <w:bookmarkStart w:id="46" w:name="_Toc349637925"/>
      <w:r>
        <w:rPr>
          <w:rFonts w:hint="eastAsia" w:ascii="宋体" w:hAnsi="宋体" w:eastAsia="宋体" w:cs="宋体"/>
          <w:color w:val="auto"/>
          <w:sz w:val="28"/>
          <w:szCs w:val="28"/>
          <w:highlight w:val="none"/>
        </w:rPr>
        <w:t>F  授予合同</w:t>
      </w:r>
      <w:bookmarkEnd w:id="41"/>
      <w:bookmarkEnd w:id="42"/>
      <w:bookmarkEnd w:id="43"/>
      <w:bookmarkEnd w:id="44"/>
      <w:bookmarkEnd w:id="45"/>
      <w:bookmarkEnd w:id="46"/>
    </w:p>
    <w:p w14:paraId="1A487B13">
      <w:pPr>
        <w:spacing w:line="276" w:lineRule="auto"/>
        <w:rPr>
          <w:rFonts w:hint="eastAsia" w:ascii="宋体" w:hAnsi="宋体" w:cs="宋体"/>
          <w:color w:val="auto"/>
          <w:sz w:val="24"/>
          <w:highlight w:val="none"/>
        </w:rPr>
      </w:pPr>
      <w:r>
        <w:rPr>
          <w:rFonts w:hint="eastAsia" w:ascii="宋体" w:hAnsi="宋体" w:cs="宋体"/>
          <w:color w:val="auto"/>
          <w:sz w:val="24"/>
          <w:highlight w:val="none"/>
        </w:rPr>
        <w:t>28．合同授予标准</w:t>
      </w:r>
    </w:p>
    <w:p w14:paraId="33ED9780">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28.1</w:t>
      </w:r>
      <w:r>
        <w:rPr>
          <w:rFonts w:hint="eastAsia" w:ascii="宋体" w:hAnsi="宋体" w:cs="宋体"/>
          <w:bCs/>
          <w:color w:val="auto"/>
          <w:sz w:val="24"/>
          <w:highlight w:val="none"/>
        </w:rPr>
        <w:t>合同将授予被确定为实质上响应磋商文件要求，符合采购需求、质量和服务相等且报价最低的供应商</w:t>
      </w:r>
      <w:r>
        <w:rPr>
          <w:rFonts w:hint="eastAsia" w:ascii="宋体" w:hAnsi="宋体" w:cs="宋体"/>
          <w:color w:val="auto"/>
          <w:sz w:val="24"/>
          <w:highlight w:val="none"/>
        </w:rPr>
        <w:t>。</w:t>
      </w:r>
    </w:p>
    <w:p w14:paraId="3CB51BF6">
      <w:pPr>
        <w:spacing w:line="276" w:lineRule="auto"/>
        <w:rPr>
          <w:rFonts w:hint="eastAsia" w:ascii="宋体" w:hAnsi="宋体" w:cs="宋体"/>
          <w:color w:val="auto"/>
          <w:sz w:val="24"/>
          <w:highlight w:val="none"/>
        </w:rPr>
      </w:pPr>
      <w:r>
        <w:rPr>
          <w:rFonts w:hint="eastAsia" w:ascii="宋体" w:hAnsi="宋体" w:cs="宋体"/>
          <w:color w:val="auto"/>
          <w:sz w:val="24"/>
          <w:highlight w:val="none"/>
        </w:rPr>
        <w:t>28.2 最低报价不一定是被授予合同的保证。</w:t>
      </w:r>
    </w:p>
    <w:p w14:paraId="1183BFCB">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28C0F507">
      <w:pPr>
        <w:spacing w:line="276" w:lineRule="auto"/>
        <w:rPr>
          <w:rFonts w:hint="eastAsia" w:ascii="宋体" w:hAnsi="宋体" w:cs="宋体"/>
          <w:color w:val="auto"/>
          <w:sz w:val="24"/>
          <w:highlight w:val="none"/>
        </w:rPr>
      </w:pPr>
      <w:r>
        <w:rPr>
          <w:rFonts w:hint="eastAsia" w:ascii="宋体" w:hAnsi="宋体" w:cs="宋体"/>
          <w:color w:val="auto"/>
          <w:sz w:val="24"/>
          <w:highlight w:val="none"/>
        </w:rPr>
        <w:t>29．接受和拒绝任何或所有磋商的权力</w:t>
      </w:r>
    </w:p>
    <w:p w14:paraId="17800C4A">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29.1为维护国家利益，买方在授予合同之前仍有选择或拒绝任何全部磋商的权力，并对所采取的行为不作任何解释。</w:t>
      </w:r>
    </w:p>
    <w:p w14:paraId="0478E5C6">
      <w:pPr>
        <w:spacing w:line="276" w:lineRule="auto"/>
        <w:rPr>
          <w:rFonts w:hint="eastAsia" w:ascii="宋体" w:hAnsi="宋体" w:cs="宋体"/>
          <w:color w:val="auto"/>
          <w:sz w:val="24"/>
          <w:highlight w:val="none"/>
        </w:rPr>
      </w:pPr>
      <w:r>
        <w:rPr>
          <w:rFonts w:hint="eastAsia" w:ascii="宋体" w:hAnsi="宋体" w:cs="宋体"/>
          <w:color w:val="auto"/>
          <w:sz w:val="24"/>
          <w:highlight w:val="none"/>
        </w:rPr>
        <w:t>30．成交通知书</w:t>
      </w:r>
    </w:p>
    <w:p w14:paraId="695C927D">
      <w:pPr>
        <w:spacing w:line="276" w:lineRule="auto"/>
        <w:ind w:left="552" w:hanging="552" w:hangingChars="230"/>
        <w:rPr>
          <w:rFonts w:hint="eastAsia" w:ascii="宋体" w:hAnsi="宋体" w:cs="宋体"/>
          <w:color w:val="auto"/>
          <w:sz w:val="24"/>
          <w:highlight w:val="none"/>
        </w:rPr>
      </w:pPr>
      <w:r>
        <w:rPr>
          <w:rFonts w:hint="eastAsia" w:ascii="宋体" w:hAnsi="宋体" w:cs="宋体"/>
          <w:color w:val="auto"/>
          <w:sz w:val="24"/>
          <w:highlight w:val="none"/>
        </w:rPr>
        <w:t>30.1 成交公告发布的同时，采购代理机构将以书面形式发出《成交通知书》，但发出时间不超过磋商有效期，《成交通知书》一经发出即发生法律效力。</w:t>
      </w:r>
    </w:p>
    <w:p w14:paraId="7A540E2E">
      <w:pPr>
        <w:spacing w:line="276" w:lineRule="auto"/>
        <w:rPr>
          <w:rFonts w:hint="eastAsia" w:ascii="宋体" w:hAnsi="宋体" w:cs="宋体"/>
          <w:color w:val="auto"/>
          <w:sz w:val="24"/>
          <w:highlight w:val="none"/>
        </w:rPr>
      </w:pPr>
      <w:r>
        <w:rPr>
          <w:rFonts w:hint="eastAsia" w:ascii="宋体" w:hAnsi="宋体" w:cs="宋体"/>
          <w:color w:val="auto"/>
          <w:sz w:val="24"/>
          <w:highlight w:val="none"/>
        </w:rPr>
        <w:t>30.2 《成交通知书》将作为签订合同的依据。</w:t>
      </w:r>
    </w:p>
    <w:p w14:paraId="28634F02">
      <w:pPr>
        <w:spacing w:line="276" w:lineRule="auto"/>
        <w:ind w:left="600" w:hanging="600" w:hangingChars="250"/>
        <w:rPr>
          <w:rFonts w:hint="eastAsia" w:ascii="宋体" w:hAnsi="宋体" w:cs="宋体"/>
          <w:color w:val="auto"/>
          <w:sz w:val="24"/>
          <w:highlight w:val="none"/>
        </w:rPr>
      </w:pPr>
      <w:r>
        <w:rPr>
          <w:rFonts w:hint="eastAsia" w:ascii="宋体" w:hAnsi="宋体" w:cs="宋体"/>
          <w:color w:val="auto"/>
          <w:sz w:val="24"/>
          <w:highlight w:val="none"/>
        </w:rPr>
        <w:t>30.3 采购代理机构将在成交方按规定签订合同并提交履约保证金（如适用）后退还其磋商保证金。</w:t>
      </w:r>
    </w:p>
    <w:p w14:paraId="43E94F06">
      <w:pPr>
        <w:spacing w:line="276" w:lineRule="auto"/>
        <w:rPr>
          <w:rFonts w:hint="eastAsia" w:ascii="宋体" w:hAnsi="宋体" w:cs="宋体"/>
          <w:color w:val="auto"/>
          <w:sz w:val="24"/>
          <w:highlight w:val="none"/>
        </w:rPr>
      </w:pPr>
      <w:r>
        <w:rPr>
          <w:rFonts w:hint="eastAsia" w:ascii="宋体" w:hAnsi="宋体" w:cs="宋体"/>
          <w:color w:val="auto"/>
          <w:sz w:val="24"/>
          <w:highlight w:val="none"/>
        </w:rPr>
        <w:t>31．签订合同</w:t>
      </w:r>
    </w:p>
    <w:p w14:paraId="2866A093">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31.1 供应商收到《成交通知书》后，三十天内按规定的地点与买方签订合同。买方和成交方不得再订立背离合同实质性内容的其他协议。</w:t>
      </w:r>
    </w:p>
    <w:p w14:paraId="72AF16EB">
      <w:pPr>
        <w:spacing w:line="276" w:lineRule="auto"/>
        <w:rPr>
          <w:rFonts w:hint="eastAsia" w:ascii="宋体" w:hAnsi="宋体" w:cs="宋体"/>
          <w:color w:val="auto"/>
          <w:sz w:val="24"/>
          <w:highlight w:val="none"/>
        </w:rPr>
      </w:pPr>
      <w:r>
        <w:rPr>
          <w:rFonts w:hint="eastAsia" w:ascii="宋体" w:hAnsi="宋体" w:cs="宋体"/>
          <w:color w:val="auto"/>
          <w:sz w:val="24"/>
          <w:highlight w:val="none"/>
        </w:rPr>
        <w:t>31.2如成交方拒签合同，则按违约处理。采购代理机构没收其磋商保证金。</w:t>
      </w:r>
    </w:p>
    <w:p w14:paraId="53CBA2D6">
      <w:pPr>
        <w:spacing w:line="276" w:lineRule="auto"/>
        <w:rPr>
          <w:rFonts w:hint="eastAsia" w:ascii="宋体" w:hAnsi="宋体" w:cs="宋体"/>
          <w:color w:val="auto"/>
          <w:sz w:val="24"/>
          <w:highlight w:val="none"/>
        </w:rPr>
      </w:pPr>
      <w:r>
        <w:rPr>
          <w:rFonts w:hint="eastAsia" w:ascii="宋体" w:hAnsi="宋体" w:cs="宋体"/>
          <w:color w:val="auto"/>
          <w:sz w:val="24"/>
          <w:highlight w:val="none"/>
        </w:rPr>
        <w:t>31.3磋商文件、成交方的磋商响应文件及其澄清文件等，均为签订经济合同的依据。</w:t>
      </w:r>
    </w:p>
    <w:p w14:paraId="36D9423D">
      <w:pPr>
        <w:spacing w:line="276" w:lineRule="auto"/>
        <w:rPr>
          <w:rFonts w:hint="eastAsia" w:ascii="宋体" w:hAnsi="宋体" w:cs="宋体"/>
          <w:color w:val="auto"/>
          <w:sz w:val="24"/>
          <w:highlight w:val="none"/>
        </w:rPr>
      </w:pPr>
      <w:r>
        <w:rPr>
          <w:rFonts w:hint="eastAsia" w:ascii="宋体" w:hAnsi="宋体" w:cs="宋体"/>
          <w:color w:val="auto"/>
          <w:sz w:val="24"/>
          <w:highlight w:val="none"/>
        </w:rPr>
        <w:t>32．履约保证金（如适用）</w:t>
      </w:r>
    </w:p>
    <w:p w14:paraId="3671AB85">
      <w:pPr>
        <w:spacing w:line="276" w:lineRule="auto"/>
        <w:ind w:left="720" w:hanging="720"/>
        <w:rPr>
          <w:rFonts w:hint="eastAsia" w:ascii="宋体" w:hAnsi="宋体" w:cs="宋体"/>
          <w:color w:val="auto"/>
          <w:sz w:val="24"/>
          <w:highlight w:val="none"/>
        </w:rPr>
      </w:pPr>
      <w:r>
        <w:rPr>
          <w:rFonts w:hint="eastAsia" w:ascii="宋体" w:hAnsi="宋体" w:cs="宋体"/>
          <w:color w:val="auto"/>
          <w:sz w:val="24"/>
          <w:highlight w:val="none"/>
        </w:rPr>
        <w:t>32.1成交方应按合同规定的方式、时间和金额向买方提交履约保证金。</w:t>
      </w:r>
    </w:p>
    <w:p w14:paraId="0D00FEBA">
      <w:pPr>
        <w:spacing w:line="276" w:lineRule="auto"/>
        <w:rPr>
          <w:rFonts w:hint="eastAsia" w:ascii="宋体" w:hAnsi="宋体" w:cs="宋体"/>
          <w:color w:val="auto"/>
          <w:sz w:val="24"/>
          <w:highlight w:val="none"/>
        </w:rPr>
      </w:pPr>
      <w:r>
        <w:rPr>
          <w:rFonts w:hint="eastAsia" w:ascii="宋体" w:hAnsi="宋体" w:cs="宋体"/>
          <w:color w:val="auto"/>
          <w:sz w:val="24"/>
          <w:highlight w:val="none"/>
        </w:rPr>
        <w:t>33．采购代理服务费</w:t>
      </w:r>
    </w:p>
    <w:p w14:paraId="35E0887B">
      <w:pPr>
        <w:pStyle w:val="21"/>
        <w:spacing w:line="276" w:lineRule="auto"/>
        <w:rPr>
          <w:rFonts w:hint="eastAsia" w:hAnsi="宋体" w:cs="宋体"/>
          <w:color w:val="auto"/>
          <w:highlight w:val="none"/>
        </w:rPr>
      </w:pPr>
      <w:r>
        <w:rPr>
          <w:rFonts w:hint="eastAsia" w:hAnsi="宋体" w:cs="宋体"/>
          <w:color w:val="auto"/>
          <w:highlight w:val="none"/>
        </w:rPr>
        <w:t>33.1成交方须向采购代理机构按如下标准和期限交纳采购代理服务费：</w:t>
      </w:r>
    </w:p>
    <w:p w14:paraId="1D44BF02">
      <w:pPr>
        <w:pStyle w:val="21"/>
        <w:spacing w:line="276" w:lineRule="auto"/>
        <w:rPr>
          <w:rFonts w:hint="eastAsia" w:hAnsi="宋体" w:cs="宋体"/>
          <w:color w:val="auto"/>
          <w:highlight w:val="none"/>
        </w:rPr>
      </w:pPr>
      <w:r>
        <w:rPr>
          <w:rFonts w:hint="eastAsia" w:hAnsi="宋体" w:cs="宋体"/>
          <w:bCs/>
          <w:color w:val="auto"/>
          <w:highlight w:val="none"/>
        </w:rPr>
        <w:t>33.1.1</w:t>
      </w:r>
      <w:r>
        <w:rPr>
          <w:rFonts w:hint="eastAsia" w:hAnsi="宋体" w:cs="宋体"/>
          <w:color w:val="auto"/>
          <w:szCs w:val="24"/>
          <w:highlight w:val="none"/>
        </w:rPr>
        <w:t>成交方须向新疆招标有限公司支付</w:t>
      </w:r>
      <w:r>
        <w:rPr>
          <w:rFonts w:hint="eastAsia" w:hAnsi="宋体" w:cs="宋体"/>
          <w:color w:val="auto"/>
          <w:highlight w:val="none"/>
        </w:rPr>
        <w:t>采购代理服务费。</w:t>
      </w:r>
    </w:p>
    <w:p w14:paraId="5BCE4962">
      <w:pPr>
        <w:pStyle w:val="21"/>
        <w:spacing w:line="276" w:lineRule="auto"/>
        <w:rPr>
          <w:rFonts w:hint="eastAsia" w:hAnsi="宋体" w:cs="宋体"/>
          <w:color w:val="auto"/>
          <w:highlight w:val="none"/>
        </w:rPr>
      </w:pPr>
      <w:r>
        <w:rPr>
          <w:rFonts w:hint="eastAsia" w:hAnsi="宋体" w:cs="宋体"/>
          <w:color w:val="auto"/>
          <w:highlight w:val="none"/>
        </w:rPr>
        <w:t>33.1.2 在宣布成交后一周内，成交方须按第33.1.1条规定的标准以银行汇票、转账支票或电汇的方式一次性向采购代理机构缴纳采购代理服务费。</w:t>
      </w:r>
    </w:p>
    <w:p w14:paraId="1601ABA0">
      <w:pPr>
        <w:spacing w:line="276" w:lineRule="auto"/>
        <w:rPr>
          <w:rFonts w:hint="eastAsia" w:ascii="宋体" w:hAnsi="宋体" w:cs="宋体"/>
          <w:color w:val="auto"/>
          <w:sz w:val="24"/>
          <w:highlight w:val="none"/>
        </w:rPr>
      </w:pPr>
      <w:r>
        <w:rPr>
          <w:rFonts w:hint="eastAsia" w:ascii="宋体" w:hAnsi="宋体" w:cs="宋体"/>
          <w:bCs/>
          <w:color w:val="auto"/>
          <w:sz w:val="24"/>
          <w:highlight w:val="none"/>
        </w:rPr>
        <w:t>34.</w:t>
      </w:r>
      <w:r>
        <w:rPr>
          <w:rFonts w:hint="eastAsia" w:ascii="宋体" w:hAnsi="宋体" w:cs="宋体"/>
          <w:color w:val="auto"/>
          <w:sz w:val="24"/>
          <w:highlight w:val="none"/>
        </w:rPr>
        <w:t>1供应商在成交后需要融资时可以申请政府采购合同融资，具体内容详见《新疆维吾尔自治区政府采购合同融资工作方案》新财购〔2022〕17号。</w:t>
      </w:r>
    </w:p>
    <w:p w14:paraId="78CEC1DE">
      <w:pPr>
        <w:spacing w:line="276" w:lineRule="auto"/>
        <w:rPr>
          <w:rFonts w:hint="eastAsia" w:ascii="宋体" w:hAnsi="宋体" w:cs="宋体"/>
          <w:color w:val="auto"/>
          <w:sz w:val="24"/>
          <w:highlight w:val="none"/>
        </w:rPr>
      </w:pPr>
      <w:r>
        <w:rPr>
          <w:rFonts w:hint="eastAsia" w:ascii="宋体" w:hAnsi="宋体" w:cs="宋体"/>
          <w:color w:val="auto"/>
          <w:sz w:val="24"/>
          <w:highlight w:val="none"/>
        </w:rPr>
        <w:t>34.2规定享受扶持政策获得政府采购合同的，中小企业不得将合同分包给大中型企业，中型企业不得将合同分包给大型企业。</w:t>
      </w:r>
    </w:p>
    <w:p w14:paraId="172057BA">
      <w:pPr>
        <w:spacing w:line="276" w:lineRule="auto"/>
        <w:rPr>
          <w:rFonts w:hint="eastAsia" w:ascii="宋体" w:hAnsi="宋体" w:cs="宋体"/>
          <w:color w:val="auto"/>
          <w:sz w:val="24"/>
          <w:highlight w:val="none"/>
        </w:rPr>
      </w:pPr>
      <w:r>
        <w:rPr>
          <w:rFonts w:hint="eastAsia" w:ascii="宋体" w:hAnsi="宋体" w:cs="宋体"/>
          <w:color w:val="auto"/>
          <w:sz w:val="24"/>
          <w:highlight w:val="none"/>
        </w:rPr>
        <w:t>35 政府采购节能产品、环境标志产品</w:t>
      </w:r>
    </w:p>
    <w:p w14:paraId="70CE627D">
      <w:pPr>
        <w:spacing w:line="276" w:lineRule="auto"/>
        <w:rPr>
          <w:rFonts w:hint="eastAsia" w:ascii="宋体" w:hAnsi="宋体" w:cs="宋体"/>
          <w:color w:val="auto"/>
          <w:sz w:val="24"/>
          <w:highlight w:val="none"/>
        </w:rPr>
      </w:pPr>
      <w:r>
        <w:rPr>
          <w:rFonts w:hint="eastAsia" w:ascii="宋体" w:hAnsi="宋体" w:cs="宋体"/>
          <w:color w:val="auto"/>
          <w:sz w:val="24"/>
          <w:highlight w:val="none"/>
        </w:rPr>
        <w:t>35.1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592704">
      <w:pPr>
        <w:spacing w:line="276" w:lineRule="auto"/>
        <w:rPr>
          <w:rFonts w:hint="eastAsia" w:ascii="宋体" w:hAnsi="宋体" w:cs="宋体"/>
          <w:color w:val="auto"/>
          <w:sz w:val="24"/>
          <w:highlight w:val="none"/>
        </w:rPr>
      </w:pPr>
      <w:r>
        <w:rPr>
          <w:rFonts w:hint="eastAsia" w:ascii="宋体" w:hAnsi="宋体" w:cs="宋体"/>
          <w:color w:val="auto"/>
          <w:sz w:val="24"/>
          <w:highlight w:val="none"/>
        </w:rPr>
        <w:t>35.2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16F2E38F">
      <w:pPr>
        <w:spacing w:line="276" w:lineRule="auto"/>
        <w:rPr>
          <w:rFonts w:hint="eastAsia" w:ascii="宋体" w:hAnsi="宋体" w:cs="宋体"/>
          <w:color w:val="auto"/>
          <w:sz w:val="24"/>
          <w:highlight w:val="none"/>
        </w:rPr>
      </w:pPr>
      <w:r>
        <w:rPr>
          <w:rFonts w:hint="eastAsia" w:ascii="宋体" w:hAnsi="宋体" w:cs="宋体"/>
          <w:color w:val="auto"/>
          <w:sz w:val="24"/>
          <w:highlight w:val="none"/>
        </w:rPr>
        <w:t>35.3如本项目采购产品属于实施政府强制采购品目清单范围的节能产品，则供应商所报产品必须获得国家确定的认证机构出具的、处于有效期之内的节能产品认证证书，否则投标无效；</w:t>
      </w:r>
    </w:p>
    <w:p w14:paraId="717F926F">
      <w:pPr>
        <w:spacing w:line="276" w:lineRule="auto"/>
        <w:rPr>
          <w:rFonts w:hint="eastAsia" w:ascii="宋体" w:hAnsi="宋体" w:cs="宋体"/>
          <w:color w:val="auto"/>
          <w:sz w:val="24"/>
          <w:highlight w:val="none"/>
        </w:rPr>
      </w:pPr>
      <w:r>
        <w:rPr>
          <w:rFonts w:hint="eastAsia" w:ascii="宋体" w:hAnsi="宋体" w:cs="宋体"/>
          <w:color w:val="auto"/>
          <w:sz w:val="24"/>
          <w:highlight w:val="none"/>
        </w:rPr>
        <w:t>35.4非政府强制采购的节能产品或环境标志产品，依据品目清单和认证证书实施政府优先采购。优先采购的具体规定详见《评标方法》（如涉及）。</w:t>
      </w:r>
    </w:p>
    <w:p w14:paraId="20DE91C2">
      <w:pPr>
        <w:pStyle w:val="4"/>
        <w:spacing w:before="100" w:beforeAutospacing="1" w:after="100" w:afterAutospacing="1" w:line="276" w:lineRule="auto"/>
        <w:jc w:val="center"/>
        <w:rPr>
          <w:rFonts w:hint="eastAsia" w:ascii="宋体" w:hAnsi="宋体" w:eastAsia="宋体" w:cs="宋体"/>
          <w:bCs/>
          <w:color w:val="auto"/>
          <w:sz w:val="24"/>
          <w:highlight w:val="none"/>
        </w:rPr>
      </w:pPr>
      <w:bookmarkStart w:id="47" w:name="_Toc471489759"/>
      <w:bookmarkStart w:id="48" w:name="_Toc83726737"/>
      <w:r>
        <w:rPr>
          <w:rFonts w:hint="eastAsia" w:ascii="宋体" w:hAnsi="宋体" w:eastAsia="宋体" w:cs="宋体"/>
          <w:color w:val="auto"/>
          <w:sz w:val="28"/>
          <w:szCs w:val="28"/>
          <w:highlight w:val="none"/>
        </w:rPr>
        <w:t>G  磋商失败条件</w:t>
      </w:r>
      <w:bookmarkEnd w:id="47"/>
      <w:bookmarkEnd w:id="48"/>
    </w:p>
    <w:p w14:paraId="48CAF98B">
      <w:pPr>
        <w:spacing w:line="276" w:lineRule="auto"/>
        <w:ind w:left="542" w:hanging="542" w:hangingChars="225"/>
        <w:rPr>
          <w:rFonts w:hint="eastAsia" w:ascii="宋体" w:hAnsi="宋体" w:cs="宋体"/>
          <w:b/>
          <w:color w:val="auto"/>
          <w:sz w:val="24"/>
          <w:highlight w:val="none"/>
        </w:rPr>
      </w:pPr>
      <w:r>
        <w:rPr>
          <w:rFonts w:hint="eastAsia" w:ascii="宋体" w:hAnsi="宋体" w:cs="宋体"/>
          <w:b/>
          <w:color w:val="auto"/>
          <w:sz w:val="24"/>
          <w:highlight w:val="none"/>
        </w:rPr>
        <w:t>36.1无效磋商条款</w:t>
      </w:r>
    </w:p>
    <w:p w14:paraId="4EBC902C">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36.1.1未按要求交纳磋商保证金的。</w:t>
      </w:r>
    </w:p>
    <w:p w14:paraId="38E80D08">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36.1.2供应商在报价时采用选择性报价的。</w:t>
      </w:r>
    </w:p>
    <w:p w14:paraId="1A6B45F1">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36.1.3供应商不具备磋商文件中规定资格要求的。</w:t>
      </w:r>
    </w:p>
    <w:p w14:paraId="37BC6D04">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36.1.4供应商的报价超过了采购预算或最高限价的。</w:t>
      </w:r>
    </w:p>
    <w:p w14:paraId="05A89A68">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36.1.5未通过符合性检查的。</w:t>
      </w:r>
    </w:p>
    <w:p w14:paraId="4395CC32">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36.1.6不符合磋商文件中规定的其他实质性要求和条件的（本磋商文件中标*条款为实质性要求和条件）。</w:t>
      </w:r>
    </w:p>
    <w:p w14:paraId="7EF8B59F">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36.1.7供应商被“信用中国”网站（www.creditchina.gov.cn）、“中国政府采购网（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"http://www.ccgp.gov.cn/" </w:instrText>
      </w:r>
      <w:r>
        <w:rPr>
          <w:rFonts w:hint="eastAsia" w:ascii="宋体" w:hAnsi="宋体" w:cs="宋体"/>
          <w:color w:val="auto"/>
          <w:highlight w:val="none"/>
        </w:rPr>
        <w:fldChar w:fldCharType="separate"/>
      </w:r>
      <w:r>
        <w:rPr>
          <w:rFonts w:hint="eastAsia" w:ascii="宋体" w:hAnsi="宋体" w:cs="宋体"/>
          <w:color w:val="auto"/>
          <w:sz w:val="24"/>
          <w:highlight w:val="none"/>
        </w:rPr>
        <w:t>http://www.ccgp.gov.cn/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）”列入失信被执行人或重大税收违法案件当事人名单或政府采购严重失信行为记录名单。</w:t>
      </w:r>
    </w:p>
    <w:p w14:paraId="307B61BE">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36.1.8 磋商响应文件含有采购人不能接受的附加条件的。</w:t>
      </w:r>
    </w:p>
    <w:p w14:paraId="46BF003A">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36.1.9 磋商小组认为供应商的报价明显低于其他通过符合性审查供应商的报价，有可能影响产品质量或者不能诚信履约的，将要求其在合理的时间内作出说明，必要时提交相关证明材料；供应商不能证明其报价合理性的，磋商小组应当将其作为无效磋商处理。</w:t>
      </w:r>
    </w:p>
    <w:p w14:paraId="55EE8264">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36.1.10本项目采购产品被财政部、国家发改委、生态环境部等列入“节能产品品目清单”、“环境标志产品品目清单”强制采购范围，而供应商所投标产品不在强制采购范围内的。</w:t>
      </w:r>
    </w:p>
    <w:p w14:paraId="6FCD203A">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36.1.11本项目采购产品中若有信息安全产品的，须提供由中国信息安全认证中心按国家标准认证颁发的有效认证证书。</w:t>
      </w:r>
    </w:p>
    <w:p w14:paraId="18FA6AAC">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36.1.12其他法律、法规及本磋商文件规定的属无效磋商的情形。</w:t>
      </w:r>
    </w:p>
    <w:p w14:paraId="40ED5DDB">
      <w:pPr>
        <w:spacing w:line="276" w:lineRule="auto"/>
        <w:ind w:left="542" w:hanging="542" w:hangingChars="225"/>
        <w:rPr>
          <w:rFonts w:hint="eastAsia" w:ascii="宋体" w:hAnsi="宋体" w:cs="宋体"/>
          <w:b/>
          <w:color w:val="auto"/>
          <w:sz w:val="24"/>
          <w:highlight w:val="none"/>
        </w:rPr>
      </w:pPr>
      <w:r>
        <w:rPr>
          <w:rFonts w:hint="eastAsia" w:ascii="宋体" w:hAnsi="宋体" w:cs="宋体"/>
          <w:b/>
          <w:color w:val="auto"/>
          <w:sz w:val="24"/>
          <w:highlight w:val="none"/>
        </w:rPr>
        <w:t>36.2废标条款：</w:t>
      </w:r>
    </w:p>
    <w:p w14:paraId="31B5F563">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36.2.1符合专业条件的供应商或者对磋商文件作实质响应的供应商不足三家的，按政府采购相关规定执行。</w:t>
      </w:r>
    </w:p>
    <w:p w14:paraId="119A96AB">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36.2.2出现影响采购公正的违法、违规行为的。</w:t>
      </w:r>
    </w:p>
    <w:p w14:paraId="74D99673">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36.2.3因重大变故，采购任务取消的。</w:t>
      </w:r>
    </w:p>
    <w:p w14:paraId="3FE5EBEA">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36.2.4磋商小组认定磋商文件存在歧义、重大缺陷导致评审工作无法进行。</w:t>
      </w:r>
    </w:p>
    <w:p w14:paraId="3208DDDB">
      <w:pPr>
        <w:spacing w:line="276"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36.2.5 磋商响应文件递交截止时间后参加磋商的供应商不足三家。</w:t>
      </w:r>
    </w:p>
    <w:p w14:paraId="4F9A6D89">
      <w:pPr>
        <w:pStyle w:val="49"/>
        <w:numPr>
          <w:ilvl w:val="0"/>
          <w:numId w:val="0"/>
        </w:numPr>
        <w:spacing w:line="276" w:lineRule="auto"/>
        <w:rPr>
          <w:rFonts w:hint="eastAsia" w:ascii="宋体" w:hAnsi="宋体" w:cs="宋体"/>
          <w:color w:val="auto"/>
          <w:sz w:val="24"/>
          <w:highlight w:val="none"/>
        </w:rPr>
      </w:pPr>
    </w:p>
    <w:p w14:paraId="18688E9F">
      <w:pPr>
        <w:widowControl/>
        <w:jc w:val="left"/>
        <w:rPr>
          <w:rFonts w:hint="eastAsia" w:ascii="宋体" w:hAnsi="宋体" w:cs="宋体"/>
          <w:b/>
          <w:color w:val="auto"/>
          <w:sz w:val="32"/>
          <w:szCs w:val="32"/>
          <w:highlight w:val="none"/>
        </w:rPr>
      </w:pPr>
      <w:bookmarkStart w:id="49" w:name="_Toc298240411"/>
      <w:bookmarkStart w:id="50" w:name="_Toc349573127"/>
      <w:bookmarkStart w:id="51" w:name="_Toc349637926"/>
      <w:bookmarkStart w:id="52" w:name="_Toc83726738"/>
      <w:r>
        <w:rPr>
          <w:rFonts w:hint="eastAsia" w:ascii="宋体" w:hAnsi="宋体" w:cs="宋体"/>
          <w:color w:val="auto"/>
          <w:highlight w:val="none"/>
        </w:rPr>
        <w:br w:type="page"/>
      </w:r>
    </w:p>
    <w:p w14:paraId="61178C61">
      <w:pPr>
        <w:pStyle w:val="3"/>
        <w:numPr>
          <w:ins w:id="0" w:author="KTL" w:date="2024-05-09T14:05:00Z"/>
        </w:numPr>
        <w:spacing w:line="276" w:lineRule="auto"/>
        <w:rPr>
          <w:rFonts w:hint="eastAsia" w:cs="宋体"/>
          <w:color w:val="auto"/>
          <w:highlight w:val="none"/>
        </w:rPr>
      </w:pPr>
      <w:r>
        <w:rPr>
          <w:rFonts w:hint="eastAsia" w:cs="宋体"/>
          <w:color w:val="auto"/>
          <w:highlight w:val="none"/>
        </w:rPr>
        <w:t>第三部分  服务需求及技术要求</w:t>
      </w:r>
      <w:bookmarkEnd w:id="40"/>
      <w:bookmarkEnd w:id="49"/>
      <w:bookmarkEnd w:id="50"/>
      <w:bookmarkEnd w:id="51"/>
      <w:bookmarkEnd w:id="52"/>
      <w:bookmarkStart w:id="53" w:name="_Toc267301295"/>
    </w:p>
    <w:p w14:paraId="224D6201">
      <w:pPr>
        <w:pStyle w:val="3"/>
        <w:widowControl/>
        <w:numPr>
          <w:ilvl w:val="0"/>
          <w:numId w:val="11"/>
        </w:numPr>
        <w:tabs>
          <w:tab w:val="left" w:pos="963"/>
          <w:tab w:val="clear" w:pos="360"/>
        </w:tabs>
        <w:topLinePunct w:val="0"/>
        <w:spacing w:line="240" w:lineRule="auto"/>
        <w:ind w:left="0" w:leftChars="0" w:firstLine="482" w:firstLineChars="200"/>
        <w:jc w:val="left"/>
        <w:rPr>
          <w:rFonts w:hint="eastAsia" w:ascii="宋体" w:hAnsi="宋体" w:eastAsia="宋体" w:cs="宋体"/>
          <w:b w:val="0"/>
          <w:color w:val="auto"/>
          <w:sz w:val="24"/>
          <w:szCs w:val="24"/>
          <w:highlight w:val="none"/>
        </w:rPr>
      </w:pPr>
      <w:r>
        <w:rPr>
          <w:rFonts w:hint="eastAsia" w:cs="宋体"/>
          <w:color w:val="auto"/>
          <w:sz w:val="24"/>
          <w:szCs w:val="24"/>
          <w:highlight w:val="none"/>
          <w:lang w:eastAsia="zh-CN"/>
        </w:rPr>
        <w:t>服务</w:t>
      </w:r>
      <w:r>
        <w:rPr>
          <w:rFonts w:hint="eastAsia" w:ascii="宋体" w:hAnsi="宋体" w:eastAsia="宋体" w:cs="宋体"/>
          <w:color w:val="auto"/>
          <w:sz w:val="24"/>
          <w:szCs w:val="24"/>
          <w:highlight w:val="none"/>
        </w:rPr>
        <w:t>背景</w:t>
      </w:r>
    </w:p>
    <w:p w14:paraId="0CFD3F55">
      <w:pPr>
        <w:pStyle w:val="3"/>
        <w:widowControl/>
        <w:numPr>
          <w:ilvl w:val="0"/>
          <w:numId w:val="0"/>
        </w:numPr>
        <w:tabs>
          <w:tab w:val="left" w:pos="963"/>
          <w:tab w:val="clear" w:pos="360"/>
        </w:tabs>
        <w:topLinePunct w:val="0"/>
        <w:spacing w:line="240" w:lineRule="auto"/>
        <w:ind w:firstLine="480" w:firstLineChars="20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根据自治区交通运输综合行政执法局</w:t>
      </w:r>
      <w:r>
        <w:rPr>
          <w:rFonts w:hint="eastAsia" w:cs="宋体"/>
          <w:b w:val="0"/>
          <w:color w:val="auto"/>
          <w:sz w:val="24"/>
          <w:szCs w:val="24"/>
          <w:highlight w:val="none"/>
          <w:lang w:eastAsia="zh-CN"/>
        </w:rPr>
        <w:t>业务信息系统</w:t>
      </w:r>
      <w:r>
        <w:rPr>
          <w:rFonts w:hint="eastAsia" w:ascii="宋体" w:hAnsi="宋体" w:eastAsia="宋体" w:cs="宋体"/>
          <w:b w:val="0"/>
          <w:color w:val="auto"/>
          <w:sz w:val="24"/>
          <w:szCs w:val="24"/>
          <w:highlight w:val="none"/>
        </w:rPr>
        <w:t>需要，为进一步加强</w:t>
      </w:r>
      <w:r>
        <w:rPr>
          <w:rFonts w:hint="eastAsia" w:ascii="宋体" w:hAnsi="宋体" w:eastAsia="宋体" w:cs="宋体"/>
          <w:b w:val="0"/>
          <w:color w:val="auto"/>
          <w:sz w:val="24"/>
          <w:szCs w:val="24"/>
          <w:highlight w:val="none"/>
          <w:lang w:eastAsia="zh-CN"/>
        </w:rPr>
        <w:t>信息</w:t>
      </w:r>
      <w:r>
        <w:rPr>
          <w:rFonts w:hint="eastAsia" w:ascii="宋体" w:hAnsi="宋体" w:eastAsia="宋体" w:cs="宋体"/>
          <w:b w:val="0"/>
          <w:color w:val="auto"/>
          <w:sz w:val="24"/>
          <w:szCs w:val="24"/>
          <w:highlight w:val="none"/>
        </w:rPr>
        <w:t>系统安全风险应对，提升整体防护能力，按照《中华人民共和国网络安全法》、《中华人民共和国数据安全法》、《关键信息基础设施安全保护条例》及等级保护相关要求，网络安全风险专项应对须聘请具有</w:t>
      </w:r>
      <w:r>
        <w:rPr>
          <w:rFonts w:hint="eastAsia" w:cs="宋体"/>
          <w:b w:val="0"/>
          <w:color w:val="auto"/>
          <w:sz w:val="24"/>
          <w:szCs w:val="24"/>
          <w:highlight w:val="none"/>
          <w:lang w:eastAsia="zh-CN"/>
        </w:rPr>
        <w:t>信息系统等级保护测评</w:t>
      </w:r>
      <w:r>
        <w:rPr>
          <w:rFonts w:hint="eastAsia" w:ascii="宋体" w:hAnsi="宋体" w:eastAsia="宋体" w:cs="宋体"/>
          <w:b w:val="0"/>
          <w:color w:val="auto"/>
          <w:sz w:val="24"/>
          <w:szCs w:val="24"/>
          <w:highlight w:val="none"/>
        </w:rPr>
        <w:t>服务能力的第三方机构进行</w:t>
      </w:r>
      <w:r>
        <w:rPr>
          <w:rFonts w:hint="eastAsia" w:cs="宋体"/>
          <w:b w:val="0"/>
          <w:color w:val="auto"/>
          <w:sz w:val="24"/>
          <w:szCs w:val="24"/>
          <w:highlight w:val="none"/>
          <w:lang w:eastAsia="zh-CN"/>
        </w:rPr>
        <w:t>测评</w:t>
      </w:r>
      <w:r>
        <w:rPr>
          <w:rFonts w:hint="eastAsia" w:ascii="宋体" w:hAnsi="宋体" w:eastAsia="宋体" w:cs="宋体"/>
          <w:b w:val="0"/>
          <w:color w:val="auto"/>
          <w:sz w:val="24"/>
          <w:szCs w:val="24"/>
          <w:highlight w:val="none"/>
        </w:rPr>
        <w:t>服务，对单位网络边界安全及重要</w:t>
      </w:r>
      <w:r>
        <w:rPr>
          <w:rFonts w:hint="eastAsia" w:ascii="宋体" w:hAnsi="宋体" w:eastAsia="宋体" w:cs="宋体"/>
          <w:b w:val="0"/>
          <w:color w:val="auto"/>
          <w:sz w:val="24"/>
          <w:szCs w:val="24"/>
          <w:highlight w:val="none"/>
          <w:lang w:eastAsia="zh-CN"/>
        </w:rPr>
        <w:t>信息</w:t>
      </w:r>
      <w:r>
        <w:rPr>
          <w:rFonts w:hint="eastAsia" w:ascii="宋体" w:hAnsi="宋体" w:eastAsia="宋体" w:cs="宋体"/>
          <w:b w:val="0"/>
          <w:color w:val="auto"/>
          <w:sz w:val="24"/>
          <w:szCs w:val="24"/>
          <w:highlight w:val="none"/>
        </w:rPr>
        <w:t>系统开展</w:t>
      </w:r>
      <w:r>
        <w:rPr>
          <w:rFonts w:hint="eastAsia" w:cs="宋体"/>
          <w:b w:val="0"/>
          <w:color w:val="auto"/>
          <w:sz w:val="24"/>
          <w:szCs w:val="24"/>
          <w:highlight w:val="none"/>
          <w:lang w:eastAsia="zh-CN"/>
        </w:rPr>
        <w:t>等级保护测评</w:t>
      </w:r>
      <w:r>
        <w:rPr>
          <w:rFonts w:hint="eastAsia" w:ascii="宋体" w:hAnsi="宋体" w:eastAsia="宋体" w:cs="宋体"/>
          <w:b w:val="0"/>
          <w:color w:val="auto"/>
          <w:sz w:val="24"/>
          <w:szCs w:val="24"/>
          <w:highlight w:val="none"/>
        </w:rPr>
        <w:t>工作。</w:t>
      </w:r>
    </w:p>
    <w:p w14:paraId="2620C06E">
      <w:pPr>
        <w:pStyle w:val="3"/>
        <w:widowControl/>
        <w:numPr>
          <w:ilvl w:val="0"/>
          <w:numId w:val="11"/>
        </w:numPr>
        <w:tabs>
          <w:tab w:val="left" w:pos="963"/>
          <w:tab w:val="clear" w:pos="360"/>
        </w:tabs>
        <w:topLinePunct w:val="0"/>
        <w:spacing w:line="240" w:lineRule="auto"/>
        <w:ind w:left="0" w:leftChars="0" w:firstLine="482" w:firstLineChars="200"/>
        <w:jc w:val="left"/>
        <w:rPr>
          <w:rFonts w:hint="eastAsia" w:cs="宋体"/>
          <w:color w:val="auto"/>
          <w:highlight w:val="none"/>
          <w:lang w:val="en-US" w:eastAsia="zh-CN"/>
        </w:rPr>
      </w:pPr>
      <w:r>
        <w:rPr>
          <w:rFonts w:hint="eastAsia" w:cs="宋体"/>
          <w:color w:val="auto"/>
          <w:sz w:val="24"/>
          <w:szCs w:val="24"/>
          <w:highlight w:val="none"/>
          <w:lang w:eastAsia="zh-CN"/>
        </w:rPr>
        <w:t>服务需求</w:t>
      </w:r>
    </w:p>
    <w:p w14:paraId="38B06D36">
      <w:pPr>
        <w:pStyle w:val="3"/>
        <w:widowControl/>
        <w:numPr>
          <w:ilvl w:val="0"/>
          <w:numId w:val="0"/>
        </w:numPr>
        <w:tabs>
          <w:tab w:val="left" w:pos="963"/>
          <w:tab w:val="clear" w:pos="360"/>
        </w:tabs>
        <w:topLinePunct w:val="0"/>
        <w:spacing w:line="240" w:lineRule="auto"/>
        <w:ind w:firstLine="480" w:firstLineChars="200"/>
        <w:jc w:val="left"/>
        <w:rPr>
          <w:rFonts w:hint="eastAsia" w:cs="宋体"/>
          <w:color w:val="auto"/>
          <w:highlight w:val="none"/>
          <w:lang w:val="en-US" w:eastAsia="zh-CN"/>
        </w:rPr>
      </w:pPr>
      <w:r>
        <w:rPr>
          <w:rFonts w:hint="eastAsia" w:ascii="宋体" w:hAnsi="宋体" w:eastAsia="宋体" w:cs="宋体"/>
          <w:b w:val="0"/>
          <w:snapToGrid w:val="0"/>
          <w:color w:val="auto"/>
          <w:sz w:val="24"/>
          <w:szCs w:val="24"/>
          <w:highlight w:val="none"/>
          <w:lang w:val="en-US" w:eastAsia="en-US" w:bidi="ar-SA"/>
        </w:rPr>
        <w:t>本次</w:t>
      </w:r>
      <w:r>
        <w:rPr>
          <w:rFonts w:hint="eastAsia" w:cs="宋体"/>
          <w:b w:val="0"/>
          <w:snapToGrid w:val="0"/>
          <w:color w:val="auto"/>
          <w:sz w:val="24"/>
          <w:szCs w:val="24"/>
          <w:highlight w:val="none"/>
          <w:lang w:val="en-US" w:eastAsia="zh-CN" w:bidi="ar-SA"/>
        </w:rPr>
        <w:t>服务采购</w:t>
      </w:r>
      <w:r>
        <w:rPr>
          <w:rFonts w:hint="eastAsia" w:ascii="宋体" w:hAnsi="宋体" w:eastAsia="宋体" w:cs="宋体"/>
          <w:b w:val="0"/>
          <w:snapToGrid w:val="0"/>
          <w:color w:val="auto"/>
          <w:sz w:val="24"/>
          <w:szCs w:val="24"/>
          <w:highlight w:val="none"/>
          <w:lang w:val="en-US" w:eastAsia="en-US" w:bidi="ar-SA"/>
        </w:rPr>
        <w:t>项目共对局机关网络</w:t>
      </w:r>
      <w:r>
        <w:rPr>
          <w:rFonts w:hint="eastAsia" w:cs="宋体"/>
          <w:b w:val="0"/>
          <w:snapToGrid w:val="0"/>
          <w:color w:val="auto"/>
          <w:sz w:val="24"/>
          <w:szCs w:val="24"/>
          <w:highlight w:val="none"/>
          <w:lang w:val="en-US" w:eastAsia="zh-CN" w:bidi="ar-SA"/>
        </w:rPr>
        <w:t>环境</w:t>
      </w:r>
      <w:r>
        <w:rPr>
          <w:rFonts w:hint="eastAsia" w:ascii="宋体" w:hAnsi="宋体" w:eastAsia="宋体" w:cs="宋体"/>
          <w:b w:val="0"/>
          <w:snapToGrid w:val="0"/>
          <w:color w:val="auto"/>
          <w:sz w:val="24"/>
          <w:szCs w:val="24"/>
          <w:highlight w:val="none"/>
          <w:lang w:val="en-US" w:eastAsia="en-US" w:bidi="ar-SA"/>
        </w:rPr>
        <w:t>安全、</w:t>
      </w:r>
      <w:r>
        <w:rPr>
          <w:rFonts w:hint="eastAsia" w:ascii="宋体" w:hAnsi="宋体" w:eastAsia="宋体" w:cs="宋体"/>
          <w:b w:val="0"/>
          <w:snapToGrid w:val="0"/>
          <w:color w:val="auto"/>
          <w:sz w:val="24"/>
          <w:szCs w:val="24"/>
          <w:highlight w:val="none"/>
          <w:lang w:val="en-US" w:eastAsia="zh-CN" w:bidi="ar-SA"/>
        </w:rPr>
        <w:t>对新疆交通运输执法综合管理信息系统、新疆治超联网管理信息系统、大件运输许可审批系统、工程质量监督执法支队信息化系统</w:t>
      </w:r>
      <w:r>
        <w:rPr>
          <w:rFonts w:hint="eastAsia" w:cs="宋体"/>
          <w:b w:val="0"/>
          <w:snapToGrid w:val="0"/>
          <w:color w:val="auto"/>
          <w:sz w:val="24"/>
          <w:szCs w:val="24"/>
          <w:highlight w:val="none"/>
          <w:lang w:val="en-US" w:eastAsia="zh-CN" w:bidi="ar-SA"/>
        </w:rPr>
        <w:t>等</w:t>
      </w:r>
      <w:r>
        <w:rPr>
          <w:rFonts w:hint="eastAsia" w:ascii="宋体" w:hAnsi="宋体" w:eastAsia="宋体" w:cs="宋体"/>
          <w:b w:val="0"/>
          <w:snapToGrid w:val="0"/>
          <w:color w:val="auto"/>
          <w:sz w:val="24"/>
          <w:szCs w:val="24"/>
          <w:highlight w:val="none"/>
          <w:lang w:val="en-US" w:eastAsia="zh-CN" w:bidi="ar-SA"/>
        </w:rPr>
        <w:t>4个业务系统开展网络安全等级保护测评及</w:t>
      </w:r>
      <w:r>
        <w:rPr>
          <w:rFonts w:hint="eastAsia" w:cs="宋体"/>
          <w:b w:val="0"/>
          <w:snapToGrid w:val="0"/>
          <w:color w:val="auto"/>
          <w:sz w:val="24"/>
          <w:szCs w:val="24"/>
          <w:highlight w:val="none"/>
          <w:lang w:val="en-US" w:eastAsia="zh-CN" w:bidi="ar-SA"/>
        </w:rPr>
        <w:t>定期</w:t>
      </w:r>
      <w:r>
        <w:rPr>
          <w:rFonts w:hint="eastAsia" w:ascii="宋体" w:hAnsi="宋体" w:eastAsia="宋体" w:cs="宋体"/>
          <w:b w:val="0"/>
          <w:snapToGrid w:val="0"/>
          <w:color w:val="auto"/>
          <w:sz w:val="24"/>
          <w:szCs w:val="24"/>
          <w:highlight w:val="none"/>
          <w:lang w:val="en-US" w:eastAsia="zh-CN" w:bidi="ar-SA"/>
        </w:rPr>
        <w:t>渗透测试服务；同时配备两名驻场运维工程师，为执法局提供网络安全驻场运维</w:t>
      </w:r>
      <w:r>
        <w:rPr>
          <w:rFonts w:hint="eastAsia" w:cs="宋体"/>
          <w:b w:val="0"/>
          <w:snapToGrid w:val="0"/>
          <w:color w:val="auto"/>
          <w:sz w:val="24"/>
          <w:szCs w:val="24"/>
          <w:highlight w:val="none"/>
          <w:lang w:val="en-US" w:eastAsia="zh-CN" w:bidi="ar-SA"/>
        </w:rPr>
        <w:t>及办公设备驻场运维</w:t>
      </w:r>
      <w:r>
        <w:rPr>
          <w:rFonts w:hint="eastAsia" w:ascii="宋体" w:hAnsi="宋体" w:eastAsia="宋体" w:cs="宋体"/>
          <w:b w:val="0"/>
          <w:snapToGrid w:val="0"/>
          <w:color w:val="auto"/>
          <w:sz w:val="24"/>
          <w:szCs w:val="24"/>
          <w:highlight w:val="none"/>
          <w:lang w:val="en-US" w:eastAsia="zh-CN" w:bidi="ar-SA"/>
        </w:rPr>
        <w:t>服务。</w:t>
      </w:r>
    </w:p>
    <w:p w14:paraId="4EE7BF1F">
      <w:pPr>
        <w:pStyle w:val="131"/>
        <w:numPr>
          <w:ilvl w:val="0"/>
          <w:numId w:val="0"/>
        </w:numPr>
        <w:bidi w:val="0"/>
        <w:jc w:val="center"/>
        <w:rPr>
          <w:rFonts w:hint="default" w:ascii="宋体" w:hAnsi="宋体" w:eastAsia="宋体" w:cs="宋体"/>
          <w:b w:val="0"/>
          <w:bCs/>
          <w:snapToGrid w:val="0"/>
          <w:color w:val="auto"/>
          <w:kern w:val="44"/>
          <w:sz w:val="24"/>
          <w:szCs w:val="24"/>
          <w:highlight w:val="none"/>
          <w:lang w:val="en-US" w:eastAsia="zh-CN" w:bidi="ar-SA"/>
        </w:rPr>
      </w:pPr>
      <w:r>
        <w:rPr>
          <w:rFonts w:hint="eastAsia" w:ascii="宋体" w:hAnsi="宋体" w:eastAsia="宋体" w:cs="宋体"/>
          <w:b w:val="0"/>
          <w:bCs/>
          <w:snapToGrid w:val="0"/>
          <w:color w:val="auto"/>
          <w:kern w:val="44"/>
          <w:sz w:val="24"/>
          <w:szCs w:val="24"/>
          <w:highlight w:val="none"/>
          <w:lang w:val="en-US" w:eastAsia="zh-CN" w:bidi="ar-SA"/>
        </w:rPr>
        <w:t>采购清单</w:t>
      </w:r>
    </w:p>
    <w:tbl>
      <w:tblPr>
        <w:tblStyle w:val="38"/>
        <w:tblW w:w="92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532"/>
        <w:gridCol w:w="887"/>
        <w:gridCol w:w="882"/>
        <w:gridCol w:w="2168"/>
        <w:gridCol w:w="1830"/>
      </w:tblGrid>
      <w:tr w14:paraId="271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ign w:val="center"/>
          </w:tcPr>
          <w:p w14:paraId="4064B47C">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50A5E975">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名称</w:t>
            </w:r>
          </w:p>
        </w:tc>
        <w:tc>
          <w:tcPr>
            <w:tcW w:w="887" w:type="dxa"/>
            <w:tcBorders>
              <w:top w:val="single" w:color="auto" w:sz="4" w:space="0"/>
              <w:left w:val="single" w:color="auto" w:sz="4" w:space="0"/>
              <w:bottom w:val="single" w:color="auto" w:sz="4" w:space="0"/>
              <w:right w:val="single" w:color="auto" w:sz="4" w:space="0"/>
              <w:tl2br w:val="nil"/>
              <w:tr2bl w:val="nil"/>
            </w:tcBorders>
            <w:noWrap/>
            <w:vAlign w:val="center"/>
          </w:tcPr>
          <w:p w14:paraId="4538A9A3">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882" w:type="dxa"/>
            <w:tcBorders>
              <w:top w:val="single" w:color="auto" w:sz="4" w:space="0"/>
              <w:left w:val="single" w:color="auto" w:sz="4" w:space="0"/>
              <w:bottom w:val="single" w:color="auto" w:sz="4" w:space="0"/>
              <w:right w:val="single" w:color="auto" w:sz="4" w:space="0"/>
              <w:tl2br w:val="nil"/>
              <w:tr2bl w:val="nil"/>
            </w:tcBorders>
            <w:noWrap/>
            <w:vAlign w:val="center"/>
          </w:tcPr>
          <w:p w14:paraId="350B0C0F">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w:t>
            </w:r>
          </w:p>
        </w:tc>
        <w:tc>
          <w:tcPr>
            <w:tcW w:w="2168" w:type="dxa"/>
            <w:tcBorders>
              <w:top w:val="single" w:color="auto" w:sz="4" w:space="0"/>
              <w:left w:val="single" w:color="auto" w:sz="4" w:space="0"/>
              <w:bottom w:val="single" w:color="auto" w:sz="4" w:space="0"/>
              <w:right w:val="single" w:color="auto" w:sz="4" w:space="0"/>
              <w:tl2br w:val="nil"/>
              <w:tr2bl w:val="nil"/>
            </w:tcBorders>
            <w:noWrap/>
            <w:vAlign w:val="center"/>
          </w:tcPr>
          <w:p w14:paraId="6960D453">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技术需求</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6E148955">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50A3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ign w:val="center"/>
          </w:tcPr>
          <w:p w14:paraId="393D106F">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556EED1D">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渗透测试服务</w:t>
            </w:r>
          </w:p>
        </w:tc>
        <w:tc>
          <w:tcPr>
            <w:tcW w:w="887" w:type="dxa"/>
            <w:tcBorders>
              <w:top w:val="single" w:color="auto" w:sz="4" w:space="0"/>
              <w:left w:val="single" w:color="auto" w:sz="4" w:space="0"/>
              <w:bottom w:val="single" w:color="auto" w:sz="4" w:space="0"/>
              <w:right w:val="single" w:color="auto" w:sz="4" w:space="0"/>
              <w:tl2br w:val="nil"/>
              <w:tr2bl w:val="nil"/>
            </w:tcBorders>
            <w:noWrap/>
            <w:vAlign w:val="center"/>
          </w:tcPr>
          <w:p w14:paraId="7C2A884B">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48</w:t>
            </w:r>
          </w:p>
        </w:tc>
        <w:tc>
          <w:tcPr>
            <w:tcW w:w="882" w:type="dxa"/>
            <w:tcBorders>
              <w:top w:val="single" w:color="auto" w:sz="4" w:space="0"/>
              <w:left w:val="single" w:color="auto" w:sz="4" w:space="0"/>
              <w:bottom w:val="single" w:color="auto" w:sz="4" w:space="0"/>
              <w:right w:val="single" w:color="auto" w:sz="4" w:space="0"/>
              <w:tl2br w:val="nil"/>
              <w:tr2bl w:val="nil"/>
            </w:tcBorders>
            <w:noWrap/>
            <w:vAlign w:val="center"/>
          </w:tcPr>
          <w:p w14:paraId="642B1806">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次</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D487135">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详见技术参数</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1192EBC3">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每月一次</w:t>
            </w:r>
          </w:p>
        </w:tc>
      </w:tr>
      <w:tr w14:paraId="74F0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ign w:val="center"/>
          </w:tcPr>
          <w:p w14:paraId="43526307">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762058F4">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网络安全等级保护</w:t>
            </w:r>
          </w:p>
        </w:tc>
        <w:tc>
          <w:tcPr>
            <w:tcW w:w="887" w:type="dxa"/>
            <w:tcBorders>
              <w:top w:val="single" w:color="auto" w:sz="4" w:space="0"/>
              <w:left w:val="single" w:color="auto" w:sz="4" w:space="0"/>
              <w:bottom w:val="single" w:color="auto" w:sz="4" w:space="0"/>
              <w:right w:val="single" w:color="auto" w:sz="4" w:space="0"/>
              <w:tl2br w:val="nil"/>
              <w:tr2bl w:val="nil"/>
            </w:tcBorders>
            <w:noWrap/>
            <w:vAlign w:val="center"/>
          </w:tcPr>
          <w:p w14:paraId="5A0CE468">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882" w:type="dxa"/>
            <w:tcBorders>
              <w:top w:val="single" w:color="auto" w:sz="4" w:space="0"/>
              <w:left w:val="single" w:color="auto" w:sz="4" w:space="0"/>
              <w:bottom w:val="single" w:color="auto" w:sz="4" w:space="0"/>
              <w:right w:val="single" w:color="auto" w:sz="4" w:space="0"/>
              <w:tl2br w:val="nil"/>
              <w:tr2bl w:val="nil"/>
            </w:tcBorders>
            <w:noWrap/>
            <w:vAlign w:val="center"/>
          </w:tcPr>
          <w:p w14:paraId="11198632">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个</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2F968E2">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详见技术参数</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188534D4">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备案及测评</w:t>
            </w:r>
          </w:p>
        </w:tc>
      </w:tr>
      <w:tr w14:paraId="02A1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ign w:val="center"/>
          </w:tcPr>
          <w:p w14:paraId="0560AE90">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5A426373">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办公设备驻场运维</w:t>
            </w:r>
          </w:p>
        </w:tc>
        <w:tc>
          <w:tcPr>
            <w:tcW w:w="887" w:type="dxa"/>
            <w:tcBorders>
              <w:top w:val="single" w:color="auto" w:sz="4" w:space="0"/>
              <w:left w:val="single" w:color="auto" w:sz="4" w:space="0"/>
              <w:bottom w:val="single" w:color="auto" w:sz="4" w:space="0"/>
              <w:right w:val="single" w:color="auto" w:sz="4" w:space="0"/>
              <w:tl2br w:val="nil"/>
              <w:tr2bl w:val="nil"/>
            </w:tcBorders>
            <w:noWrap/>
            <w:vAlign w:val="center"/>
          </w:tcPr>
          <w:p w14:paraId="45ED76D1">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882" w:type="dxa"/>
            <w:tcBorders>
              <w:top w:val="single" w:color="auto" w:sz="4" w:space="0"/>
              <w:left w:val="single" w:color="auto" w:sz="4" w:space="0"/>
              <w:bottom w:val="single" w:color="auto" w:sz="4" w:space="0"/>
              <w:right w:val="single" w:color="auto" w:sz="4" w:space="0"/>
              <w:tl2br w:val="nil"/>
              <w:tr2bl w:val="nil"/>
            </w:tcBorders>
            <w:noWrap/>
            <w:vAlign w:val="center"/>
          </w:tcPr>
          <w:p w14:paraId="35A3DC92">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646E81">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详见</w:t>
            </w:r>
            <w:r>
              <w:rPr>
                <w:rFonts w:hint="eastAsia" w:ascii="宋体" w:hAnsi="宋体" w:cs="宋体"/>
                <w:color w:val="auto"/>
                <w:kern w:val="2"/>
                <w:sz w:val="24"/>
                <w:szCs w:val="24"/>
                <w:highlight w:val="none"/>
                <w:lang w:val="en-US" w:eastAsia="zh-CN" w:bidi="ar-SA"/>
              </w:rPr>
              <w:t>相关要求</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02173A9F">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驻场</w:t>
            </w:r>
          </w:p>
        </w:tc>
      </w:tr>
      <w:tr w14:paraId="3AC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ign w:val="center"/>
          </w:tcPr>
          <w:p w14:paraId="6048C473">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2532" w:type="dxa"/>
            <w:tcBorders>
              <w:top w:val="single" w:color="auto" w:sz="4" w:space="0"/>
              <w:left w:val="single" w:color="auto" w:sz="4" w:space="0"/>
              <w:bottom w:val="single" w:color="auto" w:sz="4" w:space="0"/>
              <w:right w:val="single" w:color="auto" w:sz="4" w:space="0"/>
              <w:tl2br w:val="nil"/>
              <w:tr2bl w:val="nil"/>
            </w:tcBorders>
            <w:noWrap/>
            <w:vAlign w:val="center"/>
          </w:tcPr>
          <w:p w14:paraId="57D2B705">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网络安全驻场运维</w:t>
            </w:r>
          </w:p>
        </w:tc>
        <w:tc>
          <w:tcPr>
            <w:tcW w:w="887" w:type="dxa"/>
            <w:tcBorders>
              <w:top w:val="single" w:color="auto" w:sz="4" w:space="0"/>
              <w:left w:val="single" w:color="auto" w:sz="4" w:space="0"/>
              <w:bottom w:val="single" w:color="auto" w:sz="4" w:space="0"/>
              <w:right w:val="single" w:color="auto" w:sz="4" w:space="0"/>
              <w:tl2br w:val="nil"/>
              <w:tr2bl w:val="nil"/>
            </w:tcBorders>
            <w:noWrap/>
            <w:vAlign w:val="center"/>
          </w:tcPr>
          <w:p w14:paraId="2306A7B3">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882" w:type="dxa"/>
            <w:tcBorders>
              <w:top w:val="single" w:color="auto" w:sz="4" w:space="0"/>
              <w:left w:val="single" w:color="auto" w:sz="4" w:space="0"/>
              <w:bottom w:val="single" w:color="auto" w:sz="4" w:space="0"/>
              <w:right w:val="single" w:color="auto" w:sz="4" w:space="0"/>
              <w:tl2br w:val="nil"/>
              <w:tr2bl w:val="nil"/>
            </w:tcBorders>
            <w:noWrap/>
            <w:vAlign w:val="center"/>
          </w:tcPr>
          <w:p w14:paraId="11BF9AB0">
            <w:pPr>
              <w:pStyle w:val="130"/>
              <w:keepLines w:val="0"/>
              <w:pageBreakBefore w:val="0"/>
              <w:wordWrap/>
              <w:overflowPunct/>
              <w:topLinePunct/>
              <w:bidi w:val="0"/>
              <w:spacing w:line="440" w:lineRule="exact"/>
              <w:ind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w:t>
            </w:r>
          </w:p>
        </w:tc>
        <w:tc>
          <w:tcPr>
            <w:tcW w:w="2168" w:type="dxa"/>
            <w:tcBorders>
              <w:top w:val="single" w:color="auto" w:sz="4" w:space="0"/>
              <w:left w:val="single" w:color="auto" w:sz="4" w:space="0"/>
              <w:bottom w:val="single" w:color="auto" w:sz="4" w:space="0"/>
              <w:right w:val="single" w:color="auto" w:sz="4" w:space="0"/>
              <w:tl2br w:val="nil"/>
              <w:tr2bl w:val="nil"/>
            </w:tcBorders>
            <w:noWrap/>
            <w:vAlign w:val="center"/>
          </w:tcPr>
          <w:p w14:paraId="6BECDEB5">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详见</w:t>
            </w:r>
            <w:r>
              <w:rPr>
                <w:rFonts w:hint="eastAsia" w:ascii="宋体" w:hAnsi="宋体" w:cs="宋体"/>
                <w:color w:val="auto"/>
                <w:kern w:val="2"/>
                <w:sz w:val="24"/>
                <w:szCs w:val="24"/>
                <w:highlight w:val="none"/>
                <w:lang w:val="en-US" w:eastAsia="zh-CN" w:bidi="ar-SA"/>
              </w:rPr>
              <w:t>相关要求</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14:paraId="739DB6B5">
            <w:pPr>
              <w:pStyle w:val="130"/>
              <w:keepLines w:val="0"/>
              <w:pageBreakBefore w:val="0"/>
              <w:wordWrap/>
              <w:overflowPunct/>
              <w:topLinePunct/>
              <w:bidi w:val="0"/>
              <w:spacing w:line="440" w:lineRule="exact"/>
              <w:ind w:firstLine="0" w:firstLineChars="0"/>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驻场</w:t>
            </w:r>
          </w:p>
        </w:tc>
      </w:tr>
    </w:tbl>
    <w:p w14:paraId="5DF874DA">
      <w:pPr>
        <w:keepNext w:val="0"/>
        <w:keepLines w:val="0"/>
        <w:pageBreakBefore w:val="0"/>
        <w:numPr>
          <w:ilvl w:val="0"/>
          <w:numId w:val="0"/>
        </w:numPr>
        <w:tabs>
          <w:tab w:val="left" w:pos="1204"/>
        </w:tabs>
        <w:kinsoku w:val="0"/>
        <w:wordWrap/>
        <w:overflowPunct/>
        <w:topLinePunct/>
        <w:autoSpaceDE w:val="0"/>
        <w:autoSpaceDN w:val="0"/>
        <w:bidi w:val="0"/>
        <w:adjustRightInd w:val="0"/>
        <w:snapToGrid w:val="0"/>
        <w:spacing w:line="560" w:lineRule="exact"/>
        <w:textAlignment w:val="baseline"/>
        <w:outlineLvl w:val="9"/>
        <w:rPr>
          <w:rFonts w:hint="eastAsia" w:ascii="宋体" w:hAnsi="宋体" w:eastAsia="宋体" w:cs="宋体"/>
          <w:color w:val="auto"/>
          <w:sz w:val="24"/>
          <w:szCs w:val="24"/>
          <w:highlight w:val="none"/>
        </w:rPr>
      </w:pPr>
      <w:bookmarkStart w:id="54" w:name="_Toc86685022"/>
    </w:p>
    <w:p w14:paraId="0942E1B7">
      <w:pPr>
        <w:pStyle w:val="3"/>
        <w:widowControl/>
        <w:numPr>
          <w:ilvl w:val="0"/>
          <w:numId w:val="0"/>
        </w:numPr>
        <w:tabs>
          <w:tab w:val="left" w:pos="963"/>
          <w:tab w:val="clear" w:pos="360"/>
        </w:tabs>
        <w:topLinePunct w:val="0"/>
        <w:spacing w:line="24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详细技术需求</w:t>
      </w:r>
    </w:p>
    <w:p w14:paraId="78832E2E">
      <w:pPr>
        <w:keepNext w:val="0"/>
        <w:keepLines w:val="0"/>
        <w:pageBreakBefore w:val="0"/>
        <w:numPr>
          <w:ilvl w:val="-1"/>
          <w:numId w:val="0"/>
        </w:numPr>
        <w:tabs>
          <w:tab w:val="left" w:pos="1204"/>
        </w:tabs>
        <w:wordWrap/>
        <w:overflowPunct/>
        <w:topLinePunct/>
        <w:bidi w:val="0"/>
        <w:spacing w:line="560" w:lineRule="exact"/>
        <w:ind w:left="420" w:leftChars="0" w:firstLine="0" w:firstLineChars="0"/>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（一）</w:t>
      </w:r>
      <w:r>
        <w:rPr>
          <w:rFonts w:hint="eastAsia" w:ascii="宋体" w:hAnsi="宋体" w:eastAsia="宋体" w:cs="宋体"/>
          <w:b/>
          <w:bCs/>
          <w:color w:val="auto"/>
          <w:sz w:val="24"/>
          <w:szCs w:val="24"/>
          <w:highlight w:val="none"/>
        </w:rPr>
        <w:t>渗透测试服务</w:t>
      </w:r>
    </w:p>
    <w:p w14:paraId="30F283D9">
      <w:pPr>
        <w:keepNext w:val="0"/>
        <w:keepLines w:val="0"/>
        <w:pageBreakBefore w:val="0"/>
        <w:widowControl/>
        <w:numPr>
          <w:ilvl w:val="-1"/>
          <w:numId w:val="0"/>
        </w:numPr>
        <w:tabs>
          <w:tab w:val="left" w:pos="783"/>
        </w:tabs>
        <w:wordWrap/>
        <w:overflowPunct/>
        <w:topLinePunct/>
        <w:bidi w:val="0"/>
        <w:spacing w:line="560" w:lineRule="exact"/>
        <w:ind w:left="420" w:leftChars="200" w:firstLine="0" w:firstLineChars="0"/>
        <w:outlineLvl w:val="9"/>
        <w:rPr>
          <w:rFonts w:hint="eastAsia" w:ascii="宋体" w:hAnsi="宋体" w:eastAsia="宋体" w:cs="宋体"/>
          <w:color w:val="auto"/>
          <w:sz w:val="24"/>
          <w:szCs w:val="24"/>
          <w:highlight w:val="none"/>
        </w:rPr>
      </w:pPr>
      <w:bookmarkStart w:id="55" w:name="_Toc75081915"/>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服务目标</w:t>
      </w:r>
      <w:bookmarkEnd w:id="55"/>
    </w:p>
    <w:p w14:paraId="74C212EE">
      <w:pPr>
        <w:pStyle w:val="17"/>
        <w:keepNext w:val="0"/>
        <w:keepLines w:val="0"/>
        <w:pageBreakBefore w:val="0"/>
        <w:widowControl/>
        <w:numPr>
          <w:ilvl w:val="0"/>
          <w:numId w:val="0"/>
        </w:numPr>
        <w:tabs>
          <w:tab w:val="left" w:pos="482"/>
        </w:tabs>
        <w:wordWrap/>
        <w:overflowPunct/>
        <w:topLinePunct/>
        <w:bidi w:val="0"/>
        <w:spacing w:line="560" w:lineRule="exact"/>
        <w:ind w:left="690" w:leftChars="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通过渗透测试，及时发现WEB应用、C/S架构应用系统</w:t>
      </w:r>
      <w:r>
        <w:rPr>
          <w:rFonts w:hint="eastAsia" w:ascii="宋体" w:hAnsi="宋体" w:cs="宋体"/>
          <w:b w:val="0"/>
          <w:color w:val="auto"/>
          <w:sz w:val="24"/>
          <w:szCs w:val="24"/>
          <w:highlight w:val="none"/>
          <w:lang w:eastAsia="zh-CN"/>
        </w:rPr>
        <w:t>及移动端应用（</w:t>
      </w:r>
      <w:r>
        <w:rPr>
          <w:rFonts w:hint="eastAsia" w:ascii="宋体" w:hAnsi="宋体" w:cs="宋体"/>
          <w:b w:val="0"/>
          <w:color w:val="auto"/>
          <w:sz w:val="24"/>
          <w:szCs w:val="24"/>
          <w:highlight w:val="none"/>
          <w:lang w:val="en-US" w:eastAsia="zh-CN"/>
        </w:rPr>
        <w:t>APP</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存在的代码和配置缺陷，并提出安全整改和加固建议，协助进行安全整改，提高系统自身安全防护能力。</w:t>
      </w:r>
    </w:p>
    <w:p w14:paraId="03314FBC">
      <w:pPr>
        <w:keepNext w:val="0"/>
        <w:keepLines w:val="0"/>
        <w:pageBreakBefore w:val="0"/>
        <w:widowControl/>
        <w:numPr>
          <w:ilvl w:val="-1"/>
          <w:numId w:val="0"/>
        </w:numPr>
        <w:tabs>
          <w:tab w:val="left" w:pos="783"/>
        </w:tabs>
        <w:wordWrap/>
        <w:overflowPunct/>
        <w:topLinePunct/>
        <w:bidi w:val="0"/>
        <w:spacing w:line="560" w:lineRule="exact"/>
        <w:ind w:left="420" w:leftChars="200" w:firstLine="0" w:firstLineChars="0"/>
        <w:outlineLvl w:val="9"/>
        <w:rPr>
          <w:rFonts w:hint="eastAsia" w:ascii="宋体" w:hAnsi="宋体" w:eastAsia="宋体" w:cs="宋体"/>
          <w:color w:val="auto"/>
          <w:sz w:val="24"/>
          <w:szCs w:val="24"/>
          <w:highlight w:val="none"/>
        </w:rPr>
      </w:pPr>
      <w:bookmarkStart w:id="56" w:name="_Toc75081916"/>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服务范围</w:t>
      </w:r>
      <w:bookmarkEnd w:id="56"/>
    </w:p>
    <w:p w14:paraId="6B6E14AB">
      <w:pPr>
        <w:pStyle w:val="17"/>
        <w:keepNext w:val="0"/>
        <w:keepLines w:val="0"/>
        <w:pageBreakBefore w:val="0"/>
        <w:widowControl/>
        <w:numPr>
          <w:ilvl w:val="0"/>
          <w:numId w:val="0"/>
        </w:numPr>
        <w:tabs>
          <w:tab w:val="left" w:pos="482"/>
        </w:tabs>
        <w:wordWrap/>
        <w:overflowPunct/>
        <w:topLinePunct/>
        <w:bidi w:val="0"/>
        <w:spacing w:line="560" w:lineRule="exact"/>
        <w:ind w:left="690" w:leftChars="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本项工作主要针对在线运行和新上线运行WEB应用</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C/S架构应用</w:t>
      </w:r>
      <w:r>
        <w:rPr>
          <w:rFonts w:hint="eastAsia" w:ascii="宋体" w:hAnsi="宋体" w:cs="宋体"/>
          <w:b w:val="0"/>
          <w:color w:val="auto"/>
          <w:sz w:val="24"/>
          <w:szCs w:val="24"/>
          <w:highlight w:val="none"/>
          <w:lang w:eastAsia="zh-CN"/>
        </w:rPr>
        <w:t>及移动端应用（</w:t>
      </w:r>
      <w:r>
        <w:rPr>
          <w:rFonts w:hint="eastAsia" w:ascii="宋体" w:hAnsi="宋体" w:cs="宋体"/>
          <w:b w:val="0"/>
          <w:color w:val="auto"/>
          <w:sz w:val="24"/>
          <w:szCs w:val="24"/>
          <w:highlight w:val="none"/>
          <w:lang w:val="en-US" w:eastAsia="zh-CN"/>
        </w:rPr>
        <w:t>APP</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系统。</w:t>
      </w:r>
    </w:p>
    <w:p w14:paraId="05F7A5FC">
      <w:pPr>
        <w:keepNext w:val="0"/>
        <w:keepLines w:val="0"/>
        <w:pageBreakBefore w:val="0"/>
        <w:widowControl/>
        <w:numPr>
          <w:ilvl w:val="-1"/>
          <w:numId w:val="0"/>
        </w:numPr>
        <w:tabs>
          <w:tab w:val="left" w:pos="783"/>
        </w:tabs>
        <w:wordWrap/>
        <w:overflowPunct/>
        <w:topLinePunct/>
        <w:bidi w:val="0"/>
        <w:spacing w:line="560" w:lineRule="exact"/>
        <w:ind w:left="420" w:leftChars="200" w:firstLine="0" w:firstLineChars="0"/>
        <w:outlineLvl w:val="9"/>
        <w:rPr>
          <w:rFonts w:hint="eastAsia" w:ascii="宋体" w:hAnsi="宋体" w:eastAsia="宋体" w:cs="宋体"/>
          <w:color w:val="auto"/>
          <w:sz w:val="24"/>
          <w:szCs w:val="24"/>
          <w:highlight w:val="none"/>
        </w:rPr>
      </w:pPr>
      <w:bookmarkStart w:id="57" w:name="_Toc75081917"/>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服务内容</w:t>
      </w:r>
      <w:bookmarkEnd w:id="57"/>
    </w:p>
    <w:p w14:paraId="495F5071">
      <w:pPr>
        <w:pStyle w:val="17"/>
        <w:keepNext w:val="0"/>
        <w:keepLines w:val="0"/>
        <w:pageBreakBefore w:val="0"/>
        <w:widowControl/>
        <w:numPr>
          <w:ilvl w:val="0"/>
          <w:numId w:val="0"/>
        </w:numPr>
        <w:tabs>
          <w:tab w:val="left" w:pos="482"/>
        </w:tabs>
        <w:wordWrap/>
        <w:overflowPunct/>
        <w:topLinePunct/>
        <w:bidi w:val="0"/>
        <w:spacing w:line="560" w:lineRule="exact"/>
        <w:ind w:left="690" w:leftChars="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渗透测试作为检验目标系统安全性最有效的服务，通过服务人员采用智能工具扫描与人工测试、分析的手段，以模拟黑客入侵的方式对服务目标系统进行模拟入侵测试，识别服务目标存在的安全风险。渗透性测试是工具扫描和人工评估的重要补充。工具扫描具有很好的效率和速度，但是存在一定的误报率，不能发现高层次、复杂的安全问题；渗透测试需要投入的人力资源较大、对测试者的专业技能要求很高（渗透测试报告的价值直接依赖于测试者的专业技能），但是非常准确，可以发现逻辑性更强、更深层次的弱点。渗透测试内容至少包括：信息收集类、配置管理类（HTTP方法测试、应用中间件测试、信息泄露、异常错误等）、认证类（用户枚举、密码猜解、密码重置、密码策略测试等）、会话类（cookie测试、session会话测试等）、授权类（越权访问、路径遍历、任意文件下载、逻辑缺陷测试等）、数据验证类（SQL注入、跨站脚本、代码注入、URL跳转、文件上传测试等、输入输出校验绕过、数据篡改）、系统应用漏洞（溢出、0day漏洞等）。</w:t>
      </w:r>
    </w:p>
    <w:p w14:paraId="0CCB508B">
      <w:pPr>
        <w:keepNext w:val="0"/>
        <w:keepLines w:val="0"/>
        <w:pageBreakBefore w:val="0"/>
        <w:widowControl/>
        <w:numPr>
          <w:ilvl w:val="-1"/>
          <w:numId w:val="0"/>
        </w:numPr>
        <w:tabs>
          <w:tab w:val="left" w:pos="783"/>
        </w:tabs>
        <w:wordWrap/>
        <w:overflowPunct/>
        <w:topLinePunct/>
        <w:bidi w:val="0"/>
        <w:spacing w:line="560" w:lineRule="exact"/>
        <w:ind w:left="420" w:leftChars="200" w:firstLine="0" w:firstLineChars="0"/>
        <w:outlineLvl w:val="9"/>
        <w:rPr>
          <w:rFonts w:hint="eastAsia" w:ascii="宋体" w:hAnsi="宋体" w:eastAsia="宋体" w:cs="宋体"/>
          <w:color w:val="auto"/>
          <w:sz w:val="24"/>
          <w:szCs w:val="24"/>
          <w:highlight w:val="none"/>
        </w:rPr>
      </w:pPr>
      <w:bookmarkStart w:id="58" w:name="_Toc75081919"/>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服务交付</w:t>
      </w:r>
      <w:bookmarkEnd w:id="58"/>
    </w:p>
    <w:p w14:paraId="285B6B95">
      <w:pPr>
        <w:pStyle w:val="17"/>
        <w:keepNext w:val="0"/>
        <w:keepLines w:val="0"/>
        <w:pageBreakBefore w:val="0"/>
        <w:widowControl/>
        <w:numPr>
          <w:ilvl w:val="0"/>
          <w:numId w:val="0"/>
        </w:numPr>
        <w:tabs>
          <w:tab w:val="left" w:pos="482"/>
        </w:tabs>
        <w:wordWrap/>
        <w:overflowPunct/>
        <w:topLinePunct/>
        <w:bidi w:val="0"/>
        <w:spacing w:line="560" w:lineRule="exact"/>
        <w:ind w:left="690" w:leftChars="0"/>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rPr>
        <w:t>《XX系统渗透测试报告》</w:t>
      </w:r>
      <w:r>
        <w:rPr>
          <w:rFonts w:hint="eastAsia" w:ascii="宋体" w:hAnsi="宋体" w:cs="宋体"/>
          <w:b w:val="0"/>
          <w:color w:val="auto"/>
          <w:sz w:val="24"/>
          <w:szCs w:val="24"/>
          <w:highlight w:val="none"/>
          <w:lang w:eastAsia="zh-CN"/>
        </w:rPr>
        <w:t>（包含服务期内历次整改、复测等闭环管理签字记录）</w:t>
      </w:r>
    </w:p>
    <w:p w14:paraId="5249491E">
      <w:pPr>
        <w:keepNext w:val="0"/>
        <w:keepLines w:val="0"/>
        <w:pageBreakBefore w:val="0"/>
        <w:numPr>
          <w:ilvl w:val="-1"/>
          <w:numId w:val="0"/>
        </w:numPr>
        <w:tabs>
          <w:tab w:val="left" w:pos="1204"/>
        </w:tabs>
        <w:wordWrap/>
        <w:overflowPunct/>
        <w:topLinePunct/>
        <w:bidi w:val="0"/>
        <w:spacing w:line="560" w:lineRule="exact"/>
        <w:ind w:left="420" w:leftChars="0" w:firstLine="0" w:firstLineChars="0"/>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网络安全等级保护</w:t>
      </w:r>
    </w:p>
    <w:p w14:paraId="4526AE37">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1.服务目标</w:t>
      </w:r>
    </w:p>
    <w:p w14:paraId="4A5D3C58">
      <w:pPr>
        <w:keepNext w:val="0"/>
        <w:keepLines w:val="0"/>
        <w:pageBreakBefore w:val="0"/>
        <w:widowControl/>
        <w:wordWrap/>
        <w:overflowPunct/>
        <w:topLinePunct/>
        <w:bidi w:val="0"/>
        <w:spacing w:after="120" w:afterAutospacing="0" w:line="560" w:lineRule="exact"/>
        <w:ind w:left="420" w:leftChars="20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本次网络安全等级保护测评服务严格依据《网络安全法》及等保2.0国家标准开展，以单位信息系统合规整改、安全加固、风险管控为总体服务目标。通过专业技术检测、漏洞整改、制度完善，全面排查网络架构、服务器、业务系统、数据管理中存在的安全隐患，修补高危安全漏洞，优化网络安全防护策略。完善安全管理制度与应急处置流程，规范人员运维权限，满足等保合规硬性指标。最终完成公安机关网络安全等级保护备案，取得合格测评报告，消除网络安全风险，防止数据泄露、恶意攻击、系统瘫痪等安全事故，构建稳定、合规、长效的网络安全防护体系，保障单位业务长期安全平稳运行。</w:t>
      </w:r>
    </w:p>
    <w:p w14:paraId="7DD75B97">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2.服务范围</w:t>
      </w:r>
    </w:p>
    <w:p w14:paraId="138095C8">
      <w:pPr>
        <w:keepNext w:val="0"/>
        <w:keepLines w:val="0"/>
        <w:pageBreakBefore w:val="0"/>
        <w:widowControl/>
        <w:wordWrap/>
        <w:overflowPunct/>
        <w:topLinePunct/>
        <w:bidi w:val="0"/>
        <w:spacing w:after="120" w:afterAutospacing="0" w:line="560" w:lineRule="exact"/>
        <w:ind w:left="420" w:leftChars="20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本次等保服务范围包含4个核心</w:t>
      </w:r>
      <w:r>
        <w:rPr>
          <w:rFonts w:hint="eastAsia" w:ascii="宋体" w:hAnsi="宋体" w:cs="宋体"/>
          <w:b w:val="0"/>
          <w:color w:val="auto"/>
          <w:sz w:val="24"/>
          <w:szCs w:val="24"/>
          <w:highlight w:val="none"/>
          <w:lang w:val="en-US" w:eastAsia="zh-CN"/>
        </w:rPr>
        <w:t>业务</w:t>
      </w:r>
      <w:r>
        <w:rPr>
          <w:rFonts w:hint="eastAsia" w:ascii="宋体" w:hAnsi="宋体" w:eastAsia="宋体" w:cs="宋体"/>
          <w:b w:val="0"/>
          <w:color w:val="auto"/>
          <w:sz w:val="24"/>
          <w:szCs w:val="24"/>
          <w:highlight w:val="none"/>
          <w:lang w:val="en-US" w:eastAsia="zh-CN"/>
        </w:rPr>
        <w:t>信息系统，分别为新疆交通运输执法综合管理信息系统、新疆治超联网管理信息系统、大件运输许可审批系统、工程质量监督执法支队信息化系统。资产覆盖范围包含物理服务器、虚拟化主机、数据库、业务终端等软硬件设施；网络层面包含防火墙、交换机、路由器、存储设备、安全审计设备等边界网络设备；覆盖网络通信区域、主机服务区域、业务应用区域、数据存储区域、物理机房环境。同时涵盖人员安全管理、运维管理制度、应急预案、安全培训等管理层面服务。服务流程范围包含前期资产摸排、现状测评、漏洞整改、安全加固、资料汇编、备案协助、验收交付、后期巡检运维等全过程服务。</w:t>
      </w:r>
    </w:p>
    <w:p w14:paraId="53D2E168">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3.服务内容</w:t>
      </w:r>
    </w:p>
    <w:p w14:paraId="36D9986C">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前期调研定级服务</w:t>
      </w:r>
    </w:p>
    <w:p w14:paraId="7EF23F9A">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对单位全部网络资产进行梳理盘点，制作资产台账，绘制网络拓扑结构图；排查系统运行现状，分析安全薄弱点，结合国家定级标准编写定级报告，明确系统安全保护等级；收集单位基础资料，整理备案所需材料，完成初步备案资料汇总。</w:t>
      </w:r>
    </w:p>
    <w:p w14:paraId="5374F7F9">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安全检测测评服务</w:t>
      </w:r>
    </w:p>
    <w:p w14:paraId="1ABF28EA">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依据GB/T 22239-2019等保标准，采用工具扫描加人工核查方式，开展漏洞扫描、渗透测试、安全基线核查；检测网络边界防护、主机安全配置、应用代码安全、数据加密存储、日志审计留存等合规项；排查高危漏洞、弱口令、越权访问、端口暴露等安全隐患，出具风险差距分析报告。</w:t>
      </w:r>
    </w:p>
    <w:p w14:paraId="73CD7A94">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安全整改加固</w:t>
      </w:r>
      <w:r>
        <w:rPr>
          <w:rFonts w:hint="eastAsia" w:ascii="宋体" w:hAnsi="宋体" w:cs="宋体"/>
          <w:b/>
          <w:color w:val="auto"/>
          <w:sz w:val="24"/>
          <w:szCs w:val="24"/>
          <w:highlight w:val="none"/>
          <w:lang w:val="en-US" w:eastAsia="zh-CN"/>
        </w:rPr>
        <w:t>指导</w:t>
      </w:r>
      <w:r>
        <w:rPr>
          <w:rFonts w:hint="eastAsia" w:ascii="宋体" w:hAnsi="宋体" w:eastAsia="宋体" w:cs="宋体"/>
          <w:b/>
          <w:color w:val="auto"/>
          <w:sz w:val="24"/>
          <w:szCs w:val="24"/>
          <w:highlight w:val="none"/>
        </w:rPr>
        <w:t>服务</w:t>
      </w:r>
    </w:p>
    <w:p w14:paraId="288A1C41">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针对测评发现的安全漏洞制定专项整改方案，指导完成漏洞修复、系统补丁更新、无用端口关闭、访问权限管控、防火墙策略优化；完善数据备份机制，实现重要数据定期备份；修订安全管理制度、运维规范、保密制度、应急预案，补齐管理层面合规短板，保障全部整改项合规达标。</w:t>
      </w:r>
    </w:p>
    <w:p w14:paraId="1CA59A3E">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备案验收及运维服务</w:t>
      </w:r>
    </w:p>
    <w:p w14:paraId="621FBCC2">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整改完成后开展复测验收，编制正式等级保护测评报告；全程协助招标人完成公安网安部门备案流程，配合监管部门资料审查；开展内部人员网络安全培训，普及安全防护知识；验收完成后提供一年免费巡检服务，定期复测漏洞、优化安全策略，提供技术咨询与应急响应服务。</w:t>
      </w:r>
    </w:p>
    <w:p w14:paraId="4FA463E0">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4.服务交付</w:t>
      </w:r>
    </w:p>
    <w:p w14:paraId="70955E00">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正式的等级保护测评合格报告，纸质盖章版与电子加密版，纸质资料不少于两套，电子资料存入加密光盘统一交付。</w:t>
      </w:r>
    </w:p>
    <w:p w14:paraId="4EE8975E">
      <w:pPr>
        <w:keepNext w:val="0"/>
        <w:keepLines w:val="0"/>
        <w:pageBreakBefore w:val="0"/>
        <w:numPr>
          <w:ilvl w:val="-1"/>
          <w:numId w:val="0"/>
        </w:numPr>
        <w:tabs>
          <w:tab w:val="left" w:pos="1204"/>
        </w:tabs>
        <w:wordWrap/>
        <w:overflowPunct/>
        <w:topLinePunct/>
        <w:bidi w:val="0"/>
        <w:spacing w:line="560" w:lineRule="exact"/>
        <w:ind w:left="42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（三）</w:t>
      </w:r>
      <w:r>
        <w:rPr>
          <w:rFonts w:hint="eastAsia" w:ascii="宋体" w:hAnsi="宋体" w:eastAsia="宋体" w:cs="宋体"/>
          <w:b/>
          <w:bCs/>
          <w:color w:val="auto"/>
          <w:sz w:val="24"/>
          <w:szCs w:val="24"/>
          <w:highlight w:val="none"/>
          <w:lang w:eastAsia="zh-CN"/>
        </w:rPr>
        <w:t>驻场运维</w:t>
      </w:r>
    </w:p>
    <w:p w14:paraId="31D087BE">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cs="宋体"/>
          <w:b w:val="0"/>
          <w:snapToGrid w:val="0"/>
          <w:color w:val="auto"/>
          <w:sz w:val="24"/>
          <w:szCs w:val="24"/>
          <w:highlight w:val="none"/>
          <w:lang w:val="en-US" w:eastAsia="zh-CN" w:bidi="ar-SA"/>
        </w:rPr>
        <w:t>1.办公设备驻场运维：</w:t>
      </w:r>
      <w:r>
        <w:rPr>
          <w:rFonts w:hint="eastAsia" w:ascii="宋体" w:hAnsi="宋体" w:eastAsia="宋体" w:cs="宋体"/>
          <w:b w:val="0"/>
          <w:snapToGrid w:val="0"/>
          <w:color w:val="auto"/>
          <w:sz w:val="24"/>
          <w:szCs w:val="24"/>
          <w:highlight w:val="none"/>
          <w:lang w:val="en-US" w:eastAsia="zh-CN" w:bidi="ar-SA"/>
        </w:rPr>
        <w:t>办公设备驻场运维服务由1名专职驻场工程师全程在岗提供，覆盖办公终端、外设、网络、会议系统、显示设备、机房环境、资产台账等全场景日常保障，执行标准化运维流程，确保单位办公系统稳定、安全、连续运行。</w:t>
      </w:r>
    </w:p>
    <w:p w14:paraId="30EE3DC8">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办公终端运维</w:t>
      </w:r>
    </w:p>
    <w:p w14:paraId="75279AA2">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负责所有办公电脑的网络接入调试、网络故障排查，建立信息点台账并定期巡检。对操作系统进行维护、修复、优化与重装，处理蓝屏、卡顿、启动异常等问题。按需求安装、调试、升级办公软件及业务软件。对电脑硬件故障进行检测定位，在保设备对接厂家售后，非在保设备进行拆机测试、配件替换，保障终端正常使用。</w:t>
      </w:r>
    </w:p>
    <w:p w14:paraId="64B9BE2D">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办公外设运维</w:t>
      </w:r>
    </w:p>
    <w:p w14:paraId="0E8098DE">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负责打印机、复印机、扫描仪等外设故障处理，解决无法连接、打印异常、卡纸、出墨异常、驱动失效等问题。完成所有办公设备驱动安装、升级与调试。按标准制作网线、电话线，做好端接、测试、布线整理与标识，保障通信链路稳定。</w:t>
      </w:r>
    </w:p>
    <w:p w14:paraId="71C69A2A">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会议设备运维</w:t>
      </w:r>
    </w:p>
    <w:p w14:paraId="2B3020C8">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负责升会议终端日常维护、故障排查与系统优化。故障主机更换须与原设备品牌、型号、配置完全一致，满足指定硬件参数要求。负责会议摄像头安装、调试、布线、维护，确保画面清晰、传输稳定。为本地及线上会议提供会前联调、会中保障、会后整理全程技术支持，重要会议提前完成设备巡检与隐患排查。</w:t>
      </w:r>
    </w:p>
    <w:p w14:paraId="352E9876">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公共显示设备运维</w:t>
      </w:r>
    </w:p>
    <w:p w14:paraId="7B818590">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负责办公楼LED显示屏日常内容设置、播放调控、亮度与画面校正。定期检查显示屏运行状态，及时处理黑屏、花屏、卡顿等故障，确保显示清晰、播放稳定，满足日常宣传与信息发布需求。</w:t>
      </w:r>
    </w:p>
    <w:p w14:paraId="117D80D6">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机房环境运维</w:t>
      </w:r>
    </w:p>
    <w:p w14:paraId="74B83CCB">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定期对机房进行清洁、除尘、线路规整，保持机房整洁、干燥、通风。对机房网络设备、服务器、配线架、终端模块进行日常巡检，记录运行状态，及时上报异常隐患，配合完成安全处置与故障修复。</w:t>
      </w:r>
    </w:p>
    <w:p w14:paraId="00403C55">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资产台账管理</w:t>
      </w:r>
    </w:p>
    <w:p w14:paraId="7457DB5A">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全面梳理单位及下属单位信息化资产，包含计算机、打印机、网络设备、会议设备、显示设备等，建立完整资产台账。动态更新资产信息，记录新增、调拨、维修、报废全流程，确保账实相符。按要求提交事件处理报告、日常巡检报告、月度及季度服务报告，所有文档按统一格式整理、签字、归档。</w:t>
      </w:r>
    </w:p>
    <w:p w14:paraId="5BFDE703">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综合保障服务</w:t>
      </w:r>
    </w:p>
    <w:p w14:paraId="45BC63A9">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snapToGrid w:val="0"/>
          <w:color w:val="auto"/>
          <w:sz w:val="24"/>
          <w:szCs w:val="24"/>
          <w:highlight w:val="none"/>
          <w:lang w:val="en-US" w:eastAsia="zh-CN" w:bidi="ar-SA"/>
        </w:rPr>
      </w:pPr>
      <w:r>
        <w:rPr>
          <w:rFonts w:hint="eastAsia" w:ascii="宋体" w:hAnsi="宋体" w:eastAsia="宋体" w:cs="宋体"/>
          <w:b w:val="0"/>
          <w:snapToGrid w:val="0"/>
          <w:color w:val="auto"/>
          <w:sz w:val="24"/>
          <w:szCs w:val="24"/>
          <w:highlight w:val="none"/>
          <w:lang w:val="en-US" w:eastAsia="zh-CN" w:bidi="ar-SA"/>
        </w:rPr>
        <w:t>为指挥调度平台提供日常使用协助、问题解答与技术支持。对接运营商、设备厂商等第三方单位，协同处理线路、设备、系统故障，全程跟踪进度并及时反馈。在重要会议、节假日等关键时段提供7×24小时响应保障，强化巡检、提前排查隐患，确保业务不间断。</w:t>
      </w:r>
    </w:p>
    <w:p w14:paraId="24C25E08">
      <w:pPr>
        <w:keepNext w:val="0"/>
        <w:keepLines w:val="0"/>
        <w:pageBreakBefore w:val="0"/>
        <w:widowControl/>
        <w:numPr>
          <w:ilvl w:val="0"/>
          <w:numId w:val="13"/>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服务管理要求</w:t>
      </w:r>
    </w:p>
    <w:p w14:paraId="4E78027E">
      <w:pPr>
        <w:keepNext w:val="0"/>
        <w:keepLines w:val="0"/>
        <w:pageBreakBefore w:val="0"/>
        <w:widowControl/>
        <w:kinsoku w:val="0"/>
        <w:wordWrap/>
        <w:overflowPunct/>
        <w:topLinePunct/>
        <w:autoSpaceDE w:val="0"/>
        <w:autoSpaceDN w:val="0"/>
        <w:bidi w:val="0"/>
        <w:adjustRightInd w:val="0"/>
        <w:snapToGrid w:val="0"/>
        <w:spacing w:after="120" w:afterAutospacing="0" w:line="560" w:lineRule="exact"/>
        <w:ind w:left="420" w:leftChars="200" w:firstLine="480" w:firstLineChars="200"/>
        <w:textAlignment w:val="baseline"/>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bidi="ar-SA"/>
        </w:rPr>
        <w:t>驻场工程师工作时间与甲方保持一致，不得擅自脱岗、离岗。驻场人员为服务商正式员工，未经甲方书面同意不得随意更换。严格遵守保密规定与现场管理制度，确保数据安全、设备安全、信息安全。日常故障即时响应处置，安全事件30分钟内响应，保障服务质量与处置效率。</w:t>
      </w:r>
    </w:p>
    <w:p w14:paraId="4FE94D77">
      <w:pPr>
        <w:keepNext w:val="0"/>
        <w:keepLines w:val="0"/>
        <w:pageBreakBefore w:val="0"/>
        <w:numPr>
          <w:ilvl w:val="-1"/>
          <w:numId w:val="0"/>
        </w:numPr>
        <w:tabs>
          <w:tab w:val="left" w:pos="1204"/>
        </w:tabs>
        <w:wordWrap/>
        <w:overflowPunct/>
        <w:topLinePunct/>
        <w:bidi w:val="0"/>
        <w:spacing w:line="560" w:lineRule="exact"/>
        <w:ind w:left="420" w:leftChars="0" w:firstLine="0" w:firstLineChars="0"/>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网络安全驻场运维</w:t>
      </w:r>
    </w:p>
    <w:p w14:paraId="59119FA8">
      <w:pPr>
        <w:pStyle w:val="17"/>
        <w:keepNext w:val="0"/>
        <w:keepLines w:val="0"/>
        <w:pageBreakBefore w:val="0"/>
        <w:widowControl/>
        <w:numPr>
          <w:ilvl w:val="0"/>
          <w:numId w:val="14"/>
        </w:numPr>
        <w:tabs>
          <w:tab w:val="left" w:pos="482"/>
        </w:tabs>
        <w:wordWrap/>
        <w:overflowPunct/>
        <w:topLinePunct/>
        <w:bidi w:val="0"/>
        <w:spacing w:line="560" w:lineRule="exact"/>
        <w:ind w:left="0" w:leftChars="0" w:firstLine="480" w:firstLineChars="200"/>
        <w:outlineLvl w:val="9"/>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配置网络安全驻场运维人员1名。驻场人员需全程在岗值守，严格服从招标人的统一管理、工作调度及各项规章制度，主动配合招标人开展各类网络安全相关工作，切实履行岗位职责，全力防范各类网络安全风险，保障单位网络、信息系统及核心数据的安全稳定运行，为单位各项业务开展提供坚实的网络安全支撑。</w:t>
      </w:r>
    </w:p>
    <w:p w14:paraId="0C1D0B0C">
      <w:pPr>
        <w:pStyle w:val="17"/>
        <w:keepNext w:val="0"/>
        <w:keepLines w:val="0"/>
        <w:pageBreakBefore w:val="0"/>
        <w:widowControl/>
        <w:numPr>
          <w:ilvl w:val="0"/>
          <w:numId w:val="14"/>
        </w:numPr>
        <w:tabs>
          <w:tab w:val="left" w:pos="482"/>
        </w:tabs>
        <w:wordWrap/>
        <w:overflowPunct/>
        <w:topLinePunct/>
        <w:bidi w:val="0"/>
        <w:spacing w:line="560" w:lineRule="exact"/>
        <w:ind w:left="0" w:leftChars="0" w:firstLine="480" w:firstLineChars="200"/>
        <w:outlineLvl w:val="9"/>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驻场运维人员核心工作职责涵盖四大板块。</w:t>
      </w:r>
      <w:r>
        <w:rPr>
          <w:rFonts w:hint="eastAsia" w:ascii="宋体" w:hAnsi="宋体" w:cs="宋体"/>
          <w:b w:val="0"/>
          <w:i w:val="0"/>
          <w:strike w:val="0"/>
          <w:color w:val="auto"/>
          <w:sz w:val="24"/>
          <w:szCs w:val="24"/>
          <w:highlight w:val="none"/>
          <w:u w:val="none"/>
          <w:lang w:eastAsia="zh-CN"/>
        </w:rPr>
        <w:t>一是</w:t>
      </w:r>
      <w:r>
        <w:rPr>
          <w:rFonts w:hint="eastAsia" w:ascii="宋体" w:hAnsi="宋体" w:eastAsia="宋体" w:cs="宋体"/>
          <w:b w:val="0"/>
          <w:i w:val="0"/>
          <w:strike w:val="0"/>
          <w:color w:val="auto"/>
          <w:sz w:val="24"/>
          <w:szCs w:val="24"/>
          <w:highlight w:val="none"/>
          <w:u w:val="none"/>
        </w:rPr>
        <w:t>网络安全防护，负责搭建并维护</w:t>
      </w:r>
      <w:r>
        <w:rPr>
          <w:rFonts w:hint="eastAsia" w:ascii="宋体" w:hAnsi="宋体" w:cs="宋体"/>
          <w:b w:val="0"/>
          <w:i w:val="0"/>
          <w:strike w:val="0"/>
          <w:color w:val="auto"/>
          <w:sz w:val="24"/>
          <w:szCs w:val="24"/>
          <w:highlight w:val="none"/>
          <w:u w:val="none"/>
          <w:lang w:eastAsia="zh-CN"/>
        </w:rPr>
        <w:t>招标人机关及所属各基层</w:t>
      </w:r>
      <w:r>
        <w:rPr>
          <w:rFonts w:hint="eastAsia" w:ascii="宋体" w:hAnsi="宋体" w:eastAsia="宋体" w:cs="宋体"/>
          <w:b w:val="0"/>
          <w:i w:val="0"/>
          <w:strike w:val="0"/>
          <w:color w:val="auto"/>
          <w:sz w:val="24"/>
          <w:szCs w:val="24"/>
          <w:highlight w:val="none"/>
          <w:u w:val="none"/>
        </w:rPr>
        <w:t>单位网络安全防护体系，实时监测网络运行状态，精准识别并拦截各类安全隐患，防范网络病毒、恶意攻击、非法入侵等风险，保障网络环境纯净安全</w:t>
      </w:r>
      <w:r>
        <w:rPr>
          <w:rFonts w:hint="eastAsia" w:ascii="宋体" w:hAnsi="宋体" w:cs="宋体"/>
          <w:b w:val="0"/>
          <w:i w:val="0"/>
          <w:strike w:val="0"/>
          <w:color w:val="auto"/>
          <w:sz w:val="24"/>
          <w:szCs w:val="24"/>
          <w:highlight w:val="none"/>
          <w:u w:val="none"/>
          <w:lang w:eastAsia="zh-CN"/>
        </w:rPr>
        <w:t>；二是</w:t>
      </w:r>
      <w:r>
        <w:rPr>
          <w:rFonts w:hint="eastAsia" w:ascii="宋体" w:hAnsi="宋体" w:eastAsia="宋体" w:cs="宋体"/>
          <w:b w:val="0"/>
          <w:i w:val="0"/>
          <w:strike w:val="0"/>
          <w:color w:val="auto"/>
          <w:sz w:val="24"/>
          <w:szCs w:val="24"/>
          <w:highlight w:val="none"/>
          <w:u w:val="none"/>
        </w:rPr>
        <w:t>信息系统</w:t>
      </w:r>
      <w:r>
        <w:rPr>
          <w:rFonts w:hint="eastAsia" w:ascii="宋体" w:hAnsi="宋体" w:cs="宋体"/>
          <w:b w:val="0"/>
          <w:i w:val="0"/>
          <w:strike w:val="0"/>
          <w:color w:val="auto"/>
          <w:sz w:val="24"/>
          <w:szCs w:val="24"/>
          <w:highlight w:val="none"/>
          <w:u w:val="none"/>
          <w:lang w:eastAsia="zh-CN"/>
        </w:rPr>
        <w:t>安全</w:t>
      </w:r>
      <w:r>
        <w:rPr>
          <w:rFonts w:hint="eastAsia" w:ascii="宋体" w:hAnsi="宋体" w:eastAsia="宋体" w:cs="宋体"/>
          <w:b w:val="0"/>
          <w:i w:val="0"/>
          <w:strike w:val="0"/>
          <w:color w:val="auto"/>
          <w:sz w:val="24"/>
          <w:szCs w:val="24"/>
          <w:highlight w:val="none"/>
          <w:u w:val="none"/>
        </w:rPr>
        <w:t>运维上，对各类业务信息系统开展日常管理，包括运行监测、故障排查修复、系统升级优化，确保系统正常上线、稳定运行，避免因系统故障影响业务推进</w:t>
      </w:r>
      <w:r>
        <w:rPr>
          <w:rFonts w:hint="eastAsia" w:ascii="宋体" w:hAnsi="宋体" w:cs="宋体"/>
          <w:b w:val="0"/>
          <w:i w:val="0"/>
          <w:strike w:val="0"/>
          <w:color w:val="auto"/>
          <w:sz w:val="24"/>
          <w:szCs w:val="24"/>
          <w:highlight w:val="none"/>
          <w:u w:val="none"/>
          <w:lang w:eastAsia="zh-CN"/>
        </w:rPr>
        <w:t>；三是</w:t>
      </w:r>
      <w:r>
        <w:rPr>
          <w:rFonts w:hint="eastAsia" w:ascii="宋体" w:hAnsi="宋体" w:eastAsia="宋体" w:cs="宋体"/>
          <w:b w:val="0"/>
          <w:i w:val="0"/>
          <w:strike w:val="0"/>
          <w:color w:val="auto"/>
          <w:sz w:val="24"/>
          <w:szCs w:val="24"/>
          <w:highlight w:val="none"/>
          <w:u w:val="none"/>
        </w:rPr>
        <w:t>网络设备管控上，定期检查</w:t>
      </w:r>
      <w:r>
        <w:rPr>
          <w:rFonts w:hint="eastAsia" w:ascii="宋体" w:hAnsi="宋体" w:cs="宋体"/>
          <w:b w:val="0"/>
          <w:i w:val="0"/>
          <w:strike w:val="0"/>
          <w:color w:val="auto"/>
          <w:sz w:val="24"/>
          <w:szCs w:val="24"/>
          <w:highlight w:val="none"/>
          <w:u w:val="none"/>
          <w:lang w:eastAsia="zh-CN"/>
        </w:rPr>
        <w:t>招标人机关及所属各基层</w:t>
      </w:r>
      <w:r>
        <w:rPr>
          <w:rFonts w:hint="eastAsia" w:ascii="宋体" w:hAnsi="宋体" w:eastAsia="宋体" w:cs="宋体"/>
          <w:b w:val="0"/>
          <w:i w:val="0"/>
          <w:strike w:val="0"/>
          <w:color w:val="auto"/>
          <w:sz w:val="24"/>
          <w:szCs w:val="24"/>
          <w:highlight w:val="none"/>
          <w:u w:val="none"/>
        </w:rPr>
        <w:t>网络设备运行状况，及时处理设备故障，规范设备配置管理，保障设备高效运转</w:t>
      </w:r>
      <w:r>
        <w:rPr>
          <w:rFonts w:hint="eastAsia" w:ascii="宋体" w:hAnsi="宋体" w:cs="宋体"/>
          <w:b w:val="0"/>
          <w:i w:val="0"/>
          <w:strike w:val="0"/>
          <w:color w:val="auto"/>
          <w:sz w:val="24"/>
          <w:szCs w:val="24"/>
          <w:highlight w:val="none"/>
          <w:u w:val="none"/>
          <w:lang w:eastAsia="zh-CN"/>
        </w:rPr>
        <w:t>；四是</w:t>
      </w:r>
      <w:r>
        <w:rPr>
          <w:rFonts w:hint="eastAsia" w:ascii="宋体" w:hAnsi="宋体" w:eastAsia="宋体" w:cs="宋体"/>
          <w:b w:val="0"/>
          <w:i w:val="0"/>
          <w:strike w:val="0"/>
          <w:color w:val="auto"/>
          <w:sz w:val="24"/>
          <w:szCs w:val="24"/>
          <w:highlight w:val="none"/>
          <w:u w:val="none"/>
        </w:rPr>
        <w:t>办公终端保障上，管控所有办公终端安全，排查终端安全隐患，规范终端使用行为，防范终端带来的安全风险。</w:t>
      </w:r>
    </w:p>
    <w:p w14:paraId="67A509F7">
      <w:pPr>
        <w:pStyle w:val="17"/>
        <w:keepNext w:val="0"/>
        <w:keepLines w:val="0"/>
        <w:pageBreakBefore w:val="0"/>
        <w:widowControl/>
        <w:numPr>
          <w:ilvl w:val="0"/>
          <w:numId w:val="14"/>
        </w:numPr>
        <w:tabs>
          <w:tab w:val="left" w:pos="482"/>
        </w:tabs>
        <w:wordWrap/>
        <w:overflowPunct/>
        <w:topLinePunct/>
        <w:bidi w:val="0"/>
        <w:spacing w:line="560" w:lineRule="exact"/>
        <w:ind w:left="0" w:leftChars="0" w:firstLine="480" w:firstLineChars="200"/>
        <w:outlineLvl w:val="9"/>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日常运维工作需严格遵循规范流程，确保各项工作落地见效。定期开展网络安全巡检，建立完善巡检台账，详细记录巡检时间、范围、发现问题及处理结果，做到闭环管理。常态化开展安全漏洞排查，对网络设备、信息系统、办公终端进行全面扫描，精准定位漏洞后，制定科学修复方案，明确整改时限，及时完成修复，降低漏洞带来的安全隐患。同时，做好病毒防护系统的日常管控，定期更新病毒库，常态化开展终端病毒查杀，严防病毒扩散传播。负责核心数据安全管理，落实数据加密保护措施，制定完善的数据备份方案，定期开展备份演练，确保突发情况下数据可快速恢复，保障数据完整性和安全性。</w:t>
      </w:r>
    </w:p>
    <w:p w14:paraId="32D1FDDD">
      <w:pPr>
        <w:pStyle w:val="17"/>
        <w:keepNext w:val="0"/>
        <w:keepLines w:val="0"/>
        <w:pageBreakBefore w:val="0"/>
        <w:widowControl/>
        <w:numPr>
          <w:ilvl w:val="0"/>
          <w:numId w:val="14"/>
        </w:numPr>
        <w:tabs>
          <w:tab w:val="left" w:pos="482"/>
        </w:tabs>
        <w:wordWrap/>
        <w:overflowPunct/>
        <w:topLinePunct/>
        <w:bidi w:val="0"/>
        <w:spacing w:line="560" w:lineRule="exact"/>
        <w:ind w:left="0" w:leftChars="0" w:firstLine="480" w:firstLineChars="200"/>
        <w:outlineLvl w:val="9"/>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snapToGrid w:val="0"/>
          <w:color w:val="auto"/>
          <w:sz w:val="24"/>
          <w:szCs w:val="24"/>
          <w:highlight w:val="none"/>
          <w:lang w:val="en-US" w:eastAsia="zh-CN" w:bidi="ar-SA"/>
        </w:rPr>
        <w:t>驻场工程师工作时间与甲方保持一致</w:t>
      </w:r>
      <w:r>
        <w:rPr>
          <w:rFonts w:hint="eastAsia" w:ascii="宋体" w:hAnsi="宋体" w:eastAsia="宋体" w:cs="宋体"/>
          <w:b w:val="0"/>
          <w:i w:val="0"/>
          <w:strike w:val="0"/>
          <w:color w:val="auto"/>
          <w:sz w:val="24"/>
          <w:szCs w:val="24"/>
          <w:highlight w:val="none"/>
          <w:u w:val="none"/>
        </w:rPr>
        <w:t>，</w:t>
      </w:r>
      <w:r>
        <w:rPr>
          <w:rFonts w:hint="eastAsia" w:ascii="宋体" w:hAnsi="宋体" w:cs="宋体"/>
          <w:b w:val="0"/>
          <w:i w:val="0"/>
          <w:strike w:val="0"/>
          <w:color w:val="auto"/>
          <w:sz w:val="24"/>
          <w:szCs w:val="24"/>
          <w:highlight w:val="none"/>
          <w:u w:val="none"/>
          <w:lang w:eastAsia="zh-CN"/>
        </w:rPr>
        <w:t>协助招标人</w:t>
      </w:r>
      <w:r>
        <w:rPr>
          <w:rFonts w:hint="eastAsia" w:ascii="宋体" w:hAnsi="宋体" w:eastAsia="宋体" w:cs="宋体"/>
          <w:b w:val="0"/>
          <w:i w:val="0"/>
          <w:strike w:val="0"/>
          <w:color w:val="auto"/>
          <w:sz w:val="24"/>
          <w:szCs w:val="24"/>
          <w:highlight w:val="none"/>
          <w:u w:val="none"/>
        </w:rPr>
        <w:t>建立健全应急处置机制。接到网络攻击、系统崩溃、数据泄露等突发事件后，需第一时间响应，快速启动应急处置流程，采取有效措施遏制风险扩大，最大限度降低安全事件对单位业务的影响，事后及时整理应急处置报告，总结经验教训，优化应急处置方案。此外，承担各类会务</w:t>
      </w:r>
      <w:r>
        <w:rPr>
          <w:rFonts w:hint="eastAsia" w:ascii="宋体" w:hAnsi="宋体" w:cs="宋体"/>
          <w:b w:val="0"/>
          <w:i w:val="0"/>
          <w:strike w:val="0"/>
          <w:color w:val="auto"/>
          <w:sz w:val="24"/>
          <w:szCs w:val="24"/>
          <w:highlight w:val="none"/>
          <w:u w:val="none"/>
          <w:lang w:eastAsia="zh-CN"/>
        </w:rPr>
        <w:t>、节假日、攻防演练等场景下的</w:t>
      </w:r>
      <w:r>
        <w:rPr>
          <w:rFonts w:hint="eastAsia" w:ascii="宋体" w:hAnsi="宋体" w:eastAsia="宋体" w:cs="宋体"/>
          <w:b w:val="0"/>
          <w:i w:val="0"/>
          <w:strike w:val="0"/>
          <w:color w:val="auto"/>
          <w:sz w:val="24"/>
          <w:szCs w:val="24"/>
          <w:highlight w:val="none"/>
          <w:u w:val="none"/>
        </w:rPr>
        <w:t>网络安全保障工作，</w:t>
      </w:r>
      <w:r>
        <w:rPr>
          <w:rFonts w:hint="eastAsia" w:ascii="宋体" w:hAnsi="宋体" w:cs="宋体"/>
          <w:b w:val="0"/>
          <w:i w:val="0"/>
          <w:strike w:val="0"/>
          <w:color w:val="auto"/>
          <w:sz w:val="24"/>
          <w:szCs w:val="24"/>
          <w:highlight w:val="none"/>
          <w:u w:val="none"/>
          <w:lang w:eastAsia="zh-CN"/>
        </w:rPr>
        <w:t>期间</w:t>
      </w:r>
      <w:r>
        <w:rPr>
          <w:rFonts w:hint="eastAsia" w:ascii="宋体" w:hAnsi="宋体" w:eastAsia="宋体" w:cs="宋体"/>
          <w:b w:val="0"/>
          <w:i w:val="0"/>
          <w:strike w:val="0"/>
          <w:color w:val="auto"/>
          <w:sz w:val="24"/>
          <w:szCs w:val="24"/>
          <w:highlight w:val="none"/>
          <w:u w:val="none"/>
        </w:rPr>
        <w:t>对网络进行全面调试、安全检测，彻底排查安全隐患；期间全程在岗值守，实时监测网络状态，及时处理网络异常，保障网络通畅稳定，防范数据泄露、网络中断等问题。</w:t>
      </w:r>
    </w:p>
    <w:p w14:paraId="6BAF0F89">
      <w:pPr>
        <w:pStyle w:val="17"/>
        <w:keepNext w:val="0"/>
        <w:keepLines w:val="0"/>
        <w:pageBreakBefore w:val="0"/>
        <w:widowControl/>
        <w:numPr>
          <w:ilvl w:val="0"/>
          <w:numId w:val="14"/>
        </w:numPr>
        <w:tabs>
          <w:tab w:val="left" w:pos="482"/>
        </w:tabs>
        <w:wordWrap/>
        <w:overflowPunct/>
        <w:topLinePunct/>
        <w:bidi w:val="0"/>
        <w:spacing w:line="560" w:lineRule="exact"/>
        <w:ind w:left="0" w:leftChars="0" w:firstLine="480" w:firstLineChars="200"/>
        <w:outlineLvl w:val="9"/>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驻场人员需严格履行岗位职责，规范开展各项运维工作，每月按时提交网络安全运维报告，详细说明本月运维工作开展情况、网络运行状态、安全风险排查结果、问题整改情况及下一步运维计划，主动接受招标人的监督与考核。同时，加强自身专业能力提升，及时学习最新网络安全技术、相关法律法规及行业规范，不断提升网络安全防护、应急处置及运维管理能力，切实做好单位网络安全驻场运维各项工作，确保单位网络、信息系统及各项业务安全正常运转，全力守护单位网络安全。</w:t>
      </w:r>
    </w:p>
    <w:p w14:paraId="62EDB8A9">
      <w:pPr>
        <w:keepLines w:val="0"/>
        <w:pageBreakBefore w:val="0"/>
        <w:numPr>
          <w:ilvl w:val="0"/>
          <w:numId w:val="0"/>
        </w:numPr>
        <w:tabs>
          <w:tab w:val="left" w:pos="1204"/>
        </w:tabs>
        <w:wordWrap/>
        <w:overflowPunct/>
        <w:topLinePunct/>
        <w:bidi w:val="0"/>
        <w:ind w:leftChars="0"/>
        <w:outlineLvl w:val="9"/>
        <w:rPr>
          <w:rFonts w:hint="eastAsia" w:ascii="宋体" w:hAnsi="宋体" w:cs="宋体"/>
          <w:color w:val="auto"/>
          <w:highlight w:val="none"/>
          <w:lang w:val="en-US" w:eastAsia="zh-CN"/>
        </w:rPr>
      </w:pPr>
    </w:p>
    <w:bookmarkEnd w:id="54"/>
    <w:p w14:paraId="70AABFC6">
      <w:pPr>
        <w:pStyle w:val="21"/>
        <w:spacing w:line="276" w:lineRule="auto"/>
        <w:rPr>
          <w:rFonts w:hint="eastAsia" w:ascii="宋体" w:hAnsi="宋体" w:eastAsia="宋体" w:cs="宋体"/>
          <w:color w:val="auto"/>
          <w:sz w:val="24"/>
          <w:szCs w:val="24"/>
          <w:highlight w:val="none"/>
        </w:rPr>
      </w:pPr>
    </w:p>
    <w:p w14:paraId="57BFDDD0">
      <w:pPr>
        <w:pStyle w:val="21"/>
        <w:spacing w:line="276" w:lineRule="auto"/>
        <w:rPr>
          <w:rFonts w:hint="eastAsia" w:ascii="宋体" w:hAnsi="宋体" w:eastAsia="宋体" w:cs="宋体"/>
          <w:b/>
          <w:bCs/>
          <w:snapToGrid/>
          <w:color w:val="auto"/>
          <w:spacing w:val="0"/>
          <w:sz w:val="24"/>
          <w:szCs w:val="24"/>
          <w:highlight w:val="none"/>
        </w:rPr>
      </w:pPr>
    </w:p>
    <w:p w14:paraId="2C8E5B6A">
      <w:pPr>
        <w:pStyle w:val="22"/>
        <w:spacing w:line="276" w:lineRule="auto"/>
        <w:rPr>
          <w:rFonts w:hint="eastAsia" w:ascii="宋体" w:hAnsi="宋体" w:cs="宋体"/>
          <w:color w:val="auto"/>
          <w:highlight w:val="none"/>
        </w:rPr>
      </w:pPr>
    </w:p>
    <w:p w14:paraId="3D9F9F08">
      <w:pPr>
        <w:spacing w:line="276" w:lineRule="auto"/>
        <w:rPr>
          <w:rFonts w:hint="eastAsia" w:ascii="宋体" w:hAnsi="宋体" w:cs="宋体"/>
          <w:color w:val="auto"/>
          <w:highlight w:val="none"/>
        </w:rPr>
      </w:pPr>
    </w:p>
    <w:p w14:paraId="7C2E777B">
      <w:pPr>
        <w:spacing w:line="276" w:lineRule="auto"/>
        <w:rPr>
          <w:rFonts w:hint="eastAsia" w:ascii="宋体" w:hAnsi="宋体" w:cs="宋体"/>
          <w:color w:val="auto"/>
          <w:highlight w:val="none"/>
        </w:rPr>
      </w:pPr>
    </w:p>
    <w:p w14:paraId="0F6684E9">
      <w:pPr>
        <w:spacing w:line="276" w:lineRule="auto"/>
        <w:rPr>
          <w:rFonts w:hint="eastAsia" w:ascii="宋体" w:hAnsi="宋体" w:cs="宋体"/>
          <w:color w:val="auto"/>
          <w:highlight w:val="none"/>
        </w:rPr>
      </w:pPr>
    </w:p>
    <w:p w14:paraId="09E9A50D">
      <w:pPr>
        <w:pStyle w:val="21"/>
        <w:spacing w:line="276" w:lineRule="auto"/>
        <w:rPr>
          <w:rFonts w:hint="eastAsia" w:hAnsi="宋体" w:cs="宋体"/>
          <w:color w:val="auto"/>
          <w:highlight w:val="none"/>
        </w:rPr>
      </w:pPr>
    </w:p>
    <w:bookmarkEnd w:id="53"/>
    <w:p w14:paraId="40DCBB49">
      <w:pPr>
        <w:pStyle w:val="3"/>
        <w:spacing w:line="276" w:lineRule="auto"/>
        <w:rPr>
          <w:rFonts w:hint="eastAsia" w:cs="宋体"/>
          <w:color w:val="auto"/>
          <w:highlight w:val="none"/>
        </w:rPr>
      </w:pPr>
      <w:bookmarkStart w:id="59" w:name="_Toc505079093"/>
      <w:bookmarkStart w:id="60" w:name="_Toc83726739"/>
      <w:r>
        <w:rPr>
          <w:rFonts w:hint="eastAsia" w:cs="宋体"/>
          <w:color w:val="auto"/>
          <w:highlight w:val="none"/>
        </w:rPr>
        <w:br w:type="page"/>
      </w:r>
    </w:p>
    <w:p w14:paraId="3880C1B3">
      <w:pPr>
        <w:pStyle w:val="3"/>
        <w:spacing w:line="276" w:lineRule="auto"/>
        <w:rPr>
          <w:rFonts w:hint="eastAsia" w:cs="宋体"/>
          <w:color w:val="auto"/>
          <w:highlight w:val="none"/>
        </w:rPr>
      </w:pPr>
      <w:r>
        <w:rPr>
          <w:rFonts w:hint="eastAsia" w:cs="宋体"/>
          <w:color w:val="auto"/>
          <w:highlight w:val="none"/>
        </w:rPr>
        <w:t>第四部分  合同</w:t>
      </w:r>
      <w:bookmarkEnd w:id="59"/>
      <w:r>
        <w:rPr>
          <w:rFonts w:hint="eastAsia" w:cs="宋体"/>
          <w:color w:val="auto"/>
          <w:highlight w:val="none"/>
        </w:rPr>
        <w:t>一般条款（仅供参考）</w:t>
      </w:r>
      <w:bookmarkEnd w:id="60"/>
    </w:p>
    <w:p w14:paraId="7EB77E54">
      <w:pPr>
        <w:pStyle w:val="17"/>
        <w:widowControl/>
        <w:spacing w:line="240" w:lineRule="auto"/>
        <w:ind w:left="0" w:leftChars="0" w:firstLine="480" w:firstLineChars="200"/>
        <w:rPr>
          <w:rFonts w:hint="eastAsia" w:ascii="宋体" w:hAnsi="宋体" w:eastAsia="宋体" w:cs="宋体"/>
          <w:color w:val="auto"/>
          <w:sz w:val="24"/>
          <w:szCs w:val="24"/>
          <w:highlight w:val="none"/>
        </w:rPr>
      </w:pPr>
      <w:bookmarkStart w:id="61" w:name="_Toc349637943"/>
      <w:bookmarkStart w:id="62" w:name="_Toc298240429"/>
      <w:bookmarkStart w:id="63" w:name="_Toc349573144"/>
      <w:bookmarkStart w:id="64" w:name="_Toc507690272"/>
      <w:r>
        <w:rPr>
          <w:rFonts w:hint="eastAsia" w:ascii="宋体" w:hAnsi="宋体" w:eastAsia="宋体" w:cs="宋体"/>
          <w:color w:val="auto"/>
          <w:sz w:val="24"/>
          <w:szCs w:val="24"/>
          <w:highlight w:val="none"/>
        </w:rPr>
        <w:t>本合同系甲方委托乙方就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进行的专项技术服务，并支付相应的技术服务报酬一事，双方经过平等协商，在真实、充分地表达各自意愿的基础上，根据《中华人民共和国民法典》的规定，达成如下协议，并由双方共同恪守。</w:t>
      </w:r>
    </w:p>
    <w:p w14:paraId="6A13E942">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甲方委托乙方进行技术服务的内容如下：</w:t>
      </w:r>
    </w:p>
    <w:p w14:paraId="14953729">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技术服务的内容：</w:t>
      </w:r>
    </w:p>
    <w:p w14:paraId="1E1FA5B9">
      <w:pPr>
        <w:pStyle w:val="17"/>
        <w:widowControl/>
        <w:numPr>
          <w:ilvl w:val="-1"/>
          <w:numId w:val="0"/>
        </w:numPr>
        <w:tabs>
          <w:tab w:val="left" w:pos="1080"/>
        </w:tabs>
        <w:topLinePunct w:val="0"/>
        <w:spacing w:line="240" w:lineRule="auto"/>
        <w:ind w:left="420" w:leftChars="200" w:firstLine="0"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（一）</w:t>
      </w:r>
      <w:r>
        <w:rPr>
          <w:rFonts w:hint="eastAsia" w:ascii="宋体" w:hAnsi="宋体" w:eastAsia="宋体" w:cs="宋体"/>
          <w:b/>
          <w:color w:val="auto"/>
          <w:sz w:val="24"/>
          <w:szCs w:val="24"/>
          <w:highlight w:val="none"/>
        </w:rPr>
        <w:t>渗透测试服务（每月一次）</w:t>
      </w:r>
    </w:p>
    <w:p w14:paraId="7C6025CC">
      <w:pPr>
        <w:pStyle w:val="17"/>
        <w:numPr>
          <w:ilvl w:val="0"/>
          <w:numId w:val="1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服务目标</w:t>
      </w:r>
    </w:p>
    <w:p w14:paraId="1E55A44B">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通过渗透测试，及时发现WEB应用、C/S架构应用系统</w:t>
      </w:r>
      <w:r>
        <w:rPr>
          <w:rFonts w:hint="eastAsia" w:ascii="宋体" w:hAnsi="宋体" w:cs="宋体"/>
          <w:b w:val="0"/>
          <w:color w:val="auto"/>
          <w:sz w:val="24"/>
          <w:szCs w:val="24"/>
          <w:highlight w:val="none"/>
          <w:lang w:eastAsia="zh-CN"/>
        </w:rPr>
        <w:t>及移动端应用（</w:t>
      </w:r>
      <w:r>
        <w:rPr>
          <w:rFonts w:hint="eastAsia" w:ascii="宋体" w:hAnsi="宋体" w:cs="宋体"/>
          <w:b w:val="0"/>
          <w:color w:val="auto"/>
          <w:sz w:val="24"/>
          <w:szCs w:val="24"/>
          <w:highlight w:val="none"/>
          <w:lang w:val="en-US" w:eastAsia="zh-CN"/>
        </w:rPr>
        <w:t>APP</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存在的代码和配置缺陷，并提出安全整改和加固建议，协助进行安全整改，提高系统自身安全防护能力。</w:t>
      </w:r>
    </w:p>
    <w:p w14:paraId="7CD85033">
      <w:pPr>
        <w:pStyle w:val="17"/>
        <w:numPr>
          <w:ilvl w:val="0"/>
          <w:numId w:val="1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服务范围</w:t>
      </w:r>
    </w:p>
    <w:p w14:paraId="32D25ACE">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本项工作主要针对在线运行和新上线运行WEB应用</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C/S架构应用系统</w:t>
      </w:r>
      <w:r>
        <w:rPr>
          <w:rFonts w:hint="eastAsia" w:ascii="宋体" w:hAnsi="宋体" w:cs="宋体"/>
          <w:b w:val="0"/>
          <w:color w:val="auto"/>
          <w:sz w:val="24"/>
          <w:szCs w:val="24"/>
          <w:highlight w:val="none"/>
          <w:lang w:eastAsia="zh-CN"/>
        </w:rPr>
        <w:t>及移动端应用（</w:t>
      </w:r>
      <w:r>
        <w:rPr>
          <w:rFonts w:hint="eastAsia" w:ascii="宋体" w:hAnsi="宋体" w:cs="宋体"/>
          <w:b w:val="0"/>
          <w:color w:val="auto"/>
          <w:sz w:val="24"/>
          <w:szCs w:val="24"/>
          <w:highlight w:val="none"/>
          <w:lang w:val="en-US" w:eastAsia="zh-CN"/>
        </w:rPr>
        <w:t>APP</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w:t>
      </w:r>
    </w:p>
    <w:p w14:paraId="0990856C">
      <w:pPr>
        <w:pStyle w:val="17"/>
        <w:numPr>
          <w:ilvl w:val="0"/>
          <w:numId w:val="1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服务内容</w:t>
      </w:r>
    </w:p>
    <w:p w14:paraId="348B3C7C">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渗透测试作为检验目标系统安全性最有效的服务，通过服务人员采用智能工具扫描与人工测试、分析的手段，以模拟黑客入侵的方式对服务目标系统进行模拟入侵测试，识别服务目标存在的安全风险。</w:t>
      </w:r>
    </w:p>
    <w:p w14:paraId="3F8E4B35">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渗透性测试是工具扫描和人工评估的重要补充。工具扫描具有很好的效率和速度，但是存在一定的误报率，不能发现高层次、复杂的安全问题；渗透测试需要投入的人力资源较大、对测试者的专业技能要求很高（渗透测试报告的价值直接依赖于测试者的专业技能），但是非常准确，可以发现逻辑性更强、更深层次的弱点。</w:t>
      </w:r>
    </w:p>
    <w:p w14:paraId="0C389BB5">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渗透测试内容至少包括：信息收集类、配置管理类（HTTP方法测试、应用中间件测试、信息泄露、异常错误等）、认证类（用户枚举、密码猜解、密码重置、密码策略测试等）、会话类（cookie测试、session会话测试等）、授权类（越权访问、路径遍历、任意文件下载、逻辑缺陷测试等）、数据验证类（SQL注入、跨站脚本、代码注入、URL跳转、文件上传测试等、输入输出校验绕过、数据篡改）、系统应用漏洞（溢出、0day漏洞等）。</w:t>
      </w:r>
    </w:p>
    <w:p w14:paraId="551A9810">
      <w:pPr>
        <w:pStyle w:val="17"/>
        <w:numPr>
          <w:ilvl w:val="0"/>
          <w:numId w:val="1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服务交付</w:t>
      </w:r>
    </w:p>
    <w:p w14:paraId="665D8ACA">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本项工作须提供漏洞过程管理追踪平台，将渗透测试服务过程和成果可视化，实时跟踪漏洞状态，实现漏洞全生命周期管理，全方位分析和展示企业系统安全状况。针对该要求须提供服务承诺函。</w:t>
      </w:r>
    </w:p>
    <w:p w14:paraId="79B94F6B">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于此同时提供如下文档（包括但不限于）进行线下备案：</w:t>
      </w:r>
    </w:p>
    <w:p w14:paraId="4C143AE7">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《XX系统渗透测试报告》</w:t>
      </w:r>
    </w:p>
    <w:p w14:paraId="758966CE">
      <w:pPr>
        <w:pStyle w:val="17"/>
        <w:widowControl/>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配合招标人完成其他相关文档</w:t>
      </w:r>
    </w:p>
    <w:p w14:paraId="4662BB02">
      <w:pPr>
        <w:pStyle w:val="17"/>
        <w:numPr>
          <w:ilvl w:val="0"/>
          <w:numId w:val="17"/>
        </w:numPr>
        <w:tabs>
          <w:tab w:val="left" w:pos="1204"/>
        </w:tabs>
        <w:topLinePunct w:val="0"/>
        <w:spacing w:line="240" w:lineRule="auto"/>
        <w:ind w:left="420" w:leftChars="200" w:firstLine="0"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驻场运维</w:t>
      </w:r>
      <w:r>
        <w:rPr>
          <w:rFonts w:hint="eastAsia" w:ascii="宋体" w:hAnsi="宋体" w:eastAsia="宋体" w:cs="宋体"/>
          <w:b/>
          <w:color w:val="auto"/>
          <w:sz w:val="24"/>
          <w:szCs w:val="24"/>
          <w:highlight w:val="none"/>
        </w:rPr>
        <w:t>服务</w:t>
      </w:r>
    </w:p>
    <w:p w14:paraId="3C0121A1">
      <w:pPr>
        <w:pStyle w:val="17"/>
        <w:numPr>
          <w:ilvl w:val="-1"/>
          <w:numId w:val="0"/>
        </w:numPr>
        <w:tabs>
          <w:tab w:val="left" w:pos="1204"/>
        </w:tabs>
        <w:topLinePunct w:val="0"/>
        <w:spacing w:line="240" w:lineRule="auto"/>
        <w:ind w:left="420" w:leftChars="200" w:firstLine="0" w:firstLineChars="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lang w:eastAsia="zh-CN"/>
        </w:rPr>
        <w:t>驻场网络安全服务主要内容</w:t>
      </w:r>
    </w:p>
    <w:tbl>
      <w:tblPr>
        <w:tblStyle w:val="123"/>
        <w:tblpPr w:leftFromText="180" w:rightFromText="180" w:vertAnchor="text" w:horzAnchor="page" w:tblpX="773" w:tblpY="540"/>
        <w:tblOverlap w:val="never"/>
        <w:tblW w:w="10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839"/>
        <w:gridCol w:w="792"/>
        <w:gridCol w:w="5639"/>
        <w:gridCol w:w="1290"/>
        <w:gridCol w:w="855"/>
      </w:tblGrid>
      <w:tr w14:paraId="4C32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854" w:type="dxa"/>
            <w:shd w:val="clear" w:color="auto" w:fill="auto"/>
            <w:vAlign w:val="top"/>
          </w:tcPr>
          <w:p w14:paraId="79F0F11B">
            <w:pPr>
              <w:spacing w:before="53" w:line="240" w:lineRule="auto"/>
              <w:ind w:left="112" w:right="106" w:firstLine="3"/>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eastAsia="zh-CN"/>
              </w:rPr>
              <w:t>序</w:t>
            </w:r>
            <w:r>
              <w:rPr>
                <w:rFonts w:hint="eastAsia" w:ascii="宋体" w:hAnsi="宋体" w:eastAsia="宋体" w:cs="宋体"/>
                <w:color w:val="auto"/>
                <w:spacing w:val="12"/>
                <w:sz w:val="24"/>
                <w:szCs w:val="24"/>
                <w:highlight w:val="none"/>
              </w:rPr>
              <w:t>号</w:t>
            </w:r>
          </w:p>
        </w:tc>
        <w:tc>
          <w:tcPr>
            <w:tcW w:w="839" w:type="dxa"/>
            <w:shd w:val="clear" w:color="auto" w:fill="auto"/>
            <w:vAlign w:val="top"/>
          </w:tcPr>
          <w:p w14:paraId="71FA447D">
            <w:pPr>
              <w:spacing w:before="53" w:line="240" w:lineRule="auto"/>
              <w:ind w:left="112" w:right="106" w:firstLine="3"/>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服务类别</w:t>
            </w:r>
          </w:p>
        </w:tc>
        <w:tc>
          <w:tcPr>
            <w:tcW w:w="792" w:type="dxa"/>
            <w:shd w:val="clear" w:color="auto" w:fill="auto"/>
            <w:vAlign w:val="top"/>
          </w:tcPr>
          <w:p w14:paraId="16F13A9A">
            <w:pPr>
              <w:spacing w:before="53" w:line="240" w:lineRule="auto"/>
              <w:ind w:left="112" w:right="106" w:firstLine="3"/>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服务名称</w:t>
            </w:r>
          </w:p>
        </w:tc>
        <w:tc>
          <w:tcPr>
            <w:tcW w:w="5639" w:type="dxa"/>
            <w:shd w:val="clear" w:color="auto" w:fill="auto"/>
            <w:vAlign w:val="top"/>
          </w:tcPr>
          <w:p w14:paraId="0082F67B">
            <w:pPr>
              <w:spacing w:before="53" w:line="240" w:lineRule="auto"/>
              <w:ind w:left="112" w:right="106" w:firstLine="3"/>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服务内容</w:t>
            </w:r>
          </w:p>
        </w:tc>
        <w:tc>
          <w:tcPr>
            <w:tcW w:w="1290" w:type="dxa"/>
            <w:shd w:val="clear" w:color="auto" w:fill="auto"/>
            <w:vAlign w:val="top"/>
          </w:tcPr>
          <w:p w14:paraId="50014628">
            <w:pPr>
              <w:spacing w:before="53" w:line="240" w:lineRule="auto"/>
              <w:ind w:left="112" w:right="106" w:firstLine="3"/>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提供资料</w:t>
            </w:r>
          </w:p>
        </w:tc>
        <w:tc>
          <w:tcPr>
            <w:tcW w:w="855" w:type="dxa"/>
            <w:shd w:val="clear" w:color="auto" w:fill="auto"/>
            <w:vAlign w:val="top"/>
          </w:tcPr>
          <w:p w14:paraId="7F3864EF">
            <w:pPr>
              <w:spacing w:before="53" w:line="240" w:lineRule="auto"/>
              <w:ind w:left="112" w:right="106" w:firstLine="3"/>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备注</w:t>
            </w:r>
          </w:p>
        </w:tc>
      </w:tr>
      <w:tr w14:paraId="592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854" w:type="dxa"/>
            <w:vMerge w:val="restart"/>
            <w:vAlign w:val="center"/>
          </w:tcPr>
          <w:p w14:paraId="614BC370">
            <w:pPr>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39" w:type="dxa"/>
            <w:vMerge w:val="restart"/>
            <w:vAlign w:val="center"/>
          </w:tcPr>
          <w:p w14:paraId="2684BFE4">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安全运行维护</w:t>
            </w:r>
          </w:p>
        </w:tc>
        <w:tc>
          <w:tcPr>
            <w:tcW w:w="792" w:type="dxa"/>
            <w:vMerge w:val="restart"/>
            <w:vAlign w:val="center"/>
          </w:tcPr>
          <w:p w14:paraId="39345181">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安全运行维护</w:t>
            </w:r>
          </w:p>
        </w:tc>
        <w:tc>
          <w:tcPr>
            <w:tcW w:w="5639" w:type="dxa"/>
            <w:vAlign w:val="center"/>
          </w:tcPr>
          <w:p w14:paraId="7FDCE542">
            <w:pPr>
              <w:spacing w:before="53" w:line="240" w:lineRule="auto"/>
              <w:ind w:left="112" w:right="106" w:firstLine="3"/>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突</w:t>
            </w:r>
            <w:r>
              <w:rPr>
                <w:rFonts w:hint="eastAsia" w:ascii="宋体" w:hAnsi="宋体" w:eastAsia="宋体" w:cs="宋体"/>
                <w:color w:val="auto"/>
                <w:spacing w:val="7"/>
                <w:sz w:val="24"/>
                <w:szCs w:val="24"/>
                <w:highlight w:val="none"/>
              </w:rPr>
              <w:t>发安全漏洞事件在厂商发布漏洞补丁包后两天</w:t>
            </w:r>
            <w:r>
              <w:rPr>
                <w:rFonts w:hint="eastAsia" w:ascii="宋体" w:hAnsi="宋体" w:eastAsia="宋体" w:cs="宋体"/>
                <w:color w:val="auto"/>
                <w:spacing w:val="24"/>
                <w:sz w:val="24"/>
                <w:szCs w:val="24"/>
                <w:highlight w:val="none"/>
              </w:rPr>
              <w:t>内</w:t>
            </w:r>
            <w:r>
              <w:rPr>
                <w:rFonts w:hint="eastAsia" w:ascii="宋体" w:hAnsi="宋体" w:eastAsia="宋体" w:cs="宋体"/>
                <w:color w:val="auto"/>
                <w:spacing w:val="16"/>
                <w:sz w:val="24"/>
                <w:szCs w:val="24"/>
                <w:highlight w:val="none"/>
              </w:rPr>
              <w:t>协</w:t>
            </w:r>
            <w:r>
              <w:rPr>
                <w:rFonts w:hint="eastAsia" w:ascii="宋体" w:hAnsi="宋体" w:eastAsia="宋体" w:cs="宋体"/>
                <w:color w:val="auto"/>
                <w:spacing w:val="12"/>
                <w:sz w:val="24"/>
                <w:szCs w:val="24"/>
                <w:highlight w:val="none"/>
              </w:rPr>
              <w:t>调厂商完成升级工作；未发布升级包前，需配</w:t>
            </w:r>
            <w:r>
              <w:rPr>
                <w:rFonts w:hint="eastAsia" w:ascii="宋体" w:hAnsi="宋体" w:eastAsia="宋体" w:cs="宋体"/>
                <w:color w:val="auto"/>
                <w:spacing w:val="24"/>
                <w:sz w:val="24"/>
                <w:szCs w:val="24"/>
                <w:highlight w:val="none"/>
              </w:rPr>
              <w:t>合</w:t>
            </w:r>
            <w:r>
              <w:rPr>
                <w:rFonts w:hint="eastAsia" w:ascii="宋体" w:hAnsi="宋体" w:eastAsia="宋体" w:cs="宋体"/>
                <w:color w:val="auto"/>
                <w:spacing w:val="16"/>
                <w:sz w:val="24"/>
                <w:szCs w:val="24"/>
                <w:highlight w:val="none"/>
              </w:rPr>
              <w:t>厂</w:t>
            </w:r>
            <w:r>
              <w:rPr>
                <w:rFonts w:hint="eastAsia" w:ascii="宋体" w:hAnsi="宋体" w:eastAsia="宋体" w:cs="宋体"/>
                <w:color w:val="auto"/>
                <w:spacing w:val="12"/>
                <w:sz w:val="24"/>
                <w:szCs w:val="24"/>
                <w:highlight w:val="none"/>
              </w:rPr>
              <w:t>商人员做好安全加固和监控工作，详细记录升</w:t>
            </w:r>
            <w:r>
              <w:rPr>
                <w:rFonts w:hint="eastAsia" w:ascii="宋体" w:hAnsi="宋体" w:eastAsia="宋体" w:cs="宋体"/>
                <w:color w:val="auto"/>
                <w:spacing w:val="16"/>
                <w:sz w:val="24"/>
                <w:szCs w:val="24"/>
                <w:highlight w:val="none"/>
              </w:rPr>
              <w:t>级</w:t>
            </w:r>
            <w:r>
              <w:rPr>
                <w:rFonts w:hint="eastAsia" w:ascii="宋体" w:hAnsi="宋体" w:eastAsia="宋体" w:cs="宋体"/>
                <w:color w:val="auto"/>
                <w:spacing w:val="8"/>
                <w:sz w:val="24"/>
                <w:szCs w:val="24"/>
                <w:highlight w:val="none"/>
              </w:rPr>
              <w:t>信息和升级过程中出现的问题</w:t>
            </w:r>
          </w:p>
        </w:tc>
        <w:tc>
          <w:tcPr>
            <w:tcW w:w="1290" w:type="dxa"/>
            <w:vMerge w:val="restart"/>
            <w:vAlign w:val="center"/>
          </w:tcPr>
          <w:p w14:paraId="4A627267">
            <w:pPr>
              <w:spacing w:line="240" w:lineRule="auto"/>
              <w:jc w:val="both"/>
              <w:rPr>
                <w:rFonts w:hint="eastAsia" w:ascii="宋体" w:hAnsi="宋体" w:eastAsia="宋体" w:cs="宋体"/>
                <w:color w:val="auto"/>
                <w:sz w:val="24"/>
                <w:szCs w:val="24"/>
                <w:highlight w:val="none"/>
              </w:rPr>
            </w:pPr>
          </w:p>
        </w:tc>
        <w:tc>
          <w:tcPr>
            <w:tcW w:w="855" w:type="dxa"/>
            <w:vMerge w:val="restart"/>
            <w:vAlign w:val="center"/>
          </w:tcPr>
          <w:p w14:paraId="02B1BD3A">
            <w:pPr>
              <w:spacing w:line="240" w:lineRule="auto"/>
              <w:jc w:val="both"/>
              <w:rPr>
                <w:rFonts w:hint="eastAsia" w:ascii="宋体" w:hAnsi="宋体" w:eastAsia="宋体" w:cs="宋体"/>
                <w:color w:val="auto"/>
                <w:sz w:val="24"/>
                <w:szCs w:val="24"/>
                <w:highlight w:val="none"/>
              </w:rPr>
            </w:pPr>
          </w:p>
        </w:tc>
      </w:tr>
      <w:tr w14:paraId="31D9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854" w:type="dxa"/>
            <w:vMerge w:val="continue"/>
            <w:vAlign w:val="center"/>
          </w:tcPr>
          <w:p w14:paraId="72BD7B3F">
            <w:pPr>
              <w:spacing w:line="240" w:lineRule="auto"/>
              <w:jc w:val="both"/>
              <w:rPr>
                <w:rFonts w:hint="eastAsia" w:ascii="宋体" w:hAnsi="宋体" w:eastAsia="宋体" w:cs="宋体"/>
                <w:color w:val="auto"/>
                <w:sz w:val="24"/>
                <w:szCs w:val="24"/>
                <w:highlight w:val="none"/>
              </w:rPr>
            </w:pPr>
          </w:p>
        </w:tc>
        <w:tc>
          <w:tcPr>
            <w:tcW w:w="839" w:type="dxa"/>
            <w:vMerge w:val="continue"/>
            <w:vAlign w:val="center"/>
          </w:tcPr>
          <w:p w14:paraId="79CC8202">
            <w:pPr>
              <w:spacing w:line="240" w:lineRule="auto"/>
              <w:jc w:val="center"/>
              <w:rPr>
                <w:rFonts w:hint="eastAsia" w:ascii="宋体" w:hAnsi="宋体" w:eastAsia="宋体" w:cs="宋体"/>
                <w:color w:val="auto"/>
                <w:sz w:val="24"/>
                <w:szCs w:val="24"/>
                <w:highlight w:val="none"/>
              </w:rPr>
            </w:pPr>
          </w:p>
        </w:tc>
        <w:tc>
          <w:tcPr>
            <w:tcW w:w="792" w:type="dxa"/>
            <w:vMerge w:val="continue"/>
            <w:vAlign w:val="center"/>
          </w:tcPr>
          <w:p w14:paraId="44F82562">
            <w:pPr>
              <w:spacing w:line="240" w:lineRule="auto"/>
              <w:jc w:val="center"/>
              <w:rPr>
                <w:rFonts w:hint="eastAsia" w:ascii="宋体" w:hAnsi="宋体" w:eastAsia="宋体" w:cs="宋体"/>
                <w:color w:val="auto"/>
                <w:sz w:val="24"/>
                <w:szCs w:val="24"/>
                <w:highlight w:val="none"/>
              </w:rPr>
            </w:pPr>
          </w:p>
        </w:tc>
        <w:tc>
          <w:tcPr>
            <w:tcW w:w="5639" w:type="dxa"/>
            <w:vAlign w:val="center"/>
          </w:tcPr>
          <w:p w14:paraId="348D3238">
            <w:pPr>
              <w:spacing w:before="54" w:line="240" w:lineRule="auto"/>
              <w:ind w:left="112" w:right="104"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安全设备日志分析：每月定期配合厂商人员查看</w:t>
            </w:r>
            <w:r>
              <w:rPr>
                <w:rFonts w:hint="eastAsia" w:ascii="宋体" w:hAnsi="宋体" w:eastAsia="宋体" w:cs="宋体"/>
                <w:color w:val="auto"/>
                <w:spacing w:val="24"/>
                <w:sz w:val="24"/>
                <w:szCs w:val="24"/>
                <w:highlight w:val="none"/>
              </w:rPr>
              <w:t>各</w:t>
            </w:r>
            <w:r>
              <w:rPr>
                <w:rFonts w:hint="eastAsia" w:ascii="宋体" w:hAnsi="宋体" w:eastAsia="宋体" w:cs="宋体"/>
                <w:color w:val="auto"/>
                <w:spacing w:val="16"/>
                <w:sz w:val="24"/>
                <w:szCs w:val="24"/>
                <w:highlight w:val="none"/>
              </w:rPr>
              <w:t>安</w:t>
            </w:r>
            <w:r>
              <w:rPr>
                <w:rFonts w:hint="eastAsia" w:ascii="宋体" w:hAnsi="宋体" w:eastAsia="宋体" w:cs="宋体"/>
                <w:color w:val="auto"/>
                <w:spacing w:val="12"/>
                <w:sz w:val="24"/>
                <w:szCs w:val="24"/>
                <w:highlight w:val="none"/>
              </w:rPr>
              <w:t>全设备产生的日志，进行统计分析，确定异常</w:t>
            </w:r>
            <w:r>
              <w:rPr>
                <w:rFonts w:hint="eastAsia" w:ascii="宋体" w:hAnsi="宋体" w:eastAsia="宋体" w:cs="宋体"/>
                <w:color w:val="auto"/>
                <w:spacing w:val="13"/>
                <w:sz w:val="24"/>
                <w:szCs w:val="24"/>
                <w:highlight w:val="none"/>
              </w:rPr>
              <w:t>行为，详细记录异常行为信息，并及时进行告警</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监</w:t>
            </w:r>
            <w:r>
              <w:rPr>
                <w:rFonts w:hint="eastAsia" w:ascii="宋体" w:hAnsi="宋体" w:eastAsia="宋体" w:cs="宋体"/>
                <w:color w:val="auto"/>
                <w:spacing w:val="6"/>
                <w:sz w:val="24"/>
                <w:szCs w:val="24"/>
                <w:highlight w:val="none"/>
              </w:rPr>
              <w:t>控和处理</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每季度查看清理设备的僵尸及弱口令账号</w:t>
            </w:r>
          </w:p>
        </w:tc>
        <w:tc>
          <w:tcPr>
            <w:tcW w:w="1290" w:type="dxa"/>
            <w:vMerge w:val="continue"/>
            <w:vAlign w:val="center"/>
          </w:tcPr>
          <w:p w14:paraId="718A0584">
            <w:pPr>
              <w:spacing w:line="240" w:lineRule="auto"/>
              <w:jc w:val="both"/>
              <w:rPr>
                <w:rFonts w:hint="eastAsia" w:ascii="宋体" w:hAnsi="宋体" w:eastAsia="宋体" w:cs="宋体"/>
                <w:color w:val="auto"/>
                <w:sz w:val="24"/>
                <w:szCs w:val="24"/>
                <w:highlight w:val="none"/>
              </w:rPr>
            </w:pPr>
          </w:p>
        </w:tc>
        <w:tc>
          <w:tcPr>
            <w:tcW w:w="855" w:type="dxa"/>
            <w:vMerge w:val="continue"/>
            <w:vAlign w:val="center"/>
          </w:tcPr>
          <w:p w14:paraId="1CD895FF">
            <w:pPr>
              <w:spacing w:line="240" w:lineRule="auto"/>
              <w:jc w:val="both"/>
              <w:rPr>
                <w:rFonts w:hint="eastAsia" w:ascii="宋体" w:hAnsi="宋体" w:eastAsia="宋体" w:cs="宋体"/>
                <w:color w:val="auto"/>
                <w:sz w:val="24"/>
                <w:szCs w:val="24"/>
                <w:highlight w:val="none"/>
              </w:rPr>
            </w:pPr>
          </w:p>
        </w:tc>
      </w:tr>
      <w:tr w14:paraId="50E0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854" w:type="dxa"/>
            <w:vMerge w:val="continue"/>
            <w:vAlign w:val="center"/>
          </w:tcPr>
          <w:p w14:paraId="2F16A75E">
            <w:pPr>
              <w:spacing w:line="240" w:lineRule="auto"/>
              <w:jc w:val="both"/>
              <w:rPr>
                <w:rFonts w:hint="eastAsia" w:ascii="宋体" w:hAnsi="宋体" w:eastAsia="宋体" w:cs="宋体"/>
                <w:color w:val="auto"/>
                <w:sz w:val="24"/>
                <w:szCs w:val="24"/>
                <w:highlight w:val="none"/>
              </w:rPr>
            </w:pPr>
          </w:p>
        </w:tc>
        <w:tc>
          <w:tcPr>
            <w:tcW w:w="839" w:type="dxa"/>
            <w:vMerge w:val="continue"/>
            <w:vAlign w:val="center"/>
          </w:tcPr>
          <w:p w14:paraId="6FFFA3B7">
            <w:pPr>
              <w:spacing w:line="240" w:lineRule="auto"/>
              <w:jc w:val="center"/>
              <w:rPr>
                <w:rFonts w:hint="eastAsia" w:ascii="宋体" w:hAnsi="宋体" w:eastAsia="宋体" w:cs="宋体"/>
                <w:color w:val="auto"/>
                <w:sz w:val="24"/>
                <w:szCs w:val="24"/>
                <w:highlight w:val="none"/>
              </w:rPr>
            </w:pPr>
          </w:p>
        </w:tc>
        <w:tc>
          <w:tcPr>
            <w:tcW w:w="792" w:type="dxa"/>
            <w:vMerge w:val="continue"/>
            <w:vAlign w:val="center"/>
          </w:tcPr>
          <w:p w14:paraId="48068C7D">
            <w:pPr>
              <w:spacing w:line="240" w:lineRule="auto"/>
              <w:jc w:val="center"/>
              <w:rPr>
                <w:rFonts w:hint="eastAsia" w:ascii="宋体" w:hAnsi="宋体" w:eastAsia="宋体" w:cs="宋体"/>
                <w:color w:val="auto"/>
                <w:sz w:val="24"/>
                <w:szCs w:val="24"/>
                <w:highlight w:val="none"/>
              </w:rPr>
            </w:pPr>
          </w:p>
        </w:tc>
        <w:tc>
          <w:tcPr>
            <w:tcW w:w="5639" w:type="dxa"/>
            <w:vAlign w:val="center"/>
          </w:tcPr>
          <w:p w14:paraId="359E963A">
            <w:pPr>
              <w:spacing w:before="54" w:line="240" w:lineRule="auto"/>
              <w:ind w:left="113" w:right="106"/>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针对每</w:t>
            </w:r>
            <w:r>
              <w:rPr>
                <w:rFonts w:hint="eastAsia" w:ascii="宋体" w:hAnsi="宋体" w:eastAsia="宋体" w:cs="宋体"/>
                <w:color w:val="auto"/>
                <w:spacing w:val="8"/>
                <w:sz w:val="24"/>
                <w:szCs w:val="24"/>
                <w:highlight w:val="none"/>
                <w:lang w:eastAsia="zh-CN"/>
              </w:rPr>
              <w:t>月</w:t>
            </w:r>
            <w:r>
              <w:rPr>
                <w:rFonts w:hint="eastAsia" w:ascii="宋体" w:hAnsi="宋体" w:eastAsia="宋体" w:cs="宋体"/>
                <w:color w:val="auto"/>
                <w:spacing w:val="8"/>
                <w:sz w:val="24"/>
                <w:szCs w:val="24"/>
                <w:highlight w:val="none"/>
              </w:rPr>
              <w:t>的网络安全运维内容，编写网络安全</w:t>
            </w:r>
            <w:r>
              <w:rPr>
                <w:rFonts w:hint="eastAsia" w:ascii="宋体" w:hAnsi="宋体" w:eastAsia="宋体" w:cs="宋体"/>
                <w:color w:val="auto"/>
                <w:spacing w:val="3"/>
                <w:sz w:val="24"/>
                <w:szCs w:val="24"/>
                <w:highlight w:val="none"/>
              </w:rPr>
              <w:t>运</w:t>
            </w:r>
            <w:r>
              <w:rPr>
                <w:rFonts w:hint="eastAsia" w:ascii="宋体" w:hAnsi="宋体" w:eastAsia="宋体" w:cs="宋体"/>
                <w:color w:val="auto"/>
                <w:spacing w:val="8"/>
                <w:sz w:val="24"/>
                <w:szCs w:val="24"/>
                <w:highlight w:val="none"/>
              </w:rPr>
              <w:t>维周报。甲方每</w:t>
            </w:r>
            <w:r>
              <w:rPr>
                <w:rFonts w:hint="eastAsia" w:ascii="宋体" w:hAnsi="宋体" w:eastAsia="宋体" w:cs="宋体"/>
                <w:color w:val="auto"/>
                <w:spacing w:val="8"/>
                <w:sz w:val="24"/>
                <w:szCs w:val="24"/>
                <w:highlight w:val="none"/>
                <w:lang w:eastAsia="zh-CN"/>
              </w:rPr>
              <w:t>月</w:t>
            </w:r>
            <w:r>
              <w:rPr>
                <w:rFonts w:hint="eastAsia" w:ascii="宋体" w:hAnsi="宋体" w:eastAsia="宋体" w:cs="宋体"/>
                <w:color w:val="auto"/>
                <w:spacing w:val="8"/>
                <w:sz w:val="24"/>
                <w:szCs w:val="24"/>
                <w:highlight w:val="none"/>
              </w:rPr>
              <w:t>确认后给出下</w:t>
            </w:r>
            <w:r>
              <w:rPr>
                <w:rFonts w:hint="eastAsia" w:ascii="宋体" w:hAnsi="宋体" w:eastAsia="宋体" w:cs="宋体"/>
                <w:color w:val="auto"/>
                <w:spacing w:val="8"/>
                <w:sz w:val="24"/>
                <w:szCs w:val="24"/>
                <w:highlight w:val="none"/>
                <w:lang w:eastAsia="zh-CN"/>
              </w:rPr>
              <w:t>月</w:t>
            </w:r>
            <w:r>
              <w:rPr>
                <w:rFonts w:hint="eastAsia" w:ascii="宋体" w:hAnsi="宋体" w:eastAsia="宋体" w:cs="宋体"/>
                <w:color w:val="auto"/>
                <w:spacing w:val="8"/>
                <w:sz w:val="24"/>
                <w:szCs w:val="24"/>
                <w:highlight w:val="none"/>
              </w:rPr>
              <w:t>工作建议方向</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5"/>
                <w:sz w:val="24"/>
                <w:szCs w:val="24"/>
                <w:highlight w:val="none"/>
              </w:rPr>
              <w:t>可</w:t>
            </w:r>
            <w:r>
              <w:rPr>
                <w:rFonts w:hint="eastAsia" w:ascii="宋体" w:hAnsi="宋体" w:eastAsia="宋体" w:cs="宋体"/>
                <w:color w:val="auto"/>
                <w:spacing w:val="8"/>
                <w:sz w:val="24"/>
                <w:szCs w:val="24"/>
                <w:highlight w:val="none"/>
              </w:rPr>
              <w:t>动态调整工作内容</w:t>
            </w:r>
          </w:p>
        </w:tc>
        <w:tc>
          <w:tcPr>
            <w:tcW w:w="1290" w:type="dxa"/>
            <w:vAlign w:val="center"/>
          </w:tcPr>
          <w:p w14:paraId="08320EF9">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《网络安</w:t>
            </w:r>
            <w:r>
              <w:rPr>
                <w:rFonts w:hint="eastAsia" w:ascii="宋体" w:hAnsi="宋体" w:eastAsia="宋体" w:cs="宋体"/>
                <w:color w:val="auto"/>
                <w:spacing w:val="8"/>
                <w:sz w:val="24"/>
                <w:szCs w:val="24"/>
                <w:highlight w:val="none"/>
              </w:rPr>
              <w:t>全</w:t>
            </w:r>
            <w:r>
              <w:rPr>
                <w:rFonts w:hint="eastAsia" w:ascii="宋体" w:hAnsi="宋体" w:eastAsia="宋体" w:cs="宋体"/>
                <w:color w:val="auto"/>
                <w:spacing w:val="7"/>
                <w:sz w:val="24"/>
                <w:szCs w:val="24"/>
                <w:highlight w:val="none"/>
              </w:rPr>
              <w:t>运维</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
                <w:sz w:val="24"/>
                <w:szCs w:val="24"/>
                <w:highlight w:val="none"/>
              </w:rPr>
              <w:t>报》</w:t>
            </w:r>
          </w:p>
        </w:tc>
        <w:tc>
          <w:tcPr>
            <w:tcW w:w="855" w:type="dxa"/>
            <w:vAlign w:val="center"/>
          </w:tcPr>
          <w:p w14:paraId="619F5F84">
            <w:pPr>
              <w:spacing w:line="240" w:lineRule="auto"/>
              <w:jc w:val="both"/>
              <w:rPr>
                <w:rFonts w:hint="eastAsia" w:ascii="宋体" w:hAnsi="宋体" w:eastAsia="宋体" w:cs="宋体"/>
                <w:color w:val="auto"/>
                <w:sz w:val="24"/>
                <w:szCs w:val="24"/>
                <w:highlight w:val="none"/>
              </w:rPr>
            </w:pPr>
          </w:p>
        </w:tc>
      </w:tr>
      <w:tr w14:paraId="45AE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trPr>
        <w:tc>
          <w:tcPr>
            <w:tcW w:w="854" w:type="dxa"/>
            <w:vAlign w:val="center"/>
          </w:tcPr>
          <w:p w14:paraId="555BC45D">
            <w:pPr>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39" w:type="dxa"/>
            <w:vAlign w:val="center"/>
          </w:tcPr>
          <w:p w14:paraId="430BABEC">
            <w:pPr>
              <w:spacing w:line="240" w:lineRule="auto"/>
              <w:jc w:val="both"/>
              <w:rPr>
                <w:rFonts w:hint="eastAsia" w:ascii="宋体" w:hAnsi="宋体" w:eastAsia="宋体" w:cs="宋体"/>
                <w:color w:val="auto"/>
                <w:sz w:val="24"/>
                <w:szCs w:val="24"/>
                <w:highlight w:val="none"/>
              </w:rPr>
            </w:pPr>
          </w:p>
        </w:tc>
        <w:tc>
          <w:tcPr>
            <w:tcW w:w="792" w:type="dxa"/>
            <w:vAlign w:val="center"/>
          </w:tcPr>
          <w:p w14:paraId="44E460BF">
            <w:pPr>
              <w:spacing w:before="65" w:line="240" w:lineRule="auto"/>
              <w:ind w:right="107" w:right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2"/>
                <w:sz w:val="24"/>
                <w:szCs w:val="24"/>
                <w:highlight w:val="none"/>
                <w:lang w:eastAsia="zh-CN"/>
              </w:rPr>
              <w:t>安全加固指导服务</w:t>
            </w:r>
          </w:p>
        </w:tc>
        <w:tc>
          <w:tcPr>
            <w:tcW w:w="5639" w:type="dxa"/>
            <w:vAlign w:val="center"/>
          </w:tcPr>
          <w:p w14:paraId="0DC60B82">
            <w:pPr>
              <w:spacing w:before="54" w:line="240" w:lineRule="auto"/>
              <w:ind w:left="111" w:leftChars="0" w:right="106" w:rightChars="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24"/>
                <w:sz w:val="24"/>
                <w:szCs w:val="24"/>
                <w:highlight w:val="none"/>
              </w:rPr>
              <w:t>针</w:t>
            </w:r>
            <w:r>
              <w:rPr>
                <w:rFonts w:hint="eastAsia" w:ascii="宋体" w:hAnsi="宋体" w:eastAsia="宋体" w:cs="宋体"/>
                <w:color w:val="auto"/>
                <w:spacing w:val="17"/>
                <w:sz w:val="24"/>
                <w:szCs w:val="24"/>
                <w:highlight w:val="none"/>
              </w:rPr>
              <w:t>对</w:t>
            </w:r>
            <w:r>
              <w:rPr>
                <w:rFonts w:hint="eastAsia" w:ascii="宋体" w:hAnsi="宋体" w:eastAsia="宋体" w:cs="宋体"/>
                <w:color w:val="auto"/>
                <w:spacing w:val="12"/>
                <w:sz w:val="24"/>
                <w:szCs w:val="24"/>
                <w:highlight w:val="none"/>
              </w:rPr>
              <w:t>的每项、每次安全评估结束都需要进行安全加</w:t>
            </w:r>
            <w:r>
              <w:rPr>
                <w:rFonts w:hint="eastAsia" w:ascii="宋体" w:hAnsi="宋体" w:eastAsia="宋体" w:cs="宋体"/>
                <w:color w:val="auto"/>
                <w:spacing w:val="24"/>
                <w:sz w:val="24"/>
                <w:szCs w:val="24"/>
                <w:highlight w:val="none"/>
              </w:rPr>
              <w:t>固</w:t>
            </w:r>
            <w:r>
              <w:rPr>
                <w:rFonts w:hint="eastAsia" w:ascii="宋体" w:hAnsi="宋体" w:eastAsia="宋体" w:cs="宋体"/>
                <w:color w:val="auto"/>
                <w:spacing w:val="16"/>
                <w:sz w:val="24"/>
                <w:szCs w:val="24"/>
                <w:highlight w:val="none"/>
              </w:rPr>
              <w:t>指</w:t>
            </w:r>
            <w:r>
              <w:rPr>
                <w:rFonts w:hint="eastAsia" w:ascii="宋体" w:hAnsi="宋体" w:eastAsia="宋体" w:cs="宋体"/>
                <w:color w:val="auto"/>
                <w:spacing w:val="12"/>
                <w:sz w:val="24"/>
                <w:szCs w:val="24"/>
                <w:highlight w:val="none"/>
              </w:rPr>
              <w:t>导工作，协调和指导各应用系统、设备厂商或</w:t>
            </w:r>
            <w:r>
              <w:rPr>
                <w:rFonts w:hint="eastAsia" w:ascii="宋体" w:hAnsi="宋体" w:eastAsia="宋体" w:cs="宋体"/>
                <w:color w:val="auto"/>
                <w:spacing w:val="24"/>
                <w:sz w:val="24"/>
                <w:szCs w:val="24"/>
                <w:highlight w:val="none"/>
              </w:rPr>
              <w:t>负</w:t>
            </w:r>
            <w:r>
              <w:rPr>
                <w:rFonts w:hint="eastAsia" w:ascii="宋体" w:hAnsi="宋体" w:eastAsia="宋体" w:cs="宋体"/>
                <w:color w:val="auto"/>
                <w:spacing w:val="16"/>
                <w:sz w:val="24"/>
                <w:szCs w:val="24"/>
                <w:highlight w:val="none"/>
              </w:rPr>
              <w:t>责</w:t>
            </w:r>
            <w:r>
              <w:rPr>
                <w:rFonts w:hint="eastAsia" w:ascii="宋体" w:hAnsi="宋体" w:eastAsia="宋体" w:cs="宋体"/>
                <w:color w:val="auto"/>
                <w:spacing w:val="12"/>
                <w:sz w:val="24"/>
                <w:szCs w:val="24"/>
                <w:highlight w:val="none"/>
              </w:rPr>
              <w:t>人根据检查报告完成安全加固和修复工作，对</w:t>
            </w:r>
            <w:r>
              <w:rPr>
                <w:rFonts w:hint="eastAsia" w:ascii="宋体" w:hAnsi="宋体" w:eastAsia="宋体" w:cs="宋体"/>
                <w:color w:val="auto"/>
                <w:spacing w:val="24"/>
                <w:sz w:val="24"/>
                <w:szCs w:val="24"/>
                <w:highlight w:val="none"/>
              </w:rPr>
              <w:t>于</w:t>
            </w:r>
            <w:r>
              <w:rPr>
                <w:rFonts w:hint="eastAsia" w:ascii="宋体" w:hAnsi="宋体" w:eastAsia="宋体" w:cs="宋体"/>
                <w:color w:val="auto"/>
                <w:spacing w:val="16"/>
                <w:sz w:val="24"/>
                <w:szCs w:val="24"/>
                <w:highlight w:val="none"/>
              </w:rPr>
              <w:t>不</w:t>
            </w:r>
            <w:r>
              <w:rPr>
                <w:rFonts w:hint="eastAsia" w:ascii="宋体" w:hAnsi="宋体" w:eastAsia="宋体" w:cs="宋体"/>
                <w:color w:val="auto"/>
                <w:spacing w:val="12"/>
                <w:sz w:val="24"/>
                <w:szCs w:val="24"/>
                <w:highlight w:val="none"/>
              </w:rPr>
              <w:t>能进行安全加固的安全漏洞，需要厂商提交情</w:t>
            </w:r>
            <w:r>
              <w:rPr>
                <w:rFonts w:hint="eastAsia" w:ascii="宋体" w:hAnsi="宋体" w:eastAsia="宋体" w:cs="宋体"/>
                <w:color w:val="auto"/>
                <w:spacing w:val="24"/>
                <w:sz w:val="24"/>
                <w:szCs w:val="24"/>
                <w:highlight w:val="none"/>
              </w:rPr>
              <w:t>况</w:t>
            </w:r>
            <w:r>
              <w:rPr>
                <w:rFonts w:hint="eastAsia" w:ascii="宋体" w:hAnsi="宋体" w:eastAsia="宋体" w:cs="宋体"/>
                <w:color w:val="auto"/>
                <w:spacing w:val="16"/>
                <w:sz w:val="24"/>
                <w:szCs w:val="24"/>
                <w:highlight w:val="none"/>
              </w:rPr>
              <w:t>说</w:t>
            </w:r>
            <w:r>
              <w:rPr>
                <w:rFonts w:hint="eastAsia" w:ascii="宋体" w:hAnsi="宋体" w:eastAsia="宋体" w:cs="宋体"/>
                <w:color w:val="auto"/>
                <w:spacing w:val="12"/>
                <w:sz w:val="24"/>
                <w:szCs w:val="24"/>
                <w:highlight w:val="none"/>
              </w:rPr>
              <w:t>明，并提出防护建议，加盖公章备案。加固完</w:t>
            </w:r>
            <w:r>
              <w:rPr>
                <w:rFonts w:hint="eastAsia" w:ascii="宋体" w:hAnsi="宋体" w:eastAsia="宋体" w:cs="宋体"/>
                <w:color w:val="auto"/>
                <w:spacing w:val="24"/>
                <w:sz w:val="24"/>
                <w:szCs w:val="24"/>
                <w:highlight w:val="none"/>
              </w:rPr>
              <w:t>成</w:t>
            </w:r>
            <w:r>
              <w:rPr>
                <w:rFonts w:hint="eastAsia" w:ascii="宋体" w:hAnsi="宋体" w:eastAsia="宋体" w:cs="宋体"/>
                <w:color w:val="auto"/>
                <w:spacing w:val="16"/>
                <w:sz w:val="24"/>
                <w:szCs w:val="24"/>
                <w:highlight w:val="none"/>
              </w:rPr>
              <w:t>后</w:t>
            </w:r>
            <w:r>
              <w:rPr>
                <w:rFonts w:hint="eastAsia" w:ascii="宋体" w:hAnsi="宋体" w:eastAsia="宋体" w:cs="宋体"/>
                <w:color w:val="auto"/>
                <w:spacing w:val="12"/>
                <w:sz w:val="24"/>
                <w:szCs w:val="24"/>
                <w:highlight w:val="none"/>
              </w:rPr>
              <w:t>开展加固后复查工作，做好漏洞跟踪工作，确</w:t>
            </w:r>
            <w:r>
              <w:rPr>
                <w:rFonts w:hint="eastAsia" w:ascii="宋体" w:hAnsi="宋体" w:eastAsia="宋体" w:cs="宋体"/>
                <w:color w:val="auto"/>
                <w:spacing w:val="15"/>
                <w:sz w:val="24"/>
                <w:szCs w:val="24"/>
                <w:highlight w:val="none"/>
              </w:rPr>
              <w:t>保</w:t>
            </w:r>
            <w:r>
              <w:rPr>
                <w:rFonts w:hint="eastAsia" w:ascii="宋体" w:hAnsi="宋体" w:eastAsia="宋体" w:cs="宋体"/>
                <w:color w:val="auto"/>
                <w:spacing w:val="9"/>
                <w:sz w:val="24"/>
                <w:szCs w:val="24"/>
                <w:highlight w:val="none"/>
              </w:rPr>
              <w:t>每个安全威胁得到解决或者备案为止</w:t>
            </w:r>
            <w:r>
              <w:rPr>
                <w:rFonts w:hint="eastAsia" w:ascii="宋体" w:hAnsi="宋体" w:eastAsia="宋体" w:cs="宋体"/>
                <w:color w:val="auto"/>
                <w:spacing w:val="9"/>
                <w:sz w:val="24"/>
                <w:szCs w:val="24"/>
                <w:highlight w:val="none"/>
                <w:lang w:val="en-US" w:eastAsia="zh-CN"/>
              </w:rPr>
              <w:t>,。</w:t>
            </w:r>
          </w:p>
        </w:tc>
        <w:tc>
          <w:tcPr>
            <w:tcW w:w="1290" w:type="dxa"/>
            <w:vAlign w:val="center"/>
          </w:tcPr>
          <w:p w14:paraId="0C0731C2">
            <w:pPr>
              <w:keepNext w:val="0"/>
              <w:keepLines w:val="0"/>
              <w:pageBreakBefore w:val="0"/>
              <w:widowControl/>
              <w:kinsoku w:val="0"/>
              <w:wordWrap/>
              <w:overflowPunct/>
              <w:topLinePunct w:val="0"/>
              <w:autoSpaceDE w:val="0"/>
              <w:autoSpaceDN w:val="0"/>
              <w:bidi w:val="0"/>
              <w:adjustRightInd w:val="0"/>
              <w:snapToGrid w:val="0"/>
              <w:spacing w:before="26" w:line="240" w:lineRule="auto"/>
              <w:ind w:left="113" w:leftChars="0" w:right="0" w:rightChars="0" w:firstLine="0" w:firstLineChars="0"/>
              <w:jc w:val="center"/>
              <w:textAlignment w:val="baseline"/>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《系统漏洞清单》、《加固建议》</w:t>
            </w:r>
          </w:p>
        </w:tc>
        <w:tc>
          <w:tcPr>
            <w:tcW w:w="855" w:type="dxa"/>
            <w:vAlign w:val="center"/>
          </w:tcPr>
          <w:p w14:paraId="4F284DB6">
            <w:pPr>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pacing w:val="12"/>
                <w:sz w:val="24"/>
                <w:szCs w:val="24"/>
                <w:highlight w:val="none"/>
              </w:rPr>
              <w:t>需双</w:t>
            </w:r>
            <w:r>
              <w:rPr>
                <w:rFonts w:hint="eastAsia" w:ascii="宋体" w:hAnsi="宋体" w:eastAsia="宋体" w:cs="宋体"/>
                <w:color w:val="auto"/>
                <w:spacing w:val="18"/>
                <w:sz w:val="24"/>
                <w:szCs w:val="24"/>
                <w:highlight w:val="none"/>
              </w:rPr>
              <w:t>方签字确</w:t>
            </w:r>
            <w:r>
              <w:rPr>
                <w:rFonts w:hint="eastAsia" w:ascii="宋体" w:hAnsi="宋体" w:eastAsia="宋体" w:cs="宋体"/>
                <w:color w:val="auto"/>
                <w:sz w:val="24"/>
                <w:szCs w:val="24"/>
                <w:highlight w:val="none"/>
              </w:rPr>
              <w:t>认</w:t>
            </w:r>
          </w:p>
        </w:tc>
      </w:tr>
      <w:tr w14:paraId="0EE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4" w:hRule="atLeast"/>
        </w:trPr>
        <w:tc>
          <w:tcPr>
            <w:tcW w:w="854" w:type="dxa"/>
            <w:vAlign w:val="center"/>
          </w:tcPr>
          <w:p w14:paraId="16718ABE">
            <w:pPr>
              <w:spacing w:before="65" w:line="24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39" w:type="dxa"/>
            <w:vAlign w:val="center"/>
          </w:tcPr>
          <w:p w14:paraId="4660620D">
            <w:pPr>
              <w:spacing w:before="65" w:line="240" w:lineRule="auto"/>
              <w:ind w:right="106" w:right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应急</w:t>
            </w:r>
          </w:p>
          <w:p w14:paraId="432B4E68">
            <w:pPr>
              <w:spacing w:before="65" w:line="240" w:lineRule="auto"/>
              <w:ind w:right="106" w:right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响应</w:t>
            </w:r>
          </w:p>
        </w:tc>
        <w:tc>
          <w:tcPr>
            <w:tcW w:w="792" w:type="dxa"/>
            <w:vAlign w:val="center"/>
          </w:tcPr>
          <w:p w14:paraId="0C5D2C81">
            <w:pPr>
              <w:spacing w:before="65" w:line="240" w:lineRule="auto"/>
              <w:ind w:right="107"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12"/>
                <w:sz w:val="24"/>
                <w:szCs w:val="24"/>
                <w:highlight w:val="none"/>
              </w:rPr>
              <w:t>安全</w:t>
            </w:r>
            <w:r>
              <w:rPr>
                <w:rFonts w:hint="eastAsia" w:ascii="宋体" w:hAnsi="宋体" w:eastAsia="宋体" w:cs="宋体"/>
                <w:color w:val="auto"/>
                <w:spacing w:val="14"/>
                <w:sz w:val="24"/>
                <w:szCs w:val="24"/>
                <w:highlight w:val="none"/>
              </w:rPr>
              <w:t>事件应急响应</w:t>
            </w:r>
            <w:r>
              <w:rPr>
                <w:rFonts w:hint="eastAsia" w:ascii="宋体" w:hAnsi="宋体" w:eastAsia="宋体" w:cs="宋体"/>
                <w:color w:val="auto"/>
                <w:spacing w:val="5"/>
                <w:sz w:val="24"/>
                <w:szCs w:val="24"/>
                <w:highlight w:val="none"/>
              </w:rPr>
              <w:t>服</w:t>
            </w:r>
            <w:r>
              <w:rPr>
                <w:rFonts w:hint="eastAsia" w:ascii="宋体" w:hAnsi="宋体" w:eastAsia="宋体" w:cs="宋体"/>
                <w:color w:val="auto"/>
                <w:spacing w:val="4"/>
                <w:sz w:val="24"/>
                <w:szCs w:val="24"/>
                <w:highlight w:val="none"/>
              </w:rPr>
              <w:t>务</w:t>
            </w:r>
          </w:p>
        </w:tc>
        <w:tc>
          <w:tcPr>
            <w:tcW w:w="5639" w:type="dxa"/>
            <w:vAlign w:val="center"/>
          </w:tcPr>
          <w:p w14:paraId="1882D69E">
            <w:pPr>
              <w:spacing w:before="60" w:line="240" w:lineRule="auto"/>
              <w:ind w:left="111" w:leftChars="0" w:right="35" w:rightChars="0" w:firstLine="17"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针对发生的(包括但不限于)拒绝服务攻击事件、</w:t>
            </w:r>
            <w:r>
              <w:rPr>
                <w:rFonts w:hint="eastAsia" w:ascii="宋体" w:hAnsi="宋体" w:eastAsia="宋体" w:cs="宋体"/>
                <w:color w:val="auto"/>
                <w:spacing w:val="13"/>
                <w:sz w:val="24"/>
                <w:szCs w:val="24"/>
                <w:highlight w:val="none"/>
              </w:rPr>
              <w:t>网页挂马事件、网页篡改事件、设备故障、恶意</w:t>
            </w:r>
            <w:r>
              <w:rPr>
                <w:rFonts w:hint="eastAsia" w:ascii="宋体" w:hAnsi="宋体" w:eastAsia="宋体" w:cs="宋体"/>
                <w:color w:val="auto"/>
                <w:spacing w:val="11"/>
                <w:sz w:val="24"/>
                <w:szCs w:val="24"/>
                <w:highlight w:val="none"/>
              </w:rPr>
              <w:t>程</w:t>
            </w:r>
            <w:r>
              <w:rPr>
                <w:rFonts w:hint="eastAsia" w:ascii="宋体" w:hAnsi="宋体" w:eastAsia="宋体" w:cs="宋体"/>
                <w:color w:val="auto"/>
                <w:spacing w:val="14"/>
                <w:sz w:val="24"/>
                <w:szCs w:val="24"/>
                <w:highlight w:val="none"/>
              </w:rPr>
              <w:t>序</w:t>
            </w:r>
            <w:r>
              <w:rPr>
                <w:rFonts w:hint="eastAsia" w:ascii="宋体" w:hAnsi="宋体" w:eastAsia="宋体" w:cs="宋体"/>
                <w:color w:val="auto"/>
                <w:spacing w:val="12"/>
                <w:sz w:val="24"/>
                <w:szCs w:val="24"/>
                <w:highlight w:val="none"/>
              </w:rPr>
              <w:t>爆发等各类网络安全事件提供7</w:t>
            </w:r>
            <w:r>
              <w:rPr>
                <w:rFonts w:hint="eastAsia" w:ascii="宋体" w:hAnsi="宋体" w:eastAsia="宋体" w:cs="宋体"/>
                <w:color w:val="auto"/>
                <w:sz w:val="24"/>
                <w:szCs w:val="24"/>
                <w:highlight w:val="none"/>
              </w:rPr>
              <w:t>X</w:t>
            </w:r>
            <w:r>
              <w:rPr>
                <w:rFonts w:hint="eastAsia" w:ascii="宋体" w:hAnsi="宋体" w:eastAsia="宋体" w:cs="宋体"/>
                <w:color w:val="auto"/>
                <w:spacing w:val="12"/>
                <w:sz w:val="24"/>
                <w:szCs w:val="24"/>
                <w:highlight w:val="none"/>
              </w:rPr>
              <w:t>24小时应急响</w:t>
            </w:r>
            <w:r>
              <w:rPr>
                <w:rFonts w:hint="eastAsia" w:ascii="宋体" w:hAnsi="宋体" w:eastAsia="宋体" w:cs="宋体"/>
                <w:color w:val="auto"/>
                <w:spacing w:val="18"/>
                <w:sz w:val="24"/>
                <w:szCs w:val="24"/>
                <w:highlight w:val="none"/>
              </w:rPr>
              <w:t>应技</w:t>
            </w:r>
            <w:r>
              <w:rPr>
                <w:rFonts w:hint="eastAsia" w:ascii="宋体" w:hAnsi="宋体" w:eastAsia="宋体" w:cs="宋体"/>
                <w:color w:val="auto"/>
                <w:spacing w:val="9"/>
                <w:sz w:val="24"/>
                <w:szCs w:val="24"/>
                <w:highlight w:val="none"/>
              </w:rPr>
              <w:t>术支持，接到通知后</w:t>
            </w: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小时内到场，协调各安</w:t>
            </w:r>
            <w:r>
              <w:rPr>
                <w:rFonts w:hint="eastAsia" w:ascii="宋体" w:hAnsi="宋体" w:eastAsia="宋体" w:cs="宋体"/>
                <w:color w:val="auto"/>
                <w:spacing w:val="20"/>
                <w:sz w:val="24"/>
                <w:szCs w:val="24"/>
                <w:highlight w:val="none"/>
              </w:rPr>
              <w:t>全</w:t>
            </w:r>
            <w:r>
              <w:rPr>
                <w:rFonts w:hint="eastAsia" w:ascii="宋体" w:hAnsi="宋体" w:eastAsia="宋体" w:cs="宋体"/>
                <w:color w:val="auto"/>
                <w:spacing w:val="11"/>
                <w:sz w:val="24"/>
                <w:szCs w:val="24"/>
                <w:highlight w:val="none"/>
              </w:rPr>
              <w:t>厂</w:t>
            </w:r>
            <w:r>
              <w:rPr>
                <w:rFonts w:hint="eastAsia" w:ascii="宋体" w:hAnsi="宋体" w:eastAsia="宋体" w:cs="宋体"/>
                <w:color w:val="auto"/>
                <w:spacing w:val="10"/>
                <w:sz w:val="24"/>
                <w:szCs w:val="24"/>
                <w:highlight w:val="none"/>
              </w:rPr>
              <w:t>商和设备厂商开展应急工作</w:t>
            </w:r>
          </w:p>
          <w:p w14:paraId="2B67732D">
            <w:pPr>
              <w:tabs>
                <w:tab w:val="left" w:pos="913"/>
              </w:tabs>
              <w:spacing w:before="60" w:line="240" w:lineRule="auto"/>
              <w:ind w:right="35" w:rightChars="0"/>
              <w:jc w:val="both"/>
              <w:rPr>
                <w:rFonts w:hint="eastAsia" w:ascii="宋体" w:hAnsi="宋体" w:eastAsia="宋体" w:cs="宋体"/>
                <w:snapToGrid w:val="0"/>
                <w:color w:val="auto"/>
                <w:kern w:val="0"/>
                <w:sz w:val="24"/>
                <w:szCs w:val="24"/>
                <w:highlight w:val="none"/>
                <w:lang w:eastAsia="zh-CN"/>
              </w:rPr>
            </w:pPr>
          </w:p>
        </w:tc>
        <w:tc>
          <w:tcPr>
            <w:tcW w:w="1290" w:type="dxa"/>
            <w:vAlign w:val="center"/>
          </w:tcPr>
          <w:p w14:paraId="4668A57C">
            <w:pPr>
              <w:spacing w:before="65" w:line="240" w:lineRule="auto"/>
              <w:ind w:right="105" w:rightChars="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9"/>
                <w:sz w:val="24"/>
                <w:szCs w:val="24"/>
                <w:highlight w:val="none"/>
              </w:rPr>
              <w:t>《信息系</w:t>
            </w:r>
            <w:r>
              <w:rPr>
                <w:rFonts w:hint="eastAsia" w:ascii="宋体" w:hAnsi="宋体" w:eastAsia="宋体" w:cs="宋体"/>
                <w:color w:val="auto"/>
                <w:spacing w:val="11"/>
                <w:sz w:val="24"/>
                <w:szCs w:val="24"/>
                <w:highlight w:val="none"/>
              </w:rPr>
              <w:t>统安全</w:t>
            </w:r>
            <w:r>
              <w:rPr>
                <w:rFonts w:hint="eastAsia" w:ascii="宋体" w:hAnsi="宋体" w:eastAsia="宋体" w:cs="宋体"/>
                <w:color w:val="auto"/>
                <w:spacing w:val="10"/>
                <w:sz w:val="24"/>
                <w:szCs w:val="24"/>
                <w:highlight w:val="none"/>
              </w:rPr>
              <w:t>事</w:t>
            </w:r>
            <w:r>
              <w:rPr>
                <w:rFonts w:hint="eastAsia" w:ascii="宋体" w:hAnsi="宋体" w:eastAsia="宋体" w:cs="宋体"/>
                <w:color w:val="auto"/>
                <w:spacing w:val="11"/>
                <w:sz w:val="24"/>
                <w:szCs w:val="24"/>
                <w:highlight w:val="none"/>
              </w:rPr>
              <w:t>件应急</w:t>
            </w:r>
            <w:r>
              <w:rPr>
                <w:rFonts w:hint="eastAsia" w:ascii="宋体" w:hAnsi="宋体" w:eastAsia="宋体" w:cs="宋体"/>
                <w:color w:val="auto"/>
                <w:spacing w:val="10"/>
                <w:sz w:val="24"/>
                <w:szCs w:val="24"/>
                <w:highlight w:val="none"/>
              </w:rPr>
              <w:t>处</w:t>
            </w:r>
            <w:r>
              <w:rPr>
                <w:rFonts w:hint="eastAsia" w:ascii="宋体" w:hAnsi="宋体" w:eastAsia="宋体" w:cs="宋体"/>
                <w:color w:val="auto"/>
                <w:spacing w:val="6"/>
                <w:sz w:val="24"/>
                <w:szCs w:val="24"/>
                <w:highlight w:val="none"/>
              </w:rPr>
              <w:t>置</w:t>
            </w:r>
            <w:r>
              <w:rPr>
                <w:rFonts w:hint="eastAsia" w:ascii="宋体" w:hAnsi="宋体" w:eastAsia="宋体" w:cs="宋体"/>
                <w:color w:val="auto"/>
                <w:spacing w:val="4"/>
                <w:sz w:val="24"/>
                <w:szCs w:val="24"/>
                <w:highlight w:val="none"/>
              </w:rPr>
              <w:t>报告》</w:t>
            </w:r>
          </w:p>
        </w:tc>
        <w:tc>
          <w:tcPr>
            <w:tcW w:w="855" w:type="dxa"/>
            <w:vAlign w:val="center"/>
          </w:tcPr>
          <w:p w14:paraId="4AF3FC71">
            <w:pPr>
              <w:spacing w:before="65" w:line="240" w:lineRule="auto"/>
              <w:ind w:right="109"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12"/>
                <w:sz w:val="24"/>
                <w:szCs w:val="24"/>
                <w:highlight w:val="none"/>
              </w:rPr>
              <w:t>需双</w:t>
            </w:r>
            <w:r>
              <w:rPr>
                <w:rFonts w:hint="eastAsia" w:ascii="宋体" w:hAnsi="宋体" w:eastAsia="宋体" w:cs="宋体"/>
                <w:color w:val="auto"/>
                <w:spacing w:val="18"/>
                <w:sz w:val="24"/>
                <w:szCs w:val="24"/>
                <w:highlight w:val="none"/>
              </w:rPr>
              <w:t>方签字确</w:t>
            </w:r>
            <w:r>
              <w:rPr>
                <w:rFonts w:hint="eastAsia" w:ascii="宋体" w:hAnsi="宋体" w:eastAsia="宋体" w:cs="宋体"/>
                <w:color w:val="auto"/>
                <w:sz w:val="24"/>
                <w:szCs w:val="24"/>
                <w:highlight w:val="none"/>
              </w:rPr>
              <w:t>认</w:t>
            </w:r>
          </w:p>
        </w:tc>
      </w:tr>
      <w:tr w14:paraId="45DA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trPr>
        <w:tc>
          <w:tcPr>
            <w:tcW w:w="854" w:type="dxa"/>
            <w:vAlign w:val="center"/>
          </w:tcPr>
          <w:p w14:paraId="1B8A4BF5">
            <w:pPr>
              <w:spacing w:before="65" w:line="240" w:lineRule="auto"/>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839" w:type="dxa"/>
            <w:vAlign w:val="center"/>
          </w:tcPr>
          <w:p w14:paraId="0AA28BE1">
            <w:pPr>
              <w:spacing w:before="65" w:line="240" w:lineRule="auto"/>
              <w:ind w:right="106"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18"/>
                <w:sz w:val="24"/>
                <w:szCs w:val="24"/>
                <w:highlight w:val="none"/>
              </w:rPr>
              <w:t>安</w:t>
            </w:r>
            <w:r>
              <w:rPr>
                <w:rFonts w:hint="eastAsia" w:ascii="宋体" w:hAnsi="宋体" w:eastAsia="宋体" w:cs="宋体"/>
                <w:color w:val="auto"/>
                <w:spacing w:val="-17"/>
                <w:sz w:val="24"/>
                <w:szCs w:val="24"/>
                <w:highlight w:val="none"/>
              </w:rPr>
              <w:t>全</w:t>
            </w:r>
            <w:r>
              <w:rPr>
                <w:rFonts w:hint="eastAsia" w:ascii="宋体" w:hAnsi="宋体" w:eastAsia="宋体" w:cs="宋体"/>
                <w:color w:val="auto"/>
                <w:spacing w:val="4"/>
                <w:sz w:val="24"/>
                <w:szCs w:val="24"/>
                <w:highlight w:val="none"/>
              </w:rPr>
              <w:t>培训</w:t>
            </w:r>
          </w:p>
        </w:tc>
        <w:tc>
          <w:tcPr>
            <w:tcW w:w="792" w:type="dxa"/>
            <w:vAlign w:val="center"/>
          </w:tcPr>
          <w:p w14:paraId="3B166365">
            <w:pPr>
              <w:spacing w:before="65" w:line="240" w:lineRule="auto"/>
              <w:ind w:right="107" w:right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网络安全培训</w:t>
            </w:r>
          </w:p>
        </w:tc>
        <w:tc>
          <w:tcPr>
            <w:tcW w:w="5639" w:type="dxa"/>
            <w:vAlign w:val="center"/>
          </w:tcPr>
          <w:p w14:paraId="0EFD5F10">
            <w:pPr>
              <w:spacing w:before="51" w:line="240" w:lineRule="auto"/>
              <w:ind w:left="111" w:leftChars="0" w:right="104" w:rightChars="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8"/>
                <w:sz w:val="24"/>
                <w:szCs w:val="24"/>
                <w:highlight w:val="none"/>
              </w:rPr>
              <w:t>协</w:t>
            </w:r>
            <w:r>
              <w:rPr>
                <w:rFonts w:hint="eastAsia" w:ascii="宋体" w:hAnsi="宋体" w:eastAsia="宋体" w:cs="宋体"/>
                <w:color w:val="auto"/>
                <w:spacing w:val="5"/>
                <w:sz w:val="24"/>
                <w:szCs w:val="24"/>
                <w:highlight w:val="none"/>
              </w:rPr>
              <w:t>助甲方开展网络安全讲座</w:t>
            </w:r>
            <w:r>
              <w:rPr>
                <w:rFonts w:hint="eastAsia" w:ascii="宋体" w:hAnsi="宋体" w:eastAsia="宋体" w:cs="宋体"/>
                <w:color w:val="auto"/>
                <w:spacing w:val="5"/>
                <w:sz w:val="24"/>
                <w:szCs w:val="24"/>
                <w:highlight w:val="none"/>
                <w:lang w:eastAsia="zh-CN"/>
              </w:rPr>
              <w:t>（不少于</w:t>
            </w:r>
            <w:r>
              <w:rPr>
                <w:rFonts w:hint="eastAsia" w:ascii="宋体" w:hAnsi="宋体" w:eastAsia="宋体" w:cs="宋体"/>
                <w:color w:val="auto"/>
                <w:spacing w:val="5"/>
                <w:sz w:val="24"/>
                <w:szCs w:val="24"/>
                <w:highlight w:val="none"/>
                <w:lang w:val="en-US" w:eastAsia="zh-CN"/>
              </w:rPr>
              <w:t>2次）</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eastAsia="zh-CN"/>
              </w:rPr>
              <w:t>其中</w:t>
            </w:r>
            <w:r>
              <w:rPr>
                <w:rFonts w:hint="eastAsia" w:ascii="宋体" w:hAnsi="宋体" w:eastAsia="宋体" w:cs="宋体"/>
                <w:color w:val="auto"/>
                <w:spacing w:val="5"/>
                <w:sz w:val="24"/>
                <w:szCs w:val="24"/>
                <w:highlight w:val="none"/>
                <w:lang w:val="en-US" w:eastAsia="zh-CN"/>
              </w:rPr>
              <w:t>1次需结合网络安全宣传周主题进行，</w:t>
            </w:r>
            <w:r>
              <w:rPr>
                <w:rFonts w:hint="eastAsia" w:ascii="宋体" w:hAnsi="宋体" w:eastAsia="宋体" w:cs="宋体"/>
                <w:color w:val="auto"/>
                <w:spacing w:val="5"/>
                <w:sz w:val="24"/>
                <w:szCs w:val="24"/>
                <w:highlight w:val="none"/>
              </w:rPr>
              <w:t>通过对</w:t>
            </w:r>
            <w:r>
              <w:rPr>
                <w:rFonts w:hint="eastAsia" w:ascii="宋体" w:hAnsi="宋体" w:eastAsia="宋体" w:cs="宋体"/>
                <w:color w:val="auto"/>
                <w:spacing w:val="-4"/>
                <w:sz w:val="24"/>
                <w:szCs w:val="24"/>
                <w:highlight w:val="none"/>
              </w:rPr>
              <w:t>网络安全事件案例</w:t>
            </w:r>
            <w:r>
              <w:rPr>
                <w:rFonts w:hint="eastAsia" w:ascii="宋体" w:hAnsi="宋体" w:eastAsia="宋体" w:cs="宋体"/>
                <w:color w:val="auto"/>
                <w:spacing w:val="-2"/>
                <w:sz w:val="24"/>
                <w:szCs w:val="24"/>
                <w:highlight w:val="none"/>
              </w:rPr>
              <w:t>讲解，对《网络安全法》、等保2.0</w:t>
            </w:r>
            <w:r>
              <w:rPr>
                <w:rFonts w:hint="eastAsia" w:ascii="宋体" w:hAnsi="宋体" w:eastAsia="宋体" w:cs="宋体"/>
                <w:color w:val="auto"/>
                <w:spacing w:val="24"/>
                <w:sz w:val="24"/>
                <w:szCs w:val="24"/>
                <w:highlight w:val="none"/>
              </w:rPr>
              <w:t>体</w:t>
            </w:r>
            <w:r>
              <w:rPr>
                <w:rFonts w:hint="eastAsia" w:ascii="宋体" w:hAnsi="宋体" w:eastAsia="宋体" w:cs="宋体"/>
                <w:color w:val="auto"/>
                <w:spacing w:val="17"/>
                <w:sz w:val="24"/>
                <w:szCs w:val="24"/>
                <w:highlight w:val="none"/>
              </w:rPr>
              <w:t>系</w:t>
            </w:r>
            <w:r>
              <w:rPr>
                <w:rFonts w:hint="eastAsia" w:ascii="宋体" w:hAnsi="宋体" w:eastAsia="宋体" w:cs="宋体"/>
                <w:color w:val="auto"/>
                <w:spacing w:val="12"/>
                <w:sz w:val="24"/>
                <w:szCs w:val="24"/>
                <w:highlight w:val="none"/>
              </w:rPr>
              <w:t>、关键信息基础设施防护、</w:t>
            </w:r>
            <w:r>
              <w:rPr>
                <w:rFonts w:hint="eastAsia" w:ascii="宋体" w:hAnsi="宋体" w:eastAsia="宋体" w:cs="宋体"/>
                <w:color w:val="auto"/>
                <w:spacing w:val="12"/>
                <w:sz w:val="24"/>
                <w:szCs w:val="24"/>
                <w:highlight w:val="none"/>
                <w:lang w:val="en-US" w:eastAsia="zh-CN"/>
              </w:rPr>
              <w:t>数据安全、</w:t>
            </w:r>
            <w:r>
              <w:rPr>
                <w:rFonts w:hint="eastAsia" w:ascii="宋体" w:hAnsi="宋体" w:eastAsia="宋体" w:cs="宋体"/>
                <w:color w:val="auto"/>
                <w:spacing w:val="12"/>
                <w:sz w:val="24"/>
                <w:szCs w:val="24"/>
                <w:highlight w:val="none"/>
              </w:rPr>
              <w:t>个人信息保护等进</w:t>
            </w:r>
            <w:r>
              <w:rPr>
                <w:rFonts w:hint="eastAsia" w:ascii="宋体" w:hAnsi="宋体" w:eastAsia="宋体" w:cs="宋体"/>
                <w:color w:val="auto"/>
                <w:spacing w:val="24"/>
                <w:sz w:val="24"/>
                <w:szCs w:val="24"/>
                <w:highlight w:val="none"/>
              </w:rPr>
              <w:t>行</w:t>
            </w:r>
            <w:r>
              <w:rPr>
                <w:rFonts w:hint="eastAsia" w:ascii="宋体" w:hAnsi="宋体" w:eastAsia="宋体" w:cs="宋体"/>
                <w:color w:val="auto"/>
                <w:spacing w:val="17"/>
                <w:sz w:val="24"/>
                <w:szCs w:val="24"/>
                <w:highlight w:val="none"/>
              </w:rPr>
              <w:t>普</w:t>
            </w:r>
            <w:r>
              <w:rPr>
                <w:rFonts w:hint="eastAsia" w:ascii="宋体" w:hAnsi="宋体" w:eastAsia="宋体" w:cs="宋体"/>
                <w:color w:val="auto"/>
                <w:spacing w:val="12"/>
                <w:sz w:val="24"/>
                <w:szCs w:val="24"/>
                <w:highlight w:val="none"/>
              </w:rPr>
              <w:t>及，向甲方向提供网络安全攻防技能指导，辅</w:t>
            </w:r>
            <w:r>
              <w:rPr>
                <w:rFonts w:hint="eastAsia" w:ascii="宋体" w:hAnsi="宋体" w:eastAsia="宋体" w:cs="宋体"/>
                <w:color w:val="auto"/>
                <w:spacing w:val="13"/>
                <w:sz w:val="24"/>
                <w:szCs w:val="24"/>
                <w:highlight w:val="none"/>
              </w:rPr>
              <w:t>导用户对攻防方法和工具使用，帮助甲方单位工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23"/>
                <w:sz w:val="24"/>
                <w:szCs w:val="24"/>
                <w:highlight w:val="none"/>
              </w:rPr>
              <w:t>人员提升网络安全意识和网络安全攻防能力的建</w:t>
            </w:r>
            <w:r>
              <w:rPr>
                <w:rFonts w:hint="eastAsia" w:ascii="宋体" w:hAnsi="宋体" w:eastAsia="宋体" w:cs="宋体"/>
                <w:color w:val="auto"/>
                <w:sz w:val="24"/>
                <w:szCs w:val="24"/>
                <w:highlight w:val="none"/>
              </w:rPr>
              <w:t>设</w:t>
            </w:r>
          </w:p>
        </w:tc>
        <w:tc>
          <w:tcPr>
            <w:tcW w:w="1290" w:type="dxa"/>
            <w:vAlign w:val="center"/>
          </w:tcPr>
          <w:p w14:paraId="704A6A8C">
            <w:pPr>
              <w:spacing w:before="65" w:line="240" w:lineRule="auto"/>
              <w:ind w:right="105"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7"/>
                <w:sz w:val="24"/>
                <w:szCs w:val="24"/>
                <w:highlight w:val="none"/>
              </w:rPr>
              <w:t>培</w:t>
            </w:r>
            <w:r>
              <w:rPr>
                <w:rFonts w:hint="eastAsia" w:ascii="宋体" w:hAnsi="宋体" w:eastAsia="宋体" w:cs="宋体"/>
                <w:color w:val="auto"/>
                <w:spacing w:val="5"/>
                <w:sz w:val="24"/>
                <w:szCs w:val="24"/>
                <w:highlight w:val="none"/>
              </w:rPr>
              <w:t>训</w:t>
            </w:r>
            <w:r>
              <w:rPr>
                <w:rFonts w:hint="eastAsia" w:ascii="宋体" w:hAnsi="宋体" w:eastAsia="宋体" w:cs="宋体"/>
                <w:color w:val="auto"/>
                <w:spacing w:val="-9"/>
                <w:sz w:val="24"/>
                <w:szCs w:val="24"/>
                <w:highlight w:val="none"/>
              </w:rPr>
              <w:t>PPT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培训</w:t>
            </w:r>
            <w:r>
              <w:rPr>
                <w:rFonts w:hint="eastAsia" w:ascii="宋体" w:hAnsi="宋体" w:eastAsia="宋体" w:cs="宋体"/>
                <w:color w:val="auto"/>
                <w:spacing w:val="8"/>
                <w:sz w:val="24"/>
                <w:szCs w:val="24"/>
                <w:highlight w:val="none"/>
              </w:rPr>
              <w:t>记录表</w:t>
            </w:r>
          </w:p>
        </w:tc>
        <w:tc>
          <w:tcPr>
            <w:tcW w:w="855" w:type="dxa"/>
            <w:vAlign w:val="center"/>
          </w:tcPr>
          <w:p w14:paraId="5FE10C6C">
            <w:pPr>
              <w:spacing w:before="65" w:line="240" w:lineRule="auto"/>
              <w:ind w:right="109"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18"/>
                <w:sz w:val="24"/>
                <w:szCs w:val="24"/>
                <w:highlight w:val="none"/>
              </w:rPr>
              <w:t>培</w:t>
            </w:r>
            <w:r>
              <w:rPr>
                <w:rFonts w:hint="eastAsia" w:ascii="宋体" w:hAnsi="宋体" w:eastAsia="宋体" w:cs="宋体"/>
                <w:color w:val="auto"/>
                <w:spacing w:val="17"/>
                <w:sz w:val="24"/>
                <w:szCs w:val="24"/>
                <w:highlight w:val="none"/>
              </w:rPr>
              <w:t>训</w:t>
            </w:r>
            <w:r>
              <w:rPr>
                <w:rFonts w:hint="eastAsia" w:ascii="宋体" w:hAnsi="宋体" w:eastAsia="宋体" w:cs="宋体"/>
                <w:color w:val="auto"/>
                <w:spacing w:val="18"/>
                <w:sz w:val="24"/>
                <w:szCs w:val="24"/>
                <w:highlight w:val="none"/>
              </w:rPr>
              <w:t>记录</w:t>
            </w:r>
            <w:r>
              <w:rPr>
                <w:rFonts w:hint="eastAsia" w:ascii="宋体" w:hAnsi="宋体" w:eastAsia="宋体" w:cs="宋体"/>
                <w:color w:val="auto"/>
                <w:spacing w:val="-22"/>
                <w:sz w:val="24"/>
                <w:szCs w:val="24"/>
                <w:highlight w:val="none"/>
              </w:rPr>
              <w:t>需</w:t>
            </w:r>
            <w:r>
              <w:rPr>
                <w:rFonts w:hint="eastAsia" w:ascii="宋体" w:hAnsi="宋体" w:eastAsia="宋体" w:cs="宋体"/>
                <w:color w:val="auto"/>
                <w:spacing w:val="-21"/>
                <w:sz w:val="24"/>
                <w:szCs w:val="24"/>
                <w:highlight w:val="none"/>
              </w:rPr>
              <w:t>甲</w:t>
            </w:r>
            <w:r>
              <w:rPr>
                <w:rFonts w:hint="eastAsia" w:ascii="宋体" w:hAnsi="宋体" w:eastAsia="宋体" w:cs="宋体"/>
                <w:color w:val="auto"/>
                <w:spacing w:val="18"/>
                <w:sz w:val="24"/>
                <w:szCs w:val="24"/>
                <w:highlight w:val="none"/>
              </w:rPr>
              <w:t>方签</w:t>
            </w:r>
            <w:r>
              <w:rPr>
                <w:rFonts w:hint="eastAsia" w:ascii="宋体" w:hAnsi="宋体" w:eastAsia="宋体" w:cs="宋体"/>
                <w:color w:val="auto"/>
                <w:spacing w:val="1"/>
                <w:sz w:val="24"/>
                <w:szCs w:val="24"/>
                <w:highlight w:val="none"/>
              </w:rPr>
              <w:t>字</w:t>
            </w:r>
          </w:p>
        </w:tc>
      </w:tr>
      <w:tr w14:paraId="3984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854" w:type="dxa"/>
            <w:vAlign w:val="center"/>
          </w:tcPr>
          <w:p w14:paraId="1CCF49F5">
            <w:pPr>
              <w:spacing w:before="65"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5</w:t>
            </w:r>
          </w:p>
        </w:tc>
        <w:tc>
          <w:tcPr>
            <w:tcW w:w="839" w:type="dxa"/>
            <w:vAlign w:val="center"/>
          </w:tcPr>
          <w:p w14:paraId="3782D5D0">
            <w:pPr>
              <w:spacing w:before="211" w:line="240" w:lineRule="auto"/>
              <w:ind w:right="106" w:right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安全运维</w:t>
            </w:r>
          </w:p>
        </w:tc>
        <w:tc>
          <w:tcPr>
            <w:tcW w:w="792" w:type="dxa"/>
            <w:vAlign w:val="center"/>
          </w:tcPr>
          <w:p w14:paraId="66DF4113">
            <w:pPr>
              <w:spacing w:before="210" w:line="240" w:lineRule="auto"/>
              <w:ind w:right="107" w:right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驻场服务</w:t>
            </w:r>
          </w:p>
        </w:tc>
        <w:tc>
          <w:tcPr>
            <w:tcW w:w="5639" w:type="dxa"/>
            <w:vAlign w:val="center"/>
          </w:tcPr>
          <w:p w14:paraId="3EDF6C4B">
            <w:pPr>
              <w:spacing w:before="55" w:line="240" w:lineRule="auto"/>
              <w:ind w:left="112" w:leftChars="0" w:right="104" w:rightChars="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14"/>
                <w:sz w:val="24"/>
                <w:szCs w:val="24"/>
                <w:highlight w:val="none"/>
                <w:lang w:eastAsia="zh-CN"/>
              </w:rPr>
              <w:t>根据甲方要求，在服务期内重要时间段</w:t>
            </w:r>
            <w:r>
              <w:rPr>
                <w:rFonts w:hint="eastAsia" w:ascii="宋体" w:hAnsi="宋体" w:eastAsia="宋体" w:cs="宋体"/>
                <w:color w:val="auto"/>
                <w:spacing w:val="14"/>
                <w:sz w:val="24"/>
                <w:szCs w:val="24"/>
                <w:highlight w:val="none"/>
              </w:rPr>
              <w:t>提供</w:t>
            </w:r>
            <w:r>
              <w:rPr>
                <w:rFonts w:hint="eastAsia" w:ascii="宋体" w:hAnsi="宋体" w:eastAsia="宋体" w:cs="宋体"/>
                <w:color w:val="auto"/>
                <w:spacing w:val="7"/>
                <w:sz w:val="24"/>
                <w:szCs w:val="24"/>
                <w:highlight w:val="none"/>
              </w:rPr>
              <w:t>现场安全运维服务，协助管理人</w:t>
            </w:r>
            <w:r>
              <w:rPr>
                <w:rFonts w:hint="eastAsia" w:ascii="宋体" w:hAnsi="宋体" w:eastAsia="宋体" w:cs="宋体"/>
                <w:color w:val="auto"/>
                <w:spacing w:val="24"/>
                <w:sz w:val="24"/>
                <w:szCs w:val="24"/>
                <w:highlight w:val="none"/>
              </w:rPr>
              <w:t>员</w:t>
            </w:r>
            <w:r>
              <w:rPr>
                <w:rFonts w:hint="eastAsia" w:ascii="宋体" w:hAnsi="宋体" w:eastAsia="宋体" w:cs="宋体"/>
                <w:color w:val="auto"/>
                <w:spacing w:val="16"/>
                <w:sz w:val="24"/>
                <w:szCs w:val="24"/>
                <w:highlight w:val="none"/>
              </w:rPr>
              <w:t>开</w:t>
            </w:r>
            <w:r>
              <w:rPr>
                <w:rFonts w:hint="eastAsia" w:ascii="宋体" w:hAnsi="宋体" w:eastAsia="宋体" w:cs="宋体"/>
                <w:color w:val="auto"/>
                <w:spacing w:val="12"/>
                <w:sz w:val="24"/>
                <w:szCs w:val="24"/>
                <w:highlight w:val="none"/>
              </w:rPr>
              <w:t>展信息安全规划建设、维护、事件处理等相关</w:t>
            </w:r>
            <w:r>
              <w:rPr>
                <w:rFonts w:hint="eastAsia" w:ascii="宋体" w:hAnsi="宋体" w:eastAsia="宋体" w:cs="宋体"/>
                <w:color w:val="auto"/>
                <w:spacing w:val="8"/>
                <w:sz w:val="24"/>
                <w:szCs w:val="24"/>
                <w:highlight w:val="none"/>
              </w:rPr>
              <w:t>技</w:t>
            </w:r>
            <w:r>
              <w:rPr>
                <w:rFonts w:hint="eastAsia" w:ascii="宋体" w:hAnsi="宋体" w:eastAsia="宋体" w:cs="宋体"/>
                <w:color w:val="auto"/>
                <w:spacing w:val="5"/>
                <w:sz w:val="24"/>
                <w:szCs w:val="24"/>
                <w:highlight w:val="none"/>
              </w:rPr>
              <w:t>术工作。</w:t>
            </w:r>
          </w:p>
        </w:tc>
        <w:tc>
          <w:tcPr>
            <w:tcW w:w="1290" w:type="dxa"/>
            <w:vAlign w:val="center"/>
          </w:tcPr>
          <w:p w14:paraId="4DA2BB38">
            <w:pPr>
              <w:spacing w:line="240" w:lineRule="auto"/>
              <w:jc w:val="both"/>
              <w:rPr>
                <w:rFonts w:hint="eastAsia" w:ascii="宋体" w:hAnsi="宋体" w:eastAsia="宋体" w:cs="宋体"/>
                <w:color w:val="auto"/>
                <w:sz w:val="24"/>
                <w:szCs w:val="24"/>
                <w:highlight w:val="none"/>
              </w:rPr>
            </w:pPr>
          </w:p>
          <w:p w14:paraId="3B82F89A">
            <w:pPr>
              <w:spacing w:before="26" w:line="240" w:lineRule="auto"/>
              <w:ind w:left="113" w:leftChars="0"/>
              <w:jc w:val="both"/>
              <w:rPr>
                <w:rFonts w:hint="eastAsia" w:ascii="宋体" w:hAnsi="宋体" w:eastAsia="宋体" w:cs="宋体"/>
                <w:snapToGrid w:val="0"/>
                <w:color w:val="auto"/>
                <w:kern w:val="0"/>
                <w:sz w:val="24"/>
                <w:szCs w:val="24"/>
                <w:highlight w:val="none"/>
              </w:rPr>
            </w:pPr>
          </w:p>
        </w:tc>
        <w:tc>
          <w:tcPr>
            <w:tcW w:w="855" w:type="dxa"/>
            <w:vAlign w:val="center"/>
          </w:tcPr>
          <w:p w14:paraId="308F76B5">
            <w:pPr>
              <w:spacing w:line="240" w:lineRule="auto"/>
              <w:jc w:val="both"/>
              <w:rPr>
                <w:rFonts w:hint="eastAsia" w:ascii="宋体" w:hAnsi="宋体" w:eastAsia="宋体" w:cs="宋体"/>
                <w:snapToGrid w:val="0"/>
                <w:color w:val="auto"/>
                <w:kern w:val="0"/>
                <w:sz w:val="24"/>
                <w:szCs w:val="24"/>
                <w:highlight w:val="none"/>
              </w:rPr>
            </w:pPr>
          </w:p>
        </w:tc>
      </w:tr>
      <w:tr w14:paraId="04C9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854" w:type="dxa"/>
            <w:vAlign w:val="center"/>
          </w:tcPr>
          <w:p w14:paraId="7C32C288">
            <w:pPr>
              <w:spacing w:before="65"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p w14:paraId="3354E8FD">
            <w:pPr>
              <w:spacing w:before="65" w:line="240" w:lineRule="auto"/>
              <w:jc w:val="center"/>
              <w:rPr>
                <w:rFonts w:hint="eastAsia" w:ascii="宋体" w:hAnsi="宋体" w:eastAsia="宋体" w:cs="宋体"/>
                <w:snapToGrid w:val="0"/>
                <w:color w:val="auto"/>
                <w:kern w:val="0"/>
                <w:sz w:val="24"/>
                <w:szCs w:val="24"/>
                <w:highlight w:val="none"/>
              </w:rPr>
            </w:pPr>
          </w:p>
        </w:tc>
        <w:tc>
          <w:tcPr>
            <w:tcW w:w="839" w:type="dxa"/>
            <w:vAlign w:val="center"/>
          </w:tcPr>
          <w:p w14:paraId="69B8AB7C">
            <w:pPr>
              <w:spacing w:before="210" w:line="240" w:lineRule="auto"/>
              <w:ind w:right="106" w:rightChars="0"/>
              <w:jc w:val="center"/>
              <w:rPr>
                <w:rFonts w:hint="eastAsia" w:ascii="宋体" w:hAnsi="宋体" w:eastAsia="宋体" w:cs="宋体"/>
                <w:color w:val="auto"/>
                <w:spacing w:val="-22"/>
                <w:sz w:val="24"/>
                <w:szCs w:val="24"/>
                <w:highlight w:val="none"/>
                <w:lang w:eastAsia="zh-CN"/>
              </w:rPr>
            </w:pPr>
            <w:r>
              <w:rPr>
                <w:rFonts w:hint="eastAsia" w:ascii="宋体" w:hAnsi="宋体" w:eastAsia="宋体" w:cs="宋体"/>
                <w:color w:val="auto"/>
                <w:spacing w:val="-22"/>
                <w:sz w:val="24"/>
                <w:szCs w:val="24"/>
                <w:highlight w:val="none"/>
                <w:lang w:eastAsia="zh-CN"/>
              </w:rPr>
              <w:t>网络安全自查检查服务</w:t>
            </w:r>
          </w:p>
          <w:p w14:paraId="275CECCA">
            <w:pPr>
              <w:spacing w:before="210" w:line="240" w:lineRule="auto"/>
              <w:ind w:right="106" w:rightChars="0"/>
              <w:jc w:val="center"/>
              <w:rPr>
                <w:rFonts w:hint="eastAsia" w:ascii="宋体" w:hAnsi="宋体" w:eastAsia="宋体" w:cs="宋体"/>
                <w:snapToGrid w:val="0"/>
                <w:color w:val="auto"/>
                <w:kern w:val="0"/>
                <w:sz w:val="24"/>
                <w:szCs w:val="24"/>
                <w:highlight w:val="none"/>
                <w:lang w:eastAsia="zh-CN"/>
              </w:rPr>
            </w:pPr>
          </w:p>
        </w:tc>
        <w:tc>
          <w:tcPr>
            <w:tcW w:w="792" w:type="dxa"/>
            <w:vAlign w:val="center"/>
          </w:tcPr>
          <w:p w14:paraId="5CC4A591">
            <w:pPr>
              <w:spacing w:before="210" w:line="240" w:lineRule="auto"/>
              <w:ind w:left="112" w:leftChars="0" w:right="107" w:rightChars="0" w:firstLine="16" w:firstLine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6"/>
                <w:sz w:val="24"/>
                <w:szCs w:val="24"/>
                <w:highlight w:val="none"/>
                <w:lang w:eastAsia="zh-CN"/>
              </w:rPr>
              <w:t>网络安全自查检查服务</w:t>
            </w:r>
          </w:p>
        </w:tc>
        <w:tc>
          <w:tcPr>
            <w:tcW w:w="5639" w:type="dxa"/>
            <w:vAlign w:val="center"/>
          </w:tcPr>
          <w:p w14:paraId="60193237">
            <w:pPr>
              <w:spacing w:before="52" w:line="240" w:lineRule="auto"/>
              <w:ind w:left="111" w:leftChars="0" w:right="106" w:rightChars="0"/>
              <w:jc w:val="both"/>
              <w:rPr>
                <w:rFonts w:hint="eastAsia" w:ascii="宋体" w:hAnsi="宋体" w:eastAsia="宋体" w:cs="宋体"/>
                <w:color w:val="auto"/>
                <w:spacing w:val="14"/>
                <w:sz w:val="24"/>
                <w:szCs w:val="24"/>
                <w:highlight w:val="none"/>
              </w:rPr>
            </w:pPr>
            <w:r>
              <w:rPr>
                <w:rFonts w:hint="eastAsia" w:ascii="宋体" w:hAnsi="宋体" w:eastAsia="宋体" w:cs="宋体"/>
                <w:color w:val="auto"/>
                <w:spacing w:val="13"/>
                <w:sz w:val="24"/>
                <w:szCs w:val="24"/>
                <w:highlight w:val="none"/>
              </w:rPr>
              <w:t>在监管单位网络安全检查前，协助</w:t>
            </w:r>
            <w:r>
              <w:rPr>
                <w:rFonts w:hint="eastAsia" w:ascii="宋体" w:hAnsi="宋体" w:eastAsia="宋体" w:cs="宋体"/>
                <w:color w:val="auto"/>
                <w:spacing w:val="13"/>
                <w:sz w:val="24"/>
                <w:szCs w:val="24"/>
                <w:highlight w:val="none"/>
                <w:lang w:eastAsia="zh-CN"/>
              </w:rPr>
              <w:t>甲方</w:t>
            </w:r>
            <w:r>
              <w:rPr>
                <w:rFonts w:hint="eastAsia" w:ascii="宋体" w:hAnsi="宋体" w:eastAsia="宋体" w:cs="宋体"/>
                <w:color w:val="auto"/>
                <w:spacing w:val="13"/>
                <w:sz w:val="24"/>
                <w:szCs w:val="24"/>
                <w:highlight w:val="none"/>
              </w:rPr>
              <w:t>对</w:t>
            </w:r>
            <w:r>
              <w:rPr>
                <w:rFonts w:hint="eastAsia" w:ascii="宋体" w:hAnsi="宋体" w:eastAsia="宋体" w:cs="宋体"/>
                <w:color w:val="auto"/>
                <w:spacing w:val="12"/>
                <w:sz w:val="24"/>
                <w:szCs w:val="24"/>
                <w:highlight w:val="none"/>
              </w:rPr>
              <w:t>信息系统进行网络安全检查工作，整理和汇总</w:t>
            </w:r>
            <w:r>
              <w:rPr>
                <w:rFonts w:hint="eastAsia" w:ascii="宋体" w:hAnsi="宋体" w:eastAsia="宋体" w:cs="宋体"/>
                <w:color w:val="auto"/>
                <w:spacing w:val="8"/>
                <w:sz w:val="24"/>
                <w:szCs w:val="24"/>
                <w:highlight w:val="none"/>
              </w:rPr>
              <w:t>检查所需信息，如：资产信息、日常运维报告等</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4"/>
                <w:sz w:val="24"/>
                <w:szCs w:val="24"/>
                <w:highlight w:val="none"/>
              </w:rPr>
              <w:t>并</w:t>
            </w:r>
            <w:r>
              <w:rPr>
                <w:rFonts w:hint="eastAsia" w:ascii="宋体" w:hAnsi="宋体" w:eastAsia="宋体" w:cs="宋体"/>
                <w:color w:val="auto"/>
                <w:spacing w:val="17"/>
                <w:sz w:val="24"/>
                <w:szCs w:val="24"/>
                <w:highlight w:val="none"/>
              </w:rPr>
              <w:t>对</w:t>
            </w:r>
            <w:r>
              <w:rPr>
                <w:rFonts w:hint="eastAsia" w:ascii="宋体" w:hAnsi="宋体" w:eastAsia="宋体" w:cs="宋体"/>
                <w:color w:val="auto"/>
                <w:spacing w:val="12"/>
                <w:sz w:val="24"/>
                <w:szCs w:val="24"/>
                <w:highlight w:val="none"/>
              </w:rPr>
              <w:t>检查发现的安全威胁进行验证和确认，针对发</w:t>
            </w:r>
            <w:r>
              <w:rPr>
                <w:rFonts w:hint="eastAsia" w:ascii="宋体" w:hAnsi="宋体" w:eastAsia="宋体" w:cs="宋体"/>
                <w:color w:val="auto"/>
                <w:spacing w:val="9"/>
                <w:sz w:val="24"/>
                <w:szCs w:val="24"/>
                <w:highlight w:val="none"/>
              </w:rPr>
              <w:t>现的问题进行整改，出具检查和整改报告</w:t>
            </w:r>
            <w:r>
              <w:rPr>
                <w:rFonts w:hint="eastAsia" w:ascii="宋体" w:hAnsi="宋体" w:eastAsia="宋体" w:cs="宋体"/>
                <w:color w:val="auto"/>
                <w:spacing w:val="7"/>
                <w:sz w:val="24"/>
                <w:szCs w:val="24"/>
                <w:highlight w:val="none"/>
              </w:rPr>
              <w:t>。</w:t>
            </w:r>
          </w:p>
        </w:tc>
        <w:tc>
          <w:tcPr>
            <w:tcW w:w="1290" w:type="dxa"/>
            <w:vAlign w:val="center"/>
          </w:tcPr>
          <w:p w14:paraId="37DBCFBF">
            <w:pPr>
              <w:spacing w:before="208" w:line="240" w:lineRule="auto"/>
              <w:ind w:left="114" w:leftChars="0" w:right="105" w:rightChars="0" w:firstLine="5" w:firstLineChars="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9"/>
                <w:sz w:val="24"/>
                <w:szCs w:val="24"/>
                <w:highlight w:val="none"/>
              </w:rPr>
              <w:t>《网络安</w:t>
            </w:r>
            <w:r>
              <w:rPr>
                <w:rFonts w:hint="eastAsia" w:ascii="宋体" w:hAnsi="宋体" w:eastAsia="宋体" w:cs="宋体"/>
                <w:color w:val="auto"/>
                <w:spacing w:val="11"/>
                <w:sz w:val="24"/>
                <w:szCs w:val="24"/>
                <w:highlight w:val="none"/>
              </w:rPr>
              <w:t>全</w:t>
            </w:r>
            <w:r>
              <w:rPr>
                <w:rFonts w:hint="eastAsia" w:ascii="宋体" w:hAnsi="宋体" w:eastAsia="宋体" w:cs="宋体"/>
                <w:color w:val="auto"/>
                <w:spacing w:val="10"/>
                <w:sz w:val="24"/>
                <w:szCs w:val="24"/>
                <w:highlight w:val="none"/>
              </w:rPr>
              <w:t>自查</w:t>
            </w:r>
            <w:r>
              <w:rPr>
                <w:rFonts w:hint="eastAsia" w:ascii="宋体" w:hAnsi="宋体" w:eastAsia="宋体" w:cs="宋体"/>
                <w:color w:val="auto"/>
                <w:spacing w:val="10"/>
                <w:sz w:val="24"/>
                <w:szCs w:val="24"/>
                <w:highlight w:val="none"/>
                <w:lang w:eastAsia="zh-CN"/>
              </w:rPr>
              <w:t>检查</w:t>
            </w:r>
            <w:r>
              <w:rPr>
                <w:rFonts w:hint="eastAsia" w:ascii="宋体" w:hAnsi="宋体" w:eastAsia="宋体" w:cs="宋体"/>
                <w:color w:val="auto"/>
                <w:spacing w:val="10"/>
                <w:sz w:val="24"/>
                <w:szCs w:val="24"/>
                <w:highlight w:val="none"/>
              </w:rPr>
              <w:t>和</w:t>
            </w:r>
            <w:r>
              <w:rPr>
                <w:rFonts w:hint="eastAsia" w:ascii="宋体" w:hAnsi="宋体" w:eastAsia="宋体" w:cs="宋体"/>
                <w:color w:val="auto"/>
                <w:spacing w:val="9"/>
                <w:sz w:val="24"/>
                <w:szCs w:val="24"/>
                <w:highlight w:val="none"/>
              </w:rPr>
              <w:t>整</w:t>
            </w:r>
            <w:r>
              <w:rPr>
                <w:rFonts w:hint="eastAsia" w:ascii="宋体" w:hAnsi="宋体" w:eastAsia="宋体" w:cs="宋体"/>
                <w:color w:val="auto"/>
                <w:spacing w:val="8"/>
                <w:sz w:val="24"/>
                <w:szCs w:val="24"/>
                <w:highlight w:val="none"/>
              </w:rPr>
              <w:t>改报</w:t>
            </w:r>
            <w:r>
              <w:rPr>
                <w:rFonts w:hint="eastAsia" w:ascii="宋体" w:hAnsi="宋体" w:eastAsia="宋体" w:cs="宋体"/>
                <w:color w:val="auto"/>
                <w:sz w:val="24"/>
                <w:szCs w:val="24"/>
                <w:highlight w:val="none"/>
              </w:rPr>
              <w:t>告》</w:t>
            </w:r>
          </w:p>
        </w:tc>
        <w:tc>
          <w:tcPr>
            <w:tcW w:w="855" w:type="dxa"/>
            <w:vAlign w:val="center"/>
          </w:tcPr>
          <w:p w14:paraId="29AE3C42">
            <w:pPr>
              <w:spacing w:before="207" w:line="240" w:lineRule="auto"/>
              <w:ind w:left="115" w:leftChars="0" w:right="109" w:rightChars="0" w:firstLine="11"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12"/>
                <w:sz w:val="24"/>
                <w:szCs w:val="24"/>
                <w:highlight w:val="none"/>
              </w:rPr>
              <w:t>需双</w:t>
            </w:r>
            <w:r>
              <w:rPr>
                <w:rFonts w:hint="eastAsia" w:ascii="宋体" w:hAnsi="宋体" w:eastAsia="宋体" w:cs="宋体"/>
                <w:color w:val="auto"/>
                <w:spacing w:val="18"/>
                <w:sz w:val="24"/>
                <w:szCs w:val="24"/>
                <w:highlight w:val="none"/>
              </w:rPr>
              <w:t>方签字确</w:t>
            </w:r>
            <w:r>
              <w:rPr>
                <w:rFonts w:hint="eastAsia" w:ascii="宋体" w:hAnsi="宋体" w:eastAsia="宋体" w:cs="宋体"/>
                <w:color w:val="auto"/>
                <w:sz w:val="24"/>
                <w:szCs w:val="24"/>
                <w:highlight w:val="none"/>
              </w:rPr>
              <w:t>认</w:t>
            </w:r>
          </w:p>
        </w:tc>
      </w:tr>
    </w:tbl>
    <w:p w14:paraId="13451918">
      <w:pPr>
        <w:pStyle w:val="17"/>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驻场要求：驻场人员要具备</w:t>
      </w:r>
      <w:r>
        <w:rPr>
          <w:rFonts w:hint="eastAsia" w:ascii="宋体" w:hAnsi="宋体" w:cs="宋体"/>
          <w:b w:val="0"/>
          <w:color w:val="auto"/>
          <w:sz w:val="24"/>
          <w:szCs w:val="24"/>
          <w:highlight w:val="none"/>
          <w:lang w:eastAsia="zh-CN"/>
        </w:rPr>
        <w:t>相关</w:t>
      </w:r>
      <w:r>
        <w:rPr>
          <w:rFonts w:hint="eastAsia" w:ascii="宋体" w:hAnsi="宋体" w:eastAsia="宋体" w:cs="宋体"/>
          <w:b w:val="0"/>
          <w:color w:val="auto"/>
          <w:sz w:val="24"/>
          <w:szCs w:val="24"/>
          <w:highlight w:val="none"/>
        </w:rPr>
        <w:t>证书，上岗前要进行证书审查。</w:t>
      </w:r>
    </w:p>
    <w:p w14:paraId="69DC409C">
      <w:pPr>
        <w:pStyle w:val="17"/>
        <w:numPr>
          <w:ilvl w:val="0"/>
          <w:numId w:val="18"/>
        </w:numPr>
        <w:spacing w:line="240" w:lineRule="auto"/>
        <w:ind w:left="0" w:leftChars="0" w:firstLine="0" w:firstLineChars="0"/>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驻场办公设备运维工作主要内容</w:t>
      </w:r>
    </w:p>
    <w:tbl>
      <w:tblPr>
        <w:tblStyle w:val="38"/>
        <w:tblW w:w="9963"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6"/>
        <w:gridCol w:w="1816"/>
        <w:gridCol w:w="1357"/>
        <w:gridCol w:w="6184"/>
      </w:tblGrid>
      <w:tr w14:paraId="5E87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6184" w:type="dxa"/>
            <w:gridSpan w:val="4"/>
            <w:shd w:val="clear" w:color="auto" w:fill="auto"/>
            <w:noWrap/>
            <w:vAlign w:val="center"/>
          </w:tcPr>
          <w:p w14:paraId="17B417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color w:val="auto"/>
                <w:kern w:val="0"/>
                <w:sz w:val="28"/>
                <w:szCs w:val="28"/>
                <w:highlight w:val="none"/>
                <w:u w:val="none"/>
                <w:lang w:val="en-US" w:eastAsia="zh-CN" w:bidi="ar"/>
              </w:rPr>
              <w:t>驻场办公设备运维</w:t>
            </w:r>
            <w:r>
              <w:rPr>
                <w:rFonts w:hint="eastAsia" w:ascii="宋体" w:hAnsi="宋体" w:eastAsia="宋体" w:cs="宋体"/>
                <w:b/>
                <w:bCs/>
                <w:i w:val="0"/>
                <w:iCs w:val="0"/>
                <w:color w:val="auto"/>
                <w:kern w:val="0"/>
                <w:sz w:val="28"/>
                <w:szCs w:val="28"/>
                <w:highlight w:val="none"/>
                <w:u w:val="none"/>
                <w:lang w:val="en-US" w:eastAsia="zh-CN" w:bidi="ar"/>
              </w:rPr>
              <w:t>服务清单</w:t>
            </w:r>
          </w:p>
        </w:tc>
      </w:tr>
      <w:tr w14:paraId="633D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0" w:type="auto"/>
            <w:shd w:val="clear" w:color="auto" w:fill="auto"/>
            <w:vAlign w:val="center"/>
          </w:tcPr>
          <w:p w14:paraId="10402A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0" w:type="auto"/>
            <w:shd w:val="clear" w:color="auto" w:fill="auto"/>
            <w:vAlign w:val="center"/>
          </w:tcPr>
          <w:p w14:paraId="7630D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服务大类</w:t>
            </w:r>
          </w:p>
        </w:tc>
        <w:tc>
          <w:tcPr>
            <w:tcW w:w="0" w:type="auto"/>
            <w:shd w:val="clear" w:color="auto" w:fill="auto"/>
            <w:vAlign w:val="center"/>
          </w:tcPr>
          <w:p w14:paraId="7FF20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服务子项</w:t>
            </w:r>
          </w:p>
        </w:tc>
        <w:tc>
          <w:tcPr>
            <w:tcW w:w="6184" w:type="dxa"/>
            <w:shd w:val="clear" w:color="auto" w:fill="auto"/>
            <w:vAlign w:val="center"/>
          </w:tcPr>
          <w:p w14:paraId="45355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服务内容详情</w:t>
            </w:r>
          </w:p>
        </w:tc>
      </w:tr>
      <w:tr w14:paraId="200A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5FCD7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vMerge w:val="restart"/>
            <w:shd w:val="clear" w:color="auto" w:fill="auto"/>
            <w:vAlign w:val="center"/>
          </w:tcPr>
          <w:p w14:paraId="5CB6D0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办公终端运维</w:t>
            </w:r>
          </w:p>
        </w:tc>
        <w:tc>
          <w:tcPr>
            <w:tcW w:w="0" w:type="auto"/>
            <w:shd w:val="clear" w:color="auto" w:fill="auto"/>
            <w:vAlign w:val="center"/>
          </w:tcPr>
          <w:p w14:paraId="7CBB70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网络接入与故障排查</w:t>
            </w:r>
          </w:p>
        </w:tc>
        <w:tc>
          <w:tcPr>
            <w:tcW w:w="6184" w:type="dxa"/>
            <w:shd w:val="clear" w:color="auto" w:fill="auto"/>
            <w:vAlign w:val="center"/>
          </w:tcPr>
          <w:p w14:paraId="75410B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负责所有办公电脑的网络接入调试、网络故障排查，建立信息点台账并定期巡检</w:t>
            </w:r>
          </w:p>
        </w:tc>
      </w:tr>
      <w:tr w14:paraId="51C5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000D3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vMerge w:val="continue"/>
            <w:shd w:val="clear" w:color="auto" w:fill="auto"/>
            <w:vAlign w:val="center"/>
          </w:tcPr>
          <w:p w14:paraId="737CD414">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4D362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操作系统维护</w:t>
            </w:r>
          </w:p>
        </w:tc>
        <w:tc>
          <w:tcPr>
            <w:tcW w:w="6184" w:type="dxa"/>
            <w:shd w:val="clear" w:color="auto" w:fill="auto"/>
            <w:vAlign w:val="center"/>
          </w:tcPr>
          <w:p w14:paraId="14349C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对操作系统进行维护、修复、优化与重装，处理蓝屏、卡顿、启动异常等问题</w:t>
            </w:r>
          </w:p>
        </w:tc>
      </w:tr>
      <w:tr w14:paraId="76ED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1AC11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vMerge w:val="continue"/>
            <w:shd w:val="clear" w:color="auto" w:fill="auto"/>
            <w:vAlign w:val="center"/>
          </w:tcPr>
          <w:p w14:paraId="60C7DE22">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185C3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软件安装调试</w:t>
            </w:r>
          </w:p>
        </w:tc>
        <w:tc>
          <w:tcPr>
            <w:tcW w:w="6184" w:type="dxa"/>
            <w:shd w:val="clear" w:color="auto" w:fill="auto"/>
            <w:vAlign w:val="center"/>
          </w:tcPr>
          <w:p w14:paraId="12ACD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按需求安装、调试、升级办公软件及业务软件</w:t>
            </w:r>
          </w:p>
        </w:tc>
      </w:tr>
      <w:tr w14:paraId="23DC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71D5F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vMerge w:val="continue"/>
            <w:shd w:val="clear" w:color="auto" w:fill="auto"/>
            <w:vAlign w:val="center"/>
          </w:tcPr>
          <w:p w14:paraId="7D0BFC39">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60E62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硬件故障处理</w:t>
            </w:r>
          </w:p>
        </w:tc>
        <w:tc>
          <w:tcPr>
            <w:tcW w:w="6184" w:type="dxa"/>
            <w:shd w:val="clear" w:color="auto" w:fill="auto"/>
            <w:vAlign w:val="center"/>
          </w:tcPr>
          <w:p w14:paraId="522CE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对电脑硬件故障进行检测定位，在保设备对接厂家售后，非在保设备进行拆机测试、配件替换，保障终端正常使用</w:t>
            </w:r>
          </w:p>
        </w:tc>
      </w:tr>
      <w:tr w14:paraId="7C10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7B259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vMerge w:val="restart"/>
            <w:shd w:val="clear" w:color="auto" w:fill="auto"/>
            <w:vAlign w:val="center"/>
          </w:tcPr>
          <w:p w14:paraId="72227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办公外设运维</w:t>
            </w:r>
          </w:p>
        </w:tc>
        <w:tc>
          <w:tcPr>
            <w:tcW w:w="0" w:type="auto"/>
            <w:shd w:val="clear" w:color="auto" w:fill="auto"/>
            <w:vAlign w:val="center"/>
          </w:tcPr>
          <w:p w14:paraId="71BCBB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外设故障处理</w:t>
            </w:r>
          </w:p>
        </w:tc>
        <w:tc>
          <w:tcPr>
            <w:tcW w:w="6184" w:type="dxa"/>
            <w:shd w:val="clear" w:color="auto" w:fill="auto"/>
            <w:vAlign w:val="center"/>
          </w:tcPr>
          <w:p w14:paraId="10D67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负责打印机、复印机、扫描仪等外设故障处理，解决无法连接、打印异常、卡纸、出墨异常、驱动失效等问题</w:t>
            </w:r>
          </w:p>
        </w:tc>
      </w:tr>
      <w:tr w14:paraId="0C04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72C22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vMerge w:val="continue"/>
            <w:shd w:val="clear" w:color="auto" w:fill="auto"/>
            <w:vAlign w:val="center"/>
          </w:tcPr>
          <w:p w14:paraId="5E3C3041">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025ED5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驱动安装升级</w:t>
            </w:r>
          </w:p>
        </w:tc>
        <w:tc>
          <w:tcPr>
            <w:tcW w:w="6184" w:type="dxa"/>
            <w:shd w:val="clear" w:color="auto" w:fill="auto"/>
            <w:vAlign w:val="center"/>
          </w:tcPr>
          <w:p w14:paraId="3C3CC7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完成所有办公设备驱动安装、升级与调试</w:t>
            </w:r>
          </w:p>
        </w:tc>
      </w:tr>
      <w:tr w14:paraId="5A96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7BDA8C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vMerge w:val="continue"/>
            <w:shd w:val="clear" w:color="auto" w:fill="auto"/>
            <w:vAlign w:val="center"/>
          </w:tcPr>
          <w:p w14:paraId="2434A393">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36DF99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线路布线与测试</w:t>
            </w:r>
          </w:p>
        </w:tc>
        <w:tc>
          <w:tcPr>
            <w:tcW w:w="6184" w:type="dxa"/>
            <w:shd w:val="clear" w:color="auto" w:fill="auto"/>
            <w:vAlign w:val="center"/>
          </w:tcPr>
          <w:p w14:paraId="4448F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按标准制作网线、电话线，做好端接、测试、布线整理与标识，保障通信链路稳定</w:t>
            </w:r>
          </w:p>
        </w:tc>
      </w:tr>
      <w:tr w14:paraId="017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28EB2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vMerge w:val="restart"/>
            <w:shd w:val="clear" w:color="auto" w:fill="auto"/>
            <w:vAlign w:val="center"/>
          </w:tcPr>
          <w:p w14:paraId="63FCC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会议设备运维</w:t>
            </w:r>
          </w:p>
        </w:tc>
        <w:tc>
          <w:tcPr>
            <w:tcW w:w="0" w:type="auto"/>
            <w:shd w:val="clear" w:color="auto" w:fill="auto"/>
            <w:vAlign w:val="center"/>
          </w:tcPr>
          <w:p w14:paraId="56387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会议终端维护</w:t>
            </w:r>
          </w:p>
        </w:tc>
        <w:tc>
          <w:tcPr>
            <w:tcW w:w="6184" w:type="dxa"/>
            <w:shd w:val="clear" w:color="auto" w:fill="auto"/>
            <w:vAlign w:val="center"/>
          </w:tcPr>
          <w:p w14:paraId="51FB5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负责会议终端日常维护、故障排查与系统优化。故障主机更换须与原设备品牌、型号、配置完全一致，满足指定硬件参数要求</w:t>
            </w:r>
          </w:p>
        </w:tc>
      </w:tr>
      <w:tr w14:paraId="5786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22BF9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vMerge w:val="continue"/>
            <w:shd w:val="clear" w:color="auto" w:fill="auto"/>
            <w:vAlign w:val="center"/>
          </w:tcPr>
          <w:p w14:paraId="474026C3">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0A925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会议摄像头运维</w:t>
            </w:r>
          </w:p>
        </w:tc>
        <w:tc>
          <w:tcPr>
            <w:tcW w:w="6184" w:type="dxa"/>
            <w:shd w:val="clear" w:color="auto" w:fill="auto"/>
            <w:vAlign w:val="center"/>
          </w:tcPr>
          <w:p w14:paraId="4E050B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负责会议摄像头安装、调试、布线、维护，确保画面清晰、传输稳定</w:t>
            </w:r>
          </w:p>
        </w:tc>
      </w:tr>
      <w:tr w14:paraId="208F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1BA2C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vMerge w:val="continue"/>
            <w:shd w:val="clear" w:color="auto" w:fill="auto"/>
            <w:vAlign w:val="center"/>
          </w:tcPr>
          <w:p w14:paraId="0E61E326">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4D7B0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会议全程技术支持</w:t>
            </w:r>
          </w:p>
        </w:tc>
        <w:tc>
          <w:tcPr>
            <w:tcW w:w="6184" w:type="dxa"/>
            <w:shd w:val="clear" w:color="auto" w:fill="auto"/>
            <w:vAlign w:val="center"/>
          </w:tcPr>
          <w:p w14:paraId="156E4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为本地及线上会议提供会前联调、会中保障、会后整理全程技术支持，重要会议提前完成设备巡检与隐患排查</w:t>
            </w:r>
          </w:p>
        </w:tc>
      </w:tr>
      <w:tr w14:paraId="75A7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1B665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vMerge w:val="restart"/>
            <w:shd w:val="clear" w:color="auto" w:fill="auto"/>
            <w:vAlign w:val="center"/>
          </w:tcPr>
          <w:p w14:paraId="1BA5C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公共显示设备运维</w:t>
            </w:r>
          </w:p>
        </w:tc>
        <w:tc>
          <w:tcPr>
            <w:tcW w:w="0" w:type="auto"/>
            <w:shd w:val="clear" w:color="auto" w:fill="auto"/>
            <w:vAlign w:val="center"/>
          </w:tcPr>
          <w:p w14:paraId="3DE42B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显示屏日常调控</w:t>
            </w:r>
          </w:p>
        </w:tc>
        <w:tc>
          <w:tcPr>
            <w:tcW w:w="6184" w:type="dxa"/>
            <w:shd w:val="clear" w:color="auto" w:fill="auto"/>
            <w:vAlign w:val="center"/>
          </w:tcPr>
          <w:p w14:paraId="4AD17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负责办公楼LED显示屏日常内容设置、播放调控、亮度与画面校正</w:t>
            </w:r>
          </w:p>
        </w:tc>
      </w:tr>
      <w:tr w14:paraId="6C78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7A8D33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vMerge w:val="continue"/>
            <w:shd w:val="clear" w:color="auto" w:fill="auto"/>
            <w:vAlign w:val="center"/>
          </w:tcPr>
          <w:p w14:paraId="798020FD">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11B0A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显示屏故障处理</w:t>
            </w:r>
          </w:p>
        </w:tc>
        <w:tc>
          <w:tcPr>
            <w:tcW w:w="6184" w:type="dxa"/>
            <w:shd w:val="clear" w:color="auto" w:fill="auto"/>
            <w:vAlign w:val="center"/>
          </w:tcPr>
          <w:p w14:paraId="4A8D9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定期检查显示屏运行状态，及时处理黑屏、花屏、卡顿等故障，确保显示清晰、播放稳定，满足日常宣传与信息发布需求</w:t>
            </w:r>
          </w:p>
        </w:tc>
      </w:tr>
      <w:tr w14:paraId="0912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32CF6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vMerge w:val="restart"/>
            <w:shd w:val="clear" w:color="auto" w:fill="auto"/>
            <w:vAlign w:val="center"/>
          </w:tcPr>
          <w:p w14:paraId="3A4C9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机房环境运维</w:t>
            </w:r>
          </w:p>
        </w:tc>
        <w:tc>
          <w:tcPr>
            <w:tcW w:w="0" w:type="auto"/>
            <w:shd w:val="clear" w:color="auto" w:fill="auto"/>
            <w:vAlign w:val="center"/>
          </w:tcPr>
          <w:p w14:paraId="509021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机房环境管理</w:t>
            </w:r>
          </w:p>
        </w:tc>
        <w:tc>
          <w:tcPr>
            <w:tcW w:w="6184" w:type="dxa"/>
            <w:shd w:val="clear" w:color="auto" w:fill="auto"/>
            <w:vAlign w:val="center"/>
          </w:tcPr>
          <w:p w14:paraId="27E9A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定期对机房进行清洁、除尘、线路规整，保持机房整洁、干燥、通风</w:t>
            </w:r>
          </w:p>
        </w:tc>
      </w:tr>
      <w:tr w14:paraId="78DD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36D8E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vMerge w:val="continue"/>
            <w:shd w:val="clear" w:color="auto" w:fill="auto"/>
            <w:vAlign w:val="center"/>
          </w:tcPr>
          <w:p w14:paraId="38463B73">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70204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机房设备巡检</w:t>
            </w:r>
          </w:p>
        </w:tc>
        <w:tc>
          <w:tcPr>
            <w:tcW w:w="6184" w:type="dxa"/>
            <w:shd w:val="clear" w:color="auto" w:fill="auto"/>
            <w:vAlign w:val="center"/>
          </w:tcPr>
          <w:p w14:paraId="6D26F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对机房网络设备、服务器、配线架、终端模块进行日常巡检，记录运行状态，及时上报异常隐患，配合完成安全处置与故障修复</w:t>
            </w:r>
          </w:p>
        </w:tc>
      </w:tr>
      <w:tr w14:paraId="798F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5EBBE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vMerge w:val="restart"/>
            <w:shd w:val="clear" w:color="auto" w:fill="auto"/>
            <w:vAlign w:val="center"/>
          </w:tcPr>
          <w:p w14:paraId="2C8B6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资产台账管理</w:t>
            </w:r>
          </w:p>
        </w:tc>
        <w:tc>
          <w:tcPr>
            <w:tcW w:w="0" w:type="auto"/>
            <w:shd w:val="clear" w:color="auto" w:fill="auto"/>
            <w:vAlign w:val="center"/>
          </w:tcPr>
          <w:p w14:paraId="5CB5A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资产台账建立</w:t>
            </w:r>
          </w:p>
        </w:tc>
        <w:tc>
          <w:tcPr>
            <w:tcW w:w="6184" w:type="dxa"/>
            <w:shd w:val="clear" w:color="auto" w:fill="auto"/>
            <w:vAlign w:val="center"/>
          </w:tcPr>
          <w:p w14:paraId="6BDC3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全面梳理单位及下属单位信息化资产，包含计算机、打印机、网络设备、会议设备、显示设备等，建立完整资产台账</w:t>
            </w:r>
          </w:p>
        </w:tc>
      </w:tr>
      <w:tr w14:paraId="1F3D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46F86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vMerge w:val="continue"/>
            <w:shd w:val="clear" w:color="auto" w:fill="auto"/>
            <w:vAlign w:val="center"/>
          </w:tcPr>
          <w:p w14:paraId="2522B5BA">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3EE0AD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资产动态管理</w:t>
            </w:r>
          </w:p>
        </w:tc>
        <w:tc>
          <w:tcPr>
            <w:tcW w:w="6184" w:type="dxa"/>
            <w:shd w:val="clear" w:color="auto" w:fill="auto"/>
            <w:vAlign w:val="center"/>
          </w:tcPr>
          <w:p w14:paraId="6B275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动态更新资产信息，记录新增、调拨、维修、报废全流程，确保账实相符</w:t>
            </w:r>
          </w:p>
        </w:tc>
      </w:tr>
      <w:tr w14:paraId="00ED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54261C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vMerge w:val="continue"/>
            <w:shd w:val="clear" w:color="auto" w:fill="auto"/>
            <w:vAlign w:val="center"/>
          </w:tcPr>
          <w:p w14:paraId="37BB851D">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291DB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服务文档归档</w:t>
            </w:r>
          </w:p>
        </w:tc>
        <w:tc>
          <w:tcPr>
            <w:tcW w:w="6184" w:type="dxa"/>
            <w:shd w:val="clear" w:color="auto" w:fill="auto"/>
            <w:vAlign w:val="center"/>
          </w:tcPr>
          <w:p w14:paraId="47419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按要求提交事件处理报告、日常巡检报告、月度及季度服务报告，所有文档按统一格式整理、签字、归档</w:t>
            </w:r>
          </w:p>
        </w:tc>
      </w:tr>
      <w:tr w14:paraId="50F5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65088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vMerge w:val="restart"/>
            <w:shd w:val="clear" w:color="auto" w:fill="auto"/>
            <w:vAlign w:val="center"/>
          </w:tcPr>
          <w:p w14:paraId="18870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综合保障服务</w:t>
            </w:r>
          </w:p>
        </w:tc>
        <w:tc>
          <w:tcPr>
            <w:tcW w:w="0" w:type="auto"/>
            <w:shd w:val="clear" w:color="auto" w:fill="auto"/>
            <w:vAlign w:val="center"/>
          </w:tcPr>
          <w:p w14:paraId="737C5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业务平台技术支持</w:t>
            </w:r>
          </w:p>
        </w:tc>
        <w:tc>
          <w:tcPr>
            <w:tcW w:w="6184" w:type="dxa"/>
            <w:shd w:val="clear" w:color="auto" w:fill="auto"/>
            <w:vAlign w:val="center"/>
          </w:tcPr>
          <w:p w14:paraId="0AA66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为指挥调度平台提供日常使用协助、问题解答与技术支持</w:t>
            </w:r>
          </w:p>
        </w:tc>
      </w:tr>
      <w:tr w14:paraId="6C2B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661D8F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vMerge w:val="continue"/>
            <w:shd w:val="clear" w:color="auto" w:fill="auto"/>
            <w:vAlign w:val="center"/>
          </w:tcPr>
          <w:p w14:paraId="34140BDE">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120465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第三方协同对接</w:t>
            </w:r>
          </w:p>
        </w:tc>
        <w:tc>
          <w:tcPr>
            <w:tcW w:w="6184" w:type="dxa"/>
            <w:shd w:val="clear" w:color="auto" w:fill="auto"/>
            <w:vAlign w:val="center"/>
          </w:tcPr>
          <w:p w14:paraId="0552B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对接运营商、设备厂商等第三方单位，协同处理线路、设备、系统故障，全程跟踪进度并及时反馈</w:t>
            </w:r>
          </w:p>
        </w:tc>
      </w:tr>
      <w:tr w14:paraId="6468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40EA4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vMerge w:val="continue"/>
            <w:shd w:val="clear" w:color="auto" w:fill="auto"/>
            <w:vAlign w:val="center"/>
          </w:tcPr>
          <w:p w14:paraId="304A6C0C">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6F2C0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关键时段应急保障</w:t>
            </w:r>
          </w:p>
        </w:tc>
        <w:tc>
          <w:tcPr>
            <w:tcW w:w="6184" w:type="dxa"/>
            <w:shd w:val="clear" w:color="auto" w:fill="auto"/>
            <w:vAlign w:val="center"/>
          </w:tcPr>
          <w:p w14:paraId="6C4FA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在重要会议、节假日等关键时段提供7×24小时响应保障，强化巡检、提前排查隐患，确保业务不间断</w:t>
            </w:r>
          </w:p>
        </w:tc>
      </w:tr>
      <w:tr w14:paraId="79E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72C58D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vMerge w:val="restart"/>
            <w:shd w:val="clear" w:color="auto" w:fill="auto"/>
            <w:vAlign w:val="center"/>
          </w:tcPr>
          <w:p w14:paraId="44831C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服务管理要求</w:t>
            </w:r>
          </w:p>
        </w:tc>
        <w:tc>
          <w:tcPr>
            <w:tcW w:w="0" w:type="auto"/>
            <w:shd w:val="clear" w:color="auto" w:fill="auto"/>
            <w:vAlign w:val="center"/>
          </w:tcPr>
          <w:p w14:paraId="1A278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人员在岗管理</w:t>
            </w:r>
          </w:p>
        </w:tc>
        <w:tc>
          <w:tcPr>
            <w:tcW w:w="6184" w:type="dxa"/>
            <w:shd w:val="clear" w:color="auto" w:fill="auto"/>
            <w:vAlign w:val="center"/>
          </w:tcPr>
          <w:p w14:paraId="59114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驻场工程师工作时间与甲方保持一致，不得擅自脱岗、离岗。驻场人员为服务商正式员工，未经甲方书面同意不得随意更换</w:t>
            </w:r>
          </w:p>
        </w:tc>
      </w:tr>
      <w:tr w14:paraId="3F99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14:paraId="6A978E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vMerge w:val="continue"/>
            <w:shd w:val="clear" w:color="auto" w:fill="auto"/>
            <w:vAlign w:val="center"/>
          </w:tcPr>
          <w:p w14:paraId="40FE5F8E">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0" w:type="auto"/>
            <w:shd w:val="clear" w:color="auto" w:fill="auto"/>
            <w:vAlign w:val="center"/>
          </w:tcPr>
          <w:p w14:paraId="74F31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安全保密管理</w:t>
            </w:r>
          </w:p>
        </w:tc>
        <w:tc>
          <w:tcPr>
            <w:tcW w:w="6184" w:type="dxa"/>
            <w:shd w:val="clear" w:color="auto" w:fill="auto"/>
            <w:vAlign w:val="center"/>
          </w:tcPr>
          <w:p w14:paraId="611B9D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严格遵守保密规定与现场管理制度，确保数据安全、设备安全、信息安全</w:t>
            </w:r>
          </w:p>
        </w:tc>
      </w:tr>
      <w:tr w14:paraId="5714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6" w:type="dxa"/>
            <w:shd w:val="clear" w:color="auto" w:fill="auto"/>
            <w:vAlign w:val="center"/>
          </w:tcPr>
          <w:p w14:paraId="60126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243" w:type="dxa"/>
            <w:vMerge w:val="continue"/>
            <w:shd w:val="clear" w:color="auto" w:fill="auto"/>
            <w:vAlign w:val="center"/>
          </w:tcPr>
          <w:p w14:paraId="3846DEFF">
            <w:pPr>
              <w:snapToGrid w:val="0"/>
              <w:ind w:left="0" w:leftChars="0" w:right="0" w:rightChars="0" w:firstLine="0" w:firstLineChars="0"/>
              <w:jc w:val="center"/>
              <w:rPr>
                <w:rFonts w:hint="eastAsia" w:ascii="宋体" w:hAnsi="宋体" w:eastAsia="宋体" w:cs="宋体"/>
                <w:b/>
                <w:bCs/>
                <w:i w:val="0"/>
                <w:iCs w:val="0"/>
                <w:color w:val="auto"/>
                <w:sz w:val="20"/>
                <w:szCs w:val="20"/>
                <w:highlight w:val="none"/>
                <w:u w:val="none"/>
              </w:rPr>
            </w:pPr>
          </w:p>
        </w:tc>
        <w:tc>
          <w:tcPr>
            <w:tcW w:w="1357" w:type="dxa"/>
            <w:shd w:val="clear" w:color="auto" w:fill="auto"/>
            <w:vAlign w:val="center"/>
          </w:tcPr>
          <w:p w14:paraId="34407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响应时效要求</w:t>
            </w:r>
          </w:p>
        </w:tc>
        <w:tc>
          <w:tcPr>
            <w:tcW w:w="6184" w:type="dxa"/>
            <w:shd w:val="clear" w:color="auto" w:fill="auto"/>
            <w:vAlign w:val="center"/>
          </w:tcPr>
          <w:p w14:paraId="5F389B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日常故障即时响应处置，安全事件30分钟内响应，保障服务质量与处置效率</w:t>
            </w:r>
          </w:p>
        </w:tc>
      </w:tr>
    </w:tbl>
    <w:p w14:paraId="7FE0B5E3">
      <w:pPr>
        <w:pStyle w:val="17"/>
        <w:numPr>
          <w:ilvl w:val="-1"/>
          <w:numId w:val="0"/>
        </w:numPr>
        <w:spacing w:line="240" w:lineRule="auto"/>
        <w:ind w:left="0" w:leftChars="0" w:firstLine="0" w:firstLineChars="0"/>
        <w:rPr>
          <w:rFonts w:hint="default" w:ascii="宋体" w:hAnsi="宋体" w:cs="宋体"/>
          <w:b w:val="0"/>
          <w:color w:val="auto"/>
          <w:sz w:val="24"/>
          <w:szCs w:val="24"/>
          <w:highlight w:val="none"/>
          <w:lang w:val="en-US" w:eastAsia="zh-CN"/>
        </w:rPr>
      </w:pPr>
    </w:p>
    <w:p w14:paraId="49C39000">
      <w:pPr>
        <w:pStyle w:val="17"/>
        <w:numPr>
          <w:ilvl w:val="-1"/>
          <w:numId w:val="0"/>
        </w:numPr>
        <w:spacing w:line="240" w:lineRule="auto"/>
        <w:ind w:left="0" w:leftChars="0" w:firstLine="0" w:firstLineChars="0"/>
        <w:rPr>
          <w:rFonts w:hint="default" w:ascii="宋体" w:hAnsi="宋体" w:cs="宋体"/>
          <w:b w:val="0"/>
          <w:color w:val="auto"/>
          <w:sz w:val="24"/>
          <w:szCs w:val="24"/>
          <w:highlight w:val="none"/>
          <w:lang w:val="en-US" w:eastAsia="zh-CN"/>
        </w:rPr>
      </w:pPr>
    </w:p>
    <w:p w14:paraId="3726D436">
      <w:pPr>
        <w:pStyle w:val="17"/>
        <w:numPr>
          <w:ilvl w:val="0"/>
          <w:numId w:val="17"/>
        </w:numPr>
        <w:spacing w:line="240" w:lineRule="auto"/>
        <w:ind w:left="420" w:leftChars="200" w:firstLine="0" w:firstLineChars="0"/>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等级保护主要内容</w:t>
      </w:r>
    </w:p>
    <w:p w14:paraId="1915B637">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1.服务目标</w:t>
      </w:r>
    </w:p>
    <w:p w14:paraId="7230DDEE">
      <w:pPr>
        <w:keepNext w:val="0"/>
        <w:keepLines w:val="0"/>
        <w:pageBreakBefore w:val="0"/>
        <w:widowControl/>
        <w:wordWrap/>
        <w:overflowPunct/>
        <w:topLinePunct/>
        <w:bidi w:val="0"/>
        <w:spacing w:after="120" w:afterAutospacing="0" w:line="560" w:lineRule="exact"/>
        <w:ind w:left="420" w:leftChars="20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本次网络安全等级保护测评服务严格依据《网络安全法》及等保2.0国家标准开展，以单位信息系统合规整改、安全加固、风险管控为总体服务目标。通过专业技术检测、漏洞整改、制度完善，全面排查网络架构、服务器、业务系统、数据管理中存在的安全隐患，修补高危安全漏洞，优化网络安全防护策略。完善安全管理制度与应急处置流程，规范人员运维权限，满足等保合规硬性指标。最终完成公安机关网络安全等级保护备案，取得合格测评报告，消除网络安全风险，防止数据泄露、恶意攻击、系统瘫痪等安全事故，构建稳定、合规、长效的网络安全防护体系，保障单位业务长期安全平稳运行。</w:t>
      </w:r>
    </w:p>
    <w:p w14:paraId="27DEC826">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2.服务范围</w:t>
      </w:r>
    </w:p>
    <w:p w14:paraId="282D2EF8">
      <w:pPr>
        <w:keepNext w:val="0"/>
        <w:keepLines w:val="0"/>
        <w:pageBreakBefore w:val="0"/>
        <w:widowControl/>
        <w:wordWrap/>
        <w:overflowPunct/>
        <w:topLinePunct/>
        <w:bidi w:val="0"/>
        <w:spacing w:after="120" w:afterAutospacing="0" w:line="560" w:lineRule="exact"/>
        <w:ind w:left="420" w:leftChars="20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本次等保服务范围包含4个核心</w:t>
      </w:r>
      <w:r>
        <w:rPr>
          <w:rFonts w:hint="eastAsia" w:ascii="宋体" w:hAnsi="宋体" w:cs="宋体"/>
          <w:b w:val="0"/>
          <w:color w:val="auto"/>
          <w:sz w:val="24"/>
          <w:szCs w:val="24"/>
          <w:highlight w:val="none"/>
          <w:lang w:val="en-US" w:eastAsia="zh-CN"/>
        </w:rPr>
        <w:t>业务</w:t>
      </w:r>
      <w:r>
        <w:rPr>
          <w:rFonts w:hint="eastAsia" w:ascii="宋体" w:hAnsi="宋体" w:eastAsia="宋体" w:cs="宋体"/>
          <w:b w:val="0"/>
          <w:color w:val="auto"/>
          <w:sz w:val="24"/>
          <w:szCs w:val="24"/>
          <w:highlight w:val="none"/>
          <w:lang w:val="en-US" w:eastAsia="zh-CN"/>
        </w:rPr>
        <w:t>信息系统，分别为新疆交通运输执法综合管理信息系统、新疆治超联网管理信息系统、大件运输许可审批系统、工程质量监督执法支队信息化系统。资产覆盖范围包含物理服务器、虚拟化主机、数据库、业务终端等软硬件设施；网络层面包含防火墙、交换机、路由器、存储设备、安全审计设备等边界网络设备；覆盖网络通信区域、主机服务区域、业务应用区域、数据存储区域、物理机房环境。同时涵盖人员安全管理、运维管理制度、应急预案、安全培训等管理层面服务。服务流程范围包含前期资产摸排、现状测评、漏洞整改、安全加固、资料汇编、备案协助、验收交付、后期巡检运维等全过程服务。</w:t>
      </w:r>
    </w:p>
    <w:p w14:paraId="445B90AD">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3.服务内容</w:t>
      </w:r>
    </w:p>
    <w:p w14:paraId="77756D17">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前期调研定级服务</w:t>
      </w:r>
    </w:p>
    <w:p w14:paraId="65F8E10F">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对单位全部网络资产进行梳理盘点，制作资产台账，绘制网络拓扑结构图；排查系统运行现状，分析安全薄弱点，结合国家定级标准编写定级报告，明确系统安全保护等级；收集单位基础资料，整理备案所需材料，完成初步备案资料汇总。</w:t>
      </w:r>
    </w:p>
    <w:p w14:paraId="2F9D65F8">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安全检测测评服务</w:t>
      </w:r>
    </w:p>
    <w:p w14:paraId="3218B24D">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依据GB/T 22239-2019等保标准，采用工具扫描加人工核查方式，开展漏洞扫描、渗透测试、安全基线核查；检测网络边界防护、主机安全配置、应用代码安全、数据加密存储、日志审计留存等合规项；排查高危漏洞、弱口令、越权访问、端口暴露等安全隐患，出具风险差距分析报告。</w:t>
      </w:r>
    </w:p>
    <w:p w14:paraId="46C41178">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安全整改加固服务</w:t>
      </w:r>
    </w:p>
    <w:p w14:paraId="3F42A883">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针对测评发现的安全漏洞制定专项整改方案，指导完成漏洞修复、系统补丁更新、无用端口关闭、访问权限管控、防火墙策略优化；完善数据备份机制，实现重要数据定期备份；修订安全管理制度、运维规范、保密制度、应急预案，补齐管理层面合规短板，保障全部整改项合规达标。</w:t>
      </w:r>
    </w:p>
    <w:p w14:paraId="1BEDA0A5">
      <w:pPr>
        <w:keepNext w:val="0"/>
        <w:keepLines w:val="0"/>
        <w:pageBreakBefore w:val="0"/>
        <w:widowControl w:val="0"/>
        <w:numPr>
          <w:ilvl w:val="0"/>
          <w:numId w:val="12"/>
        </w:numPr>
        <w:wordWrap/>
        <w:overflowPunct/>
        <w:topLinePunct/>
        <w:bidi w:val="0"/>
        <w:spacing w:after="120" w:afterAutospacing="0" w:line="560" w:lineRule="exact"/>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备案验收及运维服务</w:t>
      </w:r>
    </w:p>
    <w:p w14:paraId="13F59926">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整改完成后开展复测验收，编制正式等级保护测评报告；全程协助招标人完成公安网安部门备案流程，配合监管部门资料审查；开展内部人员网络安全培训，普及安全防护知识；验收完成后提供一年免费巡检服务，定期复测漏洞、优化安全策略，提供技术咨询与应急响应服务。</w:t>
      </w:r>
    </w:p>
    <w:p w14:paraId="40C1703C">
      <w:pPr>
        <w:keepNext w:val="0"/>
        <w:keepLines w:val="0"/>
        <w:pageBreakBefore w:val="0"/>
        <w:widowControl/>
        <w:wordWrap/>
        <w:overflowPunct/>
        <w:topLinePunct/>
        <w:bidi w:val="0"/>
        <w:spacing w:after="120" w:afterAutospacing="0" w:line="560" w:lineRule="exact"/>
        <w:ind w:left="782" w:leftChars="0" w:hanging="30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4.服务交付</w:t>
      </w:r>
    </w:p>
    <w:p w14:paraId="171358AD">
      <w:pPr>
        <w:keepNext w:val="0"/>
        <w:keepLines w:val="0"/>
        <w:pageBreakBefore w:val="0"/>
        <w:widowControl/>
        <w:wordWrap/>
        <w:overflowPunct/>
        <w:topLinePunct/>
        <w:bidi w:val="0"/>
        <w:spacing w:after="120" w:afterAutospacing="0" w:line="560" w:lineRule="exact"/>
        <w:ind w:left="0" w:leftChars="0" w:firstLine="480" w:firstLineChars="200"/>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正式的等级保护测评合格报告，纸质盖章版与电子加密版，纸质资料不少于两套，电子资料存入加密光盘统一交付。</w:t>
      </w:r>
    </w:p>
    <w:p w14:paraId="6A99F802">
      <w:pPr>
        <w:pStyle w:val="17"/>
        <w:numPr>
          <w:ilvl w:val="-1"/>
          <w:numId w:val="0"/>
        </w:numPr>
        <w:spacing w:line="240" w:lineRule="auto"/>
        <w:ind w:left="0" w:leftChars="0" w:firstLine="0" w:firstLineChars="0"/>
        <w:rPr>
          <w:rFonts w:hint="default" w:ascii="宋体" w:hAnsi="宋体" w:cs="宋体"/>
          <w:b w:val="0"/>
          <w:color w:val="auto"/>
          <w:sz w:val="24"/>
          <w:szCs w:val="24"/>
          <w:highlight w:val="none"/>
          <w:lang w:val="en-US" w:eastAsia="zh-CN"/>
        </w:rPr>
      </w:pPr>
    </w:p>
    <w:p w14:paraId="260F4925">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乙方应按以下要求完成技术服务工作：</w:t>
      </w:r>
    </w:p>
    <w:p w14:paraId="387BDAE1">
      <w:pPr>
        <w:pStyle w:val="17"/>
        <w:widowControl/>
        <w:numPr>
          <w:ilvl w:val="0"/>
          <w:numId w:val="1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技术服务地点：；</w:t>
      </w:r>
    </w:p>
    <w:p w14:paraId="20CC4E64">
      <w:pPr>
        <w:pStyle w:val="17"/>
        <w:widowControl/>
        <w:numPr>
          <w:ilvl w:val="0"/>
          <w:numId w:val="1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技术服务期限：</w:t>
      </w:r>
      <w:r>
        <w:rPr>
          <w:rFonts w:hint="eastAsia" w:ascii="宋体" w:hAnsi="宋体" w:eastAsia="宋体" w:cs="宋体"/>
          <w:color w:val="auto"/>
          <w:sz w:val="24"/>
          <w:szCs w:val="24"/>
          <w:highlight w:val="none"/>
          <w:u w:val="single"/>
        </w:rPr>
        <w:t xml:space="preserve">   合同签订之日起一年  </w:t>
      </w:r>
      <w:r>
        <w:rPr>
          <w:rFonts w:hint="eastAsia" w:ascii="宋体" w:hAnsi="宋体" w:eastAsia="宋体" w:cs="宋体"/>
          <w:color w:val="auto"/>
          <w:sz w:val="24"/>
          <w:szCs w:val="24"/>
          <w:highlight w:val="none"/>
        </w:rPr>
        <w:t>；</w:t>
      </w:r>
    </w:p>
    <w:p w14:paraId="5779ECC6">
      <w:pPr>
        <w:pStyle w:val="17"/>
        <w:widowControl/>
        <w:numPr>
          <w:ilvl w:val="0"/>
          <w:numId w:val="1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技术服务进度：</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94119F8">
      <w:pPr>
        <w:pStyle w:val="17"/>
        <w:widowControl/>
        <w:numPr>
          <w:ilvl w:val="0"/>
          <w:numId w:val="1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技术服务质量要求：</w:t>
      </w:r>
      <w:r>
        <w:rPr>
          <w:rFonts w:hint="eastAsia" w:ascii="宋体" w:hAnsi="宋体" w:eastAsia="宋体" w:cs="宋体"/>
          <w:color w:val="auto"/>
          <w:sz w:val="24"/>
          <w:szCs w:val="24"/>
          <w:highlight w:val="none"/>
          <w:u w:val="single"/>
        </w:rPr>
        <w:t xml:space="preserve"> 确保运维系统</w:t>
      </w:r>
      <w:r>
        <w:rPr>
          <w:rFonts w:hint="eastAsia" w:ascii="宋体" w:hAnsi="宋体" w:cs="宋体"/>
          <w:color w:val="auto"/>
          <w:sz w:val="24"/>
          <w:szCs w:val="24"/>
          <w:highlight w:val="none"/>
          <w:u w:val="single"/>
          <w:lang w:eastAsia="zh-CN"/>
        </w:rPr>
        <w:t>安全稳定</w:t>
      </w:r>
      <w:r>
        <w:rPr>
          <w:rFonts w:hint="eastAsia" w:ascii="宋体" w:hAnsi="宋体" w:eastAsia="宋体" w:cs="宋体"/>
          <w:color w:val="auto"/>
          <w:sz w:val="24"/>
          <w:szCs w:val="24"/>
          <w:highlight w:val="none"/>
          <w:u w:val="single"/>
        </w:rPr>
        <w:t>运行，</w:t>
      </w:r>
      <w:r>
        <w:rPr>
          <w:rFonts w:hint="eastAsia" w:ascii="宋体" w:hAnsi="宋体" w:cs="宋体"/>
          <w:color w:val="auto"/>
          <w:sz w:val="24"/>
          <w:szCs w:val="24"/>
          <w:highlight w:val="none"/>
          <w:u w:val="single"/>
          <w:lang w:eastAsia="zh-CN"/>
        </w:rPr>
        <w:t>不出现网络与数据安全事件，</w:t>
      </w:r>
      <w:r>
        <w:rPr>
          <w:rFonts w:hint="eastAsia" w:ascii="宋体" w:hAnsi="宋体" w:eastAsia="宋体" w:cs="宋体"/>
          <w:color w:val="auto"/>
          <w:sz w:val="24"/>
          <w:szCs w:val="24"/>
          <w:highlight w:val="none"/>
          <w:u w:val="single"/>
        </w:rPr>
        <w:t>配合甲方做好</w:t>
      </w:r>
      <w:r>
        <w:rPr>
          <w:rFonts w:hint="eastAsia" w:ascii="宋体" w:hAnsi="宋体" w:cs="宋体"/>
          <w:color w:val="auto"/>
          <w:sz w:val="24"/>
          <w:szCs w:val="24"/>
          <w:highlight w:val="none"/>
          <w:u w:val="single"/>
          <w:lang w:eastAsia="zh-CN"/>
        </w:rPr>
        <w:t>重点时段网络和数据安全</w:t>
      </w:r>
      <w:r>
        <w:rPr>
          <w:rFonts w:hint="eastAsia" w:ascii="宋体" w:hAnsi="宋体" w:eastAsia="宋体" w:cs="宋体"/>
          <w:color w:val="auto"/>
          <w:sz w:val="24"/>
          <w:szCs w:val="24"/>
          <w:highlight w:val="none"/>
          <w:u w:val="single"/>
        </w:rPr>
        <w:t>保障工作</w:t>
      </w:r>
      <w:r>
        <w:rPr>
          <w:rFonts w:hint="eastAsia" w:ascii="宋体" w:hAnsi="宋体" w:eastAsia="宋体" w:cs="宋体"/>
          <w:color w:val="auto"/>
          <w:sz w:val="24"/>
          <w:szCs w:val="24"/>
          <w:highlight w:val="none"/>
        </w:rPr>
        <w:t>；</w:t>
      </w:r>
    </w:p>
    <w:p w14:paraId="7200B4D2">
      <w:pPr>
        <w:pStyle w:val="17"/>
        <w:widowControl/>
        <w:numPr>
          <w:ilvl w:val="0"/>
          <w:numId w:val="1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技术服务质量期限要求：</w:t>
      </w:r>
      <w:r>
        <w:rPr>
          <w:rFonts w:hint="eastAsia" w:ascii="宋体" w:hAnsi="宋体" w:eastAsia="宋体" w:cs="宋体"/>
          <w:color w:val="auto"/>
          <w:sz w:val="24"/>
          <w:szCs w:val="24"/>
          <w:highlight w:val="none"/>
          <w:u w:val="single"/>
        </w:rPr>
        <w:t xml:space="preserve">  至本合同履行期限届满时终止  </w:t>
      </w:r>
      <w:r>
        <w:rPr>
          <w:rFonts w:hint="eastAsia" w:ascii="宋体" w:hAnsi="宋体" w:eastAsia="宋体" w:cs="宋体"/>
          <w:color w:val="auto"/>
          <w:sz w:val="24"/>
          <w:szCs w:val="24"/>
          <w:highlight w:val="none"/>
        </w:rPr>
        <w:t>；</w:t>
      </w:r>
    </w:p>
    <w:p w14:paraId="3E253475">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为保证乙方有效进行技术服务工作，甲方应当向乙方提供下列工作条件和协作事项：</w:t>
      </w:r>
    </w:p>
    <w:p w14:paraId="0397701A">
      <w:pPr>
        <w:pStyle w:val="17"/>
        <w:widowControl/>
        <w:numPr>
          <w:ilvl w:val="0"/>
          <w:numId w:val="20"/>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提供技术资料：</w:t>
      </w:r>
    </w:p>
    <w:p w14:paraId="711C55FF">
      <w:pPr>
        <w:pStyle w:val="17"/>
        <w:widowControl/>
        <w:numPr>
          <w:ilvl w:val="0"/>
          <w:numId w:val="21"/>
        </w:numPr>
        <w:tabs>
          <w:tab w:val="left" w:pos="1080"/>
        </w:tabs>
        <w:topLinePunct w:val="0"/>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为乙方服务工程师提供前期项目实施文档、系统及网络拓扑图；</w:t>
      </w:r>
    </w:p>
    <w:p w14:paraId="10EAFC34">
      <w:pPr>
        <w:pStyle w:val="17"/>
        <w:widowControl/>
        <w:numPr>
          <w:ilvl w:val="0"/>
          <w:numId w:val="21"/>
        </w:numPr>
        <w:tabs>
          <w:tab w:val="left" w:pos="1080"/>
        </w:tabs>
        <w:topLinePunct w:val="0"/>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其他 ：合理采纳乙方提出的硬件、软件升级要求  。</w:t>
      </w:r>
    </w:p>
    <w:p w14:paraId="759D7921">
      <w:pPr>
        <w:pStyle w:val="17"/>
        <w:widowControl/>
        <w:numPr>
          <w:ilvl w:val="0"/>
          <w:numId w:val="20"/>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提供工作条件：</w:t>
      </w:r>
    </w:p>
    <w:p w14:paraId="159B96E1">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（1）为乙方常驻人员提供安全有效的办公环境；</w:t>
      </w:r>
    </w:p>
    <w:p w14:paraId="75BA1F61">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甲方向乙方支付技术服务报酬支付条件及方式为：</w:t>
      </w:r>
    </w:p>
    <w:p w14:paraId="00326F74">
      <w:pPr>
        <w:pStyle w:val="17"/>
        <w:widowControl/>
        <w:numPr>
          <w:ilvl w:val="0"/>
          <w:numId w:val="22"/>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技术服务费总额为：</w:t>
      </w:r>
      <w:r>
        <w:rPr>
          <w:rFonts w:hint="eastAsia" w:ascii="宋体" w:hAnsi="宋体" w:eastAsia="宋体" w:cs="宋体"/>
          <w:color w:val="auto"/>
          <w:sz w:val="24"/>
          <w:szCs w:val="24"/>
          <w:highlight w:val="none"/>
          <w:u w:val="single"/>
        </w:rPr>
        <w:t xml:space="preserve">  元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元整</w:t>
      </w:r>
      <w:r>
        <w:rPr>
          <w:rFonts w:hint="eastAsia" w:ascii="宋体" w:hAnsi="宋体" w:eastAsia="宋体" w:cs="宋体"/>
          <w:color w:val="auto"/>
          <w:sz w:val="24"/>
          <w:szCs w:val="24"/>
          <w:highlight w:val="none"/>
        </w:rPr>
        <w:t>）。</w:t>
      </w:r>
    </w:p>
    <w:p w14:paraId="649117A3">
      <w:pPr>
        <w:pStyle w:val="17"/>
        <w:widowControl/>
        <w:numPr>
          <w:ilvl w:val="0"/>
          <w:numId w:val="22"/>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技术</w:t>
      </w:r>
      <w:bookmarkStart w:id="65" w:name="_Hlk61973963"/>
      <w:r>
        <w:rPr>
          <w:rFonts w:hint="eastAsia" w:ascii="宋体" w:hAnsi="宋体" w:eastAsia="宋体" w:cs="宋体"/>
          <w:color w:val="auto"/>
          <w:sz w:val="24"/>
          <w:szCs w:val="24"/>
          <w:highlight w:val="none"/>
        </w:rPr>
        <w:t xml:space="preserve">服务费按年由甲方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支付乙方。</w:t>
      </w:r>
      <w:bookmarkEnd w:id="65"/>
    </w:p>
    <w:p w14:paraId="0DE7A50E">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7C1C5B27">
      <w:pPr>
        <w:pStyle w:val="17"/>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服务费总额为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）该费用包括咨询服务、安装调试费、测评费、培训费、税费等费用。</w:t>
      </w:r>
    </w:p>
    <w:p w14:paraId="4B138FB0">
      <w:pPr>
        <w:pStyle w:val="17"/>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个工作日内，甲方按政府采购程序向乙方支付服务费总额的 70% 合同款项作为预付款；乙方完成合同服务，向甲方出具完整的项目文档后的7个工作日内，甲方应按政府采购程序支付给乙方服务费总额的</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%合同款项，即： </w:t>
      </w:r>
      <w:r>
        <w:rPr>
          <w:rFonts w:hint="eastAsia" w:ascii="宋体" w:hAnsi="宋体" w:eastAsia="宋体" w:cs="宋体"/>
          <w:color w:val="auto"/>
          <w:sz w:val="24"/>
          <w:szCs w:val="24"/>
          <w:highlight w:val="none"/>
          <w:u w:val="single"/>
        </w:rPr>
        <w:t xml:space="preserve">    ，（大写金额：    </w:t>
      </w:r>
      <w:r>
        <w:rPr>
          <w:rFonts w:hint="eastAsia" w:ascii="宋体" w:hAnsi="宋体" w:eastAsia="宋体" w:cs="宋体"/>
          <w:color w:val="auto"/>
          <w:sz w:val="24"/>
          <w:szCs w:val="24"/>
          <w:highlight w:val="none"/>
        </w:rPr>
        <w:t>）</w:t>
      </w:r>
    </w:p>
    <w:p w14:paraId="5D737B5B">
      <w:pPr>
        <w:pStyle w:val="17"/>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乙方开户银行名称、税号和帐号为：</w:t>
      </w:r>
    </w:p>
    <w:p w14:paraId="008C9300">
      <w:pPr>
        <w:pStyle w:val="17"/>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7ADE023B">
      <w:pPr>
        <w:pStyle w:val="17"/>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0548A852">
      <w:pPr>
        <w:pStyle w:val="17"/>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7C69D2A2">
      <w:pPr>
        <w:pStyle w:val="17"/>
        <w:numPr>
          <w:ilvl w:val="0"/>
          <w:numId w:val="22"/>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乙方应按甲方要求开具合法合规的完税发票，否则甲方有权拒绝付款。</w:t>
      </w:r>
    </w:p>
    <w:p w14:paraId="185FE25D">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双方确定因履行本合同应遵守的保密义务如下：</w:t>
      </w:r>
    </w:p>
    <w:p w14:paraId="1D712714">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46DED223">
      <w:pPr>
        <w:pStyle w:val="17"/>
        <w:widowControl/>
        <w:numPr>
          <w:ilvl w:val="0"/>
          <w:numId w:val="23"/>
        </w:numPr>
        <w:tabs>
          <w:tab w:val="left" w:pos="840"/>
        </w:tabs>
        <w:topLinePunct w:val="0"/>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内容（包括技术信息和经营信息）：</w:t>
      </w:r>
      <w:r>
        <w:rPr>
          <w:rFonts w:hint="eastAsia" w:ascii="宋体" w:hAnsi="宋体" w:eastAsia="宋体" w:cs="宋体"/>
          <w:color w:val="auto"/>
          <w:sz w:val="24"/>
          <w:szCs w:val="24"/>
          <w:highlight w:val="none"/>
          <w:u w:val="single"/>
        </w:rPr>
        <w:t xml:space="preserve">乙方投标文件及相关技术文档   </w:t>
      </w:r>
    </w:p>
    <w:p w14:paraId="36EDD2DD">
      <w:pPr>
        <w:pStyle w:val="17"/>
        <w:widowControl/>
        <w:numPr>
          <w:ilvl w:val="0"/>
          <w:numId w:val="23"/>
        </w:numPr>
        <w:tabs>
          <w:tab w:val="left" w:pos="840"/>
        </w:tabs>
        <w:topLinePunct w:val="0"/>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人员范围：</w:t>
      </w:r>
      <w:r>
        <w:rPr>
          <w:rFonts w:hint="eastAsia" w:ascii="宋体" w:hAnsi="宋体" w:eastAsia="宋体" w:cs="宋体"/>
          <w:color w:val="auto"/>
          <w:sz w:val="24"/>
          <w:szCs w:val="24"/>
          <w:highlight w:val="none"/>
          <w:u w:val="single"/>
        </w:rPr>
        <w:t xml:space="preserve">  项目管理人员                      </w:t>
      </w:r>
    </w:p>
    <w:p w14:paraId="1E05D2FE">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5A97A543">
      <w:pPr>
        <w:pStyle w:val="17"/>
        <w:numPr>
          <w:ilvl w:val="0"/>
          <w:numId w:val="24"/>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保密内容（包括技术信息和经营信息）：</w:t>
      </w:r>
      <w:r>
        <w:rPr>
          <w:rFonts w:hint="eastAsia" w:ascii="宋体" w:hAnsi="宋体" w:eastAsia="宋体" w:cs="宋体"/>
          <w:color w:val="auto"/>
          <w:sz w:val="24"/>
          <w:szCs w:val="24"/>
          <w:highlight w:val="none"/>
          <w:u w:val="single"/>
        </w:rPr>
        <w:t xml:space="preserve">  服务过程中产生的所有资料、技术文档要妥善保管，不得遗失、转借、复印，严禁通过互联网等公共信息网络、普通邮政进行传递邮寄。项目团队所有人员须由甲方进行资格审查和保密教育，对知悉的事项及信息予以保密，签署《保密承诺书》并向甲方备案。乙方若违反《保密承诺书》、未履行相关职责、监督措施落实不到位，发生参与本项目人员窃取或泄露甲方信息系统相关数据的事件，将按照有关法律法规追究其责任。</w:t>
      </w:r>
      <w:r>
        <w:rPr>
          <w:rFonts w:hint="eastAsia" w:ascii="宋体" w:hAnsi="宋体" w:eastAsia="宋体" w:cs="宋体"/>
          <w:color w:val="auto"/>
          <w:sz w:val="24"/>
          <w:szCs w:val="24"/>
          <w:highlight w:val="none"/>
        </w:rPr>
        <w:t xml:space="preserve">       </w:t>
      </w:r>
    </w:p>
    <w:p w14:paraId="54A202F6">
      <w:pPr>
        <w:pStyle w:val="17"/>
        <w:numPr>
          <w:ilvl w:val="0"/>
          <w:numId w:val="24"/>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人员范围：</w:t>
      </w:r>
      <w:r>
        <w:rPr>
          <w:rFonts w:hint="eastAsia" w:ascii="宋体" w:hAnsi="宋体" w:eastAsia="宋体" w:cs="宋体"/>
          <w:color w:val="auto"/>
          <w:sz w:val="24"/>
          <w:szCs w:val="24"/>
          <w:highlight w:val="none"/>
          <w:u w:val="single"/>
        </w:rPr>
        <w:t xml:space="preserve">项目团队所有人员                 </w:t>
      </w:r>
    </w:p>
    <w:p w14:paraId="4F60F504">
      <w:pPr>
        <w:pStyle w:val="17"/>
        <w:widowControl/>
        <w:numPr>
          <w:ilvl w:val="0"/>
          <w:numId w:val="24"/>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u w:val="single"/>
        </w:rPr>
        <w:t xml:space="preserve">自合同签订起10年                  </w:t>
      </w:r>
    </w:p>
    <w:p w14:paraId="0F5B2402">
      <w:pPr>
        <w:pStyle w:val="17"/>
        <w:widowControl/>
        <w:numPr>
          <w:ilvl w:val="0"/>
          <w:numId w:val="24"/>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责任追究：</w:t>
      </w:r>
      <w:r>
        <w:rPr>
          <w:rFonts w:hint="eastAsia" w:ascii="宋体" w:hAnsi="宋体" w:eastAsia="宋体" w:cs="宋体"/>
          <w:color w:val="auto"/>
          <w:sz w:val="24"/>
          <w:szCs w:val="24"/>
          <w:highlight w:val="none"/>
          <w:u w:val="single"/>
        </w:rPr>
        <w:t xml:space="preserve"> 因乙方原因造成的泄密损失，乙方除承担赔偿责任（包括但不限于违约金）外，还应赔偿由此给甲方造成的一切经济损失（包括但不限于甲方为解决纠纷而支出的律师费、诉讼费及相关赔偿等一切费用）。    </w:t>
      </w:r>
    </w:p>
    <w:p w14:paraId="18A6702B">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本合同的变更须由双方协商一致，并以书面形式确定。但有下列情形之一的，一方可以向另一方提出变更合同权利与义务的请求，另一方应当在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日内予以答复；逾期未予答复的，视为同意：</w:t>
      </w:r>
    </w:p>
    <w:p w14:paraId="392874B7">
      <w:pPr>
        <w:pStyle w:val="17"/>
        <w:widowControl/>
        <w:numPr>
          <w:ilvl w:val="0"/>
          <w:numId w:val="25"/>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4F4054">
      <w:pPr>
        <w:pStyle w:val="17"/>
        <w:widowControl/>
        <w:numPr>
          <w:ilvl w:val="0"/>
          <w:numId w:val="25"/>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6109DD">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双方确定以下列标准和方式对乙方的技术服务工作成果进行验收：</w:t>
      </w:r>
    </w:p>
    <w:p w14:paraId="637B75A0">
      <w:pPr>
        <w:pStyle w:val="17"/>
        <w:widowControl/>
        <w:numPr>
          <w:ilvl w:val="0"/>
          <w:numId w:val="2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cs="宋体"/>
          <w:color w:val="auto"/>
          <w:sz w:val="24"/>
          <w:szCs w:val="24"/>
          <w:highlight w:val="none"/>
          <w:lang w:eastAsia="zh-CN"/>
        </w:rPr>
        <w:t>乙方完成合同工作内容后</w:t>
      </w:r>
      <w:r>
        <w:rPr>
          <w:rFonts w:hint="eastAsia" w:ascii="宋体" w:hAnsi="宋体" w:eastAsia="宋体" w:cs="宋体"/>
          <w:color w:val="auto"/>
          <w:sz w:val="24"/>
          <w:szCs w:val="24"/>
          <w:highlight w:val="none"/>
        </w:rPr>
        <w:t>甲方对乙方服务内容进行验收。</w:t>
      </w:r>
    </w:p>
    <w:p w14:paraId="5609DA2C">
      <w:pPr>
        <w:pStyle w:val="17"/>
        <w:widowControl/>
        <w:numPr>
          <w:ilvl w:val="0"/>
          <w:numId w:val="2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验收内容：</w:t>
      </w:r>
    </w:p>
    <w:p w14:paraId="2D521390">
      <w:pPr>
        <w:pStyle w:val="17"/>
        <w:widowControl/>
        <w:numPr>
          <w:ilvl w:val="0"/>
          <w:numId w:val="27"/>
        </w:numPr>
        <w:tabs>
          <w:tab w:val="left" w:pos="766"/>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合同中需要乙方提供的所有纸制文档资料。</w:t>
      </w:r>
    </w:p>
    <w:p w14:paraId="10E2BFD3">
      <w:pPr>
        <w:pStyle w:val="17"/>
        <w:widowControl/>
        <w:numPr>
          <w:ilvl w:val="0"/>
          <w:numId w:val="27"/>
        </w:numPr>
        <w:tabs>
          <w:tab w:val="left" w:pos="766"/>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服务质量投诉次达到三次的不予验收，服务质量投诉次达到</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次的，甲方有权终止合同。</w:t>
      </w:r>
    </w:p>
    <w:p w14:paraId="0077C88C">
      <w:pPr>
        <w:pStyle w:val="17"/>
        <w:widowControl/>
        <w:numPr>
          <w:ilvl w:val="0"/>
          <w:numId w:val="2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乙方完成技术服务工作的形式：</w:t>
      </w:r>
      <w:r>
        <w:rPr>
          <w:rFonts w:hint="eastAsia" w:ascii="宋体" w:hAnsi="宋体" w:eastAsia="宋体" w:cs="宋体"/>
          <w:color w:val="auto"/>
          <w:sz w:val="24"/>
          <w:szCs w:val="24"/>
          <w:highlight w:val="none"/>
          <w:u w:val="single"/>
        </w:rPr>
        <w:t xml:space="preserve"> 现场服务、技术支持  </w:t>
      </w:r>
    </w:p>
    <w:p w14:paraId="28D564C6">
      <w:pPr>
        <w:pStyle w:val="17"/>
        <w:widowControl/>
        <w:numPr>
          <w:ilvl w:val="0"/>
          <w:numId w:val="26"/>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技术服务工作成果的验收标准：</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XXX系统</w:t>
      </w:r>
      <w:r>
        <w:rPr>
          <w:rFonts w:hint="eastAsia" w:ascii="宋体" w:hAnsi="宋体" w:eastAsia="宋体" w:cs="宋体"/>
          <w:b w:val="0"/>
          <w:color w:val="auto"/>
          <w:sz w:val="24"/>
          <w:szCs w:val="24"/>
          <w:highlight w:val="none"/>
          <w:lang w:val="en-US" w:eastAsia="zh-CN"/>
        </w:rPr>
        <w:t>等级保护测评合格报告</w:t>
      </w:r>
      <w:r>
        <w:rPr>
          <w:rFonts w:hint="eastAsia" w:ascii="宋体" w:hAnsi="宋体" w:eastAsia="宋体" w:cs="宋体"/>
          <w:color w:val="auto"/>
          <w:sz w:val="24"/>
          <w:szCs w:val="24"/>
          <w:highlight w:val="none"/>
          <w:u w:val="single"/>
        </w:rPr>
        <w:t xml:space="preserve">》、《xx系统渗透测试报告》以及配合甲方完成其他相关过程文档。          </w:t>
      </w:r>
    </w:p>
    <w:p w14:paraId="633534AE">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双方确定，按以下约定承担各自的违约责任：</w:t>
      </w:r>
    </w:p>
    <w:p w14:paraId="4BD98A18">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乙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条约定，应当每逾期一日，应向甲方支付合同总金额万分之三的违约金。</w:t>
      </w:r>
    </w:p>
    <w:p w14:paraId="5679A695">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乙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五  </w:t>
      </w:r>
      <w:r>
        <w:rPr>
          <w:rFonts w:hint="eastAsia" w:ascii="宋体" w:hAnsi="宋体" w:eastAsia="宋体" w:cs="宋体"/>
          <w:color w:val="auto"/>
          <w:sz w:val="24"/>
          <w:szCs w:val="24"/>
          <w:highlight w:val="none"/>
        </w:rPr>
        <w:t>条约定，应向甲方支付合同总金额百分之二十的违约金。如违约金不足以弥补甲方实际损失的，乙方还应赔偿甲方的实际损失。甲方有权追究其乙方刑事责任。</w:t>
      </w:r>
    </w:p>
    <w:p w14:paraId="71F071B2">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乙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七 </w:t>
      </w:r>
      <w:r>
        <w:rPr>
          <w:rFonts w:hint="eastAsia" w:ascii="宋体" w:hAnsi="宋体" w:eastAsia="宋体" w:cs="宋体"/>
          <w:color w:val="auto"/>
          <w:sz w:val="24"/>
          <w:szCs w:val="24"/>
          <w:highlight w:val="none"/>
        </w:rPr>
        <w:t>条约定，应当每被有效投诉一次，应向甲方支付合同金额千分之三的违约金，如被有效投诉达到五次，甲方有权终止合同。</w:t>
      </w:r>
    </w:p>
    <w:p w14:paraId="27A0B7C8">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甲 </w:t>
      </w:r>
      <w:r>
        <w:rPr>
          <w:rFonts w:hint="eastAsia" w:ascii="宋体" w:hAnsi="宋体" w:eastAsia="宋体" w:cs="宋体"/>
          <w:color w:val="auto"/>
          <w:sz w:val="24"/>
          <w:szCs w:val="24"/>
          <w:highlight w:val="none"/>
        </w:rPr>
        <w:t>方违反本合同</w:t>
      </w:r>
      <w:r>
        <w:rPr>
          <w:rFonts w:hint="eastAsia" w:ascii="宋体" w:hAnsi="宋体" w:eastAsia="宋体" w:cs="宋体"/>
          <w:color w:val="auto"/>
          <w:sz w:val="24"/>
          <w:szCs w:val="24"/>
          <w:highlight w:val="none"/>
          <w:u w:val="single"/>
        </w:rPr>
        <w:t>第 三 条</w:t>
      </w:r>
      <w:r>
        <w:rPr>
          <w:rFonts w:hint="eastAsia" w:ascii="宋体" w:hAnsi="宋体" w:eastAsia="宋体" w:cs="宋体"/>
          <w:color w:val="auto"/>
          <w:sz w:val="24"/>
          <w:szCs w:val="24"/>
          <w:highlight w:val="none"/>
        </w:rPr>
        <w:t>约定，应当自行承担未按时提供技术资料及相应协助工作而导致的一切后果。</w:t>
      </w:r>
    </w:p>
    <w:p w14:paraId="68B46D8C">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甲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四  </w:t>
      </w:r>
      <w:r>
        <w:rPr>
          <w:rFonts w:hint="eastAsia" w:ascii="宋体" w:hAnsi="宋体" w:eastAsia="宋体" w:cs="宋体"/>
          <w:color w:val="auto"/>
          <w:sz w:val="24"/>
          <w:szCs w:val="24"/>
          <w:highlight w:val="none"/>
        </w:rPr>
        <w:t>条约定，应当每逾期一日，已逾期未付款为基准，按照合同签订时的一年贷款市场报价利率（LPR）向乙方支付违约金，最高不超过合同总价款金额的10%。</w:t>
      </w:r>
    </w:p>
    <w:p w14:paraId="08866B0B">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single"/>
        </w:rPr>
        <w:t xml:space="preserve">乙 </w:t>
      </w:r>
      <w:r>
        <w:rPr>
          <w:rFonts w:hint="eastAsia" w:ascii="宋体" w:hAnsi="宋体" w:eastAsia="宋体" w:cs="宋体"/>
          <w:color w:val="auto"/>
          <w:sz w:val="24"/>
          <w:szCs w:val="24"/>
          <w:highlight w:val="none"/>
        </w:rPr>
        <w:t>方违反本合同甲方管理制度，驻场人员违反甲方管理制度，应向甲方支付合同总金额万分之五的违约金，驻场人员请休假乙方未派相应人员接替并完成驻场服务工作的，每日应向甲方支付合同总金额万分之一的违约金。</w:t>
      </w:r>
    </w:p>
    <w:p w14:paraId="3ABEE8FF">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甲方资料提交不及时或因其原因而造成乙方不能如期履行合同的，乙方完成并提交工作成果的时间相应顺延。</w:t>
      </w:r>
    </w:p>
    <w:p w14:paraId="6207AB85">
      <w:pPr>
        <w:pStyle w:val="17"/>
        <w:widowControl/>
        <w:numPr>
          <w:ilvl w:val="0"/>
          <w:numId w:val="28"/>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违约方除承担违约责任外守约方因维护合法权益所支出的维权费用包括但不限于律师费、诉讼费、交通费等一切维权合理支出均由违约方承担。</w:t>
      </w:r>
    </w:p>
    <w:p w14:paraId="7EFD9081">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双方确定，在本合同有效期内，甲方指定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为乙方项目联系人，一方变更项目联系人的，应当及时以书面形式通知另一方，未及时通知并影响本合同履行或造成损失的，应承担相应的责任。</w:t>
      </w:r>
    </w:p>
    <w:p w14:paraId="71F53E57">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双方确定，出现下列情形，致使本合同的履行成为不必要或不可能的，可以解除本合同：</w:t>
      </w:r>
    </w:p>
    <w:p w14:paraId="4A64A34F">
      <w:pPr>
        <w:pStyle w:val="17"/>
        <w:widowControl/>
        <w:numPr>
          <w:ilvl w:val="0"/>
          <w:numId w:val="2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发生不可抗力；</w:t>
      </w:r>
    </w:p>
    <w:p w14:paraId="59D3AC4E">
      <w:pPr>
        <w:pStyle w:val="17"/>
        <w:widowControl/>
        <w:numPr>
          <w:ilvl w:val="0"/>
          <w:numId w:val="29"/>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暴动、火灾、爆炸、天灾、战争、政府行为或其他人力不可抗拒的因素所造成的失误或损失。</w:t>
      </w:r>
    </w:p>
    <w:p w14:paraId="68538D42">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双方因履行本合同而发生的争议，应协商、调解解决。</w:t>
      </w:r>
    </w:p>
    <w:p w14:paraId="1AF19D7D">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协商、调解不成的，确定按以下第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种方式处理：</w:t>
      </w:r>
    </w:p>
    <w:p w14:paraId="476892D9">
      <w:pPr>
        <w:pStyle w:val="17"/>
        <w:widowControl/>
        <w:numPr>
          <w:ilvl w:val="0"/>
          <w:numId w:val="30"/>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提交              /                 仲裁委员会仲裁；</w:t>
      </w:r>
    </w:p>
    <w:p w14:paraId="4DA65419">
      <w:pPr>
        <w:pStyle w:val="17"/>
        <w:widowControl/>
        <w:numPr>
          <w:ilvl w:val="0"/>
          <w:numId w:val="30"/>
        </w:numPr>
        <w:tabs>
          <w:tab w:val="left" w:pos="78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依法向甲方所在地有管辖权权的法院起诉。</w:t>
      </w:r>
    </w:p>
    <w:p w14:paraId="4F2F2D2B">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双方确定：本合同及相关附件中所涉及的有关名词和技术术语，其定义和解释如下：</w:t>
      </w:r>
    </w:p>
    <w:p w14:paraId="1E07324B">
      <w:pPr>
        <w:pStyle w:val="17"/>
        <w:widowControl/>
        <w:spacing w:line="24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7436D4E">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与履行本合同有关的下列技术文件，经双方以</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方式确定后，甲方招标文件、乙方投标文件为本合同的组成部分。</w:t>
      </w:r>
    </w:p>
    <w:p w14:paraId="53E7CD3F">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双方约定本合同其他相关事项为：合同履行中，甲方由于各种原因提出服务内容变更，必须经过甲乙双方的共同讨论、研究与确认，由于变更产生的工作量的增加，甲乙双方协商确定增加的服务费用，并同时签订“补充协议”，做为本合同的补充文件执行，“补充协议”与本合同具有同等的法律效力。</w:t>
      </w:r>
    </w:p>
    <w:p w14:paraId="5B5B7F17">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陆  </w:t>
      </w:r>
      <w:r>
        <w:rPr>
          <w:rFonts w:hint="eastAsia" w:ascii="宋体" w:hAnsi="宋体" w:eastAsia="宋体" w:cs="宋体"/>
          <w:color w:val="auto"/>
          <w:sz w:val="24"/>
          <w:szCs w:val="24"/>
          <w:highlight w:val="none"/>
        </w:rPr>
        <w:t>份，双方各持</w:t>
      </w:r>
      <w:r>
        <w:rPr>
          <w:rFonts w:hint="eastAsia" w:ascii="宋体" w:hAnsi="宋体" w:eastAsia="宋体" w:cs="宋体"/>
          <w:color w:val="auto"/>
          <w:sz w:val="24"/>
          <w:szCs w:val="24"/>
          <w:highlight w:val="none"/>
          <w:u w:val="single"/>
        </w:rPr>
        <w:t xml:space="preserve">  叁 </w:t>
      </w:r>
      <w:r>
        <w:rPr>
          <w:rFonts w:hint="eastAsia" w:ascii="宋体" w:hAnsi="宋体" w:eastAsia="宋体" w:cs="宋体"/>
          <w:color w:val="auto"/>
          <w:sz w:val="24"/>
          <w:szCs w:val="24"/>
          <w:highlight w:val="none"/>
        </w:rPr>
        <w:t>份，具有同等法律效力。</w:t>
      </w:r>
    </w:p>
    <w:p w14:paraId="475300EE">
      <w:pPr>
        <w:pStyle w:val="17"/>
        <w:widowControl/>
        <w:numPr>
          <w:ilvl w:val="0"/>
          <w:numId w:val="15"/>
        </w:numPr>
        <w:tabs>
          <w:tab w:val="left" w:pos="1320"/>
          <w:tab w:val="clear" w:pos="210"/>
        </w:tabs>
        <w:spacing w:line="240" w:lineRule="auto"/>
        <w:ind w:left="0" w:leftChars="0"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本合同经双方法定代表人或授权代表签字并加盖公章后生效。授权代表签字的须持有加盖公章的授权委托书及身份证复印件。</w:t>
      </w:r>
    </w:p>
    <w:p w14:paraId="277239CE">
      <w:pPr>
        <w:pStyle w:val="17"/>
        <w:widowControl/>
        <w:spacing w:line="24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（以下无正文，为签字盖章处）</w:t>
      </w:r>
    </w:p>
    <w:p w14:paraId="31C04DC5">
      <w:pPr>
        <w:keepNext w:val="0"/>
        <w:keepLines w:val="0"/>
        <w:pageBreakBefore w:val="0"/>
        <w:tabs>
          <w:tab w:val="left" w:pos="5250"/>
        </w:tabs>
        <w:wordWrap/>
        <w:overflowPunct/>
        <w:topLinePunct w:val="0"/>
        <w:bidi w:val="0"/>
        <w:spacing w:after="120" w:afterAutospacing="0" w:line="240" w:lineRule="auto"/>
        <w:ind w:left="424" w:left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甲方（签章）                        </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乙方（签章）</w:t>
      </w:r>
    </w:p>
    <w:p w14:paraId="49C13BFE">
      <w:pPr>
        <w:keepNext w:val="0"/>
        <w:keepLines w:val="0"/>
        <w:pageBreakBefore w:val="0"/>
        <w:tabs>
          <w:tab w:val="left" w:pos="5250"/>
        </w:tabs>
        <w:wordWrap/>
        <w:overflowPunct/>
        <w:topLinePunct w:val="0"/>
        <w:bidi w:val="0"/>
        <w:spacing w:after="120" w:afterAutospacing="0" w:line="240" w:lineRule="auto"/>
        <w:ind w:left="424" w:left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新疆维吾尔自治区</w:t>
      </w:r>
    </w:p>
    <w:p w14:paraId="666BE6E1">
      <w:pPr>
        <w:keepNext w:val="0"/>
        <w:keepLines w:val="0"/>
        <w:pageBreakBefore w:val="0"/>
        <w:tabs>
          <w:tab w:val="left" w:pos="5250"/>
        </w:tabs>
        <w:wordWrap/>
        <w:overflowPunct/>
        <w:topLinePunct w:val="0"/>
        <w:bidi w:val="0"/>
        <w:spacing w:after="120" w:afterAutospacing="0" w:line="240" w:lineRule="auto"/>
        <w:ind w:left="424" w:left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交通运输综合行政执法局</w:t>
      </w:r>
      <w:r>
        <w:rPr>
          <w:rFonts w:hint="eastAsia" w:ascii="宋体" w:hAnsi="宋体" w:eastAsia="宋体" w:cs="宋体"/>
          <w:color w:val="auto"/>
          <w:sz w:val="24"/>
          <w:szCs w:val="24"/>
          <w:highlight w:val="none"/>
        </w:rPr>
        <w:t xml:space="preserve">   </w:t>
      </w:r>
    </w:p>
    <w:p w14:paraId="571EB9ED">
      <w:pPr>
        <w:keepNext w:val="0"/>
        <w:keepLines w:val="0"/>
        <w:pageBreakBefore w:val="0"/>
        <w:tabs>
          <w:tab w:val="left" w:pos="5250"/>
        </w:tabs>
        <w:wordWrap/>
        <w:overflowPunct/>
        <w:topLinePunct w:val="0"/>
        <w:bidi w:val="0"/>
        <w:spacing w:after="120" w:afterAutospacing="0" w:line="240" w:lineRule="auto"/>
        <w:ind w:left="424" w:left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 xml:space="preserve"> 授权代表：</w:t>
      </w:r>
    </w:p>
    <w:p w14:paraId="6D87282D">
      <w:pPr>
        <w:keepNext w:val="0"/>
        <w:keepLines w:val="0"/>
        <w:pageBreakBefore w:val="0"/>
        <w:tabs>
          <w:tab w:val="left" w:pos="5250"/>
        </w:tabs>
        <w:wordWrap/>
        <w:overflowPunct/>
        <w:topLinePunct w:val="0"/>
        <w:bidi w:val="0"/>
        <w:spacing w:line="240" w:lineRule="auto"/>
        <w:ind w:left="424" w:left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3E2485A">
      <w:pPr>
        <w:keepNext w:val="0"/>
        <w:keepLines w:val="0"/>
        <w:pageBreakBefore w:val="0"/>
        <w:tabs>
          <w:tab w:val="left" w:pos="5250"/>
        </w:tabs>
        <w:wordWrap/>
        <w:overflowPunct/>
        <w:topLinePunct w:val="0"/>
        <w:bidi w:val="0"/>
        <w:spacing w:after="120" w:afterAutospacing="0" w:line="240" w:lineRule="auto"/>
        <w:ind w:left="424" w:left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日期：</w:t>
      </w:r>
    </w:p>
    <w:p w14:paraId="222E593F">
      <w:pPr>
        <w:pStyle w:val="17"/>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合同详细文本内容实际以采购人与成交供应商签订为准</w:t>
      </w:r>
      <w:r>
        <w:rPr>
          <w:rFonts w:hint="eastAsia" w:ascii="宋体" w:hAnsi="宋体" w:cs="宋体"/>
          <w:b/>
          <w:bCs/>
          <w:color w:val="auto"/>
          <w:sz w:val="24"/>
          <w:szCs w:val="24"/>
          <w:highlight w:val="none"/>
          <w:lang w:eastAsia="zh-CN"/>
        </w:rPr>
        <w:t>）</w:t>
      </w:r>
    </w:p>
    <w:p w14:paraId="2F386B99">
      <w:pPr>
        <w:pStyle w:val="3"/>
        <w:keepNext/>
        <w:keepLines w:val="0"/>
        <w:pageBreakBefore/>
        <w:widowControl w:val="0"/>
        <w:kinsoku/>
        <w:wordWrap/>
        <w:overflowPunct/>
        <w:topLinePunct w:val="0"/>
        <w:autoSpaceDE/>
        <w:autoSpaceDN/>
        <w:bidi w:val="0"/>
        <w:adjustRightInd/>
        <w:snapToGrid/>
        <w:spacing w:line="276" w:lineRule="auto"/>
        <w:textAlignment w:val="auto"/>
        <w:rPr>
          <w:rFonts w:hint="eastAsia" w:cs="宋体"/>
          <w:color w:val="auto"/>
          <w:highlight w:val="none"/>
        </w:rPr>
      </w:pPr>
      <w:bookmarkStart w:id="66" w:name="_Toc83726741"/>
      <w:r>
        <w:rPr>
          <w:rFonts w:hint="eastAsia" w:cs="宋体"/>
          <w:color w:val="auto"/>
          <w:highlight w:val="none"/>
        </w:rPr>
        <w:t>第五部分　范本格式</w:t>
      </w:r>
      <w:bookmarkEnd w:id="61"/>
      <w:bookmarkEnd w:id="62"/>
      <w:bookmarkEnd w:id="63"/>
      <w:bookmarkEnd w:id="64"/>
      <w:bookmarkEnd w:id="66"/>
    </w:p>
    <w:p w14:paraId="1DF15A8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 磋商响应书</w:t>
      </w:r>
    </w:p>
    <w:p w14:paraId="5D8A1B44">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致</w:t>
      </w:r>
      <w:r>
        <w:rPr>
          <w:rFonts w:hint="eastAsia" w:ascii="宋体" w:hAnsi="宋体" w:cs="宋体"/>
          <w:color w:val="auto"/>
          <w:kern w:val="0"/>
          <w:sz w:val="24"/>
          <w:highlight w:val="none"/>
        </w:rPr>
        <w:t xml:space="preserve"> 新疆招标有限公司</w:t>
      </w:r>
      <w:r>
        <w:rPr>
          <w:rFonts w:hint="eastAsia" w:ascii="宋体" w:hAnsi="宋体" w:cs="宋体"/>
          <w:color w:val="auto"/>
          <w:kern w:val="0"/>
          <w:sz w:val="24"/>
          <w:highlight w:val="none"/>
          <w:lang w:val="zh-CN"/>
        </w:rPr>
        <w:t xml:space="preserve">： </w:t>
      </w:r>
    </w:p>
    <w:p w14:paraId="7D5902C9">
      <w:pPr>
        <w:autoSpaceDE w:val="0"/>
        <w:autoSpaceDN w:val="0"/>
        <w:adjustRightInd w:val="0"/>
        <w:spacing w:line="276"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我们收到</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rPr>
        <w:t xml:space="preserve">                             磋商</w:t>
      </w:r>
      <w:r>
        <w:rPr>
          <w:rFonts w:hint="eastAsia" w:ascii="宋体" w:hAnsi="宋体" w:cs="宋体"/>
          <w:color w:val="auto"/>
          <w:kern w:val="0"/>
          <w:sz w:val="24"/>
          <w:highlight w:val="none"/>
          <w:lang w:val="zh-CN"/>
        </w:rPr>
        <w:t>文件，经研究，法定代表人（姓名、职务）正式授权（委托代理人姓名、职务）代表供应商（供应商名称、地址）提交磋商响应文件。</w:t>
      </w:r>
    </w:p>
    <w:p w14:paraId="702AB8EF">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据此函，签字代表宣布同意如下：</w:t>
      </w:r>
    </w:p>
    <w:p w14:paraId="5A262FBF">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1.我方已详阅磋商文件的全部内容，包括澄清、修改条款等有关附件，承诺对其完全理解并接受。</w:t>
      </w:r>
    </w:p>
    <w:p w14:paraId="082657B4">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2.磋商有效期自开标之日起</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天内有效。如果在规定的开标时间后，我方在磋商有效期内撤回磋商响应文件或成交后不签约的，磋商保证金将被贵方没收。</w:t>
      </w:r>
    </w:p>
    <w:p w14:paraId="39D4739F">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3.我方同意按照贵方要求提供与磋商有关的一切数据或资料，理解并接受贵方制定的评标办法。</w:t>
      </w:r>
    </w:p>
    <w:p w14:paraId="12029DB0">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4.与本磋商有关的一切正式往来通讯请寄：</w:t>
      </w:r>
    </w:p>
    <w:p w14:paraId="0BC1C5DD">
      <w:pPr>
        <w:autoSpaceDE w:val="0"/>
        <w:autoSpaceDN w:val="0"/>
        <w:adjustRightInd w:val="0"/>
        <w:spacing w:line="276" w:lineRule="auto"/>
        <w:ind w:firstLine="480"/>
        <w:rPr>
          <w:rFonts w:hint="eastAsia" w:ascii="宋体" w:hAnsi="宋体" w:cs="宋体"/>
          <w:color w:val="auto"/>
          <w:kern w:val="0"/>
          <w:sz w:val="24"/>
          <w:highlight w:val="none"/>
          <w:lang w:val="zh-CN"/>
        </w:rPr>
      </w:pPr>
    </w:p>
    <w:p w14:paraId="7F376870">
      <w:pPr>
        <w:autoSpaceDE w:val="0"/>
        <w:autoSpaceDN w:val="0"/>
        <w:adjustRightInd w:val="0"/>
        <w:spacing w:line="276" w:lineRule="auto"/>
        <w:rPr>
          <w:rFonts w:hint="eastAsia" w:ascii="宋体" w:hAnsi="宋体" w:cs="宋体"/>
          <w:color w:val="auto"/>
          <w:kern w:val="0"/>
          <w:sz w:val="24"/>
          <w:highlight w:val="none"/>
          <w:lang w:val="zh-CN"/>
        </w:rPr>
      </w:pPr>
    </w:p>
    <w:p w14:paraId="29B6A3DF">
      <w:pPr>
        <w:autoSpaceDE w:val="0"/>
        <w:autoSpaceDN w:val="0"/>
        <w:adjustRightInd w:val="0"/>
        <w:spacing w:line="276" w:lineRule="auto"/>
        <w:rPr>
          <w:rFonts w:hint="eastAsia" w:ascii="宋体" w:hAnsi="宋体" w:cs="宋体"/>
          <w:color w:val="auto"/>
          <w:kern w:val="0"/>
          <w:sz w:val="24"/>
          <w:highlight w:val="none"/>
          <w:lang w:val="zh-CN"/>
        </w:rPr>
      </w:pPr>
    </w:p>
    <w:p w14:paraId="1DA938BE">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地址：_______________          邮编：______________</w:t>
      </w:r>
    </w:p>
    <w:p w14:paraId="40B75378">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电话：_______________          传真：______________</w:t>
      </w:r>
    </w:p>
    <w:p w14:paraId="65A29E38">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法定代表人姓名： ___________   职务：____________</w:t>
      </w:r>
    </w:p>
    <w:p w14:paraId="5967B8A8">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2B60534">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2354722">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EB81808">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6CE63E3">
      <w:pPr>
        <w:autoSpaceDE w:val="0"/>
        <w:autoSpaceDN w:val="0"/>
        <w:adjustRightInd w:val="0"/>
        <w:spacing w:line="276" w:lineRule="auto"/>
        <w:rPr>
          <w:rFonts w:hint="eastAsia" w:ascii="宋体" w:hAnsi="宋体" w:cs="宋体"/>
          <w:bCs/>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bCs/>
          <w:color w:val="auto"/>
          <w:kern w:val="0"/>
          <w:sz w:val="24"/>
          <w:highlight w:val="none"/>
          <w:lang w:val="zh-CN"/>
        </w:rPr>
        <w:t>供应商：             （公章）</w:t>
      </w:r>
    </w:p>
    <w:p w14:paraId="2C219DE5">
      <w:pPr>
        <w:autoSpaceDE w:val="0"/>
        <w:autoSpaceDN w:val="0"/>
        <w:adjustRightInd w:val="0"/>
        <w:spacing w:line="276" w:lineRule="auto"/>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                       法定代表人或委托代理人：             （签字）</w:t>
      </w:r>
    </w:p>
    <w:p w14:paraId="10461B57">
      <w:pPr>
        <w:spacing w:line="276" w:lineRule="auto"/>
        <w:rPr>
          <w:rFonts w:hint="eastAsia" w:ascii="宋体" w:hAnsi="宋体" w:cs="宋体"/>
          <w:color w:val="auto"/>
          <w:sz w:val="24"/>
          <w:highlight w:val="none"/>
        </w:rPr>
      </w:pPr>
      <w:r>
        <w:rPr>
          <w:rFonts w:hint="eastAsia" w:ascii="宋体" w:hAnsi="宋体" w:cs="宋体"/>
          <w:bCs/>
          <w:color w:val="auto"/>
          <w:kern w:val="0"/>
          <w:sz w:val="24"/>
          <w:highlight w:val="none"/>
          <w:lang w:val="zh-CN"/>
        </w:rPr>
        <w:t xml:space="preserve">                                                年   月   日</w:t>
      </w:r>
    </w:p>
    <w:p w14:paraId="3A24EC93">
      <w:pPr>
        <w:spacing w:line="276" w:lineRule="auto"/>
        <w:rPr>
          <w:rFonts w:hint="eastAsia" w:ascii="宋体" w:hAnsi="宋体" w:cs="宋体"/>
          <w:color w:val="auto"/>
          <w:sz w:val="24"/>
          <w:highlight w:val="none"/>
        </w:rPr>
        <w:sectPr>
          <w:footerReference r:id="rId6" w:type="first"/>
          <w:headerReference r:id="rId3" w:type="default"/>
          <w:footerReference r:id="rId4" w:type="default"/>
          <w:footerReference r:id="rId5" w:type="even"/>
          <w:pgSz w:w="11907" w:h="16840"/>
          <w:pgMar w:top="1440" w:right="1080" w:bottom="1440" w:left="1080" w:header="851" w:footer="68" w:gutter="0"/>
          <w:pgNumType w:fmt="decimal" w:start="1"/>
          <w:cols w:space="720" w:num="1"/>
          <w:titlePg/>
          <w:docGrid w:type="lines" w:linePitch="409" w:charSpace="0"/>
        </w:sectPr>
      </w:pPr>
    </w:p>
    <w:p w14:paraId="0A2A7E44">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p w14:paraId="3B8270BF">
      <w:pPr>
        <w:tabs>
          <w:tab w:val="left" w:pos="9135"/>
        </w:tabs>
        <w:spacing w:line="276" w:lineRule="auto"/>
        <w:rPr>
          <w:rFonts w:hint="eastAsia" w:ascii="宋体" w:hAnsi="宋体" w:cs="宋体"/>
          <w:color w:val="auto"/>
          <w:sz w:val="24"/>
          <w:highlight w:val="none"/>
        </w:rPr>
      </w:pPr>
    </w:p>
    <w:p w14:paraId="04811675">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　2、报价表</w:t>
      </w:r>
    </w:p>
    <w:p w14:paraId="2166A67D">
      <w:pPr>
        <w:tabs>
          <w:tab w:val="left" w:pos="9135"/>
        </w:tabs>
        <w:spacing w:line="276" w:lineRule="auto"/>
        <w:rPr>
          <w:rFonts w:hint="eastAsia" w:ascii="宋体" w:hAnsi="宋体" w:cs="宋体"/>
          <w:color w:val="auto"/>
          <w:sz w:val="24"/>
          <w:highlight w:val="none"/>
        </w:rPr>
      </w:pPr>
    </w:p>
    <w:p w14:paraId="2685735B">
      <w:pPr>
        <w:tabs>
          <w:tab w:val="left" w:pos="9135"/>
        </w:tabs>
        <w:spacing w:line="276" w:lineRule="auto"/>
        <w:rPr>
          <w:rFonts w:hint="eastAsia" w:ascii="宋体" w:hAnsi="宋体" w:cs="宋体"/>
          <w:color w:val="auto"/>
          <w:sz w:val="24"/>
          <w:highlight w:val="none"/>
          <w:u w:val="single"/>
        </w:rPr>
      </w:pPr>
      <w:r>
        <w:rPr>
          <w:rFonts w:hint="eastAsia" w:ascii="宋体" w:hAnsi="宋体" w:cs="宋体"/>
          <w:color w:val="auto"/>
          <w:sz w:val="24"/>
          <w:highlight w:val="none"/>
        </w:rPr>
        <w:t>供应商名称(公章)：</w:t>
      </w:r>
      <w:r>
        <w:rPr>
          <w:rFonts w:hint="eastAsia" w:ascii="宋体" w:hAnsi="宋体" w:cs="宋体"/>
          <w:color w:val="auto"/>
          <w:sz w:val="24"/>
          <w:highlight w:val="none"/>
          <w:u w:val="single"/>
        </w:rPr>
        <w:t>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38"/>
        <w:tblW w:w="12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2"/>
        <w:gridCol w:w="2731"/>
        <w:gridCol w:w="2838"/>
        <w:gridCol w:w="2731"/>
      </w:tblGrid>
      <w:tr w14:paraId="531B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3862" w:type="dxa"/>
            <w:vAlign w:val="center"/>
          </w:tcPr>
          <w:p w14:paraId="38AD1069">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磋商报价</w:t>
            </w:r>
          </w:p>
          <w:p w14:paraId="296D4991">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2731" w:type="dxa"/>
            <w:vAlign w:val="center"/>
          </w:tcPr>
          <w:p w14:paraId="0A46D9C5">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w:t>
            </w:r>
          </w:p>
          <w:p w14:paraId="66C413C6">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保证金</w:t>
            </w:r>
          </w:p>
        </w:tc>
        <w:tc>
          <w:tcPr>
            <w:tcW w:w="2838" w:type="dxa"/>
            <w:vAlign w:val="center"/>
          </w:tcPr>
          <w:p w14:paraId="32FB7908">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服务期</w:t>
            </w:r>
          </w:p>
        </w:tc>
        <w:tc>
          <w:tcPr>
            <w:tcW w:w="2731" w:type="dxa"/>
            <w:vAlign w:val="center"/>
          </w:tcPr>
          <w:p w14:paraId="1B124CEE">
            <w:pPr>
              <w:tabs>
                <w:tab w:val="left" w:pos="9135"/>
              </w:tabs>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5E65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2" w:type="dxa"/>
            <w:vAlign w:val="center"/>
          </w:tcPr>
          <w:p w14:paraId="5F16004A">
            <w:pPr>
              <w:tabs>
                <w:tab w:val="left" w:pos="9135"/>
              </w:tabs>
              <w:spacing w:line="276" w:lineRule="auto"/>
              <w:jc w:val="center"/>
              <w:rPr>
                <w:rFonts w:hint="eastAsia" w:ascii="宋体" w:hAnsi="宋体" w:cs="宋体"/>
                <w:color w:val="auto"/>
                <w:sz w:val="24"/>
                <w:highlight w:val="none"/>
              </w:rPr>
            </w:pPr>
          </w:p>
        </w:tc>
        <w:tc>
          <w:tcPr>
            <w:tcW w:w="2731" w:type="dxa"/>
            <w:vAlign w:val="center"/>
          </w:tcPr>
          <w:p w14:paraId="4660FAD1">
            <w:pPr>
              <w:tabs>
                <w:tab w:val="left" w:pos="9135"/>
              </w:tabs>
              <w:spacing w:line="276" w:lineRule="auto"/>
              <w:jc w:val="center"/>
              <w:rPr>
                <w:rFonts w:hint="eastAsia" w:ascii="宋体" w:hAnsi="宋体" w:cs="宋体"/>
                <w:color w:val="auto"/>
                <w:sz w:val="24"/>
                <w:highlight w:val="none"/>
              </w:rPr>
            </w:pPr>
          </w:p>
        </w:tc>
        <w:tc>
          <w:tcPr>
            <w:tcW w:w="2838" w:type="dxa"/>
            <w:vAlign w:val="center"/>
          </w:tcPr>
          <w:p w14:paraId="25869E05">
            <w:pPr>
              <w:tabs>
                <w:tab w:val="left" w:pos="9135"/>
              </w:tabs>
              <w:spacing w:line="276" w:lineRule="auto"/>
              <w:jc w:val="center"/>
              <w:rPr>
                <w:rFonts w:hint="eastAsia" w:ascii="宋体" w:hAnsi="宋体" w:cs="宋体"/>
                <w:color w:val="auto"/>
                <w:sz w:val="24"/>
                <w:highlight w:val="none"/>
              </w:rPr>
            </w:pPr>
          </w:p>
        </w:tc>
        <w:tc>
          <w:tcPr>
            <w:tcW w:w="2731" w:type="dxa"/>
            <w:vAlign w:val="center"/>
          </w:tcPr>
          <w:p w14:paraId="4B962364">
            <w:pPr>
              <w:tabs>
                <w:tab w:val="left" w:pos="9135"/>
              </w:tabs>
              <w:spacing w:line="276" w:lineRule="auto"/>
              <w:jc w:val="center"/>
              <w:rPr>
                <w:rFonts w:hint="eastAsia" w:ascii="宋体" w:hAnsi="宋体" w:cs="宋体"/>
                <w:color w:val="auto"/>
                <w:sz w:val="24"/>
                <w:highlight w:val="none"/>
              </w:rPr>
            </w:pPr>
          </w:p>
        </w:tc>
      </w:tr>
    </w:tbl>
    <w:p w14:paraId="597E4CDE">
      <w:pPr>
        <w:tabs>
          <w:tab w:val="left" w:pos="9135"/>
        </w:tabs>
        <w:spacing w:line="276" w:lineRule="auto"/>
        <w:rPr>
          <w:rFonts w:hint="eastAsia" w:ascii="宋体" w:hAnsi="宋体" w:cs="宋体"/>
          <w:color w:val="auto"/>
          <w:sz w:val="24"/>
          <w:highlight w:val="none"/>
        </w:rPr>
      </w:pPr>
      <w:r>
        <w:rPr>
          <w:rFonts w:hint="eastAsia" w:ascii="宋体" w:hAnsi="宋体" w:cs="宋体"/>
          <w:bCs/>
          <w:color w:val="auto"/>
          <w:kern w:val="0"/>
          <w:sz w:val="24"/>
          <w:highlight w:val="none"/>
          <w:lang w:val="zh-CN"/>
        </w:rPr>
        <w:t>法定代表人或委托代理人</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44008220">
      <w:pPr>
        <w:spacing w:line="276" w:lineRule="auto"/>
        <w:ind w:firstLine="480" w:firstLineChars="200"/>
        <w:rPr>
          <w:rFonts w:hint="eastAsia" w:ascii="宋体" w:hAnsi="宋体" w:cs="宋体"/>
          <w:color w:val="auto"/>
          <w:sz w:val="24"/>
          <w:highlight w:val="none"/>
        </w:rPr>
        <w:sectPr>
          <w:pgSz w:w="16838" w:h="11906" w:orient="landscape"/>
          <w:pgMar w:top="720" w:right="720" w:bottom="720" w:left="720" w:header="851" w:footer="992" w:gutter="0"/>
          <w:pgNumType w:fmt="decimal"/>
          <w:cols w:space="720" w:num="1"/>
          <w:docGrid w:type="linesAndChars" w:linePitch="312" w:charSpace="0"/>
        </w:sectPr>
      </w:pPr>
    </w:p>
    <w:p w14:paraId="360D247F">
      <w:pPr>
        <w:spacing w:line="276" w:lineRule="auto"/>
        <w:ind w:left="2880" w:hanging="2880"/>
        <w:jc w:val="center"/>
        <w:rPr>
          <w:rFonts w:hint="eastAsia" w:ascii="宋体" w:hAnsi="宋体" w:cs="宋体"/>
          <w:color w:val="auto"/>
          <w:sz w:val="24"/>
          <w:highlight w:val="none"/>
        </w:rPr>
      </w:pPr>
      <w:bookmarkStart w:id="67" w:name="_Toc277841205"/>
      <w:bookmarkStart w:id="68" w:name="_Toc197140579"/>
      <w:r>
        <w:rPr>
          <w:rFonts w:hint="eastAsia" w:ascii="宋体" w:hAnsi="宋体" w:cs="宋体"/>
          <w:color w:val="auto"/>
          <w:sz w:val="24"/>
          <w:highlight w:val="none"/>
        </w:rPr>
        <w:t>3、分项报价表</w:t>
      </w:r>
      <w:bookmarkEnd w:id="67"/>
    </w:p>
    <w:p w14:paraId="64274630">
      <w:pPr>
        <w:spacing w:line="276" w:lineRule="auto"/>
        <w:rPr>
          <w:rFonts w:hint="eastAsia" w:ascii="宋体" w:hAnsi="宋体" w:cs="宋体"/>
          <w:color w:val="auto"/>
          <w:sz w:val="24"/>
          <w:highlight w:val="none"/>
        </w:rPr>
      </w:pPr>
    </w:p>
    <w:p w14:paraId="50E64537">
      <w:pPr>
        <w:spacing w:line="276" w:lineRule="auto"/>
        <w:rPr>
          <w:rFonts w:hint="eastAsia" w:ascii="宋体" w:hAnsi="宋体" w:cs="宋体"/>
          <w:color w:val="auto"/>
          <w:sz w:val="24"/>
          <w:highlight w:val="none"/>
          <w:u w:val="single"/>
        </w:rPr>
      </w:pPr>
      <w:r>
        <w:rPr>
          <w:rFonts w:hint="eastAsia" w:ascii="宋体" w:hAnsi="宋体" w:cs="宋体"/>
          <w:color w:val="auto"/>
          <w:sz w:val="24"/>
          <w:highlight w:val="none"/>
        </w:rPr>
        <w:t>供应商名称（公章）：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项目编号/包号：</w:t>
      </w:r>
      <w:r>
        <w:rPr>
          <w:rFonts w:hint="eastAsia" w:ascii="宋体" w:hAnsi="宋体" w:cs="宋体"/>
          <w:color w:val="auto"/>
          <w:sz w:val="24"/>
          <w:highlight w:val="none"/>
          <w:u w:val="single"/>
        </w:rPr>
        <w:t xml:space="preserve">　　　　　　　　 </w:t>
      </w:r>
    </w:p>
    <w:tbl>
      <w:tblPr>
        <w:tblStyle w:val="38"/>
        <w:tblW w:w="10501" w:type="dxa"/>
        <w:jc w:val="center"/>
        <w:tblLayout w:type="fixed"/>
        <w:tblCellMar>
          <w:top w:w="0" w:type="dxa"/>
          <w:left w:w="28" w:type="dxa"/>
          <w:bottom w:w="0" w:type="dxa"/>
          <w:right w:w="28" w:type="dxa"/>
        </w:tblCellMar>
      </w:tblPr>
      <w:tblGrid>
        <w:gridCol w:w="10"/>
        <w:gridCol w:w="1014"/>
        <w:gridCol w:w="2890"/>
        <w:gridCol w:w="627"/>
        <w:gridCol w:w="992"/>
        <w:gridCol w:w="1391"/>
        <w:gridCol w:w="1701"/>
        <w:gridCol w:w="1843"/>
        <w:gridCol w:w="33"/>
      </w:tblGrid>
      <w:tr w14:paraId="4DA5848E">
        <w:tblPrEx>
          <w:tblCellMar>
            <w:top w:w="0" w:type="dxa"/>
            <w:left w:w="28" w:type="dxa"/>
            <w:bottom w:w="0" w:type="dxa"/>
            <w:right w:w="28" w:type="dxa"/>
          </w:tblCellMar>
        </w:tblPrEx>
        <w:trPr>
          <w:gridAfter w:val="1"/>
          <w:wAfter w:w="33" w:type="dxa"/>
          <w:trHeight w:val="529" w:hRule="atLeast"/>
          <w:jc w:val="center"/>
        </w:trPr>
        <w:tc>
          <w:tcPr>
            <w:tcW w:w="1024" w:type="dxa"/>
            <w:gridSpan w:val="2"/>
            <w:tcBorders>
              <w:top w:val="single" w:color="000000" w:sz="8" w:space="0"/>
              <w:left w:val="single" w:color="000000" w:sz="8" w:space="0"/>
              <w:bottom w:val="single" w:color="000000" w:sz="6" w:space="0"/>
              <w:right w:val="single" w:color="000000" w:sz="6" w:space="0"/>
            </w:tcBorders>
            <w:shd w:val="clear" w:color="000000" w:fill="FFFFFF"/>
            <w:vAlign w:val="center"/>
          </w:tcPr>
          <w:p w14:paraId="1DC19A64">
            <w:pPr>
              <w:autoSpaceDE w:val="0"/>
              <w:autoSpaceDN w:val="0"/>
              <w:adjustRightInd w:val="0"/>
              <w:spacing w:before="100" w:after="100" w:line="276" w:lineRule="auto"/>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序号</w:t>
            </w:r>
          </w:p>
        </w:tc>
        <w:tc>
          <w:tcPr>
            <w:tcW w:w="3517" w:type="dxa"/>
            <w:gridSpan w:val="2"/>
            <w:tcBorders>
              <w:top w:val="single" w:color="000000" w:sz="8" w:space="0"/>
              <w:left w:val="single" w:color="000000" w:sz="6" w:space="0"/>
              <w:bottom w:val="single" w:color="000000" w:sz="6" w:space="0"/>
              <w:right w:val="single" w:color="000000" w:sz="6" w:space="0"/>
            </w:tcBorders>
            <w:shd w:val="clear" w:color="000000" w:fill="FFFFFF"/>
            <w:vAlign w:val="center"/>
          </w:tcPr>
          <w:p w14:paraId="12165B1E">
            <w:pPr>
              <w:autoSpaceDE w:val="0"/>
              <w:autoSpaceDN w:val="0"/>
              <w:adjustRightInd w:val="0"/>
              <w:spacing w:before="100" w:after="100" w:line="276"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项目名称</w:t>
            </w:r>
          </w:p>
        </w:tc>
        <w:tc>
          <w:tcPr>
            <w:tcW w:w="992"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779F75E7">
            <w:pPr>
              <w:autoSpaceDE w:val="0"/>
              <w:autoSpaceDN w:val="0"/>
              <w:adjustRightInd w:val="0"/>
              <w:spacing w:before="100" w:after="100" w:line="276" w:lineRule="auto"/>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rPr>
              <w:t>数量</w:t>
            </w:r>
          </w:p>
        </w:tc>
        <w:tc>
          <w:tcPr>
            <w:tcW w:w="1391"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0792FA0B">
            <w:pPr>
              <w:autoSpaceDE w:val="0"/>
              <w:autoSpaceDN w:val="0"/>
              <w:adjustRightInd w:val="0"/>
              <w:spacing w:before="100" w:after="100" w:line="276" w:lineRule="auto"/>
              <w:jc w:val="center"/>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en-US" w:eastAsia="zh-CN"/>
              </w:rPr>
              <w:t>单价（万元）</w:t>
            </w:r>
          </w:p>
        </w:tc>
        <w:tc>
          <w:tcPr>
            <w:tcW w:w="1701" w:type="dxa"/>
            <w:tcBorders>
              <w:top w:val="single" w:color="000000" w:sz="8" w:space="0"/>
              <w:left w:val="single" w:color="000000" w:sz="6" w:space="0"/>
              <w:bottom w:val="single" w:color="000000" w:sz="6" w:space="0"/>
              <w:right w:val="single" w:color="000000" w:sz="6" w:space="0"/>
            </w:tcBorders>
            <w:shd w:val="clear" w:color="000000" w:fill="FFFFFF"/>
            <w:vAlign w:val="center"/>
          </w:tcPr>
          <w:p w14:paraId="47AE333B">
            <w:pPr>
              <w:autoSpaceDE w:val="0"/>
              <w:autoSpaceDN w:val="0"/>
              <w:adjustRightInd w:val="0"/>
              <w:spacing w:before="100" w:after="100" w:line="276" w:lineRule="auto"/>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合计</w:t>
            </w:r>
          </w:p>
        </w:tc>
        <w:tc>
          <w:tcPr>
            <w:tcW w:w="1843" w:type="dxa"/>
            <w:tcBorders>
              <w:top w:val="single" w:color="000000" w:sz="8" w:space="0"/>
              <w:left w:val="single" w:color="000000" w:sz="6" w:space="0"/>
              <w:bottom w:val="single" w:color="000000" w:sz="6" w:space="0"/>
              <w:right w:val="single" w:color="000000" w:sz="8" w:space="0"/>
            </w:tcBorders>
            <w:shd w:val="clear" w:color="000000" w:fill="FFFFFF"/>
            <w:vAlign w:val="center"/>
          </w:tcPr>
          <w:p w14:paraId="07FAB2C1">
            <w:pPr>
              <w:autoSpaceDE w:val="0"/>
              <w:autoSpaceDN w:val="0"/>
              <w:adjustRightInd w:val="0"/>
              <w:spacing w:before="100" w:after="100" w:line="276" w:lineRule="auto"/>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备注</w:t>
            </w:r>
          </w:p>
        </w:tc>
      </w:tr>
      <w:tr w14:paraId="1857D9AC">
        <w:tblPrEx>
          <w:tblCellMar>
            <w:top w:w="0" w:type="dxa"/>
            <w:left w:w="28" w:type="dxa"/>
            <w:bottom w:w="0" w:type="dxa"/>
            <w:right w:w="28" w:type="dxa"/>
          </w:tblCellMar>
        </w:tblPrEx>
        <w:trPr>
          <w:gridAfter w:val="1"/>
          <w:wAfter w:w="33" w:type="dxa"/>
          <w:trHeight w:val="529" w:hRule="atLeast"/>
          <w:jc w:val="center"/>
        </w:trPr>
        <w:tc>
          <w:tcPr>
            <w:tcW w:w="1024"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64411B88">
            <w:pPr>
              <w:autoSpaceDE w:val="0"/>
              <w:autoSpaceDN w:val="0"/>
              <w:adjustRightInd w:val="0"/>
              <w:spacing w:before="100" w:after="100" w:line="276" w:lineRule="auto"/>
              <w:ind w:firstLine="199"/>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1</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2DE807B3">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E95201">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14:paraId="3A34DAF6">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70FAC0">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7BC634F2">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r>
      <w:tr w14:paraId="0E9C2082">
        <w:tblPrEx>
          <w:tblCellMar>
            <w:top w:w="0" w:type="dxa"/>
            <w:left w:w="28" w:type="dxa"/>
            <w:bottom w:w="0" w:type="dxa"/>
            <w:right w:w="28" w:type="dxa"/>
          </w:tblCellMar>
        </w:tblPrEx>
        <w:trPr>
          <w:gridAfter w:val="1"/>
          <w:wAfter w:w="33" w:type="dxa"/>
          <w:trHeight w:val="529" w:hRule="atLeast"/>
          <w:jc w:val="center"/>
        </w:trPr>
        <w:tc>
          <w:tcPr>
            <w:tcW w:w="1024"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2C465097">
            <w:pPr>
              <w:autoSpaceDE w:val="0"/>
              <w:autoSpaceDN w:val="0"/>
              <w:adjustRightInd w:val="0"/>
              <w:spacing w:before="100" w:after="100" w:line="276" w:lineRule="auto"/>
              <w:ind w:firstLine="199"/>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2</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0A01BB2">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09BD68B">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14:paraId="0364E21E">
            <w:pPr>
              <w:autoSpaceDE w:val="0"/>
              <w:autoSpaceDN w:val="0"/>
              <w:adjustRightInd w:val="0"/>
              <w:spacing w:before="100" w:after="100" w:line="276" w:lineRule="auto"/>
              <w:rPr>
                <w:rFonts w:hint="eastAsia"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1134EC">
            <w:pPr>
              <w:autoSpaceDE w:val="0"/>
              <w:autoSpaceDN w:val="0"/>
              <w:adjustRightInd w:val="0"/>
              <w:spacing w:before="100" w:after="100" w:line="276" w:lineRule="auto"/>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xml:space="preserve">    </w:t>
            </w: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736053CA">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r>
      <w:tr w14:paraId="610B8D68">
        <w:tblPrEx>
          <w:tblCellMar>
            <w:top w:w="0" w:type="dxa"/>
            <w:left w:w="28" w:type="dxa"/>
            <w:bottom w:w="0" w:type="dxa"/>
            <w:right w:w="28" w:type="dxa"/>
          </w:tblCellMar>
        </w:tblPrEx>
        <w:trPr>
          <w:gridAfter w:val="1"/>
          <w:wAfter w:w="33" w:type="dxa"/>
          <w:trHeight w:val="529" w:hRule="atLeast"/>
          <w:jc w:val="center"/>
        </w:trPr>
        <w:tc>
          <w:tcPr>
            <w:tcW w:w="1024"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0D741602">
            <w:pPr>
              <w:autoSpaceDE w:val="0"/>
              <w:autoSpaceDN w:val="0"/>
              <w:adjustRightInd w:val="0"/>
              <w:spacing w:before="100" w:after="100" w:line="276" w:lineRule="auto"/>
              <w:ind w:firstLine="199"/>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3</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72748D4">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A9CE2A">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14:paraId="0278C58F">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A79753">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B286DF8">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r>
      <w:tr w14:paraId="34D32004">
        <w:tblPrEx>
          <w:tblCellMar>
            <w:top w:w="0" w:type="dxa"/>
            <w:left w:w="28" w:type="dxa"/>
            <w:bottom w:w="0" w:type="dxa"/>
            <w:right w:w="28" w:type="dxa"/>
          </w:tblCellMar>
        </w:tblPrEx>
        <w:trPr>
          <w:gridAfter w:val="1"/>
          <w:wAfter w:w="33" w:type="dxa"/>
          <w:trHeight w:val="529" w:hRule="atLeast"/>
          <w:jc w:val="center"/>
        </w:trPr>
        <w:tc>
          <w:tcPr>
            <w:tcW w:w="1024"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1E51FEEC">
            <w:pPr>
              <w:autoSpaceDE w:val="0"/>
              <w:autoSpaceDN w:val="0"/>
              <w:adjustRightInd w:val="0"/>
              <w:spacing w:before="100" w:after="100" w:line="276" w:lineRule="auto"/>
              <w:ind w:firstLine="199"/>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4</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37526429">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E40AAB">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14:paraId="32F6D5DF">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E927F98">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3CAAC312">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r>
      <w:tr w14:paraId="0CBFDE9B">
        <w:tblPrEx>
          <w:tblCellMar>
            <w:top w:w="0" w:type="dxa"/>
            <w:left w:w="28" w:type="dxa"/>
            <w:bottom w:w="0" w:type="dxa"/>
            <w:right w:w="28" w:type="dxa"/>
          </w:tblCellMar>
        </w:tblPrEx>
        <w:trPr>
          <w:gridAfter w:val="1"/>
          <w:wAfter w:w="33" w:type="dxa"/>
          <w:trHeight w:val="529" w:hRule="atLeast"/>
          <w:jc w:val="center"/>
        </w:trPr>
        <w:tc>
          <w:tcPr>
            <w:tcW w:w="1024" w:type="dxa"/>
            <w:gridSpan w:val="2"/>
            <w:tcBorders>
              <w:top w:val="single" w:color="000000" w:sz="6" w:space="0"/>
              <w:left w:val="single" w:color="000000" w:sz="8" w:space="0"/>
              <w:bottom w:val="single" w:color="000000" w:sz="6" w:space="0"/>
              <w:right w:val="single" w:color="000000" w:sz="6" w:space="0"/>
            </w:tcBorders>
            <w:shd w:val="clear" w:color="000000" w:fill="FFFFFF"/>
            <w:vAlign w:val="center"/>
          </w:tcPr>
          <w:p w14:paraId="6F21975E">
            <w:pPr>
              <w:autoSpaceDE w:val="0"/>
              <w:autoSpaceDN w:val="0"/>
              <w:adjustRightInd w:val="0"/>
              <w:spacing w:before="100" w:after="100" w:line="276" w:lineRule="auto"/>
              <w:ind w:firstLine="199"/>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5BE40435">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43FF68">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14:paraId="58FFE286">
            <w:pPr>
              <w:autoSpaceDE w:val="0"/>
              <w:autoSpaceDN w:val="0"/>
              <w:adjustRightInd w:val="0"/>
              <w:spacing w:before="100" w:after="100" w:line="276" w:lineRule="auto"/>
              <w:ind w:firstLine="480"/>
              <w:jc w:val="center"/>
              <w:rPr>
                <w:rFonts w:hint="eastAsia"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B6C95CD">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14:paraId="0B1A4872">
            <w:pPr>
              <w:autoSpaceDE w:val="0"/>
              <w:autoSpaceDN w:val="0"/>
              <w:adjustRightInd w:val="0"/>
              <w:spacing w:before="100" w:after="100" w:line="276" w:lineRule="auto"/>
              <w:ind w:firstLine="480"/>
              <w:jc w:val="center"/>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r>
      <w:tr w14:paraId="6880486F">
        <w:tblPrEx>
          <w:tblCellMar>
            <w:top w:w="0" w:type="dxa"/>
            <w:left w:w="28" w:type="dxa"/>
            <w:bottom w:w="0" w:type="dxa"/>
            <w:right w:w="28" w:type="dxa"/>
          </w:tblCellMar>
        </w:tblPrEx>
        <w:trPr>
          <w:gridBefore w:val="1"/>
          <w:wBefore w:w="10" w:type="dxa"/>
          <w:trHeight w:val="1067" w:hRule="atLeast"/>
          <w:jc w:val="center"/>
        </w:trPr>
        <w:tc>
          <w:tcPr>
            <w:tcW w:w="10491" w:type="dxa"/>
            <w:gridSpan w:val="8"/>
            <w:tcBorders>
              <w:top w:val="single" w:color="000000" w:sz="6" w:space="0"/>
              <w:left w:val="single" w:color="000000" w:sz="8" w:space="0"/>
              <w:bottom w:val="single" w:color="000000" w:sz="6" w:space="0"/>
              <w:right w:val="single" w:color="000000" w:sz="8" w:space="0"/>
            </w:tcBorders>
            <w:shd w:val="clear" w:color="000000" w:fill="FFFFFF"/>
          </w:tcPr>
          <w:p w14:paraId="6C766999">
            <w:pPr>
              <w:autoSpaceDE w:val="0"/>
              <w:autoSpaceDN w:val="0"/>
              <w:adjustRightInd w:val="0"/>
              <w:spacing w:before="100" w:after="100" w:line="276"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优惠承诺及其他：</w:t>
            </w:r>
          </w:p>
          <w:p w14:paraId="61F38187">
            <w:pPr>
              <w:autoSpaceDE w:val="0"/>
              <w:autoSpaceDN w:val="0"/>
              <w:adjustRightInd w:val="0"/>
              <w:spacing w:before="100" w:after="100" w:line="276" w:lineRule="auto"/>
              <w:ind w:firstLine="480"/>
              <w:jc w:val="left"/>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 </w:t>
            </w:r>
          </w:p>
        </w:tc>
      </w:tr>
      <w:tr w14:paraId="3B23BA02">
        <w:tblPrEx>
          <w:tblCellMar>
            <w:top w:w="0" w:type="dxa"/>
            <w:left w:w="28" w:type="dxa"/>
            <w:bottom w:w="0" w:type="dxa"/>
            <w:right w:w="28" w:type="dxa"/>
          </w:tblCellMar>
        </w:tblPrEx>
        <w:trPr>
          <w:gridBefore w:val="1"/>
          <w:wBefore w:w="10" w:type="dxa"/>
          <w:trHeight w:val="529" w:hRule="atLeast"/>
          <w:jc w:val="center"/>
        </w:trPr>
        <w:tc>
          <w:tcPr>
            <w:tcW w:w="3904" w:type="dxa"/>
            <w:gridSpan w:val="2"/>
            <w:tcBorders>
              <w:top w:val="single" w:color="000000" w:sz="6" w:space="0"/>
              <w:left w:val="single" w:color="000000" w:sz="8" w:space="0"/>
              <w:bottom w:val="single" w:color="000000" w:sz="8" w:space="0"/>
              <w:right w:val="single" w:color="000000" w:sz="6" w:space="0"/>
            </w:tcBorders>
            <w:shd w:val="clear" w:color="000000" w:fill="FFFFFF"/>
            <w:vAlign w:val="center"/>
          </w:tcPr>
          <w:p w14:paraId="6E5596E3">
            <w:pPr>
              <w:autoSpaceDE w:val="0"/>
              <w:autoSpaceDN w:val="0"/>
              <w:adjustRightInd w:val="0"/>
              <w:spacing w:line="276"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磋商总价</w:t>
            </w:r>
            <w:r>
              <w:rPr>
                <w:rFonts w:hint="eastAsia" w:ascii="宋体" w:hAnsi="宋体" w:cs="宋体"/>
                <w:color w:val="auto"/>
                <w:kern w:val="0"/>
                <w:sz w:val="24"/>
                <w:highlight w:val="none"/>
                <w:lang w:val="en-US" w:eastAsia="zh-CN"/>
              </w:rPr>
              <w:t>（万元）</w:t>
            </w:r>
          </w:p>
        </w:tc>
        <w:tc>
          <w:tcPr>
            <w:tcW w:w="6587" w:type="dxa"/>
            <w:gridSpan w:val="6"/>
            <w:tcBorders>
              <w:top w:val="single" w:color="000000" w:sz="6" w:space="0"/>
              <w:left w:val="single" w:color="000000" w:sz="6" w:space="0"/>
              <w:bottom w:val="single" w:color="000000" w:sz="8" w:space="0"/>
              <w:right w:val="single" w:color="000000" w:sz="8" w:space="0"/>
            </w:tcBorders>
            <w:shd w:val="clear" w:color="000000" w:fill="FFFFFF"/>
          </w:tcPr>
          <w:p w14:paraId="4633C9B7">
            <w:pPr>
              <w:autoSpaceDE w:val="0"/>
              <w:autoSpaceDN w:val="0"/>
              <w:adjustRightInd w:val="0"/>
              <w:spacing w:line="276"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大写：               </w:t>
            </w:r>
          </w:p>
          <w:p w14:paraId="08D9B24F">
            <w:pPr>
              <w:autoSpaceDE w:val="0"/>
              <w:autoSpaceDN w:val="0"/>
              <w:adjustRightInd w:val="0"/>
              <w:spacing w:line="276"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小写：</w:t>
            </w:r>
          </w:p>
        </w:tc>
      </w:tr>
    </w:tbl>
    <w:p w14:paraId="253947AB">
      <w:pPr>
        <w:spacing w:line="276" w:lineRule="auto"/>
        <w:rPr>
          <w:rFonts w:hint="eastAsia" w:ascii="宋体" w:hAnsi="宋体" w:cs="宋体"/>
          <w:color w:val="auto"/>
          <w:sz w:val="24"/>
          <w:highlight w:val="none"/>
        </w:rPr>
      </w:pPr>
    </w:p>
    <w:p w14:paraId="10E5F630">
      <w:pPr>
        <w:spacing w:line="276" w:lineRule="auto"/>
        <w:rPr>
          <w:rFonts w:hint="eastAsia" w:ascii="宋体" w:hAnsi="宋体" w:cs="宋体"/>
          <w:color w:val="auto"/>
          <w:sz w:val="24"/>
          <w:highlight w:val="none"/>
        </w:rPr>
      </w:pPr>
    </w:p>
    <w:p w14:paraId="6E358933">
      <w:pPr>
        <w:spacing w:line="276" w:lineRule="auto"/>
        <w:ind w:left="2880" w:hanging="2880"/>
        <w:rPr>
          <w:rFonts w:hint="eastAsia" w:ascii="宋体" w:hAnsi="宋体" w:cs="宋体"/>
          <w:color w:val="auto"/>
          <w:sz w:val="24"/>
          <w:highlight w:val="none"/>
        </w:rPr>
      </w:pPr>
    </w:p>
    <w:p w14:paraId="4BAA261E">
      <w:pPr>
        <w:spacing w:line="276" w:lineRule="auto"/>
        <w:ind w:left="2880" w:hanging="2880"/>
        <w:rPr>
          <w:rFonts w:hint="eastAsia" w:ascii="宋体" w:hAnsi="宋体" w:cs="宋体"/>
          <w:color w:val="auto"/>
          <w:sz w:val="24"/>
          <w:highlight w:val="none"/>
        </w:rPr>
      </w:pPr>
    </w:p>
    <w:p w14:paraId="27B79966">
      <w:pPr>
        <w:spacing w:line="276" w:lineRule="auto"/>
        <w:ind w:left="2880" w:hanging="2880"/>
        <w:rPr>
          <w:rFonts w:hint="eastAsia" w:ascii="宋体" w:hAnsi="宋体" w:cs="宋体"/>
          <w:color w:val="auto"/>
          <w:sz w:val="24"/>
          <w:highlight w:val="none"/>
          <w:u w:val="single"/>
        </w:rPr>
      </w:pPr>
      <w:r>
        <w:rPr>
          <w:rFonts w:hint="eastAsia" w:ascii="宋体" w:hAnsi="宋体" w:cs="宋体"/>
          <w:bCs/>
          <w:color w:val="auto"/>
          <w:kern w:val="0"/>
          <w:sz w:val="24"/>
          <w:highlight w:val="none"/>
          <w:lang w:val="zh-CN"/>
        </w:rPr>
        <w:t>法定代表人或委托代理人</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2ACC7FD0">
      <w:pPr>
        <w:spacing w:line="276" w:lineRule="auto"/>
        <w:jc w:val="center"/>
        <w:rPr>
          <w:rFonts w:hint="eastAsia" w:ascii="宋体" w:hAnsi="宋体" w:cs="宋体"/>
          <w:color w:val="auto"/>
          <w:sz w:val="24"/>
          <w:highlight w:val="none"/>
        </w:rPr>
      </w:pPr>
    </w:p>
    <w:p w14:paraId="48137AAB">
      <w:pPr>
        <w:spacing w:line="276" w:lineRule="auto"/>
        <w:jc w:val="center"/>
        <w:rPr>
          <w:rFonts w:hint="eastAsia" w:ascii="宋体" w:hAnsi="宋体" w:cs="宋体"/>
          <w:color w:val="auto"/>
          <w:sz w:val="24"/>
          <w:highlight w:val="none"/>
        </w:rPr>
      </w:pPr>
    </w:p>
    <w:p w14:paraId="4007AEFB">
      <w:pPr>
        <w:spacing w:line="276" w:lineRule="auto"/>
        <w:jc w:val="center"/>
        <w:rPr>
          <w:rFonts w:hint="eastAsia" w:ascii="宋体" w:hAnsi="宋体" w:cs="宋体"/>
          <w:color w:val="auto"/>
          <w:sz w:val="24"/>
          <w:highlight w:val="none"/>
        </w:rPr>
      </w:pPr>
    </w:p>
    <w:p w14:paraId="184D523F">
      <w:pPr>
        <w:spacing w:line="276" w:lineRule="auto"/>
        <w:jc w:val="center"/>
        <w:rPr>
          <w:rFonts w:hint="eastAsia" w:ascii="宋体" w:hAnsi="宋体" w:cs="宋体"/>
          <w:color w:val="auto"/>
          <w:sz w:val="24"/>
          <w:highlight w:val="none"/>
        </w:rPr>
      </w:pPr>
    </w:p>
    <w:p w14:paraId="6F8C1086">
      <w:pPr>
        <w:spacing w:line="276" w:lineRule="auto"/>
        <w:jc w:val="center"/>
        <w:rPr>
          <w:rFonts w:hint="eastAsia" w:ascii="宋体" w:hAnsi="宋体" w:cs="宋体"/>
          <w:color w:val="auto"/>
          <w:sz w:val="24"/>
          <w:highlight w:val="none"/>
        </w:rPr>
      </w:pPr>
    </w:p>
    <w:p w14:paraId="044EBD75">
      <w:pPr>
        <w:spacing w:line="276" w:lineRule="auto"/>
        <w:jc w:val="center"/>
        <w:rPr>
          <w:rFonts w:hint="eastAsia" w:ascii="宋体" w:hAnsi="宋体" w:cs="宋体"/>
          <w:color w:val="auto"/>
          <w:sz w:val="24"/>
          <w:highlight w:val="none"/>
        </w:rPr>
      </w:pPr>
    </w:p>
    <w:p w14:paraId="07D97407">
      <w:pPr>
        <w:spacing w:line="276" w:lineRule="auto"/>
        <w:jc w:val="center"/>
        <w:rPr>
          <w:rFonts w:hint="eastAsia" w:ascii="宋体" w:hAnsi="宋体" w:cs="宋体"/>
          <w:color w:val="auto"/>
          <w:sz w:val="24"/>
          <w:highlight w:val="none"/>
        </w:rPr>
      </w:pPr>
    </w:p>
    <w:p w14:paraId="11A0E3C6">
      <w:pPr>
        <w:spacing w:line="276" w:lineRule="auto"/>
        <w:jc w:val="center"/>
        <w:rPr>
          <w:rFonts w:hint="eastAsia" w:ascii="宋体" w:hAnsi="宋体" w:cs="宋体"/>
          <w:color w:val="auto"/>
          <w:sz w:val="24"/>
          <w:highlight w:val="none"/>
        </w:rPr>
      </w:pPr>
    </w:p>
    <w:p w14:paraId="38189BFD">
      <w:pPr>
        <w:spacing w:line="276" w:lineRule="auto"/>
        <w:rPr>
          <w:rFonts w:hint="eastAsia" w:ascii="宋体" w:hAnsi="宋体" w:cs="宋体"/>
          <w:color w:val="auto"/>
          <w:sz w:val="24"/>
          <w:highlight w:val="none"/>
        </w:rPr>
      </w:pPr>
    </w:p>
    <w:p w14:paraId="3842AF17">
      <w:pPr>
        <w:spacing w:line="276" w:lineRule="auto"/>
        <w:jc w:val="center"/>
        <w:rPr>
          <w:rFonts w:hint="eastAsia" w:ascii="宋体" w:hAnsi="宋体" w:cs="宋体"/>
          <w:color w:val="auto"/>
          <w:sz w:val="24"/>
          <w:highlight w:val="none"/>
        </w:rPr>
      </w:pPr>
    </w:p>
    <w:p w14:paraId="2145F592">
      <w:pPr>
        <w:spacing w:line="276" w:lineRule="auto"/>
        <w:jc w:val="center"/>
        <w:rPr>
          <w:rFonts w:hint="eastAsia" w:ascii="宋体" w:hAnsi="宋体" w:cs="宋体"/>
          <w:b/>
          <w:bCs/>
          <w:color w:val="auto"/>
          <w:sz w:val="24"/>
          <w:szCs w:val="24"/>
          <w:highlight w:val="none"/>
        </w:rPr>
      </w:pPr>
      <w:r>
        <w:rPr>
          <w:rFonts w:hint="eastAsia" w:ascii="宋体" w:hAnsi="宋体" w:cs="宋体"/>
          <w:color w:val="auto"/>
          <w:sz w:val="24"/>
          <w:highlight w:val="none"/>
        </w:rPr>
        <w:t>4.1、</w:t>
      </w:r>
      <w:r>
        <w:rPr>
          <w:rFonts w:hint="eastAsia" w:ascii="宋体" w:hAnsi="宋体" w:cs="宋体"/>
          <w:b/>
          <w:bCs/>
          <w:color w:val="auto"/>
          <w:sz w:val="24"/>
          <w:szCs w:val="24"/>
          <w:highlight w:val="none"/>
        </w:rPr>
        <w:t>法定代表人身份证明书</w:t>
      </w:r>
    </w:p>
    <w:p w14:paraId="5C816A05">
      <w:pPr>
        <w:spacing w:line="276" w:lineRule="auto"/>
        <w:jc w:val="center"/>
        <w:rPr>
          <w:rFonts w:hint="eastAsia" w:ascii="宋体" w:hAnsi="宋体" w:cs="宋体"/>
          <w:bCs/>
          <w:color w:val="auto"/>
          <w:sz w:val="24"/>
          <w:szCs w:val="24"/>
          <w:highlight w:val="none"/>
        </w:rPr>
      </w:pPr>
    </w:p>
    <w:p w14:paraId="768A6EA1">
      <w:pPr>
        <w:spacing w:line="276"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单位名称：</w:t>
      </w:r>
      <w:r>
        <w:rPr>
          <w:rFonts w:hint="eastAsia" w:ascii="宋体" w:hAnsi="宋体" w:cs="宋体"/>
          <w:bCs/>
          <w:color w:val="auto"/>
          <w:sz w:val="24"/>
          <w:szCs w:val="24"/>
          <w:highlight w:val="none"/>
          <w:u w:val="single"/>
        </w:rPr>
        <w:t xml:space="preserve">                                                   </w:t>
      </w:r>
    </w:p>
    <w:p w14:paraId="0B0C47B4">
      <w:pPr>
        <w:spacing w:line="276" w:lineRule="auto"/>
        <w:rPr>
          <w:rFonts w:hint="eastAsia" w:ascii="宋体" w:hAnsi="宋体" w:cs="宋体"/>
          <w:bCs/>
          <w:color w:val="auto"/>
          <w:sz w:val="24"/>
          <w:szCs w:val="24"/>
          <w:highlight w:val="none"/>
          <w:u w:val="single"/>
        </w:rPr>
      </w:pPr>
    </w:p>
    <w:p w14:paraId="110F8C55">
      <w:pPr>
        <w:spacing w:line="276"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企业类型：</w:t>
      </w:r>
      <w:r>
        <w:rPr>
          <w:rFonts w:hint="eastAsia" w:ascii="宋体" w:hAnsi="宋体" w:cs="宋体"/>
          <w:bCs/>
          <w:color w:val="auto"/>
          <w:sz w:val="24"/>
          <w:szCs w:val="24"/>
          <w:highlight w:val="none"/>
          <w:u w:val="single"/>
        </w:rPr>
        <w:t xml:space="preserve">                                                   </w:t>
      </w:r>
    </w:p>
    <w:p w14:paraId="555C576A">
      <w:pPr>
        <w:spacing w:line="276" w:lineRule="auto"/>
        <w:rPr>
          <w:rFonts w:hint="eastAsia" w:ascii="宋体" w:hAnsi="宋体" w:cs="宋体"/>
          <w:bCs/>
          <w:color w:val="auto"/>
          <w:sz w:val="24"/>
          <w:szCs w:val="24"/>
          <w:highlight w:val="none"/>
        </w:rPr>
      </w:pPr>
    </w:p>
    <w:p w14:paraId="3BFA2755">
      <w:pPr>
        <w:spacing w:line="276"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地    址：</w:t>
      </w:r>
      <w:r>
        <w:rPr>
          <w:rFonts w:hint="eastAsia" w:ascii="宋体" w:hAnsi="宋体" w:cs="宋体"/>
          <w:bCs/>
          <w:color w:val="auto"/>
          <w:sz w:val="24"/>
          <w:szCs w:val="24"/>
          <w:highlight w:val="none"/>
          <w:u w:val="single"/>
        </w:rPr>
        <w:t xml:space="preserve">                                                   </w:t>
      </w:r>
    </w:p>
    <w:p w14:paraId="36CDFC40">
      <w:pPr>
        <w:spacing w:line="276" w:lineRule="auto"/>
        <w:rPr>
          <w:rFonts w:hint="eastAsia" w:ascii="宋体" w:hAnsi="宋体" w:cs="宋体"/>
          <w:bCs/>
          <w:color w:val="auto"/>
          <w:sz w:val="24"/>
          <w:szCs w:val="24"/>
          <w:highlight w:val="none"/>
        </w:rPr>
      </w:pPr>
    </w:p>
    <w:p w14:paraId="3828BF86">
      <w:pPr>
        <w:spacing w:line="276"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营业期限：</w:t>
      </w:r>
      <w:r>
        <w:rPr>
          <w:rFonts w:hint="eastAsia" w:ascii="宋体" w:hAnsi="宋体" w:cs="宋体"/>
          <w:bCs/>
          <w:color w:val="auto"/>
          <w:sz w:val="24"/>
          <w:szCs w:val="24"/>
          <w:highlight w:val="none"/>
          <w:u w:val="single"/>
        </w:rPr>
        <w:t xml:space="preserve">                                                   </w:t>
      </w:r>
    </w:p>
    <w:p w14:paraId="3A430F6A">
      <w:pPr>
        <w:spacing w:line="276" w:lineRule="auto"/>
        <w:rPr>
          <w:rFonts w:hint="eastAsia" w:ascii="宋体" w:hAnsi="宋体" w:cs="宋体"/>
          <w:bCs/>
          <w:color w:val="auto"/>
          <w:sz w:val="24"/>
          <w:szCs w:val="24"/>
          <w:highlight w:val="none"/>
        </w:rPr>
      </w:pPr>
    </w:p>
    <w:p w14:paraId="445E9C0B">
      <w:pPr>
        <w:spacing w:line="276"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成立时间：</w:t>
      </w:r>
      <w:r>
        <w:rPr>
          <w:rFonts w:hint="eastAsia" w:ascii="宋体" w:hAnsi="宋体" w:cs="宋体"/>
          <w:bCs/>
          <w:color w:val="auto"/>
          <w:sz w:val="24"/>
          <w:szCs w:val="24"/>
          <w:highlight w:val="none"/>
          <w:u w:val="single"/>
        </w:rPr>
        <w:t xml:space="preserve">                                                   </w:t>
      </w:r>
    </w:p>
    <w:p w14:paraId="7C74D0D6">
      <w:pPr>
        <w:spacing w:line="276" w:lineRule="auto"/>
        <w:rPr>
          <w:rFonts w:hint="eastAsia" w:ascii="宋体" w:hAnsi="宋体" w:cs="宋体"/>
          <w:bCs/>
          <w:color w:val="auto"/>
          <w:sz w:val="24"/>
          <w:szCs w:val="24"/>
          <w:highlight w:val="none"/>
          <w:u w:val="single"/>
        </w:rPr>
      </w:pPr>
    </w:p>
    <w:p w14:paraId="57850500">
      <w:pPr>
        <w:spacing w:line="276" w:lineRule="auto"/>
        <w:rPr>
          <w:rFonts w:hint="eastAsia" w:ascii="宋体" w:hAnsi="宋体" w:cs="宋体"/>
          <w:bCs/>
          <w:color w:val="auto"/>
          <w:sz w:val="24"/>
          <w:szCs w:val="24"/>
          <w:highlight w:val="none"/>
          <w:u w:val="single"/>
        </w:rPr>
      </w:pPr>
    </w:p>
    <w:p w14:paraId="5985741E">
      <w:pPr>
        <w:spacing w:line="276"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姓名：</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性别：</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年龄：</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职务：</w:t>
      </w:r>
      <w:r>
        <w:rPr>
          <w:rFonts w:hint="eastAsia" w:ascii="宋体" w:hAnsi="宋体" w:cs="宋体"/>
          <w:bCs/>
          <w:color w:val="auto"/>
          <w:sz w:val="24"/>
          <w:szCs w:val="24"/>
          <w:highlight w:val="none"/>
          <w:u w:val="single"/>
        </w:rPr>
        <w:t xml:space="preserve">       </w:t>
      </w:r>
    </w:p>
    <w:p w14:paraId="30A97837">
      <w:pPr>
        <w:spacing w:line="276"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系 </w:t>
      </w:r>
      <w:r>
        <w:rPr>
          <w:rFonts w:hint="eastAsia" w:ascii="宋体" w:hAnsi="宋体" w:cs="宋体"/>
          <w:bCs/>
          <w:color w:val="auto"/>
          <w:sz w:val="24"/>
          <w:szCs w:val="24"/>
          <w:highlight w:val="none"/>
          <w:u w:val="single"/>
        </w:rPr>
        <w:t xml:space="preserve">         （投标人名称）               </w:t>
      </w:r>
      <w:r>
        <w:rPr>
          <w:rFonts w:hint="eastAsia" w:ascii="宋体" w:hAnsi="宋体" w:cs="宋体"/>
          <w:bCs/>
          <w:color w:val="auto"/>
          <w:sz w:val="24"/>
          <w:szCs w:val="24"/>
          <w:highlight w:val="none"/>
        </w:rPr>
        <w:t>的法定代表人。</w:t>
      </w:r>
    </w:p>
    <w:tbl>
      <w:tblPr>
        <w:tblStyle w:val="38"/>
        <w:tblW w:w="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082F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6102" w:type="dxa"/>
          </w:tcPr>
          <w:p w14:paraId="214CBB21">
            <w:pPr>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法定代表人身份证（正反面）</w:t>
            </w:r>
          </w:p>
        </w:tc>
      </w:tr>
    </w:tbl>
    <w:p w14:paraId="0D360E6F">
      <w:pPr>
        <w:spacing w:line="276" w:lineRule="auto"/>
        <w:rPr>
          <w:rFonts w:hint="eastAsia" w:ascii="宋体" w:hAnsi="宋体" w:cs="宋体"/>
          <w:bCs/>
          <w:color w:val="auto"/>
          <w:sz w:val="24"/>
          <w:szCs w:val="24"/>
          <w:highlight w:val="none"/>
        </w:rPr>
      </w:pPr>
    </w:p>
    <w:p w14:paraId="19F02A30">
      <w:pPr>
        <w:spacing w:line="276"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特此证明。</w:t>
      </w:r>
    </w:p>
    <w:p w14:paraId="7EF5051A">
      <w:pPr>
        <w:spacing w:line="276" w:lineRule="auto"/>
        <w:rPr>
          <w:rFonts w:hint="eastAsia" w:ascii="宋体" w:hAnsi="宋体" w:cs="宋体"/>
          <w:bCs/>
          <w:color w:val="auto"/>
          <w:sz w:val="24"/>
          <w:szCs w:val="24"/>
          <w:highlight w:val="none"/>
        </w:rPr>
      </w:pPr>
    </w:p>
    <w:p w14:paraId="1904CD9A">
      <w:pPr>
        <w:spacing w:line="276" w:lineRule="auto"/>
        <w:rPr>
          <w:rFonts w:hint="eastAsia" w:ascii="宋体" w:hAnsi="宋体" w:cs="宋体"/>
          <w:bCs/>
          <w:color w:val="auto"/>
          <w:sz w:val="24"/>
          <w:szCs w:val="24"/>
          <w:highlight w:val="none"/>
        </w:rPr>
      </w:pPr>
    </w:p>
    <w:p w14:paraId="75AC4ECD">
      <w:pPr>
        <w:spacing w:line="276" w:lineRule="auto"/>
        <w:rPr>
          <w:rFonts w:hint="eastAsia" w:ascii="宋体" w:hAnsi="宋体" w:cs="宋体"/>
          <w:bCs/>
          <w:color w:val="auto"/>
          <w:sz w:val="24"/>
          <w:szCs w:val="24"/>
          <w:highlight w:val="none"/>
        </w:rPr>
      </w:pPr>
    </w:p>
    <w:p w14:paraId="5AE113B1">
      <w:pPr>
        <w:wordWrap w:val="0"/>
        <w:spacing w:line="276" w:lineRule="auto"/>
        <w:jc w:val="righ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投标人：</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（盖章）</w:t>
      </w:r>
    </w:p>
    <w:p w14:paraId="4539D072">
      <w:pPr>
        <w:spacing w:line="276" w:lineRule="auto"/>
        <w:jc w:val="righ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  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p>
    <w:p w14:paraId="2E649D39">
      <w:pPr>
        <w:spacing w:line="276" w:lineRule="auto"/>
        <w:jc w:val="right"/>
        <w:rPr>
          <w:rFonts w:hint="eastAsia" w:ascii="宋体" w:hAnsi="宋体" w:cs="宋体"/>
          <w:bCs/>
          <w:color w:val="auto"/>
          <w:sz w:val="24"/>
          <w:szCs w:val="24"/>
          <w:highlight w:val="none"/>
        </w:rPr>
      </w:pPr>
    </w:p>
    <w:p w14:paraId="559D95F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4.2、法人代表授权书格式</w:t>
      </w:r>
    </w:p>
    <w:p w14:paraId="398757AC">
      <w:pPr>
        <w:spacing w:line="276" w:lineRule="auto"/>
        <w:rPr>
          <w:rFonts w:hint="eastAsia" w:ascii="宋体" w:hAnsi="宋体" w:cs="宋体"/>
          <w:color w:val="auto"/>
          <w:sz w:val="24"/>
          <w:highlight w:val="none"/>
        </w:rPr>
      </w:pPr>
    </w:p>
    <w:p w14:paraId="347334CA">
      <w:pPr>
        <w:spacing w:line="276"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本授权书声明：注册于</w:t>
      </w:r>
      <w:r>
        <w:rPr>
          <w:rFonts w:hint="eastAsia" w:ascii="宋体" w:hAnsi="宋体" w:cs="宋体"/>
          <w:color w:val="auto"/>
          <w:sz w:val="24"/>
          <w:szCs w:val="24"/>
          <w:highlight w:val="none"/>
          <w:u w:val="single"/>
        </w:rPr>
        <w:t>（地区的名称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（公司名称</w:t>
      </w:r>
      <w:r>
        <w:rPr>
          <w:rFonts w:hint="eastAsia" w:ascii="宋体" w:hAnsi="宋体" w:cs="宋体"/>
          <w:color w:val="auto"/>
          <w:sz w:val="24"/>
          <w:szCs w:val="24"/>
          <w:highlight w:val="none"/>
        </w:rPr>
        <w:t xml:space="preserve">），在下面签字的法人代表 </w:t>
      </w:r>
      <w:r>
        <w:rPr>
          <w:rFonts w:hint="eastAsia" w:ascii="宋体" w:hAnsi="宋体" w:cs="宋体"/>
          <w:color w:val="auto"/>
          <w:sz w:val="24"/>
          <w:szCs w:val="24"/>
          <w:highlight w:val="none"/>
          <w:u w:val="single"/>
        </w:rPr>
        <w:t>（姓名、职务</w:t>
      </w:r>
      <w:r>
        <w:rPr>
          <w:rFonts w:hint="eastAsia" w:ascii="宋体" w:hAnsi="宋体" w:cs="宋体"/>
          <w:color w:val="auto"/>
          <w:sz w:val="24"/>
          <w:szCs w:val="24"/>
          <w:highlight w:val="none"/>
        </w:rPr>
        <w:t>），代表本公司授权在下面签字的</w:t>
      </w:r>
      <w:r>
        <w:rPr>
          <w:rFonts w:hint="eastAsia" w:ascii="宋体" w:hAnsi="宋体" w:cs="宋体"/>
          <w:color w:val="auto"/>
          <w:sz w:val="24"/>
          <w:szCs w:val="24"/>
          <w:highlight w:val="none"/>
          <w:u w:val="single"/>
        </w:rPr>
        <w:t>（被授权人的姓名、职务</w:t>
      </w:r>
      <w:r>
        <w:rPr>
          <w:rFonts w:hint="eastAsia" w:ascii="宋体" w:hAnsi="宋体" w:cs="宋体"/>
          <w:color w:val="auto"/>
          <w:sz w:val="24"/>
          <w:szCs w:val="24"/>
          <w:highlight w:val="none"/>
        </w:rPr>
        <w:t xml:space="preserve">）为本公司的合法代理人，就 </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的磋商，以本公司的名义处理一切与之有关的事物。</w:t>
      </w:r>
    </w:p>
    <w:p w14:paraId="428A4EC3">
      <w:pPr>
        <w:spacing w:line="276" w:lineRule="auto"/>
        <w:jc w:val="left"/>
        <w:rPr>
          <w:rFonts w:hint="eastAsia" w:ascii="宋体" w:hAnsi="宋体" w:cs="宋体"/>
          <w:color w:val="auto"/>
          <w:sz w:val="24"/>
          <w:szCs w:val="24"/>
          <w:highlight w:val="none"/>
        </w:rPr>
      </w:pPr>
    </w:p>
    <w:p w14:paraId="669261D7">
      <w:pPr>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日签字生效，特此声明！</w:t>
      </w:r>
    </w:p>
    <w:p w14:paraId="28CA3C77">
      <w:pPr>
        <w:spacing w:line="276" w:lineRule="auto"/>
        <w:jc w:val="left"/>
        <w:rPr>
          <w:rFonts w:hint="eastAsia" w:ascii="宋体" w:hAnsi="宋体" w:cs="宋体"/>
          <w:color w:val="auto"/>
          <w:sz w:val="24"/>
          <w:szCs w:val="24"/>
          <w:highlight w:val="none"/>
        </w:rPr>
      </w:pPr>
    </w:p>
    <w:tbl>
      <w:tblPr>
        <w:tblStyle w:val="38"/>
        <w:tblW w:w="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6C47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7FFEDA54">
            <w:pPr>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法定代表人身份证（正反面）</w:t>
            </w:r>
          </w:p>
        </w:tc>
      </w:tr>
      <w:tr w14:paraId="5B50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05470F48">
            <w:pPr>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被授权人的身份证（正反面）</w:t>
            </w:r>
          </w:p>
        </w:tc>
      </w:tr>
    </w:tbl>
    <w:p w14:paraId="165754F4">
      <w:pPr>
        <w:spacing w:line="276" w:lineRule="auto"/>
        <w:jc w:val="left"/>
        <w:rPr>
          <w:rFonts w:hint="eastAsia" w:ascii="宋体" w:hAnsi="宋体" w:cs="宋体"/>
          <w:color w:val="auto"/>
          <w:sz w:val="24"/>
          <w:szCs w:val="24"/>
          <w:highlight w:val="none"/>
        </w:rPr>
      </w:pPr>
    </w:p>
    <w:p w14:paraId="20189206">
      <w:pPr>
        <w:spacing w:line="276"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法定代表人签字或盖章：</w:t>
      </w:r>
    </w:p>
    <w:p w14:paraId="7560DA73">
      <w:pPr>
        <w:spacing w:line="276"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被授权人签字：</w:t>
      </w:r>
    </w:p>
    <w:p w14:paraId="7A13E171">
      <w:pPr>
        <w:spacing w:line="276"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公        章：</w:t>
      </w:r>
    </w:p>
    <w:p w14:paraId="6433AAE2">
      <w:pPr>
        <w:spacing w:line="276" w:lineRule="auto"/>
        <w:jc w:val="right"/>
        <w:rPr>
          <w:rFonts w:hint="eastAsia" w:ascii="宋体" w:hAnsi="宋体" w:cs="宋体"/>
          <w:color w:val="auto"/>
          <w:sz w:val="24"/>
          <w:szCs w:val="24"/>
          <w:highlight w:val="none"/>
        </w:rPr>
      </w:pPr>
    </w:p>
    <w:p w14:paraId="74B2C904">
      <w:pPr>
        <w:spacing w:line="276" w:lineRule="auto"/>
        <w:jc w:val="right"/>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年   月   日</w:t>
      </w:r>
    </w:p>
    <w:p w14:paraId="4859147D">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注：法人代表本人作为公司代理人前来参加磋商的供应商，可不提供此项证明文件。</w:t>
      </w:r>
    </w:p>
    <w:p w14:paraId="56B50207">
      <w:pPr>
        <w:spacing w:line="276" w:lineRule="auto"/>
        <w:jc w:val="center"/>
        <w:rPr>
          <w:rFonts w:hint="eastAsia" w:ascii="宋体" w:hAnsi="宋体" w:cs="宋体"/>
          <w:color w:val="auto"/>
          <w:sz w:val="24"/>
          <w:highlight w:val="none"/>
        </w:rPr>
      </w:pPr>
    </w:p>
    <w:p w14:paraId="353E77DE">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5、关于资格的声明函</w:t>
      </w:r>
    </w:p>
    <w:p w14:paraId="0447DB80">
      <w:pPr>
        <w:spacing w:line="276" w:lineRule="auto"/>
        <w:rPr>
          <w:rFonts w:hint="eastAsia" w:ascii="宋体" w:hAnsi="宋体" w:cs="宋体"/>
          <w:color w:val="auto"/>
          <w:sz w:val="24"/>
          <w:highlight w:val="none"/>
        </w:rPr>
      </w:pPr>
    </w:p>
    <w:p w14:paraId="0B56A0D6">
      <w:pPr>
        <w:spacing w:line="276"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致：XXXXXX </w:t>
      </w:r>
    </w:p>
    <w:p w14:paraId="5482555C">
      <w:pPr>
        <w:spacing w:line="276" w:lineRule="auto"/>
        <w:rPr>
          <w:rFonts w:hint="eastAsia" w:ascii="宋体" w:hAnsi="宋体" w:cs="宋体"/>
          <w:color w:val="auto"/>
          <w:sz w:val="24"/>
          <w:szCs w:val="24"/>
          <w:highlight w:val="none"/>
        </w:rPr>
      </w:pPr>
    </w:p>
    <w:p w14:paraId="7024175B">
      <w:pPr>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w:t>
      </w:r>
      <w:r>
        <w:rPr>
          <w:rFonts w:hint="eastAsia" w:ascii="宋体" w:hAnsi="宋体" w:cs="宋体"/>
          <w:color w:val="auto"/>
          <w:sz w:val="24"/>
          <w:szCs w:val="24"/>
          <w:highlight w:val="none"/>
          <w:lang w:val="zh-CN"/>
        </w:rPr>
        <w:t>新疆维吾尔自治区交通运输综合行政执法局XXXXX项目</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zh-CN"/>
        </w:rPr>
        <w:t>：XXXXXX )</w:t>
      </w:r>
      <w:r>
        <w:rPr>
          <w:rFonts w:hint="eastAsia" w:ascii="宋体" w:hAnsi="宋体" w:cs="宋体"/>
          <w:color w:val="auto"/>
          <w:sz w:val="24"/>
          <w:szCs w:val="24"/>
          <w:highlight w:val="none"/>
        </w:rPr>
        <w:t>的磋商活动，并声明：</w:t>
      </w:r>
    </w:p>
    <w:p w14:paraId="3DA1CC57">
      <w:pPr>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具备《中华人民共和国政府采购法》第二十二条资格条件，已清楚磋商文件所有要求及有关规定；并承诺参加本次磋商活动中，如有违法、违规、弄虚作假行为，所造成的损失、不良后果及法律责任，一律由本公司承担。</w:t>
      </w:r>
    </w:p>
    <w:p w14:paraId="55C0DB99">
      <w:pPr>
        <w:snapToGrid w:val="0"/>
        <w:spacing w:line="276" w:lineRule="auto"/>
        <w:rPr>
          <w:rFonts w:hint="eastAsia" w:ascii="宋体" w:hAnsi="宋体" w:cs="宋体"/>
          <w:color w:val="auto"/>
          <w:sz w:val="24"/>
          <w:szCs w:val="24"/>
          <w:highlight w:val="none"/>
        </w:rPr>
      </w:pPr>
    </w:p>
    <w:p w14:paraId="004E6446">
      <w:pPr>
        <w:snapToGrid w:val="0"/>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0FDA171A">
      <w:pPr>
        <w:snapToGrid w:val="0"/>
        <w:spacing w:line="276" w:lineRule="auto"/>
        <w:rPr>
          <w:rFonts w:hint="eastAsia" w:ascii="宋体" w:hAnsi="宋体" w:cs="宋体"/>
          <w:color w:val="auto"/>
          <w:sz w:val="24"/>
          <w:szCs w:val="24"/>
          <w:highlight w:val="none"/>
        </w:rPr>
      </w:pPr>
    </w:p>
    <w:p w14:paraId="715E83BD">
      <w:pPr>
        <w:spacing w:line="276" w:lineRule="auto"/>
        <w:rPr>
          <w:rFonts w:hint="eastAsia" w:ascii="宋体" w:hAnsi="宋体" w:cs="宋体"/>
          <w:color w:val="auto"/>
          <w:sz w:val="24"/>
          <w:szCs w:val="24"/>
          <w:highlight w:val="none"/>
        </w:rPr>
      </w:pPr>
    </w:p>
    <w:p w14:paraId="00AA4D01">
      <w:pPr>
        <w:snapToGrid w:val="0"/>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供应商法定代表人（或法定代表人授权代表）签名：</w:t>
      </w:r>
    </w:p>
    <w:p w14:paraId="7B8280B3">
      <w:pPr>
        <w:snapToGrid w:val="0"/>
        <w:spacing w:line="27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供应商名称（加盖公章）：</w:t>
      </w:r>
    </w:p>
    <w:p w14:paraId="0ACD5FC9">
      <w:pPr>
        <w:spacing w:line="276" w:lineRule="auto"/>
        <w:rPr>
          <w:rFonts w:hint="eastAsia" w:ascii="宋体" w:hAnsi="宋体" w:cs="宋体"/>
          <w:color w:val="auto"/>
          <w:sz w:val="24"/>
          <w:highlight w:val="none"/>
        </w:rPr>
      </w:pPr>
    </w:p>
    <w:p w14:paraId="7EDD726A">
      <w:pPr>
        <w:spacing w:line="276" w:lineRule="auto"/>
        <w:rPr>
          <w:rFonts w:hint="eastAsia" w:ascii="宋体" w:hAnsi="宋体" w:cs="宋体"/>
          <w:color w:val="auto"/>
          <w:sz w:val="24"/>
          <w:highlight w:val="none"/>
        </w:rPr>
      </w:pPr>
    </w:p>
    <w:p w14:paraId="3D152B3C">
      <w:pPr>
        <w:spacing w:line="276" w:lineRule="auto"/>
        <w:rPr>
          <w:rFonts w:hint="eastAsia" w:ascii="宋体" w:hAnsi="宋体" w:cs="宋体"/>
          <w:color w:val="auto"/>
          <w:sz w:val="24"/>
          <w:highlight w:val="none"/>
        </w:rPr>
      </w:pPr>
    </w:p>
    <w:p w14:paraId="1569098E">
      <w:pPr>
        <w:spacing w:line="276" w:lineRule="auto"/>
        <w:rPr>
          <w:rFonts w:hint="eastAsia" w:ascii="宋体" w:hAnsi="宋体" w:cs="宋体"/>
          <w:color w:val="auto"/>
          <w:sz w:val="24"/>
          <w:highlight w:val="none"/>
        </w:rPr>
      </w:pPr>
    </w:p>
    <w:bookmarkEnd w:id="68"/>
    <w:p w14:paraId="6A1511A6">
      <w:pPr>
        <w:spacing w:line="276" w:lineRule="auto"/>
        <w:rPr>
          <w:rFonts w:hint="eastAsia" w:ascii="宋体" w:hAnsi="宋体" w:cs="宋体"/>
          <w:color w:val="auto"/>
          <w:sz w:val="24"/>
          <w:highlight w:val="none"/>
          <w:u w:val="single"/>
        </w:rPr>
      </w:pPr>
    </w:p>
    <w:p w14:paraId="48BF2FD9">
      <w:pPr>
        <w:spacing w:line="276"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871092B">
      <w:pPr>
        <w:spacing w:line="276" w:lineRule="auto"/>
        <w:ind w:firstLine="480" w:firstLineChars="200"/>
        <w:jc w:val="center"/>
        <w:rPr>
          <w:rFonts w:hint="eastAsia" w:ascii="宋体" w:hAnsi="宋体" w:cs="宋体"/>
          <w:color w:val="auto"/>
          <w:sz w:val="24"/>
          <w:szCs w:val="22"/>
          <w:highlight w:val="none"/>
        </w:rPr>
      </w:pPr>
      <w:r>
        <w:rPr>
          <w:rFonts w:hint="eastAsia" w:ascii="宋体" w:hAnsi="宋体" w:cs="宋体"/>
          <w:color w:val="auto"/>
          <w:sz w:val="24"/>
          <w:szCs w:val="22"/>
          <w:highlight w:val="none"/>
        </w:rPr>
        <w:t>6、参加政府采购活动前3年内在经营活动中没有重大违法记录的书面声明</w:t>
      </w:r>
    </w:p>
    <w:p w14:paraId="4CFF8176">
      <w:pPr>
        <w:spacing w:line="276"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致：XXXXXX </w:t>
      </w:r>
    </w:p>
    <w:p w14:paraId="078DC78A">
      <w:pPr>
        <w:spacing w:line="276" w:lineRule="auto"/>
        <w:rPr>
          <w:rFonts w:hint="eastAsia" w:ascii="宋体" w:hAnsi="宋体" w:cs="宋体"/>
          <w:color w:val="auto"/>
          <w:sz w:val="24"/>
          <w:szCs w:val="24"/>
          <w:highlight w:val="none"/>
        </w:rPr>
      </w:pPr>
    </w:p>
    <w:p w14:paraId="192A4A0A">
      <w:pPr>
        <w:spacing w:line="276" w:lineRule="auto"/>
        <w:rPr>
          <w:rFonts w:hint="eastAsia" w:ascii="宋体" w:hAnsi="宋体" w:cs="宋体"/>
          <w:color w:val="auto"/>
          <w:sz w:val="24"/>
          <w:szCs w:val="24"/>
          <w:highlight w:val="none"/>
        </w:rPr>
      </w:pPr>
    </w:p>
    <w:p w14:paraId="7706CB0E">
      <w:pPr>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w:t>
      </w:r>
      <w:r>
        <w:rPr>
          <w:rFonts w:hint="eastAsia" w:ascii="宋体" w:hAnsi="宋体" w:cs="宋体"/>
          <w:color w:val="auto"/>
          <w:sz w:val="24"/>
          <w:szCs w:val="24"/>
          <w:highlight w:val="none"/>
          <w:lang w:val="zh-CN"/>
        </w:rPr>
        <w:t>新疆维吾尔自治区交通运输综合行政执法局XXXXX项目</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zh-CN"/>
        </w:rPr>
        <w:t>：XXXXXX )</w:t>
      </w:r>
      <w:r>
        <w:rPr>
          <w:rFonts w:hint="eastAsia" w:ascii="宋体" w:hAnsi="宋体" w:cs="宋体"/>
          <w:color w:val="auto"/>
          <w:sz w:val="24"/>
          <w:szCs w:val="24"/>
          <w:highlight w:val="none"/>
        </w:rPr>
        <w:t>的磋商活动，并声明：</w:t>
      </w:r>
    </w:p>
    <w:p w14:paraId="1DD0C70F">
      <w:pPr>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本公司参加本磋商项目政府采购前3年内在经营活动中没有因违法经营受到刑事处罚或者责令停产停业、吊销许可证或者执照、较大数额罚款等行政处罚。</w:t>
      </w:r>
    </w:p>
    <w:p w14:paraId="5C6E622C">
      <w:pPr>
        <w:snapToGrid w:val="0"/>
        <w:spacing w:line="276" w:lineRule="auto"/>
        <w:rPr>
          <w:rFonts w:hint="eastAsia" w:ascii="宋体" w:hAnsi="宋体" w:cs="宋体"/>
          <w:color w:val="auto"/>
          <w:sz w:val="24"/>
          <w:szCs w:val="24"/>
          <w:highlight w:val="none"/>
        </w:rPr>
      </w:pPr>
    </w:p>
    <w:p w14:paraId="0FE0C39D">
      <w:pPr>
        <w:snapToGrid w:val="0"/>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46ED3805">
      <w:pPr>
        <w:snapToGrid w:val="0"/>
        <w:spacing w:line="276" w:lineRule="auto"/>
        <w:rPr>
          <w:rFonts w:hint="eastAsia" w:ascii="宋体" w:hAnsi="宋体" w:cs="宋体"/>
          <w:color w:val="auto"/>
          <w:sz w:val="24"/>
          <w:szCs w:val="24"/>
          <w:highlight w:val="none"/>
        </w:rPr>
      </w:pPr>
    </w:p>
    <w:p w14:paraId="48E585C8">
      <w:pPr>
        <w:spacing w:line="276" w:lineRule="auto"/>
        <w:rPr>
          <w:rFonts w:hint="eastAsia" w:ascii="宋体" w:hAnsi="宋体" w:cs="宋体"/>
          <w:color w:val="auto"/>
          <w:sz w:val="24"/>
          <w:szCs w:val="24"/>
          <w:highlight w:val="none"/>
        </w:rPr>
      </w:pPr>
    </w:p>
    <w:p w14:paraId="051D5708">
      <w:pPr>
        <w:snapToGrid w:val="0"/>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供应商法定代表人（或法定代表人授权代表）签名：</w:t>
      </w:r>
    </w:p>
    <w:p w14:paraId="5669F247">
      <w:pPr>
        <w:snapToGrid w:val="0"/>
        <w:spacing w:line="27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供应商名称（加盖公章）：</w:t>
      </w:r>
    </w:p>
    <w:p w14:paraId="3B8B85F0">
      <w:pPr>
        <w:snapToGrid w:val="0"/>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w:t>
      </w:r>
    </w:p>
    <w:p w14:paraId="516CA512">
      <w:pPr>
        <w:spacing w:line="276" w:lineRule="auto"/>
        <w:jc w:val="center"/>
        <w:rPr>
          <w:rFonts w:hint="eastAsia" w:ascii="宋体" w:hAnsi="宋体" w:cs="宋体"/>
          <w:color w:val="auto"/>
          <w:sz w:val="24"/>
          <w:highlight w:val="none"/>
        </w:rPr>
      </w:pPr>
    </w:p>
    <w:p w14:paraId="25F02392">
      <w:pPr>
        <w:spacing w:line="276" w:lineRule="auto"/>
        <w:jc w:val="center"/>
        <w:rPr>
          <w:rFonts w:hint="eastAsia" w:ascii="宋体" w:hAnsi="宋体" w:cs="宋体"/>
          <w:color w:val="auto"/>
          <w:sz w:val="24"/>
          <w:highlight w:val="none"/>
        </w:rPr>
      </w:pPr>
    </w:p>
    <w:p w14:paraId="6775B2AA">
      <w:pPr>
        <w:spacing w:line="276" w:lineRule="auto"/>
        <w:rPr>
          <w:rFonts w:hint="eastAsia" w:ascii="宋体" w:hAnsi="宋体" w:cs="宋体"/>
          <w:color w:val="auto"/>
          <w:sz w:val="24"/>
          <w:highlight w:val="none"/>
        </w:rPr>
      </w:pPr>
    </w:p>
    <w:p w14:paraId="0DC32D1F">
      <w:pPr>
        <w:spacing w:line="276" w:lineRule="auto"/>
        <w:jc w:val="center"/>
        <w:rPr>
          <w:rFonts w:hint="eastAsia" w:ascii="宋体" w:hAnsi="宋体" w:cs="宋体"/>
          <w:color w:val="auto"/>
          <w:sz w:val="24"/>
          <w:highlight w:val="none"/>
        </w:rPr>
      </w:pPr>
    </w:p>
    <w:p w14:paraId="2147BA65">
      <w:pPr>
        <w:spacing w:line="276" w:lineRule="auto"/>
        <w:jc w:val="center"/>
        <w:rPr>
          <w:rFonts w:hint="eastAsia" w:ascii="宋体" w:hAnsi="宋体" w:cs="宋体"/>
          <w:color w:val="auto"/>
          <w:sz w:val="24"/>
          <w:highlight w:val="none"/>
        </w:rPr>
      </w:pPr>
    </w:p>
    <w:p w14:paraId="24257DC5">
      <w:pPr>
        <w:spacing w:line="276" w:lineRule="auto"/>
        <w:jc w:val="center"/>
        <w:rPr>
          <w:rFonts w:hint="eastAsia" w:ascii="宋体" w:hAnsi="宋体" w:cs="宋体"/>
          <w:color w:val="auto"/>
          <w:sz w:val="24"/>
          <w:highlight w:val="none"/>
        </w:rPr>
      </w:pPr>
    </w:p>
    <w:p w14:paraId="28723DBE">
      <w:pPr>
        <w:spacing w:line="276" w:lineRule="auto"/>
        <w:jc w:val="center"/>
        <w:rPr>
          <w:rFonts w:hint="eastAsia" w:ascii="宋体" w:hAnsi="宋体" w:cs="宋体"/>
          <w:color w:val="auto"/>
          <w:sz w:val="24"/>
          <w:highlight w:val="none"/>
        </w:rPr>
      </w:pPr>
    </w:p>
    <w:p w14:paraId="1B5F306A">
      <w:pPr>
        <w:spacing w:line="276" w:lineRule="auto"/>
        <w:jc w:val="center"/>
        <w:rPr>
          <w:rFonts w:hint="eastAsia" w:ascii="宋体" w:hAnsi="宋体" w:cs="宋体"/>
          <w:color w:val="auto"/>
          <w:sz w:val="24"/>
          <w:highlight w:val="none"/>
        </w:rPr>
      </w:pPr>
    </w:p>
    <w:p w14:paraId="542A2063">
      <w:pPr>
        <w:spacing w:line="276" w:lineRule="auto"/>
        <w:jc w:val="center"/>
        <w:rPr>
          <w:rFonts w:hint="eastAsia" w:ascii="宋体" w:hAnsi="宋体" w:cs="宋体"/>
          <w:color w:val="auto"/>
          <w:sz w:val="24"/>
          <w:highlight w:val="none"/>
        </w:rPr>
      </w:pPr>
    </w:p>
    <w:p w14:paraId="02D1D1D2">
      <w:pPr>
        <w:spacing w:line="276" w:lineRule="auto"/>
        <w:jc w:val="center"/>
        <w:rPr>
          <w:rFonts w:hint="eastAsia" w:ascii="宋体" w:hAnsi="宋体" w:cs="宋体"/>
          <w:color w:val="auto"/>
          <w:sz w:val="24"/>
          <w:highlight w:val="none"/>
        </w:rPr>
      </w:pPr>
    </w:p>
    <w:p w14:paraId="0878AE3E">
      <w:pPr>
        <w:spacing w:line="276" w:lineRule="auto"/>
        <w:jc w:val="center"/>
        <w:rPr>
          <w:rFonts w:hint="eastAsia" w:ascii="宋体" w:hAnsi="宋体" w:cs="宋体"/>
          <w:color w:val="auto"/>
          <w:sz w:val="24"/>
          <w:highlight w:val="none"/>
        </w:rPr>
      </w:pPr>
    </w:p>
    <w:p w14:paraId="30622FBB">
      <w:pPr>
        <w:spacing w:line="276" w:lineRule="auto"/>
        <w:jc w:val="center"/>
        <w:rPr>
          <w:rFonts w:hint="eastAsia" w:ascii="宋体" w:hAnsi="宋体" w:cs="宋体"/>
          <w:color w:val="auto"/>
          <w:sz w:val="24"/>
          <w:highlight w:val="none"/>
        </w:rPr>
      </w:pPr>
    </w:p>
    <w:p w14:paraId="598F232C">
      <w:pPr>
        <w:spacing w:line="276" w:lineRule="auto"/>
        <w:jc w:val="center"/>
        <w:rPr>
          <w:rFonts w:hint="eastAsia" w:ascii="宋体" w:hAnsi="宋体" w:cs="宋体"/>
          <w:color w:val="auto"/>
          <w:sz w:val="24"/>
          <w:highlight w:val="none"/>
        </w:rPr>
      </w:pPr>
    </w:p>
    <w:p w14:paraId="4F80FCEE">
      <w:pPr>
        <w:spacing w:line="276" w:lineRule="auto"/>
        <w:jc w:val="center"/>
        <w:rPr>
          <w:rFonts w:hint="eastAsia" w:ascii="宋体" w:hAnsi="宋体" w:cs="宋体"/>
          <w:color w:val="auto"/>
          <w:sz w:val="24"/>
          <w:highlight w:val="none"/>
        </w:rPr>
      </w:pPr>
    </w:p>
    <w:p w14:paraId="775C7A07">
      <w:pPr>
        <w:spacing w:line="276" w:lineRule="auto"/>
        <w:jc w:val="center"/>
        <w:rPr>
          <w:rFonts w:hint="eastAsia" w:ascii="宋体" w:hAnsi="宋体" w:cs="宋体"/>
          <w:color w:val="auto"/>
          <w:sz w:val="24"/>
          <w:highlight w:val="none"/>
        </w:rPr>
      </w:pPr>
    </w:p>
    <w:p w14:paraId="0EDE2794">
      <w:pPr>
        <w:spacing w:line="276" w:lineRule="auto"/>
        <w:jc w:val="center"/>
        <w:rPr>
          <w:rFonts w:hint="eastAsia" w:ascii="宋体" w:hAnsi="宋体" w:cs="宋体"/>
          <w:color w:val="auto"/>
          <w:sz w:val="24"/>
          <w:highlight w:val="none"/>
        </w:rPr>
      </w:pPr>
    </w:p>
    <w:p w14:paraId="5A576C4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7、商务条款偏离表</w:t>
      </w:r>
    </w:p>
    <w:p w14:paraId="31612F35">
      <w:pPr>
        <w:spacing w:line="276" w:lineRule="auto"/>
        <w:rPr>
          <w:rFonts w:hint="eastAsia" w:ascii="宋体" w:hAnsi="宋体" w:cs="宋体"/>
          <w:color w:val="auto"/>
          <w:sz w:val="24"/>
          <w:highlight w:val="none"/>
          <w:u w:val="single"/>
        </w:rPr>
      </w:pPr>
      <w:r>
        <w:rPr>
          <w:rFonts w:hint="eastAsia" w:ascii="宋体" w:hAnsi="宋体" w:cs="宋体"/>
          <w:color w:val="auto"/>
          <w:sz w:val="24"/>
          <w:highlight w:val="none"/>
        </w:rPr>
        <w:t>供应商名称（公章）：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38"/>
        <w:tblW w:w="940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38"/>
        <w:gridCol w:w="2552"/>
        <w:gridCol w:w="2835"/>
        <w:gridCol w:w="1984"/>
      </w:tblGrid>
      <w:tr w14:paraId="4EC2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96" w:type="dxa"/>
            <w:vAlign w:val="center"/>
          </w:tcPr>
          <w:p w14:paraId="45A98F61">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38" w:type="dxa"/>
            <w:vAlign w:val="center"/>
          </w:tcPr>
          <w:p w14:paraId="69FDC84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磋商文件</w:t>
            </w:r>
          </w:p>
          <w:p w14:paraId="494BB01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条目号</w:t>
            </w:r>
          </w:p>
        </w:tc>
        <w:tc>
          <w:tcPr>
            <w:tcW w:w="2552" w:type="dxa"/>
            <w:vAlign w:val="center"/>
          </w:tcPr>
          <w:p w14:paraId="1322584C">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磋商文件的商务条款</w:t>
            </w:r>
          </w:p>
        </w:tc>
        <w:tc>
          <w:tcPr>
            <w:tcW w:w="2835" w:type="dxa"/>
            <w:vAlign w:val="center"/>
          </w:tcPr>
          <w:p w14:paraId="6F02F10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磋商响应文件的商务条款</w:t>
            </w:r>
          </w:p>
        </w:tc>
        <w:tc>
          <w:tcPr>
            <w:tcW w:w="1984" w:type="dxa"/>
            <w:vAlign w:val="center"/>
          </w:tcPr>
          <w:p w14:paraId="0DABCAF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DA7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5768DAC3">
            <w:pPr>
              <w:spacing w:line="276" w:lineRule="auto"/>
              <w:rPr>
                <w:rFonts w:hint="eastAsia" w:ascii="宋体" w:hAnsi="宋体" w:cs="宋体"/>
                <w:color w:val="auto"/>
                <w:sz w:val="24"/>
                <w:highlight w:val="none"/>
              </w:rPr>
            </w:pPr>
          </w:p>
          <w:p w14:paraId="38C8B429">
            <w:pPr>
              <w:spacing w:line="276" w:lineRule="auto"/>
              <w:rPr>
                <w:rFonts w:hint="eastAsia" w:ascii="宋体" w:hAnsi="宋体" w:cs="宋体"/>
                <w:color w:val="auto"/>
                <w:sz w:val="24"/>
                <w:highlight w:val="none"/>
              </w:rPr>
            </w:pPr>
          </w:p>
        </w:tc>
        <w:tc>
          <w:tcPr>
            <w:tcW w:w="1438" w:type="dxa"/>
            <w:vAlign w:val="center"/>
          </w:tcPr>
          <w:p w14:paraId="19DFCD24">
            <w:pPr>
              <w:widowControl/>
              <w:spacing w:line="276" w:lineRule="auto"/>
              <w:rPr>
                <w:rFonts w:hint="eastAsia" w:ascii="宋体" w:hAnsi="宋体" w:cs="宋体"/>
                <w:color w:val="auto"/>
                <w:sz w:val="24"/>
                <w:highlight w:val="none"/>
              </w:rPr>
            </w:pPr>
          </w:p>
          <w:p w14:paraId="0050659C">
            <w:pPr>
              <w:spacing w:line="276" w:lineRule="auto"/>
              <w:rPr>
                <w:rFonts w:hint="eastAsia" w:ascii="宋体" w:hAnsi="宋体" w:cs="宋体"/>
                <w:color w:val="auto"/>
                <w:sz w:val="24"/>
                <w:highlight w:val="none"/>
              </w:rPr>
            </w:pPr>
          </w:p>
        </w:tc>
        <w:tc>
          <w:tcPr>
            <w:tcW w:w="2552" w:type="dxa"/>
            <w:vAlign w:val="center"/>
          </w:tcPr>
          <w:p w14:paraId="5B3192E4">
            <w:pPr>
              <w:spacing w:line="276" w:lineRule="auto"/>
              <w:rPr>
                <w:rFonts w:hint="eastAsia" w:ascii="宋体" w:hAnsi="宋体" w:cs="宋体"/>
                <w:color w:val="auto"/>
                <w:sz w:val="24"/>
                <w:highlight w:val="none"/>
              </w:rPr>
            </w:pPr>
          </w:p>
        </w:tc>
        <w:tc>
          <w:tcPr>
            <w:tcW w:w="2835" w:type="dxa"/>
            <w:vAlign w:val="center"/>
          </w:tcPr>
          <w:p w14:paraId="21A1C21B">
            <w:pPr>
              <w:spacing w:line="276" w:lineRule="auto"/>
              <w:rPr>
                <w:rFonts w:hint="eastAsia" w:ascii="宋体" w:hAnsi="宋体" w:cs="宋体"/>
                <w:color w:val="auto"/>
                <w:sz w:val="24"/>
                <w:highlight w:val="none"/>
              </w:rPr>
            </w:pPr>
          </w:p>
        </w:tc>
        <w:tc>
          <w:tcPr>
            <w:tcW w:w="1984" w:type="dxa"/>
            <w:vAlign w:val="center"/>
          </w:tcPr>
          <w:p w14:paraId="01C2E0E9">
            <w:pPr>
              <w:spacing w:line="276" w:lineRule="auto"/>
              <w:rPr>
                <w:rFonts w:hint="eastAsia" w:ascii="宋体" w:hAnsi="宋体" w:cs="宋体"/>
                <w:color w:val="auto"/>
                <w:sz w:val="24"/>
                <w:highlight w:val="none"/>
              </w:rPr>
            </w:pPr>
          </w:p>
        </w:tc>
      </w:tr>
      <w:tr w14:paraId="31C4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5A5389FD">
            <w:pPr>
              <w:spacing w:line="276" w:lineRule="auto"/>
              <w:rPr>
                <w:rFonts w:hint="eastAsia" w:ascii="宋体" w:hAnsi="宋体" w:cs="宋体"/>
                <w:color w:val="auto"/>
                <w:sz w:val="24"/>
                <w:highlight w:val="none"/>
              </w:rPr>
            </w:pPr>
          </w:p>
          <w:p w14:paraId="75E67953">
            <w:pPr>
              <w:spacing w:line="276" w:lineRule="auto"/>
              <w:rPr>
                <w:rFonts w:hint="eastAsia" w:ascii="宋体" w:hAnsi="宋体" w:cs="宋体"/>
                <w:color w:val="auto"/>
                <w:sz w:val="24"/>
                <w:highlight w:val="none"/>
              </w:rPr>
            </w:pPr>
          </w:p>
        </w:tc>
        <w:tc>
          <w:tcPr>
            <w:tcW w:w="1438" w:type="dxa"/>
            <w:vAlign w:val="center"/>
          </w:tcPr>
          <w:p w14:paraId="56B292AB">
            <w:pPr>
              <w:widowControl/>
              <w:spacing w:line="276" w:lineRule="auto"/>
              <w:rPr>
                <w:rFonts w:hint="eastAsia" w:ascii="宋体" w:hAnsi="宋体" w:cs="宋体"/>
                <w:color w:val="auto"/>
                <w:sz w:val="24"/>
                <w:highlight w:val="none"/>
              </w:rPr>
            </w:pPr>
          </w:p>
          <w:p w14:paraId="5CA7053B">
            <w:pPr>
              <w:spacing w:line="276" w:lineRule="auto"/>
              <w:rPr>
                <w:rFonts w:hint="eastAsia" w:ascii="宋体" w:hAnsi="宋体" w:cs="宋体"/>
                <w:color w:val="auto"/>
                <w:sz w:val="24"/>
                <w:highlight w:val="none"/>
              </w:rPr>
            </w:pPr>
          </w:p>
        </w:tc>
        <w:tc>
          <w:tcPr>
            <w:tcW w:w="2552" w:type="dxa"/>
            <w:vAlign w:val="center"/>
          </w:tcPr>
          <w:p w14:paraId="08EA87D3">
            <w:pPr>
              <w:spacing w:line="276" w:lineRule="auto"/>
              <w:rPr>
                <w:rFonts w:hint="eastAsia" w:ascii="宋体" w:hAnsi="宋体" w:cs="宋体"/>
                <w:color w:val="auto"/>
                <w:sz w:val="24"/>
                <w:highlight w:val="none"/>
              </w:rPr>
            </w:pPr>
          </w:p>
        </w:tc>
        <w:tc>
          <w:tcPr>
            <w:tcW w:w="2835" w:type="dxa"/>
            <w:vAlign w:val="center"/>
          </w:tcPr>
          <w:p w14:paraId="07D1364E">
            <w:pPr>
              <w:spacing w:line="276" w:lineRule="auto"/>
              <w:rPr>
                <w:rFonts w:hint="eastAsia" w:ascii="宋体" w:hAnsi="宋体" w:cs="宋体"/>
                <w:color w:val="auto"/>
                <w:sz w:val="24"/>
                <w:highlight w:val="none"/>
              </w:rPr>
            </w:pPr>
          </w:p>
        </w:tc>
        <w:tc>
          <w:tcPr>
            <w:tcW w:w="1984" w:type="dxa"/>
            <w:vAlign w:val="center"/>
          </w:tcPr>
          <w:p w14:paraId="6CA8D6B1">
            <w:pPr>
              <w:spacing w:line="276" w:lineRule="auto"/>
              <w:rPr>
                <w:rFonts w:hint="eastAsia" w:ascii="宋体" w:hAnsi="宋体" w:cs="宋体"/>
                <w:color w:val="auto"/>
                <w:sz w:val="24"/>
                <w:highlight w:val="none"/>
              </w:rPr>
            </w:pPr>
          </w:p>
        </w:tc>
      </w:tr>
      <w:tr w14:paraId="44EC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41A2327D">
            <w:pPr>
              <w:spacing w:line="276" w:lineRule="auto"/>
              <w:rPr>
                <w:rFonts w:hint="eastAsia" w:ascii="宋体" w:hAnsi="宋体" w:cs="宋体"/>
                <w:color w:val="auto"/>
                <w:sz w:val="24"/>
                <w:highlight w:val="none"/>
              </w:rPr>
            </w:pPr>
          </w:p>
          <w:p w14:paraId="21EFB6DA">
            <w:pPr>
              <w:spacing w:line="276" w:lineRule="auto"/>
              <w:rPr>
                <w:rFonts w:hint="eastAsia" w:ascii="宋体" w:hAnsi="宋体" w:cs="宋体"/>
                <w:color w:val="auto"/>
                <w:sz w:val="24"/>
                <w:highlight w:val="none"/>
              </w:rPr>
            </w:pPr>
          </w:p>
        </w:tc>
        <w:tc>
          <w:tcPr>
            <w:tcW w:w="1438" w:type="dxa"/>
            <w:vAlign w:val="center"/>
          </w:tcPr>
          <w:p w14:paraId="4D087957">
            <w:pPr>
              <w:widowControl/>
              <w:spacing w:line="276" w:lineRule="auto"/>
              <w:rPr>
                <w:rFonts w:hint="eastAsia" w:ascii="宋体" w:hAnsi="宋体" w:cs="宋体"/>
                <w:color w:val="auto"/>
                <w:sz w:val="24"/>
                <w:highlight w:val="none"/>
              </w:rPr>
            </w:pPr>
          </w:p>
          <w:p w14:paraId="4442733E">
            <w:pPr>
              <w:spacing w:line="276" w:lineRule="auto"/>
              <w:rPr>
                <w:rFonts w:hint="eastAsia" w:ascii="宋体" w:hAnsi="宋体" w:cs="宋体"/>
                <w:color w:val="auto"/>
                <w:sz w:val="24"/>
                <w:highlight w:val="none"/>
              </w:rPr>
            </w:pPr>
          </w:p>
        </w:tc>
        <w:tc>
          <w:tcPr>
            <w:tcW w:w="2552" w:type="dxa"/>
            <w:vAlign w:val="center"/>
          </w:tcPr>
          <w:p w14:paraId="2275253D">
            <w:pPr>
              <w:spacing w:line="276" w:lineRule="auto"/>
              <w:rPr>
                <w:rFonts w:hint="eastAsia" w:ascii="宋体" w:hAnsi="宋体" w:cs="宋体"/>
                <w:color w:val="auto"/>
                <w:sz w:val="24"/>
                <w:highlight w:val="none"/>
              </w:rPr>
            </w:pPr>
          </w:p>
        </w:tc>
        <w:tc>
          <w:tcPr>
            <w:tcW w:w="2835" w:type="dxa"/>
            <w:vAlign w:val="center"/>
          </w:tcPr>
          <w:p w14:paraId="60D515AC">
            <w:pPr>
              <w:spacing w:line="276" w:lineRule="auto"/>
              <w:rPr>
                <w:rFonts w:hint="eastAsia" w:ascii="宋体" w:hAnsi="宋体" w:cs="宋体"/>
                <w:color w:val="auto"/>
                <w:sz w:val="24"/>
                <w:highlight w:val="none"/>
              </w:rPr>
            </w:pPr>
          </w:p>
        </w:tc>
        <w:tc>
          <w:tcPr>
            <w:tcW w:w="1984" w:type="dxa"/>
            <w:vAlign w:val="center"/>
          </w:tcPr>
          <w:p w14:paraId="331F3D2D">
            <w:pPr>
              <w:spacing w:line="276" w:lineRule="auto"/>
              <w:rPr>
                <w:rFonts w:hint="eastAsia" w:ascii="宋体" w:hAnsi="宋体" w:cs="宋体"/>
                <w:color w:val="auto"/>
                <w:sz w:val="24"/>
                <w:highlight w:val="none"/>
              </w:rPr>
            </w:pPr>
          </w:p>
        </w:tc>
      </w:tr>
      <w:tr w14:paraId="6235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vAlign w:val="center"/>
          </w:tcPr>
          <w:p w14:paraId="4E1CC5DA">
            <w:pPr>
              <w:spacing w:line="276" w:lineRule="auto"/>
              <w:rPr>
                <w:rFonts w:hint="eastAsia" w:ascii="宋体" w:hAnsi="宋体" w:cs="宋体"/>
                <w:color w:val="auto"/>
                <w:sz w:val="24"/>
                <w:highlight w:val="none"/>
              </w:rPr>
            </w:pPr>
          </w:p>
          <w:p w14:paraId="3D5512C0">
            <w:pPr>
              <w:spacing w:line="276" w:lineRule="auto"/>
              <w:rPr>
                <w:rFonts w:hint="eastAsia" w:ascii="宋体" w:hAnsi="宋体" w:cs="宋体"/>
                <w:color w:val="auto"/>
                <w:sz w:val="24"/>
                <w:highlight w:val="none"/>
              </w:rPr>
            </w:pPr>
          </w:p>
        </w:tc>
        <w:tc>
          <w:tcPr>
            <w:tcW w:w="1438" w:type="dxa"/>
            <w:vAlign w:val="center"/>
          </w:tcPr>
          <w:p w14:paraId="6C5EE45C">
            <w:pPr>
              <w:widowControl/>
              <w:spacing w:line="276" w:lineRule="auto"/>
              <w:rPr>
                <w:rFonts w:hint="eastAsia" w:ascii="宋体" w:hAnsi="宋体" w:cs="宋体"/>
                <w:color w:val="auto"/>
                <w:sz w:val="24"/>
                <w:highlight w:val="none"/>
              </w:rPr>
            </w:pPr>
          </w:p>
          <w:p w14:paraId="2AE2A723">
            <w:pPr>
              <w:spacing w:line="276" w:lineRule="auto"/>
              <w:rPr>
                <w:rFonts w:hint="eastAsia" w:ascii="宋体" w:hAnsi="宋体" w:cs="宋体"/>
                <w:color w:val="auto"/>
                <w:sz w:val="24"/>
                <w:highlight w:val="none"/>
              </w:rPr>
            </w:pPr>
          </w:p>
        </w:tc>
        <w:tc>
          <w:tcPr>
            <w:tcW w:w="2552" w:type="dxa"/>
            <w:vAlign w:val="center"/>
          </w:tcPr>
          <w:p w14:paraId="0FBC89FE">
            <w:pPr>
              <w:spacing w:line="276" w:lineRule="auto"/>
              <w:rPr>
                <w:rFonts w:hint="eastAsia" w:ascii="宋体" w:hAnsi="宋体" w:cs="宋体"/>
                <w:color w:val="auto"/>
                <w:sz w:val="24"/>
                <w:highlight w:val="none"/>
              </w:rPr>
            </w:pPr>
          </w:p>
        </w:tc>
        <w:tc>
          <w:tcPr>
            <w:tcW w:w="2835" w:type="dxa"/>
            <w:vAlign w:val="center"/>
          </w:tcPr>
          <w:p w14:paraId="51598D65">
            <w:pPr>
              <w:spacing w:line="276" w:lineRule="auto"/>
              <w:rPr>
                <w:rFonts w:hint="eastAsia" w:ascii="宋体" w:hAnsi="宋体" w:cs="宋体"/>
                <w:color w:val="auto"/>
                <w:sz w:val="24"/>
                <w:highlight w:val="none"/>
              </w:rPr>
            </w:pPr>
          </w:p>
        </w:tc>
        <w:tc>
          <w:tcPr>
            <w:tcW w:w="1984" w:type="dxa"/>
            <w:vAlign w:val="center"/>
          </w:tcPr>
          <w:p w14:paraId="66BBAE30">
            <w:pPr>
              <w:spacing w:line="276" w:lineRule="auto"/>
              <w:rPr>
                <w:rFonts w:hint="eastAsia" w:ascii="宋体" w:hAnsi="宋体" w:cs="宋体"/>
                <w:color w:val="auto"/>
                <w:sz w:val="24"/>
                <w:highlight w:val="none"/>
              </w:rPr>
            </w:pPr>
          </w:p>
        </w:tc>
      </w:tr>
      <w:tr w14:paraId="4CE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063D611F">
            <w:pPr>
              <w:spacing w:line="276" w:lineRule="auto"/>
              <w:rPr>
                <w:rFonts w:hint="eastAsia" w:ascii="宋体" w:hAnsi="宋体" w:cs="宋体"/>
                <w:color w:val="auto"/>
                <w:sz w:val="24"/>
                <w:highlight w:val="none"/>
              </w:rPr>
            </w:pPr>
          </w:p>
          <w:p w14:paraId="350E9900">
            <w:pPr>
              <w:spacing w:line="276" w:lineRule="auto"/>
              <w:rPr>
                <w:rFonts w:hint="eastAsia" w:ascii="宋体" w:hAnsi="宋体" w:cs="宋体"/>
                <w:color w:val="auto"/>
                <w:sz w:val="24"/>
                <w:highlight w:val="none"/>
              </w:rPr>
            </w:pPr>
          </w:p>
        </w:tc>
        <w:tc>
          <w:tcPr>
            <w:tcW w:w="1438" w:type="dxa"/>
            <w:vAlign w:val="center"/>
          </w:tcPr>
          <w:p w14:paraId="0CAF3D88">
            <w:pPr>
              <w:widowControl/>
              <w:spacing w:line="276" w:lineRule="auto"/>
              <w:rPr>
                <w:rFonts w:hint="eastAsia" w:ascii="宋体" w:hAnsi="宋体" w:cs="宋体"/>
                <w:color w:val="auto"/>
                <w:sz w:val="24"/>
                <w:highlight w:val="none"/>
              </w:rPr>
            </w:pPr>
          </w:p>
          <w:p w14:paraId="41BE61BB">
            <w:pPr>
              <w:spacing w:line="276" w:lineRule="auto"/>
              <w:rPr>
                <w:rFonts w:hint="eastAsia" w:ascii="宋体" w:hAnsi="宋体" w:cs="宋体"/>
                <w:color w:val="auto"/>
                <w:sz w:val="24"/>
                <w:highlight w:val="none"/>
              </w:rPr>
            </w:pPr>
          </w:p>
        </w:tc>
        <w:tc>
          <w:tcPr>
            <w:tcW w:w="2552" w:type="dxa"/>
            <w:vAlign w:val="center"/>
          </w:tcPr>
          <w:p w14:paraId="5E8BF3EB">
            <w:pPr>
              <w:spacing w:line="276" w:lineRule="auto"/>
              <w:rPr>
                <w:rFonts w:hint="eastAsia" w:ascii="宋体" w:hAnsi="宋体" w:cs="宋体"/>
                <w:color w:val="auto"/>
                <w:sz w:val="24"/>
                <w:highlight w:val="none"/>
              </w:rPr>
            </w:pPr>
          </w:p>
        </w:tc>
        <w:tc>
          <w:tcPr>
            <w:tcW w:w="2835" w:type="dxa"/>
            <w:vAlign w:val="center"/>
          </w:tcPr>
          <w:p w14:paraId="72C5947F">
            <w:pPr>
              <w:spacing w:line="276" w:lineRule="auto"/>
              <w:rPr>
                <w:rFonts w:hint="eastAsia" w:ascii="宋体" w:hAnsi="宋体" w:cs="宋体"/>
                <w:color w:val="auto"/>
                <w:sz w:val="24"/>
                <w:highlight w:val="none"/>
              </w:rPr>
            </w:pPr>
          </w:p>
        </w:tc>
        <w:tc>
          <w:tcPr>
            <w:tcW w:w="1984" w:type="dxa"/>
            <w:vAlign w:val="center"/>
          </w:tcPr>
          <w:p w14:paraId="71CB8E34">
            <w:pPr>
              <w:spacing w:line="276" w:lineRule="auto"/>
              <w:rPr>
                <w:rFonts w:hint="eastAsia" w:ascii="宋体" w:hAnsi="宋体" w:cs="宋体"/>
                <w:color w:val="auto"/>
                <w:sz w:val="24"/>
                <w:highlight w:val="none"/>
              </w:rPr>
            </w:pPr>
          </w:p>
        </w:tc>
      </w:tr>
      <w:tr w14:paraId="6604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D3C1534">
            <w:pPr>
              <w:spacing w:line="276" w:lineRule="auto"/>
              <w:rPr>
                <w:rFonts w:hint="eastAsia" w:ascii="宋体" w:hAnsi="宋体" w:cs="宋体"/>
                <w:color w:val="auto"/>
                <w:sz w:val="24"/>
                <w:highlight w:val="none"/>
              </w:rPr>
            </w:pPr>
          </w:p>
          <w:p w14:paraId="6CEBF887">
            <w:pPr>
              <w:spacing w:line="276" w:lineRule="auto"/>
              <w:rPr>
                <w:rFonts w:hint="eastAsia" w:ascii="宋体" w:hAnsi="宋体" w:cs="宋体"/>
                <w:color w:val="auto"/>
                <w:sz w:val="24"/>
                <w:highlight w:val="none"/>
              </w:rPr>
            </w:pPr>
          </w:p>
        </w:tc>
        <w:tc>
          <w:tcPr>
            <w:tcW w:w="1438" w:type="dxa"/>
            <w:vAlign w:val="center"/>
          </w:tcPr>
          <w:p w14:paraId="72C3EDB1">
            <w:pPr>
              <w:widowControl/>
              <w:spacing w:line="276" w:lineRule="auto"/>
              <w:rPr>
                <w:rFonts w:hint="eastAsia" w:ascii="宋体" w:hAnsi="宋体" w:cs="宋体"/>
                <w:color w:val="auto"/>
                <w:sz w:val="24"/>
                <w:highlight w:val="none"/>
              </w:rPr>
            </w:pPr>
          </w:p>
          <w:p w14:paraId="399F65C9">
            <w:pPr>
              <w:spacing w:line="276" w:lineRule="auto"/>
              <w:rPr>
                <w:rFonts w:hint="eastAsia" w:ascii="宋体" w:hAnsi="宋体" w:cs="宋体"/>
                <w:color w:val="auto"/>
                <w:sz w:val="24"/>
                <w:highlight w:val="none"/>
              </w:rPr>
            </w:pPr>
          </w:p>
        </w:tc>
        <w:tc>
          <w:tcPr>
            <w:tcW w:w="2552" w:type="dxa"/>
            <w:vAlign w:val="center"/>
          </w:tcPr>
          <w:p w14:paraId="0E697DD8">
            <w:pPr>
              <w:spacing w:line="276" w:lineRule="auto"/>
              <w:rPr>
                <w:rFonts w:hint="eastAsia" w:ascii="宋体" w:hAnsi="宋体" w:cs="宋体"/>
                <w:color w:val="auto"/>
                <w:sz w:val="24"/>
                <w:highlight w:val="none"/>
              </w:rPr>
            </w:pPr>
          </w:p>
        </w:tc>
        <w:tc>
          <w:tcPr>
            <w:tcW w:w="2835" w:type="dxa"/>
            <w:vAlign w:val="center"/>
          </w:tcPr>
          <w:p w14:paraId="51A82740">
            <w:pPr>
              <w:spacing w:line="276" w:lineRule="auto"/>
              <w:rPr>
                <w:rFonts w:hint="eastAsia" w:ascii="宋体" w:hAnsi="宋体" w:cs="宋体"/>
                <w:color w:val="auto"/>
                <w:sz w:val="24"/>
                <w:highlight w:val="none"/>
              </w:rPr>
            </w:pPr>
          </w:p>
        </w:tc>
        <w:tc>
          <w:tcPr>
            <w:tcW w:w="1984" w:type="dxa"/>
            <w:vAlign w:val="center"/>
          </w:tcPr>
          <w:p w14:paraId="68D14E48">
            <w:pPr>
              <w:spacing w:line="276" w:lineRule="auto"/>
              <w:rPr>
                <w:rFonts w:hint="eastAsia" w:ascii="宋体" w:hAnsi="宋体" w:cs="宋体"/>
                <w:color w:val="auto"/>
                <w:sz w:val="24"/>
                <w:highlight w:val="none"/>
              </w:rPr>
            </w:pPr>
          </w:p>
        </w:tc>
      </w:tr>
      <w:tr w14:paraId="55B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E8AC4FD">
            <w:pPr>
              <w:spacing w:line="276" w:lineRule="auto"/>
              <w:rPr>
                <w:rFonts w:hint="eastAsia" w:ascii="宋体" w:hAnsi="宋体" w:cs="宋体"/>
                <w:color w:val="auto"/>
                <w:sz w:val="24"/>
                <w:highlight w:val="none"/>
              </w:rPr>
            </w:pPr>
          </w:p>
          <w:p w14:paraId="35F08950">
            <w:pPr>
              <w:spacing w:line="276" w:lineRule="auto"/>
              <w:rPr>
                <w:rFonts w:hint="eastAsia" w:ascii="宋体" w:hAnsi="宋体" w:cs="宋体"/>
                <w:color w:val="auto"/>
                <w:sz w:val="24"/>
                <w:highlight w:val="none"/>
              </w:rPr>
            </w:pPr>
          </w:p>
        </w:tc>
        <w:tc>
          <w:tcPr>
            <w:tcW w:w="1438" w:type="dxa"/>
            <w:vAlign w:val="center"/>
          </w:tcPr>
          <w:p w14:paraId="01DBE7F9">
            <w:pPr>
              <w:widowControl/>
              <w:spacing w:line="276" w:lineRule="auto"/>
              <w:rPr>
                <w:rFonts w:hint="eastAsia" w:ascii="宋体" w:hAnsi="宋体" w:cs="宋体"/>
                <w:color w:val="auto"/>
                <w:sz w:val="24"/>
                <w:highlight w:val="none"/>
              </w:rPr>
            </w:pPr>
          </w:p>
          <w:p w14:paraId="18079048">
            <w:pPr>
              <w:spacing w:line="276" w:lineRule="auto"/>
              <w:rPr>
                <w:rFonts w:hint="eastAsia" w:ascii="宋体" w:hAnsi="宋体" w:cs="宋体"/>
                <w:color w:val="auto"/>
                <w:sz w:val="24"/>
                <w:highlight w:val="none"/>
              </w:rPr>
            </w:pPr>
          </w:p>
        </w:tc>
        <w:tc>
          <w:tcPr>
            <w:tcW w:w="2552" w:type="dxa"/>
            <w:vAlign w:val="center"/>
          </w:tcPr>
          <w:p w14:paraId="6AC53DB2">
            <w:pPr>
              <w:spacing w:line="276" w:lineRule="auto"/>
              <w:rPr>
                <w:rFonts w:hint="eastAsia" w:ascii="宋体" w:hAnsi="宋体" w:cs="宋体"/>
                <w:color w:val="auto"/>
                <w:sz w:val="24"/>
                <w:highlight w:val="none"/>
              </w:rPr>
            </w:pPr>
          </w:p>
        </w:tc>
        <w:tc>
          <w:tcPr>
            <w:tcW w:w="2835" w:type="dxa"/>
            <w:vAlign w:val="center"/>
          </w:tcPr>
          <w:p w14:paraId="3713E5EB">
            <w:pPr>
              <w:spacing w:line="276" w:lineRule="auto"/>
              <w:rPr>
                <w:rFonts w:hint="eastAsia" w:ascii="宋体" w:hAnsi="宋体" w:cs="宋体"/>
                <w:color w:val="auto"/>
                <w:sz w:val="24"/>
                <w:highlight w:val="none"/>
              </w:rPr>
            </w:pPr>
          </w:p>
        </w:tc>
        <w:tc>
          <w:tcPr>
            <w:tcW w:w="1984" w:type="dxa"/>
            <w:vAlign w:val="center"/>
          </w:tcPr>
          <w:p w14:paraId="08AC2F0D">
            <w:pPr>
              <w:spacing w:line="276" w:lineRule="auto"/>
              <w:rPr>
                <w:rFonts w:hint="eastAsia" w:ascii="宋体" w:hAnsi="宋体" w:cs="宋体"/>
                <w:color w:val="auto"/>
                <w:sz w:val="24"/>
                <w:highlight w:val="none"/>
              </w:rPr>
            </w:pPr>
          </w:p>
        </w:tc>
      </w:tr>
      <w:tr w14:paraId="350A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vAlign w:val="center"/>
          </w:tcPr>
          <w:p w14:paraId="049D159F">
            <w:pPr>
              <w:spacing w:line="276" w:lineRule="auto"/>
              <w:rPr>
                <w:rFonts w:hint="eastAsia" w:ascii="宋体" w:hAnsi="宋体" w:cs="宋体"/>
                <w:color w:val="auto"/>
                <w:sz w:val="24"/>
                <w:highlight w:val="none"/>
              </w:rPr>
            </w:pPr>
          </w:p>
          <w:p w14:paraId="5674B8CD">
            <w:pPr>
              <w:spacing w:line="276" w:lineRule="auto"/>
              <w:rPr>
                <w:rFonts w:hint="eastAsia" w:ascii="宋体" w:hAnsi="宋体" w:cs="宋体"/>
                <w:color w:val="auto"/>
                <w:sz w:val="24"/>
                <w:highlight w:val="none"/>
              </w:rPr>
            </w:pPr>
          </w:p>
        </w:tc>
        <w:tc>
          <w:tcPr>
            <w:tcW w:w="1438" w:type="dxa"/>
            <w:vAlign w:val="center"/>
          </w:tcPr>
          <w:p w14:paraId="2B3B2476">
            <w:pPr>
              <w:widowControl/>
              <w:spacing w:line="276" w:lineRule="auto"/>
              <w:rPr>
                <w:rFonts w:hint="eastAsia" w:ascii="宋体" w:hAnsi="宋体" w:cs="宋体"/>
                <w:color w:val="auto"/>
                <w:sz w:val="24"/>
                <w:highlight w:val="none"/>
              </w:rPr>
            </w:pPr>
          </w:p>
          <w:p w14:paraId="5C3883DF">
            <w:pPr>
              <w:spacing w:line="276" w:lineRule="auto"/>
              <w:rPr>
                <w:rFonts w:hint="eastAsia" w:ascii="宋体" w:hAnsi="宋体" w:cs="宋体"/>
                <w:color w:val="auto"/>
                <w:sz w:val="24"/>
                <w:highlight w:val="none"/>
              </w:rPr>
            </w:pPr>
          </w:p>
        </w:tc>
        <w:tc>
          <w:tcPr>
            <w:tcW w:w="2552" w:type="dxa"/>
            <w:vAlign w:val="center"/>
          </w:tcPr>
          <w:p w14:paraId="43E8DB79">
            <w:pPr>
              <w:spacing w:line="276" w:lineRule="auto"/>
              <w:rPr>
                <w:rFonts w:hint="eastAsia" w:ascii="宋体" w:hAnsi="宋体" w:cs="宋体"/>
                <w:color w:val="auto"/>
                <w:sz w:val="24"/>
                <w:highlight w:val="none"/>
              </w:rPr>
            </w:pPr>
          </w:p>
        </w:tc>
        <w:tc>
          <w:tcPr>
            <w:tcW w:w="2835" w:type="dxa"/>
            <w:vAlign w:val="center"/>
          </w:tcPr>
          <w:p w14:paraId="41D60BCD">
            <w:pPr>
              <w:spacing w:line="276" w:lineRule="auto"/>
              <w:rPr>
                <w:rFonts w:hint="eastAsia" w:ascii="宋体" w:hAnsi="宋体" w:cs="宋体"/>
                <w:color w:val="auto"/>
                <w:sz w:val="24"/>
                <w:highlight w:val="none"/>
              </w:rPr>
            </w:pPr>
          </w:p>
        </w:tc>
        <w:tc>
          <w:tcPr>
            <w:tcW w:w="1984" w:type="dxa"/>
            <w:vAlign w:val="center"/>
          </w:tcPr>
          <w:p w14:paraId="19DF38E4">
            <w:pPr>
              <w:spacing w:line="276" w:lineRule="auto"/>
              <w:rPr>
                <w:rFonts w:hint="eastAsia" w:ascii="宋体" w:hAnsi="宋体" w:cs="宋体"/>
                <w:color w:val="auto"/>
                <w:sz w:val="24"/>
                <w:highlight w:val="none"/>
              </w:rPr>
            </w:pPr>
          </w:p>
        </w:tc>
      </w:tr>
      <w:tr w14:paraId="18E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174D28A7">
            <w:pPr>
              <w:spacing w:line="276" w:lineRule="auto"/>
              <w:rPr>
                <w:rFonts w:hint="eastAsia" w:ascii="宋体" w:hAnsi="宋体" w:cs="宋体"/>
                <w:color w:val="auto"/>
                <w:sz w:val="24"/>
                <w:highlight w:val="none"/>
              </w:rPr>
            </w:pPr>
          </w:p>
          <w:p w14:paraId="35A73C46">
            <w:pPr>
              <w:spacing w:line="276" w:lineRule="auto"/>
              <w:rPr>
                <w:rFonts w:hint="eastAsia" w:ascii="宋体" w:hAnsi="宋体" w:cs="宋体"/>
                <w:color w:val="auto"/>
                <w:sz w:val="24"/>
                <w:highlight w:val="none"/>
              </w:rPr>
            </w:pPr>
          </w:p>
        </w:tc>
        <w:tc>
          <w:tcPr>
            <w:tcW w:w="1438" w:type="dxa"/>
            <w:vAlign w:val="center"/>
          </w:tcPr>
          <w:p w14:paraId="16816D50">
            <w:pPr>
              <w:widowControl/>
              <w:spacing w:line="276" w:lineRule="auto"/>
              <w:rPr>
                <w:rFonts w:hint="eastAsia" w:ascii="宋体" w:hAnsi="宋体" w:cs="宋体"/>
                <w:color w:val="auto"/>
                <w:sz w:val="24"/>
                <w:highlight w:val="none"/>
              </w:rPr>
            </w:pPr>
          </w:p>
          <w:p w14:paraId="07CD291D">
            <w:pPr>
              <w:spacing w:line="276" w:lineRule="auto"/>
              <w:rPr>
                <w:rFonts w:hint="eastAsia" w:ascii="宋体" w:hAnsi="宋体" w:cs="宋体"/>
                <w:color w:val="auto"/>
                <w:sz w:val="24"/>
                <w:highlight w:val="none"/>
              </w:rPr>
            </w:pPr>
          </w:p>
        </w:tc>
        <w:tc>
          <w:tcPr>
            <w:tcW w:w="2552" w:type="dxa"/>
            <w:vAlign w:val="center"/>
          </w:tcPr>
          <w:p w14:paraId="64BCC12F">
            <w:pPr>
              <w:spacing w:line="276" w:lineRule="auto"/>
              <w:rPr>
                <w:rFonts w:hint="eastAsia" w:ascii="宋体" w:hAnsi="宋体" w:cs="宋体"/>
                <w:color w:val="auto"/>
                <w:sz w:val="24"/>
                <w:highlight w:val="none"/>
              </w:rPr>
            </w:pPr>
          </w:p>
        </w:tc>
        <w:tc>
          <w:tcPr>
            <w:tcW w:w="2835" w:type="dxa"/>
            <w:vAlign w:val="center"/>
          </w:tcPr>
          <w:p w14:paraId="590BC433">
            <w:pPr>
              <w:spacing w:line="276" w:lineRule="auto"/>
              <w:rPr>
                <w:rFonts w:hint="eastAsia" w:ascii="宋体" w:hAnsi="宋体" w:cs="宋体"/>
                <w:color w:val="auto"/>
                <w:sz w:val="24"/>
                <w:highlight w:val="none"/>
              </w:rPr>
            </w:pPr>
          </w:p>
        </w:tc>
        <w:tc>
          <w:tcPr>
            <w:tcW w:w="1984" w:type="dxa"/>
            <w:vAlign w:val="center"/>
          </w:tcPr>
          <w:p w14:paraId="0DDF4F6B">
            <w:pPr>
              <w:spacing w:line="276" w:lineRule="auto"/>
              <w:rPr>
                <w:rFonts w:hint="eastAsia" w:ascii="宋体" w:hAnsi="宋体" w:cs="宋体"/>
                <w:color w:val="auto"/>
                <w:sz w:val="24"/>
                <w:highlight w:val="none"/>
              </w:rPr>
            </w:pPr>
          </w:p>
        </w:tc>
      </w:tr>
      <w:tr w14:paraId="478D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vAlign w:val="center"/>
          </w:tcPr>
          <w:p w14:paraId="2E775761">
            <w:pPr>
              <w:spacing w:line="276" w:lineRule="auto"/>
              <w:rPr>
                <w:rFonts w:hint="eastAsia" w:ascii="宋体" w:hAnsi="宋体" w:cs="宋体"/>
                <w:color w:val="auto"/>
                <w:sz w:val="24"/>
                <w:highlight w:val="none"/>
              </w:rPr>
            </w:pPr>
          </w:p>
          <w:p w14:paraId="7A79609A">
            <w:pPr>
              <w:spacing w:line="276" w:lineRule="auto"/>
              <w:rPr>
                <w:rFonts w:hint="eastAsia" w:ascii="宋体" w:hAnsi="宋体" w:cs="宋体"/>
                <w:color w:val="auto"/>
                <w:sz w:val="24"/>
                <w:highlight w:val="none"/>
              </w:rPr>
            </w:pPr>
          </w:p>
        </w:tc>
        <w:tc>
          <w:tcPr>
            <w:tcW w:w="1438" w:type="dxa"/>
            <w:vAlign w:val="center"/>
          </w:tcPr>
          <w:p w14:paraId="7B02E59A">
            <w:pPr>
              <w:widowControl/>
              <w:spacing w:line="276" w:lineRule="auto"/>
              <w:rPr>
                <w:rFonts w:hint="eastAsia" w:ascii="宋体" w:hAnsi="宋体" w:cs="宋体"/>
                <w:color w:val="auto"/>
                <w:sz w:val="24"/>
                <w:highlight w:val="none"/>
              </w:rPr>
            </w:pPr>
          </w:p>
          <w:p w14:paraId="4CB8DE7D">
            <w:pPr>
              <w:spacing w:line="276" w:lineRule="auto"/>
              <w:rPr>
                <w:rFonts w:hint="eastAsia" w:ascii="宋体" w:hAnsi="宋体" w:cs="宋体"/>
                <w:color w:val="auto"/>
                <w:sz w:val="24"/>
                <w:highlight w:val="none"/>
              </w:rPr>
            </w:pPr>
          </w:p>
        </w:tc>
        <w:tc>
          <w:tcPr>
            <w:tcW w:w="2552" w:type="dxa"/>
            <w:vAlign w:val="center"/>
          </w:tcPr>
          <w:p w14:paraId="5F97CC55">
            <w:pPr>
              <w:spacing w:line="276" w:lineRule="auto"/>
              <w:rPr>
                <w:rFonts w:hint="eastAsia" w:ascii="宋体" w:hAnsi="宋体" w:cs="宋体"/>
                <w:color w:val="auto"/>
                <w:sz w:val="24"/>
                <w:highlight w:val="none"/>
              </w:rPr>
            </w:pPr>
          </w:p>
        </w:tc>
        <w:tc>
          <w:tcPr>
            <w:tcW w:w="2835" w:type="dxa"/>
            <w:vAlign w:val="center"/>
          </w:tcPr>
          <w:p w14:paraId="0D915C73">
            <w:pPr>
              <w:spacing w:line="276" w:lineRule="auto"/>
              <w:rPr>
                <w:rFonts w:hint="eastAsia" w:ascii="宋体" w:hAnsi="宋体" w:cs="宋体"/>
                <w:color w:val="auto"/>
                <w:sz w:val="24"/>
                <w:highlight w:val="none"/>
              </w:rPr>
            </w:pPr>
          </w:p>
        </w:tc>
        <w:tc>
          <w:tcPr>
            <w:tcW w:w="1984" w:type="dxa"/>
            <w:vAlign w:val="center"/>
          </w:tcPr>
          <w:p w14:paraId="1770F5B7">
            <w:pPr>
              <w:spacing w:line="276" w:lineRule="auto"/>
              <w:rPr>
                <w:rFonts w:hint="eastAsia" w:ascii="宋体" w:hAnsi="宋体" w:cs="宋体"/>
                <w:color w:val="auto"/>
                <w:sz w:val="24"/>
                <w:highlight w:val="none"/>
              </w:rPr>
            </w:pPr>
          </w:p>
        </w:tc>
      </w:tr>
      <w:tr w14:paraId="2E6B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56DEDDD8">
            <w:pPr>
              <w:spacing w:line="276" w:lineRule="auto"/>
              <w:rPr>
                <w:rFonts w:hint="eastAsia" w:ascii="宋体" w:hAnsi="宋体" w:cs="宋体"/>
                <w:color w:val="auto"/>
                <w:sz w:val="24"/>
                <w:highlight w:val="none"/>
              </w:rPr>
            </w:pPr>
          </w:p>
          <w:p w14:paraId="3F1358BA">
            <w:pPr>
              <w:spacing w:line="276" w:lineRule="auto"/>
              <w:rPr>
                <w:rFonts w:hint="eastAsia" w:ascii="宋体" w:hAnsi="宋体" w:cs="宋体"/>
                <w:color w:val="auto"/>
                <w:sz w:val="24"/>
                <w:highlight w:val="none"/>
              </w:rPr>
            </w:pPr>
          </w:p>
        </w:tc>
        <w:tc>
          <w:tcPr>
            <w:tcW w:w="1438" w:type="dxa"/>
            <w:vAlign w:val="center"/>
          </w:tcPr>
          <w:p w14:paraId="362AFAC5">
            <w:pPr>
              <w:widowControl/>
              <w:spacing w:line="276" w:lineRule="auto"/>
              <w:rPr>
                <w:rFonts w:hint="eastAsia" w:ascii="宋体" w:hAnsi="宋体" w:cs="宋体"/>
                <w:color w:val="auto"/>
                <w:sz w:val="24"/>
                <w:highlight w:val="none"/>
              </w:rPr>
            </w:pPr>
          </w:p>
          <w:p w14:paraId="4D853F5C">
            <w:pPr>
              <w:spacing w:line="276" w:lineRule="auto"/>
              <w:rPr>
                <w:rFonts w:hint="eastAsia" w:ascii="宋体" w:hAnsi="宋体" w:cs="宋体"/>
                <w:color w:val="auto"/>
                <w:sz w:val="24"/>
                <w:highlight w:val="none"/>
              </w:rPr>
            </w:pPr>
          </w:p>
        </w:tc>
        <w:tc>
          <w:tcPr>
            <w:tcW w:w="2552" w:type="dxa"/>
            <w:vAlign w:val="center"/>
          </w:tcPr>
          <w:p w14:paraId="0EC4F1A7">
            <w:pPr>
              <w:spacing w:line="276" w:lineRule="auto"/>
              <w:rPr>
                <w:rFonts w:hint="eastAsia" w:ascii="宋体" w:hAnsi="宋体" w:cs="宋体"/>
                <w:color w:val="auto"/>
                <w:sz w:val="24"/>
                <w:highlight w:val="none"/>
              </w:rPr>
            </w:pPr>
          </w:p>
        </w:tc>
        <w:tc>
          <w:tcPr>
            <w:tcW w:w="2835" w:type="dxa"/>
            <w:vAlign w:val="center"/>
          </w:tcPr>
          <w:p w14:paraId="2F3A25AC">
            <w:pPr>
              <w:spacing w:line="276" w:lineRule="auto"/>
              <w:rPr>
                <w:rFonts w:hint="eastAsia" w:ascii="宋体" w:hAnsi="宋体" w:cs="宋体"/>
                <w:color w:val="auto"/>
                <w:sz w:val="24"/>
                <w:highlight w:val="none"/>
              </w:rPr>
            </w:pPr>
          </w:p>
        </w:tc>
        <w:tc>
          <w:tcPr>
            <w:tcW w:w="1984" w:type="dxa"/>
            <w:vAlign w:val="center"/>
          </w:tcPr>
          <w:p w14:paraId="2C543AAE">
            <w:pPr>
              <w:spacing w:line="276" w:lineRule="auto"/>
              <w:rPr>
                <w:rFonts w:hint="eastAsia" w:ascii="宋体" w:hAnsi="宋体" w:cs="宋体"/>
                <w:color w:val="auto"/>
                <w:sz w:val="24"/>
                <w:highlight w:val="none"/>
              </w:rPr>
            </w:pPr>
          </w:p>
        </w:tc>
      </w:tr>
      <w:tr w14:paraId="57E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1C9A9BC4">
            <w:pPr>
              <w:spacing w:line="276" w:lineRule="auto"/>
              <w:rPr>
                <w:rFonts w:hint="eastAsia" w:ascii="宋体" w:hAnsi="宋体" w:cs="宋体"/>
                <w:color w:val="auto"/>
                <w:sz w:val="24"/>
                <w:highlight w:val="none"/>
              </w:rPr>
            </w:pPr>
          </w:p>
          <w:p w14:paraId="51E48637">
            <w:pPr>
              <w:spacing w:line="276" w:lineRule="auto"/>
              <w:rPr>
                <w:rFonts w:hint="eastAsia" w:ascii="宋体" w:hAnsi="宋体" w:cs="宋体"/>
                <w:color w:val="auto"/>
                <w:sz w:val="24"/>
                <w:highlight w:val="none"/>
              </w:rPr>
            </w:pPr>
          </w:p>
        </w:tc>
        <w:tc>
          <w:tcPr>
            <w:tcW w:w="1438" w:type="dxa"/>
            <w:vAlign w:val="center"/>
          </w:tcPr>
          <w:p w14:paraId="417C088E">
            <w:pPr>
              <w:widowControl/>
              <w:spacing w:line="276" w:lineRule="auto"/>
              <w:rPr>
                <w:rFonts w:hint="eastAsia" w:ascii="宋体" w:hAnsi="宋体" w:cs="宋体"/>
                <w:color w:val="auto"/>
                <w:sz w:val="24"/>
                <w:highlight w:val="none"/>
              </w:rPr>
            </w:pPr>
          </w:p>
          <w:p w14:paraId="4E1DE963">
            <w:pPr>
              <w:spacing w:line="276" w:lineRule="auto"/>
              <w:rPr>
                <w:rFonts w:hint="eastAsia" w:ascii="宋体" w:hAnsi="宋体" w:cs="宋体"/>
                <w:color w:val="auto"/>
                <w:sz w:val="24"/>
                <w:highlight w:val="none"/>
              </w:rPr>
            </w:pPr>
          </w:p>
        </w:tc>
        <w:tc>
          <w:tcPr>
            <w:tcW w:w="2552" w:type="dxa"/>
            <w:vAlign w:val="center"/>
          </w:tcPr>
          <w:p w14:paraId="402D1131">
            <w:pPr>
              <w:spacing w:line="276" w:lineRule="auto"/>
              <w:rPr>
                <w:rFonts w:hint="eastAsia" w:ascii="宋体" w:hAnsi="宋体" w:cs="宋体"/>
                <w:color w:val="auto"/>
                <w:sz w:val="24"/>
                <w:highlight w:val="none"/>
              </w:rPr>
            </w:pPr>
          </w:p>
        </w:tc>
        <w:tc>
          <w:tcPr>
            <w:tcW w:w="2835" w:type="dxa"/>
            <w:vAlign w:val="center"/>
          </w:tcPr>
          <w:p w14:paraId="1078D2B2">
            <w:pPr>
              <w:spacing w:line="276" w:lineRule="auto"/>
              <w:rPr>
                <w:rFonts w:hint="eastAsia" w:ascii="宋体" w:hAnsi="宋体" w:cs="宋体"/>
                <w:color w:val="auto"/>
                <w:sz w:val="24"/>
                <w:highlight w:val="none"/>
              </w:rPr>
            </w:pPr>
          </w:p>
        </w:tc>
        <w:tc>
          <w:tcPr>
            <w:tcW w:w="1984" w:type="dxa"/>
            <w:vAlign w:val="center"/>
          </w:tcPr>
          <w:p w14:paraId="0E94D3DA">
            <w:pPr>
              <w:spacing w:line="276" w:lineRule="auto"/>
              <w:rPr>
                <w:rFonts w:hint="eastAsia" w:ascii="宋体" w:hAnsi="宋体" w:cs="宋体"/>
                <w:color w:val="auto"/>
                <w:sz w:val="24"/>
                <w:highlight w:val="none"/>
              </w:rPr>
            </w:pPr>
          </w:p>
        </w:tc>
      </w:tr>
      <w:tr w14:paraId="1B03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596" w:type="dxa"/>
            <w:vAlign w:val="center"/>
          </w:tcPr>
          <w:p w14:paraId="74948734">
            <w:pPr>
              <w:spacing w:line="276" w:lineRule="auto"/>
              <w:rPr>
                <w:rFonts w:hint="eastAsia" w:ascii="宋体" w:hAnsi="宋体" w:cs="宋体"/>
                <w:color w:val="auto"/>
                <w:sz w:val="24"/>
                <w:highlight w:val="none"/>
              </w:rPr>
            </w:pPr>
          </w:p>
          <w:p w14:paraId="5534F7B4">
            <w:pPr>
              <w:spacing w:line="276" w:lineRule="auto"/>
              <w:rPr>
                <w:rFonts w:hint="eastAsia" w:ascii="宋体" w:hAnsi="宋体" w:cs="宋体"/>
                <w:color w:val="auto"/>
                <w:sz w:val="24"/>
                <w:highlight w:val="none"/>
              </w:rPr>
            </w:pPr>
          </w:p>
        </w:tc>
        <w:tc>
          <w:tcPr>
            <w:tcW w:w="1438" w:type="dxa"/>
            <w:vAlign w:val="center"/>
          </w:tcPr>
          <w:p w14:paraId="7F9D2881">
            <w:pPr>
              <w:widowControl/>
              <w:spacing w:line="276" w:lineRule="auto"/>
              <w:rPr>
                <w:rFonts w:hint="eastAsia" w:ascii="宋体" w:hAnsi="宋体" w:cs="宋体"/>
                <w:color w:val="auto"/>
                <w:sz w:val="24"/>
                <w:highlight w:val="none"/>
              </w:rPr>
            </w:pPr>
          </w:p>
          <w:p w14:paraId="77D4014A">
            <w:pPr>
              <w:spacing w:line="276" w:lineRule="auto"/>
              <w:rPr>
                <w:rFonts w:hint="eastAsia" w:ascii="宋体" w:hAnsi="宋体" w:cs="宋体"/>
                <w:color w:val="auto"/>
                <w:sz w:val="24"/>
                <w:highlight w:val="none"/>
              </w:rPr>
            </w:pPr>
          </w:p>
        </w:tc>
        <w:tc>
          <w:tcPr>
            <w:tcW w:w="2552" w:type="dxa"/>
            <w:vAlign w:val="center"/>
          </w:tcPr>
          <w:p w14:paraId="77DA38E0">
            <w:pPr>
              <w:spacing w:line="276" w:lineRule="auto"/>
              <w:rPr>
                <w:rFonts w:hint="eastAsia" w:ascii="宋体" w:hAnsi="宋体" w:cs="宋体"/>
                <w:color w:val="auto"/>
                <w:sz w:val="24"/>
                <w:highlight w:val="none"/>
              </w:rPr>
            </w:pPr>
          </w:p>
        </w:tc>
        <w:tc>
          <w:tcPr>
            <w:tcW w:w="2835" w:type="dxa"/>
            <w:vAlign w:val="center"/>
          </w:tcPr>
          <w:p w14:paraId="5EB369DC">
            <w:pPr>
              <w:spacing w:line="276" w:lineRule="auto"/>
              <w:rPr>
                <w:rFonts w:hint="eastAsia" w:ascii="宋体" w:hAnsi="宋体" w:cs="宋体"/>
                <w:color w:val="auto"/>
                <w:sz w:val="24"/>
                <w:highlight w:val="none"/>
              </w:rPr>
            </w:pPr>
          </w:p>
        </w:tc>
        <w:tc>
          <w:tcPr>
            <w:tcW w:w="1984" w:type="dxa"/>
            <w:vAlign w:val="center"/>
          </w:tcPr>
          <w:p w14:paraId="4BF22A49">
            <w:pPr>
              <w:spacing w:line="276" w:lineRule="auto"/>
              <w:rPr>
                <w:rFonts w:hint="eastAsia" w:ascii="宋体" w:hAnsi="宋体" w:cs="宋体"/>
                <w:color w:val="auto"/>
                <w:sz w:val="24"/>
                <w:highlight w:val="none"/>
              </w:rPr>
            </w:pPr>
          </w:p>
        </w:tc>
      </w:tr>
      <w:tr w14:paraId="6B76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5C8F1A31">
            <w:pPr>
              <w:spacing w:line="276" w:lineRule="auto"/>
              <w:rPr>
                <w:rFonts w:hint="eastAsia" w:ascii="宋体" w:hAnsi="宋体" w:cs="宋体"/>
                <w:color w:val="auto"/>
                <w:sz w:val="24"/>
                <w:highlight w:val="none"/>
              </w:rPr>
            </w:pPr>
          </w:p>
          <w:p w14:paraId="30E333AA">
            <w:pPr>
              <w:spacing w:line="276" w:lineRule="auto"/>
              <w:rPr>
                <w:rFonts w:hint="eastAsia" w:ascii="宋体" w:hAnsi="宋体" w:cs="宋体"/>
                <w:color w:val="auto"/>
                <w:sz w:val="24"/>
                <w:highlight w:val="none"/>
              </w:rPr>
            </w:pPr>
          </w:p>
        </w:tc>
        <w:tc>
          <w:tcPr>
            <w:tcW w:w="1438" w:type="dxa"/>
            <w:vAlign w:val="center"/>
          </w:tcPr>
          <w:p w14:paraId="171FB5F2">
            <w:pPr>
              <w:widowControl/>
              <w:spacing w:line="276" w:lineRule="auto"/>
              <w:rPr>
                <w:rFonts w:hint="eastAsia" w:ascii="宋体" w:hAnsi="宋体" w:cs="宋体"/>
                <w:color w:val="auto"/>
                <w:sz w:val="24"/>
                <w:highlight w:val="none"/>
              </w:rPr>
            </w:pPr>
          </w:p>
          <w:p w14:paraId="3C023AAE">
            <w:pPr>
              <w:spacing w:line="276" w:lineRule="auto"/>
              <w:rPr>
                <w:rFonts w:hint="eastAsia" w:ascii="宋体" w:hAnsi="宋体" w:cs="宋体"/>
                <w:color w:val="auto"/>
                <w:sz w:val="24"/>
                <w:highlight w:val="none"/>
              </w:rPr>
            </w:pPr>
          </w:p>
        </w:tc>
        <w:tc>
          <w:tcPr>
            <w:tcW w:w="2552" w:type="dxa"/>
            <w:vAlign w:val="center"/>
          </w:tcPr>
          <w:p w14:paraId="442F4294">
            <w:pPr>
              <w:spacing w:line="276" w:lineRule="auto"/>
              <w:rPr>
                <w:rFonts w:hint="eastAsia" w:ascii="宋体" w:hAnsi="宋体" w:cs="宋体"/>
                <w:color w:val="auto"/>
                <w:sz w:val="24"/>
                <w:highlight w:val="none"/>
              </w:rPr>
            </w:pPr>
          </w:p>
        </w:tc>
        <w:tc>
          <w:tcPr>
            <w:tcW w:w="2835" w:type="dxa"/>
            <w:vAlign w:val="center"/>
          </w:tcPr>
          <w:p w14:paraId="11AC1917">
            <w:pPr>
              <w:spacing w:line="276" w:lineRule="auto"/>
              <w:rPr>
                <w:rFonts w:hint="eastAsia" w:ascii="宋体" w:hAnsi="宋体" w:cs="宋体"/>
                <w:color w:val="auto"/>
                <w:sz w:val="24"/>
                <w:highlight w:val="none"/>
              </w:rPr>
            </w:pPr>
          </w:p>
        </w:tc>
        <w:tc>
          <w:tcPr>
            <w:tcW w:w="1984" w:type="dxa"/>
            <w:vAlign w:val="center"/>
          </w:tcPr>
          <w:p w14:paraId="6D635E50">
            <w:pPr>
              <w:spacing w:line="276" w:lineRule="auto"/>
              <w:rPr>
                <w:rFonts w:hint="eastAsia" w:ascii="宋体" w:hAnsi="宋体" w:cs="宋体"/>
                <w:color w:val="auto"/>
                <w:sz w:val="24"/>
                <w:highlight w:val="none"/>
              </w:rPr>
            </w:pPr>
          </w:p>
        </w:tc>
      </w:tr>
      <w:tr w14:paraId="3CF5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041B2979">
            <w:pPr>
              <w:spacing w:line="276" w:lineRule="auto"/>
              <w:rPr>
                <w:rFonts w:hint="eastAsia" w:ascii="宋体" w:hAnsi="宋体" w:cs="宋体"/>
                <w:color w:val="auto"/>
                <w:sz w:val="24"/>
                <w:highlight w:val="none"/>
              </w:rPr>
            </w:pPr>
          </w:p>
        </w:tc>
        <w:tc>
          <w:tcPr>
            <w:tcW w:w="1438" w:type="dxa"/>
            <w:vAlign w:val="center"/>
          </w:tcPr>
          <w:p w14:paraId="2E2BC36C">
            <w:pPr>
              <w:spacing w:line="276" w:lineRule="auto"/>
              <w:rPr>
                <w:rFonts w:hint="eastAsia" w:ascii="宋体" w:hAnsi="宋体" w:cs="宋体"/>
                <w:color w:val="auto"/>
                <w:sz w:val="24"/>
                <w:highlight w:val="none"/>
              </w:rPr>
            </w:pPr>
          </w:p>
        </w:tc>
        <w:tc>
          <w:tcPr>
            <w:tcW w:w="2552" w:type="dxa"/>
            <w:vAlign w:val="center"/>
          </w:tcPr>
          <w:p w14:paraId="2A063A59">
            <w:pPr>
              <w:spacing w:line="276" w:lineRule="auto"/>
              <w:rPr>
                <w:rFonts w:hint="eastAsia" w:ascii="宋体" w:hAnsi="宋体" w:cs="宋体"/>
                <w:color w:val="auto"/>
                <w:sz w:val="24"/>
                <w:highlight w:val="none"/>
              </w:rPr>
            </w:pPr>
          </w:p>
        </w:tc>
        <w:tc>
          <w:tcPr>
            <w:tcW w:w="2835" w:type="dxa"/>
            <w:vAlign w:val="center"/>
          </w:tcPr>
          <w:p w14:paraId="1018CEBC">
            <w:pPr>
              <w:spacing w:line="276" w:lineRule="auto"/>
              <w:rPr>
                <w:rFonts w:hint="eastAsia" w:ascii="宋体" w:hAnsi="宋体" w:cs="宋体"/>
                <w:color w:val="auto"/>
                <w:sz w:val="24"/>
                <w:highlight w:val="none"/>
              </w:rPr>
            </w:pPr>
          </w:p>
        </w:tc>
        <w:tc>
          <w:tcPr>
            <w:tcW w:w="1984" w:type="dxa"/>
            <w:vAlign w:val="center"/>
          </w:tcPr>
          <w:p w14:paraId="4C633BF3">
            <w:pPr>
              <w:spacing w:line="276" w:lineRule="auto"/>
              <w:rPr>
                <w:rFonts w:hint="eastAsia" w:ascii="宋体" w:hAnsi="宋体" w:cs="宋体"/>
                <w:color w:val="auto"/>
                <w:sz w:val="24"/>
                <w:highlight w:val="none"/>
              </w:rPr>
            </w:pPr>
          </w:p>
        </w:tc>
      </w:tr>
      <w:tr w14:paraId="5E84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1CD09C9F">
            <w:pPr>
              <w:spacing w:line="276" w:lineRule="auto"/>
              <w:rPr>
                <w:rFonts w:hint="eastAsia" w:ascii="宋体" w:hAnsi="宋体" w:cs="宋体"/>
                <w:color w:val="auto"/>
                <w:sz w:val="24"/>
                <w:highlight w:val="none"/>
              </w:rPr>
            </w:pPr>
          </w:p>
        </w:tc>
        <w:tc>
          <w:tcPr>
            <w:tcW w:w="1438" w:type="dxa"/>
            <w:vAlign w:val="center"/>
          </w:tcPr>
          <w:p w14:paraId="62827758">
            <w:pPr>
              <w:spacing w:line="276" w:lineRule="auto"/>
              <w:rPr>
                <w:rFonts w:hint="eastAsia" w:ascii="宋体" w:hAnsi="宋体" w:cs="宋体"/>
                <w:color w:val="auto"/>
                <w:sz w:val="24"/>
                <w:highlight w:val="none"/>
              </w:rPr>
            </w:pPr>
          </w:p>
        </w:tc>
        <w:tc>
          <w:tcPr>
            <w:tcW w:w="2552" w:type="dxa"/>
            <w:vAlign w:val="center"/>
          </w:tcPr>
          <w:p w14:paraId="4FA9001D">
            <w:pPr>
              <w:spacing w:line="276" w:lineRule="auto"/>
              <w:rPr>
                <w:rFonts w:hint="eastAsia" w:ascii="宋体" w:hAnsi="宋体" w:cs="宋体"/>
                <w:color w:val="auto"/>
                <w:sz w:val="24"/>
                <w:highlight w:val="none"/>
              </w:rPr>
            </w:pPr>
          </w:p>
        </w:tc>
        <w:tc>
          <w:tcPr>
            <w:tcW w:w="2835" w:type="dxa"/>
            <w:vAlign w:val="center"/>
          </w:tcPr>
          <w:p w14:paraId="77EC9738">
            <w:pPr>
              <w:spacing w:line="276" w:lineRule="auto"/>
              <w:rPr>
                <w:rFonts w:hint="eastAsia" w:ascii="宋体" w:hAnsi="宋体" w:cs="宋体"/>
                <w:color w:val="auto"/>
                <w:sz w:val="24"/>
                <w:highlight w:val="none"/>
              </w:rPr>
            </w:pPr>
          </w:p>
        </w:tc>
        <w:tc>
          <w:tcPr>
            <w:tcW w:w="1984" w:type="dxa"/>
            <w:vAlign w:val="center"/>
          </w:tcPr>
          <w:p w14:paraId="65B73B6F">
            <w:pPr>
              <w:spacing w:line="276" w:lineRule="auto"/>
              <w:rPr>
                <w:rFonts w:hint="eastAsia" w:ascii="宋体" w:hAnsi="宋体" w:cs="宋体"/>
                <w:color w:val="auto"/>
                <w:sz w:val="24"/>
                <w:highlight w:val="none"/>
              </w:rPr>
            </w:pPr>
          </w:p>
        </w:tc>
      </w:tr>
    </w:tbl>
    <w:p w14:paraId="23A9E35E">
      <w:pPr>
        <w:spacing w:line="276" w:lineRule="auto"/>
        <w:rPr>
          <w:rFonts w:hint="eastAsia" w:ascii="宋体" w:hAnsi="宋体" w:cs="宋体"/>
          <w:color w:val="auto"/>
          <w:highlight w:val="none"/>
        </w:rPr>
      </w:pPr>
      <w:r>
        <w:rPr>
          <w:rFonts w:hint="eastAsia" w:ascii="宋体" w:hAnsi="宋体" w:cs="宋体"/>
          <w:color w:val="auto"/>
          <w:sz w:val="32"/>
          <w:szCs w:val="22"/>
          <w:highlight w:val="none"/>
        </w:rPr>
        <w:t>　</w:t>
      </w:r>
      <w:r>
        <w:rPr>
          <w:rFonts w:hint="eastAsia" w:ascii="宋体" w:hAnsi="宋体" w:cs="宋体"/>
          <w:bCs/>
          <w:color w:val="auto"/>
          <w:kern w:val="0"/>
          <w:sz w:val="24"/>
          <w:szCs w:val="22"/>
          <w:highlight w:val="none"/>
          <w:lang w:val="zh-CN"/>
        </w:rPr>
        <w:t>法定代表人或委托代理人</w:t>
      </w:r>
      <w:r>
        <w:rPr>
          <w:rFonts w:hint="eastAsia" w:ascii="宋体" w:hAnsi="宋体" w:cs="宋体"/>
          <w:color w:val="auto"/>
          <w:highlight w:val="none"/>
        </w:rPr>
        <w:t>：　　　　　　　　　　　　　　　　</w:t>
      </w:r>
      <w:bookmarkStart w:id="69" w:name="_Toc197140584"/>
    </w:p>
    <w:p w14:paraId="6050C116">
      <w:pPr>
        <w:spacing w:line="276" w:lineRule="auto"/>
        <w:rPr>
          <w:rFonts w:hint="eastAsia" w:ascii="宋体" w:hAnsi="宋体" w:cs="宋体"/>
          <w:color w:val="auto"/>
          <w:sz w:val="24"/>
          <w:highlight w:val="none"/>
        </w:rPr>
      </w:pPr>
    </w:p>
    <w:p w14:paraId="5EB0856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8、服务需求条款偏离表</w:t>
      </w:r>
    </w:p>
    <w:p w14:paraId="2D142B72">
      <w:pPr>
        <w:spacing w:line="276" w:lineRule="auto"/>
        <w:ind w:firstLine="2640"/>
        <w:rPr>
          <w:rFonts w:hint="eastAsia" w:ascii="宋体" w:hAnsi="宋体" w:cs="宋体"/>
          <w:color w:val="auto"/>
          <w:sz w:val="24"/>
          <w:highlight w:val="none"/>
        </w:rPr>
      </w:pPr>
    </w:p>
    <w:p w14:paraId="0782632C">
      <w:pPr>
        <w:spacing w:line="276" w:lineRule="auto"/>
        <w:rPr>
          <w:rFonts w:hint="eastAsia" w:ascii="宋体" w:hAnsi="宋体" w:cs="宋体"/>
          <w:color w:val="auto"/>
          <w:sz w:val="24"/>
          <w:highlight w:val="none"/>
          <w:u w:val="single"/>
        </w:rPr>
      </w:pPr>
      <w:r>
        <w:rPr>
          <w:rFonts w:hint="eastAsia" w:ascii="宋体" w:hAnsi="宋体" w:cs="宋体"/>
          <w:color w:val="auto"/>
          <w:sz w:val="24"/>
          <w:highlight w:val="none"/>
        </w:rPr>
        <w:t>供应商名称（公章）：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38"/>
        <w:tblW w:w="940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38"/>
        <w:gridCol w:w="2552"/>
        <w:gridCol w:w="2835"/>
        <w:gridCol w:w="1984"/>
      </w:tblGrid>
      <w:tr w14:paraId="1F79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96" w:type="dxa"/>
            <w:vAlign w:val="center"/>
          </w:tcPr>
          <w:p w14:paraId="5DC4EA48">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38" w:type="dxa"/>
            <w:vAlign w:val="center"/>
          </w:tcPr>
          <w:p w14:paraId="1DCBDC5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磋商文件</w:t>
            </w:r>
          </w:p>
          <w:p w14:paraId="7E54268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条目号</w:t>
            </w:r>
          </w:p>
        </w:tc>
        <w:tc>
          <w:tcPr>
            <w:tcW w:w="2552" w:type="dxa"/>
            <w:vAlign w:val="center"/>
          </w:tcPr>
          <w:p w14:paraId="16F92294">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磋商文件的服务需求条款</w:t>
            </w:r>
          </w:p>
        </w:tc>
        <w:tc>
          <w:tcPr>
            <w:tcW w:w="2835" w:type="dxa"/>
            <w:vAlign w:val="center"/>
          </w:tcPr>
          <w:p w14:paraId="4747795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磋商响应文件的服务需求条款</w:t>
            </w:r>
          </w:p>
        </w:tc>
        <w:tc>
          <w:tcPr>
            <w:tcW w:w="1984" w:type="dxa"/>
            <w:vAlign w:val="center"/>
          </w:tcPr>
          <w:p w14:paraId="78615622">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5D1B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384DE44D">
            <w:pPr>
              <w:spacing w:line="276" w:lineRule="auto"/>
              <w:rPr>
                <w:rFonts w:hint="eastAsia" w:ascii="宋体" w:hAnsi="宋体" w:cs="宋体"/>
                <w:color w:val="auto"/>
                <w:sz w:val="24"/>
                <w:highlight w:val="none"/>
              </w:rPr>
            </w:pPr>
          </w:p>
          <w:p w14:paraId="6FDA1AE3">
            <w:pPr>
              <w:spacing w:line="276" w:lineRule="auto"/>
              <w:rPr>
                <w:rFonts w:hint="eastAsia" w:ascii="宋体" w:hAnsi="宋体" w:cs="宋体"/>
                <w:color w:val="auto"/>
                <w:sz w:val="24"/>
                <w:highlight w:val="none"/>
              </w:rPr>
            </w:pPr>
          </w:p>
        </w:tc>
        <w:tc>
          <w:tcPr>
            <w:tcW w:w="1438" w:type="dxa"/>
            <w:vAlign w:val="center"/>
          </w:tcPr>
          <w:p w14:paraId="28C3378A">
            <w:pPr>
              <w:widowControl/>
              <w:spacing w:line="276" w:lineRule="auto"/>
              <w:rPr>
                <w:rFonts w:hint="eastAsia" w:ascii="宋体" w:hAnsi="宋体" w:cs="宋体"/>
                <w:color w:val="auto"/>
                <w:sz w:val="24"/>
                <w:highlight w:val="none"/>
              </w:rPr>
            </w:pPr>
          </w:p>
          <w:p w14:paraId="2595D3E0">
            <w:pPr>
              <w:spacing w:line="276" w:lineRule="auto"/>
              <w:rPr>
                <w:rFonts w:hint="eastAsia" w:ascii="宋体" w:hAnsi="宋体" w:cs="宋体"/>
                <w:color w:val="auto"/>
                <w:sz w:val="24"/>
                <w:highlight w:val="none"/>
              </w:rPr>
            </w:pPr>
          </w:p>
        </w:tc>
        <w:tc>
          <w:tcPr>
            <w:tcW w:w="2552" w:type="dxa"/>
            <w:vAlign w:val="center"/>
          </w:tcPr>
          <w:p w14:paraId="199C49F7">
            <w:pPr>
              <w:spacing w:line="276" w:lineRule="auto"/>
              <w:rPr>
                <w:rFonts w:hint="eastAsia" w:ascii="宋体" w:hAnsi="宋体" w:cs="宋体"/>
                <w:color w:val="auto"/>
                <w:sz w:val="24"/>
                <w:highlight w:val="none"/>
              </w:rPr>
            </w:pPr>
          </w:p>
        </w:tc>
        <w:tc>
          <w:tcPr>
            <w:tcW w:w="2835" w:type="dxa"/>
            <w:vAlign w:val="center"/>
          </w:tcPr>
          <w:p w14:paraId="74853BBF">
            <w:pPr>
              <w:spacing w:line="276" w:lineRule="auto"/>
              <w:rPr>
                <w:rFonts w:hint="eastAsia" w:ascii="宋体" w:hAnsi="宋体" w:cs="宋体"/>
                <w:color w:val="auto"/>
                <w:sz w:val="24"/>
                <w:highlight w:val="none"/>
              </w:rPr>
            </w:pPr>
          </w:p>
        </w:tc>
        <w:tc>
          <w:tcPr>
            <w:tcW w:w="1984" w:type="dxa"/>
            <w:vAlign w:val="center"/>
          </w:tcPr>
          <w:p w14:paraId="4BE9D554">
            <w:pPr>
              <w:spacing w:line="276" w:lineRule="auto"/>
              <w:rPr>
                <w:rFonts w:hint="eastAsia" w:ascii="宋体" w:hAnsi="宋体" w:cs="宋体"/>
                <w:color w:val="auto"/>
                <w:sz w:val="24"/>
                <w:highlight w:val="none"/>
              </w:rPr>
            </w:pPr>
          </w:p>
        </w:tc>
      </w:tr>
      <w:tr w14:paraId="29A3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881134F">
            <w:pPr>
              <w:spacing w:line="276" w:lineRule="auto"/>
              <w:rPr>
                <w:rFonts w:hint="eastAsia" w:ascii="宋体" w:hAnsi="宋体" w:cs="宋体"/>
                <w:color w:val="auto"/>
                <w:sz w:val="24"/>
                <w:highlight w:val="none"/>
              </w:rPr>
            </w:pPr>
          </w:p>
          <w:p w14:paraId="52B16534">
            <w:pPr>
              <w:spacing w:line="276" w:lineRule="auto"/>
              <w:rPr>
                <w:rFonts w:hint="eastAsia" w:ascii="宋体" w:hAnsi="宋体" w:cs="宋体"/>
                <w:color w:val="auto"/>
                <w:sz w:val="24"/>
                <w:highlight w:val="none"/>
              </w:rPr>
            </w:pPr>
          </w:p>
        </w:tc>
        <w:tc>
          <w:tcPr>
            <w:tcW w:w="1438" w:type="dxa"/>
            <w:vAlign w:val="center"/>
          </w:tcPr>
          <w:p w14:paraId="20CE94C7">
            <w:pPr>
              <w:widowControl/>
              <w:spacing w:line="276" w:lineRule="auto"/>
              <w:rPr>
                <w:rFonts w:hint="eastAsia" w:ascii="宋体" w:hAnsi="宋体" w:cs="宋体"/>
                <w:color w:val="auto"/>
                <w:sz w:val="24"/>
                <w:highlight w:val="none"/>
              </w:rPr>
            </w:pPr>
          </w:p>
          <w:p w14:paraId="7B32CCBE">
            <w:pPr>
              <w:spacing w:line="276" w:lineRule="auto"/>
              <w:rPr>
                <w:rFonts w:hint="eastAsia" w:ascii="宋体" w:hAnsi="宋体" w:cs="宋体"/>
                <w:color w:val="auto"/>
                <w:sz w:val="24"/>
                <w:highlight w:val="none"/>
              </w:rPr>
            </w:pPr>
          </w:p>
        </w:tc>
        <w:tc>
          <w:tcPr>
            <w:tcW w:w="2552" w:type="dxa"/>
            <w:vAlign w:val="center"/>
          </w:tcPr>
          <w:p w14:paraId="0839F1DE">
            <w:pPr>
              <w:spacing w:line="276" w:lineRule="auto"/>
              <w:rPr>
                <w:rFonts w:hint="eastAsia" w:ascii="宋体" w:hAnsi="宋体" w:cs="宋体"/>
                <w:color w:val="auto"/>
                <w:sz w:val="24"/>
                <w:highlight w:val="none"/>
              </w:rPr>
            </w:pPr>
          </w:p>
        </w:tc>
        <w:tc>
          <w:tcPr>
            <w:tcW w:w="2835" w:type="dxa"/>
            <w:vAlign w:val="center"/>
          </w:tcPr>
          <w:p w14:paraId="2B3955F8">
            <w:pPr>
              <w:spacing w:line="276" w:lineRule="auto"/>
              <w:rPr>
                <w:rFonts w:hint="eastAsia" w:ascii="宋体" w:hAnsi="宋体" w:cs="宋体"/>
                <w:color w:val="auto"/>
                <w:sz w:val="24"/>
                <w:highlight w:val="none"/>
              </w:rPr>
            </w:pPr>
          </w:p>
        </w:tc>
        <w:tc>
          <w:tcPr>
            <w:tcW w:w="1984" w:type="dxa"/>
            <w:vAlign w:val="center"/>
          </w:tcPr>
          <w:p w14:paraId="37337BEB">
            <w:pPr>
              <w:spacing w:line="276" w:lineRule="auto"/>
              <w:rPr>
                <w:rFonts w:hint="eastAsia" w:ascii="宋体" w:hAnsi="宋体" w:cs="宋体"/>
                <w:color w:val="auto"/>
                <w:sz w:val="24"/>
                <w:highlight w:val="none"/>
              </w:rPr>
            </w:pPr>
          </w:p>
        </w:tc>
      </w:tr>
      <w:tr w14:paraId="501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7DF88A55">
            <w:pPr>
              <w:spacing w:line="276" w:lineRule="auto"/>
              <w:rPr>
                <w:rFonts w:hint="eastAsia" w:ascii="宋体" w:hAnsi="宋体" w:cs="宋体"/>
                <w:color w:val="auto"/>
                <w:sz w:val="24"/>
                <w:highlight w:val="none"/>
              </w:rPr>
            </w:pPr>
          </w:p>
          <w:p w14:paraId="225194CB">
            <w:pPr>
              <w:spacing w:line="276" w:lineRule="auto"/>
              <w:rPr>
                <w:rFonts w:hint="eastAsia" w:ascii="宋体" w:hAnsi="宋体" w:cs="宋体"/>
                <w:color w:val="auto"/>
                <w:sz w:val="24"/>
                <w:highlight w:val="none"/>
              </w:rPr>
            </w:pPr>
          </w:p>
        </w:tc>
        <w:tc>
          <w:tcPr>
            <w:tcW w:w="1438" w:type="dxa"/>
            <w:vAlign w:val="center"/>
          </w:tcPr>
          <w:p w14:paraId="5EDACFD8">
            <w:pPr>
              <w:widowControl/>
              <w:spacing w:line="276" w:lineRule="auto"/>
              <w:rPr>
                <w:rFonts w:hint="eastAsia" w:ascii="宋体" w:hAnsi="宋体" w:cs="宋体"/>
                <w:color w:val="auto"/>
                <w:sz w:val="24"/>
                <w:highlight w:val="none"/>
              </w:rPr>
            </w:pPr>
          </w:p>
          <w:p w14:paraId="71A9FF18">
            <w:pPr>
              <w:spacing w:line="276" w:lineRule="auto"/>
              <w:rPr>
                <w:rFonts w:hint="eastAsia" w:ascii="宋体" w:hAnsi="宋体" w:cs="宋体"/>
                <w:color w:val="auto"/>
                <w:sz w:val="24"/>
                <w:highlight w:val="none"/>
              </w:rPr>
            </w:pPr>
          </w:p>
        </w:tc>
        <w:tc>
          <w:tcPr>
            <w:tcW w:w="2552" w:type="dxa"/>
            <w:vAlign w:val="center"/>
          </w:tcPr>
          <w:p w14:paraId="0C9C7652">
            <w:pPr>
              <w:spacing w:line="276" w:lineRule="auto"/>
              <w:rPr>
                <w:rFonts w:hint="eastAsia" w:ascii="宋体" w:hAnsi="宋体" w:cs="宋体"/>
                <w:color w:val="auto"/>
                <w:sz w:val="24"/>
                <w:highlight w:val="none"/>
              </w:rPr>
            </w:pPr>
          </w:p>
        </w:tc>
        <w:tc>
          <w:tcPr>
            <w:tcW w:w="2835" w:type="dxa"/>
            <w:vAlign w:val="center"/>
          </w:tcPr>
          <w:p w14:paraId="1972A613">
            <w:pPr>
              <w:spacing w:line="276" w:lineRule="auto"/>
              <w:rPr>
                <w:rFonts w:hint="eastAsia" w:ascii="宋体" w:hAnsi="宋体" w:cs="宋体"/>
                <w:color w:val="auto"/>
                <w:sz w:val="24"/>
                <w:highlight w:val="none"/>
              </w:rPr>
            </w:pPr>
          </w:p>
        </w:tc>
        <w:tc>
          <w:tcPr>
            <w:tcW w:w="1984" w:type="dxa"/>
            <w:vAlign w:val="center"/>
          </w:tcPr>
          <w:p w14:paraId="1DC0FA60">
            <w:pPr>
              <w:spacing w:line="276" w:lineRule="auto"/>
              <w:rPr>
                <w:rFonts w:hint="eastAsia" w:ascii="宋体" w:hAnsi="宋体" w:cs="宋体"/>
                <w:color w:val="auto"/>
                <w:sz w:val="24"/>
                <w:highlight w:val="none"/>
              </w:rPr>
            </w:pPr>
          </w:p>
        </w:tc>
      </w:tr>
      <w:tr w14:paraId="7CFF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79C92C9A">
            <w:pPr>
              <w:spacing w:line="276" w:lineRule="auto"/>
              <w:rPr>
                <w:rFonts w:hint="eastAsia" w:ascii="宋体" w:hAnsi="宋体" w:cs="宋体"/>
                <w:color w:val="auto"/>
                <w:sz w:val="24"/>
                <w:highlight w:val="none"/>
              </w:rPr>
            </w:pPr>
          </w:p>
          <w:p w14:paraId="5B141D2C">
            <w:pPr>
              <w:spacing w:line="276" w:lineRule="auto"/>
              <w:rPr>
                <w:rFonts w:hint="eastAsia" w:ascii="宋体" w:hAnsi="宋体" w:cs="宋体"/>
                <w:color w:val="auto"/>
                <w:sz w:val="24"/>
                <w:highlight w:val="none"/>
              </w:rPr>
            </w:pPr>
          </w:p>
        </w:tc>
        <w:tc>
          <w:tcPr>
            <w:tcW w:w="1438" w:type="dxa"/>
            <w:vAlign w:val="center"/>
          </w:tcPr>
          <w:p w14:paraId="2B987E0F">
            <w:pPr>
              <w:widowControl/>
              <w:spacing w:line="276" w:lineRule="auto"/>
              <w:rPr>
                <w:rFonts w:hint="eastAsia" w:ascii="宋体" w:hAnsi="宋体" w:cs="宋体"/>
                <w:color w:val="auto"/>
                <w:sz w:val="24"/>
                <w:highlight w:val="none"/>
              </w:rPr>
            </w:pPr>
          </w:p>
          <w:p w14:paraId="36002AFE">
            <w:pPr>
              <w:spacing w:line="276" w:lineRule="auto"/>
              <w:rPr>
                <w:rFonts w:hint="eastAsia" w:ascii="宋体" w:hAnsi="宋体" w:cs="宋体"/>
                <w:color w:val="auto"/>
                <w:sz w:val="24"/>
                <w:highlight w:val="none"/>
              </w:rPr>
            </w:pPr>
          </w:p>
        </w:tc>
        <w:tc>
          <w:tcPr>
            <w:tcW w:w="2552" w:type="dxa"/>
            <w:vAlign w:val="center"/>
          </w:tcPr>
          <w:p w14:paraId="7349B7C2">
            <w:pPr>
              <w:spacing w:line="276" w:lineRule="auto"/>
              <w:rPr>
                <w:rFonts w:hint="eastAsia" w:ascii="宋体" w:hAnsi="宋体" w:cs="宋体"/>
                <w:color w:val="auto"/>
                <w:sz w:val="24"/>
                <w:highlight w:val="none"/>
              </w:rPr>
            </w:pPr>
          </w:p>
        </w:tc>
        <w:tc>
          <w:tcPr>
            <w:tcW w:w="2835" w:type="dxa"/>
            <w:vAlign w:val="center"/>
          </w:tcPr>
          <w:p w14:paraId="74008EFA">
            <w:pPr>
              <w:spacing w:line="276" w:lineRule="auto"/>
              <w:rPr>
                <w:rFonts w:hint="eastAsia" w:ascii="宋体" w:hAnsi="宋体" w:cs="宋体"/>
                <w:color w:val="auto"/>
                <w:sz w:val="24"/>
                <w:highlight w:val="none"/>
              </w:rPr>
            </w:pPr>
          </w:p>
        </w:tc>
        <w:tc>
          <w:tcPr>
            <w:tcW w:w="1984" w:type="dxa"/>
            <w:vAlign w:val="center"/>
          </w:tcPr>
          <w:p w14:paraId="291147C3">
            <w:pPr>
              <w:spacing w:line="276" w:lineRule="auto"/>
              <w:rPr>
                <w:rFonts w:hint="eastAsia" w:ascii="宋体" w:hAnsi="宋体" w:cs="宋体"/>
                <w:color w:val="auto"/>
                <w:sz w:val="24"/>
                <w:highlight w:val="none"/>
              </w:rPr>
            </w:pPr>
          </w:p>
        </w:tc>
      </w:tr>
      <w:tr w14:paraId="3D17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1867941D">
            <w:pPr>
              <w:spacing w:line="276" w:lineRule="auto"/>
              <w:rPr>
                <w:rFonts w:hint="eastAsia" w:ascii="宋体" w:hAnsi="宋体" w:cs="宋体"/>
                <w:color w:val="auto"/>
                <w:sz w:val="24"/>
                <w:highlight w:val="none"/>
              </w:rPr>
            </w:pPr>
          </w:p>
          <w:p w14:paraId="3D7F3703">
            <w:pPr>
              <w:spacing w:line="276" w:lineRule="auto"/>
              <w:rPr>
                <w:rFonts w:hint="eastAsia" w:ascii="宋体" w:hAnsi="宋体" w:cs="宋体"/>
                <w:color w:val="auto"/>
                <w:sz w:val="24"/>
                <w:highlight w:val="none"/>
              </w:rPr>
            </w:pPr>
          </w:p>
        </w:tc>
        <w:tc>
          <w:tcPr>
            <w:tcW w:w="1438" w:type="dxa"/>
            <w:vAlign w:val="center"/>
          </w:tcPr>
          <w:p w14:paraId="0EA1F5F8">
            <w:pPr>
              <w:widowControl/>
              <w:spacing w:line="276" w:lineRule="auto"/>
              <w:rPr>
                <w:rFonts w:hint="eastAsia" w:ascii="宋体" w:hAnsi="宋体" w:cs="宋体"/>
                <w:color w:val="auto"/>
                <w:sz w:val="24"/>
                <w:highlight w:val="none"/>
              </w:rPr>
            </w:pPr>
          </w:p>
          <w:p w14:paraId="3E3FFF5E">
            <w:pPr>
              <w:spacing w:line="276" w:lineRule="auto"/>
              <w:rPr>
                <w:rFonts w:hint="eastAsia" w:ascii="宋体" w:hAnsi="宋体" w:cs="宋体"/>
                <w:color w:val="auto"/>
                <w:sz w:val="24"/>
                <w:highlight w:val="none"/>
              </w:rPr>
            </w:pPr>
          </w:p>
        </w:tc>
        <w:tc>
          <w:tcPr>
            <w:tcW w:w="2552" w:type="dxa"/>
            <w:vAlign w:val="center"/>
          </w:tcPr>
          <w:p w14:paraId="2F7E60A3">
            <w:pPr>
              <w:spacing w:line="276" w:lineRule="auto"/>
              <w:rPr>
                <w:rFonts w:hint="eastAsia" w:ascii="宋体" w:hAnsi="宋体" w:cs="宋体"/>
                <w:color w:val="auto"/>
                <w:sz w:val="24"/>
                <w:highlight w:val="none"/>
              </w:rPr>
            </w:pPr>
          </w:p>
        </w:tc>
        <w:tc>
          <w:tcPr>
            <w:tcW w:w="2835" w:type="dxa"/>
            <w:vAlign w:val="center"/>
          </w:tcPr>
          <w:p w14:paraId="2CF09B31">
            <w:pPr>
              <w:spacing w:line="276" w:lineRule="auto"/>
              <w:rPr>
                <w:rFonts w:hint="eastAsia" w:ascii="宋体" w:hAnsi="宋体" w:cs="宋体"/>
                <w:color w:val="auto"/>
                <w:sz w:val="24"/>
                <w:highlight w:val="none"/>
              </w:rPr>
            </w:pPr>
          </w:p>
        </w:tc>
        <w:tc>
          <w:tcPr>
            <w:tcW w:w="1984" w:type="dxa"/>
            <w:vAlign w:val="center"/>
          </w:tcPr>
          <w:p w14:paraId="3B957D99">
            <w:pPr>
              <w:spacing w:line="276" w:lineRule="auto"/>
              <w:rPr>
                <w:rFonts w:hint="eastAsia" w:ascii="宋体" w:hAnsi="宋体" w:cs="宋体"/>
                <w:color w:val="auto"/>
                <w:sz w:val="24"/>
                <w:highlight w:val="none"/>
              </w:rPr>
            </w:pPr>
          </w:p>
        </w:tc>
      </w:tr>
      <w:tr w14:paraId="02D9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59131B6E">
            <w:pPr>
              <w:spacing w:line="276" w:lineRule="auto"/>
              <w:rPr>
                <w:rFonts w:hint="eastAsia" w:ascii="宋体" w:hAnsi="宋体" w:cs="宋体"/>
                <w:color w:val="auto"/>
                <w:sz w:val="24"/>
                <w:highlight w:val="none"/>
              </w:rPr>
            </w:pPr>
          </w:p>
          <w:p w14:paraId="193ACBDD">
            <w:pPr>
              <w:spacing w:line="276" w:lineRule="auto"/>
              <w:rPr>
                <w:rFonts w:hint="eastAsia" w:ascii="宋体" w:hAnsi="宋体" w:cs="宋体"/>
                <w:color w:val="auto"/>
                <w:sz w:val="24"/>
                <w:highlight w:val="none"/>
              </w:rPr>
            </w:pPr>
          </w:p>
        </w:tc>
        <w:tc>
          <w:tcPr>
            <w:tcW w:w="1438" w:type="dxa"/>
            <w:vAlign w:val="center"/>
          </w:tcPr>
          <w:p w14:paraId="3579A008">
            <w:pPr>
              <w:widowControl/>
              <w:spacing w:line="276" w:lineRule="auto"/>
              <w:rPr>
                <w:rFonts w:hint="eastAsia" w:ascii="宋体" w:hAnsi="宋体" w:cs="宋体"/>
                <w:color w:val="auto"/>
                <w:sz w:val="24"/>
                <w:highlight w:val="none"/>
              </w:rPr>
            </w:pPr>
          </w:p>
          <w:p w14:paraId="555BF01E">
            <w:pPr>
              <w:spacing w:line="276" w:lineRule="auto"/>
              <w:rPr>
                <w:rFonts w:hint="eastAsia" w:ascii="宋体" w:hAnsi="宋体" w:cs="宋体"/>
                <w:color w:val="auto"/>
                <w:sz w:val="24"/>
                <w:highlight w:val="none"/>
              </w:rPr>
            </w:pPr>
          </w:p>
        </w:tc>
        <w:tc>
          <w:tcPr>
            <w:tcW w:w="2552" w:type="dxa"/>
            <w:vAlign w:val="center"/>
          </w:tcPr>
          <w:p w14:paraId="4FAFE737">
            <w:pPr>
              <w:spacing w:line="276" w:lineRule="auto"/>
              <w:rPr>
                <w:rFonts w:hint="eastAsia" w:ascii="宋体" w:hAnsi="宋体" w:cs="宋体"/>
                <w:color w:val="auto"/>
                <w:sz w:val="24"/>
                <w:highlight w:val="none"/>
              </w:rPr>
            </w:pPr>
          </w:p>
        </w:tc>
        <w:tc>
          <w:tcPr>
            <w:tcW w:w="2835" w:type="dxa"/>
            <w:vAlign w:val="center"/>
          </w:tcPr>
          <w:p w14:paraId="09BBEF89">
            <w:pPr>
              <w:spacing w:line="276" w:lineRule="auto"/>
              <w:rPr>
                <w:rFonts w:hint="eastAsia" w:ascii="宋体" w:hAnsi="宋体" w:cs="宋体"/>
                <w:color w:val="auto"/>
                <w:sz w:val="24"/>
                <w:highlight w:val="none"/>
              </w:rPr>
            </w:pPr>
          </w:p>
        </w:tc>
        <w:tc>
          <w:tcPr>
            <w:tcW w:w="1984" w:type="dxa"/>
            <w:vAlign w:val="center"/>
          </w:tcPr>
          <w:p w14:paraId="7FAA57FA">
            <w:pPr>
              <w:spacing w:line="276" w:lineRule="auto"/>
              <w:rPr>
                <w:rFonts w:hint="eastAsia" w:ascii="宋体" w:hAnsi="宋体" w:cs="宋体"/>
                <w:color w:val="auto"/>
                <w:sz w:val="24"/>
                <w:highlight w:val="none"/>
              </w:rPr>
            </w:pPr>
          </w:p>
        </w:tc>
      </w:tr>
      <w:tr w14:paraId="55E3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797070E0">
            <w:pPr>
              <w:spacing w:line="276" w:lineRule="auto"/>
              <w:rPr>
                <w:rFonts w:hint="eastAsia" w:ascii="宋体" w:hAnsi="宋体" w:cs="宋体"/>
                <w:color w:val="auto"/>
                <w:sz w:val="24"/>
                <w:highlight w:val="none"/>
              </w:rPr>
            </w:pPr>
          </w:p>
          <w:p w14:paraId="5385EE2A">
            <w:pPr>
              <w:spacing w:line="276" w:lineRule="auto"/>
              <w:rPr>
                <w:rFonts w:hint="eastAsia" w:ascii="宋体" w:hAnsi="宋体" w:cs="宋体"/>
                <w:color w:val="auto"/>
                <w:sz w:val="24"/>
                <w:highlight w:val="none"/>
              </w:rPr>
            </w:pPr>
          </w:p>
        </w:tc>
        <w:tc>
          <w:tcPr>
            <w:tcW w:w="1438" w:type="dxa"/>
            <w:vAlign w:val="center"/>
          </w:tcPr>
          <w:p w14:paraId="60F1F52C">
            <w:pPr>
              <w:widowControl/>
              <w:spacing w:line="276" w:lineRule="auto"/>
              <w:rPr>
                <w:rFonts w:hint="eastAsia" w:ascii="宋体" w:hAnsi="宋体" w:cs="宋体"/>
                <w:color w:val="auto"/>
                <w:sz w:val="24"/>
                <w:highlight w:val="none"/>
              </w:rPr>
            </w:pPr>
          </w:p>
          <w:p w14:paraId="3D80457D">
            <w:pPr>
              <w:spacing w:line="276" w:lineRule="auto"/>
              <w:rPr>
                <w:rFonts w:hint="eastAsia" w:ascii="宋体" w:hAnsi="宋体" w:cs="宋体"/>
                <w:color w:val="auto"/>
                <w:sz w:val="24"/>
                <w:highlight w:val="none"/>
              </w:rPr>
            </w:pPr>
          </w:p>
        </w:tc>
        <w:tc>
          <w:tcPr>
            <w:tcW w:w="2552" w:type="dxa"/>
            <w:vAlign w:val="center"/>
          </w:tcPr>
          <w:p w14:paraId="6E144025">
            <w:pPr>
              <w:spacing w:line="276" w:lineRule="auto"/>
              <w:rPr>
                <w:rFonts w:hint="eastAsia" w:ascii="宋体" w:hAnsi="宋体" w:cs="宋体"/>
                <w:color w:val="auto"/>
                <w:sz w:val="24"/>
                <w:highlight w:val="none"/>
              </w:rPr>
            </w:pPr>
          </w:p>
        </w:tc>
        <w:tc>
          <w:tcPr>
            <w:tcW w:w="2835" w:type="dxa"/>
            <w:vAlign w:val="center"/>
          </w:tcPr>
          <w:p w14:paraId="0FE4B299">
            <w:pPr>
              <w:spacing w:line="276" w:lineRule="auto"/>
              <w:rPr>
                <w:rFonts w:hint="eastAsia" w:ascii="宋体" w:hAnsi="宋体" w:cs="宋体"/>
                <w:color w:val="auto"/>
                <w:sz w:val="24"/>
                <w:highlight w:val="none"/>
              </w:rPr>
            </w:pPr>
          </w:p>
        </w:tc>
        <w:tc>
          <w:tcPr>
            <w:tcW w:w="1984" w:type="dxa"/>
            <w:vAlign w:val="center"/>
          </w:tcPr>
          <w:p w14:paraId="425D0D04">
            <w:pPr>
              <w:spacing w:line="276" w:lineRule="auto"/>
              <w:rPr>
                <w:rFonts w:hint="eastAsia" w:ascii="宋体" w:hAnsi="宋体" w:cs="宋体"/>
                <w:color w:val="auto"/>
                <w:sz w:val="24"/>
                <w:highlight w:val="none"/>
              </w:rPr>
            </w:pPr>
          </w:p>
        </w:tc>
      </w:tr>
      <w:tr w14:paraId="2BC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7A7F3C0">
            <w:pPr>
              <w:spacing w:line="276" w:lineRule="auto"/>
              <w:rPr>
                <w:rFonts w:hint="eastAsia" w:ascii="宋体" w:hAnsi="宋体" w:cs="宋体"/>
                <w:color w:val="auto"/>
                <w:sz w:val="24"/>
                <w:highlight w:val="none"/>
              </w:rPr>
            </w:pPr>
          </w:p>
          <w:p w14:paraId="14380AD0">
            <w:pPr>
              <w:spacing w:line="276" w:lineRule="auto"/>
              <w:rPr>
                <w:rFonts w:hint="eastAsia" w:ascii="宋体" w:hAnsi="宋体" w:cs="宋体"/>
                <w:color w:val="auto"/>
                <w:sz w:val="24"/>
                <w:highlight w:val="none"/>
              </w:rPr>
            </w:pPr>
          </w:p>
        </w:tc>
        <w:tc>
          <w:tcPr>
            <w:tcW w:w="1438" w:type="dxa"/>
            <w:vAlign w:val="center"/>
          </w:tcPr>
          <w:p w14:paraId="02DDDBCB">
            <w:pPr>
              <w:widowControl/>
              <w:spacing w:line="276" w:lineRule="auto"/>
              <w:rPr>
                <w:rFonts w:hint="eastAsia" w:ascii="宋体" w:hAnsi="宋体" w:cs="宋体"/>
                <w:color w:val="auto"/>
                <w:sz w:val="24"/>
                <w:highlight w:val="none"/>
              </w:rPr>
            </w:pPr>
          </w:p>
          <w:p w14:paraId="2C214F41">
            <w:pPr>
              <w:spacing w:line="276" w:lineRule="auto"/>
              <w:rPr>
                <w:rFonts w:hint="eastAsia" w:ascii="宋体" w:hAnsi="宋体" w:cs="宋体"/>
                <w:color w:val="auto"/>
                <w:sz w:val="24"/>
                <w:highlight w:val="none"/>
              </w:rPr>
            </w:pPr>
          </w:p>
        </w:tc>
        <w:tc>
          <w:tcPr>
            <w:tcW w:w="2552" w:type="dxa"/>
            <w:vAlign w:val="center"/>
          </w:tcPr>
          <w:p w14:paraId="286C11AD">
            <w:pPr>
              <w:spacing w:line="276" w:lineRule="auto"/>
              <w:rPr>
                <w:rFonts w:hint="eastAsia" w:ascii="宋体" w:hAnsi="宋体" w:cs="宋体"/>
                <w:color w:val="auto"/>
                <w:sz w:val="24"/>
                <w:highlight w:val="none"/>
              </w:rPr>
            </w:pPr>
          </w:p>
        </w:tc>
        <w:tc>
          <w:tcPr>
            <w:tcW w:w="2835" w:type="dxa"/>
            <w:vAlign w:val="center"/>
          </w:tcPr>
          <w:p w14:paraId="69260314">
            <w:pPr>
              <w:spacing w:line="276" w:lineRule="auto"/>
              <w:rPr>
                <w:rFonts w:hint="eastAsia" w:ascii="宋体" w:hAnsi="宋体" w:cs="宋体"/>
                <w:color w:val="auto"/>
                <w:sz w:val="24"/>
                <w:highlight w:val="none"/>
              </w:rPr>
            </w:pPr>
          </w:p>
        </w:tc>
        <w:tc>
          <w:tcPr>
            <w:tcW w:w="1984" w:type="dxa"/>
            <w:vAlign w:val="center"/>
          </w:tcPr>
          <w:p w14:paraId="1896C1E1">
            <w:pPr>
              <w:spacing w:line="276" w:lineRule="auto"/>
              <w:rPr>
                <w:rFonts w:hint="eastAsia" w:ascii="宋体" w:hAnsi="宋体" w:cs="宋体"/>
                <w:color w:val="auto"/>
                <w:sz w:val="24"/>
                <w:highlight w:val="none"/>
              </w:rPr>
            </w:pPr>
          </w:p>
        </w:tc>
      </w:tr>
      <w:tr w14:paraId="1A61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46F7E0DA">
            <w:pPr>
              <w:spacing w:line="276" w:lineRule="auto"/>
              <w:rPr>
                <w:rFonts w:hint="eastAsia" w:ascii="宋体" w:hAnsi="宋体" w:cs="宋体"/>
                <w:color w:val="auto"/>
                <w:sz w:val="24"/>
                <w:highlight w:val="none"/>
              </w:rPr>
            </w:pPr>
          </w:p>
          <w:p w14:paraId="09E8B8D7">
            <w:pPr>
              <w:spacing w:line="276" w:lineRule="auto"/>
              <w:rPr>
                <w:rFonts w:hint="eastAsia" w:ascii="宋体" w:hAnsi="宋体" w:cs="宋体"/>
                <w:color w:val="auto"/>
                <w:sz w:val="24"/>
                <w:highlight w:val="none"/>
              </w:rPr>
            </w:pPr>
          </w:p>
        </w:tc>
        <w:tc>
          <w:tcPr>
            <w:tcW w:w="1438" w:type="dxa"/>
            <w:vAlign w:val="center"/>
          </w:tcPr>
          <w:p w14:paraId="3FF0CBA7">
            <w:pPr>
              <w:widowControl/>
              <w:spacing w:line="276" w:lineRule="auto"/>
              <w:rPr>
                <w:rFonts w:hint="eastAsia" w:ascii="宋体" w:hAnsi="宋体" w:cs="宋体"/>
                <w:color w:val="auto"/>
                <w:sz w:val="24"/>
                <w:highlight w:val="none"/>
              </w:rPr>
            </w:pPr>
          </w:p>
          <w:p w14:paraId="1313ED44">
            <w:pPr>
              <w:spacing w:line="276" w:lineRule="auto"/>
              <w:rPr>
                <w:rFonts w:hint="eastAsia" w:ascii="宋体" w:hAnsi="宋体" w:cs="宋体"/>
                <w:color w:val="auto"/>
                <w:sz w:val="24"/>
                <w:highlight w:val="none"/>
              </w:rPr>
            </w:pPr>
          </w:p>
        </w:tc>
        <w:tc>
          <w:tcPr>
            <w:tcW w:w="2552" w:type="dxa"/>
            <w:vAlign w:val="center"/>
          </w:tcPr>
          <w:p w14:paraId="3FE7A9C4">
            <w:pPr>
              <w:spacing w:line="276" w:lineRule="auto"/>
              <w:rPr>
                <w:rFonts w:hint="eastAsia" w:ascii="宋体" w:hAnsi="宋体" w:cs="宋体"/>
                <w:color w:val="auto"/>
                <w:sz w:val="24"/>
                <w:highlight w:val="none"/>
              </w:rPr>
            </w:pPr>
          </w:p>
        </w:tc>
        <w:tc>
          <w:tcPr>
            <w:tcW w:w="2835" w:type="dxa"/>
            <w:vAlign w:val="center"/>
          </w:tcPr>
          <w:p w14:paraId="19A50DA1">
            <w:pPr>
              <w:spacing w:line="276" w:lineRule="auto"/>
              <w:rPr>
                <w:rFonts w:hint="eastAsia" w:ascii="宋体" w:hAnsi="宋体" w:cs="宋体"/>
                <w:color w:val="auto"/>
                <w:sz w:val="24"/>
                <w:highlight w:val="none"/>
              </w:rPr>
            </w:pPr>
          </w:p>
        </w:tc>
        <w:tc>
          <w:tcPr>
            <w:tcW w:w="1984" w:type="dxa"/>
            <w:vAlign w:val="center"/>
          </w:tcPr>
          <w:p w14:paraId="7BE51257">
            <w:pPr>
              <w:spacing w:line="276" w:lineRule="auto"/>
              <w:rPr>
                <w:rFonts w:hint="eastAsia" w:ascii="宋体" w:hAnsi="宋体" w:cs="宋体"/>
                <w:color w:val="auto"/>
                <w:sz w:val="24"/>
                <w:highlight w:val="none"/>
              </w:rPr>
            </w:pPr>
          </w:p>
        </w:tc>
      </w:tr>
      <w:tr w14:paraId="1E09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3B15BFDE">
            <w:pPr>
              <w:spacing w:line="276" w:lineRule="auto"/>
              <w:rPr>
                <w:rFonts w:hint="eastAsia" w:ascii="宋体" w:hAnsi="宋体" w:cs="宋体"/>
                <w:color w:val="auto"/>
                <w:sz w:val="24"/>
                <w:highlight w:val="none"/>
              </w:rPr>
            </w:pPr>
          </w:p>
          <w:p w14:paraId="5AB7AC1F">
            <w:pPr>
              <w:spacing w:line="276" w:lineRule="auto"/>
              <w:rPr>
                <w:rFonts w:hint="eastAsia" w:ascii="宋体" w:hAnsi="宋体" w:cs="宋体"/>
                <w:color w:val="auto"/>
                <w:sz w:val="24"/>
                <w:highlight w:val="none"/>
              </w:rPr>
            </w:pPr>
          </w:p>
        </w:tc>
        <w:tc>
          <w:tcPr>
            <w:tcW w:w="1438" w:type="dxa"/>
            <w:vAlign w:val="center"/>
          </w:tcPr>
          <w:p w14:paraId="4C3E9126">
            <w:pPr>
              <w:widowControl/>
              <w:spacing w:line="276" w:lineRule="auto"/>
              <w:rPr>
                <w:rFonts w:hint="eastAsia" w:ascii="宋体" w:hAnsi="宋体" w:cs="宋体"/>
                <w:color w:val="auto"/>
                <w:sz w:val="24"/>
                <w:highlight w:val="none"/>
              </w:rPr>
            </w:pPr>
          </w:p>
          <w:p w14:paraId="6074EA4A">
            <w:pPr>
              <w:spacing w:line="276" w:lineRule="auto"/>
              <w:rPr>
                <w:rFonts w:hint="eastAsia" w:ascii="宋体" w:hAnsi="宋体" w:cs="宋体"/>
                <w:color w:val="auto"/>
                <w:sz w:val="24"/>
                <w:highlight w:val="none"/>
              </w:rPr>
            </w:pPr>
          </w:p>
        </w:tc>
        <w:tc>
          <w:tcPr>
            <w:tcW w:w="2552" w:type="dxa"/>
            <w:vAlign w:val="center"/>
          </w:tcPr>
          <w:p w14:paraId="56BEF026">
            <w:pPr>
              <w:spacing w:line="276" w:lineRule="auto"/>
              <w:rPr>
                <w:rFonts w:hint="eastAsia" w:ascii="宋体" w:hAnsi="宋体" w:cs="宋体"/>
                <w:color w:val="auto"/>
                <w:sz w:val="24"/>
                <w:highlight w:val="none"/>
              </w:rPr>
            </w:pPr>
          </w:p>
        </w:tc>
        <w:tc>
          <w:tcPr>
            <w:tcW w:w="2835" w:type="dxa"/>
            <w:vAlign w:val="center"/>
          </w:tcPr>
          <w:p w14:paraId="61584425">
            <w:pPr>
              <w:spacing w:line="276" w:lineRule="auto"/>
              <w:rPr>
                <w:rFonts w:hint="eastAsia" w:ascii="宋体" w:hAnsi="宋体" w:cs="宋体"/>
                <w:color w:val="auto"/>
                <w:sz w:val="24"/>
                <w:highlight w:val="none"/>
              </w:rPr>
            </w:pPr>
          </w:p>
        </w:tc>
        <w:tc>
          <w:tcPr>
            <w:tcW w:w="1984" w:type="dxa"/>
            <w:vAlign w:val="center"/>
          </w:tcPr>
          <w:p w14:paraId="13248C3F">
            <w:pPr>
              <w:spacing w:line="276" w:lineRule="auto"/>
              <w:rPr>
                <w:rFonts w:hint="eastAsia" w:ascii="宋体" w:hAnsi="宋体" w:cs="宋体"/>
                <w:color w:val="auto"/>
                <w:sz w:val="24"/>
                <w:highlight w:val="none"/>
              </w:rPr>
            </w:pPr>
          </w:p>
        </w:tc>
      </w:tr>
      <w:tr w14:paraId="1558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72B6598">
            <w:pPr>
              <w:spacing w:line="276" w:lineRule="auto"/>
              <w:rPr>
                <w:rFonts w:hint="eastAsia" w:ascii="宋体" w:hAnsi="宋体" w:cs="宋体"/>
                <w:color w:val="auto"/>
                <w:sz w:val="24"/>
                <w:highlight w:val="none"/>
              </w:rPr>
            </w:pPr>
          </w:p>
          <w:p w14:paraId="0B557DB9">
            <w:pPr>
              <w:spacing w:line="276" w:lineRule="auto"/>
              <w:rPr>
                <w:rFonts w:hint="eastAsia" w:ascii="宋体" w:hAnsi="宋体" w:cs="宋体"/>
                <w:color w:val="auto"/>
                <w:sz w:val="24"/>
                <w:highlight w:val="none"/>
              </w:rPr>
            </w:pPr>
          </w:p>
        </w:tc>
        <w:tc>
          <w:tcPr>
            <w:tcW w:w="1438" w:type="dxa"/>
            <w:vAlign w:val="center"/>
          </w:tcPr>
          <w:p w14:paraId="5F545A9B">
            <w:pPr>
              <w:widowControl/>
              <w:spacing w:line="276" w:lineRule="auto"/>
              <w:rPr>
                <w:rFonts w:hint="eastAsia" w:ascii="宋体" w:hAnsi="宋体" w:cs="宋体"/>
                <w:color w:val="auto"/>
                <w:sz w:val="24"/>
                <w:highlight w:val="none"/>
              </w:rPr>
            </w:pPr>
          </w:p>
          <w:p w14:paraId="4B92E97D">
            <w:pPr>
              <w:spacing w:line="276" w:lineRule="auto"/>
              <w:rPr>
                <w:rFonts w:hint="eastAsia" w:ascii="宋体" w:hAnsi="宋体" w:cs="宋体"/>
                <w:color w:val="auto"/>
                <w:sz w:val="24"/>
                <w:highlight w:val="none"/>
              </w:rPr>
            </w:pPr>
          </w:p>
        </w:tc>
        <w:tc>
          <w:tcPr>
            <w:tcW w:w="2552" w:type="dxa"/>
            <w:vAlign w:val="center"/>
          </w:tcPr>
          <w:p w14:paraId="3AB270AF">
            <w:pPr>
              <w:spacing w:line="276" w:lineRule="auto"/>
              <w:rPr>
                <w:rFonts w:hint="eastAsia" w:ascii="宋体" w:hAnsi="宋体" w:cs="宋体"/>
                <w:color w:val="auto"/>
                <w:sz w:val="24"/>
                <w:highlight w:val="none"/>
              </w:rPr>
            </w:pPr>
          </w:p>
        </w:tc>
        <w:tc>
          <w:tcPr>
            <w:tcW w:w="2835" w:type="dxa"/>
            <w:vAlign w:val="center"/>
          </w:tcPr>
          <w:p w14:paraId="0B37B53B">
            <w:pPr>
              <w:spacing w:line="276" w:lineRule="auto"/>
              <w:rPr>
                <w:rFonts w:hint="eastAsia" w:ascii="宋体" w:hAnsi="宋体" w:cs="宋体"/>
                <w:color w:val="auto"/>
                <w:sz w:val="24"/>
                <w:highlight w:val="none"/>
              </w:rPr>
            </w:pPr>
          </w:p>
        </w:tc>
        <w:tc>
          <w:tcPr>
            <w:tcW w:w="1984" w:type="dxa"/>
            <w:vAlign w:val="center"/>
          </w:tcPr>
          <w:p w14:paraId="11EB9B49">
            <w:pPr>
              <w:spacing w:line="276" w:lineRule="auto"/>
              <w:rPr>
                <w:rFonts w:hint="eastAsia" w:ascii="宋体" w:hAnsi="宋体" w:cs="宋体"/>
                <w:color w:val="auto"/>
                <w:sz w:val="24"/>
                <w:highlight w:val="none"/>
              </w:rPr>
            </w:pPr>
          </w:p>
        </w:tc>
      </w:tr>
      <w:tr w14:paraId="6A2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10E3870B">
            <w:pPr>
              <w:spacing w:line="276" w:lineRule="auto"/>
              <w:rPr>
                <w:rFonts w:hint="eastAsia" w:ascii="宋体" w:hAnsi="宋体" w:cs="宋体"/>
                <w:color w:val="auto"/>
                <w:sz w:val="24"/>
                <w:highlight w:val="none"/>
              </w:rPr>
            </w:pPr>
          </w:p>
          <w:p w14:paraId="3EE42160">
            <w:pPr>
              <w:spacing w:line="276" w:lineRule="auto"/>
              <w:rPr>
                <w:rFonts w:hint="eastAsia" w:ascii="宋体" w:hAnsi="宋体" w:cs="宋体"/>
                <w:color w:val="auto"/>
                <w:sz w:val="24"/>
                <w:highlight w:val="none"/>
              </w:rPr>
            </w:pPr>
          </w:p>
        </w:tc>
        <w:tc>
          <w:tcPr>
            <w:tcW w:w="1438" w:type="dxa"/>
            <w:vAlign w:val="center"/>
          </w:tcPr>
          <w:p w14:paraId="01019709">
            <w:pPr>
              <w:widowControl/>
              <w:spacing w:line="276" w:lineRule="auto"/>
              <w:rPr>
                <w:rFonts w:hint="eastAsia" w:ascii="宋体" w:hAnsi="宋体" w:cs="宋体"/>
                <w:color w:val="auto"/>
                <w:sz w:val="24"/>
                <w:highlight w:val="none"/>
              </w:rPr>
            </w:pPr>
          </w:p>
          <w:p w14:paraId="0F11409A">
            <w:pPr>
              <w:spacing w:line="276" w:lineRule="auto"/>
              <w:rPr>
                <w:rFonts w:hint="eastAsia" w:ascii="宋体" w:hAnsi="宋体" w:cs="宋体"/>
                <w:color w:val="auto"/>
                <w:sz w:val="24"/>
                <w:highlight w:val="none"/>
              </w:rPr>
            </w:pPr>
          </w:p>
        </w:tc>
        <w:tc>
          <w:tcPr>
            <w:tcW w:w="2552" w:type="dxa"/>
            <w:vAlign w:val="center"/>
          </w:tcPr>
          <w:p w14:paraId="3A00FEAF">
            <w:pPr>
              <w:spacing w:line="276" w:lineRule="auto"/>
              <w:rPr>
                <w:rFonts w:hint="eastAsia" w:ascii="宋体" w:hAnsi="宋体" w:cs="宋体"/>
                <w:color w:val="auto"/>
                <w:sz w:val="24"/>
                <w:highlight w:val="none"/>
              </w:rPr>
            </w:pPr>
          </w:p>
        </w:tc>
        <w:tc>
          <w:tcPr>
            <w:tcW w:w="2835" w:type="dxa"/>
            <w:vAlign w:val="center"/>
          </w:tcPr>
          <w:p w14:paraId="71597613">
            <w:pPr>
              <w:spacing w:line="276" w:lineRule="auto"/>
              <w:rPr>
                <w:rFonts w:hint="eastAsia" w:ascii="宋体" w:hAnsi="宋体" w:cs="宋体"/>
                <w:color w:val="auto"/>
                <w:sz w:val="24"/>
                <w:highlight w:val="none"/>
              </w:rPr>
            </w:pPr>
          </w:p>
        </w:tc>
        <w:tc>
          <w:tcPr>
            <w:tcW w:w="1984" w:type="dxa"/>
            <w:vAlign w:val="center"/>
          </w:tcPr>
          <w:p w14:paraId="34F55D09">
            <w:pPr>
              <w:spacing w:line="276" w:lineRule="auto"/>
              <w:rPr>
                <w:rFonts w:hint="eastAsia" w:ascii="宋体" w:hAnsi="宋体" w:cs="宋体"/>
                <w:color w:val="auto"/>
                <w:sz w:val="24"/>
                <w:highlight w:val="none"/>
              </w:rPr>
            </w:pPr>
          </w:p>
        </w:tc>
      </w:tr>
      <w:tr w14:paraId="0ADF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7F689A45">
            <w:pPr>
              <w:spacing w:line="276" w:lineRule="auto"/>
              <w:rPr>
                <w:rFonts w:hint="eastAsia" w:ascii="宋体" w:hAnsi="宋体" w:cs="宋体"/>
                <w:color w:val="auto"/>
                <w:sz w:val="24"/>
                <w:highlight w:val="none"/>
              </w:rPr>
            </w:pPr>
          </w:p>
          <w:p w14:paraId="56E5B14B">
            <w:pPr>
              <w:spacing w:line="276" w:lineRule="auto"/>
              <w:rPr>
                <w:rFonts w:hint="eastAsia" w:ascii="宋体" w:hAnsi="宋体" w:cs="宋体"/>
                <w:color w:val="auto"/>
                <w:sz w:val="24"/>
                <w:highlight w:val="none"/>
              </w:rPr>
            </w:pPr>
          </w:p>
        </w:tc>
        <w:tc>
          <w:tcPr>
            <w:tcW w:w="1438" w:type="dxa"/>
            <w:vAlign w:val="center"/>
          </w:tcPr>
          <w:p w14:paraId="2B59B309">
            <w:pPr>
              <w:widowControl/>
              <w:spacing w:line="276" w:lineRule="auto"/>
              <w:rPr>
                <w:rFonts w:hint="eastAsia" w:ascii="宋体" w:hAnsi="宋体" w:cs="宋体"/>
                <w:color w:val="auto"/>
                <w:sz w:val="24"/>
                <w:highlight w:val="none"/>
              </w:rPr>
            </w:pPr>
          </w:p>
          <w:p w14:paraId="163919DF">
            <w:pPr>
              <w:spacing w:line="276" w:lineRule="auto"/>
              <w:rPr>
                <w:rFonts w:hint="eastAsia" w:ascii="宋体" w:hAnsi="宋体" w:cs="宋体"/>
                <w:color w:val="auto"/>
                <w:sz w:val="24"/>
                <w:highlight w:val="none"/>
              </w:rPr>
            </w:pPr>
          </w:p>
        </w:tc>
        <w:tc>
          <w:tcPr>
            <w:tcW w:w="2552" w:type="dxa"/>
            <w:vAlign w:val="center"/>
          </w:tcPr>
          <w:p w14:paraId="6F5FD28C">
            <w:pPr>
              <w:spacing w:line="276" w:lineRule="auto"/>
              <w:rPr>
                <w:rFonts w:hint="eastAsia" w:ascii="宋体" w:hAnsi="宋体" w:cs="宋体"/>
                <w:color w:val="auto"/>
                <w:sz w:val="24"/>
                <w:highlight w:val="none"/>
              </w:rPr>
            </w:pPr>
          </w:p>
        </w:tc>
        <w:tc>
          <w:tcPr>
            <w:tcW w:w="2835" w:type="dxa"/>
            <w:vAlign w:val="center"/>
          </w:tcPr>
          <w:p w14:paraId="6D5E1A1D">
            <w:pPr>
              <w:spacing w:line="276" w:lineRule="auto"/>
              <w:rPr>
                <w:rFonts w:hint="eastAsia" w:ascii="宋体" w:hAnsi="宋体" w:cs="宋体"/>
                <w:color w:val="auto"/>
                <w:sz w:val="24"/>
                <w:highlight w:val="none"/>
              </w:rPr>
            </w:pPr>
          </w:p>
        </w:tc>
        <w:tc>
          <w:tcPr>
            <w:tcW w:w="1984" w:type="dxa"/>
            <w:vAlign w:val="center"/>
          </w:tcPr>
          <w:p w14:paraId="0E13975C">
            <w:pPr>
              <w:spacing w:line="276" w:lineRule="auto"/>
              <w:rPr>
                <w:rFonts w:hint="eastAsia" w:ascii="宋体" w:hAnsi="宋体" w:cs="宋体"/>
                <w:color w:val="auto"/>
                <w:sz w:val="24"/>
                <w:highlight w:val="none"/>
              </w:rPr>
            </w:pPr>
          </w:p>
        </w:tc>
      </w:tr>
      <w:tr w14:paraId="6280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7C54F8BA">
            <w:pPr>
              <w:spacing w:line="276" w:lineRule="auto"/>
              <w:rPr>
                <w:rFonts w:hint="eastAsia" w:ascii="宋体" w:hAnsi="宋体" w:cs="宋体"/>
                <w:color w:val="auto"/>
                <w:sz w:val="24"/>
                <w:highlight w:val="none"/>
              </w:rPr>
            </w:pPr>
          </w:p>
          <w:p w14:paraId="73BA6379">
            <w:pPr>
              <w:spacing w:line="276" w:lineRule="auto"/>
              <w:rPr>
                <w:rFonts w:hint="eastAsia" w:ascii="宋体" w:hAnsi="宋体" w:cs="宋体"/>
                <w:color w:val="auto"/>
                <w:sz w:val="24"/>
                <w:highlight w:val="none"/>
              </w:rPr>
            </w:pPr>
          </w:p>
        </w:tc>
        <w:tc>
          <w:tcPr>
            <w:tcW w:w="1438" w:type="dxa"/>
            <w:vAlign w:val="center"/>
          </w:tcPr>
          <w:p w14:paraId="7A44EA02">
            <w:pPr>
              <w:widowControl/>
              <w:spacing w:line="276" w:lineRule="auto"/>
              <w:rPr>
                <w:rFonts w:hint="eastAsia" w:ascii="宋体" w:hAnsi="宋体" w:cs="宋体"/>
                <w:color w:val="auto"/>
                <w:sz w:val="24"/>
                <w:highlight w:val="none"/>
              </w:rPr>
            </w:pPr>
          </w:p>
          <w:p w14:paraId="19E4FBB7">
            <w:pPr>
              <w:spacing w:line="276" w:lineRule="auto"/>
              <w:rPr>
                <w:rFonts w:hint="eastAsia" w:ascii="宋体" w:hAnsi="宋体" w:cs="宋体"/>
                <w:color w:val="auto"/>
                <w:sz w:val="24"/>
                <w:highlight w:val="none"/>
              </w:rPr>
            </w:pPr>
          </w:p>
        </w:tc>
        <w:tc>
          <w:tcPr>
            <w:tcW w:w="2552" w:type="dxa"/>
            <w:vAlign w:val="center"/>
          </w:tcPr>
          <w:p w14:paraId="646A4946">
            <w:pPr>
              <w:spacing w:line="276" w:lineRule="auto"/>
              <w:rPr>
                <w:rFonts w:hint="eastAsia" w:ascii="宋体" w:hAnsi="宋体" w:cs="宋体"/>
                <w:color w:val="auto"/>
                <w:sz w:val="24"/>
                <w:highlight w:val="none"/>
              </w:rPr>
            </w:pPr>
          </w:p>
        </w:tc>
        <w:tc>
          <w:tcPr>
            <w:tcW w:w="2835" w:type="dxa"/>
            <w:vAlign w:val="center"/>
          </w:tcPr>
          <w:p w14:paraId="00AD3A83">
            <w:pPr>
              <w:spacing w:line="276" w:lineRule="auto"/>
              <w:rPr>
                <w:rFonts w:hint="eastAsia" w:ascii="宋体" w:hAnsi="宋体" w:cs="宋体"/>
                <w:color w:val="auto"/>
                <w:sz w:val="24"/>
                <w:highlight w:val="none"/>
              </w:rPr>
            </w:pPr>
          </w:p>
        </w:tc>
        <w:tc>
          <w:tcPr>
            <w:tcW w:w="1984" w:type="dxa"/>
            <w:vAlign w:val="center"/>
          </w:tcPr>
          <w:p w14:paraId="1AF9DDDB">
            <w:pPr>
              <w:spacing w:line="276" w:lineRule="auto"/>
              <w:rPr>
                <w:rFonts w:hint="eastAsia" w:ascii="宋体" w:hAnsi="宋体" w:cs="宋体"/>
                <w:color w:val="auto"/>
                <w:sz w:val="24"/>
                <w:highlight w:val="none"/>
              </w:rPr>
            </w:pPr>
          </w:p>
        </w:tc>
      </w:tr>
      <w:tr w14:paraId="54AA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8A2A9EB">
            <w:pPr>
              <w:spacing w:line="276" w:lineRule="auto"/>
              <w:rPr>
                <w:rFonts w:hint="eastAsia" w:ascii="宋体" w:hAnsi="宋体" w:cs="宋体"/>
                <w:color w:val="auto"/>
                <w:sz w:val="24"/>
                <w:highlight w:val="none"/>
              </w:rPr>
            </w:pPr>
          </w:p>
        </w:tc>
        <w:tc>
          <w:tcPr>
            <w:tcW w:w="1438" w:type="dxa"/>
            <w:vAlign w:val="center"/>
          </w:tcPr>
          <w:p w14:paraId="76AC66BE">
            <w:pPr>
              <w:spacing w:line="276" w:lineRule="auto"/>
              <w:rPr>
                <w:rFonts w:hint="eastAsia" w:ascii="宋体" w:hAnsi="宋体" w:cs="宋体"/>
                <w:color w:val="auto"/>
                <w:sz w:val="24"/>
                <w:highlight w:val="none"/>
              </w:rPr>
            </w:pPr>
          </w:p>
        </w:tc>
        <w:tc>
          <w:tcPr>
            <w:tcW w:w="2552" w:type="dxa"/>
            <w:vAlign w:val="center"/>
          </w:tcPr>
          <w:p w14:paraId="675487A0">
            <w:pPr>
              <w:spacing w:line="276" w:lineRule="auto"/>
              <w:rPr>
                <w:rFonts w:hint="eastAsia" w:ascii="宋体" w:hAnsi="宋体" w:cs="宋体"/>
                <w:color w:val="auto"/>
                <w:sz w:val="24"/>
                <w:highlight w:val="none"/>
              </w:rPr>
            </w:pPr>
          </w:p>
        </w:tc>
        <w:tc>
          <w:tcPr>
            <w:tcW w:w="2835" w:type="dxa"/>
            <w:vAlign w:val="center"/>
          </w:tcPr>
          <w:p w14:paraId="75DE9242">
            <w:pPr>
              <w:spacing w:line="276" w:lineRule="auto"/>
              <w:rPr>
                <w:rFonts w:hint="eastAsia" w:ascii="宋体" w:hAnsi="宋体" w:cs="宋体"/>
                <w:color w:val="auto"/>
                <w:sz w:val="24"/>
                <w:highlight w:val="none"/>
              </w:rPr>
            </w:pPr>
          </w:p>
        </w:tc>
        <w:tc>
          <w:tcPr>
            <w:tcW w:w="1984" w:type="dxa"/>
            <w:vAlign w:val="center"/>
          </w:tcPr>
          <w:p w14:paraId="136649A4">
            <w:pPr>
              <w:spacing w:line="276" w:lineRule="auto"/>
              <w:rPr>
                <w:rFonts w:hint="eastAsia" w:ascii="宋体" w:hAnsi="宋体" w:cs="宋体"/>
                <w:color w:val="auto"/>
                <w:sz w:val="24"/>
                <w:highlight w:val="none"/>
              </w:rPr>
            </w:pPr>
          </w:p>
        </w:tc>
      </w:tr>
      <w:tr w14:paraId="7E9A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0FA55A2A">
            <w:pPr>
              <w:spacing w:line="276" w:lineRule="auto"/>
              <w:rPr>
                <w:rFonts w:hint="eastAsia" w:ascii="宋体" w:hAnsi="宋体" w:cs="宋体"/>
                <w:color w:val="auto"/>
                <w:sz w:val="24"/>
                <w:highlight w:val="none"/>
              </w:rPr>
            </w:pPr>
          </w:p>
        </w:tc>
        <w:tc>
          <w:tcPr>
            <w:tcW w:w="1438" w:type="dxa"/>
            <w:vAlign w:val="center"/>
          </w:tcPr>
          <w:p w14:paraId="4A57369E">
            <w:pPr>
              <w:spacing w:line="276" w:lineRule="auto"/>
              <w:rPr>
                <w:rFonts w:hint="eastAsia" w:ascii="宋体" w:hAnsi="宋体" w:cs="宋体"/>
                <w:color w:val="auto"/>
                <w:sz w:val="24"/>
                <w:highlight w:val="none"/>
              </w:rPr>
            </w:pPr>
          </w:p>
        </w:tc>
        <w:tc>
          <w:tcPr>
            <w:tcW w:w="2552" w:type="dxa"/>
            <w:vAlign w:val="center"/>
          </w:tcPr>
          <w:p w14:paraId="73065437">
            <w:pPr>
              <w:spacing w:line="276" w:lineRule="auto"/>
              <w:rPr>
                <w:rFonts w:hint="eastAsia" w:ascii="宋体" w:hAnsi="宋体" w:cs="宋体"/>
                <w:color w:val="auto"/>
                <w:sz w:val="24"/>
                <w:highlight w:val="none"/>
              </w:rPr>
            </w:pPr>
          </w:p>
          <w:p w14:paraId="5D1B0AED">
            <w:pPr>
              <w:spacing w:line="276" w:lineRule="auto"/>
              <w:rPr>
                <w:rFonts w:hint="eastAsia" w:ascii="宋体" w:hAnsi="宋体" w:cs="宋体"/>
                <w:color w:val="auto"/>
                <w:sz w:val="24"/>
                <w:highlight w:val="none"/>
              </w:rPr>
            </w:pPr>
          </w:p>
        </w:tc>
        <w:tc>
          <w:tcPr>
            <w:tcW w:w="2835" w:type="dxa"/>
            <w:vAlign w:val="center"/>
          </w:tcPr>
          <w:p w14:paraId="1757903C">
            <w:pPr>
              <w:widowControl/>
              <w:spacing w:line="276" w:lineRule="auto"/>
              <w:rPr>
                <w:rFonts w:hint="eastAsia" w:ascii="宋体" w:hAnsi="宋体" w:cs="宋体"/>
                <w:color w:val="auto"/>
                <w:sz w:val="24"/>
                <w:highlight w:val="none"/>
              </w:rPr>
            </w:pPr>
          </w:p>
          <w:p w14:paraId="0DA39041">
            <w:pPr>
              <w:spacing w:line="276" w:lineRule="auto"/>
              <w:rPr>
                <w:rFonts w:hint="eastAsia" w:ascii="宋体" w:hAnsi="宋体" w:cs="宋体"/>
                <w:color w:val="auto"/>
                <w:sz w:val="24"/>
                <w:highlight w:val="none"/>
              </w:rPr>
            </w:pPr>
          </w:p>
        </w:tc>
        <w:tc>
          <w:tcPr>
            <w:tcW w:w="1984" w:type="dxa"/>
            <w:vAlign w:val="center"/>
          </w:tcPr>
          <w:p w14:paraId="42C3151B">
            <w:pPr>
              <w:spacing w:line="276" w:lineRule="auto"/>
              <w:rPr>
                <w:rFonts w:hint="eastAsia" w:ascii="宋体" w:hAnsi="宋体" w:cs="宋体"/>
                <w:color w:val="auto"/>
                <w:sz w:val="24"/>
                <w:highlight w:val="none"/>
              </w:rPr>
            </w:pPr>
          </w:p>
        </w:tc>
      </w:tr>
      <w:tr w14:paraId="527A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14:paraId="6B187909">
            <w:pPr>
              <w:spacing w:line="276" w:lineRule="auto"/>
              <w:rPr>
                <w:rFonts w:hint="eastAsia" w:ascii="宋体" w:hAnsi="宋体" w:cs="宋体"/>
                <w:color w:val="auto"/>
                <w:sz w:val="24"/>
                <w:highlight w:val="none"/>
              </w:rPr>
            </w:pPr>
          </w:p>
        </w:tc>
        <w:tc>
          <w:tcPr>
            <w:tcW w:w="1438" w:type="dxa"/>
            <w:vAlign w:val="center"/>
          </w:tcPr>
          <w:p w14:paraId="0D28A26F">
            <w:pPr>
              <w:spacing w:line="276" w:lineRule="auto"/>
              <w:rPr>
                <w:rFonts w:hint="eastAsia" w:ascii="宋体" w:hAnsi="宋体" w:cs="宋体"/>
                <w:color w:val="auto"/>
                <w:sz w:val="24"/>
                <w:highlight w:val="none"/>
              </w:rPr>
            </w:pPr>
          </w:p>
        </w:tc>
        <w:tc>
          <w:tcPr>
            <w:tcW w:w="2552" w:type="dxa"/>
            <w:vAlign w:val="center"/>
          </w:tcPr>
          <w:p w14:paraId="2AC13F87">
            <w:pPr>
              <w:spacing w:line="276" w:lineRule="auto"/>
              <w:rPr>
                <w:rFonts w:hint="eastAsia" w:ascii="宋体" w:hAnsi="宋体" w:cs="宋体"/>
                <w:color w:val="auto"/>
                <w:sz w:val="24"/>
                <w:highlight w:val="none"/>
              </w:rPr>
            </w:pPr>
          </w:p>
        </w:tc>
        <w:tc>
          <w:tcPr>
            <w:tcW w:w="2835" w:type="dxa"/>
            <w:vAlign w:val="center"/>
          </w:tcPr>
          <w:p w14:paraId="52E70289">
            <w:pPr>
              <w:spacing w:line="276" w:lineRule="auto"/>
              <w:rPr>
                <w:rFonts w:hint="eastAsia" w:ascii="宋体" w:hAnsi="宋体" w:cs="宋体"/>
                <w:color w:val="auto"/>
                <w:sz w:val="24"/>
                <w:highlight w:val="none"/>
              </w:rPr>
            </w:pPr>
          </w:p>
        </w:tc>
        <w:tc>
          <w:tcPr>
            <w:tcW w:w="1984" w:type="dxa"/>
            <w:vAlign w:val="center"/>
          </w:tcPr>
          <w:p w14:paraId="75CBC9BA">
            <w:pPr>
              <w:spacing w:line="276" w:lineRule="auto"/>
              <w:rPr>
                <w:rFonts w:hint="eastAsia" w:ascii="宋体" w:hAnsi="宋体" w:cs="宋体"/>
                <w:color w:val="auto"/>
                <w:sz w:val="24"/>
                <w:highlight w:val="none"/>
              </w:rPr>
            </w:pPr>
          </w:p>
        </w:tc>
      </w:tr>
    </w:tbl>
    <w:p w14:paraId="052C6A40">
      <w:pPr>
        <w:spacing w:line="276" w:lineRule="auto"/>
        <w:rPr>
          <w:rFonts w:hint="eastAsia" w:ascii="宋体" w:hAnsi="宋体" w:cs="宋体"/>
          <w:color w:val="auto"/>
          <w:highlight w:val="none"/>
        </w:rPr>
      </w:pPr>
      <w:r>
        <w:rPr>
          <w:rFonts w:hint="eastAsia" w:ascii="宋体" w:hAnsi="宋体" w:cs="宋体"/>
          <w:color w:val="auto"/>
          <w:sz w:val="32"/>
          <w:szCs w:val="22"/>
          <w:highlight w:val="none"/>
        </w:rPr>
        <w:t>　</w:t>
      </w:r>
      <w:r>
        <w:rPr>
          <w:rFonts w:hint="eastAsia" w:ascii="宋体" w:hAnsi="宋体" w:cs="宋体"/>
          <w:bCs/>
          <w:color w:val="auto"/>
          <w:kern w:val="0"/>
          <w:sz w:val="24"/>
          <w:szCs w:val="22"/>
          <w:highlight w:val="none"/>
          <w:lang w:val="zh-CN"/>
        </w:rPr>
        <w:t>法定代表人或委托代理人</w:t>
      </w:r>
      <w:r>
        <w:rPr>
          <w:rFonts w:hint="eastAsia" w:ascii="宋体" w:hAnsi="宋体" w:cs="宋体"/>
          <w:color w:val="auto"/>
          <w:sz w:val="24"/>
          <w:szCs w:val="22"/>
          <w:highlight w:val="none"/>
        </w:rPr>
        <w:t>：　　　</w:t>
      </w:r>
      <w:r>
        <w:rPr>
          <w:rFonts w:hint="eastAsia" w:ascii="宋体" w:hAnsi="宋体" w:cs="宋体"/>
          <w:color w:val="auto"/>
          <w:highlight w:val="none"/>
        </w:rPr>
        <w:t>　　　　　　　　　　　　　</w:t>
      </w:r>
    </w:p>
    <w:p w14:paraId="477F6E9D">
      <w:pPr>
        <w:spacing w:line="276" w:lineRule="auto"/>
        <w:rPr>
          <w:rFonts w:hint="eastAsia" w:ascii="宋体" w:hAnsi="宋体" w:cs="宋体"/>
          <w:color w:val="auto"/>
          <w:sz w:val="24"/>
          <w:highlight w:val="none"/>
        </w:rPr>
      </w:pPr>
    </w:p>
    <w:p w14:paraId="6B162B01">
      <w:pPr>
        <w:spacing w:line="276" w:lineRule="auto"/>
        <w:rPr>
          <w:rFonts w:hint="eastAsia" w:ascii="宋体" w:hAnsi="宋体" w:cs="宋体"/>
          <w:color w:val="auto"/>
          <w:sz w:val="24"/>
          <w:highlight w:val="none"/>
        </w:rPr>
      </w:pPr>
    </w:p>
    <w:p w14:paraId="26212ABA">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9、资格证明文件</w:t>
      </w:r>
    </w:p>
    <w:p w14:paraId="5691585B">
      <w:pPr>
        <w:spacing w:line="276" w:lineRule="auto"/>
        <w:rPr>
          <w:rFonts w:hint="eastAsia" w:ascii="宋体" w:hAnsi="宋体" w:cs="宋体"/>
          <w:color w:val="auto"/>
          <w:sz w:val="24"/>
          <w:highlight w:val="none"/>
        </w:rPr>
      </w:pPr>
      <w:r>
        <w:rPr>
          <w:rFonts w:hint="eastAsia" w:ascii="宋体" w:hAnsi="宋体" w:cs="宋体"/>
          <w:color w:val="auto"/>
          <w:sz w:val="24"/>
          <w:highlight w:val="none"/>
        </w:rPr>
        <w:t xml:space="preserve">1、内容见“供应商须知”。 </w:t>
      </w:r>
    </w:p>
    <w:p w14:paraId="0F82C20B">
      <w:pPr>
        <w:spacing w:line="276" w:lineRule="auto"/>
        <w:rPr>
          <w:rFonts w:hint="eastAsia" w:ascii="宋体" w:hAnsi="宋体" w:cs="宋体"/>
          <w:color w:val="auto"/>
          <w:sz w:val="24"/>
          <w:highlight w:val="none"/>
        </w:rPr>
      </w:pPr>
      <w:r>
        <w:rPr>
          <w:rFonts w:hint="eastAsia" w:ascii="宋体" w:hAnsi="宋体" w:cs="宋体"/>
          <w:color w:val="auto"/>
          <w:sz w:val="24"/>
          <w:highlight w:val="none"/>
        </w:rPr>
        <w:t>2、其它一切有利于服务和供应商的证明材料。</w:t>
      </w:r>
    </w:p>
    <w:p w14:paraId="1FF53A97">
      <w:pPr>
        <w:spacing w:line="276" w:lineRule="auto"/>
        <w:rPr>
          <w:rFonts w:hint="eastAsia" w:ascii="宋体" w:hAnsi="宋体" w:cs="宋体"/>
          <w:color w:val="auto"/>
          <w:sz w:val="24"/>
          <w:highlight w:val="none"/>
        </w:rPr>
      </w:pPr>
    </w:p>
    <w:p w14:paraId="7EA4625C">
      <w:pPr>
        <w:spacing w:line="276" w:lineRule="auto"/>
        <w:rPr>
          <w:rFonts w:hint="eastAsia" w:ascii="宋体" w:hAnsi="宋体" w:cs="宋体"/>
          <w:color w:val="auto"/>
          <w:sz w:val="24"/>
          <w:highlight w:val="none"/>
        </w:rPr>
      </w:pPr>
    </w:p>
    <w:p w14:paraId="6912421B">
      <w:pPr>
        <w:spacing w:line="276" w:lineRule="auto"/>
        <w:rPr>
          <w:rFonts w:hint="eastAsia" w:ascii="宋体" w:hAnsi="宋体" w:cs="宋体"/>
          <w:color w:val="auto"/>
          <w:sz w:val="24"/>
          <w:highlight w:val="none"/>
        </w:rPr>
      </w:pPr>
    </w:p>
    <w:bookmarkEnd w:id="69"/>
    <w:p w14:paraId="71F8DE4C">
      <w:pPr>
        <w:spacing w:line="276" w:lineRule="auto"/>
        <w:jc w:val="center"/>
        <w:rPr>
          <w:rFonts w:hint="eastAsia" w:ascii="宋体" w:hAnsi="宋体" w:cs="宋体"/>
          <w:bCs/>
          <w:color w:val="auto"/>
          <w:sz w:val="24"/>
          <w:highlight w:val="none"/>
        </w:rPr>
      </w:pPr>
    </w:p>
    <w:p w14:paraId="387592A3">
      <w:pPr>
        <w:spacing w:line="276" w:lineRule="auto"/>
        <w:jc w:val="center"/>
        <w:rPr>
          <w:rFonts w:hint="eastAsia" w:ascii="宋体" w:hAnsi="宋体" w:cs="宋体"/>
          <w:bCs/>
          <w:color w:val="auto"/>
          <w:sz w:val="24"/>
          <w:highlight w:val="none"/>
        </w:rPr>
      </w:pPr>
    </w:p>
    <w:p w14:paraId="1F527EFC">
      <w:pPr>
        <w:spacing w:line="276" w:lineRule="auto"/>
        <w:jc w:val="center"/>
        <w:rPr>
          <w:rFonts w:hint="eastAsia" w:ascii="宋体" w:hAnsi="宋体" w:cs="宋体"/>
          <w:bCs/>
          <w:color w:val="auto"/>
          <w:sz w:val="24"/>
          <w:highlight w:val="none"/>
        </w:rPr>
      </w:pPr>
    </w:p>
    <w:p w14:paraId="64B0B3E5">
      <w:pPr>
        <w:pageBreakBefore/>
        <w:spacing w:line="276" w:lineRule="auto"/>
        <w:jc w:val="center"/>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、（一）项目负责人基本情况表</w:t>
      </w:r>
    </w:p>
    <w:tbl>
      <w:tblPr>
        <w:tblStyle w:val="3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45B8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0" w:type="dxa"/>
            <w:gridSpan w:val="2"/>
            <w:vAlign w:val="center"/>
          </w:tcPr>
          <w:p w14:paraId="4D449A7B">
            <w:pPr>
              <w:spacing w:line="276"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244" w:type="dxa"/>
            <w:vAlign w:val="center"/>
          </w:tcPr>
          <w:p w14:paraId="6FD937DA">
            <w:pPr>
              <w:spacing w:line="276" w:lineRule="auto"/>
              <w:ind w:firstLine="480" w:firstLineChars="200"/>
              <w:jc w:val="left"/>
              <w:rPr>
                <w:rFonts w:hint="eastAsia" w:ascii="宋体" w:hAnsi="宋体" w:cs="宋体"/>
                <w:color w:val="auto"/>
                <w:sz w:val="24"/>
                <w:szCs w:val="24"/>
                <w:highlight w:val="none"/>
              </w:rPr>
            </w:pPr>
          </w:p>
        </w:tc>
        <w:tc>
          <w:tcPr>
            <w:tcW w:w="980" w:type="dxa"/>
            <w:vAlign w:val="center"/>
          </w:tcPr>
          <w:p w14:paraId="2B03802C">
            <w:pPr>
              <w:spacing w:line="276"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1306" w:type="dxa"/>
            <w:gridSpan w:val="2"/>
            <w:vAlign w:val="center"/>
          </w:tcPr>
          <w:p w14:paraId="2130B5C1">
            <w:pPr>
              <w:spacing w:line="276" w:lineRule="auto"/>
              <w:ind w:firstLine="480" w:firstLineChars="200"/>
              <w:jc w:val="left"/>
              <w:rPr>
                <w:rFonts w:hint="eastAsia" w:ascii="宋体" w:hAnsi="宋体" w:cs="宋体"/>
                <w:color w:val="auto"/>
                <w:sz w:val="24"/>
                <w:szCs w:val="24"/>
                <w:highlight w:val="none"/>
              </w:rPr>
            </w:pPr>
          </w:p>
        </w:tc>
        <w:tc>
          <w:tcPr>
            <w:tcW w:w="1752" w:type="dxa"/>
            <w:gridSpan w:val="2"/>
            <w:vAlign w:val="center"/>
          </w:tcPr>
          <w:p w14:paraId="31B13065">
            <w:pPr>
              <w:spacing w:line="276"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2728" w:type="dxa"/>
            <w:vAlign w:val="center"/>
          </w:tcPr>
          <w:p w14:paraId="6D5611D6">
            <w:pPr>
              <w:spacing w:line="276" w:lineRule="auto"/>
              <w:ind w:firstLine="480" w:firstLineChars="200"/>
              <w:jc w:val="center"/>
              <w:rPr>
                <w:rFonts w:hint="eastAsia" w:ascii="宋体" w:hAnsi="宋体" w:cs="宋体"/>
                <w:color w:val="auto"/>
                <w:sz w:val="24"/>
                <w:szCs w:val="24"/>
                <w:highlight w:val="none"/>
              </w:rPr>
            </w:pPr>
          </w:p>
        </w:tc>
      </w:tr>
      <w:tr w14:paraId="5723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vAlign w:val="center"/>
          </w:tcPr>
          <w:p w14:paraId="2315EA35">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8010" w:type="dxa"/>
            <w:gridSpan w:val="7"/>
            <w:vAlign w:val="center"/>
          </w:tcPr>
          <w:p w14:paraId="620BFD0E">
            <w:pPr>
              <w:spacing w:line="276"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14:paraId="4D91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vAlign w:val="center"/>
          </w:tcPr>
          <w:p w14:paraId="304697A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从事本专业时间</w:t>
            </w:r>
          </w:p>
        </w:tc>
        <w:tc>
          <w:tcPr>
            <w:tcW w:w="3530" w:type="dxa"/>
            <w:gridSpan w:val="4"/>
            <w:vAlign w:val="center"/>
          </w:tcPr>
          <w:p w14:paraId="0218FB49">
            <w:pPr>
              <w:spacing w:line="276" w:lineRule="auto"/>
              <w:ind w:firstLine="480" w:firstLineChars="200"/>
              <w:jc w:val="center"/>
              <w:rPr>
                <w:rFonts w:hint="eastAsia" w:ascii="宋体" w:hAnsi="宋体" w:cs="宋体"/>
                <w:color w:val="auto"/>
                <w:sz w:val="24"/>
                <w:szCs w:val="24"/>
                <w:highlight w:val="none"/>
              </w:rPr>
            </w:pPr>
          </w:p>
        </w:tc>
        <w:tc>
          <w:tcPr>
            <w:tcW w:w="1752" w:type="dxa"/>
            <w:gridSpan w:val="2"/>
            <w:vAlign w:val="center"/>
          </w:tcPr>
          <w:p w14:paraId="385F18B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职    称</w:t>
            </w:r>
          </w:p>
        </w:tc>
        <w:tc>
          <w:tcPr>
            <w:tcW w:w="2728" w:type="dxa"/>
            <w:vAlign w:val="center"/>
          </w:tcPr>
          <w:p w14:paraId="21045BA2">
            <w:pPr>
              <w:spacing w:line="276" w:lineRule="auto"/>
              <w:ind w:firstLine="480" w:firstLineChars="200"/>
              <w:jc w:val="center"/>
              <w:rPr>
                <w:rFonts w:hint="eastAsia" w:ascii="宋体" w:hAnsi="宋体" w:cs="宋体"/>
                <w:color w:val="auto"/>
                <w:sz w:val="24"/>
                <w:szCs w:val="24"/>
                <w:highlight w:val="none"/>
              </w:rPr>
            </w:pPr>
          </w:p>
        </w:tc>
      </w:tr>
      <w:tr w14:paraId="6454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vAlign w:val="center"/>
          </w:tcPr>
          <w:p w14:paraId="42BE678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在本项目中担任任务</w:t>
            </w:r>
          </w:p>
        </w:tc>
        <w:tc>
          <w:tcPr>
            <w:tcW w:w="8010" w:type="dxa"/>
            <w:gridSpan w:val="7"/>
            <w:vAlign w:val="center"/>
          </w:tcPr>
          <w:p w14:paraId="45DB52A2">
            <w:pPr>
              <w:spacing w:line="276" w:lineRule="auto"/>
              <w:ind w:firstLine="480" w:firstLineChars="200"/>
              <w:jc w:val="center"/>
              <w:rPr>
                <w:rFonts w:hint="eastAsia" w:ascii="宋体" w:hAnsi="宋体" w:cs="宋体"/>
                <w:color w:val="auto"/>
                <w:sz w:val="24"/>
                <w:szCs w:val="24"/>
                <w:highlight w:val="none"/>
              </w:rPr>
            </w:pPr>
          </w:p>
        </w:tc>
      </w:tr>
      <w:tr w14:paraId="2A0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vAlign w:val="center"/>
          </w:tcPr>
          <w:p w14:paraId="6833DE5E">
            <w:pPr>
              <w:spacing w:line="276"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本人主要成果</w:t>
            </w:r>
          </w:p>
        </w:tc>
      </w:tr>
      <w:tr w14:paraId="3BA3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vAlign w:val="center"/>
          </w:tcPr>
          <w:p w14:paraId="388104B1">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c>
          <w:tcPr>
            <w:tcW w:w="3536" w:type="dxa"/>
            <w:gridSpan w:val="4"/>
            <w:vAlign w:val="center"/>
          </w:tcPr>
          <w:p w14:paraId="74337E2E">
            <w:pPr>
              <w:spacing w:line="276"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606" w:type="dxa"/>
            <w:gridSpan w:val="2"/>
            <w:vAlign w:val="center"/>
          </w:tcPr>
          <w:p w14:paraId="758C1823">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3379" w:type="dxa"/>
            <w:gridSpan w:val="2"/>
            <w:vAlign w:val="center"/>
          </w:tcPr>
          <w:p w14:paraId="589823EB">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采购人及联系电话</w:t>
            </w:r>
          </w:p>
        </w:tc>
      </w:tr>
      <w:tr w14:paraId="07D0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25929C90">
            <w:pPr>
              <w:spacing w:line="276" w:lineRule="auto"/>
              <w:jc w:val="center"/>
              <w:rPr>
                <w:rFonts w:hint="eastAsia" w:ascii="宋体" w:hAnsi="宋体" w:cs="宋体"/>
                <w:color w:val="auto"/>
                <w:sz w:val="24"/>
                <w:szCs w:val="24"/>
                <w:highlight w:val="none"/>
              </w:rPr>
            </w:pPr>
          </w:p>
        </w:tc>
        <w:tc>
          <w:tcPr>
            <w:tcW w:w="3536" w:type="dxa"/>
            <w:gridSpan w:val="4"/>
            <w:vAlign w:val="center"/>
          </w:tcPr>
          <w:p w14:paraId="4E69BDCF">
            <w:pPr>
              <w:spacing w:line="276" w:lineRule="auto"/>
              <w:jc w:val="center"/>
              <w:rPr>
                <w:rFonts w:hint="eastAsia" w:ascii="宋体" w:hAnsi="宋体" w:cs="宋体"/>
                <w:color w:val="auto"/>
                <w:sz w:val="24"/>
                <w:szCs w:val="24"/>
                <w:highlight w:val="none"/>
              </w:rPr>
            </w:pPr>
          </w:p>
        </w:tc>
        <w:tc>
          <w:tcPr>
            <w:tcW w:w="1606" w:type="dxa"/>
            <w:gridSpan w:val="2"/>
            <w:vAlign w:val="center"/>
          </w:tcPr>
          <w:p w14:paraId="676B2927">
            <w:pPr>
              <w:spacing w:line="276" w:lineRule="auto"/>
              <w:jc w:val="center"/>
              <w:rPr>
                <w:rFonts w:hint="eastAsia" w:ascii="宋体" w:hAnsi="宋体" w:cs="宋体"/>
                <w:color w:val="auto"/>
                <w:sz w:val="24"/>
                <w:szCs w:val="24"/>
                <w:highlight w:val="none"/>
              </w:rPr>
            </w:pPr>
          </w:p>
        </w:tc>
        <w:tc>
          <w:tcPr>
            <w:tcW w:w="3379" w:type="dxa"/>
            <w:gridSpan w:val="2"/>
            <w:vAlign w:val="center"/>
          </w:tcPr>
          <w:p w14:paraId="563D3C6B">
            <w:pPr>
              <w:spacing w:line="276" w:lineRule="auto"/>
              <w:jc w:val="center"/>
              <w:rPr>
                <w:rFonts w:hint="eastAsia" w:ascii="宋体" w:hAnsi="宋体" w:cs="宋体"/>
                <w:color w:val="auto"/>
                <w:sz w:val="24"/>
                <w:szCs w:val="24"/>
                <w:highlight w:val="none"/>
              </w:rPr>
            </w:pPr>
          </w:p>
        </w:tc>
      </w:tr>
      <w:tr w14:paraId="4D63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22A3FF7A">
            <w:pPr>
              <w:spacing w:line="276" w:lineRule="auto"/>
              <w:jc w:val="center"/>
              <w:rPr>
                <w:rFonts w:hint="eastAsia" w:ascii="宋体" w:hAnsi="宋体" w:cs="宋体"/>
                <w:color w:val="auto"/>
                <w:sz w:val="24"/>
                <w:szCs w:val="24"/>
                <w:highlight w:val="none"/>
              </w:rPr>
            </w:pPr>
          </w:p>
        </w:tc>
        <w:tc>
          <w:tcPr>
            <w:tcW w:w="3536" w:type="dxa"/>
            <w:gridSpan w:val="4"/>
            <w:vAlign w:val="center"/>
          </w:tcPr>
          <w:p w14:paraId="716F12D2">
            <w:pPr>
              <w:spacing w:line="276" w:lineRule="auto"/>
              <w:jc w:val="center"/>
              <w:rPr>
                <w:rFonts w:hint="eastAsia" w:ascii="宋体" w:hAnsi="宋体" w:cs="宋体"/>
                <w:color w:val="auto"/>
                <w:sz w:val="24"/>
                <w:szCs w:val="24"/>
                <w:highlight w:val="none"/>
              </w:rPr>
            </w:pPr>
          </w:p>
        </w:tc>
        <w:tc>
          <w:tcPr>
            <w:tcW w:w="1606" w:type="dxa"/>
            <w:gridSpan w:val="2"/>
            <w:vAlign w:val="center"/>
          </w:tcPr>
          <w:p w14:paraId="754FDCB2">
            <w:pPr>
              <w:spacing w:line="276" w:lineRule="auto"/>
              <w:jc w:val="center"/>
              <w:rPr>
                <w:rFonts w:hint="eastAsia" w:ascii="宋体" w:hAnsi="宋体" w:cs="宋体"/>
                <w:color w:val="auto"/>
                <w:sz w:val="24"/>
                <w:szCs w:val="24"/>
                <w:highlight w:val="none"/>
              </w:rPr>
            </w:pPr>
          </w:p>
        </w:tc>
        <w:tc>
          <w:tcPr>
            <w:tcW w:w="3379" w:type="dxa"/>
            <w:gridSpan w:val="2"/>
            <w:vAlign w:val="center"/>
          </w:tcPr>
          <w:p w14:paraId="57468701">
            <w:pPr>
              <w:spacing w:line="276" w:lineRule="auto"/>
              <w:jc w:val="center"/>
              <w:rPr>
                <w:rFonts w:hint="eastAsia" w:ascii="宋体" w:hAnsi="宋体" w:cs="宋体"/>
                <w:color w:val="auto"/>
                <w:sz w:val="24"/>
                <w:szCs w:val="24"/>
                <w:highlight w:val="none"/>
              </w:rPr>
            </w:pPr>
          </w:p>
        </w:tc>
      </w:tr>
      <w:tr w14:paraId="6327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139" w:type="dxa"/>
            <w:vAlign w:val="center"/>
          </w:tcPr>
          <w:p w14:paraId="07296847">
            <w:pPr>
              <w:spacing w:line="276" w:lineRule="auto"/>
              <w:jc w:val="center"/>
              <w:rPr>
                <w:rFonts w:hint="eastAsia" w:ascii="宋体" w:hAnsi="宋体" w:cs="宋体"/>
                <w:color w:val="auto"/>
                <w:sz w:val="24"/>
                <w:szCs w:val="24"/>
                <w:highlight w:val="none"/>
              </w:rPr>
            </w:pPr>
          </w:p>
        </w:tc>
        <w:tc>
          <w:tcPr>
            <w:tcW w:w="3536" w:type="dxa"/>
            <w:gridSpan w:val="4"/>
            <w:vAlign w:val="center"/>
          </w:tcPr>
          <w:p w14:paraId="4D64CA29">
            <w:pPr>
              <w:spacing w:line="276" w:lineRule="auto"/>
              <w:jc w:val="center"/>
              <w:rPr>
                <w:rFonts w:hint="eastAsia" w:ascii="宋体" w:hAnsi="宋体" w:cs="宋体"/>
                <w:color w:val="auto"/>
                <w:sz w:val="24"/>
                <w:szCs w:val="24"/>
                <w:highlight w:val="none"/>
              </w:rPr>
            </w:pPr>
          </w:p>
        </w:tc>
        <w:tc>
          <w:tcPr>
            <w:tcW w:w="1606" w:type="dxa"/>
            <w:gridSpan w:val="2"/>
            <w:vAlign w:val="center"/>
          </w:tcPr>
          <w:p w14:paraId="376232E2">
            <w:pPr>
              <w:spacing w:line="276" w:lineRule="auto"/>
              <w:jc w:val="center"/>
              <w:rPr>
                <w:rFonts w:hint="eastAsia" w:ascii="宋体" w:hAnsi="宋体" w:cs="宋体"/>
                <w:color w:val="auto"/>
                <w:sz w:val="24"/>
                <w:szCs w:val="24"/>
                <w:highlight w:val="none"/>
              </w:rPr>
            </w:pPr>
          </w:p>
        </w:tc>
        <w:tc>
          <w:tcPr>
            <w:tcW w:w="3379" w:type="dxa"/>
            <w:gridSpan w:val="2"/>
            <w:vAlign w:val="center"/>
          </w:tcPr>
          <w:p w14:paraId="35EC7CF3">
            <w:pPr>
              <w:spacing w:line="276" w:lineRule="auto"/>
              <w:jc w:val="center"/>
              <w:rPr>
                <w:rFonts w:hint="eastAsia" w:ascii="宋体" w:hAnsi="宋体" w:cs="宋体"/>
                <w:color w:val="auto"/>
                <w:sz w:val="24"/>
                <w:szCs w:val="24"/>
                <w:highlight w:val="none"/>
              </w:rPr>
            </w:pPr>
          </w:p>
        </w:tc>
      </w:tr>
      <w:tr w14:paraId="2E31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1D87CF50">
            <w:pPr>
              <w:spacing w:line="276" w:lineRule="auto"/>
              <w:jc w:val="center"/>
              <w:rPr>
                <w:rFonts w:hint="eastAsia" w:ascii="宋体" w:hAnsi="宋体" w:cs="宋体"/>
                <w:color w:val="auto"/>
                <w:sz w:val="24"/>
                <w:szCs w:val="24"/>
                <w:highlight w:val="none"/>
              </w:rPr>
            </w:pPr>
          </w:p>
        </w:tc>
        <w:tc>
          <w:tcPr>
            <w:tcW w:w="3536" w:type="dxa"/>
            <w:gridSpan w:val="4"/>
            <w:vAlign w:val="center"/>
          </w:tcPr>
          <w:p w14:paraId="3F07FA4D">
            <w:pPr>
              <w:spacing w:line="276" w:lineRule="auto"/>
              <w:jc w:val="center"/>
              <w:rPr>
                <w:rFonts w:hint="eastAsia" w:ascii="宋体" w:hAnsi="宋体" w:cs="宋体"/>
                <w:color w:val="auto"/>
                <w:sz w:val="24"/>
                <w:szCs w:val="24"/>
                <w:highlight w:val="none"/>
              </w:rPr>
            </w:pPr>
          </w:p>
        </w:tc>
        <w:tc>
          <w:tcPr>
            <w:tcW w:w="1606" w:type="dxa"/>
            <w:gridSpan w:val="2"/>
            <w:vAlign w:val="center"/>
          </w:tcPr>
          <w:p w14:paraId="38D358DA">
            <w:pPr>
              <w:spacing w:line="276" w:lineRule="auto"/>
              <w:jc w:val="center"/>
              <w:rPr>
                <w:rFonts w:hint="eastAsia" w:ascii="宋体" w:hAnsi="宋体" w:cs="宋体"/>
                <w:color w:val="auto"/>
                <w:sz w:val="24"/>
                <w:szCs w:val="24"/>
                <w:highlight w:val="none"/>
              </w:rPr>
            </w:pPr>
          </w:p>
        </w:tc>
        <w:tc>
          <w:tcPr>
            <w:tcW w:w="3379" w:type="dxa"/>
            <w:gridSpan w:val="2"/>
            <w:vAlign w:val="center"/>
          </w:tcPr>
          <w:p w14:paraId="77F5092F">
            <w:pPr>
              <w:spacing w:line="276" w:lineRule="auto"/>
              <w:jc w:val="center"/>
              <w:rPr>
                <w:rFonts w:hint="eastAsia" w:ascii="宋体" w:hAnsi="宋体" w:cs="宋体"/>
                <w:color w:val="auto"/>
                <w:sz w:val="24"/>
                <w:szCs w:val="24"/>
                <w:highlight w:val="none"/>
              </w:rPr>
            </w:pPr>
          </w:p>
        </w:tc>
      </w:tr>
      <w:tr w14:paraId="2822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1FEC97CE">
            <w:pPr>
              <w:spacing w:line="276" w:lineRule="auto"/>
              <w:jc w:val="center"/>
              <w:rPr>
                <w:rFonts w:hint="eastAsia" w:ascii="宋体" w:hAnsi="宋体" w:cs="宋体"/>
                <w:color w:val="auto"/>
                <w:sz w:val="24"/>
                <w:szCs w:val="24"/>
                <w:highlight w:val="none"/>
              </w:rPr>
            </w:pPr>
          </w:p>
        </w:tc>
        <w:tc>
          <w:tcPr>
            <w:tcW w:w="3536" w:type="dxa"/>
            <w:gridSpan w:val="4"/>
            <w:vAlign w:val="center"/>
          </w:tcPr>
          <w:p w14:paraId="6BFB5109">
            <w:pPr>
              <w:spacing w:line="276" w:lineRule="auto"/>
              <w:jc w:val="center"/>
              <w:rPr>
                <w:rFonts w:hint="eastAsia" w:ascii="宋体" w:hAnsi="宋体" w:cs="宋体"/>
                <w:color w:val="auto"/>
                <w:sz w:val="24"/>
                <w:szCs w:val="24"/>
                <w:highlight w:val="none"/>
              </w:rPr>
            </w:pPr>
          </w:p>
        </w:tc>
        <w:tc>
          <w:tcPr>
            <w:tcW w:w="1606" w:type="dxa"/>
            <w:gridSpan w:val="2"/>
            <w:vAlign w:val="center"/>
          </w:tcPr>
          <w:p w14:paraId="335ABA23">
            <w:pPr>
              <w:spacing w:line="276" w:lineRule="auto"/>
              <w:jc w:val="center"/>
              <w:rPr>
                <w:rFonts w:hint="eastAsia" w:ascii="宋体" w:hAnsi="宋体" w:cs="宋体"/>
                <w:color w:val="auto"/>
                <w:sz w:val="24"/>
                <w:szCs w:val="24"/>
                <w:highlight w:val="none"/>
              </w:rPr>
            </w:pPr>
          </w:p>
        </w:tc>
        <w:tc>
          <w:tcPr>
            <w:tcW w:w="3379" w:type="dxa"/>
            <w:gridSpan w:val="2"/>
            <w:vAlign w:val="center"/>
          </w:tcPr>
          <w:p w14:paraId="611F3C5E">
            <w:pPr>
              <w:spacing w:line="276" w:lineRule="auto"/>
              <w:jc w:val="center"/>
              <w:rPr>
                <w:rFonts w:hint="eastAsia" w:ascii="宋体" w:hAnsi="宋体" w:cs="宋体"/>
                <w:color w:val="auto"/>
                <w:sz w:val="24"/>
                <w:szCs w:val="24"/>
                <w:highlight w:val="none"/>
              </w:rPr>
            </w:pPr>
          </w:p>
        </w:tc>
      </w:tr>
      <w:tr w14:paraId="313C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290D8B8B">
            <w:pPr>
              <w:spacing w:line="276" w:lineRule="auto"/>
              <w:jc w:val="center"/>
              <w:rPr>
                <w:rFonts w:hint="eastAsia" w:ascii="宋体" w:hAnsi="宋体" w:cs="宋体"/>
                <w:color w:val="auto"/>
                <w:sz w:val="24"/>
                <w:szCs w:val="24"/>
                <w:highlight w:val="none"/>
              </w:rPr>
            </w:pPr>
          </w:p>
        </w:tc>
        <w:tc>
          <w:tcPr>
            <w:tcW w:w="3536" w:type="dxa"/>
            <w:gridSpan w:val="4"/>
            <w:vAlign w:val="center"/>
          </w:tcPr>
          <w:p w14:paraId="2284004D">
            <w:pPr>
              <w:spacing w:line="276" w:lineRule="auto"/>
              <w:jc w:val="center"/>
              <w:rPr>
                <w:rFonts w:hint="eastAsia" w:ascii="宋体" w:hAnsi="宋体" w:cs="宋体"/>
                <w:color w:val="auto"/>
                <w:sz w:val="24"/>
                <w:szCs w:val="24"/>
                <w:highlight w:val="none"/>
              </w:rPr>
            </w:pPr>
          </w:p>
        </w:tc>
        <w:tc>
          <w:tcPr>
            <w:tcW w:w="1606" w:type="dxa"/>
            <w:gridSpan w:val="2"/>
            <w:vAlign w:val="center"/>
          </w:tcPr>
          <w:p w14:paraId="22094AFC">
            <w:pPr>
              <w:spacing w:line="276" w:lineRule="auto"/>
              <w:jc w:val="center"/>
              <w:rPr>
                <w:rFonts w:hint="eastAsia" w:ascii="宋体" w:hAnsi="宋体" w:cs="宋体"/>
                <w:color w:val="auto"/>
                <w:sz w:val="24"/>
                <w:szCs w:val="24"/>
                <w:highlight w:val="none"/>
              </w:rPr>
            </w:pPr>
          </w:p>
        </w:tc>
        <w:tc>
          <w:tcPr>
            <w:tcW w:w="3379" w:type="dxa"/>
            <w:gridSpan w:val="2"/>
            <w:vAlign w:val="center"/>
          </w:tcPr>
          <w:p w14:paraId="4D6C399F">
            <w:pPr>
              <w:spacing w:line="276" w:lineRule="auto"/>
              <w:jc w:val="center"/>
              <w:rPr>
                <w:rFonts w:hint="eastAsia" w:ascii="宋体" w:hAnsi="宋体" w:cs="宋体"/>
                <w:color w:val="auto"/>
                <w:sz w:val="24"/>
                <w:szCs w:val="24"/>
                <w:highlight w:val="none"/>
              </w:rPr>
            </w:pPr>
          </w:p>
        </w:tc>
      </w:tr>
      <w:tr w14:paraId="52A6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21C8BC20">
            <w:pPr>
              <w:spacing w:line="276" w:lineRule="auto"/>
              <w:jc w:val="center"/>
              <w:rPr>
                <w:rFonts w:hint="eastAsia" w:ascii="宋体" w:hAnsi="宋体" w:cs="宋体"/>
                <w:color w:val="auto"/>
                <w:sz w:val="24"/>
                <w:szCs w:val="24"/>
                <w:highlight w:val="none"/>
              </w:rPr>
            </w:pPr>
          </w:p>
        </w:tc>
        <w:tc>
          <w:tcPr>
            <w:tcW w:w="3536" w:type="dxa"/>
            <w:gridSpan w:val="4"/>
            <w:vAlign w:val="center"/>
          </w:tcPr>
          <w:p w14:paraId="2A5F31E0">
            <w:pPr>
              <w:spacing w:line="276" w:lineRule="auto"/>
              <w:jc w:val="center"/>
              <w:rPr>
                <w:rFonts w:hint="eastAsia" w:ascii="宋体" w:hAnsi="宋体" w:cs="宋体"/>
                <w:color w:val="auto"/>
                <w:sz w:val="24"/>
                <w:szCs w:val="24"/>
                <w:highlight w:val="none"/>
              </w:rPr>
            </w:pPr>
          </w:p>
        </w:tc>
        <w:tc>
          <w:tcPr>
            <w:tcW w:w="1606" w:type="dxa"/>
            <w:gridSpan w:val="2"/>
            <w:vAlign w:val="center"/>
          </w:tcPr>
          <w:p w14:paraId="42528E85">
            <w:pPr>
              <w:spacing w:line="276" w:lineRule="auto"/>
              <w:jc w:val="center"/>
              <w:rPr>
                <w:rFonts w:hint="eastAsia" w:ascii="宋体" w:hAnsi="宋体" w:cs="宋体"/>
                <w:color w:val="auto"/>
                <w:sz w:val="24"/>
                <w:szCs w:val="24"/>
                <w:highlight w:val="none"/>
              </w:rPr>
            </w:pPr>
          </w:p>
        </w:tc>
        <w:tc>
          <w:tcPr>
            <w:tcW w:w="3379" w:type="dxa"/>
            <w:gridSpan w:val="2"/>
            <w:vAlign w:val="center"/>
          </w:tcPr>
          <w:p w14:paraId="4E0F8935">
            <w:pPr>
              <w:spacing w:line="276" w:lineRule="auto"/>
              <w:jc w:val="center"/>
              <w:rPr>
                <w:rFonts w:hint="eastAsia" w:ascii="宋体" w:hAnsi="宋体" w:cs="宋体"/>
                <w:color w:val="auto"/>
                <w:sz w:val="24"/>
                <w:szCs w:val="24"/>
                <w:highlight w:val="none"/>
              </w:rPr>
            </w:pPr>
          </w:p>
        </w:tc>
      </w:tr>
      <w:tr w14:paraId="3450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139" w:type="dxa"/>
            <w:vAlign w:val="center"/>
          </w:tcPr>
          <w:p w14:paraId="50F10919">
            <w:pPr>
              <w:spacing w:line="276" w:lineRule="auto"/>
              <w:jc w:val="center"/>
              <w:rPr>
                <w:rFonts w:hint="eastAsia" w:ascii="宋体" w:hAnsi="宋体" w:cs="宋体"/>
                <w:color w:val="auto"/>
                <w:sz w:val="24"/>
                <w:szCs w:val="24"/>
                <w:highlight w:val="none"/>
              </w:rPr>
            </w:pPr>
          </w:p>
        </w:tc>
        <w:tc>
          <w:tcPr>
            <w:tcW w:w="3536" w:type="dxa"/>
            <w:gridSpan w:val="4"/>
            <w:vAlign w:val="center"/>
          </w:tcPr>
          <w:p w14:paraId="0B44D57A">
            <w:pPr>
              <w:spacing w:line="276" w:lineRule="auto"/>
              <w:jc w:val="center"/>
              <w:rPr>
                <w:rFonts w:hint="eastAsia" w:ascii="宋体" w:hAnsi="宋体" w:cs="宋体"/>
                <w:color w:val="auto"/>
                <w:sz w:val="24"/>
                <w:szCs w:val="24"/>
                <w:highlight w:val="none"/>
              </w:rPr>
            </w:pPr>
          </w:p>
        </w:tc>
        <w:tc>
          <w:tcPr>
            <w:tcW w:w="1606" w:type="dxa"/>
            <w:gridSpan w:val="2"/>
            <w:vAlign w:val="center"/>
          </w:tcPr>
          <w:p w14:paraId="20F79CBB">
            <w:pPr>
              <w:spacing w:line="276" w:lineRule="auto"/>
              <w:jc w:val="center"/>
              <w:rPr>
                <w:rFonts w:hint="eastAsia" w:ascii="宋体" w:hAnsi="宋体" w:cs="宋体"/>
                <w:color w:val="auto"/>
                <w:sz w:val="24"/>
                <w:szCs w:val="24"/>
                <w:highlight w:val="none"/>
              </w:rPr>
            </w:pPr>
          </w:p>
        </w:tc>
        <w:tc>
          <w:tcPr>
            <w:tcW w:w="3379" w:type="dxa"/>
            <w:gridSpan w:val="2"/>
            <w:vAlign w:val="center"/>
          </w:tcPr>
          <w:p w14:paraId="453CE600">
            <w:pPr>
              <w:spacing w:line="276" w:lineRule="auto"/>
              <w:jc w:val="center"/>
              <w:rPr>
                <w:rFonts w:hint="eastAsia" w:ascii="宋体" w:hAnsi="宋体" w:cs="宋体"/>
                <w:color w:val="auto"/>
                <w:sz w:val="24"/>
                <w:szCs w:val="24"/>
                <w:highlight w:val="none"/>
              </w:rPr>
            </w:pPr>
          </w:p>
        </w:tc>
      </w:tr>
      <w:tr w14:paraId="5A11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14:paraId="018337ED">
            <w:pPr>
              <w:spacing w:line="276" w:lineRule="auto"/>
              <w:jc w:val="center"/>
              <w:rPr>
                <w:rFonts w:hint="eastAsia" w:ascii="宋体" w:hAnsi="宋体" w:cs="宋体"/>
                <w:color w:val="auto"/>
                <w:sz w:val="24"/>
                <w:szCs w:val="24"/>
                <w:highlight w:val="none"/>
              </w:rPr>
            </w:pPr>
          </w:p>
        </w:tc>
        <w:tc>
          <w:tcPr>
            <w:tcW w:w="3536" w:type="dxa"/>
            <w:gridSpan w:val="4"/>
            <w:vAlign w:val="center"/>
          </w:tcPr>
          <w:p w14:paraId="5D904C7A">
            <w:pPr>
              <w:spacing w:line="276" w:lineRule="auto"/>
              <w:jc w:val="center"/>
              <w:rPr>
                <w:rFonts w:hint="eastAsia" w:ascii="宋体" w:hAnsi="宋体" w:cs="宋体"/>
                <w:color w:val="auto"/>
                <w:sz w:val="24"/>
                <w:szCs w:val="24"/>
                <w:highlight w:val="none"/>
              </w:rPr>
            </w:pPr>
          </w:p>
        </w:tc>
        <w:tc>
          <w:tcPr>
            <w:tcW w:w="1606" w:type="dxa"/>
            <w:gridSpan w:val="2"/>
            <w:vAlign w:val="center"/>
          </w:tcPr>
          <w:p w14:paraId="7F8E29DC">
            <w:pPr>
              <w:spacing w:line="276" w:lineRule="auto"/>
              <w:jc w:val="center"/>
              <w:rPr>
                <w:rFonts w:hint="eastAsia" w:ascii="宋体" w:hAnsi="宋体" w:cs="宋体"/>
                <w:color w:val="auto"/>
                <w:sz w:val="24"/>
                <w:szCs w:val="24"/>
                <w:highlight w:val="none"/>
              </w:rPr>
            </w:pPr>
          </w:p>
        </w:tc>
        <w:tc>
          <w:tcPr>
            <w:tcW w:w="3379" w:type="dxa"/>
            <w:gridSpan w:val="2"/>
            <w:vAlign w:val="center"/>
          </w:tcPr>
          <w:p w14:paraId="6CA98CE6">
            <w:pPr>
              <w:spacing w:line="276" w:lineRule="auto"/>
              <w:jc w:val="center"/>
              <w:rPr>
                <w:rFonts w:hint="eastAsia" w:ascii="宋体" w:hAnsi="宋体" w:cs="宋体"/>
                <w:color w:val="auto"/>
                <w:sz w:val="24"/>
                <w:szCs w:val="24"/>
                <w:highlight w:val="none"/>
              </w:rPr>
            </w:pPr>
          </w:p>
        </w:tc>
      </w:tr>
      <w:tr w14:paraId="4CAE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139" w:type="dxa"/>
            <w:vAlign w:val="center"/>
          </w:tcPr>
          <w:p w14:paraId="3997F4E4">
            <w:pPr>
              <w:spacing w:line="276" w:lineRule="auto"/>
              <w:jc w:val="center"/>
              <w:rPr>
                <w:rFonts w:hint="eastAsia" w:ascii="宋体" w:hAnsi="宋体" w:cs="宋体"/>
                <w:color w:val="auto"/>
                <w:sz w:val="24"/>
                <w:szCs w:val="24"/>
                <w:highlight w:val="none"/>
              </w:rPr>
            </w:pPr>
          </w:p>
        </w:tc>
        <w:tc>
          <w:tcPr>
            <w:tcW w:w="3536" w:type="dxa"/>
            <w:gridSpan w:val="4"/>
            <w:vAlign w:val="center"/>
          </w:tcPr>
          <w:p w14:paraId="792831D0">
            <w:pPr>
              <w:spacing w:line="276" w:lineRule="auto"/>
              <w:jc w:val="center"/>
              <w:rPr>
                <w:rFonts w:hint="eastAsia" w:ascii="宋体" w:hAnsi="宋体" w:cs="宋体"/>
                <w:color w:val="auto"/>
                <w:sz w:val="24"/>
                <w:szCs w:val="24"/>
                <w:highlight w:val="none"/>
              </w:rPr>
            </w:pPr>
          </w:p>
        </w:tc>
        <w:tc>
          <w:tcPr>
            <w:tcW w:w="1606" w:type="dxa"/>
            <w:gridSpan w:val="2"/>
            <w:vAlign w:val="center"/>
          </w:tcPr>
          <w:p w14:paraId="01026D96">
            <w:pPr>
              <w:spacing w:line="276" w:lineRule="auto"/>
              <w:jc w:val="center"/>
              <w:rPr>
                <w:rFonts w:hint="eastAsia" w:ascii="宋体" w:hAnsi="宋体" w:cs="宋体"/>
                <w:color w:val="auto"/>
                <w:sz w:val="24"/>
                <w:szCs w:val="24"/>
                <w:highlight w:val="none"/>
              </w:rPr>
            </w:pPr>
          </w:p>
        </w:tc>
        <w:tc>
          <w:tcPr>
            <w:tcW w:w="3379" w:type="dxa"/>
            <w:gridSpan w:val="2"/>
            <w:vAlign w:val="center"/>
          </w:tcPr>
          <w:p w14:paraId="336C2548">
            <w:pPr>
              <w:spacing w:line="276" w:lineRule="auto"/>
              <w:jc w:val="center"/>
              <w:rPr>
                <w:rFonts w:hint="eastAsia" w:ascii="宋体" w:hAnsi="宋体" w:cs="宋体"/>
                <w:color w:val="auto"/>
                <w:sz w:val="24"/>
                <w:szCs w:val="24"/>
                <w:highlight w:val="none"/>
              </w:rPr>
            </w:pPr>
          </w:p>
        </w:tc>
      </w:tr>
      <w:tr w14:paraId="0ABD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139" w:type="dxa"/>
            <w:vAlign w:val="center"/>
          </w:tcPr>
          <w:p w14:paraId="52FAF4E3">
            <w:pPr>
              <w:spacing w:line="276" w:lineRule="auto"/>
              <w:jc w:val="center"/>
              <w:rPr>
                <w:rFonts w:hint="eastAsia" w:ascii="宋体" w:hAnsi="宋体" w:cs="宋体"/>
                <w:color w:val="auto"/>
                <w:sz w:val="24"/>
                <w:szCs w:val="24"/>
                <w:highlight w:val="none"/>
              </w:rPr>
            </w:pPr>
          </w:p>
        </w:tc>
        <w:tc>
          <w:tcPr>
            <w:tcW w:w="3536" w:type="dxa"/>
            <w:gridSpan w:val="4"/>
            <w:vAlign w:val="center"/>
          </w:tcPr>
          <w:p w14:paraId="1322EA5F">
            <w:pPr>
              <w:spacing w:line="276" w:lineRule="auto"/>
              <w:jc w:val="center"/>
              <w:rPr>
                <w:rFonts w:hint="eastAsia" w:ascii="宋体" w:hAnsi="宋体" w:cs="宋体"/>
                <w:color w:val="auto"/>
                <w:sz w:val="24"/>
                <w:szCs w:val="24"/>
                <w:highlight w:val="none"/>
              </w:rPr>
            </w:pPr>
          </w:p>
        </w:tc>
        <w:tc>
          <w:tcPr>
            <w:tcW w:w="1606" w:type="dxa"/>
            <w:gridSpan w:val="2"/>
            <w:vAlign w:val="center"/>
          </w:tcPr>
          <w:p w14:paraId="1BE95A40">
            <w:pPr>
              <w:spacing w:line="276" w:lineRule="auto"/>
              <w:jc w:val="center"/>
              <w:rPr>
                <w:rFonts w:hint="eastAsia" w:ascii="宋体" w:hAnsi="宋体" w:cs="宋体"/>
                <w:color w:val="auto"/>
                <w:sz w:val="24"/>
                <w:szCs w:val="24"/>
                <w:highlight w:val="none"/>
              </w:rPr>
            </w:pPr>
          </w:p>
        </w:tc>
        <w:tc>
          <w:tcPr>
            <w:tcW w:w="3379" w:type="dxa"/>
            <w:gridSpan w:val="2"/>
            <w:vAlign w:val="center"/>
          </w:tcPr>
          <w:p w14:paraId="49604D67">
            <w:pPr>
              <w:spacing w:line="276" w:lineRule="auto"/>
              <w:jc w:val="center"/>
              <w:rPr>
                <w:rFonts w:hint="eastAsia" w:ascii="宋体" w:hAnsi="宋体" w:cs="宋体"/>
                <w:color w:val="auto"/>
                <w:sz w:val="24"/>
                <w:szCs w:val="24"/>
                <w:highlight w:val="none"/>
              </w:rPr>
            </w:pPr>
          </w:p>
        </w:tc>
      </w:tr>
    </w:tbl>
    <w:p w14:paraId="54C7443D">
      <w:pPr>
        <w:spacing w:line="276" w:lineRule="auto"/>
        <w:jc w:val="center"/>
        <w:rPr>
          <w:rFonts w:hint="eastAsia" w:ascii="宋体" w:hAnsi="宋体" w:cs="宋体"/>
          <w:color w:val="auto"/>
          <w:sz w:val="24"/>
          <w:highlight w:val="none"/>
        </w:rPr>
      </w:pPr>
      <w:r>
        <w:rPr>
          <w:rFonts w:hint="eastAsia" w:ascii="宋体" w:hAnsi="宋体" w:cs="宋体"/>
          <w:color w:val="auto"/>
          <w:sz w:val="24"/>
          <w:szCs w:val="24"/>
          <w:highlight w:val="none"/>
        </w:rPr>
        <w:t xml:space="preserve">        说明：本表中的项目负责人应附</w:t>
      </w:r>
      <w:r>
        <w:rPr>
          <w:rFonts w:hint="eastAsia" w:ascii="宋体" w:hAnsi="宋体" w:cs="宋体"/>
          <w:color w:val="auto"/>
          <w:sz w:val="24"/>
          <w:szCs w:val="24"/>
          <w:highlight w:val="none"/>
          <w:lang w:val="en-US" w:eastAsia="zh-CN"/>
        </w:rPr>
        <w:t>有效的人员</w:t>
      </w:r>
      <w:r>
        <w:rPr>
          <w:rFonts w:hint="eastAsia" w:ascii="宋体" w:hAnsi="宋体" w:cs="宋体"/>
          <w:color w:val="auto"/>
          <w:sz w:val="24"/>
          <w:szCs w:val="24"/>
          <w:highlight w:val="none"/>
        </w:rPr>
        <w:t>证书、身份证、</w:t>
      </w:r>
      <w:r>
        <w:rPr>
          <w:rFonts w:hint="eastAsia" w:ascii="宋体" w:hAnsi="宋体" w:cs="宋体"/>
          <w:color w:val="auto"/>
          <w:sz w:val="24"/>
          <w:szCs w:val="24"/>
          <w:highlight w:val="none"/>
          <w:lang w:val="en-US" w:eastAsia="zh-CN"/>
        </w:rPr>
        <w:t>社保证明等</w:t>
      </w:r>
      <w:r>
        <w:rPr>
          <w:rFonts w:hint="eastAsia" w:ascii="宋体" w:hAnsi="宋体" w:cs="宋体"/>
          <w:color w:val="auto"/>
          <w:sz w:val="24"/>
          <w:szCs w:val="24"/>
          <w:highlight w:val="none"/>
        </w:rPr>
        <w:t>。</w:t>
      </w:r>
    </w:p>
    <w:p w14:paraId="0B7A2CF7">
      <w:pPr>
        <w:spacing w:line="276" w:lineRule="auto"/>
        <w:jc w:val="center"/>
        <w:rPr>
          <w:rFonts w:hint="eastAsia" w:ascii="宋体" w:hAnsi="宋体" w:cs="宋体"/>
          <w:color w:val="auto"/>
          <w:sz w:val="24"/>
          <w:highlight w:val="none"/>
        </w:rPr>
      </w:pPr>
    </w:p>
    <w:p w14:paraId="5AA2A2A3">
      <w:pPr>
        <w:spacing w:line="276" w:lineRule="auto"/>
        <w:jc w:val="center"/>
        <w:rPr>
          <w:rFonts w:hint="eastAsia" w:ascii="宋体" w:hAnsi="宋体" w:cs="宋体"/>
          <w:color w:val="auto"/>
          <w:sz w:val="24"/>
          <w:highlight w:val="none"/>
        </w:rPr>
      </w:pPr>
    </w:p>
    <w:p w14:paraId="691B8C2F">
      <w:pPr>
        <w:spacing w:line="276" w:lineRule="auto"/>
        <w:jc w:val="center"/>
        <w:rPr>
          <w:rFonts w:hint="eastAsia" w:ascii="宋体" w:hAnsi="宋体" w:cs="宋体"/>
          <w:color w:val="auto"/>
          <w:sz w:val="24"/>
          <w:highlight w:val="none"/>
        </w:rPr>
      </w:pPr>
    </w:p>
    <w:p w14:paraId="09ABDB3E">
      <w:pPr>
        <w:spacing w:line="276" w:lineRule="auto"/>
        <w:jc w:val="center"/>
        <w:rPr>
          <w:rFonts w:hint="eastAsia" w:ascii="宋体" w:hAnsi="宋体" w:cs="宋体"/>
          <w:color w:val="auto"/>
          <w:sz w:val="24"/>
          <w:highlight w:val="none"/>
        </w:rPr>
      </w:pPr>
    </w:p>
    <w:p w14:paraId="48FFFA52">
      <w:pPr>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（二）拟投入本项目的主要成员表</w:t>
      </w:r>
    </w:p>
    <w:tbl>
      <w:tblPr>
        <w:tblStyle w:val="38"/>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330"/>
        <w:gridCol w:w="1202"/>
        <w:gridCol w:w="1939"/>
        <w:gridCol w:w="1328"/>
        <w:gridCol w:w="1799"/>
        <w:gridCol w:w="1354"/>
      </w:tblGrid>
      <w:tr w14:paraId="16F6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04" w:type="dxa"/>
            <w:vAlign w:val="center"/>
          </w:tcPr>
          <w:p w14:paraId="38898BCE">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30" w:type="dxa"/>
            <w:vAlign w:val="center"/>
          </w:tcPr>
          <w:p w14:paraId="566DE6F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02" w:type="dxa"/>
            <w:vAlign w:val="center"/>
          </w:tcPr>
          <w:p w14:paraId="59FFCF95">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939" w:type="dxa"/>
            <w:vAlign w:val="center"/>
          </w:tcPr>
          <w:p w14:paraId="4E375A8D">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身份证号</w:t>
            </w:r>
          </w:p>
        </w:tc>
        <w:tc>
          <w:tcPr>
            <w:tcW w:w="1328" w:type="dxa"/>
            <w:vAlign w:val="center"/>
          </w:tcPr>
          <w:p w14:paraId="44A30769">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799" w:type="dxa"/>
            <w:vAlign w:val="center"/>
          </w:tcPr>
          <w:p w14:paraId="4707B938">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岗位</w:t>
            </w:r>
          </w:p>
        </w:tc>
        <w:tc>
          <w:tcPr>
            <w:tcW w:w="1354" w:type="dxa"/>
            <w:vAlign w:val="center"/>
          </w:tcPr>
          <w:p w14:paraId="1CE860D0">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从事该岗位时间</w:t>
            </w:r>
          </w:p>
        </w:tc>
      </w:tr>
      <w:tr w14:paraId="5BB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14:paraId="026A7E6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30" w:type="dxa"/>
          </w:tcPr>
          <w:p w14:paraId="573B6DA1">
            <w:pPr>
              <w:spacing w:line="276" w:lineRule="auto"/>
              <w:jc w:val="center"/>
              <w:rPr>
                <w:rFonts w:hint="eastAsia" w:ascii="宋体" w:hAnsi="宋体" w:cs="宋体"/>
                <w:color w:val="auto"/>
                <w:sz w:val="24"/>
                <w:highlight w:val="none"/>
              </w:rPr>
            </w:pPr>
          </w:p>
        </w:tc>
        <w:tc>
          <w:tcPr>
            <w:tcW w:w="1202" w:type="dxa"/>
          </w:tcPr>
          <w:p w14:paraId="2E6AF269">
            <w:pPr>
              <w:spacing w:line="276" w:lineRule="auto"/>
              <w:jc w:val="center"/>
              <w:rPr>
                <w:rFonts w:hint="eastAsia" w:ascii="宋体" w:hAnsi="宋体" w:cs="宋体"/>
                <w:color w:val="auto"/>
                <w:sz w:val="24"/>
                <w:highlight w:val="none"/>
              </w:rPr>
            </w:pPr>
          </w:p>
        </w:tc>
        <w:tc>
          <w:tcPr>
            <w:tcW w:w="1939" w:type="dxa"/>
          </w:tcPr>
          <w:p w14:paraId="01645AE6">
            <w:pPr>
              <w:spacing w:line="276" w:lineRule="auto"/>
              <w:jc w:val="center"/>
              <w:rPr>
                <w:rFonts w:hint="eastAsia" w:ascii="宋体" w:hAnsi="宋体" w:cs="宋体"/>
                <w:color w:val="auto"/>
                <w:sz w:val="24"/>
                <w:highlight w:val="none"/>
              </w:rPr>
            </w:pPr>
          </w:p>
        </w:tc>
        <w:tc>
          <w:tcPr>
            <w:tcW w:w="1328" w:type="dxa"/>
          </w:tcPr>
          <w:p w14:paraId="5CBD3779">
            <w:pPr>
              <w:spacing w:line="276" w:lineRule="auto"/>
              <w:jc w:val="center"/>
              <w:rPr>
                <w:rFonts w:hint="eastAsia" w:ascii="宋体" w:hAnsi="宋体" w:cs="宋体"/>
                <w:color w:val="auto"/>
                <w:sz w:val="24"/>
                <w:highlight w:val="none"/>
              </w:rPr>
            </w:pPr>
          </w:p>
        </w:tc>
        <w:tc>
          <w:tcPr>
            <w:tcW w:w="1799" w:type="dxa"/>
          </w:tcPr>
          <w:p w14:paraId="0E934133">
            <w:pPr>
              <w:spacing w:line="276" w:lineRule="auto"/>
              <w:jc w:val="center"/>
              <w:rPr>
                <w:rFonts w:hint="eastAsia" w:ascii="宋体" w:hAnsi="宋体" w:cs="宋体"/>
                <w:color w:val="auto"/>
                <w:sz w:val="24"/>
                <w:highlight w:val="none"/>
              </w:rPr>
            </w:pPr>
          </w:p>
        </w:tc>
        <w:tc>
          <w:tcPr>
            <w:tcW w:w="1354" w:type="dxa"/>
          </w:tcPr>
          <w:p w14:paraId="088E611C">
            <w:pPr>
              <w:spacing w:line="276" w:lineRule="auto"/>
              <w:jc w:val="center"/>
              <w:rPr>
                <w:rFonts w:hint="eastAsia" w:ascii="宋体" w:hAnsi="宋体" w:cs="宋体"/>
                <w:color w:val="auto"/>
                <w:sz w:val="24"/>
                <w:highlight w:val="none"/>
              </w:rPr>
            </w:pPr>
          </w:p>
        </w:tc>
      </w:tr>
      <w:tr w14:paraId="5266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04" w:type="dxa"/>
          </w:tcPr>
          <w:p w14:paraId="77444E1E">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30" w:type="dxa"/>
          </w:tcPr>
          <w:p w14:paraId="12091608">
            <w:pPr>
              <w:spacing w:line="276" w:lineRule="auto"/>
              <w:jc w:val="center"/>
              <w:rPr>
                <w:rFonts w:hint="eastAsia" w:ascii="宋体" w:hAnsi="宋体" w:cs="宋体"/>
                <w:color w:val="auto"/>
                <w:sz w:val="24"/>
                <w:highlight w:val="none"/>
              </w:rPr>
            </w:pPr>
          </w:p>
        </w:tc>
        <w:tc>
          <w:tcPr>
            <w:tcW w:w="1202" w:type="dxa"/>
          </w:tcPr>
          <w:p w14:paraId="1D5C9DCB">
            <w:pPr>
              <w:spacing w:line="276" w:lineRule="auto"/>
              <w:jc w:val="center"/>
              <w:rPr>
                <w:rFonts w:hint="eastAsia" w:ascii="宋体" w:hAnsi="宋体" w:cs="宋体"/>
                <w:color w:val="auto"/>
                <w:sz w:val="24"/>
                <w:highlight w:val="none"/>
              </w:rPr>
            </w:pPr>
          </w:p>
        </w:tc>
        <w:tc>
          <w:tcPr>
            <w:tcW w:w="1939" w:type="dxa"/>
          </w:tcPr>
          <w:p w14:paraId="28B59118">
            <w:pPr>
              <w:spacing w:line="276" w:lineRule="auto"/>
              <w:jc w:val="center"/>
              <w:rPr>
                <w:rFonts w:hint="eastAsia" w:ascii="宋体" w:hAnsi="宋体" w:cs="宋体"/>
                <w:color w:val="auto"/>
                <w:sz w:val="24"/>
                <w:highlight w:val="none"/>
              </w:rPr>
            </w:pPr>
          </w:p>
        </w:tc>
        <w:tc>
          <w:tcPr>
            <w:tcW w:w="1328" w:type="dxa"/>
          </w:tcPr>
          <w:p w14:paraId="19C53376">
            <w:pPr>
              <w:spacing w:line="276" w:lineRule="auto"/>
              <w:jc w:val="center"/>
              <w:rPr>
                <w:rFonts w:hint="eastAsia" w:ascii="宋体" w:hAnsi="宋体" w:cs="宋体"/>
                <w:color w:val="auto"/>
                <w:sz w:val="24"/>
                <w:highlight w:val="none"/>
              </w:rPr>
            </w:pPr>
          </w:p>
        </w:tc>
        <w:tc>
          <w:tcPr>
            <w:tcW w:w="1799" w:type="dxa"/>
          </w:tcPr>
          <w:p w14:paraId="79FFB02C">
            <w:pPr>
              <w:spacing w:line="276" w:lineRule="auto"/>
              <w:jc w:val="center"/>
              <w:rPr>
                <w:rFonts w:hint="eastAsia" w:ascii="宋体" w:hAnsi="宋体" w:cs="宋体"/>
                <w:color w:val="auto"/>
                <w:sz w:val="24"/>
                <w:highlight w:val="none"/>
              </w:rPr>
            </w:pPr>
          </w:p>
        </w:tc>
        <w:tc>
          <w:tcPr>
            <w:tcW w:w="1354" w:type="dxa"/>
          </w:tcPr>
          <w:p w14:paraId="60B2F540">
            <w:pPr>
              <w:spacing w:line="276" w:lineRule="auto"/>
              <w:jc w:val="center"/>
              <w:rPr>
                <w:rFonts w:hint="eastAsia" w:ascii="宋体" w:hAnsi="宋体" w:cs="宋体"/>
                <w:color w:val="auto"/>
                <w:sz w:val="24"/>
                <w:highlight w:val="none"/>
              </w:rPr>
            </w:pPr>
          </w:p>
        </w:tc>
      </w:tr>
      <w:tr w14:paraId="0635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14:paraId="0F0FF4F3">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30" w:type="dxa"/>
          </w:tcPr>
          <w:p w14:paraId="78D25E97">
            <w:pPr>
              <w:spacing w:line="276" w:lineRule="auto"/>
              <w:jc w:val="center"/>
              <w:rPr>
                <w:rFonts w:hint="eastAsia" w:ascii="宋体" w:hAnsi="宋体" w:cs="宋体"/>
                <w:color w:val="auto"/>
                <w:sz w:val="24"/>
                <w:highlight w:val="none"/>
              </w:rPr>
            </w:pPr>
          </w:p>
        </w:tc>
        <w:tc>
          <w:tcPr>
            <w:tcW w:w="1202" w:type="dxa"/>
          </w:tcPr>
          <w:p w14:paraId="6AC091EC">
            <w:pPr>
              <w:spacing w:line="276" w:lineRule="auto"/>
              <w:jc w:val="center"/>
              <w:rPr>
                <w:rFonts w:hint="eastAsia" w:ascii="宋体" w:hAnsi="宋体" w:cs="宋体"/>
                <w:color w:val="auto"/>
                <w:sz w:val="24"/>
                <w:highlight w:val="none"/>
              </w:rPr>
            </w:pPr>
          </w:p>
        </w:tc>
        <w:tc>
          <w:tcPr>
            <w:tcW w:w="1939" w:type="dxa"/>
          </w:tcPr>
          <w:p w14:paraId="2B326BDF">
            <w:pPr>
              <w:spacing w:line="276" w:lineRule="auto"/>
              <w:jc w:val="center"/>
              <w:rPr>
                <w:rFonts w:hint="eastAsia" w:ascii="宋体" w:hAnsi="宋体" w:cs="宋体"/>
                <w:color w:val="auto"/>
                <w:sz w:val="24"/>
                <w:highlight w:val="none"/>
              </w:rPr>
            </w:pPr>
          </w:p>
        </w:tc>
        <w:tc>
          <w:tcPr>
            <w:tcW w:w="1328" w:type="dxa"/>
          </w:tcPr>
          <w:p w14:paraId="2DFAC8BA">
            <w:pPr>
              <w:spacing w:line="276" w:lineRule="auto"/>
              <w:jc w:val="center"/>
              <w:rPr>
                <w:rFonts w:hint="eastAsia" w:ascii="宋体" w:hAnsi="宋体" w:cs="宋体"/>
                <w:color w:val="auto"/>
                <w:sz w:val="24"/>
                <w:highlight w:val="none"/>
              </w:rPr>
            </w:pPr>
          </w:p>
        </w:tc>
        <w:tc>
          <w:tcPr>
            <w:tcW w:w="1799" w:type="dxa"/>
          </w:tcPr>
          <w:p w14:paraId="38A185CC">
            <w:pPr>
              <w:spacing w:line="276" w:lineRule="auto"/>
              <w:jc w:val="center"/>
              <w:rPr>
                <w:rFonts w:hint="eastAsia" w:ascii="宋体" w:hAnsi="宋体" w:cs="宋体"/>
                <w:color w:val="auto"/>
                <w:sz w:val="24"/>
                <w:highlight w:val="none"/>
              </w:rPr>
            </w:pPr>
          </w:p>
        </w:tc>
        <w:tc>
          <w:tcPr>
            <w:tcW w:w="1354" w:type="dxa"/>
          </w:tcPr>
          <w:p w14:paraId="61754758">
            <w:pPr>
              <w:spacing w:line="276" w:lineRule="auto"/>
              <w:jc w:val="center"/>
              <w:rPr>
                <w:rFonts w:hint="eastAsia" w:ascii="宋体" w:hAnsi="宋体" w:cs="宋体"/>
                <w:color w:val="auto"/>
                <w:sz w:val="24"/>
                <w:highlight w:val="none"/>
              </w:rPr>
            </w:pPr>
          </w:p>
        </w:tc>
      </w:tr>
      <w:tr w14:paraId="645D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14:paraId="4D77FE2B">
            <w:pPr>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30" w:type="dxa"/>
          </w:tcPr>
          <w:p w14:paraId="42CA76A5">
            <w:pPr>
              <w:spacing w:line="276" w:lineRule="auto"/>
              <w:jc w:val="center"/>
              <w:rPr>
                <w:rFonts w:hint="eastAsia" w:ascii="宋体" w:hAnsi="宋体" w:cs="宋体"/>
                <w:color w:val="auto"/>
                <w:sz w:val="24"/>
                <w:highlight w:val="none"/>
              </w:rPr>
            </w:pPr>
          </w:p>
        </w:tc>
        <w:tc>
          <w:tcPr>
            <w:tcW w:w="1202" w:type="dxa"/>
          </w:tcPr>
          <w:p w14:paraId="6ED61AFE">
            <w:pPr>
              <w:spacing w:line="276" w:lineRule="auto"/>
              <w:jc w:val="center"/>
              <w:rPr>
                <w:rFonts w:hint="eastAsia" w:ascii="宋体" w:hAnsi="宋体" w:cs="宋体"/>
                <w:color w:val="auto"/>
                <w:sz w:val="24"/>
                <w:highlight w:val="none"/>
              </w:rPr>
            </w:pPr>
          </w:p>
        </w:tc>
        <w:tc>
          <w:tcPr>
            <w:tcW w:w="1939" w:type="dxa"/>
          </w:tcPr>
          <w:p w14:paraId="343585D3">
            <w:pPr>
              <w:spacing w:line="276" w:lineRule="auto"/>
              <w:jc w:val="center"/>
              <w:rPr>
                <w:rFonts w:hint="eastAsia" w:ascii="宋体" w:hAnsi="宋体" w:cs="宋体"/>
                <w:color w:val="auto"/>
                <w:sz w:val="24"/>
                <w:highlight w:val="none"/>
              </w:rPr>
            </w:pPr>
          </w:p>
        </w:tc>
        <w:tc>
          <w:tcPr>
            <w:tcW w:w="1328" w:type="dxa"/>
          </w:tcPr>
          <w:p w14:paraId="5F0DC5EC">
            <w:pPr>
              <w:spacing w:line="276" w:lineRule="auto"/>
              <w:jc w:val="center"/>
              <w:rPr>
                <w:rFonts w:hint="eastAsia" w:ascii="宋体" w:hAnsi="宋体" w:cs="宋体"/>
                <w:color w:val="auto"/>
                <w:sz w:val="24"/>
                <w:highlight w:val="none"/>
              </w:rPr>
            </w:pPr>
          </w:p>
        </w:tc>
        <w:tc>
          <w:tcPr>
            <w:tcW w:w="1799" w:type="dxa"/>
          </w:tcPr>
          <w:p w14:paraId="25F90175">
            <w:pPr>
              <w:spacing w:line="276" w:lineRule="auto"/>
              <w:jc w:val="center"/>
              <w:rPr>
                <w:rFonts w:hint="eastAsia" w:ascii="宋体" w:hAnsi="宋体" w:cs="宋体"/>
                <w:color w:val="auto"/>
                <w:sz w:val="24"/>
                <w:highlight w:val="none"/>
              </w:rPr>
            </w:pPr>
          </w:p>
        </w:tc>
        <w:tc>
          <w:tcPr>
            <w:tcW w:w="1354" w:type="dxa"/>
          </w:tcPr>
          <w:p w14:paraId="7A3F4C08">
            <w:pPr>
              <w:spacing w:line="276" w:lineRule="auto"/>
              <w:jc w:val="center"/>
              <w:rPr>
                <w:rFonts w:hint="eastAsia" w:ascii="宋体" w:hAnsi="宋体" w:cs="宋体"/>
                <w:color w:val="auto"/>
                <w:sz w:val="24"/>
                <w:highlight w:val="none"/>
              </w:rPr>
            </w:pPr>
          </w:p>
        </w:tc>
      </w:tr>
    </w:tbl>
    <w:p w14:paraId="7FB374DF">
      <w:pPr>
        <w:spacing w:line="276" w:lineRule="auto"/>
        <w:rPr>
          <w:rFonts w:hint="eastAsia" w:ascii="宋体" w:hAnsi="宋体" w:cs="宋体"/>
          <w:color w:val="auto"/>
          <w:sz w:val="24"/>
          <w:highlight w:val="none"/>
        </w:rPr>
      </w:pPr>
      <w:r>
        <w:rPr>
          <w:rFonts w:hint="eastAsia" w:ascii="宋体" w:hAnsi="宋体" w:cs="宋体"/>
          <w:color w:val="auto"/>
          <w:sz w:val="24"/>
          <w:highlight w:val="none"/>
          <w:lang w:val="zh-CN"/>
        </w:rPr>
        <w:t>注：</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zh-CN"/>
        </w:rPr>
        <w:t>在填写时，如本表格不适合供应商的实际情况，可根据本表格式自行制表填写。</w:t>
      </w:r>
    </w:p>
    <w:p w14:paraId="3F4CF330">
      <w:pPr>
        <w:spacing w:line="276" w:lineRule="auto"/>
        <w:ind w:firstLine="480" w:firstLineChars="200"/>
        <w:rPr>
          <w:rFonts w:hint="eastAsia" w:ascii="宋体" w:hAnsi="宋体" w:cs="宋体"/>
          <w:color w:val="auto"/>
          <w:sz w:val="24"/>
          <w:highlight w:val="none"/>
        </w:rPr>
      </w:pPr>
    </w:p>
    <w:p w14:paraId="692E595C">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51F971D8">
      <w:pPr>
        <w:autoSpaceDE w:val="0"/>
        <w:autoSpaceDN w:val="0"/>
        <w:adjustRightInd w:val="0"/>
        <w:spacing w:line="276"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、供应商诚信承诺书</w:t>
      </w:r>
    </w:p>
    <w:p w14:paraId="6ED8A1AB">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为了诚实、客观、有序地参与</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highlight w:val="none"/>
          <w:lang w:val="zh-CN"/>
        </w:rPr>
        <w:t>采购活动，愿就以下内容作出承诺：</w:t>
      </w:r>
    </w:p>
    <w:p w14:paraId="24862887">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一、自觉遵守各项法律、法规、规章、制度以及社会公德，维护廉洁环境，与同场竞争的供应商平等参加招采购活动。</w:t>
      </w:r>
    </w:p>
    <w:p w14:paraId="0C4317F1">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二、参加采购代理机构组织的采购活动时，严格按照磋商文件的规定和要求提供所需的相关材料，并对所提供的各类资料的真实性负责，不虚假应标，不虚列业绩。</w:t>
      </w:r>
    </w:p>
    <w:p w14:paraId="40636B29">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三、尊重参与采购活动各相关方的合法行为，接受采购活动依法形成的意见、结果。</w:t>
      </w:r>
    </w:p>
    <w:p w14:paraId="48E102BC">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四、依法参加采购活动，不围标、串标，维护市场秩序，不提供“三无”产品、以次充好。</w:t>
      </w:r>
    </w:p>
    <w:p w14:paraId="5F267623">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五、积极推动采购活动健康开展，对采购活动有疑问、异议时，按法律规定的程序实名（加盖单位章和法定代表人签名）反映情况，不恶意中伤、无事生非，以和谐、平等的心态参加采购活动。</w:t>
      </w:r>
    </w:p>
    <w:p w14:paraId="321D0BDD">
      <w:pPr>
        <w:autoSpaceDE w:val="0"/>
        <w:autoSpaceDN w:val="0"/>
        <w:adjustRightInd w:val="0"/>
        <w:spacing w:line="276" w:lineRule="auto"/>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六、认真履行成交人应承担的责任和义务，全面执行采购合同规定的各项内容，保质保量地按时提供采购物品。</w:t>
      </w:r>
    </w:p>
    <w:p w14:paraId="10376142">
      <w:pPr>
        <w:autoSpaceDE w:val="0"/>
        <w:autoSpaceDN w:val="0"/>
        <w:adjustRightInd w:val="0"/>
        <w:spacing w:line="276"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若本企业（单位）发生有悖于上述承诺的行为，愿意接受《政府采购法》等有关法律法规中对供应商的相关处理。</w:t>
      </w:r>
    </w:p>
    <w:p w14:paraId="59657886">
      <w:pPr>
        <w:autoSpaceDE w:val="0"/>
        <w:autoSpaceDN w:val="0"/>
        <w:adjustRightInd w:val="0"/>
        <w:spacing w:line="276"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本承诺是采购项目磋商响应文件的组成部分。</w:t>
      </w:r>
    </w:p>
    <w:p w14:paraId="61862A67">
      <w:pPr>
        <w:autoSpaceDE w:val="0"/>
        <w:autoSpaceDN w:val="0"/>
        <w:adjustRightInd w:val="0"/>
        <w:spacing w:line="276" w:lineRule="auto"/>
        <w:rPr>
          <w:rFonts w:hint="eastAsia" w:ascii="宋体" w:hAnsi="宋体" w:cs="宋体"/>
          <w:color w:val="auto"/>
          <w:kern w:val="0"/>
          <w:sz w:val="24"/>
          <w:highlight w:val="none"/>
          <w:lang w:val="zh-CN"/>
        </w:rPr>
      </w:pPr>
    </w:p>
    <w:p w14:paraId="2C3C6609">
      <w:pPr>
        <w:autoSpaceDE w:val="0"/>
        <w:autoSpaceDN w:val="0"/>
        <w:adjustRightInd w:val="0"/>
        <w:spacing w:line="276" w:lineRule="auto"/>
        <w:ind w:firstLine="4435" w:firstLineChars="1848"/>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供应商：             （公章）</w:t>
      </w:r>
    </w:p>
    <w:p w14:paraId="45409D79">
      <w:pPr>
        <w:autoSpaceDE w:val="0"/>
        <w:autoSpaceDN w:val="0"/>
        <w:adjustRightInd w:val="0"/>
        <w:spacing w:line="276" w:lineRule="auto"/>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                     法定代表人或委托代理人：             （签字）</w:t>
      </w:r>
    </w:p>
    <w:p w14:paraId="463F74B4">
      <w:pPr>
        <w:spacing w:line="276" w:lineRule="auto"/>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                                         年   月   日</w:t>
      </w:r>
    </w:p>
    <w:p w14:paraId="267586DB">
      <w:pPr>
        <w:autoSpaceDE w:val="0"/>
        <w:autoSpaceDN w:val="0"/>
        <w:adjustRightInd w:val="0"/>
        <w:spacing w:line="276" w:lineRule="auto"/>
        <w:jc w:val="left"/>
        <w:rPr>
          <w:rFonts w:hint="eastAsia" w:ascii="宋体" w:hAnsi="宋体" w:cs="宋体"/>
          <w:color w:val="auto"/>
          <w:highlight w:val="none"/>
          <w:lang w:val="zh-CN"/>
        </w:rPr>
      </w:pPr>
      <w:r>
        <w:rPr>
          <w:rFonts w:hint="eastAsia" w:ascii="宋体" w:hAnsi="宋体" w:cs="宋体"/>
          <w:color w:val="auto"/>
          <w:sz w:val="24"/>
          <w:highlight w:val="none"/>
        </w:rPr>
        <w:br w:type="page"/>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、监狱企业证明文件（如有）、残疾人福利性单位声明函（如有）、中小企业声明函（如有）。</w:t>
      </w:r>
    </w:p>
    <w:p w14:paraId="3A7D6250">
      <w:pPr>
        <w:autoSpaceDE w:val="0"/>
        <w:autoSpaceDN w:val="0"/>
        <w:adjustRightInd w:val="0"/>
        <w:snapToGrid w:val="0"/>
        <w:spacing w:line="276"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1.监狱企业证明文件</w:t>
      </w:r>
    </w:p>
    <w:p w14:paraId="246E6F46">
      <w:pPr>
        <w:adjustRightInd w:val="0"/>
        <w:snapToGrid w:val="0"/>
        <w:spacing w:line="276" w:lineRule="auto"/>
        <w:ind w:left="1680"/>
        <w:rPr>
          <w:rFonts w:hint="eastAsia" w:ascii="宋体" w:hAnsi="宋体" w:cs="宋体"/>
          <w:color w:val="auto"/>
          <w:szCs w:val="21"/>
          <w:highlight w:val="none"/>
        </w:rPr>
      </w:pPr>
    </w:p>
    <w:p w14:paraId="2E1C4F23">
      <w:pPr>
        <w:adjustRightInd w:val="0"/>
        <w:snapToGrid w:val="0"/>
        <w:spacing w:line="276"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2.残疾人福利性单位声明函</w:t>
      </w:r>
    </w:p>
    <w:p w14:paraId="1C599201">
      <w:pPr>
        <w:adjustRightInd w:val="0"/>
        <w:snapToGrid w:val="0"/>
        <w:spacing w:line="276"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本公司郑重声明，根据《财政部 民政部 中国残疾人联合会关于促进残疾人就业政府采购政策的通知》（财库（2017）141号）的规定，本单位为符合条件的残疾人福利性单位，且本单位参加的</w:t>
      </w:r>
    </w:p>
    <w:p w14:paraId="043E4542">
      <w:pPr>
        <w:adjustRightInd w:val="0"/>
        <w:snapToGrid w:val="0"/>
        <w:spacing w:line="276"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单位的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8894512">
      <w:pPr>
        <w:adjustRightInd w:val="0"/>
        <w:snapToGrid w:val="0"/>
        <w:spacing w:line="276"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7E9439CC">
      <w:pPr>
        <w:adjustRightInd w:val="0"/>
        <w:snapToGrid w:val="0"/>
        <w:spacing w:line="276" w:lineRule="auto"/>
        <w:ind w:firstLine="480" w:firstLineChars="200"/>
        <w:jc w:val="center"/>
        <w:rPr>
          <w:rFonts w:hint="eastAsia" w:ascii="宋体" w:hAnsi="宋体" w:cs="宋体"/>
          <w:color w:val="auto"/>
          <w:sz w:val="24"/>
          <w:szCs w:val="24"/>
          <w:highlight w:val="none"/>
        </w:rPr>
      </w:pPr>
    </w:p>
    <w:p w14:paraId="6416F676">
      <w:pPr>
        <w:adjustRightInd w:val="0"/>
        <w:snapToGrid w:val="0"/>
        <w:spacing w:line="276" w:lineRule="auto"/>
        <w:ind w:firstLine="7200" w:firstLineChars="3000"/>
        <w:rPr>
          <w:rFonts w:hint="eastAsia" w:ascii="宋体" w:hAnsi="宋体" w:cs="宋体"/>
          <w:color w:val="auto"/>
          <w:sz w:val="24"/>
          <w:szCs w:val="24"/>
          <w:highlight w:val="none"/>
        </w:rPr>
      </w:pPr>
      <w:r>
        <w:rPr>
          <w:rFonts w:hint="eastAsia" w:ascii="宋体" w:hAnsi="宋体" w:cs="宋体"/>
          <w:color w:val="auto"/>
          <w:sz w:val="24"/>
          <w:szCs w:val="24"/>
          <w:highlight w:val="none"/>
        </w:rPr>
        <w:t>企业名称（公章）：</w:t>
      </w:r>
    </w:p>
    <w:p w14:paraId="327D7E4C">
      <w:pPr>
        <w:adjustRightInd w:val="0"/>
        <w:snapToGrid w:val="0"/>
        <w:spacing w:line="276"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740765DE">
      <w:pPr>
        <w:spacing w:line="276" w:lineRule="auto"/>
        <w:jc w:val="center"/>
        <w:rPr>
          <w:rFonts w:hint="eastAsia" w:ascii="宋体" w:hAnsi="宋体" w:cs="宋体"/>
          <w:b/>
          <w:color w:val="auto"/>
          <w:sz w:val="24"/>
          <w:highlight w:val="none"/>
        </w:rPr>
      </w:pPr>
    </w:p>
    <w:p w14:paraId="72F817ED">
      <w:pPr>
        <w:spacing w:line="276"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3、中</w:t>
      </w:r>
      <w:r>
        <w:rPr>
          <w:rFonts w:hint="eastAsia" w:ascii="宋体" w:hAnsi="宋体" w:cs="宋体"/>
          <w:color w:val="auto"/>
          <w:sz w:val="24"/>
          <w:szCs w:val="24"/>
          <w:highlight w:val="none"/>
        </w:rPr>
        <w:t>小企业声明函（服务）</w:t>
      </w:r>
    </w:p>
    <w:p w14:paraId="0022D137">
      <w:pPr>
        <w:widowControl/>
        <w:spacing w:line="276"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本公司郑重声明，根据《政府采购促进中小企业发展管理办法》（财库﹝2020﹞ 46 号）的规定，本公司参加</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采购活动，</w:t>
      </w:r>
      <w:r>
        <w:rPr>
          <w:rFonts w:hint="eastAsia" w:ascii="宋体" w:hAnsi="宋体" w:cs="宋体"/>
          <w:color w:val="auto"/>
          <w:kern w:val="0"/>
          <w:sz w:val="24"/>
          <w:szCs w:val="24"/>
          <w:highlight w:val="none"/>
        </w:rPr>
        <w:t>服务全部由符合政策要求的中小企业承接。</w:t>
      </w:r>
      <w:r>
        <w:rPr>
          <w:rFonts w:ascii="宋体" w:hAnsi="宋体" w:cs="宋体"/>
          <w:color w:val="auto"/>
          <w:kern w:val="0"/>
          <w:sz w:val="24"/>
          <w:szCs w:val="24"/>
          <w:highlight w:val="none"/>
        </w:rPr>
        <w:t>企业的具体情况如下：</w:t>
      </w:r>
    </w:p>
    <w:p w14:paraId="3E96F68B">
      <w:pPr>
        <w:widowControl/>
        <w:spacing w:line="276"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ascii="宋体" w:hAnsi="宋体" w:cs="宋体"/>
          <w:color w:val="auto"/>
          <w:kern w:val="0"/>
          <w:sz w:val="24"/>
          <w:szCs w:val="24"/>
          <w:highlight w:val="none"/>
          <w:u w:val="single"/>
        </w:rPr>
        <w:t>（标的名称）</w:t>
      </w:r>
      <w:r>
        <w:rPr>
          <w:rFonts w:ascii="宋体" w:hAnsi="宋体" w:cs="宋体"/>
          <w:color w:val="auto"/>
          <w:kern w:val="0"/>
          <w:sz w:val="24"/>
          <w:szCs w:val="24"/>
          <w:highlight w:val="none"/>
        </w:rPr>
        <w:t>，属于</w:t>
      </w:r>
      <w:r>
        <w:rPr>
          <w:rFonts w:ascii="宋体" w:hAnsi="宋体" w:cs="宋体"/>
          <w:color w:val="auto"/>
          <w:kern w:val="0"/>
          <w:sz w:val="24"/>
          <w:szCs w:val="24"/>
          <w:highlight w:val="none"/>
          <w:u w:val="single"/>
        </w:rPr>
        <w:t>（采购文件中明确的所属行业）行业</w:t>
      </w:r>
      <w:r>
        <w:rPr>
          <w:rFonts w:ascii="宋体" w:hAnsi="宋体" w:cs="宋体"/>
          <w:color w:val="auto"/>
          <w:kern w:val="0"/>
          <w:sz w:val="24"/>
          <w:szCs w:val="24"/>
          <w:highlight w:val="none"/>
        </w:rPr>
        <w:t>；承接企业为</w:t>
      </w:r>
      <w:r>
        <w:rPr>
          <w:rFonts w:ascii="宋体" w:hAnsi="宋体" w:cs="宋体"/>
          <w:color w:val="auto"/>
          <w:kern w:val="0"/>
          <w:sz w:val="24"/>
          <w:szCs w:val="24"/>
          <w:highlight w:val="none"/>
          <w:u w:val="single"/>
        </w:rPr>
        <w:t>（企业名称）</w:t>
      </w:r>
      <w:r>
        <w:rPr>
          <w:rFonts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人，营业收入为</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万元</w:t>
      </w: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w:t>
      </w:r>
      <w:r>
        <w:rPr>
          <w:rFonts w:ascii="宋体" w:hAnsi="宋体" w:cs="宋体"/>
          <w:color w:val="auto"/>
          <w:kern w:val="0"/>
          <w:sz w:val="24"/>
          <w:szCs w:val="24"/>
          <w:highlight w:val="none"/>
          <w:u w:val="single"/>
        </w:rPr>
        <w:t>中型企业、小型企业、微型企业</w:t>
      </w:r>
      <w:r>
        <w:rPr>
          <w:rFonts w:ascii="宋体" w:hAnsi="宋体" w:cs="宋体"/>
          <w:color w:val="auto"/>
          <w:kern w:val="0"/>
          <w:sz w:val="24"/>
          <w:szCs w:val="24"/>
          <w:highlight w:val="none"/>
        </w:rPr>
        <w:t>）；</w:t>
      </w:r>
    </w:p>
    <w:p w14:paraId="0143B5F2">
      <w:pPr>
        <w:widowControl/>
        <w:spacing w:line="276"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088425E5">
      <w:pPr>
        <w:widowControl/>
        <w:spacing w:line="276"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本企业对上述声明内容的真实性负责。如有虚假，将依法承担相应责任。</w:t>
      </w:r>
    </w:p>
    <w:p w14:paraId="7714A94E">
      <w:pPr>
        <w:widowControl/>
        <w:wordWrap w:val="0"/>
        <w:spacing w:line="276" w:lineRule="auto"/>
        <w:ind w:right="960" w:firstLine="5040" w:firstLineChars="2100"/>
        <w:rPr>
          <w:rFonts w:hint="eastAsia" w:ascii="宋体" w:hAnsi="宋体" w:cs="宋体"/>
          <w:color w:val="auto"/>
          <w:kern w:val="0"/>
          <w:sz w:val="24"/>
          <w:szCs w:val="24"/>
          <w:highlight w:val="none"/>
        </w:rPr>
      </w:pPr>
      <w:r>
        <w:rPr>
          <w:rFonts w:ascii="宋体" w:hAnsi="宋体" w:cs="宋体"/>
          <w:color w:val="auto"/>
          <w:kern w:val="0"/>
          <w:sz w:val="24"/>
          <w:szCs w:val="24"/>
          <w:highlight w:val="none"/>
        </w:rPr>
        <w:t>企业名称（盖章）：</w:t>
      </w:r>
    </w:p>
    <w:p w14:paraId="008DC337">
      <w:pPr>
        <w:widowControl/>
        <w:wordWrap w:val="0"/>
        <w:spacing w:line="276" w:lineRule="auto"/>
        <w:ind w:firstLine="480" w:firstLineChars="20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日期：</w:t>
      </w:r>
    </w:p>
    <w:p w14:paraId="27A24A74">
      <w:pPr>
        <w:spacing w:line="276"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vertAlign w:val="superscript"/>
        </w:rPr>
        <w:t>1</w:t>
      </w:r>
      <w:r>
        <w:rPr>
          <w:rFonts w:ascii="宋体" w:hAnsi="宋体" w:cs="宋体"/>
          <w:color w:val="auto"/>
          <w:kern w:val="0"/>
          <w:sz w:val="24"/>
          <w:szCs w:val="24"/>
          <w:highlight w:val="none"/>
        </w:rPr>
        <w:t>从业人员、营业收入、资产总额填报上一年度数据，无上一年度数据的新成立企业可不填报。</w:t>
      </w:r>
    </w:p>
    <w:p w14:paraId="09BB5C19">
      <w:pPr>
        <w:autoSpaceDE w:val="0"/>
        <w:autoSpaceDN w:val="0"/>
        <w:adjustRightInd w:val="0"/>
        <w:spacing w:line="276" w:lineRule="auto"/>
        <w:jc w:val="center"/>
        <w:rPr>
          <w:rFonts w:hint="eastAsia" w:ascii="宋体" w:hAnsi="宋体" w:cs="宋体"/>
          <w:b/>
          <w:color w:val="auto"/>
          <w:sz w:val="32"/>
          <w:szCs w:val="32"/>
          <w:highlight w:val="none"/>
        </w:rPr>
      </w:pPr>
    </w:p>
    <w:p w14:paraId="5962722A">
      <w:pPr>
        <w:pStyle w:val="27"/>
        <w:spacing w:line="276" w:lineRule="auto"/>
        <w:rPr>
          <w:rFonts w:hint="eastAsia" w:ascii="宋体" w:hAnsi="宋体" w:cs="宋体"/>
          <w:color w:val="auto"/>
          <w:highlight w:val="none"/>
        </w:rPr>
      </w:pPr>
    </w:p>
    <w:p w14:paraId="57C60965">
      <w:pPr>
        <w:widowControl/>
        <w:wordWrap w:val="0"/>
        <w:spacing w:line="276" w:lineRule="auto"/>
        <w:ind w:right="960" w:firstLine="0" w:firstLineChars="0"/>
        <w:jc w:val="both"/>
        <w:rPr>
          <w:rFonts w:hint="default" w:ascii="宋体" w:hAnsi="宋体" w:cs="宋体"/>
          <w:b w:val="0"/>
          <w:color w:val="auto"/>
          <w:kern w:val="0"/>
          <w:sz w:val="24"/>
          <w:szCs w:val="24"/>
          <w:highlight w:val="none"/>
          <w:lang w:val="en-US" w:eastAsia="zh-CN"/>
        </w:rPr>
      </w:pPr>
      <w:r>
        <w:rPr>
          <w:rFonts w:hint="default" w:ascii="宋体" w:hAnsi="宋体" w:cs="宋体"/>
          <w:b w:val="0"/>
          <w:color w:val="auto"/>
          <w:kern w:val="0"/>
          <w:sz w:val="24"/>
          <w:szCs w:val="24"/>
          <w:highlight w:val="none"/>
          <w:lang w:val="en-US" w:eastAsia="zh-CN"/>
        </w:rPr>
        <w:t>13技术方案：</w:t>
      </w:r>
    </w:p>
    <w:p w14:paraId="71923F9F">
      <w:pPr>
        <w:widowControl/>
        <w:wordWrap w:val="0"/>
        <w:spacing w:line="276" w:lineRule="auto"/>
        <w:ind w:right="960" w:firstLine="0" w:firstLineChars="0"/>
        <w:rPr>
          <w:rFonts w:hint="eastAsia" w:ascii="宋体" w:hAnsi="宋体" w:cs="宋体"/>
          <w:b w:val="0"/>
          <w:color w:val="auto"/>
          <w:kern w:val="0"/>
          <w:sz w:val="24"/>
          <w:szCs w:val="24"/>
          <w:highlight w:val="none"/>
          <w:lang w:val="en-US" w:eastAsia="zh-CN"/>
        </w:rPr>
      </w:pPr>
      <w:r>
        <w:rPr>
          <w:rFonts w:hint="default" w:ascii="宋体" w:hAnsi="宋体" w:cs="宋体"/>
          <w:b w:val="0"/>
          <w:color w:val="auto"/>
          <w:kern w:val="0"/>
          <w:sz w:val="24"/>
          <w:szCs w:val="24"/>
          <w:highlight w:val="none"/>
          <w:lang w:val="en-US" w:eastAsia="zh-CN"/>
        </w:rPr>
        <w:t>包括但不限于</w:t>
      </w:r>
      <w:r>
        <w:rPr>
          <w:rFonts w:hint="eastAsia" w:ascii="宋体" w:hAnsi="宋体" w:cs="宋体"/>
          <w:b w:val="0"/>
          <w:color w:val="auto"/>
          <w:kern w:val="0"/>
          <w:sz w:val="24"/>
          <w:szCs w:val="24"/>
          <w:highlight w:val="none"/>
          <w:lang w:val="en-US" w:eastAsia="zh-CN"/>
        </w:rPr>
        <w:t>：</w:t>
      </w:r>
    </w:p>
    <w:p w14:paraId="5034C6EB">
      <w:pPr>
        <w:widowControl/>
        <w:wordWrap w:val="0"/>
        <w:spacing w:line="276" w:lineRule="auto"/>
        <w:ind w:right="960" w:firstLine="0" w:firstLineChars="0"/>
        <w:rPr>
          <w:rFonts w:hint="default" w:ascii="宋体" w:hAnsi="宋体" w:cs="宋体"/>
          <w:b w:val="0"/>
          <w:color w:val="auto"/>
          <w:kern w:val="0"/>
          <w:sz w:val="24"/>
          <w:szCs w:val="24"/>
          <w:highlight w:val="none"/>
          <w:lang w:val="en-US" w:eastAsia="zh-CN"/>
        </w:rPr>
      </w:pPr>
    </w:p>
    <w:p w14:paraId="4FF59499">
      <w:pPr>
        <w:widowControl/>
        <w:numPr>
          <w:ilvl w:val="0"/>
          <w:numId w:val="31"/>
        </w:numPr>
        <w:wordWrap w:val="0"/>
        <w:spacing w:line="276" w:lineRule="auto"/>
        <w:ind w:right="960" w:firstLine="40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渗透测试服务方案</w:t>
      </w:r>
    </w:p>
    <w:p w14:paraId="53C2E391">
      <w:pPr>
        <w:widowControl/>
        <w:numPr>
          <w:ilvl w:val="0"/>
          <w:numId w:val="31"/>
        </w:numPr>
        <w:wordWrap w:val="0"/>
        <w:spacing w:line="276" w:lineRule="auto"/>
        <w:ind w:right="960" w:firstLine="40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网络安全等级保护方案</w:t>
      </w:r>
    </w:p>
    <w:p w14:paraId="79DC8257">
      <w:pPr>
        <w:widowControl/>
        <w:numPr>
          <w:ilvl w:val="0"/>
          <w:numId w:val="31"/>
        </w:numPr>
        <w:wordWrap w:val="0"/>
        <w:spacing w:line="276" w:lineRule="auto"/>
        <w:ind w:right="960" w:firstLine="40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安全服务工具先进性说明</w:t>
      </w:r>
    </w:p>
    <w:p w14:paraId="072C1D1C">
      <w:pPr>
        <w:widowControl/>
        <w:numPr>
          <w:ilvl w:val="0"/>
          <w:numId w:val="31"/>
        </w:numPr>
        <w:wordWrap w:val="0"/>
        <w:spacing w:line="276" w:lineRule="auto"/>
        <w:ind w:right="960" w:firstLine="40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培训方案</w:t>
      </w:r>
    </w:p>
    <w:p w14:paraId="4D651BBB">
      <w:pPr>
        <w:widowControl/>
        <w:numPr>
          <w:ilvl w:val="0"/>
          <w:numId w:val="31"/>
        </w:numPr>
        <w:wordWrap w:val="0"/>
        <w:spacing w:line="276" w:lineRule="auto"/>
        <w:ind w:right="960" w:firstLine="40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应急保障方案</w:t>
      </w:r>
    </w:p>
    <w:p w14:paraId="527F545D">
      <w:pPr>
        <w:widowControl/>
        <w:numPr>
          <w:ilvl w:val="0"/>
          <w:numId w:val="31"/>
        </w:numPr>
        <w:wordWrap w:val="0"/>
        <w:spacing w:line="276" w:lineRule="auto"/>
        <w:ind w:right="960" w:firstLine="400" w:firstLineChars="0"/>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售后服务承诺</w:t>
      </w:r>
    </w:p>
    <w:p w14:paraId="36B634EC">
      <w:pPr>
        <w:pageBreakBefore/>
        <w:spacing w:line="276"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附表：退磋商响应保证金的函 </w:t>
      </w:r>
    </w:p>
    <w:p w14:paraId="70906AE7">
      <w:pPr>
        <w:spacing w:line="276" w:lineRule="auto"/>
        <w:rPr>
          <w:rFonts w:hint="eastAsia" w:ascii="宋体" w:hAnsi="宋体" w:cs="宋体"/>
          <w:color w:val="auto"/>
          <w:sz w:val="28"/>
          <w:szCs w:val="28"/>
          <w:highlight w:val="none"/>
        </w:rPr>
      </w:pPr>
    </w:p>
    <w:p w14:paraId="35D156DD">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招标一部（收）：</w:t>
      </w:r>
    </w:p>
    <w:p w14:paraId="01595E2C">
      <w:pPr>
        <w:spacing w:line="276" w:lineRule="auto"/>
        <w:rPr>
          <w:rFonts w:hint="eastAsia" w:ascii="宋体" w:hAnsi="宋体" w:cs="宋体"/>
          <w:color w:val="auto"/>
          <w:sz w:val="24"/>
          <w:szCs w:val="24"/>
          <w:highlight w:val="none"/>
        </w:rPr>
      </w:pPr>
    </w:p>
    <w:p w14:paraId="5FA67F6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公司名称：                                            </w:t>
      </w:r>
    </w:p>
    <w:p w14:paraId="3045BC7B">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开户行名称：                                          </w:t>
      </w:r>
    </w:p>
    <w:p w14:paraId="24C8EFF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账号（基本账户）：                                     </w:t>
      </w:r>
    </w:p>
    <w:p w14:paraId="7A44176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税      号：                                          </w:t>
      </w:r>
    </w:p>
    <w:p w14:paraId="3AA84E4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联系人姓名：                                          </w:t>
      </w:r>
    </w:p>
    <w:p w14:paraId="1898F62C">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联系电话：                                            </w:t>
      </w:r>
    </w:p>
    <w:p w14:paraId="01178AFF">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p w14:paraId="5BFCA553">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磋商项目编号：                                        </w:t>
      </w:r>
    </w:p>
    <w:p w14:paraId="258A630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磋商响应保证金的形式：              </w:t>
      </w:r>
    </w:p>
    <w:p w14:paraId="42154CB2">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磋商响应保证金的金额：                                          </w:t>
      </w:r>
    </w:p>
    <w:p w14:paraId="3537168A">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（注：如果是个人姓名的汇款，请附汇款人的身份证复印件）</w:t>
      </w:r>
    </w:p>
    <w:p w14:paraId="23393486">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6949172">
      <w:pPr>
        <w:spacing w:line="276"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备注：成交结果公示期满后，请将以上退款信息</w:t>
      </w:r>
    </w:p>
    <w:p w14:paraId="6598AA7F">
      <w:pPr>
        <w:spacing w:line="276" w:lineRule="auto"/>
        <w:rPr>
          <w:rFonts w:hint="eastAsia" w:ascii="宋体" w:hAnsi="宋体" w:cs="宋体"/>
          <w:color w:val="auto"/>
          <w:sz w:val="22"/>
          <w:szCs w:val="18"/>
          <w:highlight w:val="none"/>
        </w:rPr>
      </w:pPr>
      <w:r>
        <w:rPr>
          <w:rFonts w:hint="eastAsia" w:ascii="宋体" w:hAnsi="宋体" w:cs="宋体"/>
          <w:color w:val="auto"/>
          <w:sz w:val="24"/>
          <w:szCs w:val="24"/>
          <w:highlight w:val="none"/>
        </w:rPr>
        <w:t>加盖公章邮件至新疆招标有限公司，邮箱：</w:t>
      </w:r>
      <w:r>
        <w:rPr>
          <w:rFonts w:hint="eastAsia" w:ascii="宋体" w:hAnsi="宋体" w:cs="宋体"/>
          <w:color w:val="auto"/>
          <w:sz w:val="24"/>
          <w:szCs w:val="24"/>
          <w:highlight w:val="none"/>
          <w:lang w:eastAsia="zh-CN"/>
        </w:rPr>
        <w:t>1459486195</w:t>
      </w:r>
      <w:r>
        <w:rPr>
          <w:rFonts w:hint="eastAsia" w:ascii="宋体" w:hAnsi="宋体" w:cs="宋体"/>
          <w:color w:val="auto"/>
          <w:sz w:val="24"/>
          <w:szCs w:val="24"/>
          <w:highlight w:val="none"/>
        </w:rPr>
        <w:t>@qq.com，我公司收到退款信息后，在3～5个工作日内，将磋商响应保证金余额电汇至磋商单位的基本账户，附开户许可证。</w:t>
      </w:r>
    </w:p>
    <w:sectPr>
      <w:headerReference r:id="rId7" w:type="default"/>
      <w:pgSz w:w="11907" w:h="16840"/>
      <w:pgMar w:top="1440" w:right="1080" w:bottom="1440" w:left="1080" w:header="851" w:footer="6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3C6D">
    <w:pPr>
      <w:pStyle w:val="26"/>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3FCBA">
                          <w:pPr>
                            <w:pStyle w:val="26"/>
                            <w:rPr>
                              <w:rStyle w:val="42"/>
                            </w:rPr>
                          </w:pPr>
                          <w:r>
                            <w:fldChar w:fldCharType="begin"/>
                          </w:r>
                          <w:r>
                            <w:rPr>
                              <w:rStyle w:val="42"/>
                            </w:rPr>
                            <w:instrText xml:space="preserve">PAGE  </w:instrText>
                          </w:r>
                          <w:r>
                            <w:fldChar w:fldCharType="separate"/>
                          </w:r>
                          <w:r>
                            <w:rPr>
                              <w:rStyle w:val="42"/>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93FCBA">
                    <w:pPr>
                      <w:pStyle w:val="26"/>
                      <w:rPr>
                        <w:rStyle w:val="42"/>
                      </w:rPr>
                    </w:pPr>
                    <w:r>
                      <w:fldChar w:fldCharType="begin"/>
                    </w:r>
                    <w:r>
                      <w:rPr>
                        <w:rStyle w:val="42"/>
                      </w:rPr>
                      <w:instrText xml:space="preserve">PAGE  </w:instrText>
                    </w:r>
                    <w:r>
                      <w:fldChar w:fldCharType="separate"/>
                    </w:r>
                    <w:r>
                      <w:rPr>
                        <w:rStyle w:val="42"/>
                      </w:rPr>
                      <w:t>10</w:t>
                    </w:r>
                    <w:r>
                      <w:fldChar w:fldCharType="end"/>
                    </w:r>
                  </w:p>
                </w:txbxContent>
              </v:textbox>
            </v:shape>
          </w:pict>
        </mc:Fallback>
      </mc:AlternateContent>
    </w:r>
    <w:r>
      <w:rPr>
        <w:lang w:val="zh-CN"/>
      </w:rPr>
      <w:t xml:space="preserve">  </w:t>
    </w:r>
  </w:p>
  <w:p w14:paraId="7EC49FEE">
    <w:pPr>
      <w:pStyle w:val="26"/>
    </w:pPr>
  </w:p>
  <w:p w14:paraId="485E59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728A">
    <w:pPr>
      <w:pStyle w:val="26"/>
      <w:framePr w:wrap="around" w:vAnchor="text" w:hAnchor="margin" w:xAlign="right" w:y="1"/>
      <w:rPr>
        <w:rStyle w:val="42"/>
      </w:rPr>
    </w:pPr>
    <w:r>
      <w:fldChar w:fldCharType="begin"/>
    </w:r>
    <w:r>
      <w:rPr>
        <w:rStyle w:val="42"/>
      </w:rPr>
      <w:instrText xml:space="preserve">PAGE  </w:instrText>
    </w:r>
    <w:r>
      <w:fldChar w:fldCharType="end"/>
    </w:r>
  </w:p>
  <w:p w14:paraId="46FA2AD3">
    <w:pPr>
      <w:pStyle w:val="26"/>
      <w:ind w:right="360"/>
    </w:pPr>
  </w:p>
  <w:p w14:paraId="6598AD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E401">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9A74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29A74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0E1E">
    <w:pPr>
      <w:pStyle w:val="27"/>
    </w:pPr>
    <w:r>
      <w:rPr>
        <w:rFonts w:hint="eastAsia"/>
        <w:b/>
      </w:rPr>
      <w:t xml:space="preserve">磋商文件   　　　　　　                  　　　　　　　　　　　　　　　新疆招标有限公司                                      </w:t>
    </w:r>
  </w:p>
  <w:p w14:paraId="158807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08CA">
    <w:pPr>
      <w:pStyle w:val="27"/>
      <w:rPr>
        <w:sz w:val="21"/>
      </w:rPr>
    </w:pPr>
    <w:r>
      <w:rPr>
        <w:rFonts w:hint="eastAsia"/>
        <w:sz w:val="21"/>
      </w:rPr>
      <w:t xml:space="preserve">磋商文件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6EFFA"/>
    <w:multiLevelType w:val="singleLevel"/>
    <w:tmpl w:val="86D6EFFA"/>
    <w:lvl w:ilvl="0" w:tentative="0">
      <w:start w:val="1"/>
      <w:numFmt w:val="chineseCounting"/>
      <w:lvlText w:val="第%1条"/>
      <w:lvlJc w:val="left"/>
      <w:pPr>
        <w:tabs>
          <w:tab w:val="left" w:pos="210"/>
        </w:tabs>
        <w:ind w:left="0" w:firstLine="480"/>
      </w:pPr>
      <w:rPr>
        <w:rFonts w:hint="eastAsia"/>
      </w:rPr>
    </w:lvl>
  </w:abstractNum>
  <w:abstractNum w:abstractNumId="1">
    <w:nsid w:val="9A193B81"/>
    <w:multiLevelType w:val="singleLevel"/>
    <w:tmpl w:val="9A193B81"/>
    <w:lvl w:ilvl="0" w:tentative="0">
      <w:start w:val="1"/>
      <w:numFmt w:val="chineseCounting"/>
      <w:suff w:val="nothing"/>
      <w:lvlText w:val="%1、"/>
      <w:lvlJc w:val="left"/>
      <w:pPr>
        <w:ind w:left="0" w:firstLine="0"/>
      </w:pPr>
      <w:rPr>
        <w:rFonts w:hint="eastAsia"/>
      </w:rPr>
    </w:lvl>
  </w:abstractNum>
  <w:abstractNum w:abstractNumId="2">
    <w:nsid w:val="9CD0F72C"/>
    <w:multiLevelType w:val="singleLevel"/>
    <w:tmpl w:val="9CD0F72C"/>
    <w:lvl w:ilvl="0" w:tentative="0">
      <w:start w:val="1"/>
      <w:numFmt w:val="decimal"/>
      <w:lvlText w:val="%1."/>
      <w:lvlJc w:val="left"/>
      <w:pPr>
        <w:tabs>
          <w:tab w:val="left" w:pos="210"/>
        </w:tabs>
        <w:ind w:left="0" w:firstLine="480"/>
      </w:pPr>
      <w:rPr>
        <w:rFonts w:hint="default"/>
      </w:rPr>
    </w:lvl>
  </w:abstractNum>
  <w:abstractNum w:abstractNumId="3">
    <w:nsid w:val="9F5A32CB"/>
    <w:multiLevelType w:val="singleLevel"/>
    <w:tmpl w:val="9F5A32CB"/>
    <w:lvl w:ilvl="0" w:tentative="0">
      <w:start w:val="1"/>
      <w:numFmt w:val="decimal"/>
      <w:suff w:val="nothing"/>
      <w:lvlText w:val="（%1）"/>
      <w:lvlJc w:val="left"/>
      <w:pPr>
        <w:ind w:left="0" w:firstLine="480"/>
      </w:pPr>
      <w:rPr>
        <w:rFonts w:hint="default"/>
      </w:rPr>
    </w:lvl>
  </w:abstractNum>
  <w:abstractNum w:abstractNumId="4">
    <w:nsid w:val="BD23C7FA"/>
    <w:multiLevelType w:val="singleLevel"/>
    <w:tmpl w:val="BD23C7FA"/>
    <w:lvl w:ilvl="0" w:tentative="0">
      <w:start w:val="1"/>
      <w:numFmt w:val="decimal"/>
      <w:lvlText w:val="%1."/>
      <w:lvlJc w:val="left"/>
      <w:pPr>
        <w:tabs>
          <w:tab w:val="left" w:pos="210"/>
        </w:tabs>
        <w:ind w:left="0" w:firstLine="480"/>
      </w:pPr>
      <w:rPr>
        <w:rFonts w:hint="default"/>
      </w:rPr>
    </w:lvl>
  </w:abstractNum>
  <w:abstractNum w:abstractNumId="5">
    <w:nsid w:val="C5A72090"/>
    <w:multiLevelType w:val="singleLevel"/>
    <w:tmpl w:val="C5A72090"/>
    <w:lvl w:ilvl="0" w:tentative="0">
      <w:start w:val="1"/>
      <w:numFmt w:val="decimal"/>
      <w:suff w:val="nothing"/>
      <w:lvlText w:val="%1、"/>
      <w:lvlJc w:val="left"/>
    </w:lvl>
  </w:abstractNum>
  <w:abstractNum w:abstractNumId="6">
    <w:nsid w:val="C9CFFABC"/>
    <w:multiLevelType w:val="singleLevel"/>
    <w:tmpl w:val="C9CFFABC"/>
    <w:lvl w:ilvl="0" w:tentative="0">
      <w:start w:val="1"/>
      <w:numFmt w:val="decimalEnclosedCircleChinese"/>
      <w:suff w:val="nothing"/>
      <w:lvlText w:val="%1　"/>
      <w:lvlJc w:val="left"/>
      <w:pPr>
        <w:ind w:left="0" w:firstLine="400"/>
      </w:pPr>
      <w:rPr>
        <w:rFonts w:hint="eastAsia"/>
      </w:rPr>
    </w:lvl>
  </w:abstractNum>
  <w:abstractNum w:abstractNumId="7">
    <w:nsid w:val="CDF4C256"/>
    <w:multiLevelType w:val="singleLevel"/>
    <w:tmpl w:val="CDF4C256"/>
    <w:lvl w:ilvl="0" w:tentative="0">
      <w:start w:val="1"/>
      <w:numFmt w:val="decimal"/>
      <w:lvlText w:val="%1."/>
      <w:lvlJc w:val="left"/>
      <w:pPr>
        <w:tabs>
          <w:tab w:val="left" w:pos="210"/>
        </w:tabs>
        <w:ind w:left="0" w:firstLine="480"/>
      </w:pPr>
      <w:rPr>
        <w:rFonts w:hint="default"/>
      </w:rPr>
    </w:lvl>
  </w:abstractNum>
  <w:abstractNum w:abstractNumId="8">
    <w:nsid w:val="D6D377A7"/>
    <w:multiLevelType w:val="singleLevel"/>
    <w:tmpl w:val="D6D377A7"/>
    <w:lvl w:ilvl="0" w:tentative="0">
      <w:start w:val="1"/>
      <w:numFmt w:val="decimal"/>
      <w:lvlText w:val="%1."/>
      <w:lvlJc w:val="left"/>
      <w:pPr>
        <w:tabs>
          <w:tab w:val="left" w:pos="210"/>
        </w:tabs>
        <w:ind w:left="0" w:firstLine="480"/>
      </w:pPr>
      <w:rPr>
        <w:rFonts w:hint="default"/>
      </w:rPr>
    </w:lvl>
  </w:abstractNum>
  <w:abstractNum w:abstractNumId="9">
    <w:nsid w:val="DDCE796D"/>
    <w:multiLevelType w:val="multilevel"/>
    <w:tmpl w:val="DDCE796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E7FAE14F"/>
    <w:multiLevelType w:val="singleLevel"/>
    <w:tmpl w:val="E7FAE14F"/>
    <w:lvl w:ilvl="0" w:tentative="0">
      <w:start w:val="2"/>
      <w:numFmt w:val="chineseCounting"/>
      <w:suff w:val="nothing"/>
      <w:lvlText w:val="（%1）"/>
      <w:lvlJc w:val="left"/>
      <w:rPr>
        <w:rFonts w:hint="eastAsia"/>
      </w:rPr>
    </w:lvl>
  </w:abstractNum>
  <w:abstractNum w:abstractNumId="11">
    <w:nsid w:val="04AAFE75"/>
    <w:multiLevelType w:val="singleLevel"/>
    <w:tmpl w:val="04AAFE75"/>
    <w:lvl w:ilvl="0" w:tentative="0">
      <w:start w:val="1"/>
      <w:numFmt w:val="decimal"/>
      <w:suff w:val="space"/>
      <w:lvlText w:val="%1."/>
      <w:lvlJc w:val="left"/>
    </w:lvl>
  </w:abstractNum>
  <w:abstractNum w:abstractNumId="12">
    <w:nsid w:val="0682AC8B"/>
    <w:multiLevelType w:val="singleLevel"/>
    <w:tmpl w:val="0682AC8B"/>
    <w:lvl w:ilvl="0" w:tentative="0">
      <w:start w:val="1"/>
      <w:numFmt w:val="decimal"/>
      <w:lvlText w:val="%1."/>
      <w:lvlJc w:val="left"/>
      <w:pPr>
        <w:tabs>
          <w:tab w:val="left" w:pos="210"/>
        </w:tabs>
        <w:ind w:left="0" w:firstLine="480"/>
      </w:pPr>
      <w:rPr>
        <w:rFonts w:hint="default"/>
      </w:rPr>
    </w:lvl>
  </w:abstractNum>
  <w:abstractNum w:abstractNumId="13">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14">
    <w:nsid w:val="157561C5"/>
    <w:multiLevelType w:val="multilevel"/>
    <w:tmpl w:val="157561C5"/>
    <w:lvl w:ilvl="0" w:tentative="0">
      <w:start w:val="1"/>
      <w:numFmt w:val="bullet"/>
      <w:pStyle w:val="72"/>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1D2F48D5"/>
    <w:multiLevelType w:val="multilevel"/>
    <w:tmpl w:val="1D2F48D5"/>
    <w:lvl w:ilvl="0" w:tentative="0">
      <w:start w:val="1"/>
      <w:numFmt w:val="decimal"/>
      <w:pStyle w:val="94"/>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E52A60F"/>
    <w:multiLevelType w:val="singleLevel"/>
    <w:tmpl w:val="1E52A60F"/>
    <w:lvl w:ilvl="0" w:tentative="0">
      <w:start w:val="1"/>
      <w:numFmt w:val="decimalEnclosedCircleChinese"/>
      <w:suff w:val="nothing"/>
      <w:lvlText w:val="%1　"/>
      <w:lvlJc w:val="left"/>
      <w:pPr>
        <w:ind w:left="0" w:firstLine="400"/>
      </w:pPr>
      <w:rPr>
        <w:rFonts w:hint="eastAsia"/>
      </w:rPr>
    </w:lvl>
  </w:abstractNum>
  <w:abstractNum w:abstractNumId="17">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843A8CD"/>
    <w:multiLevelType w:val="singleLevel"/>
    <w:tmpl w:val="4843A8CD"/>
    <w:lvl w:ilvl="0" w:tentative="0">
      <w:start w:val="1"/>
      <w:numFmt w:val="decimal"/>
      <w:lvlText w:val="%1."/>
      <w:lvlJc w:val="left"/>
      <w:pPr>
        <w:tabs>
          <w:tab w:val="left" w:pos="210"/>
        </w:tabs>
        <w:ind w:left="0" w:firstLine="480"/>
      </w:pPr>
      <w:rPr>
        <w:rFonts w:hint="default"/>
      </w:rPr>
    </w:lvl>
  </w:abstractNum>
  <w:abstractNum w:abstractNumId="20">
    <w:nsid w:val="49C6B732"/>
    <w:multiLevelType w:val="singleLevel"/>
    <w:tmpl w:val="49C6B732"/>
    <w:lvl w:ilvl="0" w:tentative="0">
      <w:start w:val="1"/>
      <w:numFmt w:val="chineseCounting"/>
      <w:pStyle w:val="131"/>
      <w:lvlText w:val="第%1章"/>
      <w:lvlJc w:val="left"/>
      <w:pPr>
        <w:tabs>
          <w:tab w:val="left" w:pos="210"/>
        </w:tabs>
        <w:ind w:left="-640" w:firstLine="0"/>
      </w:pPr>
      <w:rPr>
        <w:rFonts w:hint="eastAsia"/>
        <w:b/>
        <w:bCs/>
      </w:rPr>
    </w:lvl>
  </w:abstractNum>
  <w:abstractNum w:abstractNumId="21">
    <w:nsid w:val="55612CAB"/>
    <w:multiLevelType w:val="singleLevel"/>
    <w:tmpl w:val="55612CAB"/>
    <w:lvl w:ilvl="0" w:tentative="0">
      <w:start w:val="1"/>
      <w:numFmt w:val="lowerLetter"/>
      <w:lvlText w:val="%1."/>
      <w:lvlJc w:val="left"/>
      <w:pPr>
        <w:tabs>
          <w:tab w:val="left" w:pos="210"/>
        </w:tabs>
        <w:ind w:left="0" w:firstLine="480"/>
      </w:pPr>
      <w:rPr>
        <w:rFonts w:hint="default"/>
      </w:rPr>
    </w:lvl>
  </w:abstractNum>
  <w:abstractNum w:abstractNumId="22">
    <w:nsid w:val="586EFAB4"/>
    <w:multiLevelType w:val="singleLevel"/>
    <w:tmpl w:val="586EFAB4"/>
    <w:lvl w:ilvl="0" w:tentative="0">
      <w:start w:val="1"/>
      <w:numFmt w:val="decimal"/>
      <w:lvlText w:val="%1."/>
      <w:lvlJc w:val="left"/>
      <w:pPr>
        <w:tabs>
          <w:tab w:val="left" w:pos="210"/>
        </w:tabs>
        <w:ind w:left="0" w:firstLine="480"/>
      </w:pPr>
      <w:rPr>
        <w:rFonts w:hint="default"/>
      </w:rPr>
    </w:lvl>
  </w:abstractNum>
  <w:abstractNum w:abstractNumId="23">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24">
    <w:nsid w:val="63EAAB11"/>
    <w:multiLevelType w:val="singleLevel"/>
    <w:tmpl w:val="63EAAB11"/>
    <w:lvl w:ilvl="0" w:tentative="0">
      <w:start w:val="1"/>
      <w:numFmt w:val="decimal"/>
      <w:lvlText w:val="%1."/>
      <w:lvlJc w:val="left"/>
      <w:pPr>
        <w:tabs>
          <w:tab w:val="left" w:pos="210"/>
        </w:tabs>
        <w:ind w:left="0" w:firstLine="480"/>
      </w:pPr>
      <w:rPr>
        <w:rFonts w:hint="default"/>
      </w:rPr>
    </w:lvl>
  </w:abstractNum>
  <w:abstractNum w:abstractNumId="25">
    <w:nsid w:val="6744AA2F"/>
    <w:multiLevelType w:val="singleLevel"/>
    <w:tmpl w:val="6744AA2F"/>
    <w:lvl w:ilvl="0" w:tentative="0">
      <w:start w:val="1"/>
      <w:numFmt w:val="decimal"/>
      <w:lvlText w:val="%1."/>
      <w:lvlJc w:val="left"/>
      <w:pPr>
        <w:tabs>
          <w:tab w:val="left" w:pos="210"/>
        </w:tabs>
        <w:ind w:left="0" w:firstLine="480"/>
      </w:pPr>
      <w:rPr>
        <w:rFonts w:hint="default"/>
      </w:rPr>
    </w:lvl>
  </w:abstractNum>
  <w:abstractNum w:abstractNumId="26">
    <w:nsid w:val="6CBE045D"/>
    <w:multiLevelType w:val="singleLevel"/>
    <w:tmpl w:val="6CBE045D"/>
    <w:lvl w:ilvl="0" w:tentative="0">
      <w:start w:val="1"/>
      <w:numFmt w:val="decimal"/>
      <w:suff w:val="nothing"/>
      <w:lvlText w:val="%1．"/>
      <w:lvlJc w:val="left"/>
      <w:pPr>
        <w:ind w:left="0" w:firstLine="480"/>
      </w:pPr>
      <w:rPr>
        <w:rFonts w:hint="default"/>
      </w:rPr>
    </w:lvl>
  </w:abstractNum>
  <w:abstractNum w:abstractNumId="27">
    <w:nsid w:val="6E760602"/>
    <w:multiLevelType w:val="multilevel"/>
    <w:tmpl w:val="6E760602"/>
    <w:lvl w:ilvl="0" w:tentative="0">
      <w:start w:val="1"/>
      <w:numFmt w:val="bullet"/>
      <w:pStyle w:val="12"/>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F9A0521"/>
    <w:multiLevelType w:val="singleLevel"/>
    <w:tmpl w:val="6F9A0521"/>
    <w:lvl w:ilvl="0" w:tentative="0">
      <w:start w:val="1"/>
      <w:numFmt w:val="decimal"/>
      <w:lvlText w:val="%1."/>
      <w:lvlJc w:val="left"/>
      <w:pPr>
        <w:tabs>
          <w:tab w:val="left" w:pos="210"/>
        </w:tabs>
        <w:ind w:left="0" w:firstLine="480"/>
      </w:pPr>
      <w:rPr>
        <w:rFonts w:hint="default"/>
      </w:rPr>
    </w:lvl>
  </w:abstractNum>
  <w:abstractNum w:abstractNumId="29">
    <w:nsid w:val="7A612D68"/>
    <w:multiLevelType w:val="multilevel"/>
    <w:tmpl w:val="7A612D68"/>
    <w:lvl w:ilvl="0" w:tentative="0">
      <w:start w:val="1"/>
      <w:numFmt w:val="decimal"/>
      <w:pStyle w:val="4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BA16C35"/>
    <w:multiLevelType w:val="singleLevel"/>
    <w:tmpl w:val="7BA16C35"/>
    <w:lvl w:ilvl="0" w:tentative="0">
      <w:start w:val="1"/>
      <w:numFmt w:val="decimalEnclosedCircleChinese"/>
      <w:suff w:val="nothing"/>
      <w:lvlText w:val="%1　"/>
      <w:lvlJc w:val="left"/>
      <w:pPr>
        <w:ind w:left="0" w:firstLine="400"/>
      </w:pPr>
      <w:rPr>
        <w:rFonts w:hint="eastAsia"/>
      </w:rPr>
    </w:lvl>
  </w:abstractNum>
  <w:num w:numId="1">
    <w:abstractNumId w:val="27"/>
  </w:num>
  <w:num w:numId="2">
    <w:abstractNumId w:val="29"/>
  </w:num>
  <w:num w:numId="3">
    <w:abstractNumId w:val="14"/>
  </w:num>
  <w:num w:numId="4">
    <w:abstractNumId w:val="15"/>
  </w:num>
  <w:num w:numId="5">
    <w:abstractNumId w:val="20"/>
  </w:num>
  <w:num w:numId="6">
    <w:abstractNumId w:val="18"/>
  </w:num>
  <w:num w:numId="7">
    <w:abstractNumId w:val="5"/>
  </w:num>
  <w:num w:numId="8">
    <w:abstractNumId w:val="17"/>
  </w:num>
  <w:num w:numId="9">
    <w:abstractNumId w:val="13"/>
  </w:num>
  <w:num w:numId="10">
    <w:abstractNumId w:val="23"/>
  </w:num>
  <w:num w:numId="11">
    <w:abstractNumId w:val="1"/>
  </w:num>
  <w:num w:numId="12">
    <w:abstractNumId w:val="30"/>
  </w:num>
  <w:num w:numId="13">
    <w:abstractNumId w:val="16"/>
  </w:num>
  <w:num w:numId="14">
    <w:abstractNumId w:val="6"/>
  </w:num>
  <w:num w:numId="15">
    <w:abstractNumId w:val="0"/>
  </w:num>
  <w:num w:numId="16">
    <w:abstractNumId w:val="7"/>
  </w:num>
  <w:num w:numId="17">
    <w:abstractNumId w:val="10"/>
  </w:num>
  <w:num w:numId="18">
    <w:abstractNumId w:val="11"/>
  </w:num>
  <w:num w:numId="19">
    <w:abstractNumId w:val="22"/>
  </w:num>
  <w:num w:numId="20">
    <w:abstractNumId w:val="4"/>
  </w:num>
  <w:num w:numId="21">
    <w:abstractNumId w:val="3"/>
  </w:num>
  <w:num w:numId="22">
    <w:abstractNumId w:val="24"/>
  </w:num>
  <w:num w:numId="23">
    <w:abstractNumId w:val="26"/>
  </w:num>
  <w:num w:numId="24">
    <w:abstractNumId w:val="8"/>
  </w:num>
  <w:num w:numId="25">
    <w:abstractNumId w:val="12"/>
  </w:num>
  <w:num w:numId="26">
    <w:abstractNumId w:val="2"/>
  </w:num>
  <w:num w:numId="27">
    <w:abstractNumId w:val="21"/>
  </w:num>
  <w:num w:numId="28">
    <w:abstractNumId w:val="28"/>
  </w:num>
  <w:num w:numId="29">
    <w:abstractNumId w:val="25"/>
  </w:num>
  <w:num w:numId="30">
    <w:abstractNumId w:val="19"/>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TL">
    <w15:presenceInfo w15:providerId="None" w15:userId="K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trackRevisions w:val="1"/>
  <w:documentProtection w:enforcement="0"/>
  <w:defaultTabStop w:val="419"/>
  <w:drawingGridHorizontalSpacing w:val="105"/>
  <w:drawingGridVerticalSpacing w:val="4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1820A0"/>
    <w:rsid w:val="000002A6"/>
    <w:rsid w:val="00000564"/>
    <w:rsid w:val="00000D6C"/>
    <w:rsid w:val="00001415"/>
    <w:rsid w:val="00001DB3"/>
    <w:rsid w:val="000046C4"/>
    <w:rsid w:val="00004FFE"/>
    <w:rsid w:val="000057E7"/>
    <w:rsid w:val="000061C7"/>
    <w:rsid w:val="0000668E"/>
    <w:rsid w:val="00006E4D"/>
    <w:rsid w:val="000074FB"/>
    <w:rsid w:val="00011CAB"/>
    <w:rsid w:val="0001239A"/>
    <w:rsid w:val="00013111"/>
    <w:rsid w:val="000132BE"/>
    <w:rsid w:val="00013B18"/>
    <w:rsid w:val="00013EB5"/>
    <w:rsid w:val="00014512"/>
    <w:rsid w:val="00015207"/>
    <w:rsid w:val="0001535D"/>
    <w:rsid w:val="000160EB"/>
    <w:rsid w:val="00016364"/>
    <w:rsid w:val="0001645D"/>
    <w:rsid w:val="00016644"/>
    <w:rsid w:val="00016C3D"/>
    <w:rsid w:val="00017B7B"/>
    <w:rsid w:val="000207F9"/>
    <w:rsid w:val="00021A39"/>
    <w:rsid w:val="00021F14"/>
    <w:rsid w:val="00022A13"/>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24AA"/>
    <w:rsid w:val="0003351D"/>
    <w:rsid w:val="00033B07"/>
    <w:rsid w:val="00033DB9"/>
    <w:rsid w:val="00036F08"/>
    <w:rsid w:val="00037569"/>
    <w:rsid w:val="00040908"/>
    <w:rsid w:val="0004132A"/>
    <w:rsid w:val="0004183F"/>
    <w:rsid w:val="0004199F"/>
    <w:rsid w:val="000420D2"/>
    <w:rsid w:val="00043722"/>
    <w:rsid w:val="00045744"/>
    <w:rsid w:val="00045BC1"/>
    <w:rsid w:val="00046E58"/>
    <w:rsid w:val="0005039F"/>
    <w:rsid w:val="000504FA"/>
    <w:rsid w:val="00051458"/>
    <w:rsid w:val="00052A5C"/>
    <w:rsid w:val="00052B27"/>
    <w:rsid w:val="00055905"/>
    <w:rsid w:val="0005613E"/>
    <w:rsid w:val="000562F3"/>
    <w:rsid w:val="000574C2"/>
    <w:rsid w:val="000579EB"/>
    <w:rsid w:val="000608D3"/>
    <w:rsid w:val="000623FD"/>
    <w:rsid w:val="00062451"/>
    <w:rsid w:val="00063C32"/>
    <w:rsid w:val="00063E46"/>
    <w:rsid w:val="000656E2"/>
    <w:rsid w:val="000657D2"/>
    <w:rsid w:val="00065C12"/>
    <w:rsid w:val="00065E88"/>
    <w:rsid w:val="000667D3"/>
    <w:rsid w:val="000669CF"/>
    <w:rsid w:val="00066A99"/>
    <w:rsid w:val="00066EBC"/>
    <w:rsid w:val="00066F32"/>
    <w:rsid w:val="00067023"/>
    <w:rsid w:val="000673CD"/>
    <w:rsid w:val="000677BD"/>
    <w:rsid w:val="00067BFD"/>
    <w:rsid w:val="000712E9"/>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5E62"/>
    <w:rsid w:val="00087555"/>
    <w:rsid w:val="00087D47"/>
    <w:rsid w:val="00091451"/>
    <w:rsid w:val="0009212B"/>
    <w:rsid w:val="000921BB"/>
    <w:rsid w:val="000923DD"/>
    <w:rsid w:val="000926E2"/>
    <w:rsid w:val="0009315F"/>
    <w:rsid w:val="000937AF"/>
    <w:rsid w:val="00094DDA"/>
    <w:rsid w:val="00095289"/>
    <w:rsid w:val="0009671A"/>
    <w:rsid w:val="0009691E"/>
    <w:rsid w:val="00096948"/>
    <w:rsid w:val="00096BE6"/>
    <w:rsid w:val="00097172"/>
    <w:rsid w:val="0009719C"/>
    <w:rsid w:val="0009754F"/>
    <w:rsid w:val="000977C9"/>
    <w:rsid w:val="00097902"/>
    <w:rsid w:val="000A37E0"/>
    <w:rsid w:val="000A3ACD"/>
    <w:rsid w:val="000A43DE"/>
    <w:rsid w:val="000A5C03"/>
    <w:rsid w:val="000A6078"/>
    <w:rsid w:val="000A6640"/>
    <w:rsid w:val="000B01AC"/>
    <w:rsid w:val="000B0988"/>
    <w:rsid w:val="000B1082"/>
    <w:rsid w:val="000B1143"/>
    <w:rsid w:val="000B2118"/>
    <w:rsid w:val="000B255B"/>
    <w:rsid w:val="000B4E76"/>
    <w:rsid w:val="000B5A32"/>
    <w:rsid w:val="000C0B27"/>
    <w:rsid w:val="000C1ADA"/>
    <w:rsid w:val="000C1DAD"/>
    <w:rsid w:val="000C236F"/>
    <w:rsid w:val="000C260D"/>
    <w:rsid w:val="000C2D4E"/>
    <w:rsid w:val="000C2FF0"/>
    <w:rsid w:val="000C3422"/>
    <w:rsid w:val="000C377A"/>
    <w:rsid w:val="000C39CC"/>
    <w:rsid w:val="000C4196"/>
    <w:rsid w:val="000C45C3"/>
    <w:rsid w:val="000C4A7C"/>
    <w:rsid w:val="000C589F"/>
    <w:rsid w:val="000D03D8"/>
    <w:rsid w:val="000D1F33"/>
    <w:rsid w:val="000D204E"/>
    <w:rsid w:val="000D2780"/>
    <w:rsid w:val="000D29BD"/>
    <w:rsid w:val="000D307D"/>
    <w:rsid w:val="000D3437"/>
    <w:rsid w:val="000D3DEE"/>
    <w:rsid w:val="000D41E9"/>
    <w:rsid w:val="000D421C"/>
    <w:rsid w:val="000D4C73"/>
    <w:rsid w:val="000D54F9"/>
    <w:rsid w:val="000D6738"/>
    <w:rsid w:val="000D73D0"/>
    <w:rsid w:val="000E0305"/>
    <w:rsid w:val="000E1273"/>
    <w:rsid w:val="000E14CF"/>
    <w:rsid w:val="000E2BCA"/>
    <w:rsid w:val="000E3501"/>
    <w:rsid w:val="000E3D02"/>
    <w:rsid w:val="000E4648"/>
    <w:rsid w:val="000E6AD9"/>
    <w:rsid w:val="000F061A"/>
    <w:rsid w:val="000F1DAD"/>
    <w:rsid w:val="000F4D32"/>
    <w:rsid w:val="000F4FAE"/>
    <w:rsid w:val="000F5672"/>
    <w:rsid w:val="000F67AB"/>
    <w:rsid w:val="000F68E7"/>
    <w:rsid w:val="000F6F63"/>
    <w:rsid w:val="000F71FA"/>
    <w:rsid w:val="00100BA3"/>
    <w:rsid w:val="001014DB"/>
    <w:rsid w:val="0010192E"/>
    <w:rsid w:val="00103CB8"/>
    <w:rsid w:val="001041B5"/>
    <w:rsid w:val="001041FC"/>
    <w:rsid w:val="001056EF"/>
    <w:rsid w:val="001058EB"/>
    <w:rsid w:val="0010590C"/>
    <w:rsid w:val="00107EEF"/>
    <w:rsid w:val="001104A9"/>
    <w:rsid w:val="00110C27"/>
    <w:rsid w:val="001129CD"/>
    <w:rsid w:val="00113266"/>
    <w:rsid w:val="00113AD1"/>
    <w:rsid w:val="00113E34"/>
    <w:rsid w:val="0011522D"/>
    <w:rsid w:val="001158D6"/>
    <w:rsid w:val="00116020"/>
    <w:rsid w:val="00116D47"/>
    <w:rsid w:val="0011740B"/>
    <w:rsid w:val="00117C39"/>
    <w:rsid w:val="0012076F"/>
    <w:rsid w:val="00120E7F"/>
    <w:rsid w:val="0012115D"/>
    <w:rsid w:val="0012132C"/>
    <w:rsid w:val="0012251C"/>
    <w:rsid w:val="00122E31"/>
    <w:rsid w:val="00123CFB"/>
    <w:rsid w:val="00123D52"/>
    <w:rsid w:val="00125070"/>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319"/>
    <w:rsid w:val="00140544"/>
    <w:rsid w:val="001405F6"/>
    <w:rsid w:val="00140C37"/>
    <w:rsid w:val="001410D3"/>
    <w:rsid w:val="001411BE"/>
    <w:rsid w:val="0014138E"/>
    <w:rsid w:val="001427B7"/>
    <w:rsid w:val="00143710"/>
    <w:rsid w:val="001442E0"/>
    <w:rsid w:val="00145298"/>
    <w:rsid w:val="00146D6C"/>
    <w:rsid w:val="00146DFE"/>
    <w:rsid w:val="00146FDF"/>
    <w:rsid w:val="00146FF4"/>
    <w:rsid w:val="001476EC"/>
    <w:rsid w:val="00147E61"/>
    <w:rsid w:val="00150084"/>
    <w:rsid w:val="00150AFD"/>
    <w:rsid w:val="00150CFA"/>
    <w:rsid w:val="00151B74"/>
    <w:rsid w:val="00152625"/>
    <w:rsid w:val="001529D8"/>
    <w:rsid w:val="00152BEF"/>
    <w:rsid w:val="001533A7"/>
    <w:rsid w:val="001553F4"/>
    <w:rsid w:val="001566ED"/>
    <w:rsid w:val="0015692C"/>
    <w:rsid w:val="0015750A"/>
    <w:rsid w:val="00157A3C"/>
    <w:rsid w:val="00160BBB"/>
    <w:rsid w:val="00162827"/>
    <w:rsid w:val="001629A2"/>
    <w:rsid w:val="00163571"/>
    <w:rsid w:val="0016389F"/>
    <w:rsid w:val="00163B87"/>
    <w:rsid w:val="00164078"/>
    <w:rsid w:val="0016425B"/>
    <w:rsid w:val="00164751"/>
    <w:rsid w:val="00164C57"/>
    <w:rsid w:val="00166347"/>
    <w:rsid w:val="0017298A"/>
    <w:rsid w:val="00172A0F"/>
    <w:rsid w:val="00172B77"/>
    <w:rsid w:val="0017302B"/>
    <w:rsid w:val="001738AF"/>
    <w:rsid w:val="001739FB"/>
    <w:rsid w:val="00173D1D"/>
    <w:rsid w:val="001757B7"/>
    <w:rsid w:val="001775D6"/>
    <w:rsid w:val="00177913"/>
    <w:rsid w:val="0018068C"/>
    <w:rsid w:val="001807F4"/>
    <w:rsid w:val="00181FE0"/>
    <w:rsid w:val="001820A0"/>
    <w:rsid w:val="001833CB"/>
    <w:rsid w:val="00183889"/>
    <w:rsid w:val="00183E66"/>
    <w:rsid w:val="0018429E"/>
    <w:rsid w:val="001846BB"/>
    <w:rsid w:val="001848B1"/>
    <w:rsid w:val="001849C3"/>
    <w:rsid w:val="00184C6D"/>
    <w:rsid w:val="00184CD3"/>
    <w:rsid w:val="0018566D"/>
    <w:rsid w:val="00186831"/>
    <w:rsid w:val="00186992"/>
    <w:rsid w:val="001908E9"/>
    <w:rsid w:val="001919A0"/>
    <w:rsid w:val="00193895"/>
    <w:rsid w:val="00193F76"/>
    <w:rsid w:val="001956A8"/>
    <w:rsid w:val="00195910"/>
    <w:rsid w:val="001A1048"/>
    <w:rsid w:val="001A14FB"/>
    <w:rsid w:val="001A1A49"/>
    <w:rsid w:val="001A22C7"/>
    <w:rsid w:val="001A26D6"/>
    <w:rsid w:val="001A346E"/>
    <w:rsid w:val="001A5271"/>
    <w:rsid w:val="001A6932"/>
    <w:rsid w:val="001A75E7"/>
    <w:rsid w:val="001A7E1D"/>
    <w:rsid w:val="001B33EB"/>
    <w:rsid w:val="001B4BB1"/>
    <w:rsid w:val="001B55DF"/>
    <w:rsid w:val="001B5D75"/>
    <w:rsid w:val="001B6EDE"/>
    <w:rsid w:val="001B7646"/>
    <w:rsid w:val="001C0FEC"/>
    <w:rsid w:val="001C11F2"/>
    <w:rsid w:val="001C2B0C"/>
    <w:rsid w:val="001C2D64"/>
    <w:rsid w:val="001C2FED"/>
    <w:rsid w:val="001C3DBC"/>
    <w:rsid w:val="001C4125"/>
    <w:rsid w:val="001C5D46"/>
    <w:rsid w:val="001C67D2"/>
    <w:rsid w:val="001C7B10"/>
    <w:rsid w:val="001D055D"/>
    <w:rsid w:val="001D0A8F"/>
    <w:rsid w:val="001D1C64"/>
    <w:rsid w:val="001D30A4"/>
    <w:rsid w:val="001D3347"/>
    <w:rsid w:val="001D355E"/>
    <w:rsid w:val="001D3855"/>
    <w:rsid w:val="001D47B6"/>
    <w:rsid w:val="001D4A9D"/>
    <w:rsid w:val="001D4FEC"/>
    <w:rsid w:val="001D6204"/>
    <w:rsid w:val="001D64AB"/>
    <w:rsid w:val="001D7AEB"/>
    <w:rsid w:val="001E09BE"/>
    <w:rsid w:val="001E2E85"/>
    <w:rsid w:val="001E3104"/>
    <w:rsid w:val="001E494B"/>
    <w:rsid w:val="001E4DFE"/>
    <w:rsid w:val="001E4E9F"/>
    <w:rsid w:val="001E57A9"/>
    <w:rsid w:val="001E62EF"/>
    <w:rsid w:val="001E664C"/>
    <w:rsid w:val="001E7D13"/>
    <w:rsid w:val="001F0CD7"/>
    <w:rsid w:val="001F1978"/>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648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4A23"/>
    <w:rsid w:val="002358F8"/>
    <w:rsid w:val="00235B48"/>
    <w:rsid w:val="00235BF2"/>
    <w:rsid w:val="00236E63"/>
    <w:rsid w:val="002375CC"/>
    <w:rsid w:val="00237B8E"/>
    <w:rsid w:val="0024028B"/>
    <w:rsid w:val="00240845"/>
    <w:rsid w:val="0024159B"/>
    <w:rsid w:val="002421BC"/>
    <w:rsid w:val="00242440"/>
    <w:rsid w:val="002431DC"/>
    <w:rsid w:val="00243AED"/>
    <w:rsid w:val="002442BE"/>
    <w:rsid w:val="0024527C"/>
    <w:rsid w:val="002455AB"/>
    <w:rsid w:val="00246026"/>
    <w:rsid w:val="00246541"/>
    <w:rsid w:val="00246777"/>
    <w:rsid w:val="002469E3"/>
    <w:rsid w:val="00246BD4"/>
    <w:rsid w:val="00247761"/>
    <w:rsid w:val="00247E63"/>
    <w:rsid w:val="00247FD0"/>
    <w:rsid w:val="00251208"/>
    <w:rsid w:val="00251625"/>
    <w:rsid w:val="00253CDC"/>
    <w:rsid w:val="0025420B"/>
    <w:rsid w:val="002555DE"/>
    <w:rsid w:val="00256FA0"/>
    <w:rsid w:val="0025771B"/>
    <w:rsid w:val="00260551"/>
    <w:rsid w:val="0026288F"/>
    <w:rsid w:val="00262AF8"/>
    <w:rsid w:val="002631FB"/>
    <w:rsid w:val="002655F3"/>
    <w:rsid w:val="00265D48"/>
    <w:rsid w:val="00265FE4"/>
    <w:rsid w:val="0026704A"/>
    <w:rsid w:val="00267698"/>
    <w:rsid w:val="00270AC6"/>
    <w:rsid w:val="00270BE1"/>
    <w:rsid w:val="0027179E"/>
    <w:rsid w:val="00271DFD"/>
    <w:rsid w:val="002724F7"/>
    <w:rsid w:val="00272554"/>
    <w:rsid w:val="0027352A"/>
    <w:rsid w:val="00274750"/>
    <w:rsid w:val="00274EAD"/>
    <w:rsid w:val="00275DEC"/>
    <w:rsid w:val="00275E07"/>
    <w:rsid w:val="00276345"/>
    <w:rsid w:val="002775DB"/>
    <w:rsid w:val="00282C57"/>
    <w:rsid w:val="002837D9"/>
    <w:rsid w:val="00284B8C"/>
    <w:rsid w:val="00284B8D"/>
    <w:rsid w:val="00284C37"/>
    <w:rsid w:val="00284ED2"/>
    <w:rsid w:val="0028585C"/>
    <w:rsid w:val="002861D6"/>
    <w:rsid w:val="0028631A"/>
    <w:rsid w:val="002863C4"/>
    <w:rsid w:val="00291181"/>
    <w:rsid w:val="00291F33"/>
    <w:rsid w:val="00291F40"/>
    <w:rsid w:val="00292039"/>
    <w:rsid w:val="00293346"/>
    <w:rsid w:val="00293C30"/>
    <w:rsid w:val="00294ABC"/>
    <w:rsid w:val="00294C22"/>
    <w:rsid w:val="00295682"/>
    <w:rsid w:val="002965B7"/>
    <w:rsid w:val="002A1705"/>
    <w:rsid w:val="002A270D"/>
    <w:rsid w:val="002A3060"/>
    <w:rsid w:val="002A3994"/>
    <w:rsid w:val="002A42A1"/>
    <w:rsid w:val="002A43A4"/>
    <w:rsid w:val="002A511F"/>
    <w:rsid w:val="002A538D"/>
    <w:rsid w:val="002B062F"/>
    <w:rsid w:val="002B09D8"/>
    <w:rsid w:val="002B0BB3"/>
    <w:rsid w:val="002B1965"/>
    <w:rsid w:val="002B2283"/>
    <w:rsid w:val="002B25C8"/>
    <w:rsid w:val="002B319B"/>
    <w:rsid w:val="002B4212"/>
    <w:rsid w:val="002B4C1E"/>
    <w:rsid w:val="002B4E6D"/>
    <w:rsid w:val="002B59AD"/>
    <w:rsid w:val="002B59C8"/>
    <w:rsid w:val="002B67AD"/>
    <w:rsid w:val="002B6F09"/>
    <w:rsid w:val="002C16FA"/>
    <w:rsid w:val="002C1863"/>
    <w:rsid w:val="002C1EA9"/>
    <w:rsid w:val="002C210F"/>
    <w:rsid w:val="002C2E48"/>
    <w:rsid w:val="002C31C3"/>
    <w:rsid w:val="002C3211"/>
    <w:rsid w:val="002C39A6"/>
    <w:rsid w:val="002C4D6F"/>
    <w:rsid w:val="002C5031"/>
    <w:rsid w:val="002C738E"/>
    <w:rsid w:val="002C77EF"/>
    <w:rsid w:val="002C7E11"/>
    <w:rsid w:val="002D0231"/>
    <w:rsid w:val="002D0DD3"/>
    <w:rsid w:val="002D1F15"/>
    <w:rsid w:val="002D3DE1"/>
    <w:rsid w:val="002D418B"/>
    <w:rsid w:val="002D4E79"/>
    <w:rsid w:val="002D578B"/>
    <w:rsid w:val="002D68DA"/>
    <w:rsid w:val="002D77AF"/>
    <w:rsid w:val="002E0435"/>
    <w:rsid w:val="002E0A8B"/>
    <w:rsid w:val="002E1021"/>
    <w:rsid w:val="002E124C"/>
    <w:rsid w:val="002E1FDB"/>
    <w:rsid w:val="002E21AC"/>
    <w:rsid w:val="002E381B"/>
    <w:rsid w:val="002E3892"/>
    <w:rsid w:val="002E4538"/>
    <w:rsid w:val="002E49BE"/>
    <w:rsid w:val="002E4A47"/>
    <w:rsid w:val="002E4AAE"/>
    <w:rsid w:val="002E5EF8"/>
    <w:rsid w:val="002E6155"/>
    <w:rsid w:val="002E683A"/>
    <w:rsid w:val="002E70AE"/>
    <w:rsid w:val="002E71EF"/>
    <w:rsid w:val="002E7895"/>
    <w:rsid w:val="002F145B"/>
    <w:rsid w:val="002F21FF"/>
    <w:rsid w:val="002F24DB"/>
    <w:rsid w:val="002F37E7"/>
    <w:rsid w:val="002F38A2"/>
    <w:rsid w:val="002F3F7A"/>
    <w:rsid w:val="002F4B22"/>
    <w:rsid w:val="002F5180"/>
    <w:rsid w:val="002F521A"/>
    <w:rsid w:val="002F5F0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5781"/>
    <w:rsid w:val="00316BF2"/>
    <w:rsid w:val="00316D56"/>
    <w:rsid w:val="00321387"/>
    <w:rsid w:val="00321529"/>
    <w:rsid w:val="00322A48"/>
    <w:rsid w:val="003231FA"/>
    <w:rsid w:val="00324891"/>
    <w:rsid w:val="00325624"/>
    <w:rsid w:val="00327D5F"/>
    <w:rsid w:val="003302DE"/>
    <w:rsid w:val="00330779"/>
    <w:rsid w:val="00331DA5"/>
    <w:rsid w:val="0033266E"/>
    <w:rsid w:val="0033420B"/>
    <w:rsid w:val="00335422"/>
    <w:rsid w:val="0033584C"/>
    <w:rsid w:val="0033645A"/>
    <w:rsid w:val="00336493"/>
    <w:rsid w:val="00337785"/>
    <w:rsid w:val="00337DE9"/>
    <w:rsid w:val="0034142A"/>
    <w:rsid w:val="003425AB"/>
    <w:rsid w:val="00343ACD"/>
    <w:rsid w:val="00344614"/>
    <w:rsid w:val="0034473F"/>
    <w:rsid w:val="00344F6B"/>
    <w:rsid w:val="00345E2B"/>
    <w:rsid w:val="00345F8B"/>
    <w:rsid w:val="00346363"/>
    <w:rsid w:val="0034659B"/>
    <w:rsid w:val="0034673C"/>
    <w:rsid w:val="00346C0B"/>
    <w:rsid w:val="00350083"/>
    <w:rsid w:val="00350E43"/>
    <w:rsid w:val="0035242A"/>
    <w:rsid w:val="003526E2"/>
    <w:rsid w:val="0035291E"/>
    <w:rsid w:val="00352EEA"/>
    <w:rsid w:val="0035415D"/>
    <w:rsid w:val="003547F1"/>
    <w:rsid w:val="0035572B"/>
    <w:rsid w:val="00355F11"/>
    <w:rsid w:val="003603F9"/>
    <w:rsid w:val="00360474"/>
    <w:rsid w:val="003608F1"/>
    <w:rsid w:val="00360A30"/>
    <w:rsid w:val="00361079"/>
    <w:rsid w:val="00361516"/>
    <w:rsid w:val="003619C4"/>
    <w:rsid w:val="00362B54"/>
    <w:rsid w:val="00363912"/>
    <w:rsid w:val="0036399E"/>
    <w:rsid w:val="003642E8"/>
    <w:rsid w:val="00364772"/>
    <w:rsid w:val="00364DFC"/>
    <w:rsid w:val="0036507A"/>
    <w:rsid w:val="00365900"/>
    <w:rsid w:val="00365A58"/>
    <w:rsid w:val="00366846"/>
    <w:rsid w:val="003675A0"/>
    <w:rsid w:val="00367984"/>
    <w:rsid w:val="00367AD5"/>
    <w:rsid w:val="00371393"/>
    <w:rsid w:val="00372F00"/>
    <w:rsid w:val="0037374B"/>
    <w:rsid w:val="003744F0"/>
    <w:rsid w:val="003756A8"/>
    <w:rsid w:val="00376644"/>
    <w:rsid w:val="0037763B"/>
    <w:rsid w:val="00377BCC"/>
    <w:rsid w:val="0038000D"/>
    <w:rsid w:val="003808A7"/>
    <w:rsid w:val="00381D3C"/>
    <w:rsid w:val="003826E2"/>
    <w:rsid w:val="00382BF5"/>
    <w:rsid w:val="0038383E"/>
    <w:rsid w:val="00385F89"/>
    <w:rsid w:val="00387B8D"/>
    <w:rsid w:val="00387FDA"/>
    <w:rsid w:val="00390FC1"/>
    <w:rsid w:val="003912BF"/>
    <w:rsid w:val="00391931"/>
    <w:rsid w:val="003924CC"/>
    <w:rsid w:val="00392619"/>
    <w:rsid w:val="003937E9"/>
    <w:rsid w:val="00393ED4"/>
    <w:rsid w:val="00394435"/>
    <w:rsid w:val="003948C1"/>
    <w:rsid w:val="003951FC"/>
    <w:rsid w:val="00396300"/>
    <w:rsid w:val="003968FC"/>
    <w:rsid w:val="003972BE"/>
    <w:rsid w:val="00397604"/>
    <w:rsid w:val="00397A52"/>
    <w:rsid w:val="003A0200"/>
    <w:rsid w:val="003A17E8"/>
    <w:rsid w:val="003A184A"/>
    <w:rsid w:val="003A1FB5"/>
    <w:rsid w:val="003A2BDE"/>
    <w:rsid w:val="003A36A0"/>
    <w:rsid w:val="003A382A"/>
    <w:rsid w:val="003A389A"/>
    <w:rsid w:val="003A3CBC"/>
    <w:rsid w:val="003A46DF"/>
    <w:rsid w:val="003A65BA"/>
    <w:rsid w:val="003A7163"/>
    <w:rsid w:val="003A77B1"/>
    <w:rsid w:val="003A7980"/>
    <w:rsid w:val="003A7E9B"/>
    <w:rsid w:val="003B00AD"/>
    <w:rsid w:val="003B00EB"/>
    <w:rsid w:val="003B0835"/>
    <w:rsid w:val="003B1142"/>
    <w:rsid w:val="003B21D0"/>
    <w:rsid w:val="003B241A"/>
    <w:rsid w:val="003B3700"/>
    <w:rsid w:val="003B4363"/>
    <w:rsid w:val="003B58E6"/>
    <w:rsid w:val="003B5AA8"/>
    <w:rsid w:val="003B5B58"/>
    <w:rsid w:val="003B6405"/>
    <w:rsid w:val="003C09BC"/>
    <w:rsid w:val="003C1193"/>
    <w:rsid w:val="003C13F8"/>
    <w:rsid w:val="003C17F8"/>
    <w:rsid w:val="003C19D0"/>
    <w:rsid w:val="003C1C86"/>
    <w:rsid w:val="003C2A6C"/>
    <w:rsid w:val="003C321B"/>
    <w:rsid w:val="003C375F"/>
    <w:rsid w:val="003C3976"/>
    <w:rsid w:val="003C4371"/>
    <w:rsid w:val="003C4D8E"/>
    <w:rsid w:val="003C58FF"/>
    <w:rsid w:val="003C62B5"/>
    <w:rsid w:val="003C75A7"/>
    <w:rsid w:val="003C7861"/>
    <w:rsid w:val="003D0064"/>
    <w:rsid w:val="003D0406"/>
    <w:rsid w:val="003D0AFF"/>
    <w:rsid w:val="003D19D3"/>
    <w:rsid w:val="003D27E1"/>
    <w:rsid w:val="003D28CE"/>
    <w:rsid w:val="003D43CA"/>
    <w:rsid w:val="003D4769"/>
    <w:rsid w:val="003D50CD"/>
    <w:rsid w:val="003D5E84"/>
    <w:rsid w:val="003D5F2B"/>
    <w:rsid w:val="003D617B"/>
    <w:rsid w:val="003E0598"/>
    <w:rsid w:val="003E25A9"/>
    <w:rsid w:val="003E2D1F"/>
    <w:rsid w:val="003E33B7"/>
    <w:rsid w:val="003E3A1B"/>
    <w:rsid w:val="003E46C4"/>
    <w:rsid w:val="003E4E44"/>
    <w:rsid w:val="003E5F98"/>
    <w:rsid w:val="003E60A4"/>
    <w:rsid w:val="003E6316"/>
    <w:rsid w:val="003E7862"/>
    <w:rsid w:val="003E7ADC"/>
    <w:rsid w:val="003F2BD0"/>
    <w:rsid w:val="003F314B"/>
    <w:rsid w:val="003F4091"/>
    <w:rsid w:val="003F41C1"/>
    <w:rsid w:val="003F42C9"/>
    <w:rsid w:val="003F48BA"/>
    <w:rsid w:val="003F4A0B"/>
    <w:rsid w:val="003F4C05"/>
    <w:rsid w:val="003F6914"/>
    <w:rsid w:val="003F733C"/>
    <w:rsid w:val="003F73E5"/>
    <w:rsid w:val="003F7C3B"/>
    <w:rsid w:val="003F7F8B"/>
    <w:rsid w:val="00400D38"/>
    <w:rsid w:val="00401037"/>
    <w:rsid w:val="00401498"/>
    <w:rsid w:val="004030F6"/>
    <w:rsid w:val="004039A4"/>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AA7"/>
    <w:rsid w:val="00423C43"/>
    <w:rsid w:val="00425A54"/>
    <w:rsid w:val="00426824"/>
    <w:rsid w:val="00427848"/>
    <w:rsid w:val="00427E29"/>
    <w:rsid w:val="00430A9F"/>
    <w:rsid w:val="00432008"/>
    <w:rsid w:val="004325A6"/>
    <w:rsid w:val="0043373D"/>
    <w:rsid w:val="00434AAD"/>
    <w:rsid w:val="00434BDC"/>
    <w:rsid w:val="00435C66"/>
    <w:rsid w:val="00436897"/>
    <w:rsid w:val="00440898"/>
    <w:rsid w:val="00442571"/>
    <w:rsid w:val="00442A7A"/>
    <w:rsid w:val="00445E97"/>
    <w:rsid w:val="004476E3"/>
    <w:rsid w:val="004478BF"/>
    <w:rsid w:val="00447BDB"/>
    <w:rsid w:val="0045043E"/>
    <w:rsid w:val="004508B2"/>
    <w:rsid w:val="00450C50"/>
    <w:rsid w:val="0045375D"/>
    <w:rsid w:val="004537CC"/>
    <w:rsid w:val="00457B0D"/>
    <w:rsid w:val="00457F24"/>
    <w:rsid w:val="00460A25"/>
    <w:rsid w:val="004618E5"/>
    <w:rsid w:val="00461B12"/>
    <w:rsid w:val="0046211C"/>
    <w:rsid w:val="00462522"/>
    <w:rsid w:val="004643A7"/>
    <w:rsid w:val="00464698"/>
    <w:rsid w:val="0046478C"/>
    <w:rsid w:val="00467B73"/>
    <w:rsid w:val="00467E18"/>
    <w:rsid w:val="004710E3"/>
    <w:rsid w:val="004721A0"/>
    <w:rsid w:val="004721D2"/>
    <w:rsid w:val="00472CA4"/>
    <w:rsid w:val="00472F21"/>
    <w:rsid w:val="00473254"/>
    <w:rsid w:val="0047360D"/>
    <w:rsid w:val="00473BC3"/>
    <w:rsid w:val="00474D9E"/>
    <w:rsid w:val="00476233"/>
    <w:rsid w:val="0047627C"/>
    <w:rsid w:val="00476821"/>
    <w:rsid w:val="00477990"/>
    <w:rsid w:val="00477A40"/>
    <w:rsid w:val="00477FFC"/>
    <w:rsid w:val="00480050"/>
    <w:rsid w:val="004800D8"/>
    <w:rsid w:val="0048102F"/>
    <w:rsid w:val="00481759"/>
    <w:rsid w:val="004822F6"/>
    <w:rsid w:val="0048236C"/>
    <w:rsid w:val="0048347B"/>
    <w:rsid w:val="00483A75"/>
    <w:rsid w:val="004853CB"/>
    <w:rsid w:val="00485F5B"/>
    <w:rsid w:val="004878A1"/>
    <w:rsid w:val="0049017C"/>
    <w:rsid w:val="0049077A"/>
    <w:rsid w:val="00490CB4"/>
    <w:rsid w:val="00491FD5"/>
    <w:rsid w:val="00492D7E"/>
    <w:rsid w:val="004939B3"/>
    <w:rsid w:val="0049495C"/>
    <w:rsid w:val="00494EB4"/>
    <w:rsid w:val="00495183"/>
    <w:rsid w:val="0049676C"/>
    <w:rsid w:val="004967E6"/>
    <w:rsid w:val="0049731E"/>
    <w:rsid w:val="00497332"/>
    <w:rsid w:val="004A132B"/>
    <w:rsid w:val="004A233B"/>
    <w:rsid w:val="004A36AC"/>
    <w:rsid w:val="004A3BCB"/>
    <w:rsid w:val="004A3F08"/>
    <w:rsid w:val="004A3FF2"/>
    <w:rsid w:val="004A4B37"/>
    <w:rsid w:val="004A52DB"/>
    <w:rsid w:val="004A5368"/>
    <w:rsid w:val="004A61A6"/>
    <w:rsid w:val="004A67D8"/>
    <w:rsid w:val="004A6BA3"/>
    <w:rsid w:val="004B0B3B"/>
    <w:rsid w:val="004B0D0B"/>
    <w:rsid w:val="004B1418"/>
    <w:rsid w:val="004B1DA0"/>
    <w:rsid w:val="004B2E04"/>
    <w:rsid w:val="004B59D4"/>
    <w:rsid w:val="004B661D"/>
    <w:rsid w:val="004B6A1A"/>
    <w:rsid w:val="004B7D2B"/>
    <w:rsid w:val="004B7D44"/>
    <w:rsid w:val="004C0184"/>
    <w:rsid w:val="004C0461"/>
    <w:rsid w:val="004C0B9A"/>
    <w:rsid w:val="004C0C90"/>
    <w:rsid w:val="004C0FE0"/>
    <w:rsid w:val="004C26AA"/>
    <w:rsid w:val="004C26AD"/>
    <w:rsid w:val="004C2B51"/>
    <w:rsid w:val="004C2D72"/>
    <w:rsid w:val="004C31AE"/>
    <w:rsid w:val="004C3C28"/>
    <w:rsid w:val="004C4696"/>
    <w:rsid w:val="004C49BE"/>
    <w:rsid w:val="004C4B7E"/>
    <w:rsid w:val="004C4D0C"/>
    <w:rsid w:val="004C5065"/>
    <w:rsid w:val="004C59CE"/>
    <w:rsid w:val="004C7082"/>
    <w:rsid w:val="004C7148"/>
    <w:rsid w:val="004C7473"/>
    <w:rsid w:val="004C77B1"/>
    <w:rsid w:val="004D01B8"/>
    <w:rsid w:val="004D3D38"/>
    <w:rsid w:val="004D3FC8"/>
    <w:rsid w:val="004D4DFC"/>
    <w:rsid w:val="004D54D2"/>
    <w:rsid w:val="004D5FBB"/>
    <w:rsid w:val="004D754F"/>
    <w:rsid w:val="004E0F00"/>
    <w:rsid w:val="004E10F6"/>
    <w:rsid w:val="004E13E1"/>
    <w:rsid w:val="004E4189"/>
    <w:rsid w:val="004E4FA4"/>
    <w:rsid w:val="004E6296"/>
    <w:rsid w:val="004E678F"/>
    <w:rsid w:val="004E6A5B"/>
    <w:rsid w:val="004E72D6"/>
    <w:rsid w:val="004E742C"/>
    <w:rsid w:val="004E7917"/>
    <w:rsid w:val="004F044B"/>
    <w:rsid w:val="004F13E8"/>
    <w:rsid w:val="004F2C05"/>
    <w:rsid w:val="004F33CE"/>
    <w:rsid w:val="004F3768"/>
    <w:rsid w:val="004F3F8B"/>
    <w:rsid w:val="004F4CBE"/>
    <w:rsid w:val="004F555C"/>
    <w:rsid w:val="004F59B0"/>
    <w:rsid w:val="004F625B"/>
    <w:rsid w:val="00500B78"/>
    <w:rsid w:val="00500FF4"/>
    <w:rsid w:val="00501251"/>
    <w:rsid w:val="00501932"/>
    <w:rsid w:val="00501A26"/>
    <w:rsid w:val="00501C7D"/>
    <w:rsid w:val="00501CB6"/>
    <w:rsid w:val="005025AF"/>
    <w:rsid w:val="0050278F"/>
    <w:rsid w:val="005028A5"/>
    <w:rsid w:val="005039C3"/>
    <w:rsid w:val="00504C2D"/>
    <w:rsid w:val="00505AEE"/>
    <w:rsid w:val="00505B00"/>
    <w:rsid w:val="00505EDE"/>
    <w:rsid w:val="005062E0"/>
    <w:rsid w:val="00506806"/>
    <w:rsid w:val="00506BB6"/>
    <w:rsid w:val="0051182A"/>
    <w:rsid w:val="00512896"/>
    <w:rsid w:val="00512D8B"/>
    <w:rsid w:val="0051456A"/>
    <w:rsid w:val="00514D45"/>
    <w:rsid w:val="005157DE"/>
    <w:rsid w:val="00517420"/>
    <w:rsid w:val="00520C48"/>
    <w:rsid w:val="00521B76"/>
    <w:rsid w:val="00522726"/>
    <w:rsid w:val="005228CA"/>
    <w:rsid w:val="00522E32"/>
    <w:rsid w:val="005231C8"/>
    <w:rsid w:val="00523CE9"/>
    <w:rsid w:val="00523DEB"/>
    <w:rsid w:val="00523DFC"/>
    <w:rsid w:val="005248D1"/>
    <w:rsid w:val="00526DFD"/>
    <w:rsid w:val="00527463"/>
    <w:rsid w:val="005277EE"/>
    <w:rsid w:val="00527D35"/>
    <w:rsid w:val="0053055D"/>
    <w:rsid w:val="005309D2"/>
    <w:rsid w:val="00530DD1"/>
    <w:rsid w:val="005319AD"/>
    <w:rsid w:val="00531C26"/>
    <w:rsid w:val="00531EF8"/>
    <w:rsid w:val="00532F2D"/>
    <w:rsid w:val="00533296"/>
    <w:rsid w:val="005341F0"/>
    <w:rsid w:val="0053451C"/>
    <w:rsid w:val="00535154"/>
    <w:rsid w:val="005352DC"/>
    <w:rsid w:val="00535B66"/>
    <w:rsid w:val="00536796"/>
    <w:rsid w:val="005368B4"/>
    <w:rsid w:val="0053772E"/>
    <w:rsid w:val="005378B3"/>
    <w:rsid w:val="00537FA2"/>
    <w:rsid w:val="00541970"/>
    <w:rsid w:val="00541C8B"/>
    <w:rsid w:val="005423CC"/>
    <w:rsid w:val="005429C1"/>
    <w:rsid w:val="0054306F"/>
    <w:rsid w:val="00543F91"/>
    <w:rsid w:val="005440E5"/>
    <w:rsid w:val="005444FD"/>
    <w:rsid w:val="00544891"/>
    <w:rsid w:val="005449DD"/>
    <w:rsid w:val="00544B99"/>
    <w:rsid w:val="00544D9B"/>
    <w:rsid w:val="0054543A"/>
    <w:rsid w:val="00545866"/>
    <w:rsid w:val="0054665F"/>
    <w:rsid w:val="005473E2"/>
    <w:rsid w:val="00547CE8"/>
    <w:rsid w:val="00551689"/>
    <w:rsid w:val="0055223B"/>
    <w:rsid w:val="005522A0"/>
    <w:rsid w:val="00552E19"/>
    <w:rsid w:val="0055351C"/>
    <w:rsid w:val="005536E7"/>
    <w:rsid w:val="005552C3"/>
    <w:rsid w:val="0055557B"/>
    <w:rsid w:val="005561A0"/>
    <w:rsid w:val="00556462"/>
    <w:rsid w:val="00556661"/>
    <w:rsid w:val="005567CE"/>
    <w:rsid w:val="00556E34"/>
    <w:rsid w:val="00556EA4"/>
    <w:rsid w:val="00557878"/>
    <w:rsid w:val="00557C28"/>
    <w:rsid w:val="00562333"/>
    <w:rsid w:val="00563A09"/>
    <w:rsid w:val="00563BDC"/>
    <w:rsid w:val="005647B2"/>
    <w:rsid w:val="005660EF"/>
    <w:rsid w:val="005665DA"/>
    <w:rsid w:val="00570C3B"/>
    <w:rsid w:val="00571E4E"/>
    <w:rsid w:val="005723AE"/>
    <w:rsid w:val="00572F55"/>
    <w:rsid w:val="00574862"/>
    <w:rsid w:val="005756CD"/>
    <w:rsid w:val="00575D5A"/>
    <w:rsid w:val="00576C5B"/>
    <w:rsid w:val="00577DEE"/>
    <w:rsid w:val="005817C9"/>
    <w:rsid w:val="00582C85"/>
    <w:rsid w:val="00583B04"/>
    <w:rsid w:val="00583FD1"/>
    <w:rsid w:val="005844AF"/>
    <w:rsid w:val="00585641"/>
    <w:rsid w:val="00585D5E"/>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3FA7"/>
    <w:rsid w:val="005A4194"/>
    <w:rsid w:val="005A44F9"/>
    <w:rsid w:val="005A4515"/>
    <w:rsid w:val="005A462D"/>
    <w:rsid w:val="005A4D72"/>
    <w:rsid w:val="005A58CD"/>
    <w:rsid w:val="005A5EFE"/>
    <w:rsid w:val="005A6E27"/>
    <w:rsid w:val="005A7535"/>
    <w:rsid w:val="005B06F0"/>
    <w:rsid w:val="005B14A1"/>
    <w:rsid w:val="005B189C"/>
    <w:rsid w:val="005B412A"/>
    <w:rsid w:val="005B48E1"/>
    <w:rsid w:val="005B5920"/>
    <w:rsid w:val="005B6B05"/>
    <w:rsid w:val="005B7788"/>
    <w:rsid w:val="005B7B7A"/>
    <w:rsid w:val="005B7C07"/>
    <w:rsid w:val="005C1246"/>
    <w:rsid w:val="005C1257"/>
    <w:rsid w:val="005C167C"/>
    <w:rsid w:val="005C23B4"/>
    <w:rsid w:val="005C2866"/>
    <w:rsid w:val="005C2871"/>
    <w:rsid w:val="005C29C8"/>
    <w:rsid w:val="005C317A"/>
    <w:rsid w:val="005C41CC"/>
    <w:rsid w:val="005C4218"/>
    <w:rsid w:val="005C4A66"/>
    <w:rsid w:val="005C5504"/>
    <w:rsid w:val="005C6FE1"/>
    <w:rsid w:val="005C7273"/>
    <w:rsid w:val="005C7604"/>
    <w:rsid w:val="005C79D2"/>
    <w:rsid w:val="005D1316"/>
    <w:rsid w:val="005D34BD"/>
    <w:rsid w:val="005D3C4E"/>
    <w:rsid w:val="005D3F3A"/>
    <w:rsid w:val="005D5ADF"/>
    <w:rsid w:val="005D5B8C"/>
    <w:rsid w:val="005D6176"/>
    <w:rsid w:val="005D64B4"/>
    <w:rsid w:val="005D6910"/>
    <w:rsid w:val="005D6929"/>
    <w:rsid w:val="005D6A86"/>
    <w:rsid w:val="005D6CF3"/>
    <w:rsid w:val="005D6FFD"/>
    <w:rsid w:val="005D7837"/>
    <w:rsid w:val="005D7A4D"/>
    <w:rsid w:val="005E12CB"/>
    <w:rsid w:val="005E2DA3"/>
    <w:rsid w:val="005E4264"/>
    <w:rsid w:val="005E4BF3"/>
    <w:rsid w:val="005E4CCD"/>
    <w:rsid w:val="005E540D"/>
    <w:rsid w:val="005E7554"/>
    <w:rsid w:val="005E7DEA"/>
    <w:rsid w:val="005F0142"/>
    <w:rsid w:val="005F08CA"/>
    <w:rsid w:val="005F0BC8"/>
    <w:rsid w:val="005F162B"/>
    <w:rsid w:val="005F1B8D"/>
    <w:rsid w:val="005F20F2"/>
    <w:rsid w:val="005F2857"/>
    <w:rsid w:val="005F65B7"/>
    <w:rsid w:val="005F7422"/>
    <w:rsid w:val="005F7D4C"/>
    <w:rsid w:val="005F7E8A"/>
    <w:rsid w:val="00600387"/>
    <w:rsid w:val="00600F66"/>
    <w:rsid w:val="00603239"/>
    <w:rsid w:val="006032DC"/>
    <w:rsid w:val="00603A31"/>
    <w:rsid w:val="00603AB3"/>
    <w:rsid w:val="006048B0"/>
    <w:rsid w:val="00610976"/>
    <w:rsid w:val="006126B4"/>
    <w:rsid w:val="00612854"/>
    <w:rsid w:val="0061359C"/>
    <w:rsid w:val="006135D6"/>
    <w:rsid w:val="006149D4"/>
    <w:rsid w:val="00615418"/>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27819"/>
    <w:rsid w:val="006306CB"/>
    <w:rsid w:val="006306D9"/>
    <w:rsid w:val="006308D2"/>
    <w:rsid w:val="00631209"/>
    <w:rsid w:val="00632AFD"/>
    <w:rsid w:val="0063483F"/>
    <w:rsid w:val="00635EB1"/>
    <w:rsid w:val="00635EB7"/>
    <w:rsid w:val="00636C26"/>
    <w:rsid w:val="00636DF3"/>
    <w:rsid w:val="00637B8F"/>
    <w:rsid w:val="00637FA5"/>
    <w:rsid w:val="006400AF"/>
    <w:rsid w:val="0064181D"/>
    <w:rsid w:val="00642E4B"/>
    <w:rsid w:val="00645429"/>
    <w:rsid w:val="00645617"/>
    <w:rsid w:val="00645B95"/>
    <w:rsid w:val="00646F0F"/>
    <w:rsid w:val="0064716B"/>
    <w:rsid w:val="006471F2"/>
    <w:rsid w:val="0064784A"/>
    <w:rsid w:val="006513B7"/>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392"/>
    <w:rsid w:val="006607A4"/>
    <w:rsid w:val="00660925"/>
    <w:rsid w:val="00661D53"/>
    <w:rsid w:val="00662C04"/>
    <w:rsid w:val="00664F5A"/>
    <w:rsid w:val="006652A5"/>
    <w:rsid w:val="00666E2E"/>
    <w:rsid w:val="00667112"/>
    <w:rsid w:val="00670600"/>
    <w:rsid w:val="00670B37"/>
    <w:rsid w:val="00672123"/>
    <w:rsid w:val="006730BD"/>
    <w:rsid w:val="00675A02"/>
    <w:rsid w:val="00676227"/>
    <w:rsid w:val="00677534"/>
    <w:rsid w:val="00677613"/>
    <w:rsid w:val="00677F3D"/>
    <w:rsid w:val="006804C6"/>
    <w:rsid w:val="006805E0"/>
    <w:rsid w:val="00681D1C"/>
    <w:rsid w:val="0068257A"/>
    <w:rsid w:val="006829B7"/>
    <w:rsid w:val="00682F29"/>
    <w:rsid w:val="00684159"/>
    <w:rsid w:val="00684ABA"/>
    <w:rsid w:val="00684B23"/>
    <w:rsid w:val="00684D86"/>
    <w:rsid w:val="0068508A"/>
    <w:rsid w:val="006851F1"/>
    <w:rsid w:val="00685A9B"/>
    <w:rsid w:val="00686871"/>
    <w:rsid w:val="00686E65"/>
    <w:rsid w:val="00686F07"/>
    <w:rsid w:val="006875A3"/>
    <w:rsid w:val="00690603"/>
    <w:rsid w:val="00692A72"/>
    <w:rsid w:val="006930F0"/>
    <w:rsid w:val="00693121"/>
    <w:rsid w:val="00693565"/>
    <w:rsid w:val="006935C5"/>
    <w:rsid w:val="0069398C"/>
    <w:rsid w:val="00693EBA"/>
    <w:rsid w:val="0069437E"/>
    <w:rsid w:val="006950F4"/>
    <w:rsid w:val="006955A3"/>
    <w:rsid w:val="0069611E"/>
    <w:rsid w:val="006962D9"/>
    <w:rsid w:val="0069719E"/>
    <w:rsid w:val="00697258"/>
    <w:rsid w:val="006A0991"/>
    <w:rsid w:val="006A0EF2"/>
    <w:rsid w:val="006A1569"/>
    <w:rsid w:val="006A3247"/>
    <w:rsid w:val="006A405D"/>
    <w:rsid w:val="006A41BA"/>
    <w:rsid w:val="006A428C"/>
    <w:rsid w:val="006A507E"/>
    <w:rsid w:val="006A546F"/>
    <w:rsid w:val="006A5567"/>
    <w:rsid w:val="006A5908"/>
    <w:rsid w:val="006A5FF9"/>
    <w:rsid w:val="006A626F"/>
    <w:rsid w:val="006A62C0"/>
    <w:rsid w:val="006A749C"/>
    <w:rsid w:val="006A767C"/>
    <w:rsid w:val="006B0154"/>
    <w:rsid w:val="006B02C2"/>
    <w:rsid w:val="006B0F98"/>
    <w:rsid w:val="006B201A"/>
    <w:rsid w:val="006B21B0"/>
    <w:rsid w:val="006B367E"/>
    <w:rsid w:val="006B4CFC"/>
    <w:rsid w:val="006B512C"/>
    <w:rsid w:val="006B543F"/>
    <w:rsid w:val="006B562D"/>
    <w:rsid w:val="006B67D1"/>
    <w:rsid w:val="006B7946"/>
    <w:rsid w:val="006C044E"/>
    <w:rsid w:val="006C082D"/>
    <w:rsid w:val="006C280B"/>
    <w:rsid w:val="006C6E33"/>
    <w:rsid w:val="006C78AE"/>
    <w:rsid w:val="006C7AED"/>
    <w:rsid w:val="006C7E43"/>
    <w:rsid w:val="006D0D54"/>
    <w:rsid w:val="006D1284"/>
    <w:rsid w:val="006D26B6"/>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32EA"/>
    <w:rsid w:val="006E4717"/>
    <w:rsid w:val="006E4AF4"/>
    <w:rsid w:val="006E4D33"/>
    <w:rsid w:val="006E5D15"/>
    <w:rsid w:val="006E76D8"/>
    <w:rsid w:val="006F2924"/>
    <w:rsid w:val="006F3DFB"/>
    <w:rsid w:val="006F43DE"/>
    <w:rsid w:val="006F459A"/>
    <w:rsid w:val="006F4F63"/>
    <w:rsid w:val="006F5630"/>
    <w:rsid w:val="006F5782"/>
    <w:rsid w:val="006F5857"/>
    <w:rsid w:val="006F777A"/>
    <w:rsid w:val="00700627"/>
    <w:rsid w:val="0070077C"/>
    <w:rsid w:val="00700B94"/>
    <w:rsid w:val="00700EEB"/>
    <w:rsid w:val="00701294"/>
    <w:rsid w:val="00701EF0"/>
    <w:rsid w:val="0070254A"/>
    <w:rsid w:val="007025AD"/>
    <w:rsid w:val="007027C9"/>
    <w:rsid w:val="007038B3"/>
    <w:rsid w:val="00703D4E"/>
    <w:rsid w:val="00705719"/>
    <w:rsid w:val="00705B7A"/>
    <w:rsid w:val="00706A1B"/>
    <w:rsid w:val="00706D84"/>
    <w:rsid w:val="00707CA7"/>
    <w:rsid w:val="007109CB"/>
    <w:rsid w:val="00710CC1"/>
    <w:rsid w:val="00710D09"/>
    <w:rsid w:val="0071141B"/>
    <w:rsid w:val="00711606"/>
    <w:rsid w:val="00711BCD"/>
    <w:rsid w:val="007135AE"/>
    <w:rsid w:val="00715482"/>
    <w:rsid w:val="007159A3"/>
    <w:rsid w:val="00715A28"/>
    <w:rsid w:val="00717038"/>
    <w:rsid w:val="007179BA"/>
    <w:rsid w:val="00720141"/>
    <w:rsid w:val="00720A4F"/>
    <w:rsid w:val="00720F58"/>
    <w:rsid w:val="00721AB9"/>
    <w:rsid w:val="00721F45"/>
    <w:rsid w:val="007221C8"/>
    <w:rsid w:val="00724C22"/>
    <w:rsid w:val="00725B82"/>
    <w:rsid w:val="0072614B"/>
    <w:rsid w:val="0072669D"/>
    <w:rsid w:val="0072766F"/>
    <w:rsid w:val="007278D1"/>
    <w:rsid w:val="00730094"/>
    <w:rsid w:val="00730694"/>
    <w:rsid w:val="00730C3A"/>
    <w:rsid w:val="00731319"/>
    <w:rsid w:val="00732CA3"/>
    <w:rsid w:val="00732D75"/>
    <w:rsid w:val="0073372F"/>
    <w:rsid w:val="00733B64"/>
    <w:rsid w:val="00734681"/>
    <w:rsid w:val="0073755F"/>
    <w:rsid w:val="0074029A"/>
    <w:rsid w:val="00741D4B"/>
    <w:rsid w:val="00742389"/>
    <w:rsid w:val="00742CF7"/>
    <w:rsid w:val="0074305B"/>
    <w:rsid w:val="00743566"/>
    <w:rsid w:val="00743B53"/>
    <w:rsid w:val="00743F3C"/>
    <w:rsid w:val="00744927"/>
    <w:rsid w:val="00745A1D"/>
    <w:rsid w:val="007460B2"/>
    <w:rsid w:val="00746853"/>
    <w:rsid w:val="00746C63"/>
    <w:rsid w:val="007472D6"/>
    <w:rsid w:val="00747824"/>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26"/>
    <w:rsid w:val="00760831"/>
    <w:rsid w:val="0076105A"/>
    <w:rsid w:val="00761A6B"/>
    <w:rsid w:val="00762F90"/>
    <w:rsid w:val="0076371A"/>
    <w:rsid w:val="00763CF4"/>
    <w:rsid w:val="00763F13"/>
    <w:rsid w:val="007643FF"/>
    <w:rsid w:val="0076462F"/>
    <w:rsid w:val="00764816"/>
    <w:rsid w:val="00764914"/>
    <w:rsid w:val="007651BB"/>
    <w:rsid w:val="00766784"/>
    <w:rsid w:val="007671F5"/>
    <w:rsid w:val="007675D2"/>
    <w:rsid w:val="007676BF"/>
    <w:rsid w:val="00770CB7"/>
    <w:rsid w:val="007710AC"/>
    <w:rsid w:val="0077159C"/>
    <w:rsid w:val="007724A4"/>
    <w:rsid w:val="00772E0F"/>
    <w:rsid w:val="007733C8"/>
    <w:rsid w:val="007734C6"/>
    <w:rsid w:val="00774FDB"/>
    <w:rsid w:val="00775091"/>
    <w:rsid w:val="007751EC"/>
    <w:rsid w:val="00775A38"/>
    <w:rsid w:val="00775A41"/>
    <w:rsid w:val="00776770"/>
    <w:rsid w:val="00776889"/>
    <w:rsid w:val="00776FD7"/>
    <w:rsid w:val="00777929"/>
    <w:rsid w:val="00777BCF"/>
    <w:rsid w:val="00782C61"/>
    <w:rsid w:val="0078326C"/>
    <w:rsid w:val="00785152"/>
    <w:rsid w:val="007853B8"/>
    <w:rsid w:val="0078572D"/>
    <w:rsid w:val="007860D8"/>
    <w:rsid w:val="007862B7"/>
    <w:rsid w:val="00786468"/>
    <w:rsid w:val="00787B6E"/>
    <w:rsid w:val="007923C8"/>
    <w:rsid w:val="0079247D"/>
    <w:rsid w:val="00792DF8"/>
    <w:rsid w:val="007958AF"/>
    <w:rsid w:val="00796D6D"/>
    <w:rsid w:val="0079779F"/>
    <w:rsid w:val="00797A49"/>
    <w:rsid w:val="00797FCC"/>
    <w:rsid w:val="007A03CE"/>
    <w:rsid w:val="007A057C"/>
    <w:rsid w:val="007A076E"/>
    <w:rsid w:val="007A1872"/>
    <w:rsid w:val="007A1D0E"/>
    <w:rsid w:val="007A3D21"/>
    <w:rsid w:val="007A4236"/>
    <w:rsid w:val="007A4583"/>
    <w:rsid w:val="007A4E72"/>
    <w:rsid w:val="007A5674"/>
    <w:rsid w:val="007A5928"/>
    <w:rsid w:val="007A61B2"/>
    <w:rsid w:val="007B0944"/>
    <w:rsid w:val="007B0CD8"/>
    <w:rsid w:val="007B2B3E"/>
    <w:rsid w:val="007B3EA9"/>
    <w:rsid w:val="007B4B88"/>
    <w:rsid w:val="007B5365"/>
    <w:rsid w:val="007B5DCB"/>
    <w:rsid w:val="007B5E03"/>
    <w:rsid w:val="007B61B8"/>
    <w:rsid w:val="007B642D"/>
    <w:rsid w:val="007B7768"/>
    <w:rsid w:val="007B7A69"/>
    <w:rsid w:val="007C0113"/>
    <w:rsid w:val="007C0209"/>
    <w:rsid w:val="007C0CCC"/>
    <w:rsid w:val="007C179B"/>
    <w:rsid w:val="007C1FED"/>
    <w:rsid w:val="007C241C"/>
    <w:rsid w:val="007C3ADE"/>
    <w:rsid w:val="007C3B11"/>
    <w:rsid w:val="007C473D"/>
    <w:rsid w:val="007C4919"/>
    <w:rsid w:val="007C4CD3"/>
    <w:rsid w:val="007C4E6A"/>
    <w:rsid w:val="007C58CF"/>
    <w:rsid w:val="007C6916"/>
    <w:rsid w:val="007C7050"/>
    <w:rsid w:val="007D01FC"/>
    <w:rsid w:val="007D04EA"/>
    <w:rsid w:val="007D0801"/>
    <w:rsid w:val="007D0AE5"/>
    <w:rsid w:val="007D0B71"/>
    <w:rsid w:val="007D0D05"/>
    <w:rsid w:val="007D2AA7"/>
    <w:rsid w:val="007D2CFA"/>
    <w:rsid w:val="007D3333"/>
    <w:rsid w:val="007D3649"/>
    <w:rsid w:val="007D39DA"/>
    <w:rsid w:val="007D43C3"/>
    <w:rsid w:val="007D4C01"/>
    <w:rsid w:val="007D4C15"/>
    <w:rsid w:val="007D6FA7"/>
    <w:rsid w:val="007D7D09"/>
    <w:rsid w:val="007E0813"/>
    <w:rsid w:val="007E1CF0"/>
    <w:rsid w:val="007E25A7"/>
    <w:rsid w:val="007E2F18"/>
    <w:rsid w:val="007E310E"/>
    <w:rsid w:val="007E37A2"/>
    <w:rsid w:val="007E4346"/>
    <w:rsid w:val="007E43C8"/>
    <w:rsid w:val="007E4B44"/>
    <w:rsid w:val="007E5429"/>
    <w:rsid w:val="007E70FC"/>
    <w:rsid w:val="007F06E2"/>
    <w:rsid w:val="007F09FD"/>
    <w:rsid w:val="007F0E8A"/>
    <w:rsid w:val="007F0F88"/>
    <w:rsid w:val="007F2285"/>
    <w:rsid w:val="007F461B"/>
    <w:rsid w:val="007F6C89"/>
    <w:rsid w:val="007F6E5B"/>
    <w:rsid w:val="007F7789"/>
    <w:rsid w:val="007F7AFA"/>
    <w:rsid w:val="00800328"/>
    <w:rsid w:val="008012AF"/>
    <w:rsid w:val="00802739"/>
    <w:rsid w:val="00802765"/>
    <w:rsid w:val="00803199"/>
    <w:rsid w:val="0080534B"/>
    <w:rsid w:val="00805389"/>
    <w:rsid w:val="00805491"/>
    <w:rsid w:val="00805ECD"/>
    <w:rsid w:val="008061F9"/>
    <w:rsid w:val="00806447"/>
    <w:rsid w:val="0080647B"/>
    <w:rsid w:val="0080679B"/>
    <w:rsid w:val="008068A6"/>
    <w:rsid w:val="00806922"/>
    <w:rsid w:val="0080721A"/>
    <w:rsid w:val="008079EA"/>
    <w:rsid w:val="008106AB"/>
    <w:rsid w:val="0081096E"/>
    <w:rsid w:val="0081111A"/>
    <w:rsid w:val="00811481"/>
    <w:rsid w:val="008114EC"/>
    <w:rsid w:val="00811A9B"/>
    <w:rsid w:val="00812590"/>
    <w:rsid w:val="00813DF2"/>
    <w:rsid w:val="008143ED"/>
    <w:rsid w:val="00816731"/>
    <w:rsid w:val="00820700"/>
    <w:rsid w:val="008214BA"/>
    <w:rsid w:val="00821850"/>
    <w:rsid w:val="008223E9"/>
    <w:rsid w:val="00822877"/>
    <w:rsid w:val="00822BC3"/>
    <w:rsid w:val="00824B33"/>
    <w:rsid w:val="00825230"/>
    <w:rsid w:val="00827634"/>
    <w:rsid w:val="00827A29"/>
    <w:rsid w:val="00827F0E"/>
    <w:rsid w:val="00830EA4"/>
    <w:rsid w:val="00831067"/>
    <w:rsid w:val="00831470"/>
    <w:rsid w:val="0083148C"/>
    <w:rsid w:val="00832FCD"/>
    <w:rsid w:val="00835237"/>
    <w:rsid w:val="008371F6"/>
    <w:rsid w:val="00837230"/>
    <w:rsid w:val="00837E74"/>
    <w:rsid w:val="0084027D"/>
    <w:rsid w:val="0084092C"/>
    <w:rsid w:val="0084100F"/>
    <w:rsid w:val="00841478"/>
    <w:rsid w:val="00841717"/>
    <w:rsid w:val="00841E47"/>
    <w:rsid w:val="0084376F"/>
    <w:rsid w:val="00844363"/>
    <w:rsid w:val="00844C23"/>
    <w:rsid w:val="00845A98"/>
    <w:rsid w:val="00845EB3"/>
    <w:rsid w:val="00846D39"/>
    <w:rsid w:val="0084705C"/>
    <w:rsid w:val="00847947"/>
    <w:rsid w:val="00847B6A"/>
    <w:rsid w:val="0085021F"/>
    <w:rsid w:val="00850978"/>
    <w:rsid w:val="00852E24"/>
    <w:rsid w:val="008532E9"/>
    <w:rsid w:val="008536AC"/>
    <w:rsid w:val="00855364"/>
    <w:rsid w:val="00855C26"/>
    <w:rsid w:val="00856BF1"/>
    <w:rsid w:val="008572A6"/>
    <w:rsid w:val="0085771C"/>
    <w:rsid w:val="00857794"/>
    <w:rsid w:val="00860BCF"/>
    <w:rsid w:val="00860E5B"/>
    <w:rsid w:val="00860F51"/>
    <w:rsid w:val="008615F9"/>
    <w:rsid w:val="00861D79"/>
    <w:rsid w:val="00862A97"/>
    <w:rsid w:val="00862C3E"/>
    <w:rsid w:val="00863159"/>
    <w:rsid w:val="008633D2"/>
    <w:rsid w:val="00863692"/>
    <w:rsid w:val="00863BDA"/>
    <w:rsid w:val="00863F7E"/>
    <w:rsid w:val="00864629"/>
    <w:rsid w:val="00864A30"/>
    <w:rsid w:val="00865003"/>
    <w:rsid w:val="008651BC"/>
    <w:rsid w:val="00865D01"/>
    <w:rsid w:val="00866B73"/>
    <w:rsid w:val="00866C1F"/>
    <w:rsid w:val="00866C53"/>
    <w:rsid w:val="0086783A"/>
    <w:rsid w:val="0087044C"/>
    <w:rsid w:val="008706A6"/>
    <w:rsid w:val="00871D25"/>
    <w:rsid w:val="00871F74"/>
    <w:rsid w:val="00872CAA"/>
    <w:rsid w:val="00873852"/>
    <w:rsid w:val="00873D78"/>
    <w:rsid w:val="00874040"/>
    <w:rsid w:val="00874D9F"/>
    <w:rsid w:val="008757BF"/>
    <w:rsid w:val="00875DC4"/>
    <w:rsid w:val="008762EE"/>
    <w:rsid w:val="00876E67"/>
    <w:rsid w:val="00877ADF"/>
    <w:rsid w:val="00880111"/>
    <w:rsid w:val="00880C64"/>
    <w:rsid w:val="00882C63"/>
    <w:rsid w:val="00882FA1"/>
    <w:rsid w:val="008835AA"/>
    <w:rsid w:val="008846E2"/>
    <w:rsid w:val="00885F4D"/>
    <w:rsid w:val="00886755"/>
    <w:rsid w:val="00886DE8"/>
    <w:rsid w:val="0088707F"/>
    <w:rsid w:val="00890A55"/>
    <w:rsid w:val="00890CE7"/>
    <w:rsid w:val="0089244D"/>
    <w:rsid w:val="00893129"/>
    <w:rsid w:val="00893FC9"/>
    <w:rsid w:val="00894071"/>
    <w:rsid w:val="008947C5"/>
    <w:rsid w:val="00894A1A"/>
    <w:rsid w:val="00895609"/>
    <w:rsid w:val="00895628"/>
    <w:rsid w:val="00895C7E"/>
    <w:rsid w:val="008965BB"/>
    <w:rsid w:val="0089684B"/>
    <w:rsid w:val="00896CA7"/>
    <w:rsid w:val="00896FAF"/>
    <w:rsid w:val="00897A2E"/>
    <w:rsid w:val="008A1D3C"/>
    <w:rsid w:val="008A1EF9"/>
    <w:rsid w:val="008A2F67"/>
    <w:rsid w:val="008A33A6"/>
    <w:rsid w:val="008A3FDE"/>
    <w:rsid w:val="008A410A"/>
    <w:rsid w:val="008A419E"/>
    <w:rsid w:val="008A4ABD"/>
    <w:rsid w:val="008A5337"/>
    <w:rsid w:val="008A58C2"/>
    <w:rsid w:val="008A7AE2"/>
    <w:rsid w:val="008B11E7"/>
    <w:rsid w:val="008B214C"/>
    <w:rsid w:val="008B2417"/>
    <w:rsid w:val="008B37A1"/>
    <w:rsid w:val="008B420E"/>
    <w:rsid w:val="008B43A8"/>
    <w:rsid w:val="008B5B52"/>
    <w:rsid w:val="008B5BAF"/>
    <w:rsid w:val="008B5EE5"/>
    <w:rsid w:val="008B5F7A"/>
    <w:rsid w:val="008B698C"/>
    <w:rsid w:val="008B6B03"/>
    <w:rsid w:val="008B7105"/>
    <w:rsid w:val="008B71A9"/>
    <w:rsid w:val="008B7FD9"/>
    <w:rsid w:val="008C101E"/>
    <w:rsid w:val="008C180E"/>
    <w:rsid w:val="008C3561"/>
    <w:rsid w:val="008C5192"/>
    <w:rsid w:val="008C59F0"/>
    <w:rsid w:val="008C62A7"/>
    <w:rsid w:val="008C6A29"/>
    <w:rsid w:val="008C7237"/>
    <w:rsid w:val="008C7F03"/>
    <w:rsid w:val="008D0866"/>
    <w:rsid w:val="008D086F"/>
    <w:rsid w:val="008D0DCB"/>
    <w:rsid w:val="008D1A29"/>
    <w:rsid w:val="008D4FB0"/>
    <w:rsid w:val="008D51B5"/>
    <w:rsid w:val="008D5B16"/>
    <w:rsid w:val="008D5FCD"/>
    <w:rsid w:val="008D73B7"/>
    <w:rsid w:val="008E015E"/>
    <w:rsid w:val="008E0D46"/>
    <w:rsid w:val="008E37D8"/>
    <w:rsid w:val="008E387D"/>
    <w:rsid w:val="008E3A79"/>
    <w:rsid w:val="008E4920"/>
    <w:rsid w:val="008E4968"/>
    <w:rsid w:val="008E4ACE"/>
    <w:rsid w:val="008E5241"/>
    <w:rsid w:val="008E54AD"/>
    <w:rsid w:val="008E5FFF"/>
    <w:rsid w:val="008E636F"/>
    <w:rsid w:val="008E697A"/>
    <w:rsid w:val="008E6A60"/>
    <w:rsid w:val="008E6EA3"/>
    <w:rsid w:val="008E77A6"/>
    <w:rsid w:val="008F0098"/>
    <w:rsid w:val="008F1342"/>
    <w:rsid w:val="008F25DD"/>
    <w:rsid w:val="008F26D0"/>
    <w:rsid w:val="008F29EE"/>
    <w:rsid w:val="008F398D"/>
    <w:rsid w:val="008F3EE9"/>
    <w:rsid w:val="008F4526"/>
    <w:rsid w:val="008F5D41"/>
    <w:rsid w:val="008F65E3"/>
    <w:rsid w:val="008F6756"/>
    <w:rsid w:val="008F7169"/>
    <w:rsid w:val="00901294"/>
    <w:rsid w:val="00901488"/>
    <w:rsid w:val="00902374"/>
    <w:rsid w:val="00903F14"/>
    <w:rsid w:val="009041FB"/>
    <w:rsid w:val="0090502B"/>
    <w:rsid w:val="0090518F"/>
    <w:rsid w:val="0090546C"/>
    <w:rsid w:val="009063F5"/>
    <w:rsid w:val="009078A8"/>
    <w:rsid w:val="00907931"/>
    <w:rsid w:val="00907B75"/>
    <w:rsid w:val="00907E76"/>
    <w:rsid w:val="00907FED"/>
    <w:rsid w:val="009106E6"/>
    <w:rsid w:val="009118D7"/>
    <w:rsid w:val="009122BA"/>
    <w:rsid w:val="00912EB6"/>
    <w:rsid w:val="009140B0"/>
    <w:rsid w:val="00916D12"/>
    <w:rsid w:val="00916F15"/>
    <w:rsid w:val="0092076F"/>
    <w:rsid w:val="00920AE8"/>
    <w:rsid w:val="00921230"/>
    <w:rsid w:val="00921C59"/>
    <w:rsid w:val="00923A6D"/>
    <w:rsid w:val="00923EDA"/>
    <w:rsid w:val="0092444F"/>
    <w:rsid w:val="00924B3A"/>
    <w:rsid w:val="009255C6"/>
    <w:rsid w:val="00926053"/>
    <w:rsid w:val="00926B3D"/>
    <w:rsid w:val="009271AA"/>
    <w:rsid w:val="0093008C"/>
    <w:rsid w:val="00930631"/>
    <w:rsid w:val="00931042"/>
    <w:rsid w:val="00931253"/>
    <w:rsid w:val="009312DF"/>
    <w:rsid w:val="009316EE"/>
    <w:rsid w:val="00931B5D"/>
    <w:rsid w:val="009323F9"/>
    <w:rsid w:val="0093243A"/>
    <w:rsid w:val="00932A28"/>
    <w:rsid w:val="00932ABE"/>
    <w:rsid w:val="00933197"/>
    <w:rsid w:val="00933F28"/>
    <w:rsid w:val="009343D3"/>
    <w:rsid w:val="00935851"/>
    <w:rsid w:val="00936160"/>
    <w:rsid w:val="00942008"/>
    <w:rsid w:val="009429D2"/>
    <w:rsid w:val="00944ACA"/>
    <w:rsid w:val="00946620"/>
    <w:rsid w:val="00946ECB"/>
    <w:rsid w:val="00947343"/>
    <w:rsid w:val="0094798E"/>
    <w:rsid w:val="00950507"/>
    <w:rsid w:val="00950AE6"/>
    <w:rsid w:val="00951774"/>
    <w:rsid w:val="00951CD9"/>
    <w:rsid w:val="00953710"/>
    <w:rsid w:val="00954368"/>
    <w:rsid w:val="00954864"/>
    <w:rsid w:val="00954B56"/>
    <w:rsid w:val="009551B5"/>
    <w:rsid w:val="00955F33"/>
    <w:rsid w:val="009573EB"/>
    <w:rsid w:val="0095743D"/>
    <w:rsid w:val="00957E2F"/>
    <w:rsid w:val="00960652"/>
    <w:rsid w:val="00961228"/>
    <w:rsid w:val="00961489"/>
    <w:rsid w:val="009616E9"/>
    <w:rsid w:val="00962647"/>
    <w:rsid w:val="00962A63"/>
    <w:rsid w:val="009632F7"/>
    <w:rsid w:val="009651E7"/>
    <w:rsid w:val="009654FF"/>
    <w:rsid w:val="009663BB"/>
    <w:rsid w:val="00966F94"/>
    <w:rsid w:val="00970050"/>
    <w:rsid w:val="00970CFB"/>
    <w:rsid w:val="00972625"/>
    <w:rsid w:val="009728C8"/>
    <w:rsid w:val="00972D7C"/>
    <w:rsid w:val="009742AB"/>
    <w:rsid w:val="009753EF"/>
    <w:rsid w:val="009762F2"/>
    <w:rsid w:val="00976E5C"/>
    <w:rsid w:val="00977708"/>
    <w:rsid w:val="00977BCA"/>
    <w:rsid w:val="0098113B"/>
    <w:rsid w:val="009816E2"/>
    <w:rsid w:val="00981CC7"/>
    <w:rsid w:val="009820C5"/>
    <w:rsid w:val="00982CC1"/>
    <w:rsid w:val="009831A9"/>
    <w:rsid w:val="009833D0"/>
    <w:rsid w:val="009837E5"/>
    <w:rsid w:val="00983977"/>
    <w:rsid w:val="009839E7"/>
    <w:rsid w:val="00984215"/>
    <w:rsid w:val="00984AB1"/>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0FCC"/>
    <w:rsid w:val="009A15CA"/>
    <w:rsid w:val="009A211A"/>
    <w:rsid w:val="009A2843"/>
    <w:rsid w:val="009A2FC1"/>
    <w:rsid w:val="009A41D7"/>
    <w:rsid w:val="009A46D9"/>
    <w:rsid w:val="009A4DCA"/>
    <w:rsid w:val="009A5857"/>
    <w:rsid w:val="009A6379"/>
    <w:rsid w:val="009A648D"/>
    <w:rsid w:val="009A6740"/>
    <w:rsid w:val="009A786D"/>
    <w:rsid w:val="009B2212"/>
    <w:rsid w:val="009B2532"/>
    <w:rsid w:val="009B2997"/>
    <w:rsid w:val="009B350E"/>
    <w:rsid w:val="009B59E3"/>
    <w:rsid w:val="009B6D2C"/>
    <w:rsid w:val="009B6F62"/>
    <w:rsid w:val="009B715B"/>
    <w:rsid w:val="009B763C"/>
    <w:rsid w:val="009B76AA"/>
    <w:rsid w:val="009C0104"/>
    <w:rsid w:val="009C091C"/>
    <w:rsid w:val="009C1F11"/>
    <w:rsid w:val="009C1F74"/>
    <w:rsid w:val="009C25C1"/>
    <w:rsid w:val="009C326A"/>
    <w:rsid w:val="009C33F2"/>
    <w:rsid w:val="009C3E9C"/>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064"/>
    <w:rsid w:val="009F7802"/>
    <w:rsid w:val="009F7FC5"/>
    <w:rsid w:val="00A000F3"/>
    <w:rsid w:val="00A01EBB"/>
    <w:rsid w:val="00A02F00"/>
    <w:rsid w:val="00A03065"/>
    <w:rsid w:val="00A036F8"/>
    <w:rsid w:val="00A03A38"/>
    <w:rsid w:val="00A040B7"/>
    <w:rsid w:val="00A041B3"/>
    <w:rsid w:val="00A050AE"/>
    <w:rsid w:val="00A05716"/>
    <w:rsid w:val="00A05C20"/>
    <w:rsid w:val="00A0613D"/>
    <w:rsid w:val="00A072AF"/>
    <w:rsid w:val="00A0751E"/>
    <w:rsid w:val="00A07A4C"/>
    <w:rsid w:val="00A07F35"/>
    <w:rsid w:val="00A1026A"/>
    <w:rsid w:val="00A10FF6"/>
    <w:rsid w:val="00A1125B"/>
    <w:rsid w:val="00A115A5"/>
    <w:rsid w:val="00A119E3"/>
    <w:rsid w:val="00A11BCD"/>
    <w:rsid w:val="00A11C21"/>
    <w:rsid w:val="00A126C1"/>
    <w:rsid w:val="00A134C9"/>
    <w:rsid w:val="00A14E97"/>
    <w:rsid w:val="00A15AE6"/>
    <w:rsid w:val="00A16CEC"/>
    <w:rsid w:val="00A2368E"/>
    <w:rsid w:val="00A23A8E"/>
    <w:rsid w:val="00A23E9D"/>
    <w:rsid w:val="00A2409D"/>
    <w:rsid w:val="00A24F9B"/>
    <w:rsid w:val="00A255F6"/>
    <w:rsid w:val="00A26527"/>
    <w:rsid w:val="00A26B26"/>
    <w:rsid w:val="00A2720A"/>
    <w:rsid w:val="00A27644"/>
    <w:rsid w:val="00A300A3"/>
    <w:rsid w:val="00A30DE7"/>
    <w:rsid w:val="00A3100C"/>
    <w:rsid w:val="00A31035"/>
    <w:rsid w:val="00A322F3"/>
    <w:rsid w:val="00A33BA4"/>
    <w:rsid w:val="00A348AC"/>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5008"/>
    <w:rsid w:val="00A45E92"/>
    <w:rsid w:val="00A46355"/>
    <w:rsid w:val="00A463DD"/>
    <w:rsid w:val="00A51253"/>
    <w:rsid w:val="00A52AFF"/>
    <w:rsid w:val="00A53198"/>
    <w:rsid w:val="00A53374"/>
    <w:rsid w:val="00A53959"/>
    <w:rsid w:val="00A53A10"/>
    <w:rsid w:val="00A555C2"/>
    <w:rsid w:val="00A556D9"/>
    <w:rsid w:val="00A568FB"/>
    <w:rsid w:val="00A576EE"/>
    <w:rsid w:val="00A57CE5"/>
    <w:rsid w:val="00A57D4E"/>
    <w:rsid w:val="00A57EB6"/>
    <w:rsid w:val="00A60E86"/>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0BC"/>
    <w:rsid w:val="00A847D5"/>
    <w:rsid w:val="00A84A83"/>
    <w:rsid w:val="00A85F58"/>
    <w:rsid w:val="00A865E2"/>
    <w:rsid w:val="00A90240"/>
    <w:rsid w:val="00A902F3"/>
    <w:rsid w:val="00A9049E"/>
    <w:rsid w:val="00A912BE"/>
    <w:rsid w:val="00A91468"/>
    <w:rsid w:val="00A91E76"/>
    <w:rsid w:val="00A92310"/>
    <w:rsid w:val="00A935D4"/>
    <w:rsid w:val="00A938FB"/>
    <w:rsid w:val="00A93A26"/>
    <w:rsid w:val="00A949CB"/>
    <w:rsid w:val="00A94D9A"/>
    <w:rsid w:val="00A956A7"/>
    <w:rsid w:val="00AA0BC7"/>
    <w:rsid w:val="00AA0C0A"/>
    <w:rsid w:val="00AA14B0"/>
    <w:rsid w:val="00AA171F"/>
    <w:rsid w:val="00AA17E5"/>
    <w:rsid w:val="00AA1DE6"/>
    <w:rsid w:val="00AA209E"/>
    <w:rsid w:val="00AA61A4"/>
    <w:rsid w:val="00AA6BC0"/>
    <w:rsid w:val="00AA7851"/>
    <w:rsid w:val="00AA796F"/>
    <w:rsid w:val="00AB0A25"/>
    <w:rsid w:val="00AB23D8"/>
    <w:rsid w:val="00AB2C81"/>
    <w:rsid w:val="00AB3226"/>
    <w:rsid w:val="00AB376C"/>
    <w:rsid w:val="00AB3C47"/>
    <w:rsid w:val="00AB408F"/>
    <w:rsid w:val="00AB4166"/>
    <w:rsid w:val="00AB456B"/>
    <w:rsid w:val="00AB4DE8"/>
    <w:rsid w:val="00AB584F"/>
    <w:rsid w:val="00AB5DAC"/>
    <w:rsid w:val="00AB5DC4"/>
    <w:rsid w:val="00AB66D1"/>
    <w:rsid w:val="00AB6A86"/>
    <w:rsid w:val="00AB7420"/>
    <w:rsid w:val="00AB7D5F"/>
    <w:rsid w:val="00AC0AFA"/>
    <w:rsid w:val="00AC10D4"/>
    <w:rsid w:val="00AC17AD"/>
    <w:rsid w:val="00AC1C28"/>
    <w:rsid w:val="00AC222E"/>
    <w:rsid w:val="00AC2F29"/>
    <w:rsid w:val="00AC3B92"/>
    <w:rsid w:val="00AC59F8"/>
    <w:rsid w:val="00AC5D65"/>
    <w:rsid w:val="00AC6152"/>
    <w:rsid w:val="00AC62A3"/>
    <w:rsid w:val="00AC661C"/>
    <w:rsid w:val="00AC76F0"/>
    <w:rsid w:val="00AC7D38"/>
    <w:rsid w:val="00AD0F95"/>
    <w:rsid w:val="00AD17B1"/>
    <w:rsid w:val="00AD2390"/>
    <w:rsid w:val="00AD27E1"/>
    <w:rsid w:val="00AD2C4F"/>
    <w:rsid w:val="00AD2D5E"/>
    <w:rsid w:val="00AD2D75"/>
    <w:rsid w:val="00AD2E80"/>
    <w:rsid w:val="00AD3DF7"/>
    <w:rsid w:val="00AD46DE"/>
    <w:rsid w:val="00AD534D"/>
    <w:rsid w:val="00AD652D"/>
    <w:rsid w:val="00AD671E"/>
    <w:rsid w:val="00AD74B4"/>
    <w:rsid w:val="00AD7C78"/>
    <w:rsid w:val="00AD7DA3"/>
    <w:rsid w:val="00AE082D"/>
    <w:rsid w:val="00AE0CCA"/>
    <w:rsid w:val="00AE11DB"/>
    <w:rsid w:val="00AE13B6"/>
    <w:rsid w:val="00AE13CD"/>
    <w:rsid w:val="00AE268A"/>
    <w:rsid w:val="00AE356D"/>
    <w:rsid w:val="00AE373A"/>
    <w:rsid w:val="00AE44EF"/>
    <w:rsid w:val="00AE46C2"/>
    <w:rsid w:val="00AE6D90"/>
    <w:rsid w:val="00AE6ECA"/>
    <w:rsid w:val="00AF14C5"/>
    <w:rsid w:val="00AF249B"/>
    <w:rsid w:val="00AF2FE0"/>
    <w:rsid w:val="00AF3445"/>
    <w:rsid w:val="00AF3A99"/>
    <w:rsid w:val="00AF416B"/>
    <w:rsid w:val="00AF5047"/>
    <w:rsid w:val="00AF5DEF"/>
    <w:rsid w:val="00AF682A"/>
    <w:rsid w:val="00AF7252"/>
    <w:rsid w:val="00AF7C2D"/>
    <w:rsid w:val="00B00BC0"/>
    <w:rsid w:val="00B00E72"/>
    <w:rsid w:val="00B00F39"/>
    <w:rsid w:val="00B024BC"/>
    <w:rsid w:val="00B0261B"/>
    <w:rsid w:val="00B02EA3"/>
    <w:rsid w:val="00B03361"/>
    <w:rsid w:val="00B03727"/>
    <w:rsid w:val="00B0401E"/>
    <w:rsid w:val="00B0491A"/>
    <w:rsid w:val="00B05A33"/>
    <w:rsid w:val="00B075FC"/>
    <w:rsid w:val="00B118F1"/>
    <w:rsid w:val="00B122D8"/>
    <w:rsid w:val="00B1272C"/>
    <w:rsid w:val="00B1299D"/>
    <w:rsid w:val="00B138FC"/>
    <w:rsid w:val="00B1405D"/>
    <w:rsid w:val="00B14BDF"/>
    <w:rsid w:val="00B16A5A"/>
    <w:rsid w:val="00B21D9C"/>
    <w:rsid w:val="00B22266"/>
    <w:rsid w:val="00B223E4"/>
    <w:rsid w:val="00B233CB"/>
    <w:rsid w:val="00B23724"/>
    <w:rsid w:val="00B23D60"/>
    <w:rsid w:val="00B23F09"/>
    <w:rsid w:val="00B24004"/>
    <w:rsid w:val="00B24086"/>
    <w:rsid w:val="00B2572D"/>
    <w:rsid w:val="00B25F9D"/>
    <w:rsid w:val="00B262E7"/>
    <w:rsid w:val="00B26306"/>
    <w:rsid w:val="00B265AC"/>
    <w:rsid w:val="00B26880"/>
    <w:rsid w:val="00B27E39"/>
    <w:rsid w:val="00B308E0"/>
    <w:rsid w:val="00B30D03"/>
    <w:rsid w:val="00B32210"/>
    <w:rsid w:val="00B32E0E"/>
    <w:rsid w:val="00B35F3B"/>
    <w:rsid w:val="00B3614D"/>
    <w:rsid w:val="00B3647C"/>
    <w:rsid w:val="00B366D3"/>
    <w:rsid w:val="00B36891"/>
    <w:rsid w:val="00B37274"/>
    <w:rsid w:val="00B37BDA"/>
    <w:rsid w:val="00B40198"/>
    <w:rsid w:val="00B40495"/>
    <w:rsid w:val="00B411A3"/>
    <w:rsid w:val="00B411B7"/>
    <w:rsid w:val="00B426D1"/>
    <w:rsid w:val="00B42F88"/>
    <w:rsid w:val="00B43336"/>
    <w:rsid w:val="00B439CA"/>
    <w:rsid w:val="00B44469"/>
    <w:rsid w:val="00B4618F"/>
    <w:rsid w:val="00B46809"/>
    <w:rsid w:val="00B4736D"/>
    <w:rsid w:val="00B50BEC"/>
    <w:rsid w:val="00B50D5E"/>
    <w:rsid w:val="00B510A4"/>
    <w:rsid w:val="00B52668"/>
    <w:rsid w:val="00B53B89"/>
    <w:rsid w:val="00B53C8D"/>
    <w:rsid w:val="00B543A3"/>
    <w:rsid w:val="00B5519A"/>
    <w:rsid w:val="00B55363"/>
    <w:rsid w:val="00B5658F"/>
    <w:rsid w:val="00B56E60"/>
    <w:rsid w:val="00B57B47"/>
    <w:rsid w:val="00B57E77"/>
    <w:rsid w:val="00B60019"/>
    <w:rsid w:val="00B615E7"/>
    <w:rsid w:val="00B63AD1"/>
    <w:rsid w:val="00B641DE"/>
    <w:rsid w:val="00B6506B"/>
    <w:rsid w:val="00B6598B"/>
    <w:rsid w:val="00B65EB1"/>
    <w:rsid w:val="00B6696A"/>
    <w:rsid w:val="00B66A7F"/>
    <w:rsid w:val="00B66C8A"/>
    <w:rsid w:val="00B66CF6"/>
    <w:rsid w:val="00B676C0"/>
    <w:rsid w:val="00B708FD"/>
    <w:rsid w:val="00B70A95"/>
    <w:rsid w:val="00B71AEB"/>
    <w:rsid w:val="00B7312D"/>
    <w:rsid w:val="00B7331C"/>
    <w:rsid w:val="00B737CF"/>
    <w:rsid w:val="00B73E41"/>
    <w:rsid w:val="00B742C5"/>
    <w:rsid w:val="00B74773"/>
    <w:rsid w:val="00B7548A"/>
    <w:rsid w:val="00B7585F"/>
    <w:rsid w:val="00B80146"/>
    <w:rsid w:val="00B8047D"/>
    <w:rsid w:val="00B804F8"/>
    <w:rsid w:val="00B80BCC"/>
    <w:rsid w:val="00B8160E"/>
    <w:rsid w:val="00B826E3"/>
    <w:rsid w:val="00B82ED4"/>
    <w:rsid w:val="00B83C8D"/>
    <w:rsid w:val="00B84ED1"/>
    <w:rsid w:val="00B858E0"/>
    <w:rsid w:val="00B85B71"/>
    <w:rsid w:val="00B86257"/>
    <w:rsid w:val="00B86D7B"/>
    <w:rsid w:val="00B86E8E"/>
    <w:rsid w:val="00B86F99"/>
    <w:rsid w:val="00B8752B"/>
    <w:rsid w:val="00B87731"/>
    <w:rsid w:val="00B932C0"/>
    <w:rsid w:val="00B93D0F"/>
    <w:rsid w:val="00B93E19"/>
    <w:rsid w:val="00B94427"/>
    <w:rsid w:val="00B94678"/>
    <w:rsid w:val="00B96386"/>
    <w:rsid w:val="00B96C69"/>
    <w:rsid w:val="00B975B0"/>
    <w:rsid w:val="00BA0860"/>
    <w:rsid w:val="00BA123E"/>
    <w:rsid w:val="00BA1490"/>
    <w:rsid w:val="00BA1F66"/>
    <w:rsid w:val="00BA3006"/>
    <w:rsid w:val="00BA3A37"/>
    <w:rsid w:val="00BA527D"/>
    <w:rsid w:val="00BA673E"/>
    <w:rsid w:val="00BA6D26"/>
    <w:rsid w:val="00BA6E4D"/>
    <w:rsid w:val="00BA7B65"/>
    <w:rsid w:val="00BA7CC8"/>
    <w:rsid w:val="00BB16B9"/>
    <w:rsid w:val="00BB2910"/>
    <w:rsid w:val="00BB37E1"/>
    <w:rsid w:val="00BB395D"/>
    <w:rsid w:val="00BB40A3"/>
    <w:rsid w:val="00BB4833"/>
    <w:rsid w:val="00BB4A7A"/>
    <w:rsid w:val="00BB4CDE"/>
    <w:rsid w:val="00BB5897"/>
    <w:rsid w:val="00BB6C45"/>
    <w:rsid w:val="00BB6CFE"/>
    <w:rsid w:val="00BB6E7A"/>
    <w:rsid w:val="00BB713F"/>
    <w:rsid w:val="00BB7156"/>
    <w:rsid w:val="00BB727F"/>
    <w:rsid w:val="00BB7CED"/>
    <w:rsid w:val="00BC0ED4"/>
    <w:rsid w:val="00BC147C"/>
    <w:rsid w:val="00BC1D74"/>
    <w:rsid w:val="00BC2A04"/>
    <w:rsid w:val="00BC37AA"/>
    <w:rsid w:val="00BC4B07"/>
    <w:rsid w:val="00BC4F3C"/>
    <w:rsid w:val="00BC508D"/>
    <w:rsid w:val="00BC58C4"/>
    <w:rsid w:val="00BC606C"/>
    <w:rsid w:val="00BC6172"/>
    <w:rsid w:val="00BC6305"/>
    <w:rsid w:val="00BC6519"/>
    <w:rsid w:val="00BC67D4"/>
    <w:rsid w:val="00BC6FC4"/>
    <w:rsid w:val="00BD03F2"/>
    <w:rsid w:val="00BD2012"/>
    <w:rsid w:val="00BD29D3"/>
    <w:rsid w:val="00BD35AB"/>
    <w:rsid w:val="00BD457C"/>
    <w:rsid w:val="00BD59E3"/>
    <w:rsid w:val="00BD5BEE"/>
    <w:rsid w:val="00BD6509"/>
    <w:rsid w:val="00BD7BB0"/>
    <w:rsid w:val="00BE01C3"/>
    <w:rsid w:val="00BE13BD"/>
    <w:rsid w:val="00BE1ECE"/>
    <w:rsid w:val="00BE2E49"/>
    <w:rsid w:val="00BE2F76"/>
    <w:rsid w:val="00BE3273"/>
    <w:rsid w:val="00BE411C"/>
    <w:rsid w:val="00BE4504"/>
    <w:rsid w:val="00BE4682"/>
    <w:rsid w:val="00BE59D2"/>
    <w:rsid w:val="00BE6656"/>
    <w:rsid w:val="00BE6AA6"/>
    <w:rsid w:val="00BF115B"/>
    <w:rsid w:val="00BF171F"/>
    <w:rsid w:val="00BF235A"/>
    <w:rsid w:val="00BF3633"/>
    <w:rsid w:val="00BF384C"/>
    <w:rsid w:val="00BF3C70"/>
    <w:rsid w:val="00BF4A3E"/>
    <w:rsid w:val="00BF550B"/>
    <w:rsid w:val="00BF65E2"/>
    <w:rsid w:val="00BF7386"/>
    <w:rsid w:val="00BF769F"/>
    <w:rsid w:val="00C00192"/>
    <w:rsid w:val="00C016D0"/>
    <w:rsid w:val="00C01B3A"/>
    <w:rsid w:val="00C0533F"/>
    <w:rsid w:val="00C06811"/>
    <w:rsid w:val="00C06DBF"/>
    <w:rsid w:val="00C071F7"/>
    <w:rsid w:val="00C07289"/>
    <w:rsid w:val="00C10250"/>
    <w:rsid w:val="00C1074F"/>
    <w:rsid w:val="00C11AD1"/>
    <w:rsid w:val="00C14FEF"/>
    <w:rsid w:val="00C15594"/>
    <w:rsid w:val="00C1634C"/>
    <w:rsid w:val="00C16D4D"/>
    <w:rsid w:val="00C17E31"/>
    <w:rsid w:val="00C20201"/>
    <w:rsid w:val="00C211B0"/>
    <w:rsid w:val="00C21A4B"/>
    <w:rsid w:val="00C223F7"/>
    <w:rsid w:val="00C23228"/>
    <w:rsid w:val="00C23BC0"/>
    <w:rsid w:val="00C23DAF"/>
    <w:rsid w:val="00C254D3"/>
    <w:rsid w:val="00C26564"/>
    <w:rsid w:val="00C2668A"/>
    <w:rsid w:val="00C26C9E"/>
    <w:rsid w:val="00C31694"/>
    <w:rsid w:val="00C3176D"/>
    <w:rsid w:val="00C321D9"/>
    <w:rsid w:val="00C3222A"/>
    <w:rsid w:val="00C32B36"/>
    <w:rsid w:val="00C32D4B"/>
    <w:rsid w:val="00C32F97"/>
    <w:rsid w:val="00C33A46"/>
    <w:rsid w:val="00C33CF6"/>
    <w:rsid w:val="00C34181"/>
    <w:rsid w:val="00C34381"/>
    <w:rsid w:val="00C349DB"/>
    <w:rsid w:val="00C3574F"/>
    <w:rsid w:val="00C36AF7"/>
    <w:rsid w:val="00C36B02"/>
    <w:rsid w:val="00C36CE5"/>
    <w:rsid w:val="00C36ECE"/>
    <w:rsid w:val="00C37F43"/>
    <w:rsid w:val="00C4000A"/>
    <w:rsid w:val="00C4268E"/>
    <w:rsid w:val="00C42769"/>
    <w:rsid w:val="00C44B07"/>
    <w:rsid w:val="00C450BD"/>
    <w:rsid w:val="00C46171"/>
    <w:rsid w:val="00C46501"/>
    <w:rsid w:val="00C467F0"/>
    <w:rsid w:val="00C47D6C"/>
    <w:rsid w:val="00C47E88"/>
    <w:rsid w:val="00C501BB"/>
    <w:rsid w:val="00C512C9"/>
    <w:rsid w:val="00C515DE"/>
    <w:rsid w:val="00C52399"/>
    <w:rsid w:val="00C537E5"/>
    <w:rsid w:val="00C53CB6"/>
    <w:rsid w:val="00C543E3"/>
    <w:rsid w:val="00C552D4"/>
    <w:rsid w:val="00C56433"/>
    <w:rsid w:val="00C564AE"/>
    <w:rsid w:val="00C56A9C"/>
    <w:rsid w:val="00C56E45"/>
    <w:rsid w:val="00C56EF1"/>
    <w:rsid w:val="00C61D62"/>
    <w:rsid w:val="00C6203F"/>
    <w:rsid w:val="00C62367"/>
    <w:rsid w:val="00C6260E"/>
    <w:rsid w:val="00C62EFA"/>
    <w:rsid w:val="00C6309B"/>
    <w:rsid w:val="00C63C69"/>
    <w:rsid w:val="00C643B2"/>
    <w:rsid w:val="00C64756"/>
    <w:rsid w:val="00C64B31"/>
    <w:rsid w:val="00C64FA2"/>
    <w:rsid w:val="00C661CD"/>
    <w:rsid w:val="00C66533"/>
    <w:rsid w:val="00C6721E"/>
    <w:rsid w:val="00C67C2C"/>
    <w:rsid w:val="00C70193"/>
    <w:rsid w:val="00C70274"/>
    <w:rsid w:val="00C70958"/>
    <w:rsid w:val="00C713D8"/>
    <w:rsid w:val="00C71814"/>
    <w:rsid w:val="00C71E6F"/>
    <w:rsid w:val="00C73269"/>
    <w:rsid w:val="00C73351"/>
    <w:rsid w:val="00C7442F"/>
    <w:rsid w:val="00C7497A"/>
    <w:rsid w:val="00C74ED7"/>
    <w:rsid w:val="00C75FDF"/>
    <w:rsid w:val="00C76393"/>
    <w:rsid w:val="00C7783D"/>
    <w:rsid w:val="00C77E9A"/>
    <w:rsid w:val="00C80657"/>
    <w:rsid w:val="00C8160A"/>
    <w:rsid w:val="00C81CCF"/>
    <w:rsid w:val="00C8203E"/>
    <w:rsid w:val="00C820E9"/>
    <w:rsid w:val="00C830B0"/>
    <w:rsid w:val="00C85225"/>
    <w:rsid w:val="00C858E8"/>
    <w:rsid w:val="00C863ED"/>
    <w:rsid w:val="00C87249"/>
    <w:rsid w:val="00C87C2E"/>
    <w:rsid w:val="00C90376"/>
    <w:rsid w:val="00C916F1"/>
    <w:rsid w:val="00C91756"/>
    <w:rsid w:val="00C9187C"/>
    <w:rsid w:val="00C91AED"/>
    <w:rsid w:val="00C92EA9"/>
    <w:rsid w:val="00C93A36"/>
    <w:rsid w:val="00C95613"/>
    <w:rsid w:val="00C96CD0"/>
    <w:rsid w:val="00C96E8C"/>
    <w:rsid w:val="00C96F64"/>
    <w:rsid w:val="00CA01E4"/>
    <w:rsid w:val="00CA0A67"/>
    <w:rsid w:val="00CA1150"/>
    <w:rsid w:val="00CA3310"/>
    <w:rsid w:val="00CA34EE"/>
    <w:rsid w:val="00CA36A0"/>
    <w:rsid w:val="00CA404E"/>
    <w:rsid w:val="00CB1068"/>
    <w:rsid w:val="00CB1837"/>
    <w:rsid w:val="00CB3A76"/>
    <w:rsid w:val="00CB43BC"/>
    <w:rsid w:val="00CB4B69"/>
    <w:rsid w:val="00CB52F6"/>
    <w:rsid w:val="00CB5DEA"/>
    <w:rsid w:val="00CB5E55"/>
    <w:rsid w:val="00CB6A24"/>
    <w:rsid w:val="00CB7F45"/>
    <w:rsid w:val="00CC05EC"/>
    <w:rsid w:val="00CC24DD"/>
    <w:rsid w:val="00CC2A3C"/>
    <w:rsid w:val="00CC3348"/>
    <w:rsid w:val="00CC4B48"/>
    <w:rsid w:val="00CC4F86"/>
    <w:rsid w:val="00CC772D"/>
    <w:rsid w:val="00CD0779"/>
    <w:rsid w:val="00CD0E67"/>
    <w:rsid w:val="00CD0FDE"/>
    <w:rsid w:val="00CD10B8"/>
    <w:rsid w:val="00CD1B44"/>
    <w:rsid w:val="00CD2B7E"/>
    <w:rsid w:val="00CD4096"/>
    <w:rsid w:val="00CD5F29"/>
    <w:rsid w:val="00CD70C9"/>
    <w:rsid w:val="00CD7416"/>
    <w:rsid w:val="00CD7E8E"/>
    <w:rsid w:val="00CD7EFC"/>
    <w:rsid w:val="00CE0182"/>
    <w:rsid w:val="00CE09D7"/>
    <w:rsid w:val="00CE1992"/>
    <w:rsid w:val="00CE1ED2"/>
    <w:rsid w:val="00CE28B5"/>
    <w:rsid w:val="00CE2D22"/>
    <w:rsid w:val="00CE3243"/>
    <w:rsid w:val="00CE395B"/>
    <w:rsid w:val="00CE4564"/>
    <w:rsid w:val="00CE52E0"/>
    <w:rsid w:val="00CE5323"/>
    <w:rsid w:val="00CE6965"/>
    <w:rsid w:val="00CF14B7"/>
    <w:rsid w:val="00CF301F"/>
    <w:rsid w:val="00CF3635"/>
    <w:rsid w:val="00CF3AE7"/>
    <w:rsid w:val="00CF4050"/>
    <w:rsid w:val="00CF50F2"/>
    <w:rsid w:val="00CF5182"/>
    <w:rsid w:val="00CF5D15"/>
    <w:rsid w:val="00CF7FFC"/>
    <w:rsid w:val="00D00EC7"/>
    <w:rsid w:val="00D016A9"/>
    <w:rsid w:val="00D027AE"/>
    <w:rsid w:val="00D02BEF"/>
    <w:rsid w:val="00D031A9"/>
    <w:rsid w:val="00D03B67"/>
    <w:rsid w:val="00D04C0F"/>
    <w:rsid w:val="00D04E62"/>
    <w:rsid w:val="00D0533E"/>
    <w:rsid w:val="00D057A9"/>
    <w:rsid w:val="00D06270"/>
    <w:rsid w:val="00D06F06"/>
    <w:rsid w:val="00D0772F"/>
    <w:rsid w:val="00D10396"/>
    <w:rsid w:val="00D10571"/>
    <w:rsid w:val="00D11CC7"/>
    <w:rsid w:val="00D12F57"/>
    <w:rsid w:val="00D13BC3"/>
    <w:rsid w:val="00D1494A"/>
    <w:rsid w:val="00D14BC4"/>
    <w:rsid w:val="00D150A9"/>
    <w:rsid w:val="00D154E3"/>
    <w:rsid w:val="00D1600D"/>
    <w:rsid w:val="00D16713"/>
    <w:rsid w:val="00D16FFF"/>
    <w:rsid w:val="00D2024E"/>
    <w:rsid w:val="00D2079E"/>
    <w:rsid w:val="00D21012"/>
    <w:rsid w:val="00D21678"/>
    <w:rsid w:val="00D21BB1"/>
    <w:rsid w:val="00D21F10"/>
    <w:rsid w:val="00D2234A"/>
    <w:rsid w:val="00D22E91"/>
    <w:rsid w:val="00D23818"/>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B6D"/>
    <w:rsid w:val="00D41E57"/>
    <w:rsid w:val="00D42C6F"/>
    <w:rsid w:val="00D43948"/>
    <w:rsid w:val="00D449A0"/>
    <w:rsid w:val="00D45830"/>
    <w:rsid w:val="00D45B50"/>
    <w:rsid w:val="00D47362"/>
    <w:rsid w:val="00D477DA"/>
    <w:rsid w:val="00D5016C"/>
    <w:rsid w:val="00D51F53"/>
    <w:rsid w:val="00D53064"/>
    <w:rsid w:val="00D54B37"/>
    <w:rsid w:val="00D54E5C"/>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2EB4"/>
    <w:rsid w:val="00D73374"/>
    <w:rsid w:val="00D734EE"/>
    <w:rsid w:val="00D73CB7"/>
    <w:rsid w:val="00D73FB1"/>
    <w:rsid w:val="00D743F0"/>
    <w:rsid w:val="00D74E88"/>
    <w:rsid w:val="00D75037"/>
    <w:rsid w:val="00D76348"/>
    <w:rsid w:val="00D81671"/>
    <w:rsid w:val="00D82533"/>
    <w:rsid w:val="00D83250"/>
    <w:rsid w:val="00D84DA9"/>
    <w:rsid w:val="00D857EB"/>
    <w:rsid w:val="00D87150"/>
    <w:rsid w:val="00D87911"/>
    <w:rsid w:val="00D9048B"/>
    <w:rsid w:val="00D9054D"/>
    <w:rsid w:val="00D91DAF"/>
    <w:rsid w:val="00D940B1"/>
    <w:rsid w:val="00D94440"/>
    <w:rsid w:val="00D950A3"/>
    <w:rsid w:val="00D95507"/>
    <w:rsid w:val="00D968D5"/>
    <w:rsid w:val="00D96B05"/>
    <w:rsid w:val="00DA15A8"/>
    <w:rsid w:val="00DA423D"/>
    <w:rsid w:val="00DA5790"/>
    <w:rsid w:val="00DA5D19"/>
    <w:rsid w:val="00DA65B9"/>
    <w:rsid w:val="00DA6D40"/>
    <w:rsid w:val="00DA7813"/>
    <w:rsid w:val="00DB0F5A"/>
    <w:rsid w:val="00DB0F90"/>
    <w:rsid w:val="00DB1305"/>
    <w:rsid w:val="00DB268B"/>
    <w:rsid w:val="00DB309F"/>
    <w:rsid w:val="00DB4020"/>
    <w:rsid w:val="00DB4230"/>
    <w:rsid w:val="00DB68D5"/>
    <w:rsid w:val="00DB6BFB"/>
    <w:rsid w:val="00DB6D34"/>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5C36"/>
    <w:rsid w:val="00DD6CE4"/>
    <w:rsid w:val="00DD76C1"/>
    <w:rsid w:val="00DE3264"/>
    <w:rsid w:val="00DE3364"/>
    <w:rsid w:val="00DE3A51"/>
    <w:rsid w:val="00DE3B8E"/>
    <w:rsid w:val="00DE3D66"/>
    <w:rsid w:val="00DE3E50"/>
    <w:rsid w:val="00DE4117"/>
    <w:rsid w:val="00DE6459"/>
    <w:rsid w:val="00DE7DF1"/>
    <w:rsid w:val="00DF0EDC"/>
    <w:rsid w:val="00DF1397"/>
    <w:rsid w:val="00DF2044"/>
    <w:rsid w:val="00DF22B5"/>
    <w:rsid w:val="00DF392F"/>
    <w:rsid w:val="00DF4299"/>
    <w:rsid w:val="00DF4CFD"/>
    <w:rsid w:val="00DF516C"/>
    <w:rsid w:val="00DF5820"/>
    <w:rsid w:val="00DF6ED1"/>
    <w:rsid w:val="00DF74EA"/>
    <w:rsid w:val="00DF760C"/>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13F"/>
    <w:rsid w:val="00E14552"/>
    <w:rsid w:val="00E14EA4"/>
    <w:rsid w:val="00E159E0"/>
    <w:rsid w:val="00E16202"/>
    <w:rsid w:val="00E16A70"/>
    <w:rsid w:val="00E16B7D"/>
    <w:rsid w:val="00E174E8"/>
    <w:rsid w:val="00E17AC8"/>
    <w:rsid w:val="00E21CD4"/>
    <w:rsid w:val="00E22404"/>
    <w:rsid w:val="00E22AFC"/>
    <w:rsid w:val="00E22EBB"/>
    <w:rsid w:val="00E235E7"/>
    <w:rsid w:val="00E24945"/>
    <w:rsid w:val="00E24B25"/>
    <w:rsid w:val="00E24E1F"/>
    <w:rsid w:val="00E25A0C"/>
    <w:rsid w:val="00E25EE8"/>
    <w:rsid w:val="00E2613D"/>
    <w:rsid w:val="00E27C9A"/>
    <w:rsid w:val="00E3282B"/>
    <w:rsid w:val="00E329D2"/>
    <w:rsid w:val="00E32ECA"/>
    <w:rsid w:val="00E332E8"/>
    <w:rsid w:val="00E33DE8"/>
    <w:rsid w:val="00E34369"/>
    <w:rsid w:val="00E352FE"/>
    <w:rsid w:val="00E363BB"/>
    <w:rsid w:val="00E3691E"/>
    <w:rsid w:val="00E36948"/>
    <w:rsid w:val="00E36EF7"/>
    <w:rsid w:val="00E37A55"/>
    <w:rsid w:val="00E404DE"/>
    <w:rsid w:val="00E41245"/>
    <w:rsid w:val="00E41D7D"/>
    <w:rsid w:val="00E41DBE"/>
    <w:rsid w:val="00E4283C"/>
    <w:rsid w:val="00E4330F"/>
    <w:rsid w:val="00E4438F"/>
    <w:rsid w:val="00E446E4"/>
    <w:rsid w:val="00E448F7"/>
    <w:rsid w:val="00E44BAD"/>
    <w:rsid w:val="00E4629E"/>
    <w:rsid w:val="00E466BB"/>
    <w:rsid w:val="00E47924"/>
    <w:rsid w:val="00E511CD"/>
    <w:rsid w:val="00E51AA6"/>
    <w:rsid w:val="00E5221C"/>
    <w:rsid w:val="00E52899"/>
    <w:rsid w:val="00E54412"/>
    <w:rsid w:val="00E548A9"/>
    <w:rsid w:val="00E54A61"/>
    <w:rsid w:val="00E556A1"/>
    <w:rsid w:val="00E55749"/>
    <w:rsid w:val="00E55E5B"/>
    <w:rsid w:val="00E567EC"/>
    <w:rsid w:val="00E56DCF"/>
    <w:rsid w:val="00E57AFE"/>
    <w:rsid w:val="00E6001F"/>
    <w:rsid w:val="00E60823"/>
    <w:rsid w:val="00E60BC8"/>
    <w:rsid w:val="00E613DF"/>
    <w:rsid w:val="00E62667"/>
    <w:rsid w:val="00E62713"/>
    <w:rsid w:val="00E62942"/>
    <w:rsid w:val="00E62FDB"/>
    <w:rsid w:val="00E65D06"/>
    <w:rsid w:val="00E703D1"/>
    <w:rsid w:val="00E704B0"/>
    <w:rsid w:val="00E7064E"/>
    <w:rsid w:val="00E70CCD"/>
    <w:rsid w:val="00E70F8A"/>
    <w:rsid w:val="00E7141E"/>
    <w:rsid w:val="00E71AF1"/>
    <w:rsid w:val="00E71B9C"/>
    <w:rsid w:val="00E7312C"/>
    <w:rsid w:val="00E748C4"/>
    <w:rsid w:val="00E74A17"/>
    <w:rsid w:val="00E74F6B"/>
    <w:rsid w:val="00E74F74"/>
    <w:rsid w:val="00E75AC5"/>
    <w:rsid w:val="00E75BB5"/>
    <w:rsid w:val="00E760AF"/>
    <w:rsid w:val="00E7634D"/>
    <w:rsid w:val="00E77B13"/>
    <w:rsid w:val="00E77E66"/>
    <w:rsid w:val="00E80F9A"/>
    <w:rsid w:val="00E815D1"/>
    <w:rsid w:val="00E81FC5"/>
    <w:rsid w:val="00E83A93"/>
    <w:rsid w:val="00E83D10"/>
    <w:rsid w:val="00E84198"/>
    <w:rsid w:val="00E84712"/>
    <w:rsid w:val="00E849E9"/>
    <w:rsid w:val="00E84F31"/>
    <w:rsid w:val="00E85ADD"/>
    <w:rsid w:val="00E86B51"/>
    <w:rsid w:val="00E86F2F"/>
    <w:rsid w:val="00E8756F"/>
    <w:rsid w:val="00E902E7"/>
    <w:rsid w:val="00E91D38"/>
    <w:rsid w:val="00E926AB"/>
    <w:rsid w:val="00E927A5"/>
    <w:rsid w:val="00E93B96"/>
    <w:rsid w:val="00E93C5E"/>
    <w:rsid w:val="00E94189"/>
    <w:rsid w:val="00E944B1"/>
    <w:rsid w:val="00E957D8"/>
    <w:rsid w:val="00E96D6D"/>
    <w:rsid w:val="00E97B51"/>
    <w:rsid w:val="00EA5949"/>
    <w:rsid w:val="00EA5CC8"/>
    <w:rsid w:val="00EA5F40"/>
    <w:rsid w:val="00EA5F87"/>
    <w:rsid w:val="00EA61E3"/>
    <w:rsid w:val="00EB0A56"/>
    <w:rsid w:val="00EB0E81"/>
    <w:rsid w:val="00EB0F3C"/>
    <w:rsid w:val="00EB1B9A"/>
    <w:rsid w:val="00EB1C3D"/>
    <w:rsid w:val="00EB20E5"/>
    <w:rsid w:val="00EB2EDB"/>
    <w:rsid w:val="00EB3826"/>
    <w:rsid w:val="00EB4A6A"/>
    <w:rsid w:val="00EB500D"/>
    <w:rsid w:val="00EB5EE1"/>
    <w:rsid w:val="00EB6551"/>
    <w:rsid w:val="00EB681F"/>
    <w:rsid w:val="00EB7284"/>
    <w:rsid w:val="00EC09BE"/>
    <w:rsid w:val="00EC1021"/>
    <w:rsid w:val="00EC51A9"/>
    <w:rsid w:val="00EC5989"/>
    <w:rsid w:val="00EC5998"/>
    <w:rsid w:val="00EC59AB"/>
    <w:rsid w:val="00EC5E9B"/>
    <w:rsid w:val="00EC7AC5"/>
    <w:rsid w:val="00EC7BF0"/>
    <w:rsid w:val="00EC7DE9"/>
    <w:rsid w:val="00ED0342"/>
    <w:rsid w:val="00ED044D"/>
    <w:rsid w:val="00ED108C"/>
    <w:rsid w:val="00ED1716"/>
    <w:rsid w:val="00ED173F"/>
    <w:rsid w:val="00ED1CF0"/>
    <w:rsid w:val="00ED2604"/>
    <w:rsid w:val="00ED26FF"/>
    <w:rsid w:val="00ED419E"/>
    <w:rsid w:val="00ED480A"/>
    <w:rsid w:val="00ED53D0"/>
    <w:rsid w:val="00ED7546"/>
    <w:rsid w:val="00ED7B00"/>
    <w:rsid w:val="00EE08BF"/>
    <w:rsid w:val="00EE23BE"/>
    <w:rsid w:val="00EE3CF2"/>
    <w:rsid w:val="00EE4495"/>
    <w:rsid w:val="00EE4B79"/>
    <w:rsid w:val="00EE6DA1"/>
    <w:rsid w:val="00EE736D"/>
    <w:rsid w:val="00EE793B"/>
    <w:rsid w:val="00EF1DFA"/>
    <w:rsid w:val="00EF37A2"/>
    <w:rsid w:val="00EF3EE0"/>
    <w:rsid w:val="00EF3F20"/>
    <w:rsid w:val="00EF41FE"/>
    <w:rsid w:val="00EF4677"/>
    <w:rsid w:val="00EF4D7A"/>
    <w:rsid w:val="00EF4ED7"/>
    <w:rsid w:val="00EF5343"/>
    <w:rsid w:val="00EF640A"/>
    <w:rsid w:val="00EF7AD5"/>
    <w:rsid w:val="00F00891"/>
    <w:rsid w:val="00F02293"/>
    <w:rsid w:val="00F036C9"/>
    <w:rsid w:val="00F03D26"/>
    <w:rsid w:val="00F042C6"/>
    <w:rsid w:val="00F06799"/>
    <w:rsid w:val="00F07E3B"/>
    <w:rsid w:val="00F102F9"/>
    <w:rsid w:val="00F109FE"/>
    <w:rsid w:val="00F111D4"/>
    <w:rsid w:val="00F11BB5"/>
    <w:rsid w:val="00F1208F"/>
    <w:rsid w:val="00F1233A"/>
    <w:rsid w:val="00F1293C"/>
    <w:rsid w:val="00F129D7"/>
    <w:rsid w:val="00F13363"/>
    <w:rsid w:val="00F14FB0"/>
    <w:rsid w:val="00F153B2"/>
    <w:rsid w:val="00F15557"/>
    <w:rsid w:val="00F155F9"/>
    <w:rsid w:val="00F1571F"/>
    <w:rsid w:val="00F1604F"/>
    <w:rsid w:val="00F170B8"/>
    <w:rsid w:val="00F17E54"/>
    <w:rsid w:val="00F20A92"/>
    <w:rsid w:val="00F20F3E"/>
    <w:rsid w:val="00F21112"/>
    <w:rsid w:val="00F2120E"/>
    <w:rsid w:val="00F22F53"/>
    <w:rsid w:val="00F24C93"/>
    <w:rsid w:val="00F25AC9"/>
    <w:rsid w:val="00F2607A"/>
    <w:rsid w:val="00F26747"/>
    <w:rsid w:val="00F26834"/>
    <w:rsid w:val="00F26B6E"/>
    <w:rsid w:val="00F2718A"/>
    <w:rsid w:val="00F2754F"/>
    <w:rsid w:val="00F27FA9"/>
    <w:rsid w:val="00F3280E"/>
    <w:rsid w:val="00F328AF"/>
    <w:rsid w:val="00F344FB"/>
    <w:rsid w:val="00F3458E"/>
    <w:rsid w:val="00F350F2"/>
    <w:rsid w:val="00F3517A"/>
    <w:rsid w:val="00F3712D"/>
    <w:rsid w:val="00F40112"/>
    <w:rsid w:val="00F40317"/>
    <w:rsid w:val="00F40816"/>
    <w:rsid w:val="00F41AAE"/>
    <w:rsid w:val="00F41EAF"/>
    <w:rsid w:val="00F42575"/>
    <w:rsid w:val="00F42B65"/>
    <w:rsid w:val="00F42CF0"/>
    <w:rsid w:val="00F431D5"/>
    <w:rsid w:val="00F44235"/>
    <w:rsid w:val="00F448DB"/>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29D6"/>
    <w:rsid w:val="00F63B2B"/>
    <w:rsid w:val="00F642C9"/>
    <w:rsid w:val="00F65ACE"/>
    <w:rsid w:val="00F65D9C"/>
    <w:rsid w:val="00F65F72"/>
    <w:rsid w:val="00F66791"/>
    <w:rsid w:val="00F6772F"/>
    <w:rsid w:val="00F67A04"/>
    <w:rsid w:val="00F71173"/>
    <w:rsid w:val="00F71336"/>
    <w:rsid w:val="00F714B7"/>
    <w:rsid w:val="00F7197D"/>
    <w:rsid w:val="00F7221A"/>
    <w:rsid w:val="00F726C4"/>
    <w:rsid w:val="00F72705"/>
    <w:rsid w:val="00F72B5A"/>
    <w:rsid w:val="00F72E2D"/>
    <w:rsid w:val="00F74260"/>
    <w:rsid w:val="00F7526F"/>
    <w:rsid w:val="00F75B04"/>
    <w:rsid w:val="00F75FA4"/>
    <w:rsid w:val="00F77830"/>
    <w:rsid w:val="00F80967"/>
    <w:rsid w:val="00F814CC"/>
    <w:rsid w:val="00F81507"/>
    <w:rsid w:val="00F81542"/>
    <w:rsid w:val="00F817DC"/>
    <w:rsid w:val="00F8239E"/>
    <w:rsid w:val="00F823DC"/>
    <w:rsid w:val="00F82537"/>
    <w:rsid w:val="00F82CD7"/>
    <w:rsid w:val="00F82F87"/>
    <w:rsid w:val="00F82FBE"/>
    <w:rsid w:val="00F83A07"/>
    <w:rsid w:val="00F85309"/>
    <w:rsid w:val="00F858B3"/>
    <w:rsid w:val="00F85B77"/>
    <w:rsid w:val="00F86312"/>
    <w:rsid w:val="00F869A2"/>
    <w:rsid w:val="00F86A17"/>
    <w:rsid w:val="00F87216"/>
    <w:rsid w:val="00F90797"/>
    <w:rsid w:val="00F91180"/>
    <w:rsid w:val="00F91A9E"/>
    <w:rsid w:val="00F91EEC"/>
    <w:rsid w:val="00F93547"/>
    <w:rsid w:val="00F94004"/>
    <w:rsid w:val="00F94A87"/>
    <w:rsid w:val="00F951A0"/>
    <w:rsid w:val="00F95AFC"/>
    <w:rsid w:val="00F97B74"/>
    <w:rsid w:val="00FA00C4"/>
    <w:rsid w:val="00FA0231"/>
    <w:rsid w:val="00FA0388"/>
    <w:rsid w:val="00FA0CD7"/>
    <w:rsid w:val="00FA0CF8"/>
    <w:rsid w:val="00FA2919"/>
    <w:rsid w:val="00FA35B4"/>
    <w:rsid w:val="00FA3C10"/>
    <w:rsid w:val="00FA4DF1"/>
    <w:rsid w:val="00FA7046"/>
    <w:rsid w:val="00FA7E64"/>
    <w:rsid w:val="00FA7F0E"/>
    <w:rsid w:val="00FB0716"/>
    <w:rsid w:val="00FB08AD"/>
    <w:rsid w:val="00FB28FA"/>
    <w:rsid w:val="00FB3308"/>
    <w:rsid w:val="00FB3AC9"/>
    <w:rsid w:val="00FB3F61"/>
    <w:rsid w:val="00FB48FB"/>
    <w:rsid w:val="00FB4B19"/>
    <w:rsid w:val="00FB6B78"/>
    <w:rsid w:val="00FB7D36"/>
    <w:rsid w:val="00FC01CD"/>
    <w:rsid w:val="00FC0659"/>
    <w:rsid w:val="00FC09EF"/>
    <w:rsid w:val="00FC0F49"/>
    <w:rsid w:val="00FC11EA"/>
    <w:rsid w:val="00FC1265"/>
    <w:rsid w:val="00FC217E"/>
    <w:rsid w:val="00FC3556"/>
    <w:rsid w:val="00FC38BE"/>
    <w:rsid w:val="00FC3F77"/>
    <w:rsid w:val="00FC53B7"/>
    <w:rsid w:val="00FC55AA"/>
    <w:rsid w:val="00FC5DEB"/>
    <w:rsid w:val="00FC5F03"/>
    <w:rsid w:val="00FC6DB5"/>
    <w:rsid w:val="00FC72AB"/>
    <w:rsid w:val="00FD25F0"/>
    <w:rsid w:val="00FD2E0D"/>
    <w:rsid w:val="00FD3FA0"/>
    <w:rsid w:val="00FD546E"/>
    <w:rsid w:val="00FD7BA4"/>
    <w:rsid w:val="00FD7F4C"/>
    <w:rsid w:val="00FE00FC"/>
    <w:rsid w:val="00FE1934"/>
    <w:rsid w:val="00FE1C92"/>
    <w:rsid w:val="00FE1DBF"/>
    <w:rsid w:val="00FE22A9"/>
    <w:rsid w:val="00FE2306"/>
    <w:rsid w:val="00FE28B6"/>
    <w:rsid w:val="00FE2FE6"/>
    <w:rsid w:val="00FE3901"/>
    <w:rsid w:val="00FE3941"/>
    <w:rsid w:val="00FE3B49"/>
    <w:rsid w:val="00FE449F"/>
    <w:rsid w:val="00FE5373"/>
    <w:rsid w:val="00FE59B5"/>
    <w:rsid w:val="00FE5CBF"/>
    <w:rsid w:val="00FE5E7D"/>
    <w:rsid w:val="00FE6816"/>
    <w:rsid w:val="00FE6ACF"/>
    <w:rsid w:val="00FE7021"/>
    <w:rsid w:val="00FE727E"/>
    <w:rsid w:val="00FE7945"/>
    <w:rsid w:val="00FE7D2B"/>
    <w:rsid w:val="00FF0281"/>
    <w:rsid w:val="00FF19AD"/>
    <w:rsid w:val="00FF2E17"/>
    <w:rsid w:val="00FF3CF6"/>
    <w:rsid w:val="00FF3E2E"/>
    <w:rsid w:val="00FF55E6"/>
    <w:rsid w:val="00FF5C1C"/>
    <w:rsid w:val="00FF5D0C"/>
    <w:rsid w:val="00FF62E4"/>
    <w:rsid w:val="00FF700E"/>
    <w:rsid w:val="00FF7607"/>
    <w:rsid w:val="00FF762C"/>
    <w:rsid w:val="013712F7"/>
    <w:rsid w:val="014C1402"/>
    <w:rsid w:val="01754239"/>
    <w:rsid w:val="01CF7782"/>
    <w:rsid w:val="02111B48"/>
    <w:rsid w:val="021D1000"/>
    <w:rsid w:val="028D4AE0"/>
    <w:rsid w:val="03327FC8"/>
    <w:rsid w:val="037944DE"/>
    <w:rsid w:val="03AD764F"/>
    <w:rsid w:val="03D00BDF"/>
    <w:rsid w:val="03D2664B"/>
    <w:rsid w:val="041A1188"/>
    <w:rsid w:val="041F679F"/>
    <w:rsid w:val="046917C8"/>
    <w:rsid w:val="04A62A1C"/>
    <w:rsid w:val="052D73B6"/>
    <w:rsid w:val="0530678A"/>
    <w:rsid w:val="05917228"/>
    <w:rsid w:val="05A01219"/>
    <w:rsid w:val="05E355AA"/>
    <w:rsid w:val="062956B3"/>
    <w:rsid w:val="06732DD2"/>
    <w:rsid w:val="06F061D0"/>
    <w:rsid w:val="07214E72"/>
    <w:rsid w:val="07350087"/>
    <w:rsid w:val="0778561B"/>
    <w:rsid w:val="07973764"/>
    <w:rsid w:val="07CB4548"/>
    <w:rsid w:val="07D72EEC"/>
    <w:rsid w:val="083B105A"/>
    <w:rsid w:val="08433A9A"/>
    <w:rsid w:val="08534C69"/>
    <w:rsid w:val="085B58CB"/>
    <w:rsid w:val="08713AAF"/>
    <w:rsid w:val="08983A08"/>
    <w:rsid w:val="089F261F"/>
    <w:rsid w:val="08BA6A96"/>
    <w:rsid w:val="08C711B3"/>
    <w:rsid w:val="08C9422C"/>
    <w:rsid w:val="08F31FA8"/>
    <w:rsid w:val="09570591"/>
    <w:rsid w:val="095C40C9"/>
    <w:rsid w:val="09977F1A"/>
    <w:rsid w:val="09AC6A33"/>
    <w:rsid w:val="09DA37A8"/>
    <w:rsid w:val="0A486323"/>
    <w:rsid w:val="0A99282A"/>
    <w:rsid w:val="0A9B6453"/>
    <w:rsid w:val="0AB84332"/>
    <w:rsid w:val="0B275F39"/>
    <w:rsid w:val="0B2B3C7B"/>
    <w:rsid w:val="0B352404"/>
    <w:rsid w:val="0B5320D1"/>
    <w:rsid w:val="0C0629CA"/>
    <w:rsid w:val="0C3D530F"/>
    <w:rsid w:val="0C6B7D63"/>
    <w:rsid w:val="0CD21ED4"/>
    <w:rsid w:val="0D067F6E"/>
    <w:rsid w:val="0D3E0A4B"/>
    <w:rsid w:val="0D70006B"/>
    <w:rsid w:val="0D8E66C6"/>
    <w:rsid w:val="0D9F3D04"/>
    <w:rsid w:val="0DE46363"/>
    <w:rsid w:val="0E1B19BD"/>
    <w:rsid w:val="0E3177FA"/>
    <w:rsid w:val="0E5427C8"/>
    <w:rsid w:val="0E586BF9"/>
    <w:rsid w:val="0ED168E7"/>
    <w:rsid w:val="0EDD34DE"/>
    <w:rsid w:val="0EE7435D"/>
    <w:rsid w:val="0EE909E1"/>
    <w:rsid w:val="0EF96E94"/>
    <w:rsid w:val="0F8B4A18"/>
    <w:rsid w:val="0FE91C90"/>
    <w:rsid w:val="106A0DA2"/>
    <w:rsid w:val="108856CC"/>
    <w:rsid w:val="10B379BE"/>
    <w:rsid w:val="10C00D2F"/>
    <w:rsid w:val="10C27F2F"/>
    <w:rsid w:val="11511F61"/>
    <w:rsid w:val="11AA3420"/>
    <w:rsid w:val="11FC011F"/>
    <w:rsid w:val="12486EC1"/>
    <w:rsid w:val="12527D3F"/>
    <w:rsid w:val="126F6B43"/>
    <w:rsid w:val="12B554A4"/>
    <w:rsid w:val="12BF5F19"/>
    <w:rsid w:val="12E35254"/>
    <w:rsid w:val="12EA441C"/>
    <w:rsid w:val="1346335D"/>
    <w:rsid w:val="135605B0"/>
    <w:rsid w:val="135B1411"/>
    <w:rsid w:val="139B3968"/>
    <w:rsid w:val="14077DCC"/>
    <w:rsid w:val="143403FC"/>
    <w:rsid w:val="143D67CD"/>
    <w:rsid w:val="14424A8E"/>
    <w:rsid w:val="149F7C10"/>
    <w:rsid w:val="14B75AB0"/>
    <w:rsid w:val="155039AD"/>
    <w:rsid w:val="156264EB"/>
    <w:rsid w:val="15787E8C"/>
    <w:rsid w:val="159643E7"/>
    <w:rsid w:val="15F07D1B"/>
    <w:rsid w:val="162E461F"/>
    <w:rsid w:val="16351E52"/>
    <w:rsid w:val="166A7E0D"/>
    <w:rsid w:val="166E0EC0"/>
    <w:rsid w:val="16783AEC"/>
    <w:rsid w:val="16816E45"/>
    <w:rsid w:val="16C64858"/>
    <w:rsid w:val="16DC407B"/>
    <w:rsid w:val="16E3365C"/>
    <w:rsid w:val="1701104A"/>
    <w:rsid w:val="173A4D94"/>
    <w:rsid w:val="178E7A6B"/>
    <w:rsid w:val="18023FB5"/>
    <w:rsid w:val="18462707"/>
    <w:rsid w:val="18610CDC"/>
    <w:rsid w:val="186407CC"/>
    <w:rsid w:val="18FE477D"/>
    <w:rsid w:val="19030826"/>
    <w:rsid w:val="190D49C0"/>
    <w:rsid w:val="195D42F9"/>
    <w:rsid w:val="198F3627"/>
    <w:rsid w:val="19BD63E6"/>
    <w:rsid w:val="1A3366A8"/>
    <w:rsid w:val="1ABE5CF0"/>
    <w:rsid w:val="1AC11F06"/>
    <w:rsid w:val="1ACD1B79"/>
    <w:rsid w:val="1ACD5C66"/>
    <w:rsid w:val="1B154000"/>
    <w:rsid w:val="1B2B737F"/>
    <w:rsid w:val="1B697EA8"/>
    <w:rsid w:val="1B7B7F68"/>
    <w:rsid w:val="1BAB04C0"/>
    <w:rsid w:val="1BDF040E"/>
    <w:rsid w:val="1BE7599C"/>
    <w:rsid w:val="1BEC6B0F"/>
    <w:rsid w:val="1BF400B9"/>
    <w:rsid w:val="1C302E5D"/>
    <w:rsid w:val="1C6F7846"/>
    <w:rsid w:val="1C8B7959"/>
    <w:rsid w:val="1C915908"/>
    <w:rsid w:val="1CD35255"/>
    <w:rsid w:val="1D04257E"/>
    <w:rsid w:val="1D0C4F8F"/>
    <w:rsid w:val="1D4569D5"/>
    <w:rsid w:val="1D554B87"/>
    <w:rsid w:val="1D5C5F16"/>
    <w:rsid w:val="1DB0155C"/>
    <w:rsid w:val="1DC85359"/>
    <w:rsid w:val="1DE2466D"/>
    <w:rsid w:val="1DE5415D"/>
    <w:rsid w:val="1DF919B7"/>
    <w:rsid w:val="1E3429EF"/>
    <w:rsid w:val="1E4470D6"/>
    <w:rsid w:val="1E766B63"/>
    <w:rsid w:val="1E7E1EBC"/>
    <w:rsid w:val="1F1A1BE5"/>
    <w:rsid w:val="1F703EFB"/>
    <w:rsid w:val="1F8B2AE2"/>
    <w:rsid w:val="1FAD78F8"/>
    <w:rsid w:val="1FEA15B7"/>
    <w:rsid w:val="1FFA185A"/>
    <w:rsid w:val="200A102D"/>
    <w:rsid w:val="20142543"/>
    <w:rsid w:val="2040567B"/>
    <w:rsid w:val="20E2791F"/>
    <w:rsid w:val="20FF5536"/>
    <w:rsid w:val="21696EC0"/>
    <w:rsid w:val="21843C8D"/>
    <w:rsid w:val="21F4671D"/>
    <w:rsid w:val="22244D06"/>
    <w:rsid w:val="22280ABD"/>
    <w:rsid w:val="222A213F"/>
    <w:rsid w:val="225C18EF"/>
    <w:rsid w:val="230A1F70"/>
    <w:rsid w:val="233F7E6C"/>
    <w:rsid w:val="23686D57"/>
    <w:rsid w:val="23E5682D"/>
    <w:rsid w:val="24074FE6"/>
    <w:rsid w:val="24180C41"/>
    <w:rsid w:val="241E73F0"/>
    <w:rsid w:val="246F652F"/>
    <w:rsid w:val="24AD52A9"/>
    <w:rsid w:val="24D52000"/>
    <w:rsid w:val="24DB4D82"/>
    <w:rsid w:val="24E30CCB"/>
    <w:rsid w:val="2505221B"/>
    <w:rsid w:val="25254147"/>
    <w:rsid w:val="25356E75"/>
    <w:rsid w:val="256B13EC"/>
    <w:rsid w:val="259049AF"/>
    <w:rsid w:val="259341C4"/>
    <w:rsid w:val="26021D1D"/>
    <w:rsid w:val="263A0DBE"/>
    <w:rsid w:val="265E4AAD"/>
    <w:rsid w:val="2714160F"/>
    <w:rsid w:val="271909D4"/>
    <w:rsid w:val="27361485"/>
    <w:rsid w:val="276E2ACE"/>
    <w:rsid w:val="27765E26"/>
    <w:rsid w:val="278C389C"/>
    <w:rsid w:val="27A95C55"/>
    <w:rsid w:val="27B626C7"/>
    <w:rsid w:val="27BB2307"/>
    <w:rsid w:val="28094EEC"/>
    <w:rsid w:val="284611E4"/>
    <w:rsid w:val="2849332A"/>
    <w:rsid w:val="2854287F"/>
    <w:rsid w:val="2879797C"/>
    <w:rsid w:val="28A50EF2"/>
    <w:rsid w:val="28B5297E"/>
    <w:rsid w:val="28C97D64"/>
    <w:rsid w:val="292B4D54"/>
    <w:rsid w:val="296879F1"/>
    <w:rsid w:val="298760C9"/>
    <w:rsid w:val="29B23F98"/>
    <w:rsid w:val="29ED5020"/>
    <w:rsid w:val="2A0E67EA"/>
    <w:rsid w:val="2A3E7670"/>
    <w:rsid w:val="2A554419"/>
    <w:rsid w:val="2A81520E"/>
    <w:rsid w:val="2AA43F19"/>
    <w:rsid w:val="2AAB5DE7"/>
    <w:rsid w:val="2AFC6642"/>
    <w:rsid w:val="2B0A5203"/>
    <w:rsid w:val="2B163BA8"/>
    <w:rsid w:val="2B33475A"/>
    <w:rsid w:val="2B7663F5"/>
    <w:rsid w:val="2BEE094C"/>
    <w:rsid w:val="2C240D6F"/>
    <w:rsid w:val="2C271DE5"/>
    <w:rsid w:val="2C4C35F9"/>
    <w:rsid w:val="2CB651C1"/>
    <w:rsid w:val="2CC3566A"/>
    <w:rsid w:val="2CE44D3D"/>
    <w:rsid w:val="2CF62FBE"/>
    <w:rsid w:val="2D0D0FDB"/>
    <w:rsid w:val="2D1C3D8C"/>
    <w:rsid w:val="2D6055AE"/>
    <w:rsid w:val="2D9406F0"/>
    <w:rsid w:val="2D94765A"/>
    <w:rsid w:val="2DAA05D8"/>
    <w:rsid w:val="2DEB4E1E"/>
    <w:rsid w:val="2E6E5EBA"/>
    <w:rsid w:val="2E9F7997"/>
    <w:rsid w:val="2ED0406E"/>
    <w:rsid w:val="2F076FBD"/>
    <w:rsid w:val="2F376146"/>
    <w:rsid w:val="2F4874EF"/>
    <w:rsid w:val="2F8378FF"/>
    <w:rsid w:val="30B95F1A"/>
    <w:rsid w:val="30BA73F7"/>
    <w:rsid w:val="30DD2A72"/>
    <w:rsid w:val="30E433EC"/>
    <w:rsid w:val="310D3357"/>
    <w:rsid w:val="31462D0D"/>
    <w:rsid w:val="31653193"/>
    <w:rsid w:val="31835228"/>
    <w:rsid w:val="31856B33"/>
    <w:rsid w:val="31B1462B"/>
    <w:rsid w:val="31D200FD"/>
    <w:rsid w:val="320771F2"/>
    <w:rsid w:val="3222052F"/>
    <w:rsid w:val="324D5E95"/>
    <w:rsid w:val="325F5E35"/>
    <w:rsid w:val="32983DAA"/>
    <w:rsid w:val="32987598"/>
    <w:rsid w:val="32A04E80"/>
    <w:rsid w:val="32AE04FD"/>
    <w:rsid w:val="33356589"/>
    <w:rsid w:val="336264BF"/>
    <w:rsid w:val="33B421B0"/>
    <w:rsid w:val="349B6ECC"/>
    <w:rsid w:val="34C71A6F"/>
    <w:rsid w:val="34F767F8"/>
    <w:rsid w:val="3507020E"/>
    <w:rsid w:val="350E6FCA"/>
    <w:rsid w:val="35727C2D"/>
    <w:rsid w:val="357C6CFE"/>
    <w:rsid w:val="3586192A"/>
    <w:rsid w:val="35E00BFF"/>
    <w:rsid w:val="35E07F3C"/>
    <w:rsid w:val="35F93F25"/>
    <w:rsid w:val="36070CBD"/>
    <w:rsid w:val="3646496C"/>
    <w:rsid w:val="365F1412"/>
    <w:rsid w:val="36603A33"/>
    <w:rsid w:val="366F0694"/>
    <w:rsid w:val="36B17200"/>
    <w:rsid w:val="36B9188B"/>
    <w:rsid w:val="3700570C"/>
    <w:rsid w:val="373F0574"/>
    <w:rsid w:val="37403D5B"/>
    <w:rsid w:val="374750E9"/>
    <w:rsid w:val="37585548"/>
    <w:rsid w:val="378A49A6"/>
    <w:rsid w:val="37A62074"/>
    <w:rsid w:val="37AF1ABA"/>
    <w:rsid w:val="37F848EE"/>
    <w:rsid w:val="38240021"/>
    <w:rsid w:val="384109E7"/>
    <w:rsid w:val="38673C95"/>
    <w:rsid w:val="387C0DC3"/>
    <w:rsid w:val="388F6D48"/>
    <w:rsid w:val="38B642D4"/>
    <w:rsid w:val="38D17360"/>
    <w:rsid w:val="38F92413"/>
    <w:rsid w:val="39761CB6"/>
    <w:rsid w:val="39A57F58"/>
    <w:rsid w:val="39A700C1"/>
    <w:rsid w:val="39AE2859"/>
    <w:rsid w:val="39B141B2"/>
    <w:rsid w:val="39B76556"/>
    <w:rsid w:val="39EA4849"/>
    <w:rsid w:val="3A3A4525"/>
    <w:rsid w:val="3A541FF7"/>
    <w:rsid w:val="3A6A7A6C"/>
    <w:rsid w:val="3ABD5DEE"/>
    <w:rsid w:val="3AE72AE5"/>
    <w:rsid w:val="3AFD7590"/>
    <w:rsid w:val="3B07350D"/>
    <w:rsid w:val="3B585B17"/>
    <w:rsid w:val="3BFF52EA"/>
    <w:rsid w:val="3C2A5735"/>
    <w:rsid w:val="3C2D1349"/>
    <w:rsid w:val="3C5207B8"/>
    <w:rsid w:val="3CCD3621"/>
    <w:rsid w:val="3CDB07AE"/>
    <w:rsid w:val="3D0025CD"/>
    <w:rsid w:val="3D583BB8"/>
    <w:rsid w:val="3D995D21"/>
    <w:rsid w:val="3DCE0312"/>
    <w:rsid w:val="3DD73184"/>
    <w:rsid w:val="3E970704"/>
    <w:rsid w:val="3E9E1A93"/>
    <w:rsid w:val="3EC207BE"/>
    <w:rsid w:val="3EDE4585"/>
    <w:rsid w:val="3F165ACD"/>
    <w:rsid w:val="3F6E3B5B"/>
    <w:rsid w:val="3F742E84"/>
    <w:rsid w:val="3FF7DA85"/>
    <w:rsid w:val="3FFD4EDF"/>
    <w:rsid w:val="401A6EC9"/>
    <w:rsid w:val="40251D40"/>
    <w:rsid w:val="405B0AE5"/>
    <w:rsid w:val="40D23C76"/>
    <w:rsid w:val="414347CC"/>
    <w:rsid w:val="41456B3D"/>
    <w:rsid w:val="41A3623A"/>
    <w:rsid w:val="42731488"/>
    <w:rsid w:val="42733236"/>
    <w:rsid w:val="429513FF"/>
    <w:rsid w:val="42B16259"/>
    <w:rsid w:val="42DB1674"/>
    <w:rsid w:val="42DC702D"/>
    <w:rsid w:val="42E14644"/>
    <w:rsid w:val="43244531"/>
    <w:rsid w:val="437F2ECA"/>
    <w:rsid w:val="43813C21"/>
    <w:rsid w:val="44276B53"/>
    <w:rsid w:val="448741DA"/>
    <w:rsid w:val="44A122DD"/>
    <w:rsid w:val="44C80A9F"/>
    <w:rsid w:val="44E66F99"/>
    <w:rsid w:val="44ED71B6"/>
    <w:rsid w:val="45117CC0"/>
    <w:rsid w:val="452A0524"/>
    <w:rsid w:val="45886FF9"/>
    <w:rsid w:val="458F3AFE"/>
    <w:rsid w:val="45A51959"/>
    <w:rsid w:val="45A755F8"/>
    <w:rsid w:val="462D74A7"/>
    <w:rsid w:val="468A0B4E"/>
    <w:rsid w:val="46B34549"/>
    <w:rsid w:val="46C15FBB"/>
    <w:rsid w:val="46F9441E"/>
    <w:rsid w:val="47060B1D"/>
    <w:rsid w:val="4739367F"/>
    <w:rsid w:val="474D493C"/>
    <w:rsid w:val="48401E0D"/>
    <w:rsid w:val="48515DC8"/>
    <w:rsid w:val="48711E75"/>
    <w:rsid w:val="48945CB4"/>
    <w:rsid w:val="48A72F7A"/>
    <w:rsid w:val="494B2817"/>
    <w:rsid w:val="49524A8F"/>
    <w:rsid w:val="49793828"/>
    <w:rsid w:val="498E4EBE"/>
    <w:rsid w:val="49C36FDD"/>
    <w:rsid w:val="4A11580F"/>
    <w:rsid w:val="4A49144C"/>
    <w:rsid w:val="4A6C513B"/>
    <w:rsid w:val="4ABE526B"/>
    <w:rsid w:val="4AE40A60"/>
    <w:rsid w:val="4AFD0CC2"/>
    <w:rsid w:val="4B1650A7"/>
    <w:rsid w:val="4B271062"/>
    <w:rsid w:val="4BC002BD"/>
    <w:rsid w:val="4BEF235C"/>
    <w:rsid w:val="4C793B3F"/>
    <w:rsid w:val="4CA5270A"/>
    <w:rsid w:val="4CA961D2"/>
    <w:rsid w:val="4CD54922"/>
    <w:rsid w:val="4D3315D8"/>
    <w:rsid w:val="4D661307"/>
    <w:rsid w:val="4D810EFD"/>
    <w:rsid w:val="4DE33966"/>
    <w:rsid w:val="4E1A7775"/>
    <w:rsid w:val="4E6E4AD1"/>
    <w:rsid w:val="4E846E55"/>
    <w:rsid w:val="4E962786"/>
    <w:rsid w:val="4EA01857"/>
    <w:rsid w:val="4EEB5031"/>
    <w:rsid w:val="4EEE4370"/>
    <w:rsid w:val="50681F00"/>
    <w:rsid w:val="507C02E4"/>
    <w:rsid w:val="5093526A"/>
    <w:rsid w:val="516052CE"/>
    <w:rsid w:val="51A76C82"/>
    <w:rsid w:val="51B3364F"/>
    <w:rsid w:val="520243BE"/>
    <w:rsid w:val="521265C8"/>
    <w:rsid w:val="52B25B3B"/>
    <w:rsid w:val="53501FAF"/>
    <w:rsid w:val="53596D41"/>
    <w:rsid w:val="53764934"/>
    <w:rsid w:val="53AE40CE"/>
    <w:rsid w:val="54024E0A"/>
    <w:rsid w:val="541C54DC"/>
    <w:rsid w:val="542D593B"/>
    <w:rsid w:val="543C3DD0"/>
    <w:rsid w:val="54910B85"/>
    <w:rsid w:val="54C448B5"/>
    <w:rsid w:val="54E26CD8"/>
    <w:rsid w:val="54F45A77"/>
    <w:rsid w:val="55344AA7"/>
    <w:rsid w:val="557E74D1"/>
    <w:rsid w:val="558F7F2F"/>
    <w:rsid w:val="55CF5C89"/>
    <w:rsid w:val="55D818D6"/>
    <w:rsid w:val="56083D8A"/>
    <w:rsid w:val="561D553B"/>
    <w:rsid w:val="5651542C"/>
    <w:rsid w:val="56A42C52"/>
    <w:rsid w:val="56F62AFE"/>
    <w:rsid w:val="571D3AA1"/>
    <w:rsid w:val="576D604E"/>
    <w:rsid w:val="57A71560"/>
    <w:rsid w:val="57B7306E"/>
    <w:rsid w:val="57C2283E"/>
    <w:rsid w:val="57D61E46"/>
    <w:rsid w:val="58044C05"/>
    <w:rsid w:val="58436DD1"/>
    <w:rsid w:val="58652DF2"/>
    <w:rsid w:val="58BE10D1"/>
    <w:rsid w:val="59012EF2"/>
    <w:rsid w:val="59205A6E"/>
    <w:rsid w:val="59206BA0"/>
    <w:rsid w:val="59665758"/>
    <w:rsid w:val="59853B23"/>
    <w:rsid w:val="59AF0BA0"/>
    <w:rsid w:val="59E52814"/>
    <w:rsid w:val="59ED1C4B"/>
    <w:rsid w:val="5A1924BD"/>
    <w:rsid w:val="5A1F5D26"/>
    <w:rsid w:val="5A5654C0"/>
    <w:rsid w:val="5A8A39A1"/>
    <w:rsid w:val="5AF2476D"/>
    <w:rsid w:val="5B4D345E"/>
    <w:rsid w:val="5B9E0ECC"/>
    <w:rsid w:val="5C1D45E7"/>
    <w:rsid w:val="5C427AAA"/>
    <w:rsid w:val="5C45759A"/>
    <w:rsid w:val="5C4C0928"/>
    <w:rsid w:val="5C965A8F"/>
    <w:rsid w:val="5CA92F07"/>
    <w:rsid w:val="5CA93FCD"/>
    <w:rsid w:val="5CDE20A4"/>
    <w:rsid w:val="5CE40B61"/>
    <w:rsid w:val="5CF76AE6"/>
    <w:rsid w:val="5D157323"/>
    <w:rsid w:val="5D333896"/>
    <w:rsid w:val="5D3933F3"/>
    <w:rsid w:val="5DCD5A99"/>
    <w:rsid w:val="5E9A1EDD"/>
    <w:rsid w:val="5EA7453C"/>
    <w:rsid w:val="5F685A79"/>
    <w:rsid w:val="5FA56F34"/>
    <w:rsid w:val="5FA62A45"/>
    <w:rsid w:val="5FDA70EC"/>
    <w:rsid w:val="5FE92B45"/>
    <w:rsid w:val="5FEA0B84"/>
    <w:rsid w:val="5FFDE0F1"/>
    <w:rsid w:val="60254B25"/>
    <w:rsid w:val="603D5158"/>
    <w:rsid w:val="60565A8A"/>
    <w:rsid w:val="609D5BF6"/>
    <w:rsid w:val="60D04E21"/>
    <w:rsid w:val="61047A23"/>
    <w:rsid w:val="61243C22"/>
    <w:rsid w:val="61412A26"/>
    <w:rsid w:val="61443C20"/>
    <w:rsid w:val="61515999"/>
    <w:rsid w:val="61573FF7"/>
    <w:rsid w:val="61CB6793"/>
    <w:rsid w:val="623B7475"/>
    <w:rsid w:val="624E6E3D"/>
    <w:rsid w:val="62586279"/>
    <w:rsid w:val="6267026A"/>
    <w:rsid w:val="626E59C8"/>
    <w:rsid w:val="62970423"/>
    <w:rsid w:val="62A241F2"/>
    <w:rsid w:val="62B611F1"/>
    <w:rsid w:val="62D00C75"/>
    <w:rsid w:val="633E268D"/>
    <w:rsid w:val="635C46B8"/>
    <w:rsid w:val="640D1A88"/>
    <w:rsid w:val="644B5969"/>
    <w:rsid w:val="647E189B"/>
    <w:rsid w:val="64ED2360"/>
    <w:rsid w:val="65006754"/>
    <w:rsid w:val="65185833"/>
    <w:rsid w:val="652A1A23"/>
    <w:rsid w:val="65501489"/>
    <w:rsid w:val="65787B70"/>
    <w:rsid w:val="65821AD6"/>
    <w:rsid w:val="65E240AB"/>
    <w:rsid w:val="6603474E"/>
    <w:rsid w:val="660737FC"/>
    <w:rsid w:val="661A55F3"/>
    <w:rsid w:val="66310506"/>
    <w:rsid w:val="664E26D1"/>
    <w:rsid w:val="66A17AC3"/>
    <w:rsid w:val="66B27F22"/>
    <w:rsid w:val="673E55A5"/>
    <w:rsid w:val="67A05FCC"/>
    <w:rsid w:val="67A573BF"/>
    <w:rsid w:val="67F72090"/>
    <w:rsid w:val="680B1984"/>
    <w:rsid w:val="68A36D6D"/>
    <w:rsid w:val="68CB7079"/>
    <w:rsid w:val="68F62414"/>
    <w:rsid w:val="694110E9"/>
    <w:rsid w:val="69470DF5"/>
    <w:rsid w:val="6A0F0A3D"/>
    <w:rsid w:val="6A827DE9"/>
    <w:rsid w:val="6A9E2C97"/>
    <w:rsid w:val="6AA87672"/>
    <w:rsid w:val="6AB75B07"/>
    <w:rsid w:val="6AF2738A"/>
    <w:rsid w:val="6B1A1D3A"/>
    <w:rsid w:val="6B217BC0"/>
    <w:rsid w:val="6BBB1626"/>
    <w:rsid w:val="6C042FCD"/>
    <w:rsid w:val="6C046B2A"/>
    <w:rsid w:val="6C225202"/>
    <w:rsid w:val="6C232936"/>
    <w:rsid w:val="6CB46E74"/>
    <w:rsid w:val="6CB87914"/>
    <w:rsid w:val="6CC664D5"/>
    <w:rsid w:val="6CC87B57"/>
    <w:rsid w:val="6CD86F61"/>
    <w:rsid w:val="6D06067F"/>
    <w:rsid w:val="6D176D30"/>
    <w:rsid w:val="6D21195D"/>
    <w:rsid w:val="6D45389E"/>
    <w:rsid w:val="6DFB21AE"/>
    <w:rsid w:val="6E0F7A08"/>
    <w:rsid w:val="6E173013"/>
    <w:rsid w:val="6E531FEA"/>
    <w:rsid w:val="6EE13152"/>
    <w:rsid w:val="6EE95E98"/>
    <w:rsid w:val="6F0A4F8F"/>
    <w:rsid w:val="6F1E713A"/>
    <w:rsid w:val="6F1F1BBC"/>
    <w:rsid w:val="6F2105FA"/>
    <w:rsid w:val="6F525DFE"/>
    <w:rsid w:val="6F586D7F"/>
    <w:rsid w:val="6F5D2A4B"/>
    <w:rsid w:val="6F6B7964"/>
    <w:rsid w:val="6F75770F"/>
    <w:rsid w:val="6FB24AEE"/>
    <w:rsid w:val="6FE532C9"/>
    <w:rsid w:val="6FF868DE"/>
    <w:rsid w:val="6FFD3FBC"/>
    <w:rsid w:val="70513ACE"/>
    <w:rsid w:val="70B825D8"/>
    <w:rsid w:val="70C13529"/>
    <w:rsid w:val="70D32CFC"/>
    <w:rsid w:val="710567E9"/>
    <w:rsid w:val="71233EF6"/>
    <w:rsid w:val="7141437C"/>
    <w:rsid w:val="71505AF6"/>
    <w:rsid w:val="718D53F5"/>
    <w:rsid w:val="71A060C9"/>
    <w:rsid w:val="71CE2EB7"/>
    <w:rsid w:val="72320A43"/>
    <w:rsid w:val="72477148"/>
    <w:rsid w:val="725D5C2C"/>
    <w:rsid w:val="726522EC"/>
    <w:rsid w:val="72AC1CC9"/>
    <w:rsid w:val="72C15774"/>
    <w:rsid w:val="72C74D55"/>
    <w:rsid w:val="72E727AC"/>
    <w:rsid w:val="72E94CCB"/>
    <w:rsid w:val="73703B87"/>
    <w:rsid w:val="73734595"/>
    <w:rsid w:val="7393309E"/>
    <w:rsid w:val="73B13A3B"/>
    <w:rsid w:val="73C51294"/>
    <w:rsid w:val="73C973A1"/>
    <w:rsid w:val="747466E4"/>
    <w:rsid w:val="748979DC"/>
    <w:rsid w:val="74A63379"/>
    <w:rsid w:val="74C94DB4"/>
    <w:rsid w:val="74DA0D6F"/>
    <w:rsid w:val="75395B4E"/>
    <w:rsid w:val="754E0E15"/>
    <w:rsid w:val="75907680"/>
    <w:rsid w:val="75B07996"/>
    <w:rsid w:val="760953C8"/>
    <w:rsid w:val="76296D51"/>
    <w:rsid w:val="76312C11"/>
    <w:rsid w:val="76432944"/>
    <w:rsid w:val="765608C9"/>
    <w:rsid w:val="76B6521B"/>
    <w:rsid w:val="770E4D00"/>
    <w:rsid w:val="77184E73"/>
    <w:rsid w:val="773A6661"/>
    <w:rsid w:val="77416E84"/>
    <w:rsid w:val="7772528F"/>
    <w:rsid w:val="77743CE1"/>
    <w:rsid w:val="777F5BFE"/>
    <w:rsid w:val="77E837A3"/>
    <w:rsid w:val="77EC1993"/>
    <w:rsid w:val="78110A63"/>
    <w:rsid w:val="781225CE"/>
    <w:rsid w:val="781F7D81"/>
    <w:rsid w:val="782A3DBC"/>
    <w:rsid w:val="78491F11"/>
    <w:rsid w:val="78745037"/>
    <w:rsid w:val="78FE2B52"/>
    <w:rsid w:val="7904460D"/>
    <w:rsid w:val="79116D2A"/>
    <w:rsid w:val="791218EC"/>
    <w:rsid w:val="793E2FA9"/>
    <w:rsid w:val="79733540"/>
    <w:rsid w:val="798778C7"/>
    <w:rsid w:val="79AD5C78"/>
    <w:rsid w:val="79C82CC6"/>
    <w:rsid w:val="7AA53D46"/>
    <w:rsid w:val="7AA95429"/>
    <w:rsid w:val="7AB63F89"/>
    <w:rsid w:val="7B27685D"/>
    <w:rsid w:val="7B2820ED"/>
    <w:rsid w:val="7B2F16E9"/>
    <w:rsid w:val="7B855B76"/>
    <w:rsid w:val="7BAC2BD6"/>
    <w:rsid w:val="7BF85F7F"/>
    <w:rsid w:val="7C4A349B"/>
    <w:rsid w:val="7C653614"/>
    <w:rsid w:val="7C727760"/>
    <w:rsid w:val="7C8418B8"/>
    <w:rsid w:val="7C85533B"/>
    <w:rsid w:val="7D5C7632"/>
    <w:rsid w:val="7D6D7B78"/>
    <w:rsid w:val="7D800494"/>
    <w:rsid w:val="7E4B2482"/>
    <w:rsid w:val="7E527FF6"/>
    <w:rsid w:val="7E6E3A12"/>
    <w:rsid w:val="7E7421DD"/>
    <w:rsid w:val="7E8F7F05"/>
    <w:rsid w:val="7EC10816"/>
    <w:rsid w:val="7ED40246"/>
    <w:rsid w:val="7F670A8E"/>
    <w:rsid w:val="7F752917"/>
    <w:rsid w:val="7F8E2E82"/>
    <w:rsid w:val="7FCE14D1"/>
    <w:rsid w:val="7FFF5B2E"/>
    <w:rsid w:val="BDA605EE"/>
    <w:rsid w:val="EDECAB1E"/>
    <w:rsid w:val="EFFDF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0"/>
    <w:pPr>
      <w:keepNext/>
      <w:tabs>
        <w:tab w:val="left" w:pos="360"/>
      </w:tabs>
      <w:spacing w:line="560" w:lineRule="exact"/>
      <w:jc w:val="center"/>
      <w:outlineLvl w:val="0"/>
    </w:pPr>
    <w:rPr>
      <w:rFonts w:ascii="宋体" w:hAnsi="宋体" w:cs="仿宋_GB2312"/>
      <w:b/>
      <w:sz w:val="32"/>
      <w:szCs w:val="32"/>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1"/>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3"/>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List Number 2"/>
    <w:basedOn w:val="1"/>
    <w:unhideWhenUsed/>
    <w:qFormat/>
    <w:uiPriority w:val="99"/>
    <w:pPr>
      <w:numPr>
        <w:ilvl w:val="0"/>
        <w:numId w:val="1"/>
      </w:numPr>
      <w:spacing w:line="360" w:lineRule="auto"/>
      <w:ind w:firstLine="200" w:firstLineChars="200"/>
      <w:contextualSpacing/>
    </w:pPr>
    <w:rPr>
      <w:sz w:val="24"/>
      <w:szCs w:val="22"/>
    </w:rPr>
  </w:style>
  <w:style w:type="paragraph" w:styleId="13">
    <w:name w:val="Normal Indent"/>
    <w:basedOn w:val="1"/>
    <w:qFormat/>
    <w:uiPriority w:val="99"/>
    <w:pPr>
      <w:ind w:firstLine="420" w:firstLineChars="200"/>
    </w:pPr>
    <w:rPr>
      <w:szCs w:val="24"/>
    </w:rPr>
  </w:style>
  <w:style w:type="paragraph" w:styleId="14">
    <w:name w:val="Document Map"/>
    <w:basedOn w:val="1"/>
    <w:link w:val="56"/>
    <w:qFormat/>
    <w:uiPriority w:val="0"/>
    <w:pPr>
      <w:shd w:val="clear" w:color="auto" w:fill="000080"/>
    </w:pPr>
  </w:style>
  <w:style w:type="paragraph" w:styleId="15">
    <w:name w:val="annotation text"/>
    <w:basedOn w:val="1"/>
    <w:link w:val="57"/>
    <w:qFormat/>
    <w:uiPriority w:val="0"/>
    <w:pPr>
      <w:jc w:val="left"/>
    </w:pPr>
  </w:style>
  <w:style w:type="paragraph" w:styleId="16">
    <w:name w:val="Salutation"/>
    <w:basedOn w:val="1"/>
    <w:next w:val="1"/>
    <w:qFormat/>
    <w:uiPriority w:val="0"/>
    <w:rPr>
      <w:rFonts w:ascii="宋体"/>
      <w:b/>
      <w:sz w:val="28"/>
    </w:rPr>
  </w:style>
  <w:style w:type="paragraph" w:styleId="17">
    <w:name w:val="Body Text"/>
    <w:basedOn w:val="1"/>
    <w:link w:val="58"/>
    <w:qFormat/>
    <w:uiPriority w:val="0"/>
    <w:rPr>
      <w:rFonts w:ascii="Arial" w:hAnsi="Arial"/>
      <w:sz w:val="24"/>
    </w:rPr>
  </w:style>
  <w:style w:type="paragraph" w:styleId="18">
    <w:name w:val="Body Text Indent"/>
    <w:basedOn w:val="1"/>
    <w:qFormat/>
    <w:uiPriority w:val="0"/>
    <w:pPr>
      <w:ind w:firstLine="480"/>
    </w:pPr>
    <w:rPr>
      <w:rFonts w:ascii="宋体" w:hAnsi="宋体"/>
      <w:sz w:val="24"/>
    </w:rPr>
  </w:style>
  <w:style w:type="paragraph" w:styleId="19">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20">
    <w:name w:val="toc 3"/>
    <w:basedOn w:val="1"/>
    <w:next w:val="1"/>
    <w:qFormat/>
    <w:uiPriority w:val="39"/>
    <w:pPr>
      <w:ind w:left="840" w:leftChars="400"/>
    </w:pPr>
  </w:style>
  <w:style w:type="paragraph" w:styleId="21">
    <w:name w:val="Plain Text"/>
    <w:basedOn w:val="1"/>
    <w:next w:val="22"/>
    <w:link w:val="59"/>
    <w:qFormat/>
    <w:uiPriority w:val="0"/>
    <w:rPr>
      <w:rFonts w:ascii="宋体" w:hAnsi="Courier New"/>
      <w:snapToGrid w:val="0"/>
      <w:spacing w:val="6"/>
      <w:sz w:val="24"/>
      <w:szCs w:val="22"/>
    </w:rPr>
  </w:style>
  <w:style w:type="paragraph" w:customStyle="1" w:styleId="22">
    <w:name w:val="目录 62"/>
    <w:next w:val="1"/>
    <w:qFormat/>
    <w:uiPriority w:val="0"/>
    <w:rPr>
      <w:rFonts w:ascii="Times New Roman" w:hAnsi="Times New Roman" w:eastAsia="宋体" w:cs="Times New Roman"/>
      <w:sz w:val="21"/>
      <w:lang w:val="en-US" w:eastAsia="zh-CN" w:bidi="ar-SA"/>
    </w:rPr>
  </w:style>
  <w:style w:type="paragraph" w:styleId="23">
    <w:name w:val="Date"/>
    <w:basedOn w:val="1"/>
    <w:next w:val="1"/>
    <w:link w:val="60"/>
    <w:qFormat/>
    <w:uiPriority w:val="0"/>
    <w:pPr>
      <w:ind w:left="100"/>
    </w:pPr>
    <w:rPr>
      <w:sz w:val="24"/>
    </w:rPr>
  </w:style>
  <w:style w:type="paragraph" w:styleId="24">
    <w:name w:val="Body Text Indent 2"/>
    <w:basedOn w:val="1"/>
    <w:qFormat/>
    <w:uiPriority w:val="0"/>
    <w:pPr>
      <w:ind w:firstLine="435"/>
    </w:pPr>
    <w:rPr>
      <w:rFonts w:ascii="宋体" w:hAnsi="宋体"/>
      <w:sz w:val="24"/>
    </w:rPr>
  </w:style>
  <w:style w:type="paragraph" w:styleId="25">
    <w:name w:val="Balloon Text"/>
    <w:basedOn w:val="1"/>
    <w:semiHidden/>
    <w:qFormat/>
    <w:uiPriority w:val="0"/>
    <w:rPr>
      <w:sz w:val="18"/>
      <w:szCs w:val="18"/>
    </w:rPr>
  </w:style>
  <w:style w:type="paragraph" w:styleId="26">
    <w:name w:val="footer"/>
    <w:basedOn w:val="1"/>
    <w:link w:val="61"/>
    <w:qFormat/>
    <w:uiPriority w:val="99"/>
    <w:pPr>
      <w:tabs>
        <w:tab w:val="center" w:pos="4153"/>
        <w:tab w:val="right" w:pos="8306"/>
      </w:tabs>
      <w:snapToGrid w:val="0"/>
      <w:jc w:val="left"/>
    </w:pPr>
    <w:rPr>
      <w:sz w:val="18"/>
    </w:rPr>
  </w:style>
  <w:style w:type="paragraph" w:styleId="27">
    <w:name w:val="header"/>
    <w:basedOn w:val="1"/>
    <w:link w:val="62"/>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footnote text"/>
    <w:basedOn w:val="1"/>
    <w:link w:val="63"/>
    <w:qFormat/>
    <w:uiPriority w:val="0"/>
    <w:pPr>
      <w:snapToGrid w:val="0"/>
      <w:spacing w:line="360" w:lineRule="auto"/>
      <w:ind w:firstLine="200" w:firstLineChars="200"/>
      <w:jc w:val="left"/>
    </w:pPr>
    <w:rPr>
      <w:sz w:val="18"/>
      <w:szCs w:val="18"/>
    </w:rPr>
  </w:style>
  <w:style w:type="paragraph" w:styleId="30">
    <w:name w:val="Body Text Indent 3"/>
    <w:basedOn w:val="1"/>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qFormat/>
    <w:uiPriority w:val="0"/>
    <w:pPr>
      <w:spacing w:line="360" w:lineRule="auto"/>
    </w:pPr>
    <w:rPr>
      <w:b/>
      <w:sz w:val="28"/>
      <w:szCs w:val="21"/>
    </w:rPr>
  </w:style>
  <w:style w:type="paragraph" w:styleId="33">
    <w:name w:val="Normal (Web)"/>
    <w:basedOn w:val="1"/>
    <w:link w:val="124"/>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Title"/>
    <w:basedOn w:val="1"/>
    <w:next w:val="1"/>
    <w:link w:val="64"/>
    <w:qFormat/>
    <w:uiPriority w:val="0"/>
    <w:pPr>
      <w:spacing w:before="240" w:after="60"/>
      <w:jc w:val="center"/>
      <w:outlineLvl w:val="0"/>
    </w:pPr>
    <w:rPr>
      <w:rFonts w:ascii="Cambria" w:hAnsi="Cambria"/>
      <w:b/>
      <w:bCs/>
      <w:sz w:val="36"/>
      <w:szCs w:val="32"/>
    </w:rPr>
  </w:style>
  <w:style w:type="paragraph" w:styleId="35">
    <w:name w:val="annotation subject"/>
    <w:basedOn w:val="15"/>
    <w:next w:val="15"/>
    <w:link w:val="65"/>
    <w:qFormat/>
    <w:uiPriority w:val="0"/>
    <w:rPr>
      <w:b/>
      <w:bCs/>
    </w:rPr>
  </w:style>
  <w:style w:type="paragraph" w:styleId="36">
    <w:name w:val="Body Text First Indent"/>
    <w:basedOn w:val="17"/>
    <w:link w:val="66"/>
    <w:qFormat/>
    <w:uiPriority w:val="0"/>
    <w:pPr>
      <w:spacing w:after="120"/>
      <w:ind w:firstLine="420" w:firstLineChars="100"/>
    </w:pPr>
    <w:rPr>
      <w:rFonts w:ascii="Times New Roman" w:hAnsi="Times New Roman"/>
      <w:sz w:val="21"/>
    </w:rPr>
  </w:style>
  <w:style w:type="paragraph" w:styleId="37">
    <w:name w:val="Body Text First Indent 2"/>
    <w:basedOn w:val="18"/>
    <w:next w:val="18"/>
    <w:qFormat/>
    <w:uiPriority w:val="0"/>
    <w:pPr>
      <w:spacing w:after="120"/>
      <w:ind w:left="420" w:leftChars="200" w:firstLine="420" w:firstLineChars="200"/>
    </w:pPr>
    <w:rPr>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99"/>
    <w:rPr>
      <w:color w:val="800080"/>
      <w:u w:val="single"/>
    </w:rPr>
  </w:style>
  <w:style w:type="character" w:styleId="44">
    <w:name w:val="Emphasis"/>
    <w:qFormat/>
    <w:uiPriority w:val="20"/>
    <w:rPr>
      <w:color w:val="CC0033"/>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99"/>
    <w:rPr>
      <w:vertAlign w:val="superscript"/>
    </w:rPr>
  </w:style>
  <w:style w:type="character" w:customStyle="1" w:styleId="48">
    <w:name w:val="标题 2 字符"/>
    <w:link w:val="4"/>
    <w:qFormat/>
    <w:uiPriority w:val="0"/>
    <w:rPr>
      <w:rFonts w:ascii="Arial" w:hAnsi="Arial" w:eastAsia="黑体"/>
      <w:b/>
      <w:kern w:val="2"/>
      <w:sz w:val="32"/>
    </w:rPr>
  </w:style>
  <w:style w:type="paragraph" w:customStyle="1" w:styleId="49">
    <w:name w:val="样式1"/>
    <w:basedOn w:val="1"/>
    <w:qFormat/>
    <w:uiPriority w:val="0"/>
    <w:pPr>
      <w:numPr>
        <w:ilvl w:val="0"/>
        <w:numId w:val="2"/>
      </w:numPr>
      <w:tabs>
        <w:tab w:val="left" w:pos="709"/>
      </w:tabs>
      <w:adjustRightInd w:val="0"/>
    </w:pPr>
    <w:rPr>
      <w:rFonts w:ascii="宋体" w:hAnsi="宋体"/>
      <w:kern w:val="0"/>
      <w:szCs w:val="21"/>
    </w:rPr>
  </w:style>
  <w:style w:type="character" w:customStyle="1" w:styleId="50">
    <w:name w:val="标题 1 字符"/>
    <w:link w:val="3"/>
    <w:qFormat/>
    <w:uiPriority w:val="0"/>
    <w:rPr>
      <w:rFonts w:ascii="宋体" w:hAnsi="宋体" w:cs="仿宋_GB2312"/>
      <w:b/>
      <w:kern w:val="2"/>
      <w:sz w:val="32"/>
      <w:szCs w:val="32"/>
    </w:rPr>
  </w:style>
  <w:style w:type="character" w:customStyle="1" w:styleId="51">
    <w:name w:val="标题 5 字符"/>
    <w:link w:val="7"/>
    <w:qFormat/>
    <w:uiPriority w:val="0"/>
    <w:rPr>
      <w:b/>
      <w:kern w:val="2"/>
      <w:sz w:val="28"/>
    </w:rPr>
  </w:style>
  <w:style w:type="character" w:customStyle="1" w:styleId="52">
    <w:name w:val="标题 6 字符"/>
    <w:link w:val="8"/>
    <w:qFormat/>
    <w:uiPriority w:val="0"/>
    <w:rPr>
      <w:rFonts w:ascii="Arial" w:hAnsi="Arial" w:eastAsia="黑体"/>
      <w:b/>
      <w:kern w:val="2"/>
      <w:sz w:val="24"/>
    </w:rPr>
  </w:style>
  <w:style w:type="character" w:customStyle="1" w:styleId="53">
    <w:name w:val="标题 7 字符"/>
    <w:link w:val="9"/>
    <w:qFormat/>
    <w:uiPriority w:val="0"/>
    <w:rPr>
      <w:b/>
      <w:kern w:val="2"/>
      <w:sz w:val="24"/>
    </w:rPr>
  </w:style>
  <w:style w:type="character" w:customStyle="1" w:styleId="54">
    <w:name w:val="标题 8 字符"/>
    <w:link w:val="10"/>
    <w:qFormat/>
    <w:uiPriority w:val="0"/>
    <w:rPr>
      <w:rFonts w:ascii="Arial" w:hAnsi="Arial" w:eastAsia="黑体"/>
      <w:kern w:val="2"/>
      <w:sz w:val="24"/>
    </w:rPr>
  </w:style>
  <w:style w:type="character" w:customStyle="1" w:styleId="55">
    <w:name w:val="标题 9 字符"/>
    <w:link w:val="11"/>
    <w:qFormat/>
    <w:uiPriority w:val="0"/>
    <w:rPr>
      <w:rFonts w:ascii="Arial" w:hAnsi="Arial" w:eastAsia="黑体"/>
      <w:kern w:val="2"/>
      <w:sz w:val="21"/>
    </w:rPr>
  </w:style>
  <w:style w:type="character" w:customStyle="1" w:styleId="56">
    <w:name w:val="文档结构图 字符"/>
    <w:link w:val="14"/>
    <w:qFormat/>
    <w:uiPriority w:val="0"/>
    <w:rPr>
      <w:kern w:val="2"/>
      <w:sz w:val="21"/>
      <w:shd w:val="clear" w:color="auto" w:fill="000080"/>
    </w:rPr>
  </w:style>
  <w:style w:type="character" w:customStyle="1" w:styleId="57">
    <w:name w:val="批注文字 字符"/>
    <w:link w:val="15"/>
    <w:qFormat/>
    <w:uiPriority w:val="0"/>
    <w:rPr>
      <w:kern w:val="2"/>
      <w:sz w:val="21"/>
    </w:rPr>
  </w:style>
  <w:style w:type="character" w:customStyle="1" w:styleId="58">
    <w:name w:val="正文文本 字符"/>
    <w:link w:val="17"/>
    <w:qFormat/>
    <w:uiPriority w:val="0"/>
    <w:rPr>
      <w:rFonts w:ascii="Arial" w:hAnsi="Arial" w:cs="Arial"/>
      <w:kern w:val="2"/>
      <w:sz w:val="24"/>
    </w:rPr>
  </w:style>
  <w:style w:type="character" w:customStyle="1" w:styleId="59">
    <w:name w:val="纯文本 字符"/>
    <w:link w:val="21"/>
    <w:qFormat/>
    <w:uiPriority w:val="0"/>
    <w:rPr>
      <w:rFonts w:ascii="宋体" w:hAnsi="Courier New"/>
      <w:snapToGrid w:val="0"/>
      <w:spacing w:val="6"/>
      <w:kern w:val="2"/>
      <w:sz w:val="24"/>
      <w:szCs w:val="22"/>
    </w:rPr>
  </w:style>
  <w:style w:type="character" w:customStyle="1" w:styleId="60">
    <w:name w:val="日期 字符"/>
    <w:link w:val="23"/>
    <w:qFormat/>
    <w:uiPriority w:val="0"/>
    <w:rPr>
      <w:kern w:val="2"/>
      <w:sz w:val="24"/>
    </w:rPr>
  </w:style>
  <w:style w:type="character" w:customStyle="1" w:styleId="61">
    <w:name w:val="页脚 字符"/>
    <w:link w:val="26"/>
    <w:qFormat/>
    <w:uiPriority w:val="99"/>
    <w:rPr>
      <w:kern w:val="2"/>
      <w:sz w:val="18"/>
    </w:rPr>
  </w:style>
  <w:style w:type="character" w:customStyle="1" w:styleId="62">
    <w:name w:val="页眉 字符"/>
    <w:link w:val="27"/>
    <w:qFormat/>
    <w:uiPriority w:val="0"/>
    <w:rPr>
      <w:kern w:val="2"/>
      <w:sz w:val="18"/>
    </w:rPr>
  </w:style>
  <w:style w:type="character" w:customStyle="1" w:styleId="63">
    <w:name w:val="脚注文本 字符1"/>
    <w:link w:val="29"/>
    <w:qFormat/>
    <w:uiPriority w:val="0"/>
    <w:rPr>
      <w:kern w:val="2"/>
      <w:sz w:val="18"/>
      <w:szCs w:val="18"/>
    </w:rPr>
  </w:style>
  <w:style w:type="character" w:customStyle="1" w:styleId="64">
    <w:name w:val="标题 字符"/>
    <w:link w:val="34"/>
    <w:qFormat/>
    <w:uiPriority w:val="0"/>
    <w:rPr>
      <w:rFonts w:ascii="Cambria" w:hAnsi="Cambria"/>
      <w:b/>
      <w:bCs/>
      <w:kern w:val="2"/>
      <w:sz w:val="36"/>
      <w:szCs w:val="32"/>
    </w:rPr>
  </w:style>
  <w:style w:type="character" w:customStyle="1" w:styleId="65">
    <w:name w:val="批注主题 字符"/>
    <w:link w:val="35"/>
    <w:qFormat/>
    <w:uiPriority w:val="0"/>
    <w:rPr>
      <w:b/>
      <w:bCs/>
      <w:kern w:val="2"/>
      <w:sz w:val="21"/>
    </w:rPr>
  </w:style>
  <w:style w:type="character" w:customStyle="1" w:styleId="66">
    <w:name w:val="正文文本首行缩进 字符"/>
    <w:link w:val="36"/>
    <w:qFormat/>
    <w:uiPriority w:val="0"/>
  </w:style>
  <w:style w:type="character" w:customStyle="1" w:styleId="67">
    <w:name w:val="列表段落 字符"/>
    <w:qFormat/>
    <w:uiPriority w:val="34"/>
    <w:rPr>
      <w:rFonts w:ascii="Calibri" w:hAnsi="Calibri"/>
      <w:kern w:val="2"/>
      <w:sz w:val="21"/>
      <w:szCs w:val="22"/>
    </w:rPr>
  </w:style>
  <w:style w:type="character" w:customStyle="1" w:styleId="68">
    <w:name w:val="明显参考1"/>
    <w:qFormat/>
    <w:uiPriority w:val="0"/>
    <w:rPr>
      <w:b/>
      <w:bCs/>
      <w:smallCaps/>
      <w:color w:val="C0504D"/>
      <w:spacing w:val="5"/>
      <w:u w:val="single"/>
    </w:rPr>
  </w:style>
  <w:style w:type="character" w:customStyle="1" w:styleId="69">
    <w:name w:val="列表段落 字符1"/>
    <w:link w:val="70"/>
    <w:qFormat/>
    <w:uiPriority w:val="34"/>
    <w:rPr>
      <w:rFonts w:ascii="Calibri" w:hAnsi="Calibri"/>
      <w:kern w:val="2"/>
      <w:sz w:val="21"/>
      <w:szCs w:val="22"/>
    </w:rPr>
  </w:style>
  <w:style w:type="paragraph" w:customStyle="1" w:styleId="70">
    <w:name w:val="列表段落1"/>
    <w:basedOn w:val="1"/>
    <w:link w:val="69"/>
    <w:qFormat/>
    <w:uiPriority w:val="34"/>
    <w:pPr>
      <w:ind w:firstLine="420" w:firstLineChars="200"/>
    </w:pPr>
    <w:rPr>
      <w:rFonts w:ascii="Calibri" w:hAnsi="Calibri"/>
      <w:szCs w:val="22"/>
    </w:rPr>
  </w:style>
  <w:style w:type="character" w:customStyle="1" w:styleId="71">
    <w:name w:val="三角形编号 Char"/>
    <w:link w:val="72"/>
    <w:qFormat/>
    <w:uiPriority w:val="0"/>
    <w:rPr>
      <w:rFonts w:cs="Times New Roman"/>
      <w:kern w:val="2"/>
      <w:sz w:val="24"/>
      <w:szCs w:val="24"/>
    </w:rPr>
  </w:style>
  <w:style w:type="paragraph" w:customStyle="1" w:styleId="72">
    <w:name w:val="三角形编号"/>
    <w:basedOn w:val="1"/>
    <w:link w:val="71"/>
    <w:qFormat/>
    <w:uiPriority w:val="0"/>
    <w:pPr>
      <w:numPr>
        <w:ilvl w:val="0"/>
        <w:numId w:val="3"/>
      </w:numPr>
      <w:spacing w:line="360" w:lineRule="auto"/>
      <w:ind w:firstLine="0"/>
    </w:pPr>
    <w:rPr>
      <w:sz w:val="24"/>
      <w:szCs w:val="24"/>
    </w:rPr>
  </w:style>
  <w:style w:type="character" w:customStyle="1" w:styleId="73">
    <w:name w:val="p21"/>
    <w:qFormat/>
    <w:uiPriority w:val="0"/>
    <w:rPr>
      <w:rFonts w:hint="default" w:ascii="Arial" w:hAnsi="Arial" w:cs="Arial"/>
      <w:color w:val="333333"/>
      <w:sz w:val="18"/>
      <w:szCs w:val="18"/>
      <w:u w:val="none"/>
    </w:rPr>
  </w:style>
  <w:style w:type="character" w:customStyle="1" w:styleId="74">
    <w:name w:val="书籍标题1"/>
    <w:qFormat/>
    <w:uiPriority w:val="0"/>
    <w:rPr>
      <w:b/>
      <w:bCs/>
      <w:smallCaps/>
      <w:spacing w:val="5"/>
    </w:rPr>
  </w:style>
  <w:style w:type="character" w:customStyle="1" w:styleId="75">
    <w:name w:val="样式 正文缩进 + 首行缩进:  2 字符 Char"/>
    <w:link w:val="76"/>
    <w:qFormat/>
    <w:uiPriority w:val="0"/>
    <w:rPr>
      <w:sz w:val="24"/>
    </w:rPr>
  </w:style>
  <w:style w:type="paragraph" w:customStyle="1" w:styleId="76">
    <w:name w:val="样式 正文缩进 + 首行缩进:  2 字符"/>
    <w:basedOn w:val="13"/>
    <w:link w:val="75"/>
    <w:qFormat/>
    <w:uiPriority w:val="0"/>
    <w:pPr>
      <w:spacing w:line="360" w:lineRule="auto"/>
      <w:ind w:firstLine="200"/>
    </w:pPr>
    <w:rPr>
      <w:kern w:val="0"/>
      <w:sz w:val="24"/>
      <w:szCs w:val="20"/>
    </w:rPr>
  </w:style>
  <w:style w:type="character" w:customStyle="1" w:styleId="77">
    <w:name w:val="纯文本 Char Char Char Char Char Char"/>
    <w:qFormat/>
    <w:locked/>
    <w:uiPriority w:val="0"/>
    <w:rPr>
      <w:rFonts w:ascii="宋体" w:hAnsi="Courier New" w:eastAsia="宋体"/>
      <w:kern w:val="2"/>
      <w:sz w:val="21"/>
      <w:lang w:val="en-US" w:eastAsia="zh-CN" w:bidi="ar-SA"/>
    </w:rPr>
  </w:style>
  <w:style w:type="character" w:customStyle="1" w:styleId="78">
    <w:name w:val="列表格式 Char"/>
    <w:link w:val="79"/>
    <w:qFormat/>
    <w:uiPriority w:val="0"/>
    <w:rPr>
      <w:rFonts w:eastAsia="宋体"/>
      <w:kern w:val="2"/>
      <w:sz w:val="24"/>
      <w:szCs w:val="24"/>
    </w:rPr>
  </w:style>
  <w:style w:type="paragraph" w:customStyle="1" w:styleId="79">
    <w:name w:val="列表格式"/>
    <w:basedOn w:val="12"/>
    <w:link w:val="78"/>
    <w:qFormat/>
    <w:uiPriority w:val="0"/>
    <w:pPr>
      <w:ind w:firstLine="0" w:firstLineChars="0"/>
      <w:jc w:val="left"/>
    </w:pPr>
    <w:rPr>
      <w:szCs w:val="24"/>
    </w:rPr>
  </w:style>
  <w:style w:type="character" w:customStyle="1" w:styleId="80">
    <w:name w:val="unnamed1"/>
    <w:qFormat/>
    <w:uiPriority w:val="0"/>
  </w:style>
  <w:style w:type="character" w:customStyle="1" w:styleId="81">
    <w:name w:val="marklong"/>
    <w:qFormat/>
    <w:uiPriority w:val="0"/>
  </w:style>
  <w:style w:type="character" w:customStyle="1" w:styleId="82">
    <w:name w:val="css21"/>
    <w:qFormat/>
    <w:uiPriority w:val="0"/>
    <w:rPr>
      <w:sz w:val="18"/>
      <w:szCs w:val="18"/>
    </w:rPr>
  </w:style>
  <w:style w:type="character" w:customStyle="1" w:styleId="83">
    <w:name w:val="普通 (Web) Char"/>
    <w:link w:val="84"/>
    <w:qFormat/>
    <w:uiPriority w:val="0"/>
    <w:rPr>
      <w:rFonts w:ascii="宋体" w:hAnsi="宋体"/>
      <w:sz w:val="24"/>
      <w:szCs w:val="24"/>
    </w:rPr>
  </w:style>
  <w:style w:type="paragraph" w:customStyle="1" w:styleId="84">
    <w:name w:val="普通 (Web)"/>
    <w:basedOn w:val="1"/>
    <w:link w:val="83"/>
    <w:qFormat/>
    <w:uiPriority w:val="0"/>
    <w:pPr>
      <w:widowControl/>
      <w:spacing w:before="100" w:beforeAutospacing="1" w:after="100" w:afterAutospacing="1"/>
      <w:jc w:val="left"/>
    </w:pPr>
    <w:rPr>
      <w:rFonts w:ascii="宋体" w:hAnsi="宋体"/>
      <w:kern w:val="0"/>
      <w:sz w:val="24"/>
      <w:szCs w:val="24"/>
    </w:rPr>
  </w:style>
  <w:style w:type="character" w:customStyle="1" w:styleId="85">
    <w:name w:val="正文文字 Char1"/>
    <w:link w:val="86"/>
    <w:qFormat/>
    <w:uiPriority w:val="0"/>
    <w:rPr>
      <w:rFonts w:ascii="宋体" w:eastAsia="宋体"/>
      <w:color w:val="000000"/>
      <w:sz w:val="28"/>
      <w:u w:val="none" w:color="000000"/>
      <w:lang w:val="en-US" w:eastAsia="zh-CN" w:bidi="ar-SA"/>
    </w:rPr>
  </w:style>
  <w:style w:type="paragraph" w:customStyle="1" w:styleId="86">
    <w:name w:val="正文文字"/>
    <w:basedOn w:val="1"/>
    <w:link w:val="85"/>
    <w:qFormat/>
    <w:uiPriority w:val="0"/>
    <w:pPr>
      <w:widowControl/>
      <w:spacing w:line="2375" w:lineRule="atLeast"/>
      <w:ind w:firstLine="419"/>
      <w:textAlignment w:val="baseline"/>
    </w:pPr>
    <w:rPr>
      <w:rFonts w:ascii="宋体"/>
      <w:color w:val="000000"/>
      <w:kern w:val="0"/>
      <w:sz w:val="28"/>
      <w:u w:color="000000"/>
    </w:rPr>
  </w:style>
  <w:style w:type="character" w:customStyle="1" w:styleId="87">
    <w:name w:val="列出段落 Char"/>
    <w:link w:val="88"/>
    <w:qFormat/>
    <w:uiPriority w:val="34"/>
    <w:rPr>
      <w:rFonts w:ascii="Calibri" w:hAnsi="Calibri"/>
      <w:kern w:val="2"/>
      <w:sz w:val="21"/>
      <w:szCs w:val="22"/>
    </w:rPr>
  </w:style>
  <w:style w:type="paragraph" w:customStyle="1" w:styleId="88">
    <w:name w:val="_Style 110"/>
    <w:basedOn w:val="1"/>
    <w:next w:val="70"/>
    <w:link w:val="87"/>
    <w:qFormat/>
    <w:uiPriority w:val="34"/>
    <w:pPr>
      <w:ind w:firstLine="420" w:firstLineChars="200"/>
    </w:pPr>
    <w:rPr>
      <w:rFonts w:ascii="Calibri" w:hAnsi="Calibri"/>
      <w:szCs w:val="22"/>
    </w:rPr>
  </w:style>
  <w:style w:type="character" w:customStyle="1" w:styleId="89">
    <w:name w:val="Default Text Char"/>
    <w:link w:val="90"/>
    <w:qFormat/>
    <w:uiPriority w:val="0"/>
    <w:rPr>
      <w:color w:val="000000"/>
      <w:sz w:val="24"/>
      <w:szCs w:val="24"/>
      <w:lang w:val="en-US" w:eastAsia="zh-CN" w:bidi="ar-SA"/>
    </w:rPr>
  </w:style>
  <w:style w:type="paragraph" w:customStyle="1" w:styleId="90">
    <w:name w:val="Default Text"/>
    <w:link w:val="8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1">
    <w:name w:val="图片 Char"/>
    <w:link w:val="92"/>
    <w:qFormat/>
    <w:uiPriority w:val="0"/>
    <w:rPr>
      <w:rFonts w:ascii="宋体" w:hAnsi="宋体" w:cs="Times New Roman"/>
      <w:kern w:val="2"/>
      <w:sz w:val="24"/>
      <w:szCs w:val="24"/>
    </w:rPr>
  </w:style>
  <w:style w:type="paragraph" w:customStyle="1" w:styleId="92">
    <w:name w:val="图片"/>
    <w:basedOn w:val="1"/>
    <w:link w:val="91"/>
    <w:qFormat/>
    <w:uiPriority w:val="0"/>
    <w:pPr>
      <w:spacing w:line="360" w:lineRule="auto"/>
      <w:jc w:val="center"/>
    </w:pPr>
    <w:rPr>
      <w:rFonts w:ascii="宋体" w:hAnsi="宋体"/>
      <w:sz w:val="24"/>
      <w:szCs w:val="24"/>
    </w:rPr>
  </w:style>
  <w:style w:type="character" w:customStyle="1" w:styleId="93">
    <w:name w:val="图片标题 Char"/>
    <w:link w:val="94"/>
    <w:qFormat/>
    <w:uiPriority w:val="0"/>
    <w:rPr>
      <w:rFonts w:ascii="宋体" w:hAnsi="宋体" w:eastAsia="黑体" w:cs="Times New Roman"/>
      <w:b/>
      <w:kern w:val="2"/>
      <w:sz w:val="21"/>
      <w:szCs w:val="21"/>
    </w:rPr>
  </w:style>
  <w:style w:type="paragraph" w:customStyle="1" w:styleId="94">
    <w:name w:val="图片标题"/>
    <w:basedOn w:val="1"/>
    <w:link w:val="93"/>
    <w:qFormat/>
    <w:uiPriority w:val="0"/>
    <w:pPr>
      <w:numPr>
        <w:ilvl w:val="0"/>
        <w:numId w:val="4"/>
      </w:numPr>
      <w:spacing w:line="360" w:lineRule="auto"/>
      <w:ind w:firstLine="0"/>
      <w:jc w:val="center"/>
    </w:pPr>
    <w:rPr>
      <w:rFonts w:ascii="宋体" w:hAnsi="宋体" w:eastAsia="黑体"/>
      <w:b/>
      <w:szCs w:val="21"/>
    </w:rPr>
  </w:style>
  <w:style w:type="character" w:customStyle="1" w:styleId="95">
    <w:name w:val="grame"/>
    <w:qFormat/>
    <w:uiPriority w:val="0"/>
  </w:style>
  <w:style w:type="character" w:customStyle="1" w:styleId="96">
    <w:name w:val="正文文字 Char"/>
    <w:qFormat/>
    <w:uiPriority w:val="0"/>
    <w:rPr>
      <w:rFonts w:ascii="Arial" w:hAnsi="Arial" w:eastAsia="宋体" w:cs="Arial"/>
      <w:kern w:val="2"/>
      <w:sz w:val="24"/>
      <w:lang w:val="en-US" w:eastAsia="zh-CN" w:bidi="ar-SA"/>
    </w:rPr>
  </w:style>
  <w:style w:type="character" w:customStyle="1" w:styleId="97">
    <w:name w:val="脚注文本 字符"/>
    <w:qFormat/>
    <w:uiPriority w:val="0"/>
    <w:rPr>
      <w:kern w:val="2"/>
      <w:sz w:val="18"/>
      <w:szCs w:val="18"/>
    </w:rPr>
  </w:style>
  <w:style w:type="paragraph" w:customStyle="1" w:styleId="98">
    <w:name w:val="_Style 94"/>
    <w:unhideWhenUsed/>
    <w:qFormat/>
    <w:uiPriority w:val="99"/>
    <w:rPr>
      <w:rFonts w:ascii="Times New Roman" w:hAnsi="Times New Roman" w:eastAsia="宋体" w:cs="Times New Roman"/>
      <w:kern w:val="2"/>
      <w:sz w:val="21"/>
      <w:lang w:val="en-US" w:eastAsia="zh-CN" w:bidi="ar-SA"/>
    </w:rPr>
  </w:style>
  <w:style w:type="paragraph" w:customStyle="1" w:styleId="99">
    <w:name w:val="Body text|1"/>
    <w:basedOn w:val="1"/>
    <w:qFormat/>
    <w:uiPriority w:val="0"/>
    <w:pPr>
      <w:spacing w:line="437" w:lineRule="auto"/>
      <w:ind w:firstLine="400"/>
    </w:pPr>
    <w:rPr>
      <w:rFonts w:ascii="宋体" w:hAnsi="宋体" w:cs="宋体"/>
      <w:sz w:val="26"/>
      <w:szCs w:val="26"/>
      <w:lang w:val="zh-TW" w:eastAsia="zh-TW" w:bidi="zh-TW"/>
    </w:rPr>
  </w:style>
  <w:style w:type="paragraph" w:customStyle="1" w:styleId="100">
    <w:name w:val="List Paragraph1"/>
    <w:basedOn w:val="1"/>
    <w:qFormat/>
    <w:uiPriority w:val="0"/>
    <w:pPr>
      <w:ind w:firstLine="420" w:firstLineChars="200"/>
    </w:pPr>
  </w:style>
  <w:style w:type="paragraph" w:customStyle="1" w:styleId="101">
    <w:name w:val="È±Ê¡ÎÄ±¾"/>
    <w:basedOn w:val="1"/>
    <w:qFormat/>
    <w:uiPriority w:val="0"/>
    <w:pPr>
      <w:widowControl/>
      <w:overflowPunct w:val="0"/>
      <w:autoSpaceDE w:val="0"/>
      <w:autoSpaceDN w:val="0"/>
      <w:adjustRightInd w:val="0"/>
      <w:jc w:val="left"/>
    </w:pPr>
    <w:rPr>
      <w:kern w:val="0"/>
      <w:sz w:val="24"/>
    </w:rPr>
  </w:style>
  <w:style w:type="paragraph" w:customStyle="1" w:styleId="102">
    <w:name w:val="正文缩进1"/>
    <w:basedOn w:val="1"/>
    <w:qFormat/>
    <w:uiPriority w:val="0"/>
    <w:pPr>
      <w:ind w:firstLine="420" w:firstLineChars="200"/>
    </w:pPr>
    <w:rPr>
      <w:rFonts w:ascii="Calibri" w:hAnsi="Calibri"/>
    </w:rPr>
  </w:style>
  <w:style w:type="paragraph" w:customStyle="1" w:styleId="10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条目2"/>
    <w:basedOn w:val="21"/>
    <w:qFormat/>
    <w:uiPriority w:val="0"/>
    <w:pPr>
      <w:tabs>
        <w:tab w:val="left" w:pos="420"/>
      </w:tabs>
      <w:spacing w:line="360" w:lineRule="auto"/>
      <w:ind w:left="420" w:hanging="420"/>
    </w:pPr>
    <w:rPr>
      <w:color w:val="000000"/>
      <w:sz w:val="30"/>
    </w:rPr>
  </w:style>
  <w:style w:type="paragraph" w:customStyle="1" w:styleId="105">
    <w:name w:val="列出段落3"/>
    <w:basedOn w:val="1"/>
    <w:qFormat/>
    <w:uiPriority w:val="0"/>
    <w:pPr>
      <w:ind w:firstLine="420" w:firstLineChars="200"/>
    </w:pPr>
  </w:style>
  <w:style w:type="paragraph" w:customStyle="1" w:styleId="106">
    <w:name w:val="标题二、"/>
    <w:basedOn w:val="1"/>
    <w:qFormat/>
    <w:uiPriority w:val="0"/>
    <w:pPr>
      <w:spacing w:line="360" w:lineRule="auto"/>
      <w:ind w:firstLine="200" w:firstLineChars="200"/>
      <w:outlineLvl w:val="2"/>
    </w:pPr>
    <w:rPr>
      <w:rFonts w:ascii="宋体" w:hAnsi="宋体"/>
      <w:b/>
      <w:szCs w:val="21"/>
    </w:rPr>
  </w:style>
  <w:style w:type="paragraph" w:customStyle="1" w:styleId="10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8">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109">
    <w:name w:val="正文（首行缩进2字符）"/>
    <w:basedOn w:val="1"/>
    <w:qFormat/>
    <w:uiPriority w:val="0"/>
    <w:pPr>
      <w:widowControl/>
      <w:ind w:left="420" w:firstLine="420"/>
    </w:pPr>
    <w:rPr>
      <w:szCs w:val="21"/>
    </w:rPr>
  </w:style>
  <w:style w:type="paragraph" w:customStyle="1" w:styleId="110">
    <w:name w:val="列出段落2"/>
    <w:basedOn w:val="1"/>
    <w:qFormat/>
    <w:uiPriority w:val="0"/>
    <w:pPr>
      <w:spacing w:line="360" w:lineRule="auto"/>
      <w:ind w:left="-2" w:leftChars="-1" w:firstLine="427" w:firstLineChars="200"/>
    </w:pPr>
    <w:rPr>
      <w:rFonts w:ascii="宋体" w:hAnsi="宋体"/>
      <w:bCs/>
      <w:kern w:val="0"/>
      <w:sz w:val="24"/>
      <w:szCs w:val="22"/>
    </w:rPr>
  </w:style>
  <w:style w:type="paragraph" w:customStyle="1" w:styleId="111">
    <w:name w:val="p0"/>
    <w:basedOn w:val="1"/>
    <w:qFormat/>
    <w:uiPriority w:val="0"/>
    <w:pPr>
      <w:widowControl/>
    </w:pPr>
    <w:rPr>
      <w:kern w:val="0"/>
      <w:szCs w:val="21"/>
    </w:rPr>
  </w:style>
  <w:style w:type="paragraph" w:customStyle="1" w:styleId="112">
    <w:name w:val="1 Char Char Char Char"/>
    <w:basedOn w:val="1"/>
    <w:qFormat/>
    <w:uiPriority w:val="0"/>
    <w:rPr>
      <w:rFonts w:ascii="Tahoma" w:hAnsi="Tahoma"/>
      <w:sz w:val="24"/>
    </w:rPr>
  </w:style>
  <w:style w:type="paragraph" w:customStyle="1" w:styleId="113">
    <w:name w:val="列出段落1"/>
    <w:basedOn w:val="1"/>
    <w:qFormat/>
    <w:uiPriority w:val="34"/>
    <w:pPr>
      <w:ind w:firstLine="420" w:firstLineChars="200"/>
    </w:pPr>
    <w:rPr>
      <w:rFonts w:ascii="Calibri" w:hAnsi="Calibri"/>
      <w:szCs w:val="22"/>
    </w:rPr>
  </w:style>
  <w:style w:type="paragraph" w:customStyle="1" w:styleId="114">
    <w:name w:val="Char"/>
    <w:basedOn w:val="1"/>
    <w:semiHidden/>
    <w:qFormat/>
    <w:uiPriority w:val="0"/>
    <w:rPr>
      <w:rFonts w:ascii="Tahoma" w:hAnsi="Tahoma" w:cs="仿宋_GB2312"/>
      <w:sz w:val="24"/>
      <w:szCs w:val="28"/>
    </w:rPr>
  </w:style>
  <w:style w:type="paragraph" w:customStyle="1" w:styleId="115">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16">
    <w:name w:val="正文内容"/>
    <w:basedOn w:val="1"/>
    <w:qFormat/>
    <w:uiPriority w:val="0"/>
    <w:pPr>
      <w:spacing w:line="360" w:lineRule="auto"/>
      <w:ind w:firstLine="480" w:firstLineChars="200"/>
    </w:pPr>
    <w:rPr>
      <w:rFonts w:cs="宋体"/>
      <w:sz w:val="24"/>
    </w:rPr>
  </w:style>
  <w:style w:type="paragraph" w:customStyle="1" w:styleId="117">
    <w:name w:val="条目3"/>
    <w:basedOn w:val="21"/>
    <w:qFormat/>
    <w:uiPriority w:val="0"/>
    <w:pPr>
      <w:tabs>
        <w:tab w:val="left" w:pos="960"/>
        <w:tab w:val="left" w:pos="2940"/>
      </w:tabs>
      <w:spacing w:line="360" w:lineRule="auto"/>
      <w:ind w:left="2940" w:hanging="420"/>
    </w:pPr>
    <w:rPr>
      <w:color w:val="000000"/>
      <w:sz w:val="30"/>
    </w:rPr>
  </w:style>
  <w:style w:type="paragraph" w:customStyle="1" w:styleId="118">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19">
    <w:name w:val="13、表格内居中正文"/>
    <w:basedOn w:val="1"/>
    <w:qFormat/>
    <w:uiPriority w:val="0"/>
    <w:pPr>
      <w:tabs>
        <w:tab w:val="left" w:pos="0"/>
      </w:tabs>
      <w:wordWrap w:val="0"/>
      <w:topLinePunct/>
      <w:spacing w:line="360" w:lineRule="exact"/>
      <w:jc w:val="center"/>
    </w:pPr>
  </w:style>
  <w:style w:type="paragraph" w:customStyle="1" w:styleId="120">
    <w:name w:val="GP正文(无首行缩进)"/>
    <w:basedOn w:val="121"/>
    <w:qFormat/>
    <w:uiPriority w:val="0"/>
    <w:pPr>
      <w:tabs>
        <w:tab w:val="left" w:pos="0"/>
      </w:tabs>
    </w:pPr>
  </w:style>
  <w:style w:type="paragraph" w:customStyle="1" w:styleId="121">
    <w:name w:val="GP正文(首行缩进)"/>
    <w:basedOn w:val="1"/>
    <w:qFormat/>
    <w:uiPriority w:val="0"/>
    <w:pPr>
      <w:tabs>
        <w:tab w:val="left" w:pos="0"/>
      </w:tabs>
      <w:spacing w:line="360" w:lineRule="auto"/>
      <w:ind w:firstLine="480" w:firstLineChars="200"/>
    </w:pPr>
  </w:style>
  <w:style w:type="paragraph" w:customStyle="1" w:styleId="122">
    <w:name w:val="12、表格内左对齐正文"/>
    <w:basedOn w:val="1"/>
    <w:qFormat/>
    <w:uiPriority w:val="0"/>
    <w:pPr>
      <w:tabs>
        <w:tab w:val="left" w:pos="0"/>
      </w:tabs>
      <w:wordWrap w:val="0"/>
      <w:topLinePunct/>
      <w:ind w:left="42" w:leftChars="20" w:firstLine="21" w:firstLineChars="10"/>
    </w:pPr>
    <w:rPr>
      <w:snapToGrid w:val="0"/>
    </w:rPr>
  </w:style>
  <w:style w:type="table" w:customStyle="1" w:styleId="123">
    <w:name w:val="Table Normal"/>
    <w:unhideWhenUsed/>
    <w:qFormat/>
    <w:uiPriority w:val="0"/>
    <w:tblPr>
      <w:tblCellMar>
        <w:top w:w="0" w:type="dxa"/>
        <w:left w:w="0" w:type="dxa"/>
        <w:bottom w:w="0" w:type="dxa"/>
        <w:right w:w="0" w:type="dxa"/>
      </w:tblCellMar>
    </w:tblPr>
  </w:style>
  <w:style w:type="character" w:customStyle="1" w:styleId="124">
    <w:name w:val="普通(网站) 字符"/>
    <w:link w:val="33"/>
    <w:qFormat/>
    <w:uiPriority w:val="99"/>
    <w:rPr>
      <w:rFonts w:ascii="Arial Unicode MS" w:hAnsi="Arial Unicode MS" w:eastAsia="Arial Unicode MS" w:cs="Arial Unicode MS"/>
      <w:sz w:val="24"/>
      <w:szCs w:val="24"/>
    </w:rPr>
  </w:style>
  <w:style w:type="character" w:customStyle="1" w:styleId="125">
    <w:name w:val="*正文 Char"/>
    <w:link w:val="126"/>
    <w:qFormat/>
    <w:uiPriority w:val="0"/>
    <w:rPr>
      <w:rFonts w:ascii="宋体" w:hAnsi="宋体"/>
      <w:kern w:val="2"/>
      <w:sz w:val="24"/>
      <w:szCs w:val="24"/>
    </w:rPr>
  </w:style>
  <w:style w:type="paragraph" w:customStyle="1" w:styleId="126">
    <w:name w:val="*正文"/>
    <w:basedOn w:val="1"/>
    <w:link w:val="125"/>
    <w:qFormat/>
    <w:uiPriority w:val="0"/>
    <w:pPr>
      <w:spacing w:line="360" w:lineRule="auto"/>
      <w:ind w:firstLine="200" w:firstLineChars="200"/>
    </w:pPr>
    <w:rPr>
      <w:rFonts w:ascii="宋体" w:hAnsi="宋体"/>
      <w:sz w:val="24"/>
      <w:szCs w:val="24"/>
    </w:rPr>
  </w:style>
  <w:style w:type="paragraph" w:customStyle="1" w:styleId="1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28">
    <w:name w:val="正文1"/>
    <w:next w:val="129"/>
    <w:qFormat/>
    <w:uiPriority w:val="99"/>
    <w:pPr>
      <w:widowControl w:val="0"/>
      <w:jc w:val="both"/>
    </w:pPr>
    <w:rPr>
      <w:rFonts w:ascii="Arial Unicode MS" w:hAnsi="Arial Unicode MS" w:eastAsia="宋体" w:cs="Times New Roman"/>
      <w:kern w:val="2"/>
      <w:sz w:val="21"/>
      <w:szCs w:val="24"/>
      <w:lang w:val="en-US" w:eastAsia="zh-CN" w:bidi="ar-SA"/>
    </w:rPr>
  </w:style>
  <w:style w:type="paragraph" w:customStyle="1" w:styleId="129">
    <w:name w:val="正文文本1"/>
    <w:basedOn w:val="128"/>
    <w:unhideWhenUsed/>
    <w:qFormat/>
    <w:uiPriority w:val="0"/>
    <w:pPr>
      <w:spacing w:after="120"/>
    </w:pPr>
    <w:rPr>
      <w:rFonts w:ascii="Calibri" w:hAnsi="Calibri"/>
      <w:szCs w:val="22"/>
    </w:rPr>
  </w:style>
  <w:style w:type="paragraph" w:customStyle="1" w:styleId="130">
    <w:name w:val="_Style 74"/>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131">
    <w:name w:val="章前标题"/>
    <w:next w:val="1"/>
    <w:qFormat/>
    <w:uiPriority w:val="0"/>
    <w:pPr>
      <w:keepNext w:val="0"/>
      <w:keepLines w:val="0"/>
      <w:pageBreakBefore w:val="0"/>
      <w:widowControl w:val="0"/>
      <w:numPr>
        <w:ilvl w:val="0"/>
        <w:numId w:val="5"/>
      </w:numPr>
      <w:kinsoku/>
      <w:wordWrap/>
      <w:overflowPunct/>
      <w:topLinePunct w:val="0"/>
      <w:autoSpaceDE/>
      <w:autoSpaceDN/>
      <w:bidi w:val="0"/>
      <w:adjustRightInd/>
      <w:spacing w:before="240" w:after="240" w:line="240" w:lineRule="auto"/>
      <w:ind w:left="-640" w:leftChars="0" w:firstLine="0" w:firstLineChars="0"/>
      <w:jc w:val="center"/>
      <w:textAlignment w:val="auto"/>
      <w:outlineLvl w:val="9"/>
    </w:pPr>
    <w:rPr>
      <w:rFonts w:ascii="Times New Roman" w:hAnsi="Times New Roman" w:eastAsia="黑体" w:cs="Times New Roman"/>
      <w:kern w:val="44"/>
      <w:sz w:val="32"/>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56</Pages>
  <Words>4970</Words>
  <Characters>5473</Characters>
  <Lines>172</Lines>
  <Paragraphs>48</Paragraphs>
  <TotalTime>6</TotalTime>
  <ScaleCrop>false</ScaleCrop>
  <LinksUpToDate>false</LinksUpToDate>
  <CharactersWithSpaces>5604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2026-03-25T09:08:00Z</dcterms:created>
  <dc:creator>xt</dc:creator>
  <cp:lastModifiedBy>WPS_1482847601</cp:lastModifiedBy>
  <cp:lastPrinted>2025-03-11T11:39:00Z</cp:lastPrinted>
  <dcterms:modified xsi:type="dcterms:W3CDTF">2026-06-02T02:19:34Z</dcterms:modified>
  <dc:title>第一部份 投标邀请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1C7BE5EBEA27420594006F595EB6D690_13</vt:lpwstr>
  </property>
  <property fmtid="{D5CDD505-2E9C-101B-9397-08002B2CF9AE}" pid="4" name="KSOTemplateDocerSaveRecord">
    <vt:lpwstr>eyJoZGlkIjoiMDM2YzkyYWY4YTY4ZGNjYTlmMGM2NjNmYzdjODdiNmEiLCJ1c2VySWQiOiIyNTg3Mzg1NDMifQ==</vt:lpwstr>
  </property>
</Properties>
</file>