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E5E67">
      <w:pPr>
        <w:pStyle w:val="4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80" w:lineRule="exact"/>
        <w:jc w:val="center"/>
        <w:textAlignment w:val="auto"/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古城区教育体育局义务教育优质均衡补短板台式计算机采购项目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更正公告（一）</w:t>
      </w:r>
    </w:p>
    <w:p w14:paraId="3AA0886D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560" w:lineRule="exact"/>
        <w:ind w:firstLine="560" w:firstLineChars="200"/>
        <w:textAlignment w:val="auto"/>
        <w:rPr>
          <w:rFonts w:ascii="黑体" w:hAnsi="黑体" w:cs="宋体"/>
          <w:b w:val="0"/>
          <w:sz w:val="28"/>
          <w:szCs w:val="28"/>
        </w:rPr>
      </w:pPr>
      <w:bookmarkStart w:id="0" w:name="_Toc35393814"/>
      <w:bookmarkStart w:id="1" w:name="_Toc28359027"/>
      <w:bookmarkStart w:id="2" w:name="_Toc35393645"/>
      <w:bookmarkStart w:id="3" w:name="_Toc2835910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5C45F6B8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　LJZC2026-G1-00392-LJSG-0013　　</w:t>
      </w:r>
    </w:p>
    <w:p w14:paraId="22AFF2C7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　古城区教育体育局义务教育优质均衡补短板台式计算机采购项目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</w:p>
    <w:p w14:paraId="10E8A215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2026年6月9日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2F871B9C"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firstLine="560" w:firstLineChars="200"/>
        <w:textAlignment w:val="auto"/>
        <w:rPr>
          <w:rFonts w:ascii="黑体" w:hAnsi="黑体" w:cs="宋体"/>
          <w:b w:val="0"/>
          <w:sz w:val="28"/>
          <w:szCs w:val="28"/>
        </w:rPr>
      </w:pPr>
      <w:bookmarkStart w:id="4" w:name="_Toc28359028"/>
      <w:bookmarkStart w:id="5" w:name="_Toc28359105"/>
      <w:bookmarkStart w:id="6" w:name="_Toc35393646"/>
      <w:bookmarkStart w:id="7" w:name="_Toc3539381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4"/>
      <w:bookmarkEnd w:id="5"/>
      <w:bookmarkEnd w:id="6"/>
      <w:bookmarkEnd w:id="7"/>
    </w:p>
    <w:p w14:paraId="52EF4DD5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更正事项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sym w:font="Wingdings 2" w:char="00A3"/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2544D4F7">
      <w:pPr>
        <w:widowControl w:val="0"/>
        <w:spacing w:line="500" w:lineRule="exact"/>
        <w:ind w:firstLine="562" w:firstLineChars="200"/>
        <w:contextualSpacing/>
        <w:rPr>
          <w:rFonts w:hint="default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更正内容：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1.更正事项：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第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 xml:space="preserve">章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评标办法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”4.2评标细则及标准“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所投产品硬件质保期评审（满分 5 分）”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更正前内容：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4.所投产品硬件质保期评审（满分 5 分）。所投产品硬件原厂免费质保3年，达不到3年质保的不得分。承诺3年原厂质保的得 2 分，原厂质保年限延长至4年的加1分，延长至5年及以上的加2分，本项满分5分。注：提供原厂盖章的整机质保承诺函”。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更正后内容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：“4.所投产品硬件质保期评审（满分 5 分）。承诺所投产品硬件原厂免费质保期3年的，得2分；承诺所投产品硬件原厂免费质保期在3年的基础上每延长1年加1分，本项最高得分为5分。若承诺所投产品硬件原厂免费质保期低于3年的，则此项不得分。</w:t>
      </w:r>
      <w:bookmarkStart w:id="35" w:name="_GoBack"/>
      <w:bookmarkEnd w:id="35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注：须提供加盖原厂公章的整机质保期承诺函，否则不予认可。 ”。</w:t>
      </w:r>
    </w:p>
    <w:p w14:paraId="1342E8B9">
      <w:pPr>
        <w:pageBreakBefore w:val="0"/>
        <w:widowControl w:val="0"/>
        <w:tabs>
          <w:tab w:val="left" w:pos="6094"/>
        </w:tabs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/>
          <w:b w:val="0"/>
          <w:bCs w:val="0"/>
          <w:sz w:val="28"/>
          <w:szCs w:val="28"/>
          <w:u w:val="single"/>
          <w:lang w:val="en-US" w:eastAsia="zh-CN"/>
        </w:rPr>
      </w:pPr>
      <w:bookmarkStart w:id="8" w:name="_Toc35393816"/>
      <w:bookmarkStart w:id="9" w:name="_Toc35393647"/>
      <w:r>
        <w:rPr>
          <w:rFonts w:hint="eastAsia" w:ascii="仿宋" w:hAnsi="仿宋" w:eastAsia="仿宋"/>
          <w:b/>
          <w:bCs/>
          <w:sz w:val="28"/>
          <w:szCs w:val="28"/>
        </w:rPr>
        <w:t>更正日期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  <w:lang w:val="en-US" w:eastAsia="zh-CN"/>
        </w:rPr>
        <w:t xml:space="preserve">2026年06月16日     </w:t>
      </w:r>
    </w:p>
    <w:p w14:paraId="2C43E35E">
      <w:pPr>
        <w:pStyle w:val="12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/>
          <w:lang w:val="en-US" w:eastAsia="zh-CN"/>
        </w:rPr>
        <w:t>　　</w:t>
      </w:r>
      <w:r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  <w:t>三、其他补充事宜</w:t>
      </w:r>
      <w:bookmarkEnd w:id="8"/>
      <w:bookmarkEnd w:id="9"/>
      <w:r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请各投标人务必查看更正内容和重新下载采购文件，严格按照更正后的采购文件编制及上传投标文件，因未及时查看更正内容影响投标的由投标人自行承担。</w:t>
      </w:r>
    </w:p>
    <w:p w14:paraId="281ADF86"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firstLine="560" w:firstLineChars="200"/>
        <w:textAlignment w:val="auto"/>
        <w:rPr>
          <w:rFonts w:hint="eastAsia" w:ascii="黑体" w:hAnsi="黑体" w:eastAsia="黑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bookmarkStart w:id="10" w:name="_Toc28359029"/>
      <w:bookmarkStart w:id="11" w:name="_Toc35393648"/>
      <w:bookmarkStart w:id="12" w:name="_Toc35393817"/>
      <w:bookmarkStart w:id="13" w:name="_Toc28359106"/>
      <w:r>
        <w:rPr>
          <w:rFonts w:hint="eastAsia" w:ascii="黑体" w:hAnsi="黑体" w:eastAsia="黑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四、凡对本次公告内容提出询问，请按以下方式联系。</w:t>
      </w:r>
      <w:bookmarkEnd w:id="10"/>
      <w:bookmarkEnd w:id="11"/>
      <w:bookmarkEnd w:id="12"/>
      <w:bookmarkEnd w:id="13"/>
    </w:p>
    <w:p w14:paraId="422255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30" w:after="0" w:line="520" w:lineRule="exact"/>
        <w:ind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bookmarkStart w:id="14" w:name="_Toc28359019"/>
      <w:bookmarkStart w:id="15" w:name="_Toc35393806"/>
      <w:bookmarkStart w:id="16" w:name="_Toc3144"/>
      <w:bookmarkStart w:id="17" w:name="_Toc35393637"/>
      <w:bookmarkStart w:id="18" w:name="_Toc18108"/>
      <w:bookmarkStart w:id="19" w:name="_Toc28359096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1.采购人信息</w:t>
      </w:r>
      <w:bookmarkEnd w:id="14"/>
      <w:bookmarkEnd w:id="15"/>
      <w:bookmarkEnd w:id="16"/>
      <w:bookmarkEnd w:id="17"/>
      <w:bookmarkEnd w:id="18"/>
      <w:bookmarkEnd w:id="19"/>
    </w:p>
    <w:p w14:paraId="38E42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/>
        </w:rPr>
      </w:pPr>
      <w:bookmarkStart w:id="20" w:name="_Toc28359020"/>
      <w:bookmarkStart w:id="21" w:name="_Toc6915"/>
      <w:bookmarkStart w:id="22" w:name="_Toc28359097"/>
      <w:bookmarkStart w:id="23" w:name="_Toc35393638"/>
      <w:bookmarkStart w:id="24" w:name="_Toc35393807"/>
      <w:bookmarkStart w:id="25" w:name="_Toc24282"/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名    称：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</w:rPr>
        <w:t xml:space="preserve"> 丽江市古城区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  <w:lang w:val="en-US" w:eastAsia="zh-CN"/>
        </w:rPr>
        <w:t xml:space="preserve">教育体育局           </w:t>
      </w:r>
    </w:p>
    <w:p w14:paraId="3C98F46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u w:val="single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地    址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u w:val="single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u w:val="single"/>
          <w:lang w:eastAsia="zh-CN"/>
        </w:rPr>
        <w:t>丽江市古城区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福慧路442号         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</w:p>
    <w:p w14:paraId="51C0274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u w:val="none"/>
          <w:lang w:val="en-US" w:eastAsia="zh-CN"/>
        </w:rPr>
        <w:t>联 系 人：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和汝华                      </w:t>
      </w:r>
    </w:p>
    <w:p w14:paraId="650ED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联系方式：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  <w:lang w:val="en-US" w:eastAsia="zh-CN"/>
        </w:rPr>
        <w:t xml:space="preserve">      0888-5128297                </w:t>
      </w:r>
    </w:p>
    <w:p w14:paraId="2BF37B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30" w:after="0" w:line="520" w:lineRule="exact"/>
        <w:ind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采购代理机构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信息</w:t>
      </w:r>
      <w:bookmarkEnd w:id="20"/>
      <w:bookmarkEnd w:id="21"/>
      <w:bookmarkEnd w:id="22"/>
      <w:bookmarkEnd w:id="23"/>
      <w:bookmarkEnd w:id="24"/>
      <w:bookmarkEnd w:id="2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</w:t>
      </w:r>
    </w:p>
    <w:p w14:paraId="083A92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3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名    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丽江市古城区机关事务管理局     </w:t>
      </w:r>
    </w:p>
    <w:p w14:paraId="74C1AB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3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　　址：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 xml:space="preserve">丽江市古城区福慧路442号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</w:p>
    <w:p w14:paraId="7BAF3CCE">
      <w:pPr>
        <w:pageBreakBefore w:val="0"/>
        <w:widowControl w:val="0"/>
        <w:tabs>
          <w:tab w:val="left" w:pos="64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3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0888-5117766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</w:t>
      </w:r>
    </w:p>
    <w:p w14:paraId="4F0575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30" w:after="0" w:line="520" w:lineRule="exact"/>
        <w:ind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bookmarkStart w:id="26" w:name="_Toc28359021"/>
      <w:bookmarkStart w:id="27" w:name="_Toc13091"/>
      <w:bookmarkStart w:id="28" w:name="_Toc28359098"/>
      <w:bookmarkStart w:id="29" w:name="_Toc35393808"/>
      <w:bookmarkStart w:id="30" w:name="_Toc35393639"/>
      <w:bookmarkStart w:id="31" w:name="_Toc19549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3.项目联系方式</w:t>
      </w:r>
      <w:bookmarkEnd w:id="26"/>
      <w:bookmarkEnd w:id="27"/>
      <w:bookmarkEnd w:id="28"/>
      <w:bookmarkEnd w:id="29"/>
      <w:bookmarkEnd w:id="30"/>
      <w:bookmarkEnd w:id="31"/>
    </w:p>
    <w:p w14:paraId="74822389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3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和荣兴 、和秀华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</w:t>
      </w:r>
    </w:p>
    <w:p w14:paraId="0628564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30" w:line="52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电　　 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0888—5117766                </w:t>
      </w:r>
    </w:p>
    <w:p w14:paraId="39405078">
      <w:pPr>
        <w:pStyle w:val="4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32" w:name="_Toc35393653"/>
      <w:bookmarkStart w:id="33" w:name="_Toc35393822"/>
      <w:bookmarkStart w:id="34" w:name="_Toc28359033"/>
    </w:p>
    <w:p w14:paraId="45CB5674">
      <w:pPr>
        <w:rPr>
          <w:rFonts w:hint="eastAsia" w:ascii="仿宋" w:hAnsi="仿宋" w:eastAsia="仿宋" w:cs="仿宋"/>
          <w:sz w:val="28"/>
          <w:szCs w:val="28"/>
        </w:rPr>
      </w:pPr>
    </w:p>
    <w:p w14:paraId="47E78846">
      <w:pPr>
        <w:pStyle w:val="2"/>
        <w:rPr>
          <w:rFonts w:hint="eastAsia"/>
        </w:rPr>
      </w:pPr>
    </w:p>
    <w:bookmarkEnd w:id="32"/>
    <w:bookmarkEnd w:id="33"/>
    <w:bookmarkEnd w:id="34"/>
    <w:p w14:paraId="2997C0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textAlignment w:val="auto"/>
      </w:pP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06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16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日</w:t>
      </w:r>
    </w:p>
    <w:sectPr>
      <w:pgSz w:w="11906" w:h="16838"/>
      <w:pgMar w:top="1610" w:right="1519" w:bottom="1497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05EF60-1C63-47A7-8E55-D011127672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3556195-26CF-4D46-8995-E51E031883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EDA23D5-BCBB-46CA-AEF0-57608E6B783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4B9B23EE-BCA1-4CC2-B709-162D275B69A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ECB2331-F7F2-422A-B8AD-31F60C23EC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F4255"/>
    <w:rsid w:val="00FF56BA"/>
    <w:rsid w:val="018F38F6"/>
    <w:rsid w:val="01E72BB6"/>
    <w:rsid w:val="02E80AFB"/>
    <w:rsid w:val="035166A0"/>
    <w:rsid w:val="07131E9F"/>
    <w:rsid w:val="082F0F7A"/>
    <w:rsid w:val="09C15C02"/>
    <w:rsid w:val="0A186A74"/>
    <w:rsid w:val="0B1D3711"/>
    <w:rsid w:val="0B421C52"/>
    <w:rsid w:val="0DA43871"/>
    <w:rsid w:val="0F222A5F"/>
    <w:rsid w:val="10D10E21"/>
    <w:rsid w:val="12BC5A51"/>
    <w:rsid w:val="13685340"/>
    <w:rsid w:val="13DB5F89"/>
    <w:rsid w:val="15B64A89"/>
    <w:rsid w:val="164B5A6C"/>
    <w:rsid w:val="17F83137"/>
    <w:rsid w:val="181F29DE"/>
    <w:rsid w:val="18627CDB"/>
    <w:rsid w:val="18756535"/>
    <w:rsid w:val="1A8213DE"/>
    <w:rsid w:val="1AB5464E"/>
    <w:rsid w:val="1AB7344D"/>
    <w:rsid w:val="1AF32C20"/>
    <w:rsid w:val="1E284D17"/>
    <w:rsid w:val="1ECC2C27"/>
    <w:rsid w:val="1FBF69A5"/>
    <w:rsid w:val="20A26336"/>
    <w:rsid w:val="22AA7723"/>
    <w:rsid w:val="22D718B2"/>
    <w:rsid w:val="22DC6F69"/>
    <w:rsid w:val="22EF4255"/>
    <w:rsid w:val="2558085B"/>
    <w:rsid w:val="25A71CF8"/>
    <w:rsid w:val="279F108F"/>
    <w:rsid w:val="27A6495D"/>
    <w:rsid w:val="286A598B"/>
    <w:rsid w:val="2A820D91"/>
    <w:rsid w:val="2AD84919"/>
    <w:rsid w:val="2C844B41"/>
    <w:rsid w:val="2CF5678B"/>
    <w:rsid w:val="2DEB3E5A"/>
    <w:rsid w:val="2E3D58F0"/>
    <w:rsid w:val="2EF94EFB"/>
    <w:rsid w:val="30662EDC"/>
    <w:rsid w:val="311C239F"/>
    <w:rsid w:val="31502B17"/>
    <w:rsid w:val="32A721EF"/>
    <w:rsid w:val="32DD7848"/>
    <w:rsid w:val="34D40D8F"/>
    <w:rsid w:val="35BC534C"/>
    <w:rsid w:val="362F1FC2"/>
    <w:rsid w:val="3698720C"/>
    <w:rsid w:val="384E7F37"/>
    <w:rsid w:val="3A7C154E"/>
    <w:rsid w:val="3AB17449"/>
    <w:rsid w:val="3C2D4D23"/>
    <w:rsid w:val="3D0C4FBC"/>
    <w:rsid w:val="3DDD0555"/>
    <w:rsid w:val="401C3ECD"/>
    <w:rsid w:val="406C133E"/>
    <w:rsid w:val="426923B8"/>
    <w:rsid w:val="430D368B"/>
    <w:rsid w:val="43DF5027"/>
    <w:rsid w:val="449E793D"/>
    <w:rsid w:val="45B20519"/>
    <w:rsid w:val="46431172"/>
    <w:rsid w:val="4812530C"/>
    <w:rsid w:val="4A4D0811"/>
    <w:rsid w:val="4B942491"/>
    <w:rsid w:val="4C725D71"/>
    <w:rsid w:val="4D7A191D"/>
    <w:rsid w:val="4F831AB5"/>
    <w:rsid w:val="5180327A"/>
    <w:rsid w:val="519F1952"/>
    <w:rsid w:val="51F6353C"/>
    <w:rsid w:val="523A78CD"/>
    <w:rsid w:val="53D8739D"/>
    <w:rsid w:val="53E144A4"/>
    <w:rsid w:val="53E50037"/>
    <w:rsid w:val="54BF04C5"/>
    <w:rsid w:val="560B1430"/>
    <w:rsid w:val="573568B4"/>
    <w:rsid w:val="576B5B79"/>
    <w:rsid w:val="59B648BC"/>
    <w:rsid w:val="5A132EDD"/>
    <w:rsid w:val="5AB0697E"/>
    <w:rsid w:val="5C0D7E00"/>
    <w:rsid w:val="5C1318BA"/>
    <w:rsid w:val="5C782835"/>
    <w:rsid w:val="625B3673"/>
    <w:rsid w:val="64412D3D"/>
    <w:rsid w:val="644F5459"/>
    <w:rsid w:val="64D47CC7"/>
    <w:rsid w:val="65000D2C"/>
    <w:rsid w:val="65C23A09"/>
    <w:rsid w:val="67585D9A"/>
    <w:rsid w:val="68C22BD8"/>
    <w:rsid w:val="68E40C6F"/>
    <w:rsid w:val="6DDF784E"/>
    <w:rsid w:val="6E4279A2"/>
    <w:rsid w:val="6E82467D"/>
    <w:rsid w:val="6E836753"/>
    <w:rsid w:val="6F370FC4"/>
    <w:rsid w:val="703D6AAE"/>
    <w:rsid w:val="71BC5443"/>
    <w:rsid w:val="726D7DC7"/>
    <w:rsid w:val="752E3486"/>
    <w:rsid w:val="76B64EC4"/>
    <w:rsid w:val="76FC5496"/>
    <w:rsid w:val="7C093CE8"/>
    <w:rsid w:val="7C3E10C3"/>
    <w:rsid w:val="7CA35BF0"/>
    <w:rsid w:val="7CB14D37"/>
    <w:rsid w:val="7E595CD7"/>
    <w:rsid w:val="7E8B4C0D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kern w:val="0"/>
    </w:rPr>
  </w:style>
  <w:style w:type="paragraph" w:customStyle="1" w:styleId="3">
    <w:name w:val="_Style 2"/>
    <w:next w:val="1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styleId="6">
    <w:name w:val="Plain Text"/>
    <w:basedOn w:val="1"/>
    <w:next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List 5"/>
    <w:basedOn w:val="1"/>
    <w:next w:val="8"/>
    <w:qFormat/>
    <w:uiPriority w:val="0"/>
    <w:pPr>
      <w:spacing w:after="200" w:line="276" w:lineRule="auto"/>
      <w:ind w:left="100" w:hanging="200"/>
    </w:pPr>
    <w:rPr>
      <w:rFonts w:ascii="Calibri" w:hAnsi="Calibri"/>
      <w:kern w:val="2"/>
    </w:rPr>
  </w:style>
  <w:style w:type="paragraph" w:customStyle="1" w:styleId="8">
    <w:name w:val="目录 51"/>
    <w:next w:val="1"/>
    <w:qFormat/>
    <w:uiPriority w:val="0"/>
    <w:pPr>
      <w:widowControl w:val="0"/>
      <w:spacing w:after="200" w:line="276" w:lineRule="auto"/>
      <w:ind w:left="630"/>
      <w:jc w:val="both"/>
    </w:pPr>
    <w:rPr>
      <w:rFonts w:ascii="Calibri" w:hAnsi="Calibri" w:eastAsia="宋体" w:cs="Times New Roman"/>
      <w:kern w:val="2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next w:val="1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正文缩进1"/>
    <w:next w:val="7"/>
    <w:qFormat/>
    <w:uiPriority w:val="0"/>
    <w:pPr>
      <w:spacing w:after="200" w:line="276" w:lineRule="auto"/>
      <w:ind w:firstLine="420"/>
      <w:jc w:val="both"/>
    </w:pPr>
    <w:rPr>
      <w:rFonts w:ascii="Calibri" w:hAnsi="Calibri" w:eastAsia="宋体" w:cs="Times New Roman"/>
      <w:kern w:val="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丽江市古城区党政机关单位</Company>
  <Pages>2</Pages>
  <Words>689</Words>
  <Characters>772</Characters>
  <Lines>0</Lines>
  <Paragraphs>0</Paragraphs>
  <TotalTime>241</TotalTime>
  <ScaleCrop>false</ScaleCrop>
  <LinksUpToDate>false</LinksUpToDate>
  <CharactersWithSpaces>973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2024-05-13T02:07:00Z</dcterms:created>
  <dc:creator>Lenovo</dc:creator>
  <cp:lastModifiedBy>左边</cp:lastModifiedBy>
  <cp:lastPrinted>2025-12-29T08:33:00Z</cp:lastPrinted>
  <dcterms:modified xsi:type="dcterms:W3CDTF">2026-06-16T07:26:01Z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eyJoZGlkIjoiMDMwNzVhZWM3MWUxNTQzNjJhNDI5Y2EwN2UyOTUzMWYiLCJ1c2VySWQiOiIyNjE2MTQwNzAifQ==</vt:lpwstr>
  </property>
  <property fmtid="{D5CDD505-2E9C-101B-9397-08002B2CF9AE}" pid="4" name="ICV">
    <vt:lpwstr>D4FC9729C310458AB240BAA82DFB391B_13</vt:lpwstr>
  </property>
</Properties>
</file>