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pageBreakBefore/>
        <w:spacing w:line="432" w:lineRule="auto"/>
        <w:jc w:val="center"/>
        <w:rPr>
          <w:rFonts w:hint="eastAsia" w:ascii="黑体" w:hAnsi="黑体" w:eastAsia="黑体" w:cs="黑体"/>
          <w:b/>
          <w:bCs/>
          <w:sz w:val="30"/>
          <w:szCs w:val="30"/>
          <w:lang w:eastAsia="zh-CN"/>
        </w:rPr>
      </w:pPr>
      <w:r>
        <w:rPr>
          <w:rFonts w:hint="eastAsia" w:ascii="黑体" w:hAnsi="黑体" w:eastAsia="黑体" w:cs="黑体"/>
          <w:b/>
          <w:bCs/>
          <w:sz w:val="30"/>
          <w:szCs w:val="30"/>
          <w:lang w:eastAsia="zh-CN"/>
        </w:rPr>
        <w:t>石林彝族自治县民族中学计算机教室设备采购项目（二次招标）</w:t>
      </w:r>
    </w:p>
    <w:p>
      <w:pPr>
        <w:pStyle w:val="6"/>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ascii="黑体" w:hAnsi="黑体" w:eastAsia="黑体" w:cs="黑体"/>
          <w:b/>
          <w:sz w:val="36"/>
          <w:szCs w:val="36"/>
        </w:rPr>
      </w:pPr>
      <w:bookmarkStart w:id="0" w:name="_Toc24236_WPSOffice_Level2"/>
      <w:bookmarkStart w:id="1" w:name="_Toc28013_WPSOffice_Level2"/>
      <w:r>
        <w:rPr>
          <w:rFonts w:hint="eastAsia" w:ascii="黑体" w:hAnsi="黑体" w:eastAsia="黑体" w:cs="黑体"/>
          <w:b/>
          <w:bCs/>
          <w:sz w:val="30"/>
          <w:szCs w:val="30"/>
        </w:rPr>
        <w:t>公开</w:t>
      </w:r>
      <w:r>
        <w:rPr>
          <w:rFonts w:hint="eastAsia" w:ascii="黑体" w:hAnsi="黑体" w:eastAsia="黑体" w:cs="黑体"/>
          <w:b/>
          <w:bCs/>
          <w:spacing w:val="14"/>
          <w:sz w:val="30"/>
          <w:szCs w:val="30"/>
        </w:rPr>
        <w:t>招标公告</w:t>
      </w:r>
      <w:bookmarkEnd w:id="0"/>
      <w:bookmarkEnd w:id="1"/>
    </w:p>
    <w:p>
      <w:pPr>
        <w:pBdr>
          <w:top w:val="single" w:color="auto" w:sz="4" w:space="1"/>
          <w:left w:val="single" w:color="auto" w:sz="4" w:space="4"/>
          <w:bottom w:val="single" w:color="auto" w:sz="4" w:space="1"/>
          <w:right w:val="single" w:color="auto" w:sz="4" w:space="4"/>
        </w:pBdr>
        <w:spacing w:line="360" w:lineRule="auto"/>
        <w:ind w:firstLine="480" w:firstLineChars="200"/>
        <w:rPr>
          <w:rFonts w:ascii="黑体" w:hAnsi="黑体" w:eastAsia="黑体" w:cs="黑体"/>
          <w:sz w:val="24"/>
          <w:szCs w:val="24"/>
        </w:rPr>
      </w:pPr>
      <w:r>
        <w:rPr>
          <w:rFonts w:hint="eastAsia" w:ascii="黑体" w:hAnsi="黑体" w:eastAsia="黑体" w:cs="黑体"/>
          <w:sz w:val="24"/>
          <w:szCs w:val="24"/>
        </w:rPr>
        <w:t>项目概况</w:t>
      </w:r>
    </w:p>
    <w:p>
      <w:pPr>
        <w:pBdr>
          <w:top w:val="single" w:color="auto" w:sz="4" w:space="1"/>
          <w:left w:val="single" w:color="auto" w:sz="4" w:space="4"/>
          <w:bottom w:val="single" w:color="auto" w:sz="4" w:space="1"/>
          <w:right w:val="single" w:color="auto" w:sz="4" w:space="4"/>
        </w:pBdr>
        <w:spacing w:line="360" w:lineRule="auto"/>
        <w:ind w:firstLine="480" w:firstLineChars="200"/>
        <w:rPr>
          <w:rFonts w:ascii="黑体" w:hAnsi="黑体" w:eastAsia="黑体" w:cs="黑体"/>
          <w:sz w:val="24"/>
          <w:szCs w:val="24"/>
        </w:rPr>
      </w:pPr>
      <w:r>
        <w:rPr>
          <w:rFonts w:hint="eastAsia" w:ascii="黑体" w:hAnsi="黑体" w:eastAsia="黑体" w:cs="黑体"/>
          <w:sz w:val="24"/>
          <w:szCs w:val="24"/>
          <w:u w:val="single"/>
          <w:lang w:eastAsia="zh-CN"/>
        </w:rPr>
        <w:t>石林彝族自治县民族中学计算机教室设备采购项目（二次招标）的潜在投标人应在“政采云”平台（http：//www.zcygov.cn）（操作路径：登录“政采云”平台-项目采购-获取采购文件-找到本项目-点击“申请获取采购文件”）获取招标文件，并于2026年</w:t>
      </w:r>
      <w:r>
        <w:rPr>
          <w:rFonts w:hint="eastAsia" w:ascii="黑体" w:hAnsi="黑体" w:eastAsia="黑体" w:cs="黑体"/>
          <w:sz w:val="24"/>
          <w:szCs w:val="24"/>
          <w:u w:val="single"/>
          <w:lang w:val="en-US" w:eastAsia="zh-CN"/>
        </w:rPr>
        <w:t>7</w:t>
      </w:r>
      <w:r>
        <w:rPr>
          <w:rFonts w:hint="eastAsia" w:ascii="黑体" w:hAnsi="黑体" w:eastAsia="黑体" w:cs="黑体"/>
          <w:sz w:val="24"/>
          <w:szCs w:val="24"/>
          <w:u w:val="single"/>
          <w:lang w:eastAsia="zh-CN"/>
        </w:rPr>
        <w:t>月</w:t>
      </w:r>
      <w:r>
        <w:rPr>
          <w:rFonts w:hint="eastAsia" w:ascii="黑体" w:hAnsi="黑体" w:eastAsia="黑体" w:cs="黑体"/>
          <w:sz w:val="24"/>
          <w:szCs w:val="24"/>
          <w:u w:val="single"/>
          <w:lang w:val="en-US" w:eastAsia="zh-CN"/>
        </w:rPr>
        <w:t>8</w:t>
      </w:r>
      <w:r>
        <w:rPr>
          <w:rFonts w:hint="eastAsia" w:ascii="黑体" w:hAnsi="黑体" w:eastAsia="黑体" w:cs="黑体"/>
          <w:sz w:val="24"/>
          <w:szCs w:val="24"/>
          <w:u w:val="single"/>
          <w:lang w:eastAsia="zh-CN"/>
        </w:rPr>
        <w:t>日</w:t>
      </w:r>
      <w:r>
        <w:rPr>
          <w:rFonts w:hint="eastAsia" w:ascii="黑体" w:hAnsi="黑体" w:eastAsia="黑体" w:cs="黑体"/>
          <w:sz w:val="24"/>
          <w:szCs w:val="24"/>
          <w:u w:val="single"/>
          <w:lang w:val="en-US" w:eastAsia="zh-CN"/>
        </w:rPr>
        <w:t>9</w:t>
      </w:r>
      <w:r>
        <w:rPr>
          <w:rFonts w:hint="eastAsia" w:ascii="黑体" w:hAnsi="黑体" w:eastAsia="黑体" w:cs="黑体"/>
          <w:sz w:val="24"/>
          <w:szCs w:val="24"/>
          <w:u w:val="single"/>
          <w:lang w:eastAsia="zh-CN"/>
        </w:rPr>
        <w:t>点</w:t>
      </w:r>
      <w:r>
        <w:rPr>
          <w:rFonts w:hint="eastAsia" w:ascii="黑体" w:hAnsi="黑体" w:eastAsia="黑体" w:cs="黑体"/>
          <w:sz w:val="24"/>
          <w:szCs w:val="24"/>
          <w:u w:val="single"/>
          <w:lang w:val="en-US" w:eastAsia="zh-CN"/>
        </w:rPr>
        <w:t>30</w:t>
      </w:r>
      <w:r>
        <w:rPr>
          <w:rFonts w:hint="eastAsia" w:ascii="黑体" w:hAnsi="黑体" w:eastAsia="黑体" w:cs="黑体"/>
          <w:sz w:val="24"/>
          <w:szCs w:val="24"/>
          <w:u w:val="single"/>
          <w:lang w:eastAsia="zh-CN"/>
        </w:rPr>
        <w:t>分（北京时间）前提交投标文件</w:t>
      </w:r>
    </w:p>
    <w:p>
      <w:pPr>
        <w:pStyle w:val="4"/>
        <w:spacing w:line="360" w:lineRule="auto"/>
        <w:jc w:val="both"/>
        <w:rPr>
          <w:rFonts w:ascii="黑体" w:hAnsi="黑体" w:eastAsia="黑体" w:cs="黑体"/>
          <w:b w:val="0"/>
          <w:sz w:val="24"/>
          <w:szCs w:val="24"/>
        </w:rPr>
      </w:pPr>
      <w:bookmarkStart w:id="2" w:name="_Toc28359002"/>
      <w:bookmarkStart w:id="3" w:name="_Toc35393621"/>
      <w:bookmarkStart w:id="4" w:name="_Toc35393790"/>
      <w:bookmarkStart w:id="5" w:name="_Toc28359079"/>
      <w:bookmarkStart w:id="6" w:name="_Toc24585_WPSOffice_Level2"/>
      <w:bookmarkStart w:id="7" w:name="_Hlk24379207"/>
      <w:r>
        <w:rPr>
          <w:rFonts w:hint="eastAsia" w:ascii="黑体" w:hAnsi="黑体" w:eastAsia="黑体" w:cs="黑体"/>
          <w:bCs/>
          <w:sz w:val="24"/>
          <w:szCs w:val="24"/>
        </w:rPr>
        <w:t>一、项目基本情况</w:t>
      </w:r>
      <w:bookmarkEnd w:id="2"/>
      <w:bookmarkEnd w:id="3"/>
      <w:bookmarkEnd w:id="4"/>
      <w:bookmarkEnd w:id="5"/>
      <w:bookmarkEnd w:id="6"/>
    </w:p>
    <w:p>
      <w:pPr>
        <w:spacing w:line="360" w:lineRule="auto"/>
        <w:ind w:firstLine="480" w:firstLineChars="200"/>
        <w:rPr>
          <w:rFonts w:hint="eastAsia" w:eastAsia="黑体"/>
          <w:lang w:eastAsia="zh-CN"/>
        </w:rPr>
      </w:pPr>
      <w:r>
        <w:rPr>
          <w:rFonts w:hint="eastAsia" w:ascii="黑体" w:hAnsi="黑体" w:eastAsia="黑体" w:cs="黑体"/>
          <w:sz w:val="24"/>
          <w:szCs w:val="24"/>
        </w:rPr>
        <w:t>1.项目编号：</w:t>
      </w:r>
      <w:r>
        <w:rPr>
          <w:rFonts w:hint="eastAsia" w:ascii="黑体" w:hAnsi="黑体" w:eastAsia="黑体" w:cs="黑体"/>
          <w:sz w:val="24"/>
          <w:szCs w:val="24"/>
          <w:lang w:eastAsia="zh-CN"/>
        </w:rPr>
        <w:t>SLJC2026-010</w:t>
      </w:r>
    </w:p>
    <w:p>
      <w:pPr>
        <w:spacing w:line="360" w:lineRule="auto"/>
        <w:ind w:firstLine="480" w:firstLineChars="200"/>
        <w:rPr>
          <w:rFonts w:hint="eastAsia" w:ascii="黑体" w:hAnsi="黑体" w:eastAsia="黑体" w:cs="黑体"/>
          <w:sz w:val="24"/>
          <w:szCs w:val="24"/>
          <w:lang w:eastAsia="zh-CN"/>
        </w:rPr>
      </w:pPr>
      <w:r>
        <w:rPr>
          <w:rFonts w:hint="eastAsia" w:ascii="黑体" w:hAnsi="黑体" w:eastAsia="黑体" w:cs="黑体"/>
          <w:sz w:val="24"/>
          <w:szCs w:val="24"/>
        </w:rPr>
        <w:t>2.项目名称：</w:t>
      </w:r>
      <w:bookmarkStart w:id="8" w:name="OLE_LINK29"/>
      <w:r>
        <w:rPr>
          <w:rFonts w:hint="eastAsia" w:ascii="黑体" w:hAnsi="黑体" w:eastAsia="黑体" w:cs="黑体"/>
          <w:sz w:val="24"/>
          <w:szCs w:val="24"/>
          <w:lang w:eastAsia="zh-CN"/>
        </w:rPr>
        <w:t>石林彝族自治县民族中学计算机教室设备采购项目（二次招标）</w:t>
      </w:r>
      <w:bookmarkEnd w:id="8"/>
    </w:p>
    <w:bookmarkEnd w:id="7"/>
    <w:p>
      <w:pPr>
        <w:spacing w:line="360" w:lineRule="auto"/>
        <w:ind w:firstLine="480" w:firstLineChars="200"/>
        <w:rPr>
          <w:rFonts w:hint="eastAsia" w:ascii="黑体" w:hAnsi="黑体" w:eastAsia="黑体" w:cs="黑体"/>
          <w:sz w:val="24"/>
          <w:szCs w:val="24"/>
          <w:lang w:eastAsia="zh-CN"/>
        </w:rPr>
      </w:pPr>
      <w:r>
        <w:rPr>
          <w:rFonts w:hint="eastAsia" w:ascii="黑体" w:hAnsi="黑体" w:eastAsia="黑体" w:cs="黑体"/>
          <w:sz w:val="24"/>
          <w:szCs w:val="24"/>
        </w:rPr>
        <w:t>3.预算金额：</w:t>
      </w:r>
      <w:r>
        <w:rPr>
          <w:rFonts w:hint="eastAsia" w:ascii="黑体" w:hAnsi="黑体" w:eastAsia="黑体" w:cs="黑体"/>
          <w:sz w:val="24"/>
          <w:szCs w:val="24"/>
          <w:lang w:val="en-US" w:eastAsia="zh-CN"/>
        </w:rPr>
        <w:t>本项目采购预算（最高限价）为¥900000.00元，投标报价超过预算单价限价的，其投标文件将被拒绝</w:t>
      </w:r>
    </w:p>
    <w:p>
      <w:pPr>
        <w:spacing w:line="360" w:lineRule="auto"/>
        <w:ind w:firstLine="480" w:firstLineChars="200"/>
      </w:pPr>
      <w:r>
        <w:rPr>
          <w:rFonts w:hint="eastAsia" w:ascii="黑体" w:hAnsi="黑体" w:eastAsia="黑体" w:cs="黑体"/>
          <w:sz w:val="24"/>
          <w:szCs w:val="24"/>
        </w:rPr>
        <w:t>4.</w:t>
      </w:r>
      <w:r>
        <w:rPr>
          <w:rFonts w:ascii="黑体" w:hAnsi="黑体" w:eastAsia="黑体" w:cs="黑体"/>
          <w:sz w:val="24"/>
          <w:szCs w:val="24"/>
        </w:rPr>
        <w:t>招标内容：</w:t>
      </w:r>
      <w:bookmarkStart w:id="9" w:name="OLE_LINK3"/>
      <w:r>
        <w:rPr>
          <w:rFonts w:hint="eastAsia" w:ascii="黑体" w:hAnsi="黑体" w:eastAsia="黑体" w:cs="黑体"/>
          <w:sz w:val="24"/>
          <w:szCs w:val="24"/>
          <w:lang w:eastAsia="zh-CN"/>
        </w:rPr>
        <w:t>石林彝族自治县民族中学计算机教室设备</w:t>
      </w:r>
      <w:r>
        <w:rPr>
          <w:rFonts w:hint="eastAsia" w:ascii="黑体" w:hAnsi="黑体" w:eastAsia="黑体" w:cs="黑体"/>
          <w:sz w:val="24"/>
          <w:szCs w:val="24"/>
        </w:rPr>
        <w:t>：</w:t>
      </w:r>
    </w:p>
    <w:tbl>
      <w:tblPr>
        <w:tblStyle w:val="8"/>
        <w:tblW w:w="8399" w:type="dxa"/>
        <w:jc w:val="center"/>
        <w:tblInd w:w="-14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94"/>
        <w:gridCol w:w="58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594" w:type="dxa"/>
          </w:tcPr>
          <w:p>
            <w:pPr>
              <w:spacing w:line="240" w:lineRule="auto"/>
              <w:jc w:val="center"/>
              <w:rPr>
                <w:rFonts w:hint="eastAsia" w:ascii="黑体" w:hAnsi="黑体" w:eastAsia="黑体" w:cs="黑体"/>
                <w:b/>
                <w:bCs/>
                <w:sz w:val="24"/>
                <w:szCs w:val="24"/>
                <w:vertAlign w:val="baseline"/>
                <w:lang w:val="en-US" w:eastAsia="zh-CN"/>
              </w:rPr>
            </w:pPr>
            <w:r>
              <w:rPr>
                <w:rFonts w:hint="eastAsia" w:ascii="黑体" w:hAnsi="黑体" w:eastAsia="黑体" w:cs="黑体"/>
                <w:b/>
                <w:bCs/>
                <w:sz w:val="24"/>
                <w:szCs w:val="24"/>
                <w:vertAlign w:val="baseline"/>
                <w:lang w:val="en-US" w:eastAsia="zh-CN"/>
              </w:rPr>
              <w:t>名称</w:t>
            </w:r>
          </w:p>
        </w:tc>
        <w:tc>
          <w:tcPr>
            <w:tcW w:w="5805" w:type="dxa"/>
          </w:tcPr>
          <w:p>
            <w:pPr>
              <w:spacing w:line="240" w:lineRule="auto"/>
              <w:jc w:val="center"/>
              <w:rPr>
                <w:rFonts w:hint="default" w:ascii="黑体" w:hAnsi="黑体" w:eastAsia="黑体" w:cs="黑体"/>
                <w:b/>
                <w:bCs/>
                <w:sz w:val="24"/>
                <w:szCs w:val="24"/>
                <w:vertAlign w:val="baseline"/>
                <w:lang w:val="en-US" w:eastAsia="zh-CN"/>
              </w:rPr>
            </w:pPr>
            <w:r>
              <w:rPr>
                <w:rFonts w:hint="eastAsia" w:ascii="黑体" w:hAnsi="黑体" w:eastAsia="黑体" w:cs="黑体"/>
                <w:b/>
                <w:bCs/>
                <w:sz w:val="24"/>
                <w:szCs w:val="24"/>
                <w:vertAlign w:val="baseline"/>
                <w:lang w:val="en-US" w:eastAsia="zh-CN"/>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594" w:type="dxa"/>
            <w:vMerge w:val="restart"/>
            <w:vAlign w:val="center"/>
          </w:tcPr>
          <w:p>
            <w:pPr>
              <w:spacing w:line="360" w:lineRule="auto"/>
              <w:jc w:val="center"/>
              <w:rPr>
                <w:rFonts w:ascii="黑体" w:hAnsi="黑体" w:eastAsia="黑体" w:cs="黑体"/>
                <w:sz w:val="24"/>
                <w:szCs w:val="24"/>
                <w:vertAlign w:val="baseline"/>
              </w:rPr>
            </w:pPr>
            <w:r>
              <w:rPr>
                <w:rFonts w:hint="eastAsia" w:ascii="黑体" w:hAnsi="黑体" w:eastAsia="黑体" w:cs="黑体"/>
                <w:sz w:val="24"/>
                <w:szCs w:val="24"/>
                <w:lang w:eastAsia="zh-CN"/>
              </w:rPr>
              <w:t>石林彝族自治县民族中学计算机教室设备</w:t>
            </w:r>
          </w:p>
        </w:tc>
        <w:tc>
          <w:tcPr>
            <w:tcW w:w="5805" w:type="dxa"/>
            <w:vAlign w:val="center"/>
          </w:tcPr>
          <w:p>
            <w:pPr>
              <w:spacing w:line="240" w:lineRule="auto"/>
              <w:jc w:val="center"/>
              <w:rPr>
                <w:rFonts w:hint="eastAsia" w:ascii="黑体" w:hAnsi="黑体" w:eastAsia="黑体" w:cs="黑体"/>
                <w:sz w:val="24"/>
                <w:szCs w:val="24"/>
                <w:vertAlign w:val="baseline"/>
              </w:rPr>
            </w:pPr>
            <w:r>
              <w:rPr>
                <w:rFonts w:hint="eastAsia" w:ascii="黑体" w:hAnsi="黑体" w:eastAsia="黑体" w:cs="黑体"/>
                <w:sz w:val="24"/>
                <w:szCs w:val="24"/>
                <w:vertAlign w:val="baseline"/>
              </w:rPr>
              <w:t>智慧黑板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594" w:type="dxa"/>
            <w:vMerge w:val="continue"/>
          </w:tcPr>
          <w:p>
            <w:pPr>
              <w:spacing w:line="360" w:lineRule="auto"/>
              <w:jc w:val="center"/>
              <w:rPr>
                <w:rFonts w:ascii="黑体" w:hAnsi="黑体" w:eastAsia="黑体" w:cs="黑体"/>
                <w:sz w:val="24"/>
                <w:szCs w:val="24"/>
                <w:vertAlign w:val="baseline"/>
              </w:rPr>
            </w:pPr>
          </w:p>
        </w:tc>
        <w:tc>
          <w:tcPr>
            <w:tcW w:w="5805" w:type="dxa"/>
            <w:vAlign w:val="center"/>
          </w:tcPr>
          <w:p>
            <w:pPr>
              <w:spacing w:line="240" w:lineRule="auto"/>
              <w:jc w:val="center"/>
              <w:rPr>
                <w:rFonts w:hint="eastAsia" w:ascii="黑体" w:hAnsi="黑体" w:eastAsia="黑体" w:cs="黑体"/>
                <w:sz w:val="24"/>
                <w:szCs w:val="24"/>
                <w:vertAlign w:val="baseline"/>
              </w:rPr>
            </w:pPr>
            <w:r>
              <w:rPr>
                <w:rFonts w:hint="eastAsia" w:ascii="黑体" w:hAnsi="黑体" w:eastAsia="黑体" w:cs="黑体"/>
                <w:sz w:val="24"/>
                <w:szCs w:val="24"/>
                <w:vertAlign w:val="baseline"/>
              </w:rPr>
              <w:t>视频展台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594" w:type="dxa"/>
            <w:vMerge w:val="continue"/>
          </w:tcPr>
          <w:p>
            <w:pPr>
              <w:spacing w:line="360" w:lineRule="auto"/>
              <w:jc w:val="center"/>
              <w:rPr>
                <w:rFonts w:hint="eastAsia" w:ascii="黑体" w:hAnsi="黑体" w:eastAsia="黑体" w:cs="黑体"/>
                <w:sz w:val="24"/>
                <w:szCs w:val="24"/>
                <w:vertAlign w:val="baseline"/>
              </w:rPr>
            </w:pPr>
          </w:p>
        </w:tc>
        <w:tc>
          <w:tcPr>
            <w:tcW w:w="5805" w:type="dxa"/>
            <w:vAlign w:val="center"/>
          </w:tcPr>
          <w:p>
            <w:pPr>
              <w:spacing w:line="240" w:lineRule="auto"/>
              <w:jc w:val="center"/>
              <w:rPr>
                <w:rFonts w:hint="eastAsia" w:ascii="黑体" w:hAnsi="黑体" w:eastAsia="黑体" w:cs="黑体"/>
                <w:sz w:val="24"/>
                <w:szCs w:val="24"/>
                <w:vertAlign w:val="baseline"/>
              </w:rPr>
            </w:pPr>
            <w:r>
              <w:rPr>
                <w:rFonts w:hint="eastAsia" w:ascii="黑体" w:hAnsi="黑体" w:eastAsia="黑体" w:cs="黑体"/>
                <w:sz w:val="24"/>
                <w:szCs w:val="24"/>
                <w:vertAlign w:val="baseline"/>
              </w:rPr>
              <w:t>备授课资源软件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594" w:type="dxa"/>
            <w:vMerge w:val="continue"/>
          </w:tcPr>
          <w:p>
            <w:pPr>
              <w:spacing w:line="360" w:lineRule="auto"/>
              <w:jc w:val="center"/>
              <w:rPr>
                <w:rFonts w:hint="eastAsia" w:ascii="黑体" w:hAnsi="黑体" w:eastAsia="黑体" w:cs="黑体"/>
                <w:sz w:val="24"/>
                <w:szCs w:val="24"/>
                <w:vertAlign w:val="baseline"/>
              </w:rPr>
            </w:pPr>
          </w:p>
        </w:tc>
        <w:tc>
          <w:tcPr>
            <w:tcW w:w="5805" w:type="dxa"/>
            <w:vAlign w:val="center"/>
          </w:tcPr>
          <w:p>
            <w:pPr>
              <w:spacing w:line="240" w:lineRule="auto"/>
              <w:jc w:val="center"/>
              <w:rPr>
                <w:rFonts w:hint="eastAsia" w:ascii="黑体" w:hAnsi="黑体" w:eastAsia="黑体" w:cs="黑体"/>
                <w:sz w:val="24"/>
                <w:szCs w:val="24"/>
                <w:vertAlign w:val="baseline"/>
              </w:rPr>
            </w:pPr>
            <w:r>
              <w:rPr>
                <w:rFonts w:hint="eastAsia" w:ascii="黑体" w:hAnsi="黑体" w:eastAsia="黑体" w:cs="黑体"/>
                <w:sz w:val="24"/>
                <w:szCs w:val="24"/>
                <w:vertAlign w:val="baseline"/>
              </w:rPr>
              <w:t>校级教研管理平台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594" w:type="dxa"/>
            <w:vMerge w:val="continue"/>
          </w:tcPr>
          <w:p>
            <w:pPr>
              <w:spacing w:line="360" w:lineRule="auto"/>
              <w:jc w:val="center"/>
              <w:rPr>
                <w:rFonts w:hint="eastAsia" w:ascii="黑体" w:hAnsi="黑体" w:eastAsia="黑体" w:cs="黑体"/>
                <w:sz w:val="24"/>
                <w:szCs w:val="24"/>
                <w:vertAlign w:val="baseline"/>
              </w:rPr>
            </w:pPr>
          </w:p>
        </w:tc>
        <w:tc>
          <w:tcPr>
            <w:tcW w:w="5805" w:type="dxa"/>
            <w:vAlign w:val="center"/>
          </w:tcPr>
          <w:p>
            <w:pPr>
              <w:spacing w:line="240" w:lineRule="auto"/>
              <w:jc w:val="center"/>
              <w:rPr>
                <w:rFonts w:hint="default"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教师分体式计算机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594" w:type="dxa"/>
            <w:vMerge w:val="continue"/>
          </w:tcPr>
          <w:p>
            <w:pPr>
              <w:spacing w:line="360" w:lineRule="auto"/>
              <w:jc w:val="center"/>
              <w:rPr>
                <w:rFonts w:hint="eastAsia" w:ascii="黑体" w:hAnsi="黑体" w:eastAsia="黑体" w:cs="黑体"/>
                <w:sz w:val="24"/>
                <w:szCs w:val="24"/>
                <w:vertAlign w:val="baseline"/>
              </w:rPr>
            </w:pPr>
          </w:p>
        </w:tc>
        <w:tc>
          <w:tcPr>
            <w:tcW w:w="5805" w:type="dxa"/>
            <w:vAlign w:val="center"/>
          </w:tcPr>
          <w:p>
            <w:pPr>
              <w:spacing w:line="240" w:lineRule="auto"/>
              <w:jc w:val="center"/>
              <w:rPr>
                <w:rFonts w:hint="eastAsia" w:ascii="黑体" w:hAnsi="黑体" w:eastAsia="黑体" w:cs="黑体"/>
                <w:sz w:val="24"/>
                <w:szCs w:val="24"/>
                <w:vertAlign w:val="baseline"/>
                <w:lang w:val="en-US" w:eastAsia="zh-CN"/>
              </w:rPr>
            </w:pPr>
            <w:bookmarkStart w:id="10" w:name="OLE_LINK19"/>
            <w:r>
              <w:rPr>
                <w:rFonts w:hint="eastAsia" w:ascii="黑体" w:hAnsi="黑体" w:eastAsia="黑体" w:cs="黑体"/>
                <w:sz w:val="24"/>
                <w:szCs w:val="24"/>
                <w:vertAlign w:val="baseline"/>
                <w:lang w:val="en-US" w:eastAsia="zh-CN"/>
              </w:rPr>
              <w:t xml:space="preserve">学生分体式计算机(核心产品）  </w:t>
            </w:r>
            <w:bookmarkEnd w:id="10"/>
            <w:r>
              <w:rPr>
                <w:rFonts w:hint="eastAsia" w:ascii="黑体" w:hAnsi="黑体" w:eastAsia="黑体" w:cs="黑体"/>
                <w:sz w:val="24"/>
                <w:szCs w:val="24"/>
                <w:vertAlign w:val="baseli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594" w:type="dxa"/>
            <w:vMerge w:val="continue"/>
          </w:tcPr>
          <w:p>
            <w:pPr>
              <w:spacing w:line="360" w:lineRule="auto"/>
              <w:jc w:val="center"/>
              <w:rPr>
                <w:rFonts w:hint="eastAsia" w:ascii="黑体" w:hAnsi="黑体" w:eastAsia="黑体" w:cs="黑体"/>
                <w:sz w:val="24"/>
                <w:szCs w:val="24"/>
                <w:vertAlign w:val="baseline"/>
              </w:rPr>
            </w:pPr>
          </w:p>
        </w:tc>
        <w:tc>
          <w:tcPr>
            <w:tcW w:w="5805" w:type="dxa"/>
            <w:vAlign w:val="center"/>
          </w:tcPr>
          <w:p>
            <w:pPr>
              <w:spacing w:line="240" w:lineRule="auto"/>
              <w:jc w:val="center"/>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教学管理软件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594" w:type="dxa"/>
            <w:vMerge w:val="continue"/>
          </w:tcPr>
          <w:p>
            <w:pPr>
              <w:spacing w:line="360" w:lineRule="auto"/>
              <w:jc w:val="center"/>
              <w:rPr>
                <w:rFonts w:hint="eastAsia" w:ascii="黑体" w:hAnsi="黑体" w:eastAsia="黑体" w:cs="黑体"/>
                <w:sz w:val="24"/>
                <w:szCs w:val="24"/>
                <w:vertAlign w:val="baseline"/>
              </w:rPr>
            </w:pPr>
          </w:p>
        </w:tc>
        <w:tc>
          <w:tcPr>
            <w:tcW w:w="5805" w:type="dxa"/>
            <w:vAlign w:val="center"/>
          </w:tcPr>
          <w:p>
            <w:pPr>
              <w:spacing w:line="240" w:lineRule="auto"/>
              <w:jc w:val="center"/>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机房管理软件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594" w:type="dxa"/>
            <w:vMerge w:val="continue"/>
          </w:tcPr>
          <w:p>
            <w:pPr>
              <w:spacing w:line="360" w:lineRule="auto"/>
              <w:jc w:val="center"/>
              <w:rPr>
                <w:rFonts w:hint="eastAsia" w:ascii="黑体" w:hAnsi="黑体" w:eastAsia="黑体" w:cs="黑体"/>
                <w:sz w:val="24"/>
                <w:szCs w:val="24"/>
                <w:vertAlign w:val="baseline"/>
              </w:rPr>
            </w:pPr>
          </w:p>
        </w:tc>
        <w:tc>
          <w:tcPr>
            <w:tcW w:w="5805" w:type="dxa"/>
            <w:vAlign w:val="center"/>
          </w:tcPr>
          <w:p>
            <w:pPr>
              <w:spacing w:line="240" w:lineRule="auto"/>
              <w:jc w:val="center"/>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电脑助手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jc w:val="center"/>
        </w:trPr>
        <w:tc>
          <w:tcPr>
            <w:tcW w:w="2594" w:type="dxa"/>
            <w:vMerge w:val="continue"/>
          </w:tcPr>
          <w:p>
            <w:pPr>
              <w:spacing w:line="360" w:lineRule="auto"/>
              <w:jc w:val="center"/>
              <w:rPr>
                <w:rFonts w:hint="eastAsia" w:ascii="黑体" w:hAnsi="黑体" w:eastAsia="黑体" w:cs="黑体"/>
                <w:sz w:val="24"/>
                <w:szCs w:val="24"/>
                <w:vertAlign w:val="baseline"/>
              </w:rPr>
            </w:pPr>
          </w:p>
        </w:tc>
        <w:tc>
          <w:tcPr>
            <w:tcW w:w="5805" w:type="dxa"/>
            <w:vAlign w:val="center"/>
          </w:tcPr>
          <w:p>
            <w:pPr>
              <w:spacing w:line="240" w:lineRule="auto"/>
              <w:jc w:val="center"/>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24口千兆网络交换机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594" w:type="dxa"/>
            <w:vMerge w:val="continue"/>
          </w:tcPr>
          <w:p>
            <w:pPr>
              <w:spacing w:line="360" w:lineRule="auto"/>
              <w:jc w:val="center"/>
              <w:rPr>
                <w:rFonts w:hint="eastAsia" w:ascii="黑体" w:hAnsi="黑体" w:eastAsia="黑体" w:cs="黑体"/>
                <w:sz w:val="24"/>
                <w:szCs w:val="24"/>
                <w:vertAlign w:val="baseline"/>
              </w:rPr>
            </w:pPr>
          </w:p>
        </w:tc>
        <w:tc>
          <w:tcPr>
            <w:tcW w:w="5805" w:type="dxa"/>
            <w:vAlign w:val="center"/>
          </w:tcPr>
          <w:p>
            <w:pPr>
              <w:spacing w:line="240" w:lineRule="auto"/>
              <w:jc w:val="center"/>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考试专用耳机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594" w:type="dxa"/>
            <w:vMerge w:val="continue"/>
          </w:tcPr>
          <w:p>
            <w:pPr>
              <w:spacing w:line="360" w:lineRule="auto"/>
              <w:jc w:val="center"/>
              <w:rPr>
                <w:rFonts w:hint="eastAsia" w:ascii="黑体" w:hAnsi="黑体" w:eastAsia="黑体" w:cs="黑体"/>
                <w:sz w:val="24"/>
                <w:szCs w:val="24"/>
                <w:vertAlign w:val="baseline"/>
              </w:rPr>
            </w:pPr>
          </w:p>
        </w:tc>
        <w:tc>
          <w:tcPr>
            <w:tcW w:w="5805" w:type="dxa"/>
            <w:vAlign w:val="center"/>
          </w:tcPr>
          <w:p>
            <w:pPr>
              <w:spacing w:line="240" w:lineRule="auto"/>
              <w:jc w:val="center"/>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空调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594" w:type="dxa"/>
            <w:vMerge w:val="continue"/>
          </w:tcPr>
          <w:p>
            <w:pPr>
              <w:spacing w:line="360" w:lineRule="auto"/>
              <w:jc w:val="center"/>
              <w:rPr>
                <w:rFonts w:hint="eastAsia" w:ascii="黑体" w:hAnsi="黑体" w:eastAsia="黑体" w:cs="黑体"/>
                <w:sz w:val="24"/>
                <w:szCs w:val="24"/>
                <w:vertAlign w:val="baseline"/>
              </w:rPr>
            </w:pPr>
          </w:p>
        </w:tc>
        <w:tc>
          <w:tcPr>
            <w:tcW w:w="5805" w:type="dxa"/>
            <w:vAlign w:val="center"/>
          </w:tcPr>
          <w:p>
            <w:pPr>
              <w:spacing w:line="240" w:lineRule="auto"/>
              <w:jc w:val="center"/>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不间断电源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594" w:type="dxa"/>
            <w:vMerge w:val="continue"/>
          </w:tcPr>
          <w:p>
            <w:pPr>
              <w:spacing w:line="360" w:lineRule="auto"/>
              <w:jc w:val="center"/>
              <w:rPr>
                <w:rFonts w:hint="eastAsia" w:ascii="黑体" w:hAnsi="黑体" w:eastAsia="黑体" w:cs="黑体"/>
                <w:sz w:val="24"/>
                <w:szCs w:val="24"/>
                <w:vertAlign w:val="baseline"/>
              </w:rPr>
            </w:pPr>
          </w:p>
        </w:tc>
        <w:tc>
          <w:tcPr>
            <w:tcW w:w="5805" w:type="dxa"/>
            <w:vAlign w:val="center"/>
          </w:tcPr>
          <w:p>
            <w:pPr>
              <w:spacing w:line="240" w:lineRule="auto"/>
              <w:jc w:val="center"/>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蓄电池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594" w:type="dxa"/>
            <w:vMerge w:val="continue"/>
          </w:tcPr>
          <w:p>
            <w:pPr>
              <w:spacing w:line="360" w:lineRule="auto"/>
              <w:jc w:val="center"/>
              <w:rPr>
                <w:rFonts w:hint="eastAsia" w:ascii="黑体" w:hAnsi="黑体" w:eastAsia="黑体" w:cs="黑体"/>
                <w:sz w:val="24"/>
                <w:szCs w:val="24"/>
                <w:vertAlign w:val="baseline"/>
              </w:rPr>
            </w:pPr>
          </w:p>
        </w:tc>
        <w:tc>
          <w:tcPr>
            <w:tcW w:w="5805" w:type="dxa"/>
            <w:vAlign w:val="center"/>
          </w:tcPr>
          <w:p>
            <w:pPr>
              <w:spacing w:line="240" w:lineRule="auto"/>
              <w:jc w:val="center"/>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高精度全自动交流稳压器（立式）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594" w:type="dxa"/>
            <w:vMerge w:val="continue"/>
          </w:tcPr>
          <w:p>
            <w:pPr>
              <w:spacing w:line="360" w:lineRule="auto"/>
              <w:jc w:val="center"/>
              <w:rPr>
                <w:rFonts w:hint="eastAsia" w:ascii="黑体" w:hAnsi="黑体" w:eastAsia="黑体" w:cs="黑体"/>
                <w:sz w:val="24"/>
                <w:szCs w:val="24"/>
                <w:vertAlign w:val="baseline"/>
              </w:rPr>
            </w:pPr>
          </w:p>
        </w:tc>
        <w:tc>
          <w:tcPr>
            <w:tcW w:w="5805" w:type="dxa"/>
            <w:vAlign w:val="center"/>
          </w:tcPr>
          <w:p>
            <w:pPr>
              <w:spacing w:line="240" w:lineRule="auto"/>
              <w:jc w:val="center"/>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隔板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594" w:type="dxa"/>
            <w:vMerge w:val="continue"/>
          </w:tcPr>
          <w:p>
            <w:pPr>
              <w:spacing w:line="360" w:lineRule="auto"/>
              <w:jc w:val="center"/>
              <w:rPr>
                <w:rFonts w:hint="eastAsia" w:ascii="黑体" w:hAnsi="黑体" w:eastAsia="黑体" w:cs="黑体"/>
                <w:sz w:val="24"/>
                <w:szCs w:val="24"/>
                <w:vertAlign w:val="baseline"/>
              </w:rPr>
            </w:pPr>
          </w:p>
        </w:tc>
        <w:tc>
          <w:tcPr>
            <w:tcW w:w="5805" w:type="dxa"/>
            <w:vAlign w:val="center"/>
          </w:tcPr>
          <w:p>
            <w:pPr>
              <w:spacing w:line="240" w:lineRule="auto"/>
              <w:jc w:val="center"/>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安装、部署及线槽、电源插板等辅材</w:t>
            </w:r>
          </w:p>
        </w:tc>
      </w:tr>
      <w:bookmarkEnd w:id="9"/>
    </w:tbl>
    <w:p>
      <w:pPr>
        <w:spacing w:line="360" w:lineRule="auto"/>
        <w:ind w:firstLine="480" w:firstLineChars="200"/>
        <w:rPr>
          <w:rFonts w:ascii="黑体" w:hAnsi="黑体" w:eastAsia="黑体" w:cs="黑体"/>
          <w:sz w:val="24"/>
          <w:szCs w:val="24"/>
        </w:rPr>
      </w:pPr>
      <w:r>
        <w:rPr>
          <w:rFonts w:hint="eastAsia" w:ascii="黑体" w:hAnsi="黑体" w:eastAsia="黑体" w:cs="黑体"/>
          <w:sz w:val="24"/>
          <w:szCs w:val="24"/>
        </w:rPr>
        <w:t>5.交货时间：供应商须在合同签订后30日内以送货上门的方式将产品交付采购人指定地点，并负责完成安装、调试、培训（各供应商可根据实际情况自行报出合理的更短时间，最终以合同签定为准）。</w:t>
      </w:r>
    </w:p>
    <w:p>
      <w:pPr>
        <w:widowControl/>
        <w:spacing w:line="360" w:lineRule="auto"/>
        <w:ind w:firstLine="480"/>
        <w:jc w:val="left"/>
        <w:rPr>
          <w:rFonts w:ascii="黑体" w:hAnsi="黑体" w:eastAsia="黑体" w:cs="黑体"/>
          <w:sz w:val="24"/>
          <w:szCs w:val="24"/>
        </w:rPr>
      </w:pPr>
      <w:r>
        <w:rPr>
          <w:rFonts w:hint="eastAsia" w:ascii="黑体" w:hAnsi="黑体" w:eastAsia="黑体" w:cs="黑体"/>
          <w:sz w:val="24"/>
          <w:szCs w:val="24"/>
        </w:rPr>
        <w:t>6.质量要求</w:t>
      </w:r>
      <w:r>
        <w:rPr>
          <w:rFonts w:ascii="黑体" w:hAnsi="黑体" w:eastAsia="黑体" w:cs="黑体"/>
          <w:sz w:val="24"/>
          <w:szCs w:val="24"/>
        </w:rPr>
        <w:t>：</w:t>
      </w:r>
      <w:r>
        <w:rPr>
          <w:rFonts w:hint="eastAsia" w:ascii="黑体" w:hAnsi="黑体" w:eastAsia="黑体" w:cs="黑体"/>
          <w:sz w:val="24"/>
          <w:szCs w:val="24"/>
        </w:rPr>
        <w:t>投标供应商提供的产品必须是全新合格正品，满足采购人要求，一次性验收合格。</w:t>
      </w:r>
    </w:p>
    <w:p>
      <w:pPr>
        <w:widowControl/>
        <w:spacing w:line="400" w:lineRule="exact"/>
        <w:ind w:firstLine="480"/>
        <w:jc w:val="left"/>
        <w:rPr>
          <w:rFonts w:ascii="黑体" w:hAnsi="黑体" w:eastAsia="黑体" w:cs="黑体"/>
          <w:sz w:val="24"/>
          <w:szCs w:val="24"/>
        </w:rPr>
      </w:pPr>
      <w:r>
        <w:rPr>
          <w:rFonts w:hint="eastAsia" w:ascii="黑体" w:hAnsi="黑体" w:eastAsia="黑体" w:cs="黑体"/>
          <w:sz w:val="24"/>
          <w:szCs w:val="24"/>
        </w:rPr>
        <w:t>7.</w:t>
      </w:r>
      <w:r>
        <w:rPr>
          <w:rFonts w:ascii="黑体" w:hAnsi="黑体" w:eastAsia="黑体" w:cs="黑体"/>
          <w:sz w:val="24"/>
          <w:szCs w:val="24"/>
        </w:rPr>
        <w:t>交货地点：</w:t>
      </w:r>
      <w:r>
        <w:rPr>
          <w:rFonts w:hint="eastAsia" w:ascii="黑体" w:hAnsi="黑体" w:eastAsia="黑体" w:cs="黑体"/>
          <w:sz w:val="24"/>
          <w:szCs w:val="24"/>
          <w:lang w:eastAsia="zh-CN"/>
        </w:rPr>
        <w:t>石林彝族自治县民族中学</w:t>
      </w:r>
      <w:r>
        <w:rPr>
          <w:rFonts w:hint="eastAsia" w:ascii="黑体" w:hAnsi="黑体" w:eastAsia="黑体" w:cs="黑体"/>
          <w:sz w:val="24"/>
          <w:szCs w:val="24"/>
        </w:rPr>
        <w:t>。</w:t>
      </w:r>
    </w:p>
    <w:p>
      <w:pPr>
        <w:pStyle w:val="4"/>
        <w:spacing w:line="360" w:lineRule="auto"/>
        <w:ind w:firstLine="482" w:firstLineChars="200"/>
        <w:jc w:val="both"/>
        <w:rPr>
          <w:rFonts w:ascii="黑体" w:hAnsi="黑体" w:eastAsia="黑体" w:cs="黑体"/>
          <w:b w:val="0"/>
          <w:sz w:val="24"/>
          <w:szCs w:val="24"/>
        </w:rPr>
      </w:pPr>
      <w:bookmarkStart w:id="11" w:name="_Toc8949_WPSOffice_Level2"/>
      <w:bookmarkStart w:id="12" w:name="_Toc28359080"/>
      <w:bookmarkStart w:id="13" w:name="_Toc35393622"/>
      <w:bookmarkStart w:id="14" w:name="_Toc35393791"/>
      <w:bookmarkStart w:id="15" w:name="_Toc28359003"/>
      <w:r>
        <w:rPr>
          <w:rFonts w:hint="eastAsia" w:ascii="黑体" w:hAnsi="黑体" w:eastAsia="黑体" w:cs="黑体"/>
          <w:bCs/>
          <w:sz w:val="24"/>
          <w:szCs w:val="24"/>
        </w:rPr>
        <w:t>二、投标人的资格要求：</w:t>
      </w:r>
      <w:bookmarkEnd w:id="11"/>
      <w:bookmarkEnd w:id="12"/>
      <w:bookmarkEnd w:id="13"/>
      <w:bookmarkEnd w:id="14"/>
      <w:bookmarkEnd w:id="15"/>
    </w:p>
    <w:p>
      <w:pPr>
        <w:widowControl/>
        <w:spacing w:line="360" w:lineRule="auto"/>
        <w:ind w:firstLine="480" w:firstLineChars="200"/>
        <w:jc w:val="left"/>
        <w:rPr>
          <w:rFonts w:hint="eastAsia" w:ascii="黑体" w:hAnsi="黑体" w:eastAsia="黑体"/>
          <w:sz w:val="24"/>
          <w:szCs w:val="24"/>
        </w:rPr>
      </w:pPr>
      <w:bookmarkStart w:id="16" w:name="_Toc28359081"/>
      <w:bookmarkStart w:id="17" w:name="_Toc35393792"/>
      <w:bookmarkStart w:id="18" w:name="_Toc28359004"/>
      <w:bookmarkStart w:id="19" w:name="_Toc35393623"/>
      <w:r>
        <w:rPr>
          <w:rFonts w:hint="eastAsia" w:ascii="黑体" w:hAnsi="黑体" w:eastAsia="黑体"/>
          <w:sz w:val="24"/>
          <w:szCs w:val="24"/>
        </w:rPr>
        <w:t>1.满足《中华人民共和国政府采购法》第二十二条规定：</w:t>
      </w:r>
    </w:p>
    <w:p>
      <w:pPr>
        <w:widowControl/>
        <w:spacing w:line="360" w:lineRule="auto"/>
        <w:ind w:firstLine="480" w:firstLineChars="200"/>
        <w:jc w:val="left"/>
        <w:rPr>
          <w:rFonts w:hint="eastAsia" w:ascii="黑体" w:hAnsi="黑体" w:eastAsia="黑体"/>
          <w:sz w:val="24"/>
          <w:szCs w:val="24"/>
          <w:lang w:val="en-US" w:eastAsia="zh-CN"/>
        </w:rPr>
      </w:pPr>
      <w:r>
        <w:rPr>
          <w:rFonts w:hint="eastAsia" w:ascii="黑体" w:hAnsi="黑体" w:eastAsia="黑体"/>
          <w:sz w:val="24"/>
          <w:szCs w:val="24"/>
          <w:lang w:val="en-US" w:eastAsia="zh-CN"/>
        </w:rPr>
        <w:t>1.1</w:t>
      </w:r>
      <w:bookmarkStart w:id="20" w:name="OLE_LINK24"/>
      <w:r>
        <w:rPr>
          <w:rFonts w:hint="eastAsia" w:ascii="黑体" w:hAnsi="黑体" w:eastAsia="黑体"/>
          <w:sz w:val="24"/>
          <w:szCs w:val="24"/>
          <w:lang w:val="en-US" w:eastAsia="zh-CN"/>
        </w:rPr>
        <w:t>具有独立承担民事责任的能力；</w:t>
      </w:r>
      <w:bookmarkEnd w:id="20"/>
    </w:p>
    <w:p>
      <w:pPr>
        <w:widowControl/>
        <w:spacing w:line="360" w:lineRule="auto"/>
        <w:ind w:firstLine="480" w:firstLineChars="200"/>
        <w:jc w:val="left"/>
        <w:rPr>
          <w:rFonts w:hint="eastAsia" w:ascii="黑体" w:hAnsi="黑体" w:eastAsia="黑体"/>
          <w:sz w:val="24"/>
          <w:szCs w:val="24"/>
          <w:lang w:val="en-US" w:eastAsia="zh-CN"/>
        </w:rPr>
      </w:pPr>
      <w:r>
        <w:rPr>
          <w:rFonts w:hint="eastAsia" w:ascii="黑体" w:hAnsi="黑体" w:eastAsia="黑体"/>
          <w:sz w:val="24"/>
          <w:szCs w:val="24"/>
          <w:lang w:val="en-US" w:eastAsia="zh-CN"/>
        </w:rPr>
        <w:t>1.2具有良好的商业信誉和健全的财务会计制度；</w:t>
      </w:r>
    </w:p>
    <w:p>
      <w:pPr>
        <w:widowControl/>
        <w:spacing w:line="360" w:lineRule="auto"/>
        <w:ind w:firstLine="480" w:firstLineChars="200"/>
        <w:jc w:val="left"/>
        <w:rPr>
          <w:rFonts w:hint="eastAsia" w:ascii="黑体" w:hAnsi="黑体" w:eastAsia="黑体"/>
          <w:sz w:val="24"/>
          <w:szCs w:val="24"/>
          <w:lang w:val="en-US" w:eastAsia="zh-CN"/>
        </w:rPr>
      </w:pPr>
      <w:r>
        <w:rPr>
          <w:rFonts w:hint="eastAsia" w:ascii="黑体" w:hAnsi="黑体" w:eastAsia="黑体"/>
          <w:sz w:val="24"/>
          <w:szCs w:val="24"/>
          <w:lang w:val="en-US" w:eastAsia="zh-CN"/>
        </w:rPr>
        <w:t>1.3具有履行合同所需的设备和专业技术能力；</w:t>
      </w:r>
    </w:p>
    <w:p>
      <w:pPr>
        <w:widowControl/>
        <w:spacing w:line="360" w:lineRule="auto"/>
        <w:ind w:firstLine="480" w:firstLineChars="200"/>
        <w:jc w:val="left"/>
        <w:rPr>
          <w:rFonts w:hint="eastAsia" w:ascii="黑体" w:hAnsi="黑体" w:eastAsia="黑体"/>
          <w:sz w:val="24"/>
          <w:szCs w:val="24"/>
          <w:lang w:val="en-US" w:eastAsia="zh-CN"/>
        </w:rPr>
      </w:pPr>
      <w:r>
        <w:rPr>
          <w:rFonts w:hint="eastAsia" w:ascii="黑体" w:hAnsi="黑体" w:eastAsia="黑体"/>
          <w:sz w:val="24"/>
          <w:szCs w:val="24"/>
          <w:lang w:val="en-US" w:eastAsia="zh-CN"/>
        </w:rPr>
        <w:t>1.4有依法缴纳税收和社会保障资金的良好记录；</w:t>
      </w:r>
    </w:p>
    <w:p>
      <w:pPr>
        <w:widowControl/>
        <w:spacing w:line="360" w:lineRule="auto"/>
        <w:ind w:firstLine="480" w:firstLineChars="200"/>
        <w:jc w:val="left"/>
        <w:rPr>
          <w:rFonts w:hint="eastAsia" w:ascii="黑体" w:hAnsi="黑体" w:eastAsia="黑体"/>
          <w:sz w:val="24"/>
          <w:szCs w:val="24"/>
          <w:lang w:val="en-US" w:eastAsia="zh-CN"/>
        </w:rPr>
      </w:pPr>
      <w:r>
        <w:rPr>
          <w:rFonts w:hint="eastAsia" w:ascii="黑体" w:hAnsi="黑体" w:eastAsia="黑体"/>
          <w:sz w:val="24"/>
          <w:szCs w:val="24"/>
          <w:lang w:val="en-US" w:eastAsia="zh-CN"/>
        </w:rPr>
        <w:t>1.5参加政府采购活动前三年内，在经营活动中没有重大违法记录；</w:t>
      </w:r>
    </w:p>
    <w:p>
      <w:pPr>
        <w:widowControl/>
        <w:spacing w:line="360" w:lineRule="auto"/>
        <w:ind w:firstLine="480" w:firstLineChars="200"/>
        <w:jc w:val="left"/>
        <w:rPr>
          <w:rFonts w:hint="eastAsia" w:ascii="黑体" w:hAnsi="黑体" w:eastAsia="黑体"/>
          <w:sz w:val="24"/>
          <w:szCs w:val="24"/>
        </w:rPr>
      </w:pPr>
      <w:r>
        <w:rPr>
          <w:rFonts w:hint="eastAsia" w:ascii="黑体" w:hAnsi="黑体" w:eastAsia="黑体"/>
          <w:sz w:val="24"/>
          <w:szCs w:val="24"/>
          <w:lang w:val="en-US" w:eastAsia="zh-CN"/>
        </w:rPr>
        <w:t>1.6法律、行政法规规定的其他条件。</w:t>
      </w:r>
    </w:p>
    <w:p>
      <w:pPr>
        <w:widowControl/>
        <w:spacing w:line="360" w:lineRule="auto"/>
        <w:ind w:firstLine="480" w:firstLineChars="200"/>
        <w:jc w:val="left"/>
        <w:rPr>
          <w:rFonts w:hint="eastAsia" w:ascii="黑体" w:hAnsi="黑体" w:eastAsia="黑体"/>
          <w:sz w:val="24"/>
          <w:szCs w:val="24"/>
        </w:rPr>
      </w:pPr>
      <w:r>
        <w:rPr>
          <w:rFonts w:hint="eastAsia" w:ascii="黑体" w:hAnsi="黑体" w:eastAsia="黑体"/>
          <w:sz w:val="24"/>
          <w:szCs w:val="24"/>
          <w:lang w:val="en-US" w:eastAsia="zh-CN"/>
        </w:rPr>
        <w:t>2.</w:t>
      </w:r>
      <w:r>
        <w:rPr>
          <w:rFonts w:hint="eastAsia" w:ascii="黑体" w:hAnsi="黑体" w:eastAsia="黑体"/>
          <w:sz w:val="24"/>
          <w:szCs w:val="24"/>
        </w:rPr>
        <w:t>落实政府采购政策需满足的资格要求：</w:t>
      </w:r>
    </w:p>
    <w:p>
      <w:pPr>
        <w:widowControl/>
        <w:spacing w:line="360" w:lineRule="auto"/>
        <w:ind w:firstLine="480" w:firstLineChars="200"/>
        <w:jc w:val="left"/>
        <w:rPr>
          <w:rFonts w:hint="eastAsia" w:ascii="黑体" w:hAnsi="黑体" w:eastAsia="黑体"/>
          <w:sz w:val="24"/>
          <w:szCs w:val="24"/>
          <w:highlight w:val="none"/>
        </w:rPr>
      </w:pPr>
      <w:r>
        <w:rPr>
          <w:rFonts w:hint="eastAsia" w:ascii="黑体" w:hAnsi="黑体" w:eastAsia="黑体"/>
          <w:sz w:val="24"/>
          <w:szCs w:val="24"/>
          <w:highlight w:val="none"/>
          <w:lang w:val="en-US" w:eastAsia="zh-CN"/>
        </w:rPr>
        <w:t>2.1</w:t>
      </w:r>
      <w:r>
        <w:rPr>
          <w:rFonts w:hint="eastAsia" w:ascii="黑体" w:hAnsi="黑体" w:eastAsia="黑体"/>
          <w:sz w:val="24"/>
          <w:szCs w:val="24"/>
          <w:highlight w:val="none"/>
        </w:rPr>
        <w:t>本项目</w:t>
      </w:r>
      <w:r>
        <w:rPr>
          <w:rFonts w:hint="eastAsia" w:ascii="黑体" w:hAnsi="黑体" w:eastAsia="黑体"/>
          <w:sz w:val="24"/>
          <w:szCs w:val="24"/>
          <w:highlight w:val="none"/>
          <w:lang w:val="en-US" w:eastAsia="zh-CN"/>
        </w:rPr>
        <w:t>不属于</w:t>
      </w:r>
      <w:r>
        <w:rPr>
          <w:rFonts w:hint="eastAsia" w:ascii="黑体" w:hAnsi="黑体" w:eastAsia="黑体"/>
          <w:sz w:val="24"/>
          <w:szCs w:val="24"/>
          <w:highlight w:val="none"/>
        </w:rPr>
        <w:t>专门面向中小企业采购的项目</w:t>
      </w:r>
      <w:r>
        <w:rPr>
          <w:rFonts w:hint="eastAsia" w:ascii="黑体" w:hAnsi="黑体" w:eastAsia="黑体"/>
          <w:sz w:val="24"/>
          <w:szCs w:val="24"/>
          <w:highlight w:val="none"/>
          <w:lang w:eastAsia="zh-CN"/>
        </w:rPr>
        <w:t>。</w:t>
      </w:r>
    </w:p>
    <w:p>
      <w:pPr>
        <w:widowControl/>
        <w:spacing w:line="360" w:lineRule="auto"/>
        <w:ind w:firstLine="480" w:firstLineChars="200"/>
        <w:jc w:val="left"/>
        <w:rPr>
          <w:rFonts w:hint="eastAsia" w:ascii="黑体" w:hAnsi="黑体" w:eastAsia="黑体"/>
          <w:sz w:val="24"/>
          <w:szCs w:val="24"/>
          <w:highlight w:val="none"/>
        </w:rPr>
      </w:pPr>
      <w:r>
        <w:rPr>
          <w:rFonts w:hint="eastAsia" w:ascii="黑体" w:hAnsi="黑体" w:eastAsia="黑体"/>
          <w:sz w:val="24"/>
          <w:szCs w:val="24"/>
          <w:highlight w:val="none"/>
          <w:lang w:val="en-US" w:eastAsia="zh-CN"/>
        </w:rPr>
        <w:t>2.2</w:t>
      </w:r>
      <w:r>
        <w:rPr>
          <w:rFonts w:hint="eastAsia" w:ascii="黑体" w:hAnsi="黑体" w:eastAsia="黑体"/>
          <w:sz w:val="24"/>
          <w:szCs w:val="24"/>
          <w:highlight w:val="none"/>
        </w:rPr>
        <w:t>本项目需要落实的政府采购政策：</w:t>
      </w:r>
      <w:bookmarkStart w:id="21" w:name="OLE_LINK18"/>
      <w:r>
        <w:rPr>
          <w:rFonts w:hint="eastAsia" w:ascii="黑体" w:hAnsi="黑体" w:eastAsia="黑体"/>
          <w:sz w:val="24"/>
          <w:szCs w:val="24"/>
          <w:highlight w:val="none"/>
        </w:rPr>
        <w:t>《政府采购促进中小企业发展管理办法》（财库〔2020〕46号）</w:t>
      </w:r>
      <w:bookmarkEnd w:id="21"/>
      <w:r>
        <w:rPr>
          <w:rFonts w:hint="eastAsia" w:ascii="黑体" w:hAnsi="黑体" w:eastAsia="黑体"/>
          <w:sz w:val="24"/>
          <w:szCs w:val="24"/>
          <w:highlight w:val="none"/>
        </w:rPr>
        <w:t>、《财政部民政部中国残疾人联合会关于促进残疾人就业政府采购政策的通知》（财库〔2017〕141号）、《关于政府采购支持监狱企业发展有关问题的通知》(财库〔2014〕68号)、《关于印发环境标志产品政府采购品目清单的通知》（财库〔2019〕18号）、《关于印发节能产品政府采购品目清单的通知》（财库〔2019〕19号）、《财政部发展改革委生态环境部市场监管总局关于调整优化节能产品、环境标志产品政府采购执行机制的通知》（财库〔2019〕9号）等。</w:t>
      </w:r>
    </w:p>
    <w:p>
      <w:pPr>
        <w:widowControl/>
        <w:spacing w:line="360" w:lineRule="auto"/>
        <w:ind w:firstLine="480" w:firstLineChars="200"/>
        <w:jc w:val="left"/>
        <w:rPr>
          <w:rFonts w:ascii="黑体" w:hAnsi="黑体" w:eastAsia="黑体" w:cs="黑体"/>
          <w:sz w:val="24"/>
          <w:szCs w:val="24"/>
        </w:rPr>
      </w:pPr>
      <w:r>
        <w:rPr>
          <w:rFonts w:hint="eastAsia" w:ascii="黑体" w:hAnsi="黑体" w:eastAsia="黑体" w:cs="黑体"/>
          <w:sz w:val="24"/>
          <w:szCs w:val="24"/>
        </w:rPr>
        <w:t>3.本项目的特定资格要求：</w:t>
      </w:r>
    </w:p>
    <w:p>
      <w:pPr>
        <w:widowControl/>
        <w:spacing w:line="360" w:lineRule="auto"/>
        <w:ind w:firstLine="480" w:firstLineChars="200"/>
        <w:jc w:val="left"/>
        <w:rPr>
          <w:rFonts w:hint="eastAsia" w:ascii="黑体" w:hAnsi="黑体" w:eastAsia="黑体"/>
          <w:sz w:val="24"/>
          <w:szCs w:val="24"/>
        </w:rPr>
      </w:pPr>
      <w:r>
        <w:rPr>
          <w:rFonts w:hint="eastAsia" w:ascii="黑体" w:hAnsi="黑体" w:eastAsia="黑体"/>
          <w:sz w:val="24"/>
          <w:szCs w:val="24"/>
        </w:rPr>
        <w:t>3.1投标人必须提供“参加本项目政府采购活动前3年内在经营活动中没有重大违法记录的书面声明”（重大违法记录是指：因违法经营受到刑事处罚或者责令停产停业、吊销许可证或者执照、较大数额罚款等行政处罚）</w:t>
      </w:r>
      <w:r>
        <w:rPr>
          <w:rFonts w:hint="eastAsia" w:ascii="黑体" w:hAnsi="黑体" w:eastAsia="黑体" w:cs="黑体"/>
          <w:bCs/>
          <w:sz w:val="24"/>
          <w:szCs w:val="24"/>
          <w:lang w:eastAsia="zh-CN"/>
        </w:rPr>
        <w:t>（</w:t>
      </w:r>
      <w:r>
        <w:rPr>
          <w:rFonts w:hint="eastAsia" w:ascii="黑体" w:hAnsi="黑体" w:eastAsia="黑体" w:cs="黑体"/>
          <w:bCs/>
          <w:sz w:val="24"/>
          <w:szCs w:val="24"/>
          <w:lang w:val="en-US" w:eastAsia="zh-CN"/>
        </w:rPr>
        <w:t>提供承诺函）</w:t>
      </w:r>
      <w:r>
        <w:rPr>
          <w:rFonts w:hint="eastAsia" w:ascii="黑体" w:hAnsi="黑体" w:eastAsia="黑体"/>
          <w:sz w:val="24"/>
          <w:szCs w:val="24"/>
        </w:rPr>
        <w:t>；</w:t>
      </w:r>
    </w:p>
    <w:p>
      <w:pPr>
        <w:keepNext w:val="0"/>
        <w:keepLines w:val="0"/>
        <w:pageBreakBefore w:val="0"/>
        <w:widowControl/>
        <w:kinsoku/>
        <w:wordWrap w:val="0"/>
        <w:overflowPunct/>
        <w:topLinePunct w:val="0"/>
        <w:autoSpaceDE/>
        <w:autoSpaceDN/>
        <w:bidi w:val="0"/>
        <w:adjustRightInd/>
        <w:snapToGrid/>
        <w:spacing w:line="360" w:lineRule="auto"/>
        <w:ind w:firstLine="480" w:firstLineChars="200"/>
        <w:jc w:val="left"/>
        <w:textAlignment w:val="auto"/>
        <w:rPr>
          <w:rFonts w:hint="eastAsia" w:ascii="黑体" w:hAnsi="黑体" w:eastAsia="黑体"/>
          <w:sz w:val="24"/>
          <w:szCs w:val="24"/>
        </w:rPr>
      </w:pPr>
      <w:r>
        <w:rPr>
          <w:rFonts w:hint="eastAsia" w:ascii="黑体" w:hAnsi="黑体" w:eastAsia="黑体"/>
          <w:sz w:val="24"/>
          <w:szCs w:val="24"/>
        </w:rPr>
        <w:t>3.2</w:t>
      </w:r>
      <w:r>
        <w:rPr>
          <w:rFonts w:hint="eastAsia" w:ascii="黑体" w:hAnsi="黑体" w:eastAsia="黑体"/>
          <w:sz w:val="24"/>
          <w:szCs w:val="24"/>
          <w:lang w:eastAsia="zh-CN"/>
        </w:rPr>
        <w:t>投标人</w:t>
      </w:r>
      <w:r>
        <w:rPr>
          <w:rFonts w:hint="eastAsia" w:ascii="黑体" w:hAnsi="黑体" w:eastAsia="黑体"/>
          <w:sz w:val="24"/>
          <w:szCs w:val="24"/>
        </w:rPr>
        <w:t>开标前未被列入失信被执行人、重大税收违法案件当事人名单（以在“信用中国”网站（www.creditchina.gov.cn）查询的信用记录为准）；未被列入政府采购严重违法失信行为记录名单（以在中国政府采购网（www.ccgp.gov.cn）查询的信用记录为准）（开标前由采购代理机构查询）；</w:t>
      </w:r>
    </w:p>
    <w:p>
      <w:pPr>
        <w:widowControl/>
        <w:spacing w:line="360" w:lineRule="auto"/>
        <w:ind w:firstLine="480" w:firstLineChars="200"/>
        <w:jc w:val="left"/>
        <w:rPr>
          <w:rFonts w:hint="eastAsia" w:ascii="黑体" w:hAnsi="黑体" w:eastAsia="黑体"/>
          <w:sz w:val="24"/>
          <w:szCs w:val="24"/>
        </w:rPr>
      </w:pPr>
      <w:r>
        <w:rPr>
          <w:rFonts w:hint="eastAsia" w:ascii="黑体" w:hAnsi="黑体" w:eastAsia="黑体"/>
          <w:sz w:val="24"/>
          <w:szCs w:val="24"/>
          <w:lang w:val="en-US" w:eastAsia="zh-CN"/>
        </w:rPr>
        <w:t>3.3</w:t>
      </w:r>
      <w:r>
        <w:rPr>
          <w:rFonts w:hint="eastAsia" w:ascii="黑体" w:hAnsi="黑体" w:eastAsia="黑体"/>
          <w:sz w:val="24"/>
          <w:szCs w:val="24"/>
        </w:rPr>
        <w:t>有依法缴纳税收和社会保障资金的良好记录，提供</w:t>
      </w:r>
      <w:r>
        <w:rPr>
          <w:rFonts w:hint="eastAsia" w:ascii="黑体" w:hAnsi="黑体" w:eastAsia="黑体"/>
          <w:sz w:val="24"/>
          <w:szCs w:val="24"/>
          <w:lang w:eastAsia="zh-CN"/>
        </w:rPr>
        <w:t>202</w:t>
      </w:r>
      <w:r>
        <w:rPr>
          <w:rFonts w:hint="eastAsia" w:ascii="黑体" w:hAnsi="黑体" w:eastAsia="黑体"/>
          <w:sz w:val="24"/>
          <w:szCs w:val="24"/>
          <w:lang w:val="en-US" w:eastAsia="zh-CN"/>
        </w:rPr>
        <w:t>5</w:t>
      </w:r>
      <w:r>
        <w:rPr>
          <w:rFonts w:hint="eastAsia" w:ascii="黑体" w:hAnsi="黑体" w:eastAsia="黑体"/>
          <w:sz w:val="24"/>
          <w:szCs w:val="24"/>
          <w:lang w:eastAsia="zh-CN"/>
        </w:rPr>
        <w:t>年1月至今任意</w:t>
      </w:r>
      <w:r>
        <w:rPr>
          <w:rFonts w:hint="eastAsia" w:ascii="黑体" w:hAnsi="黑体" w:eastAsia="黑体"/>
          <w:sz w:val="24"/>
          <w:szCs w:val="24"/>
          <w:lang w:val="en-US" w:eastAsia="zh-CN"/>
        </w:rPr>
        <w:t>3</w:t>
      </w:r>
      <w:r>
        <w:rPr>
          <w:rFonts w:hint="eastAsia" w:ascii="黑体" w:hAnsi="黑体" w:eastAsia="黑体"/>
          <w:sz w:val="24"/>
          <w:szCs w:val="24"/>
          <w:lang w:eastAsia="zh-CN"/>
        </w:rPr>
        <w:t>个月依法缴纳税</w:t>
      </w:r>
      <w:r>
        <w:rPr>
          <w:rFonts w:hint="eastAsia" w:ascii="黑体" w:hAnsi="黑体" w:eastAsia="黑体"/>
          <w:sz w:val="24"/>
          <w:szCs w:val="24"/>
        </w:rPr>
        <w:t>收和缴纳社会保障资金的证明（成立未满3个月的提供成立以来的税收和社保资金缴纳凭证或相关情况说明；依法免税或不需要缴纳社会保障资金的投标人，应提供相应文件证明其依法免税或不需要缴纳社会保障资金）；</w:t>
      </w:r>
    </w:p>
    <w:p>
      <w:pPr>
        <w:widowControl/>
        <w:spacing w:line="360" w:lineRule="auto"/>
        <w:ind w:firstLine="480" w:firstLineChars="200"/>
        <w:jc w:val="left"/>
        <w:rPr>
          <w:rFonts w:hint="eastAsia" w:ascii="黑体" w:hAnsi="黑体" w:eastAsia="黑体"/>
          <w:sz w:val="24"/>
          <w:szCs w:val="24"/>
          <w:lang w:eastAsia="zh-CN"/>
        </w:rPr>
      </w:pPr>
      <w:r>
        <w:rPr>
          <w:rFonts w:hint="eastAsia" w:ascii="黑体" w:hAnsi="黑体" w:eastAsia="黑体"/>
          <w:sz w:val="24"/>
          <w:szCs w:val="24"/>
          <w:lang w:val="en-US" w:eastAsia="zh-CN"/>
        </w:rPr>
        <w:t>3.4</w:t>
      </w:r>
      <w:r>
        <w:rPr>
          <w:rFonts w:hint="eastAsia" w:ascii="黑体" w:hAnsi="黑体" w:eastAsia="黑体"/>
          <w:sz w:val="24"/>
          <w:szCs w:val="24"/>
        </w:rPr>
        <w:t>有良好的商业信誉和健全的财务会计制度，提供</w:t>
      </w:r>
      <w:r>
        <w:rPr>
          <w:rFonts w:hint="eastAsia" w:ascii="黑体" w:hAnsi="黑体" w:eastAsia="黑体"/>
          <w:sz w:val="24"/>
          <w:szCs w:val="24"/>
          <w:lang w:eastAsia="zh-CN"/>
        </w:rPr>
        <w:t>2022-2025年任意一</w:t>
      </w:r>
      <w:r>
        <w:rPr>
          <w:rFonts w:hint="eastAsia" w:ascii="黑体" w:hAnsi="黑体" w:eastAsia="黑体"/>
          <w:sz w:val="24"/>
          <w:szCs w:val="24"/>
        </w:rPr>
        <w:t>年</w:t>
      </w:r>
      <w:r>
        <w:rPr>
          <w:rFonts w:hint="eastAsia" w:ascii="黑体" w:hAnsi="黑体" w:eastAsia="黑体"/>
          <w:sz w:val="24"/>
          <w:szCs w:val="24"/>
          <w:lang w:eastAsia="zh-CN"/>
        </w:rPr>
        <w:t>申请人</w:t>
      </w:r>
      <w:r>
        <w:rPr>
          <w:rFonts w:hint="eastAsia" w:ascii="黑体" w:hAnsi="黑体" w:eastAsia="黑体"/>
          <w:sz w:val="24"/>
          <w:szCs w:val="24"/>
        </w:rPr>
        <w:t>或总公司经会计师事务所审计的财务状况报告（包括但不限于资产负债表、现金流量表、利润表），未经审计的公司可提供</w:t>
      </w:r>
      <w:r>
        <w:rPr>
          <w:rFonts w:hint="eastAsia" w:ascii="黑体" w:hAnsi="黑体" w:eastAsia="黑体"/>
          <w:sz w:val="24"/>
          <w:szCs w:val="24"/>
          <w:lang w:eastAsia="zh-CN"/>
        </w:rPr>
        <w:t>2022-2025年任意一</w:t>
      </w:r>
      <w:r>
        <w:rPr>
          <w:rFonts w:hint="eastAsia" w:ascii="黑体" w:hAnsi="黑体" w:eastAsia="黑体"/>
          <w:sz w:val="24"/>
          <w:szCs w:val="24"/>
          <w:lang w:val="en-US" w:eastAsia="zh-CN"/>
        </w:rPr>
        <w:t>年</w:t>
      </w:r>
      <w:r>
        <w:rPr>
          <w:rFonts w:hint="eastAsia" w:ascii="黑体" w:hAnsi="黑体" w:eastAsia="黑体"/>
          <w:sz w:val="24"/>
          <w:szCs w:val="24"/>
        </w:rPr>
        <w:t>公司内部自行编制的财务报表【成立不足</w:t>
      </w:r>
      <w:r>
        <w:rPr>
          <w:rFonts w:hint="eastAsia" w:ascii="黑体" w:hAnsi="黑体" w:eastAsia="黑体"/>
          <w:sz w:val="24"/>
          <w:szCs w:val="24"/>
          <w:lang w:val="en-US" w:eastAsia="zh-CN"/>
        </w:rPr>
        <w:t>1</w:t>
      </w:r>
      <w:r>
        <w:rPr>
          <w:rFonts w:hint="eastAsia" w:ascii="黑体" w:hAnsi="黑体" w:eastAsia="黑体"/>
          <w:sz w:val="24"/>
          <w:szCs w:val="24"/>
        </w:rPr>
        <w:t>年的则提供成立至今的经会计师事务所审计的财务状况报告（包括但不限于资产负债表、现金流量表、利润表）或公司内部自行编制的财务报表。若为</w:t>
      </w:r>
      <w:r>
        <w:rPr>
          <w:rFonts w:hint="eastAsia" w:ascii="黑体" w:hAnsi="黑体" w:eastAsia="黑体"/>
          <w:sz w:val="24"/>
          <w:szCs w:val="24"/>
          <w:lang w:val="en-US" w:eastAsia="zh-CN"/>
        </w:rPr>
        <w:t>成立不足一个月的新公司</w:t>
      </w:r>
      <w:r>
        <w:rPr>
          <w:rFonts w:hint="eastAsia" w:ascii="黑体" w:hAnsi="黑体" w:eastAsia="黑体"/>
          <w:sz w:val="24"/>
          <w:szCs w:val="24"/>
        </w:rPr>
        <w:t>，提供银行开具的资信证明文件或资金证明文件】</w:t>
      </w:r>
      <w:r>
        <w:rPr>
          <w:rFonts w:hint="eastAsia" w:ascii="黑体" w:hAnsi="黑体" w:eastAsia="黑体"/>
          <w:sz w:val="24"/>
          <w:szCs w:val="24"/>
          <w:lang w:eastAsia="zh-CN"/>
        </w:rPr>
        <w:t>；</w:t>
      </w:r>
    </w:p>
    <w:p>
      <w:pPr>
        <w:widowControl/>
        <w:spacing w:line="360" w:lineRule="auto"/>
        <w:ind w:firstLine="480" w:firstLineChars="200"/>
        <w:jc w:val="left"/>
        <w:rPr>
          <w:rFonts w:hint="eastAsia" w:ascii="黑体" w:hAnsi="黑体" w:eastAsia="黑体"/>
          <w:sz w:val="24"/>
          <w:szCs w:val="24"/>
          <w:lang w:eastAsia="zh-CN"/>
        </w:rPr>
      </w:pPr>
      <w:r>
        <w:rPr>
          <w:rFonts w:hint="eastAsia" w:ascii="黑体" w:hAnsi="黑体" w:eastAsia="黑体"/>
          <w:sz w:val="24"/>
          <w:szCs w:val="24"/>
          <w:lang w:val="en-US" w:eastAsia="zh-CN"/>
        </w:rPr>
        <w:t>3.5</w:t>
      </w:r>
      <w:r>
        <w:rPr>
          <w:rFonts w:hint="eastAsia" w:ascii="黑体" w:hAnsi="黑体" w:eastAsia="黑体"/>
          <w:sz w:val="24"/>
          <w:szCs w:val="24"/>
          <w:lang w:eastAsia="zh-CN"/>
        </w:rPr>
        <w:t>单位负责人为同一人或者存在控股、管理关系的不同单位，不得同时参加本项目同一标段投标，否则相关投标均无效（</w:t>
      </w:r>
      <w:r>
        <w:rPr>
          <w:rFonts w:hint="eastAsia" w:ascii="黑体" w:hAnsi="黑体" w:eastAsia="黑体"/>
          <w:sz w:val="24"/>
          <w:szCs w:val="24"/>
          <w:lang w:val="en-US" w:eastAsia="zh-CN"/>
        </w:rPr>
        <w:t>提供承诺函）</w:t>
      </w:r>
      <w:r>
        <w:rPr>
          <w:rFonts w:hint="eastAsia" w:ascii="黑体" w:hAnsi="黑体" w:eastAsia="黑体"/>
          <w:sz w:val="24"/>
          <w:szCs w:val="24"/>
          <w:lang w:eastAsia="zh-CN"/>
        </w:rPr>
        <w:t>；</w:t>
      </w:r>
    </w:p>
    <w:p>
      <w:pPr>
        <w:widowControl/>
        <w:spacing w:line="360" w:lineRule="auto"/>
        <w:ind w:firstLine="480" w:firstLineChars="200"/>
        <w:jc w:val="left"/>
        <w:rPr>
          <w:rFonts w:hint="eastAsia" w:ascii="黑体" w:hAnsi="黑体" w:eastAsia="黑体"/>
          <w:sz w:val="24"/>
          <w:szCs w:val="24"/>
          <w:lang w:eastAsia="zh-CN"/>
        </w:rPr>
      </w:pPr>
      <w:r>
        <w:rPr>
          <w:rFonts w:hint="eastAsia" w:ascii="黑体" w:hAnsi="黑体" w:eastAsia="黑体"/>
          <w:sz w:val="24"/>
          <w:szCs w:val="24"/>
          <w:lang w:eastAsia="zh-CN"/>
        </w:rPr>
        <w:t>3.</w:t>
      </w:r>
      <w:r>
        <w:rPr>
          <w:rFonts w:hint="eastAsia" w:ascii="黑体" w:hAnsi="黑体" w:eastAsia="黑体"/>
          <w:sz w:val="24"/>
          <w:szCs w:val="24"/>
          <w:lang w:val="en-US" w:eastAsia="zh-CN"/>
        </w:rPr>
        <w:t>6</w:t>
      </w:r>
      <w:r>
        <w:rPr>
          <w:rFonts w:hint="eastAsia" w:ascii="黑体" w:hAnsi="黑体" w:eastAsia="黑体"/>
          <w:sz w:val="24"/>
          <w:szCs w:val="24"/>
          <w:lang w:eastAsia="zh-CN"/>
        </w:rPr>
        <w:t>具有履行合同所必需的设备和专业技术能力，供应商提供的产品必须为原装、全新、完整、配套，符合国家有关质量标准和产品出厂标准，并满足本项目技术要求的合格产品（</w:t>
      </w:r>
      <w:r>
        <w:rPr>
          <w:rFonts w:hint="eastAsia" w:ascii="黑体" w:hAnsi="黑体" w:eastAsia="黑体"/>
          <w:sz w:val="24"/>
          <w:szCs w:val="24"/>
          <w:lang w:val="en-US" w:eastAsia="zh-CN"/>
        </w:rPr>
        <w:t>提供承诺函）</w:t>
      </w:r>
      <w:r>
        <w:rPr>
          <w:rFonts w:hint="eastAsia" w:ascii="黑体" w:hAnsi="黑体" w:eastAsia="黑体"/>
          <w:sz w:val="24"/>
          <w:szCs w:val="24"/>
          <w:lang w:eastAsia="zh-CN"/>
        </w:rPr>
        <w:t>；</w:t>
      </w:r>
    </w:p>
    <w:p>
      <w:pPr>
        <w:widowControl/>
        <w:spacing w:line="360" w:lineRule="auto"/>
        <w:ind w:firstLine="480" w:firstLineChars="200"/>
        <w:jc w:val="left"/>
        <w:rPr>
          <w:rFonts w:hint="eastAsia" w:ascii="黑体" w:hAnsi="黑体" w:eastAsia="黑体"/>
          <w:sz w:val="24"/>
          <w:szCs w:val="24"/>
          <w:lang w:eastAsia="zh-CN"/>
        </w:rPr>
      </w:pPr>
      <w:r>
        <w:rPr>
          <w:rFonts w:hint="eastAsia" w:ascii="黑体" w:hAnsi="黑体" w:eastAsia="黑体"/>
          <w:sz w:val="24"/>
          <w:szCs w:val="24"/>
          <w:lang w:eastAsia="zh-CN"/>
        </w:rPr>
        <w:t>3.</w:t>
      </w:r>
      <w:r>
        <w:rPr>
          <w:rFonts w:hint="eastAsia" w:ascii="黑体" w:hAnsi="黑体" w:eastAsia="黑体"/>
          <w:sz w:val="24"/>
          <w:szCs w:val="24"/>
          <w:lang w:val="en-US" w:eastAsia="zh-CN"/>
        </w:rPr>
        <w:t>7</w:t>
      </w:r>
      <w:r>
        <w:rPr>
          <w:rFonts w:hint="eastAsia" w:ascii="黑体" w:hAnsi="黑体" w:eastAsia="黑体"/>
          <w:sz w:val="24"/>
          <w:szCs w:val="24"/>
          <w:lang w:eastAsia="zh-CN"/>
        </w:rPr>
        <w:t>本项目不接受联合体投标。</w:t>
      </w:r>
    </w:p>
    <w:p>
      <w:pPr>
        <w:pStyle w:val="4"/>
        <w:spacing w:line="360" w:lineRule="auto"/>
        <w:jc w:val="both"/>
        <w:rPr>
          <w:rFonts w:ascii="黑体" w:hAnsi="黑体" w:eastAsia="黑体" w:cs="黑体"/>
          <w:b w:val="0"/>
          <w:bCs/>
          <w:kern w:val="2"/>
          <w:sz w:val="24"/>
          <w:szCs w:val="24"/>
          <w:lang w:val="en-US"/>
        </w:rPr>
      </w:pPr>
      <w:bookmarkStart w:id="22" w:name="_Toc20119_WPSOffice_Level2"/>
      <w:r>
        <w:rPr>
          <w:rFonts w:hint="eastAsia" w:ascii="黑体" w:hAnsi="黑体" w:eastAsia="黑体" w:cs="黑体"/>
          <w:b w:val="0"/>
          <w:bCs/>
          <w:kern w:val="2"/>
          <w:sz w:val="24"/>
          <w:szCs w:val="24"/>
          <w:lang w:val="en-US"/>
        </w:rPr>
        <w:t>三、获取招标文件</w:t>
      </w:r>
      <w:bookmarkEnd w:id="16"/>
      <w:bookmarkEnd w:id="17"/>
      <w:bookmarkEnd w:id="18"/>
      <w:bookmarkEnd w:id="19"/>
      <w:bookmarkEnd w:id="22"/>
    </w:p>
    <w:p>
      <w:pPr>
        <w:widowControl/>
        <w:spacing w:line="440" w:lineRule="exact"/>
        <w:ind w:firstLine="480" w:firstLineChars="200"/>
        <w:jc w:val="left"/>
        <w:rPr>
          <w:rFonts w:hint="eastAsia" w:ascii="黑体" w:hAnsi="黑体" w:eastAsia="黑体"/>
          <w:sz w:val="24"/>
          <w:szCs w:val="24"/>
          <w:lang w:val="en-US" w:eastAsia="zh-CN"/>
        </w:rPr>
      </w:pPr>
      <w:r>
        <w:rPr>
          <w:rFonts w:hint="eastAsia" w:ascii="黑体" w:hAnsi="黑体" w:eastAsia="黑体"/>
          <w:sz w:val="24"/>
          <w:szCs w:val="24"/>
          <w:lang w:val="en-US" w:eastAsia="zh-CN"/>
        </w:rPr>
        <w:t>1.时间：2026年6月17日至2026年6月25日（北京时间，法定节假日除外）。</w:t>
      </w:r>
    </w:p>
    <w:p>
      <w:pPr>
        <w:widowControl/>
        <w:spacing w:line="440" w:lineRule="exact"/>
        <w:ind w:firstLine="480" w:firstLineChars="200"/>
        <w:jc w:val="left"/>
        <w:rPr>
          <w:rFonts w:hint="eastAsia" w:ascii="黑体" w:hAnsi="黑体" w:eastAsia="黑体"/>
          <w:sz w:val="24"/>
          <w:szCs w:val="24"/>
          <w:lang w:val="en-US" w:eastAsia="zh-CN"/>
        </w:rPr>
      </w:pPr>
      <w:r>
        <w:rPr>
          <w:rFonts w:hint="eastAsia" w:ascii="黑体" w:hAnsi="黑体" w:eastAsia="黑体"/>
          <w:sz w:val="24"/>
          <w:szCs w:val="24"/>
          <w:lang w:val="en-US" w:eastAsia="zh-CN"/>
        </w:rPr>
        <w:t>2.方式：</w:t>
      </w:r>
      <w:bookmarkStart w:id="23" w:name="OLE_LINK10"/>
      <w:r>
        <w:rPr>
          <w:rFonts w:hint="eastAsia" w:ascii="黑体" w:hAnsi="黑体" w:eastAsia="黑体"/>
          <w:sz w:val="24"/>
          <w:szCs w:val="24"/>
          <w:lang w:val="en-US" w:eastAsia="zh-CN"/>
        </w:rPr>
        <w:t>凡有意参加投标者，须在政采云平台办理数字证书（CA)，CA申领链接:http://yzt.ynsmartcert.cn/cms/yztynkl.html，数字证书（CA）办理完成后需在政采云平台绑定数字证书(CA)并在平台获取采购文件及其他采购资料</w:t>
      </w:r>
      <w:bookmarkEnd w:id="23"/>
      <w:r>
        <w:rPr>
          <w:rFonts w:hint="eastAsia" w:ascii="黑体" w:hAnsi="黑体" w:eastAsia="黑体"/>
          <w:sz w:val="24"/>
          <w:szCs w:val="24"/>
          <w:lang w:val="en-US" w:eastAsia="zh-CN"/>
        </w:rPr>
        <w:t>（操作路径：登录“政采云”平台-项目采购-获取采购文件 -找到本项目-点击“申请获取采购文件”）。</w:t>
      </w:r>
    </w:p>
    <w:p>
      <w:pPr>
        <w:widowControl/>
        <w:spacing w:line="440" w:lineRule="exact"/>
        <w:ind w:firstLine="480" w:firstLineChars="200"/>
        <w:jc w:val="left"/>
        <w:rPr>
          <w:rFonts w:hint="eastAsia" w:ascii="黑体" w:hAnsi="黑体" w:eastAsia="黑体"/>
          <w:sz w:val="24"/>
          <w:szCs w:val="24"/>
          <w:lang w:val="en-US" w:eastAsia="zh-CN"/>
        </w:rPr>
      </w:pPr>
      <w:r>
        <w:rPr>
          <w:rFonts w:hint="eastAsia" w:ascii="黑体" w:hAnsi="黑体" w:eastAsia="黑体"/>
          <w:sz w:val="24"/>
          <w:szCs w:val="24"/>
          <w:lang w:val="en-US" w:eastAsia="zh-CN"/>
        </w:rPr>
        <w:t>3.售价：0元。</w:t>
      </w:r>
    </w:p>
    <w:p>
      <w:pPr>
        <w:widowControl/>
        <w:spacing w:line="440" w:lineRule="exact"/>
        <w:jc w:val="left"/>
        <w:rPr>
          <w:rFonts w:hint="eastAsia" w:ascii="黑体" w:hAnsi="黑体" w:eastAsia="黑体"/>
          <w:sz w:val="24"/>
          <w:szCs w:val="24"/>
          <w:lang w:val="en-US" w:eastAsia="zh-CN"/>
        </w:rPr>
      </w:pPr>
      <w:bookmarkStart w:id="24" w:name="_Toc28359082"/>
      <w:bookmarkStart w:id="25" w:name="_Toc35393793"/>
      <w:bookmarkStart w:id="26" w:name="_Toc28359005"/>
      <w:bookmarkStart w:id="27" w:name="_Toc35393624"/>
      <w:bookmarkStart w:id="28" w:name="_Toc21041_WPSOffice_Level2"/>
      <w:r>
        <w:rPr>
          <w:rFonts w:hint="eastAsia" w:ascii="黑体" w:hAnsi="黑体" w:eastAsia="黑体"/>
          <w:sz w:val="24"/>
          <w:szCs w:val="24"/>
          <w:lang w:val="en-US" w:eastAsia="zh-CN"/>
        </w:rPr>
        <w:t>四、</w:t>
      </w:r>
      <w:bookmarkEnd w:id="24"/>
      <w:bookmarkEnd w:id="25"/>
      <w:bookmarkEnd w:id="26"/>
      <w:bookmarkEnd w:id="27"/>
      <w:r>
        <w:rPr>
          <w:rFonts w:hint="eastAsia" w:ascii="黑体" w:hAnsi="黑体" w:eastAsia="黑体"/>
          <w:sz w:val="24"/>
          <w:szCs w:val="24"/>
          <w:lang w:val="en-US" w:eastAsia="zh-CN"/>
        </w:rPr>
        <w:t>提交投标文件截止时间、开标时间和地点</w:t>
      </w:r>
      <w:bookmarkEnd w:id="28"/>
    </w:p>
    <w:p>
      <w:pPr>
        <w:widowControl/>
        <w:spacing w:line="440" w:lineRule="exact"/>
        <w:ind w:firstLine="480" w:firstLineChars="200"/>
        <w:jc w:val="left"/>
        <w:rPr>
          <w:rFonts w:hint="eastAsia" w:ascii="黑体" w:hAnsi="黑体" w:eastAsia="黑体"/>
          <w:sz w:val="24"/>
          <w:szCs w:val="24"/>
          <w:lang w:val="en-US" w:eastAsia="zh-CN"/>
        </w:rPr>
      </w:pPr>
      <w:r>
        <w:rPr>
          <w:rFonts w:hint="eastAsia" w:ascii="黑体" w:hAnsi="黑体" w:eastAsia="黑体"/>
          <w:sz w:val="24"/>
          <w:szCs w:val="24"/>
          <w:lang w:val="en-US" w:eastAsia="zh-CN"/>
        </w:rPr>
        <w:t>1.</w:t>
      </w:r>
      <w:bookmarkStart w:id="29" w:name="OLE_LINK11"/>
      <w:r>
        <w:rPr>
          <w:rFonts w:hint="eastAsia" w:ascii="黑体" w:hAnsi="黑体" w:eastAsia="黑体"/>
          <w:sz w:val="24"/>
          <w:szCs w:val="24"/>
          <w:lang w:val="en-US" w:eastAsia="zh-CN"/>
        </w:rPr>
        <w:t>投标截止时间：2026年7月8日9时30分（北京时间）</w:t>
      </w:r>
      <w:bookmarkEnd w:id="29"/>
      <w:r>
        <w:rPr>
          <w:rFonts w:hint="eastAsia" w:ascii="黑体" w:hAnsi="黑体" w:eastAsia="黑体"/>
          <w:sz w:val="24"/>
          <w:szCs w:val="24"/>
          <w:lang w:val="en-US" w:eastAsia="zh-CN"/>
        </w:rPr>
        <w:t>。</w:t>
      </w:r>
    </w:p>
    <w:p>
      <w:pPr>
        <w:widowControl/>
        <w:spacing w:line="440" w:lineRule="exact"/>
        <w:ind w:firstLine="480" w:firstLineChars="200"/>
        <w:jc w:val="left"/>
        <w:rPr>
          <w:rFonts w:hint="eastAsia" w:ascii="黑体" w:hAnsi="黑体" w:eastAsia="黑体"/>
          <w:sz w:val="24"/>
          <w:szCs w:val="24"/>
          <w:lang w:val="en-US" w:eastAsia="zh-CN"/>
        </w:rPr>
      </w:pPr>
      <w:r>
        <w:rPr>
          <w:rFonts w:hint="eastAsia" w:ascii="黑体" w:hAnsi="黑体" w:eastAsia="黑体"/>
          <w:sz w:val="24"/>
          <w:szCs w:val="24"/>
          <w:lang w:val="en-US" w:eastAsia="zh-CN"/>
        </w:rPr>
        <w:t>2.地点：投标人应按照本项目采购文件和"政采云"平台的要求编制、加密后在投标文件提交截止时间前上传至“政采云”平台，投标文件提交截止时间前未完成投标文件上传的，视为撤回投标文件。投标人在“政采云”平台提交电子版投标文件时，请填写参加远程采购活动经办人联系方式。</w:t>
      </w:r>
    </w:p>
    <w:p>
      <w:pPr>
        <w:widowControl/>
        <w:spacing w:line="440" w:lineRule="exact"/>
        <w:ind w:firstLine="480" w:firstLineChars="200"/>
        <w:jc w:val="left"/>
        <w:rPr>
          <w:rFonts w:hint="eastAsia" w:ascii="黑体" w:hAnsi="黑体" w:eastAsia="黑体"/>
          <w:sz w:val="24"/>
          <w:szCs w:val="24"/>
          <w:lang w:val="en-US" w:eastAsia="zh-CN"/>
        </w:rPr>
      </w:pPr>
      <w:r>
        <w:rPr>
          <w:rFonts w:hint="eastAsia" w:ascii="黑体" w:hAnsi="黑体" w:eastAsia="黑体"/>
          <w:sz w:val="24"/>
          <w:szCs w:val="24"/>
          <w:lang w:val="en-US" w:eastAsia="zh-CN"/>
        </w:rPr>
        <w:t>3.投标人需要在具备摄像头及语音功能且互联网网络状况良好的电脑登录“政采云”平台远程开标大厅参与本次开标，否则后果自负。</w:t>
      </w:r>
    </w:p>
    <w:p>
      <w:pPr>
        <w:widowControl/>
        <w:spacing w:line="440" w:lineRule="exact"/>
        <w:jc w:val="left"/>
        <w:rPr>
          <w:rFonts w:hint="eastAsia" w:ascii="黑体" w:hAnsi="黑体" w:eastAsia="黑体"/>
          <w:sz w:val="24"/>
          <w:szCs w:val="24"/>
          <w:lang w:val="en-US" w:eastAsia="zh-CN"/>
        </w:rPr>
      </w:pPr>
      <w:bookmarkStart w:id="30" w:name="_Toc18643_WPSOffice_Level2"/>
      <w:bookmarkStart w:id="31" w:name="_Toc35393625"/>
      <w:bookmarkStart w:id="32" w:name="_Toc35393794"/>
      <w:bookmarkStart w:id="33" w:name="_Toc28359007"/>
      <w:bookmarkStart w:id="34" w:name="_Toc28359084"/>
      <w:r>
        <w:rPr>
          <w:rFonts w:hint="eastAsia" w:ascii="黑体" w:hAnsi="黑体" w:eastAsia="黑体"/>
          <w:sz w:val="24"/>
          <w:szCs w:val="24"/>
          <w:lang w:val="en-US" w:eastAsia="zh-CN"/>
        </w:rPr>
        <w:t>五、公告期限</w:t>
      </w:r>
      <w:bookmarkEnd w:id="30"/>
      <w:bookmarkEnd w:id="31"/>
      <w:bookmarkEnd w:id="32"/>
      <w:bookmarkEnd w:id="33"/>
      <w:bookmarkEnd w:id="34"/>
    </w:p>
    <w:p>
      <w:pPr>
        <w:widowControl/>
        <w:spacing w:line="440" w:lineRule="exact"/>
        <w:ind w:firstLine="480" w:firstLineChars="200"/>
        <w:jc w:val="left"/>
        <w:rPr>
          <w:rFonts w:hint="eastAsia" w:ascii="黑体" w:hAnsi="黑体" w:eastAsia="黑体"/>
          <w:sz w:val="24"/>
          <w:szCs w:val="24"/>
          <w:lang w:val="en-US" w:eastAsia="zh-CN"/>
        </w:rPr>
      </w:pPr>
      <w:r>
        <w:rPr>
          <w:rFonts w:hint="eastAsia" w:ascii="黑体" w:hAnsi="黑体" w:eastAsia="黑体"/>
          <w:sz w:val="24"/>
          <w:szCs w:val="24"/>
          <w:lang w:val="en-US" w:eastAsia="zh-CN"/>
        </w:rPr>
        <w:t>自本公告发布之日起5个工作日。</w:t>
      </w:r>
    </w:p>
    <w:p>
      <w:pPr>
        <w:widowControl/>
        <w:spacing w:line="440" w:lineRule="exact"/>
        <w:jc w:val="left"/>
        <w:rPr>
          <w:rFonts w:hint="eastAsia" w:ascii="黑体" w:hAnsi="黑体" w:eastAsia="黑体"/>
          <w:sz w:val="24"/>
          <w:szCs w:val="24"/>
          <w:lang w:val="en-US" w:eastAsia="zh-CN"/>
        </w:rPr>
      </w:pPr>
      <w:bookmarkStart w:id="35" w:name="_Toc35393795"/>
      <w:bookmarkStart w:id="36" w:name="_Toc25041_WPSOffice_Level2"/>
      <w:bookmarkStart w:id="37" w:name="_Toc35393626"/>
      <w:r>
        <w:rPr>
          <w:rFonts w:hint="eastAsia" w:ascii="黑体" w:hAnsi="黑体" w:eastAsia="黑体"/>
          <w:sz w:val="24"/>
          <w:szCs w:val="24"/>
          <w:lang w:val="en-US" w:eastAsia="zh-CN"/>
        </w:rPr>
        <w:t>六、其他补充事宜</w:t>
      </w:r>
      <w:bookmarkEnd w:id="35"/>
      <w:bookmarkEnd w:id="36"/>
      <w:bookmarkEnd w:id="37"/>
    </w:p>
    <w:p>
      <w:pPr>
        <w:widowControl/>
        <w:spacing w:line="440" w:lineRule="exact"/>
        <w:ind w:firstLine="480" w:firstLineChars="200"/>
        <w:jc w:val="left"/>
        <w:rPr>
          <w:rFonts w:hint="eastAsia" w:ascii="黑体" w:hAnsi="黑体" w:eastAsia="黑体"/>
          <w:sz w:val="24"/>
          <w:szCs w:val="24"/>
          <w:lang w:val="en-US" w:eastAsia="zh-CN"/>
        </w:rPr>
      </w:pPr>
      <w:bookmarkStart w:id="38" w:name="OLE_LINK2"/>
      <w:r>
        <w:rPr>
          <w:rFonts w:hint="eastAsia" w:ascii="黑体" w:hAnsi="黑体" w:eastAsia="黑体"/>
          <w:sz w:val="24"/>
          <w:szCs w:val="24"/>
          <w:lang w:val="en-US" w:eastAsia="zh-CN"/>
        </w:rPr>
        <w:t>1、本次招标公告在中国政府采购网、</w:t>
      </w:r>
      <w:bookmarkStart w:id="39" w:name="OLE_LINK13"/>
      <w:r>
        <w:rPr>
          <w:rFonts w:hint="eastAsia" w:ascii="黑体" w:hAnsi="黑体" w:eastAsia="黑体"/>
          <w:sz w:val="24"/>
          <w:szCs w:val="24"/>
          <w:lang w:val="en-US" w:eastAsia="zh-CN"/>
        </w:rPr>
        <w:t>云南省政府采购网发布</w:t>
      </w:r>
      <w:bookmarkEnd w:id="39"/>
      <w:r>
        <w:rPr>
          <w:rFonts w:hint="eastAsia" w:ascii="黑体" w:hAnsi="黑体" w:eastAsia="黑体"/>
          <w:sz w:val="24"/>
          <w:szCs w:val="24"/>
          <w:lang w:val="en-US" w:eastAsia="zh-CN"/>
        </w:rPr>
        <w:t>（我公司对其他网站或媒体转载的公告及公告内容不承担任何责任）；</w:t>
      </w:r>
    </w:p>
    <w:p>
      <w:pPr>
        <w:widowControl/>
        <w:spacing w:line="440" w:lineRule="exact"/>
        <w:ind w:firstLine="480" w:firstLineChars="200"/>
        <w:jc w:val="left"/>
        <w:rPr>
          <w:rFonts w:hint="eastAsia" w:ascii="黑体" w:hAnsi="黑体" w:eastAsia="黑体"/>
          <w:sz w:val="24"/>
          <w:szCs w:val="24"/>
          <w:lang w:val="en-US" w:eastAsia="zh-CN"/>
        </w:rPr>
      </w:pPr>
      <w:r>
        <w:rPr>
          <w:rFonts w:hint="eastAsia" w:ascii="黑体" w:hAnsi="黑体" w:eastAsia="黑体"/>
          <w:sz w:val="24"/>
          <w:szCs w:val="24"/>
          <w:lang w:val="en-US" w:eastAsia="zh-CN"/>
        </w:rPr>
        <w:t>2、本项目实行网上投标，采用电子投标文件；</w:t>
      </w:r>
    </w:p>
    <w:p>
      <w:pPr>
        <w:widowControl/>
        <w:spacing w:line="440" w:lineRule="exact"/>
        <w:ind w:firstLine="480" w:firstLineChars="200"/>
        <w:jc w:val="left"/>
        <w:rPr>
          <w:rFonts w:hint="eastAsia" w:ascii="黑体" w:hAnsi="黑体" w:eastAsia="黑体"/>
          <w:sz w:val="24"/>
          <w:szCs w:val="24"/>
          <w:lang w:val="en-US" w:eastAsia="zh-CN"/>
        </w:rPr>
      </w:pPr>
      <w:r>
        <w:rPr>
          <w:rFonts w:hint="eastAsia" w:ascii="黑体" w:hAnsi="黑体" w:eastAsia="黑体"/>
          <w:sz w:val="24"/>
          <w:szCs w:val="24"/>
          <w:lang w:val="en-US" w:eastAsia="zh-CN"/>
        </w:rPr>
        <w:t>3、各投标人应在开标前确保成为政采云平台供应商，并完成CA数字证书申领。因未注册入库，未办理CA数字证书等原因造成无法投标或投标失败等由投标人自行承担,有意参加投标的投标人，须在政采云平办理数字证书(CA) ，CA申领链接: http://yzt.ynsmartcert.cn/cms/yztynkl.html；</w:t>
      </w:r>
    </w:p>
    <w:p>
      <w:pPr>
        <w:widowControl/>
        <w:spacing w:line="440" w:lineRule="exact"/>
        <w:ind w:firstLine="480" w:firstLineChars="200"/>
        <w:jc w:val="left"/>
        <w:rPr>
          <w:rFonts w:hint="eastAsia" w:ascii="黑体" w:hAnsi="黑体" w:eastAsia="黑体"/>
          <w:sz w:val="24"/>
          <w:szCs w:val="24"/>
          <w:lang w:val="en-US" w:eastAsia="zh-CN"/>
        </w:rPr>
      </w:pPr>
      <w:r>
        <w:rPr>
          <w:rFonts w:hint="eastAsia" w:ascii="黑体" w:hAnsi="黑体" w:eastAsia="黑体"/>
          <w:sz w:val="24"/>
          <w:szCs w:val="24"/>
          <w:lang w:val="en-US" w:eastAsia="zh-CN"/>
        </w:rPr>
        <w:t>3.1如有问题可拨打政采云客户服务热线95763进一咨询，数字证书问题可咨询云南壹证通CA：0871-67276028（紧急可拨19988166369）；</w:t>
      </w:r>
    </w:p>
    <w:p>
      <w:pPr>
        <w:widowControl/>
        <w:spacing w:line="440" w:lineRule="exact"/>
        <w:ind w:firstLine="480" w:firstLineChars="200"/>
        <w:jc w:val="left"/>
        <w:rPr>
          <w:rFonts w:hint="eastAsia" w:ascii="黑体" w:hAnsi="黑体" w:eastAsia="黑体"/>
          <w:sz w:val="24"/>
          <w:szCs w:val="24"/>
          <w:lang w:val="en-US" w:eastAsia="zh-CN"/>
        </w:rPr>
      </w:pPr>
      <w:r>
        <w:rPr>
          <w:rFonts w:hint="eastAsia" w:ascii="黑体" w:hAnsi="黑体" w:eastAsia="黑体"/>
          <w:sz w:val="24"/>
          <w:szCs w:val="24"/>
          <w:lang w:val="en-US" w:eastAsia="zh-CN"/>
        </w:rPr>
        <w:t>3.2如因投标人自身原因导致在规定时间内无法正常解密的(如:浏览器故障、未安装相关驱动、网络故障、加密CA与解密CA不一致等），视为投标人自动弃标，代理机构不予处理；</w:t>
      </w:r>
    </w:p>
    <w:p>
      <w:pPr>
        <w:widowControl/>
        <w:spacing w:line="440" w:lineRule="exact"/>
        <w:ind w:firstLine="480" w:firstLineChars="200"/>
        <w:jc w:val="left"/>
        <w:rPr>
          <w:rFonts w:hint="eastAsia" w:ascii="黑体" w:hAnsi="黑体" w:eastAsia="黑体"/>
          <w:sz w:val="24"/>
          <w:szCs w:val="24"/>
          <w:lang w:val="en-US" w:eastAsia="zh-CN"/>
        </w:rPr>
      </w:pPr>
      <w:r>
        <w:rPr>
          <w:rFonts w:hint="eastAsia" w:ascii="黑体" w:hAnsi="黑体" w:eastAsia="黑体"/>
          <w:sz w:val="24"/>
          <w:szCs w:val="24"/>
          <w:lang w:val="en-US" w:eastAsia="zh-CN"/>
        </w:rPr>
        <w:t>3.3云南本地投标人如之前已在云南CA在线数字证书办理网进行过注册并办理过企业数字证书（CA），直接绑定即可，无需重复办理（2022年1月1日前办理的云南CA需到云南CA办理处进行升级）。</w:t>
      </w:r>
      <w:bookmarkEnd w:id="38"/>
    </w:p>
    <w:p>
      <w:pPr>
        <w:widowControl/>
        <w:spacing w:line="360" w:lineRule="auto"/>
        <w:jc w:val="left"/>
        <w:rPr>
          <w:rFonts w:ascii="黑体" w:hAnsi="黑体" w:eastAsia="黑体" w:cs="黑体"/>
          <w:sz w:val="24"/>
          <w:szCs w:val="24"/>
        </w:rPr>
      </w:pPr>
      <w:r>
        <w:rPr>
          <w:rFonts w:hint="eastAsia" w:ascii="黑体" w:hAnsi="黑体" w:eastAsia="黑体" w:cs="黑体"/>
          <w:sz w:val="24"/>
          <w:szCs w:val="24"/>
        </w:rPr>
        <w:t>　　　1.采购人信息</w:t>
      </w:r>
    </w:p>
    <w:p>
      <w:pPr>
        <w:spacing w:line="360" w:lineRule="auto"/>
        <w:ind w:left="1079" w:leftChars="371" w:hanging="300" w:hangingChars="125"/>
        <w:jc w:val="left"/>
        <w:rPr>
          <w:rFonts w:hint="eastAsia" w:ascii="黑体" w:hAnsi="黑体" w:eastAsia="黑体" w:cs="黑体"/>
          <w:sz w:val="24"/>
          <w:szCs w:val="24"/>
          <w:lang w:eastAsia="zh-CN"/>
        </w:rPr>
      </w:pPr>
      <w:r>
        <w:rPr>
          <w:rFonts w:hint="eastAsia" w:ascii="黑体" w:hAnsi="黑体" w:eastAsia="黑体" w:cs="黑体"/>
          <w:sz w:val="24"/>
          <w:szCs w:val="24"/>
        </w:rPr>
        <w:t>名称：</w:t>
      </w:r>
      <w:r>
        <w:rPr>
          <w:rFonts w:hint="eastAsia" w:ascii="黑体" w:hAnsi="黑体" w:eastAsia="黑体" w:cs="黑体"/>
          <w:sz w:val="24"/>
          <w:szCs w:val="24"/>
          <w:lang w:eastAsia="zh-CN"/>
        </w:rPr>
        <w:t>石林彝族自治县民族中学</w:t>
      </w:r>
    </w:p>
    <w:p>
      <w:pPr>
        <w:spacing w:line="360" w:lineRule="auto"/>
        <w:ind w:left="1079" w:leftChars="371" w:hanging="300" w:hangingChars="125"/>
        <w:jc w:val="left"/>
        <w:rPr>
          <w:rFonts w:hint="eastAsia" w:ascii="黑体" w:hAnsi="黑体" w:eastAsia="黑体" w:cs="黑体"/>
          <w:sz w:val="24"/>
          <w:szCs w:val="24"/>
          <w:lang w:eastAsia="zh-CN"/>
        </w:rPr>
      </w:pPr>
      <w:r>
        <w:rPr>
          <w:rFonts w:hint="eastAsia" w:ascii="黑体" w:hAnsi="黑体" w:eastAsia="黑体" w:cs="黑体"/>
          <w:sz w:val="24"/>
          <w:szCs w:val="24"/>
          <w:lang w:eastAsia="zh-CN"/>
        </w:rPr>
        <w:t>地址：石林县鹿阜街道办事处大坡厂村东侧</w:t>
      </w:r>
    </w:p>
    <w:p>
      <w:pPr>
        <w:spacing w:line="360" w:lineRule="auto"/>
        <w:ind w:left="1079" w:leftChars="371" w:hanging="300" w:hangingChars="125"/>
        <w:jc w:val="left"/>
        <w:rPr>
          <w:rFonts w:hint="default" w:ascii="黑体" w:hAnsi="黑体" w:eastAsia="黑体" w:cs="黑体"/>
          <w:sz w:val="24"/>
          <w:szCs w:val="24"/>
          <w:lang w:val="en-US" w:eastAsia="zh-CN"/>
        </w:rPr>
      </w:pPr>
      <w:r>
        <w:rPr>
          <w:rFonts w:hint="eastAsia" w:ascii="黑体" w:hAnsi="黑体" w:eastAsia="黑体" w:cs="黑体"/>
          <w:sz w:val="24"/>
          <w:szCs w:val="24"/>
        </w:rPr>
        <w:t>联系方式：</w:t>
      </w:r>
      <w:bookmarkStart w:id="40" w:name="_Toc28359086"/>
      <w:bookmarkStart w:id="41" w:name="_Toc28359009"/>
      <w:r>
        <w:rPr>
          <w:rFonts w:hint="eastAsia" w:ascii="黑体" w:hAnsi="黑体" w:eastAsia="黑体" w:cs="黑体"/>
          <w:sz w:val="24"/>
          <w:szCs w:val="24"/>
          <w:lang w:val="en-US" w:eastAsia="zh-CN"/>
        </w:rPr>
        <w:t xml:space="preserve">罗老师  </w:t>
      </w:r>
      <w:bookmarkStart w:id="42" w:name="OLE_LINK23"/>
      <w:r>
        <w:rPr>
          <w:rFonts w:hint="eastAsia" w:ascii="黑体" w:hAnsi="黑体" w:eastAsia="黑体" w:cs="黑体"/>
          <w:sz w:val="24"/>
          <w:szCs w:val="24"/>
          <w:lang w:val="en-US" w:eastAsia="zh-CN"/>
        </w:rPr>
        <w:t>18088481379</w:t>
      </w:r>
      <w:bookmarkEnd w:id="42"/>
    </w:p>
    <w:p>
      <w:pPr>
        <w:spacing w:line="360" w:lineRule="auto"/>
        <w:ind w:left="1079" w:leftChars="371" w:hanging="300" w:hangingChars="125"/>
        <w:jc w:val="left"/>
        <w:rPr>
          <w:rFonts w:ascii="黑体" w:hAnsi="黑体" w:eastAsia="黑体" w:cs="黑体"/>
          <w:sz w:val="24"/>
          <w:szCs w:val="24"/>
        </w:rPr>
      </w:pPr>
      <w:r>
        <w:rPr>
          <w:rFonts w:hint="eastAsia" w:ascii="黑体" w:hAnsi="黑体" w:eastAsia="黑体" w:cs="黑体"/>
          <w:sz w:val="24"/>
          <w:szCs w:val="24"/>
        </w:rPr>
        <w:t>2.采购代理机构信息</w:t>
      </w:r>
      <w:bookmarkEnd w:id="40"/>
      <w:bookmarkEnd w:id="41"/>
    </w:p>
    <w:p>
      <w:pPr>
        <w:spacing w:line="360" w:lineRule="auto"/>
        <w:ind w:firstLine="720" w:firstLineChars="300"/>
        <w:rPr>
          <w:rFonts w:hint="eastAsia" w:ascii="黑体" w:hAnsi="黑体" w:eastAsia="黑体" w:cs="黑体"/>
          <w:sz w:val="24"/>
          <w:szCs w:val="24"/>
          <w:lang w:eastAsia="zh-CN"/>
        </w:rPr>
      </w:pPr>
      <w:r>
        <w:rPr>
          <w:rFonts w:hint="eastAsia" w:ascii="黑体" w:hAnsi="黑体" w:eastAsia="黑体" w:cs="黑体"/>
          <w:sz w:val="24"/>
          <w:szCs w:val="24"/>
        </w:rPr>
        <w:t>名称：</w:t>
      </w:r>
      <w:r>
        <w:rPr>
          <w:rFonts w:hint="eastAsia" w:ascii="黑体" w:hAnsi="黑体" w:eastAsia="黑体" w:cs="黑体"/>
          <w:sz w:val="24"/>
          <w:szCs w:val="24"/>
          <w:lang w:eastAsia="zh-CN"/>
        </w:rPr>
        <w:t>石林彝族自治县政府采购和出让中心</w:t>
      </w:r>
    </w:p>
    <w:p>
      <w:pPr>
        <w:spacing w:line="360" w:lineRule="auto"/>
        <w:ind w:firstLine="720" w:firstLineChars="300"/>
        <w:rPr>
          <w:rFonts w:hint="eastAsia" w:ascii="黑体" w:hAnsi="黑体" w:eastAsia="黑体" w:cs="黑体"/>
          <w:sz w:val="24"/>
          <w:szCs w:val="24"/>
          <w:lang w:eastAsia="zh-CN"/>
        </w:rPr>
      </w:pPr>
      <w:r>
        <w:rPr>
          <w:rFonts w:hint="eastAsia" w:ascii="黑体" w:hAnsi="黑体" w:eastAsia="黑体" w:cs="黑体"/>
          <w:sz w:val="24"/>
          <w:szCs w:val="24"/>
          <w:lang w:eastAsia="zh-CN"/>
        </w:rPr>
        <w:t>地址：</w:t>
      </w:r>
      <w:bookmarkStart w:id="43" w:name="OLE_LINK22"/>
      <w:r>
        <w:rPr>
          <w:rFonts w:hint="eastAsia" w:ascii="黑体" w:hAnsi="黑体" w:eastAsia="黑体" w:cs="黑体"/>
          <w:sz w:val="24"/>
          <w:szCs w:val="24"/>
          <w:lang w:eastAsia="zh-CN"/>
        </w:rPr>
        <w:t>石林彝族自治县鹿阜街道办事处昌乐路1号行政中心A区128—131室</w:t>
      </w:r>
      <w:bookmarkEnd w:id="43"/>
    </w:p>
    <w:p>
      <w:pPr>
        <w:ind w:firstLine="720" w:firstLineChars="300"/>
      </w:pPr>
      <w:bookmarkStart w:id="44" w:name="_Toc28359087"/>
      <w:bookmarkStart w:id="45" w:name="_Toc28359010"/>
      <w:bookmarkStart w:id="46" w:name="_GoBack"/>
      <w:bookmarkEnd w:id="46"/>
      <w:r>
        <w:rPr>
          <w:rFonts w:hint="eastAsia" w:ascii="黑体" w:hAnsi="黑体" w:eastAsia="黑体" w:cs="黑体"/>
          <w:sz w:val="24"/>
          <w:szCs w:val="24"/>
          <w:lang w:eastAsia="zh-CN"/>
        </w:rPr>
        <w:t>联系方式：</w:t>
      </w:r>
      <w:bookmarkEnd w:id="44"/>
      <w:bookmarkEnd w:id="45"/>
      <w:r>
        <w:rPr>
          <w:rFonts w:hint="eastAsia" w:ascii="黑体" w:hAnsi="黑体" w:eastAsia="黑体" w:cs="黑体"/>
          <w:sz w:val="24"/>
          <w:szCs w:val="24"/>
          <w:lang w:val="en-US" w:eastAsia="zh-CN"/>
        </w:rPr>
        <w:t>张老师  15288404393</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657C45"/>
    <w:rsid w:val="00B84240"/>
    <w:rsid w:val="05540194"/>
    <w:rsid w:val="05643CEF"/>
    <w:rsid w:val="0A657C45"/>
    <w:rsid w:val="314F02E6"/>
    <w:rsid w:val="340D2C91"/>
    <w:rsid w:val="3607118D"/>
    <w:rsid w:val="42981B3B"/>
    <w:rsid w:val="5D335AD4"/>
    <w:rsid w:val="6F3448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7"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2"/>
    <w:basedOn w:val="1"/>
    <w:next w:val="1"/>
    <w:qFormat/>
    <w:uiPriority w:val="0"/>
    <w:pPr>
      <w:keepNext/>
      <w:keepLines/>
      <w:spacing w:line="400" w:lineRule="exact"/>
      <w:jc w:val="center"/>
      <w:outlineLvl w:val="1"/>
    </w:pPr>
    <w:rPr>
      <w:rFonts w:ascii="Arial" w:hAnsi="Arial"/>
      <w:b/>
      <w:kern w:val="0"/>
      <w:sz w:val="30"/>
      <w:lang w:val="zh-CN"/>
    </w:rPr>
  </w:style>
  <w:style w:type="character" w:default="1" w:styleId="9">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next w:val="3"/>
    <w:qFormat/>
    <w:uiPriority w:val="99"/>
    <w:pPr>
      <w:adjustRightInd w:val="0"/>
      <w:spacing w:line="440" w:lineRule="exact"/>
    </w:pPr>
    <w:rPr>
      <w:rFonts w:ascii="宋体" w:hAnsi="宋体"/>
      <w:bCs/>
      <w:color w:val="000000"/>
      <w:sz w:val="24"/>
    </w:rPr>
  </w:style>
  <w:style w:type="paragraph" w:customStyle="1" w:styleId="3">
    <w:name w:val="目录 53"/>
    <w:next w:val="1"/>
    <w:qFormat/>
    <w:uiPriority w:val="0"/>
    <w:pPr>
      <w:wordWrap w:val="0"/>
      <w:ind w:left="1275"/>
      <w:jc w:val="both"/>
    </w:pPr>
    <w:rPr>
      <w:rFonts w:ascii="Times New Roman" w:hAnsi="Times New Roman" w:eastAsia="宋体" w:cs="Times New Roman"/>
      <w:sz w:val="21"/>
      <w:lang w:val="en-US" w:eastAsia="zh-CN" w:bidi="ar-SA"/>
    </w:rPr>
  </w:style>
  <w:style w:type="paragraph" w:styleId="5">
    <w:name w:val="Normal Indent"/>
    <w:basedOn w:val="1"/>
    <w:next w:val="1"/>
    <w:qFormat/>
    <w:uiPriority w:val="7"/>
    <w:pPr>
      <w:ind w:firstLine="420"/>
    </w:pPr>
  </w:style>
  <w:style w:type="paragraph" w:styleId="6">
    <w:name w:val="Plain Text"/>
    <w:basedOn w:val="1"/>
    <w:next w:val="5"/>
    <w:qFormat/>
    <w:uiPriority w:val="0"/>
    <w:rPr>
      <w:rFonts w:ascii="宋体" w:hAnsi="Courier New"/>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2026-06-17T07:55:00Z</dcterms:created>
  <dc:creator>Administrator</dc:creator>
  <cp:lastModifiedBy>Administrator</cp:lastModifiedBy>
  <dcterms:modified xsi:type="dcterms:W3CDTF">2026-06-17T07:55:40Z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