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440001-2026-22534</w:t>
      </w:r>
    </w:p>
    <w:p>
      <w:pPr>
        <w:pStyle w:val="null3"/>
        <w:jc w:val="center"/>
        <w:outlineLvl w:val="3"/>
      </w:pPr>
      <w:r>
        <w:rPr>
          <w:sz w:val="24"/>
          <w:b/>
        </w:rPr>
        <w:t>采购项目编号：</w:t>
      </w:r>
      <w:r>
        <w:rPr>
          <w:sz w:val="24"/>
          <w:b/>
        </w:rPr>
        <w:t>GZSW26201GC2183</w:t>
      </w:r>
    </w:p>
    <w:p>
      <w:pPr>
        <w:pStyle w:val="null3"/>
        <w:jc w:val="center"/>
        <w:outlineLvl w:val="3"/>
      </w:pPr>
      <w:r>
        <w:rPr>
          <w:sz w:val="24"/>
          <w:b/>
        </w:rPr>
        <w:t>项目名称：</w:t>
      </w:r>
      <w:r>
        <w:rPr>
          <w:sz w:val="24"/>
          <w:b/>
        </w:rPr>
        <w:t>广东省江门监狱信息化机房设备购置及改造项目</w:t>
      </w:r>
    </w:p>
    <w:p>
      <w:pPr>
        <w:pStyle w:val="null3"/>
        <w:jc w:val="center"/>
        <w:outlineLvl w:val="3"/>
      </w:pPr>
      <w:r>
        <w:rPr>
          <w:sz w:val="24"/>
          <w:b/>
        </w:rPr>
        <w:t>采购人：</w:t>
      </w:r>
      <w:r>
        <w:rPr>
          <w:sz w:val="24"/>
          <w:b/>
        </w:rPr>
        <w:t>广东省江门监狱</w:t>
      </w:r>
    </w:p>
    <w:p>
      <w:pPr>
        <w:pStyle w:val="null3"/>
        <w:jc w:val="center"/>
        <w:outlineLvl w:val="3"/>
      </w:pPr>
      <w:r>
        <w:rPr>
          <w:sz w:val="24"/>
          <w:b/>
        </w:rPr>
        <w:t>采购代理机构：</w:t>
      </w:r>
      <w:r>
        <w:rPr>
          <w:sz w:val="24"/>
          <w:b/>
        </w:rPr>
        <w:t>广州顺为招标采购有限公司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广州顺为招标采购有限公司</w:t>
      </w:r>
      <w:r>
        <w:rPr/>
        <w:t>受</w:t>
      </w:r>
      <w:r>
        <w:rPr/>
        <w:t>广东省江门监狱</w:t>
      </w:r>
      <w:r>
        <w:rPr/>
        <w:t>的委托，采用</w:t>
      </w:r>
      <w:r>
        <w:rPr/>
        <w:t>竞争性磋商</w:t>
      </w:r>
      <w:r>
        <w:rPr/>
        <w:t>方式组织采购</w:t>
      </w:r>
      <w:r>
        <w:rPr/>
        <w:t>广东省江门监狱信息化机房设备购置及改造项目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广东省江门监狱信息化机房设备购置及改造项目</w:t>
      </w:r>
    </w:p>
    <w:p>
      <w:pPr>
        <w:pStyle w:val="null3"/>
        <w:ind w:firstLine="480"/>
      </w:pPr>
      <w:r>
        <w:rPr/>
        <w:t>采购计划编号：</w:t>
      </w:r>
      <w:r>
        <w:rPr/>
        <w:t>440001-2026-22534</w:t>
      </w:r>
    </w:p>
    <w:p>
      <w:pPr>
        <w:pStyle w:val="null3"/>
        <w:ind w:firstLine="480"/>
      </w:pPr>
      <w:r>
        <w:rPr/>
        <w:t>采购项目编号：</w:t>
      </w:r>
      <w:r>
        <w:rPr/>
        <w:t>GZSW26201GC2183</w:t>
      </w:r>
    </w:p>
    <w:p>
      <w:pPr>
        <w:pStyle w:val="null3"/>
        <w:ind w:firstLine="480"/>
      </w:pPr>
      <w:r>
        <w:rPr/>
        <w:t>采购方式：</w:t>
      </w:r>
      <w:r>
        <w:rPr/>
        <w:t>竞争性磋商</w:t>
      </w:r>
    </w:p>
    <w:p>
      <w:pPr>
        <w:pStyle w:val="null3"/>
        <w:ind w:firstLine="480"/>
      </w:pPr>
      <w:r>
        <w:rPr/>
        <w:t>预算金额：</w:t>
      </w:r>
      <w:r>
        <w:rPr/>
        <w:t>1,159,801.86</w:t>
      </w:r>
      <w:r>
        <w:rPr/>
        <w:t>元</w:t>
      </w:r>
    </w:p>
    <w:p>
      <w:pPr>
        <w:pStyle w:val="null3"/>
        <w:outlineLvl w:val="3"/>
      </w:pPr>
      <w:r>
        <w:rPr>
          <w:sz w:val="24"/>
          <w:b/>
        </w:rPr>
        <w:t>2.项目内容及需求情况（采购项目技术规格、参数及要求）</w:t>
      </w:r>
    </w:p>
    <w:p>
      <w:pPr>
        <w:pStyle w:val="null3"/>
      </w:pPr>
      <w:r>
        <w:rPr/>
        <w:t>采购包1(广东省江门监狱信息化机房设备购置及改造项目):</w:t>
      </w:r>
    </w:p>
    <w:p>
      <w:pPr>
        <w:pStyle w:val="null3"/>
      </w:pPr>
      <w:r>
        <w:rPr/>
        <w:t>采购包预算金额：1,159,801.86元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其他专业施工</w:t>
            </w:r>
          </w:p>
        </w:tc>
        <w:tc>
          <w:tcPr>
            <w:tcW w:type="dxa" w:w="2136"/>
          </w:tcPr>
          <w:p>
            <w:pPr>
              <w:pStyle w:val="null3"/>
            </w:pPr>
            <w:r>
              <w:rPr/>
              <w:t>广东省江门监狱信息化机房设备购置及改造项目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合同履行期限：自合同签订生效之日起至合同全部内容履行完毕。</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2）有依法缴纳税收和社会保障资金的良好记录：提供投标截止日前6个月内任意1个月依法缴纳税收和社会保障资金的相关材料或提供书面承诺（格式自拟）。 如依法免税或不需要缴纳社会保障资金的，提供相应证明材料或提供书面承诺（格式自拟）。</w:t>
      </w:r>
    </w:p>
    <w:p>
      <w:pPr>
        <w:pStyle w:val="null3"/>
      </w:pPr>
      <w:r>
        <w:rPr/>
        <w:t>3）具有良好的商业信誉和健全的财务会计制度：提供2024或2025年度财务状况报告或基本开户行出具的资信证明或提供书面承诺（格式自拟）。</w:t>
      </w:r>
    </w:p>
    <w:p>
      <w:pPr>
        <w:pStyle w:val="null3"/>
      </w:pPr>
      <w:r>
        <w:rPr/>
        <w:t>4）履行合同所必需的设备和专业技术能力：填报设备及专业技术能力情况或提供书面承诺（格式自拟）。</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采购包1（广东省江门监狱信息化机房设备购置及改造项目）：</w:t>
      </w:r>
      <w:r>
        <w:rPr/>
        <w:t>本项目整体专门面向中小企业采购。本项目采购标的对应的中小企业划分标准所属行业为：建筑业，投标人须是符合本项目采购标的对应行业（建筑业）政策划分标准的中型、小型或微型企业。监狱企业、残疾人福利单位视同小型、微型企业。注：1.中小企业以供应商填写的《中小企业声明函（服务）》（见投标格式）为判定标准，残疾人福利性单位以投标人填写的《残疾人福利性单位声明函》（见投标格式）为判定标准，监狱企业须投标人提供由省级以上监狱管理局、戒毒管理局（含新疆生产建设兵团）出具的属于监狱企业的证明文件，否则不予认定。2.《中小企业声明函》的填写要求见《广东省财政厅关于进一步规范政府采购活动中落实促进中小企业发展政策的通知》（粤财采购〔2024〕11号）的规定。</w:t>
      </w:r>
    </w:p>
    <w:p>
      <w:pPr>
        <w:pStyle w:val="null3"/>
        <w:outlineLvl w:val="3"/>
      </w:pPr>
      <w:r>
        <w:rPr>
          <w:sz w:val="24"/>
          <w:b/>
        </w:rPr>
        <w:t>3.本项目特定的资格要求：</w:t>
      </w:r>
    </w:p>
    <w:p>
      <w:pPr>
        <w:pStyle w:val="null3"/>
      </w:pPr>
      <w:r>
        <w:rPr/>
        <w:t>采购包1（广东省江门监狱信息化机房设备购置及改造项目）：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提供书面承诺（格式自拟）。</w:t>
      </w:r>
    </w:p>
    <w:p>
      <w:pPr>
        <w:pStyle w:val="null3"/>
      </w:pPr>
      <w:r>
        <w:rPr/>
        <w:t>3)供应商须具有建设行政主管部门核发的有效的电子与智能化工程专业承包二级（或以上）资质，或建筑机电工程专业承包乙级（或以上）资质。（提供证书复印件；证书须在有效期内，如依照规定顺延有效期的，须同时提供证明材料）</w:t>
      </w:r>
    </w:p>
    <w:p>
      <w:pPr>
        <w:pStyle w:val="null3"/>
      </w:pPr>
      <w:r>
        <w:rPr/>
        <w:t>4)供应商须具有建设行政主管部门颁发的有效期内的《安全生产许可证》。（提供有效期内的证书复印件）。</w:t>
      </w:r>
    </w:p>
    <w:p>
      <w:pPr>
        <w:pStyle w:val="null3"/>
      </w:pPr>
      <w:r>
        <w:rPr/>
        <w:t>5)供应商拟担任本工程项目负责人的人员为机电工程专业二级或以上级别的注册建造师，且持有有效期内的安全生产考核合格证（B类）或提供建筑施工企业管理人员安全生产考核信息系统安全生产管理人员证书信息的网页截图。【提供有效期内的证书扫描件及提供该人员在响应截止之日前三个月内任意一个月供应商为其缴纳的社保证明。（在磋商开始时间起至本项目完工前，该项目负责人不能担任其它项目的项目负责人）】 注1：①一级注册建造师电子证书使用时限为180天，但使用时限距注册专业有效期或建造师满65周岁不足180天的，使用时限截止日期以注册专业有效期截止日期或建造师满65周岁当日为准。超出使用时限的电子证书无效，需重新下载电子证书并再次、确认使用时限。一级注册建造师打印电子证书后，应在个人签名处手写本人签名，未手写签名或与签名图像笔迹不一致的，该电子证书无效。 ②二级注册建造师证书是否有效，按证书注册所在省的规定执行。对于在广东省注册的二级建造师，打印电子证书后，应在个人签名处手写本人签名，未手写签名或与签名图像笔迹不一致的，或者已超出使用有效期的，该电子证书无效。 注2：建造师的专业及等级标准按《注册建造师执业管理办法（试行）》及《注册建造师执业工程规模标准（试行）》；注册建造师包括延续注册成功的注册临时建造师。项目负责人不得同时在其他在建工程项目担任项目负责人，供应商承诺的项目负责人在建工程项目情况与本项目磋商截止日当天采购代理机构通过相关公开数据信息网站查询结果不一致的，以采购代理机构网上查询结果为准。</w:t>
      </w:r>
    </w:p>
    <w:p>
      <w:pPr>
        <w:pStyle w:val="null3"/>
      </w:pPr>
      <w:r>
        <w:rPr/>
        <w:t>6)专职安全员须具有在有效期内的安全生产考核合格证(C类)或建筑施工企业专职安全生产管理人员安全生产考核合格证(综合类C3)，项目负责人和安全员不为同一人。【提供有效期内的证书扫描件及提供该人员在响应截止之日前三个月内任意一个月供应商为其缴纳的社保证明。】</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广州顺为招标采购有限公司网（www.gzswbc.com）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广东省江门监狱</w:t>
      </w:r>
    </w:p>
    <w:p>
      <w:pPr>
        <w:pStyle w:val="null3"/>
        <w:ind w:firstLine="480"/>
      </w:pPr>
      <w:r>
        <w:rPr/>
        <w:t>地址：</w:t>
      </w:r>
      <w:r>
        <w:rPr/>
        <w:t>广东省鹤山市宅梧镇营顶</w:t>
      </w:r>
    </w:p>
    <w:p>
      <w:pPr>
        <w:pStyle w:val="null3"/>
        <w:ind w:firstLine="480"/>
      </w:pPr>
      <w:r>
        <w:rPr/>
        <w:t>联系方式：</w:t>
      </w:r>
      <w:r>
        <w:rPr/>
        <w:t>0750-8638839</w:t>
      </w:r>
    </w:p>
    <w:p>
      <w:pPr>
        <w:pStyle w:val="null3"/>
        <w:outlineLvl w:val="3"/>
      </w:pPr>
      <w:r>
        <w:rPr>
          <w:sz w:val="24"/>
          <w:b/>
        </w:rPr>
        <w:t>2.采购代理机构信息</w:t>
      </w:r>
    </w:p>
    <w:p>
      <w:pPr>
        <w:pStyle w:val="null3"/>
        <w:ind w:firstLine="480"/>
      </w:pPr>
      <w:r>
        <w:rPr/>
        <w:t>名称：</w:t>
      </w:r>
      <w:r>
        <w:rPr/>
        <w:t>广州顺为招标采购有限公司</w:t>
      </w:r>
    </w:p>
    <w:p>
      <w:pPr>
        <w:pStyle w:val="null3"/>
        <w:ind w:firstLine="480"/>
      </w:pPr>
      <w:r>
        <w:rPr/>
        <w:t xml:space="preserve"> 地址：</w:t>
      </w:r>
      <w:r>
        <w:rPr/>
        <w:t>广东省广州市越秀区环市中路205号自编B501-B505、B512-B525房</w:t>
      </w:r>
    </w:p>
    <w:p>
      <w:pPr>
        <w:pStyle w:val="null3"/>
        <w:ind w:firstLine="480"/>
      </w:pPr>
      <w:r>
        <w:rPr/>
        <w:t xml:space="preserve"> 联系方式：</w:t>
      </w:r>
      <w:r>
        <w:rPr/>
        <w:t>020-83592216-841</w:t>
      </w:r>
    </w:p>
    <w:p>
      <w:pPr>
        <w:pStyle w:val="null3"/>
        <w:outlineLvl w:val="3"/>
      </w:pPr>
      <w:r>
        <w:rPr>
          <w:sz w:val="24"/>
          <w:b/>
        </w:rPr>
        <w:t xml:space="preserve"> 3.项目联系方式</w:t>
      </w:r>
    </w:p>
    <w:p>
      <w:pPr>
        <w:pStyle w:val="null3"/>
        <w:ind w:firstLine="480"/>
      </w:pPr>
      <w:r>
        <w:rPr/>
        <w:t xml:space="preserve"> 项目联系人：</w:t>
      </w:r>
      <w:r>
        <w:rPr/>
        <w:t>罗先生</w:t>
      </w:r>
    </w:p>
    <w:p>
      <w:pPr>
        <w:pStyle w:val="null3"/>
        <w:ind w:firstLine="480"/>
      </w:pPr>
      <w:r>
        <w:rPr/>
        <w:t xml:space="preserve"> 电话：</w:t>
      </w:r>
      <w:r>
        <w:rPr/>
        <w:t>020-83592216-841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广州顺为招标采购有限公司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（一）有关说明</w:t>
      </w:r>
    </w:p>
    <w:p>
      <w:pPr>
        <w:pStyle w:val="null3"/>
        <w:ind w:firstLine="420"/>
      </w:pPr>
      <w:r>
        <w:rPr>
          <w:sz w:val="21"/>
        </w:rPr>
        <w:t>供应商</w:t>
      </w:r>
      <w:r>
        <w:rPr>
          <w:sz w:val="21"/>
        </w:rPr>
        <w:t>须对本项目为单位的采购标的进行整体</w:t>
      </w:r>
      <w:r>
        <w:rPr>
          <w:sz w:val="21"/>
        </w:rPr>
        <w:t>响应</w:t>
      </w:r>
      <w:r>
        <w:rPr>
          <w:sz w:val="21"/>
        </w:rPr>
        <w:t>，任何只对采购标的其中一部分内容、数量进行的</w:t>
      </w:r>
      <w:r>
        <w:rPr>
          <w:sz w:val="21"/>
        </w:rPr>
        <w:t>响应</w:t>
      </w:r>
      <w:r>
        <w:rPr>
          <w:sz w:val="21"/>
        </w:rPr>
        <w:t>都被视为无效</w:t>
      </w:r>
      <w:r>
        <w:rPr>
          <w:sz w:val="21"/>
        </w:rPr>
        <w:t>响应</w:t>
      </w:r>
      <w:r>
        <w:rPr>
          <w:sz w:val="21"/>
        </w:rPr>
        <w:t>。</w:t>
      </w:r>
    </w:p>
    <w:p>
      <w:pPr>
        <w:pStyle w:val="null3"/>
        <w:spacing w:before="150"/>
      </w:pPr>
      <w:r>
        <w:rPr>
          <w:sz w:val="24"/>
          <w:b/>
        </w:rPr>
        <w:t>（二）项目概述</w:t>
      </w:r>
    </w:p>
    <w:p>
      <w:pPr>
        <w:pStyle w:val="null3"/>
        <w:ind w:firstLine="420"/>
      </w:pPr>
      <w:r>
        <w:rPr>
          <w:sz w:val="21"/>
        </w:rPr>
        <w:t>1.项目名称：</w:t>
      </w:r>
      <w:r>
        <w:rPr>
          <w:sz w:val="21"/>
        </w:rPr>
        <w:t>广东</w:t>
      </w:r>
      <w:r>
        <w:rPr>
          <w:sz w:val="21"/>
        </w:rPr>
        <w:t>省江门监狱信息化机房设备购置及改造项目</w:t>
      </w:r>
      <w:r>
        <w:rPr>
          <w:sz w:val="21"/>
        </w:rPr>
        <w:t>。</w:t>
      </w:r>
    </w:p>
    <w:p>
      <w:pPr>
        <w:pStyle w:val="null3"/>
        <w:ind w:firstLine="420"/>
      </w:pPr>
      <w:r>
        <w:rPr>
          <w:sz w:val="21"/>
        </w:rPr>
        <w:t>2.采购预算：人民币</w:t>
      </w:r>
      <w:r>
        <w:rPr>
          <w:sz w:val="21"/>
        </w:rPr>
        <w:t>1,159,801.86</w:t>
      </w:r>
      <w:r>
        <w:rPr>
          <w:sz w:val="21"/>
        </w:rPr>
        <w:t>元</w:t>
      </w:r>
      <w:r>
        <w:rPr>
          <w:sz w:val="21"/>
        </w:rPr>
        <w:t>（含税），其中安全生产措施费</w:t>
      </w:r>
      <w:r>
        <w:rPr>
          <w:sz w:val="21"/>
        </w:rPr>
        <w:t>人民币</w:t>
      </w:r>
      <w:r>
        <w:rPr>
          <w:sz w:val="21"/>
        </w:rPr>
        <w:t>49</w:t>
      </w:r>
      <w:r>
        <w:rPr>
          <w:sz w:val="21"/>
        </w:rPr>
        <w:t>,</w:t>
      </w:r>
      <w:r>
        <w:rPr>
          <w:sz w:val="21"/>
        </w:rPr>
        <w:t>083.56元，暂列金</w:t>
      </w:r>
      <w:r>
        <w:rPr>
          <w:sz w:val="21"/>
        </w:rPr>
        <w:t>人民币</w:t>
      </w:r>
      <w:r>
        <w:rPr>
          <w:sz w:val="21"/>
        </w:rPr>
        <w:t>73,413.48元。</w:t>
      </w:r>
    </w:p>
    <w:p>
      <w:pPr>
        <w:pStyle w:val="null3"/>
        <w:ind w:firstLine="420"/>
      </w:pPr>
      <w:r>
        <w:rPr>
          <w:sz w:val="21"/>
        </w:rPr>
        <w:t>3.本项目属性：工程类项目，本项目采购标的对应的中小企业划分标准所属行业：建筑业。</w:t>
      </w:r>
    </w:p>
    <w:p>
      <w:pPr>
        <w:pStyle w:val="null3"/>
        <w:ind w:firstLine="420"/>
      </w:pPr>
      <w:r>
        <w:rPr>
          <w:sz w:val="21"/>
        </w:rPr>
        <w:t>4.工程概况：本工程将对江门监狱综合服务大厅、办公大楼、监管区、伙房等区域的21个子机房和10个配线间进行升级改造。主要内容有空调</w:t>
      </w:r>
      <w:r>
        <w:rPr>
          <w:sz w:val="21"/>
        </w:rPr>
        <w:t>与新风系统、门禁系统、消防系统、</w:t>
      </w:r>
      <w:r>
        <w:rPr>
          <w:sz w:val="21"/>
        </w:rPr>
        <w:t>动力</w:t>
      </w:r>
      <w:r>
        <w:rPr>
          <w:sz w:val="21"/>
        </w:rPr>
        <w:t>环境监测系统、综合布线系统、</w:t>
      </w:r>
      <w:r>
        <w:rPr>
          <w:sz w:val="21"/>
        </w:rPr>
        <w:t>网络交换机系统及</w:t>
      </w:r>
      <w:r>
        <w:rPr>
          <w:sz w:val="21"/>
        </w:rPr>
        <w:t>机房</w:t>
      </w:r>
      <w:r>
        <w:rPr>
          <w:sz w:val="21"/>
        </w:rPr>
        <w:t>环境整治</w:t>
      </w:r>
      <w:r>
        <w:rPr>
          <w:sz w:val="21"/>
        </w:rPr>
        <w:t>等</w:t>
      </w:r>
      <w:r>
        <w:rPr>
          <w:sz w:val="21"/>
        </w:rPr>
        <w:t>。</w:t>
      </w:r>
    </w:p>
    <w:p>
      <w:pPr>
        <w:pStyle w:val="null3"/>
        <w:ind w:firstLine="420"/>
      </w:pPr>
      <w:r>
        <w:rPr>
          <w:sz w:val="21"/>
        </w:rPr>
        <w:t>5.图纸：采购人提供设计施工图（详见附件）。</w:t>
      </w:r>
    </w:p>
    <w:p>
      <w:pPr>
        <w:pStyle w:val="null3"/>
        <w:ind w:firstLine="420"/>
      </w:pPr>
      <w:r>
        <w:rPr>
          <w:sz w:val="21"/>
        </w:rPr>
        <w:t>6.工程量清单（详见附件）。</w:t>
      </w:r>
    </w:p>
    <w:p>
      <w:pPr>
        <w:pStyle w:val="null3"/>
        <w:spacing w:before="150"/>
      </w:pPr>
      <w:r>
        <w:rPr>
          <w:sz w:val="24"/>
          <w:b/>
        </w:rPr>
        <w:t>（三）</w:t>
      </w:r>
      <w:r>
        <w:rPr>
          <w:sz w:val="24"/>
          <w:b/>
        </w:rPr>
        <w:t>建设背景</w:t>
      </w:r>
    </w:p>
    <w:p>
      <w:pPr>
        <w:pStyle w:val="null3"/>
        <w:ind w:firstLine="420"/>
      </w:pPr>
      <w:r>
        <w:rPr>
          <w:sz w:val="21"/>
        </w:rPr>
        <w:t>广东省江门监狱始建于</w:t>
      </w:r>
      <w:r>
        <w:rPr>
          <w:sz w:val="21"/>
        </w:rPr>
        <w:t>1951年，位于江门开平市和鹤山市的交界地带，占地面积约4平方公里，是广东省正处级建制的大型监狱之一。2019年，监狱整建制收归省级直管，上级主管部门为广东省监狱管理局。目前，江门监狱内设机构14个，监区12个、警务保障中心、监狱企业下设两部一室、群团组织2个。</w:t>
      </w:r>
    </w:p>
    <w:p>
      <w:pPr>
        <w:pStyle w:val="null3"/>
        <w:ind w:firstLine="420"/>
      </w:pPr>
      <w:r>
        <w:rPr>
          <w:sz w:val="21"/>
        </w:rPr>
        <w:t>目前，江门监狱已建设一套安防体系，运用通讯、监控、门禁、报警、周界防范等技术防范设施，达到维护监狱公共安全、预防和处置人为和灾害性事故，预防和处置在押犯闹事、逃窜、暴狱、伤害干警及方便监管工作信息管理的目标。随着信息技术的飞速发展，监狱管理也面临着信息化转型的迫切需求。监狱信息化机房作为监狱信息化建设的重要组成部分，其稳定运行和高效管理对于监狱的安全、监管、教育、改造等各个方面都具有重要意义。然而，当前许多监狱的信息化机房存在设施老化、技术落后、管理不规范等问题，这些问题严重影响了机房的运行效率和安全性，也制约了监狱信息化建设的进一步发展。</w:t>
      </w:r>
      <w:r>
        <w:rPr>
          <w:sz w:val="21"/>
        </w:rPr>
        <w:t>由此可见，</w:t>
      </w:r>
      <w:r>
        <w:rPr>
          <w:sz w:val="21"/>
        </w:rPr>
        <w:t>优化、完善监狱信息化机房的硬件设施和软件系统，提高监狱信息化管理水平，为监狱管理提供有力</w:t>
      </w:r>
      <w:r>
        <w:rPr>
          <w:sz w:val="21"/>
        </w:rPr>
        <w:t>保障的任务迫在眉睫</w:t>
      </w:r>
      <w:r>
        <w:rPr>
          <w:sz w:val="21"/>
        </w:rPr>
        <w:t>。</w:t>
      </w:r>
    </w:p>
    <w:p>
      <w:pPr>
        <w:pStyle w:val="null3"/>
        <w:spacing w:before="150"/>
      </w:pPr>
      <w:r>
        <w:rPr>
          <w:sz w:val="24"/>
          <w:b/>
        </w:rPr>
        <w:t>（四）</w:t>
      </w:r>
      <w:r>
        <w:rPr>
          <w:sz w:val="24"/>
          <w:b/>
        </w:rPr>
        <w:t>项目需求分析</w:t>
      </w:r>
    </w:p>
    <w:p>
      <w:pPr>
        <w:pStyle w:val="null3"/>
        <w:ind w:firstLine="420"/>
      </w:pPr>
      <w:r>
        <w:rPr>
          <w:sz w:val="21"/>
        </w:rPr>
        <w:t>本项目的需求以保障各部门正常开展日常工作及整体管理为出发点，一是针对现状升级改造大小子机房（含配线间）、配线间等基础设施，为各类应用服务器、网络设备、存储设备、安全设备提供高效稳定的运行环境，为各类狱务服务终端、监测终端、办公终端等提供网络接入能力，为各类服务器、终端以及局域网提供安全防护能力，为各部门办公提供信息基础服务和保障重要业务不中断；二是在原有设施基础上完善设备管理应用系统，实现设备信息汇总自动化、运行状态监测自动化、故障告警智能化等功能，提高设备管理效率</w:t>
      </w:r>
      <w:r>
        <w:rPr>
          <w:sz w:val="21"/>
        </w:rPr>
        <w:t>。</w:t>
      </w:r>
    </w:p>
    <w:p>
      <w:pPr>
        <w:pStyle w:val="null3"/>
        <w:spacing w:before="150"/>
      </w:pPr>
      <w:r>
        <w:rPr>
          <w:sz w:val="24"/>
          <w:b/>
        </w:rPr>
        <w:t>（五）项目建设目标</w:t>
      </w:r>
    </w:p>
    <w:p>
      <w:pPr>
        <w:pStyle w:val="null3"/>
        <w:ind w:firstLine="420"/>
      </w:pPr>
      <w:r>
        <w:rPr>
          <w:sz w:val="21"/>
        </w:rPr>
        <w:t>项目主要建设目标为对江门监狱综合服务大厅、办公大楼、监管区等区域的</w:t>
      </w:r>
      <w:r>
        <w:rPr>
          <w:sz w:val="21"/>
        </w:rPr>
        <w:t>21个子机房和10个配线间进行设备购置和改造，内容包括空调与新风系统、门禁系统、消防系统、动环监测系统、网络交换机系统</w:t>
      </w:r>
      <w:r>
        <w:rPr>
          <w:sz w:val="21"/>
        </w:rPr>
        <w:t>、</w:t>
      </w:r>
      <w:r>
        <w:rPr>
          <w:sz w:val="21"/>
        </w:rPr>
        <w:t>综合布线系统及机房环境整治等。</w:t>
      </w:r>
    </w:p>
    <w:p>
      <w:pPr>
        <w:pStyle w:val="null3"/>
        <w:ind w:firstLine="420"/>
      </w:pPr>
      <w:r>
        <w:rPr>
          <w:sz w:val="21"/>
        </w:rPr>
        <w:t>★</w:t>
      </w:r>
      <w:r>
        <w:rPr>
          <w:sz w:val="21"/>
        </w:rPr>
        <w:t>本项目</w:t>
      </w:r>
      <w:r>
        <w:rPr>
          <w:sz w:val="21"/>
        </w:rPr>
        <w:t>新</w:t>
      </w:r>
      <w:r>
        <w:rPr>
          <w:sz w:val="21"/>
        </w:rPr>
        <w:t>建设的动环监测系统</w:t>
      </w:r>
      <w:r>
        <w:rPr>
          <w:sz w:val="21"/>
        </w:rPr>
        <w:t>，</w:t>
      </w:r>
      <w:r>
        <w:rPr>
          <w:sz w:val="21"/>
        </w:rPr>
        <w:t>必须无缝对接采购人已</w:t>
      </w:r>
      <w:r>
        <w:rPr>
          <w:sz w:val="21"/>
        </w:rPr>
        <w:t>购置</w:t>
      </w:r>
      <w:r>
        <w:rPr>
          <w:sz w:val="21"/>
        </w:rPr>
        <w:t>的</w:t>
      </w:r>
      <w:r>
        <w:rPr>
          <w:sz w:val="21"/>
        </w:rPr>
        <w:t>UPS不间断电源系统</w:t>
      </w:r>
      <w:r>
        <w:rPr>
          <w:sz w:val="21"/>
        </w:rPr>
        <w:t>、</w:t>
      </w:r>
      <w:r>
        <w:rPr>
          <w:sz w:val="21"/>
        </w:rPr>
        <w:t>普通</w:t>
      </w:r>
      <w:r>
        <w:rPr>
          <w:sz w:val="21"/>
        </w:rPr>
        <w:t>1.5匹空调（具体安装位置详见图纸），实现对其运行状态的全面监测与兼容控制。上述UPS不间断电源系统及普通1.5匹空调不属于本项目建设范围，采购人仅提供设备现状及图纸所示安装位置。</w:t>
      </w:r>
      <w:r>
        <w:rPr>
          <w:sz w:val="21"/>
        </w:rPr>
        <w:t>成交供应商</w:t>
      </w:r>
      <w:r>
        <w:rPr>
          <w:sz w:val="21"/>
        </w:rPr>
        <w:t>需自行负责接口协议对接及安装适配工作，相关费用包含在</w:t>
      </w:r>
      <w:r>
        <w:rPr>
          <w:sz w:val="21"/>
        </w:rPr>
        <w:t>报价</w:t>
      </w:r>
      <w:r>
        <w:rPr>
          <w:sz w:val="21"/>
        </w:rPr>
        <w:t>中</w:t>
      </w:r>
      <w:r>
        <w:rPr>
          <w:sz w:val="21"/>
        </w:rPr>
        <w:t>，</w:t>
      </w:r>
      <w:r>
        <w:rPr>
          <w:sz w:val="21"/>
        </w:rPr>
        <w:t>采购人不额外承担费用</w:t>
      </w:r>
      <w:r>
        <w:rPr>
          <w:sz w:val="21"/>
        </w:rPr>
        <w:t>。</w:t>
      </w:r>
    </w:p>
    <w:p>
      <w:pPr>
        <w:pStyle w:val="null3"/>
        <w:ind w:firstLine="420"/>
      </w:pPr>
      <w:r>
        <w:rPr>
          <w:sz w:val="21"/>
        </w:rPr>
        <w:t>通过项目的实施，解决现有机房存在的问题，推进规范化标准化机房建设，优化设施设备运行环境，提升机房的运行效率、稳定性和安全性，促进监狱管理标准化、规范化、便利化，进一步提升狱务效率、优化运营环境。大大降低运维成本和消除安全隐患，为监狱信息化建设的进一步发展提供有力保障。</w:t>
      </w:r>
    </w:p>
    <w:p>
      <w:pPr>
        <w:pStyle w:val="null3"/>
        <w:spacing w:before="150"/>
      </w:pPr>
      <w:r>
        <w:rPr>
          <w:sz w:val="24"/>
          <w:b/>
        </w:rPr>
        <w:t>（六）编制依据</w:t>
      </w:r>
    </w:p>
    <w:p>
      <w:pPr>
        <w:pStyle w:val="null3"/>
        <w:ind w:firstLine="420"/>
      </w:pPr>
      <w:r>
        <w:rPr>
          <w:sz w:val="21"/>
        </w:rPr>
        <w:t>（</w:t>
      </w:r>
      <w:r>
        <w:rPr>
          <w:sz w:val="21"/>
        </w:rPr>
        <w:t>1</w:t>
      </w:r>
      <w:r>
        <w:rPr>
          <w:sz w:val="21"/>
        </w:rPr>
        <w:t>）</w:t>
      </w:r>
      <w:r>
        <w:rPr>
          <w:sz w:val="21"/>
        </w:rPr>
        <w:t>GB 12523-</w:t>
      </w:r>
      <w:r>
        <w:rPr>
          <w:sz w:val="21"/>
        </w:rPr>
        <w:t>2025</w:t>
      </w:r>
      <w:r>
        <w:rPr>
          <w:sz w:val="21"/>
        </w:rPr>
        <w:t xml:space="preserve"> </w:t>
      </w:r>
      <w:r>
        <w:rPr>
          <w:sz w:val="21"/>
        </w:rPr>
        <w:t>《建筑施工噪声排放标准》（强制性标准）；</w:t>
      </w:r>
    </w:p>
    <w:p>
      <w:pPr>
        <w:pStyle w:val="null3"/>
        <w:ind w:firstLine="420"/>
      </w:pPr>
      <w:r>
        <w:rPr>
          <w:sz w:val="21"/>
        </w:rPr>
        <w:t>（</w:t>
      </w:r>
      <w:r>
        <w:rPr>
          <w:sz w:val="21"/>
        </w:rPr>
        <w:t>2</w:t>
      </w:r>
      <w:r>
        <w:rPr>
          <w:sz w:val="21"/>
        </w:rPr>
        <w:t>）</w:t>
      </w:r>
      <w:r>
        <w:rPr>
          <w:sz w:val="21"/>
        </w:rPr>
        <w:t>GB 3096-2008 《声环境质量标准》 （强制性标准）；</w:t>
      </w:r>
    </w:p>
    <w:p>
      <w:pPr>
        <w:pStyle w:val="null3"/>
        <w:ind w:firstLine="420"/>
      </w:pPr>
      <w:r>
        <w:rPr>
          <w:sz w:val="21"/>
        </w:rPr>
        <w:t>（</w:t>
      </w:r>
      <w:r>
        <w:rPr>
          <w:sz w:val="21"/>
        </w:rPr>
        <w:t>3</w:t>
      </w:r>
      <w:r>
        <w:rPr>
          <w:sz w:val="21"/>
        </w:rPr>
        <w:t>）</w:t>
      </w:r>
      <w:r>
        <w:rPr>
          <w:sz w:val="21"/>
        </w:rPr>
        <w:t>GB 50016-2014 《建筑设计防火规范（2018年版）》（强制性标准）；</w:t>
      </w:r>
    </w:p>
    <w:p>
      <w:pPr>
        <w:pStyle w:val="null3"/>
        <w:ind w:firstLine="420"/>
      </w:pPr>
      <w:r>
        <w:rPr>
          <w:sz w:val="21"/>
        </w:rPr>
        <w:t>（</w:t>
      </w:r>
      <w:r>
        <w:rPr>
          <w:sz w:val="21"/>
        </w:rPr>
        <w:t>4</w:t>
      </w:r>
      <w:r>
        <w:rPr>
          <w:sz w:val="21"/>
        </w:rPr>
        <w:t>）</w:t>
      </w:r>
      <w:r>
        <w:rPr>
          <w:sz w:val="21"/>
        </w:rPr>
        <w:t>GB 51195-2016</w:t>
      </w:r>
      <w:r>
        <w:rPr/>
        <w:t xml:space="preserve"> </w:t>
      </w:r>
      <w:r>
        <w:rPr>
          <w:sz w:val="21"/>
        </w:rPr>
        <w:t>《互联网数据中心工程技术规范》（含强制性条文）；</w:t>
      </w:r>
    </w:p>
    <w:p>
      <w:pPr>
        <w:pStyle w:val="null3"/>
        <w:ind w:firstLine="420"/>
      </w:pPr>
      <w:r>
        <w:rPr>
          <w:sz w:val="21"/>
        </w:rPr>
        <w:t>（</w:t>
      </w:r>
      <w:r>
        <w:rPr>
          <w:sz w:val="21"/>
        </w:rPr>
        <w:t>5</w:t>
      </w:r>
      <w:r>
        <w:rPr>
          <w:sz w:val="21"/>
        </w:rPr>
        <w:t>）</w:t>
      </w:r>
      <w:r>
        <w:rPr>
          <w:sz w:val="21"/>
        </w:rPr>
        <w:t>GB 50057-2010 《建筑物防雷设计规范》（强制性标准）；</w:t>
      </w:r>
    </w:p>
    <w:p>
      <w:pPr>
        <w:pStyle w:val="null3"/>
        <w:ind w:firstLine="420"/>
      </w:pPr>
      <w:r>
        <w:rPr>
          <w:sz w:val="21"/>
        </w:rPr>
        <w:t>（</w:t>
      </w:r>
      <w:r>
        <w:rPr>
          <w:sz w:val="21"/>
        </w:rPr>
        <w:t>6</w:t>
      </w:r>
      <w:r>
        <w:rPr>
          <w:sz w:val="21"/>
        </w:rPr>
        <w:t>）</w:t>
      </w:r>
      <w:r>
        <w:rPr>
          <w:sz w:val="21"/>
        </w:rPr>
        <w:t>GB</w:t>
      </w:r>
      <w:r>
        <w:rPr/>
        <w:t xml:space="preserve"> </w:t>
      </w:r>
      <w:r>
        <w:rPr>
          <w:sz w:val="21"/>
        </w:rPr>
        <w:t>50343-2012 《建筑物电子信息系统防雷技术规范》；</w:t>
      </w:r>
    </w:p>
    <w:p>
      <w:pPr>
        <w:pStyle w:val="null3"/>
        <w:ind w:firstLine="420"/>
      </w:pPr>
      <w:r>
        <w:rPr>
          <w:sz w:val="21"/>
        </w:rPr>
        <w:t>（</w:t>
      </w:r>
      <w:r>
        <w:rPr>
          <w:sz w:val="21"/>
        </w:rPr>
        <w:t>7</w:t>
      </w:r>
      <w:r>
        <w:rPr>
          <w:sz w:val="21"/>
        </w:rPr>
        <w:t>）</w:t>
      </w:r>
      <w:r>
        <w:rPr>
          <w:sz w:val="21"/>
        </w:rPr>
        <w:t>GB 50689-2011 《通信局（站）防雷与接地工程设计规范》（强制性标准）；</w:t>
      </w:r>
    </w:p>
    <w:p>
      <w:pPr>
        <w:pStyle w:val="null3"/>
        <w:ind w:firstLine="420"/>
      </w:pPr>
      <w:r>
        <w:rPr>
          <w:sz w:val="21"/>
        </w:rPr>
        <w:t>（</w:t>
      </w:r>
      <w:r>
        <w:rPr>
          <w:sz w:val="21"/>
        </w:rPr>
        <w:t>8</w:t>
      </w:r>
      <w:r>
        <w:rPr>
          <w:sz w:val="21"/>
        </w:rPr>
        <w:t>）</w:t>
      </w:r>
      <w:r>
        <w:rPr>
          <w:sz w:val="21"/>
        </w:rPr>
        <w:t>GB 51120-2015 《通信局（站）防雷与接地工程验收规范》（强制性标准）；</w:t>
      </w:r>
    </w:p>
    <w:p>
      <w:pPr>
        <w:pStyle w:val="null3"/>
        <w:ind w:firstLine="420"/>
      </w:pPr>
      <w:r>
        <w:rPr>
          <w:sz w:val="21"/>
        </w:rPr>
        <w:t>（</w:t>
      </w:r>
      <w:r>
        <w:rPr>
          <w:sz w:val="21"/>
        </w:rPr>
        <w:t>9</w:t>
      </w:r>
      <w:r>
        <w:rPr>
          <w:sz w:val="21"/>
        </w:rPr>
        <w:t>）</w:t>
      </w:r>
      <w:r>
        <w:rPr>
          <w:sz w:val="21"/>
        </w:rPr>
        <w:t>YD/T 5054-2019</w:t>
      </w:r>
      <w:r>
        <w:rPr/>
        <w:t xml:space="preserve"> </w:t>
      </w:r>
      <w:r>
        <w:rPr>
          <w:sz w:val="21"/>
        </w:rPr>
        <w:t>《通信建筑抗震设防分类标准》（强制性标准）</w:t>
      </w:r>
      <w:r>
        <w:rPr>
          <w:sz w:val="21"/>
        </w:rPr>
        <w:t>；</w:t>
      </w:r>
    </w:p>
    <w:p>
      <w:pPr>
        <w:pStyle w:val="null3"/>
        <w:ind w:firstLine="420"/>
      </w:pPr>
      <w:r>
        <w:rPr>
          <w:sz w:val="21"/>
        </w:rPr>
        <w:t>（</w:t>
      </w:r>
      <w:r>
        <w:rPr>
          <w:sz w:val="21"/>
        </w:rPr>
        <w:t>10</w:t>
      </w:r>
      <w:r>
        <w:rPr>
          <w:sz w:val="21"/>
        </w:rPr>
        <w:t>）</w:t>
      </w:r>
      <w:r>
        <w:rPr>
          <w:sz w:val="21"/>
        </w:rPr>
        <w:t>YD 5059-2005 《电信设备安装抗震设计规范》（强制性标准）；</w:t>
      </w:r>
    </w:p>
    <w:p>
      <w:pPr>
        <w:pStyle w:val="null3"/>
        <w:ind w:firstLine="420"/>
      </w:pPr>
      <w:r>
        <w:rPr>
          <w:sz w:val="21"/>
        </w:rPr>
        <w:t>（</w:t>
      </w:r>
      <w:r>
        <w:rPr>
          <w:sz w:val="21"/>
        </w:rPr>
        <w:t>11</w:t>
      </w:r>
      <w:r>
        <w:rPr>
          <w:sz w:val="21"/>
        </w:rPr>
        <w:t>）</w:t>
      </w:r>
      <w:r>
        <w:rPr>
          <w:sz w:val="21"/>
        </w:rPr>
        <w:t>YD/T 5060-2019 《通信设备安装抗震设计图集》（强制性标准）；</w:t>
      </w:r>
    </w:p>
    <w:p>
      <w:pPr>
        <w:pStyle w:val="null3"/>
        <w:ind w:firstLine="420"/>
      </w:pPr>
      <w:r>
        <w:rPr>
          <w:sz w:val="21"/>
        </w:rPr>
        <w:t>（</w:t>
      </w:r>
      <w:r>
        <w:rPr>
          <w:sz w:val="21"/>
        </w:rPr>
        <w:t>12</w:t>
      </w:r>
      <w:r>
        <w:rPr>
          <w:sz w:val="21"/>
        </w:rPr>
        <w:t>）</w:t>
      </w:r>
      <w:r>
        <w:rPr>
          <w:sz w:val="21"/>
        </w:rPr>
        <w:t>YD 5083-2005 《电信设备抗地震性能检测规范》（强制性标准）；</w:t>
      </w:r>
    </w:p>
    <w:p>
      <w:pPr>
        <w:pStyle w:val="null3"/>
        <w:ind w:firstLine="420"/>
      </w:pPr>
      <w:r>
        <w:rPr>
          <w:sz w:val="21"/>
        </w:rPr>
        <w:t>（</w:t>
      </w:r>
      <w:r>
        <w:rPr>
          <w:sz w:val="21"/>
        </w:rPr>
        <w:t>13</w:t>
      </w:r>
      <w:r>
        <w:rPr>
          <w:sz w:val="21"/>
        </w:rPr>
        <w:t>）</w:t>
      </w:r>
      <w:r>
        <w:rPr>
          <w:sz w:val="21"/>
        </w:rPr>
        <w:t>YD/T 5184-2018 《通信局（站）节能设计规范》（强制性标准）；</w:t>
      </w:r>
    </w:p>
    <w:p>
      <w:pPr>
        <w:pStyle w:val="null3"/>
        <w:ind w:firstLine="420"/>
      </w:pPr>
      <w:r>
        <w:rPr>
          <w:sz w:val="21"/>
        </w:rPr>
        <w:t>（</w:t>
      </w:r>
      <w:r>
        <w:rPr>
          <w:sz w:val="21"/>
        </w:rPr>
        <w:t>14</w:t>
      </w:r>
      <w:r>
        <w:rPr>
          <w:sz w:val="21"/>
        </w:rPr>
        <w:t>）</w:t>
      </w:r>
      <w:r>
        <w:rPr>
          <w:sz w:val="21"/>
        </w:rPr>
        <w:t>YD 5201-2014 《通信建设工程安全生产操作规范》（强制性标准）；</w:t>
      </w:r>
    </w:p>
    <w:p>
      <w:pPr>
        <w:pStyle w:val="null3"/>
        <w:ind w:firstLine="420"/>
      </w:pPr>
      <w:r>
        <w:rPr>
          <w:sz w:val="21"/>
        </w:rPr>
        <w:t>（</w:t>
      </w:r>
      <w:r>
        <w:rPr>
          <w:sz w:val="21"/>
        </w:rPr>
        <w:t>15</w:t>
      </w:r>
      <w:r>
        <w:rPr>
          <w:sz w:val="21"/>
        </w:rPr>
        <w:t>）</w:t>
      </w:r>
      <w:r>
        <w:rPr>
          <w:sz w:val="21"/>
        </w:rPr>
        <w:t>YD/T 2057-2009 《通用机房安全管理总体要求》；</w:t>
      </w:r>
    </w:p>
    <w:p>
      <w:pPr>
        <w:pStyle w:val="null3"/>
        <w:ind w:firstLine="420"/>
      </w:pPr>
      <w:r>
        <w:rPr>
          <w:sz w:val="21"/>
        </w:rPr>
        <w:t>（</w:t>
      </w:r>
      <w:r>
        <w:rPr>
          <w:sz w:val="21"/>
        </w:rPr>
        <w:t>16）</w:t>
      </w:r>
      <w:r>
        <w:rPr>
          <w:sz w:val="21"/>
        </w:rPr>
        <w:t>GB 50314-2015 《智能建筑设计标准》；</w:t>
      </w:r>
    </w:p>
    <w:p>
      <w:pPr>
        <w:pStyle w:val="null3"/>
        <w:ind w:firstLine="420"/>
      </w:pPr>
      <w:r>
        <w:rPr>
          <w:sz w:val="21"/>
        </w:rPr>
        <w:t>（</w:t>
      </w:r>
      <w:r>
        <w:rPr>
          <w:sz w:val="21"/>
        </w:rPr>
        <w:t>17）</w:t>
      </w:r>
      <w:r>
        <w:rPr>
          <w:sz w:val="21"/>
        </w:rPr>
        <w:t>GB 50174-2017 《数据中心设计规范》；</w:t>
      </w:r>
    </w:p>
    <w:p>
      <w:pPr>
        <w:pStyle w:val="null3"/>
        <w:ind w:firstLine="420"/>
      </w:pPr>
      <w:r>
        <w:rPr>
          <w:sz w:val="21"/>
        </w:rPr>
        <w:t>（</w:t>
      </w:r>
      <w:r>
        <w:rPr>
          <w:sz w:val="21"/>
        </w:rPr>
        <w:t>18）</w:t>
      </w:r>
      <w:r>
        <w:rPr>
          <w:sz w:val="21"/>
        </w:rPr>
        <w:t>GB 50055－2011 《通用用电设备配电设计规范》（强制性标准）；</w:t>
      </w:r>
    </w:p>
    <w:p>
      <w:pPr>
        <w:pStyle w:val="null3"/>
        <w:ind w:firstLine="420"/>
      </w:pPr>
      <w:r>
        <w:rPr>
          <w:sz w:val="21"/>
        </w:rPr>
        <w:t>（</w:t>
      </w:r>
      <w:r>
        <w:rPr>
          <w:sz w:val="21"/>
        </w:rPr>
        <w:t>19）</w:t>
      </w:r>
      <w:r>
        <w:rPr>
          <w:sz w:val="21"/>
        </w:rPr>
        <w:t>GB 51348-2019 《民用建筑电气设计标准》（强制性标准）；</w:t>
      </w:r>
    </w:p>
    <w:p>
      <w:pPr>
        <w:pStyle w:val="null3"/>
        <w:ind w:firstLine="420"/>
      </w:pPr>
      <w:r>
        <w:rPr>
          <w:sz w:val="21"/>
        </w:rPr>
        <w:t>（</w:t>
      </w:r>
      <w:r>
        <w:rPr>
          <w:sz w:val="21"/>
        </w:rPr>
        <w:t>20）</w:t>
      </w:r>
      <w:r>
        <w:rPr>
          <w:sz w:val="21"/>
        </w:rPr>
        <w:t>GB</w:t>
      </w:r>
      <w:r>
        <w:rPr/>
        <w:t xml:space="preserve"> </w:t>
      </w:r>
      <w:r>
        <w:rPr>
          <w:sz w:val="21"/>
        </w:rPr>
        <w:t>50348-2018 《安全防范工程技术标准》（强制性标准）；</w:t>
      </w:r>
    </w:p>
    <w:p>
      <w:pPr>
        <w:pStyle w:val="null3"/>
        <w:ind w:firstLine="420"/>
      </w:pPr>
      <w:r>
        <w:rPr>
          <w:sz w:val="21"/>
        </w:rPr>
        <w:t>（</w:t>
      </w:r>
      <w:r>
        <w:rPr>
          <w:sz w:val="21"/>
        </w:rPr>
        <w:t>21）</w:t>
      </w:r>
      <w:r>
        <w:rPr>
          <w:sz w:val="21"/>
        </w:rPr>
        <w:t>GB</w:t>
      </w:r>
      <w:r>
        <w:rPr/>
        <w:t xml:space="preserve"> </w:t>
      </w:r>
      <w:r>
        <w:rPr>
          <w:sz w:val="21"/>
        </w:rPr>
        <w:t>50395-2007 《视频安防监控系统工程设计规范》；</w:t>
      </w:r>
    </w:p>
    <w:p>
      <w:pPr>
        <w:pStyle w:val="null3"/>
        <w:ind w:firstLine="420"/>
      </w:pPr>
      <w:r>
        <w:rPr>
          <w:sz w:val="21"/>
        </w:rPr>
        <w:t>（</w:t>
      </w:r>
      <w:r>
        <w:rPr>
          <w:sz w:val="21"/>
        </w:rPr>
        <w:t>22）</w:t>
      </w:r>
      <w:r>
        <w:rPr>
          <w:sz w:val="21"/>
        </w:rPr>
        <w:t>GB</w:t>
      </w:r>
      <w:r>
        <w:rPr/>
        <w:t xml:space="preserve"> </w:t>
      </w:r>
      <w:r>
        <w:rPr>
          <w:sz w:val="21"/>
        </w:rPr>
        <w:t>50396-2007 《出入口控制系统工程设计规范》；</w:t>
      </w:r>
    </w:p>
    <w:p>
      <w:pPr>
        <w:pStyle w:val="null3"/>
        <w:ind w:firstLine="420"/>
      </w:pPr>
      <w:r>
        <w:rPr>
          <w:sz w:val="21"/>
        </w:rPr>
        <w:t>（</w:t>
      </w:r>
      <w:r>
        <w:rPr>
          <w:sz w:val="21"/>
        </w:rPr>
        <w:t>23）</w:t>
      </w:r>
      <w:r>
        <w:rPr>
          <w:sz w:val="21"/>
        </w:rPr>
        <w:t>GB 4943.1-2022 《信息技术设备安全 第1部分：通用要求》；</w:t>
      </w:r>
    </w:p>
    <w:p>
      <w:pPr>
        <w:pStyle w:val="null3"/>
        <w:ind w:firstLine="420"/>
      </w:pPr>
      <w:r>
        <w:rPr>
          <w:sz w:val="21"/>
        </w:rPr>
        <w:t>（</w:t>
      </w:r>
      <w:r>
        <w:rPr>
          <w:sz w:val="21"/>
        </w:rPr>
        <w:t>24）</w:t>
      </w:r>
      <w:r>
        <w:rPr>
          <w:sz w:val="21"/>
        </w:rPr>
        <w:t>GB</w:t>
      </w:r>
      <w:r>
        <w:rPr/>
        <w:t xml:space="preserve"> </w:t>
      </w:r>
      <w:r>
        <w:rPr>
          <w:sz w:val="21"/>
        </w:rPr>
        <w:t>50370-2005 《气体灭火系统设计规范》（强制性标准）；</w:t>
      </w:r>
    </w:p>
    <w:p>
      <w:pPr>
        <w:pStyle w:val="null3"/>
        <w:ind w:firstLine="420"/>
      </w:pPr>
      <w:r>
        <w:rPr>
          <w:sz w:val="21"/>
        </w:rPr>
        <w:t>（</w:t>
      </w:r>
      <w:r>
        <w:rPr>
          <w:sz w:val="21"/>
        </w:rPr>
        <w:t>25）</w:t>
      </w:r>
      <w:r>
        <w:rPr>
          <w:sz w:val="21"/>
        </w:rPr>
        <w:t>GB</w:t>
      </w:r>
      <w:r>
        <w:rPr/>
        <w:t xml:space="preserve"> </w:t>
      </w:r>
      <w:r>
        <w:rPr>
          <w:sz w:val="21"/>
        </w:rPr>
        <w:t>50263-2007 《气体灭火系统施工与验收规范》（强制性标准）；</w:t>
      </w:r>
    </w:p>
    <w:p>
      <w:pPr>
        <w:pStyle w:val="null3"/>
        <w:ind w:firstLine="420"/>
      </w:pPr>
      <w:r>
        <w:rPr>
          <w:sz w:val="21"/>
        </w:rPr>
        <w:t>（</w:t>
      </w:r>
      <w:r>
        <w:rPr>
          <w:sz w:val="21"/>
        </w:rPr>
        <w:t>26）</w:t>
      </w:r>
      <w:r>
        <w:rPr>
          <w:sz w:val="21"/>
        </w:rPr>
        <w:t>YD/T 5026-2021 《信息通信机房槽架安装设计规范》；</w:t>
      </w:r>
    </w:p>
    <w:p>
      <w:pPr>
        <w:pStyle w:val="null3"/>
        <w:ind w:firstLine="420"/>
      </w:pPr>
      <w:r>
        <w:rPr>
          <w:sz w:val="21"/>
        </w:rPr>
        <w:t>（</w:t>
      </w:r>
      <w:r>
        <w:rPr>
          <w:sz w:val="21"/>
        </w:rPr>
        <w:t>27）</w:t>
      </w:r>
      <w:r>
        <w:rPr>
          <w:sz w:val="21"/>
        </w:rPr>
        <w:t>GB</w:t>
      </w:r>
      <w:r>
        <w:rPr/>
        <w:t xml:space="preserve"> </w:t>
      </w:r>
      <w:r>
        <w:rPr>
          <w:sz w:val="21"/>
        </w:rPr>
        <w:t>50116-2013 《火灾自动报警系统设计规范》（强制性标准）；</w:t>
      </w:r>
    </w:p>
    <w:p>
      <w:pPr>
        <w:pStyle w:val="null3"/>
        <w:ind w:firstLine="420"/>
      </w:pPr>
      <w:r>
        <w:rPr>
          <w:sz w:val="21"/>
        </w:rPr>
        <w:t>（</w:t>
      </w:r>
      <w:r>
        <w:rPr>
          <w:sz w:val="21"/>
        </w:rPr>
        <w:t>28）</w:t>
      </w:r>
      <w:r>
        <w:rPr>
          <w:sz w:val="21"/>
        </w:rPr>
        <w:t>GB 50166-2019 《火灾自动报警施工与验收规范》（强制性标准）；</w:t>
      </w:r>
    </w:p>
    <w:p>
      <w:pPr>
        <w:pStyle w:val="null3"/>
        <w:ind w:firstLine="420"/>
      </w:pPr>
      <w:r>
        <w:rPr>
          <w:sz w:val="21"/>
        </w:rPr>
        <w:t>（</w:t>
      </w:r>
      <w:r>
        <w:rPr>
          <w:sz w:val="21"/>
        </w:rPr>
        <w:t>29）</w:t>
      </w:r>
      <w:r>
        <w:rPr>
          <w:sz w:val="21"/>
        </w:rPr>
        <w:t>GB</w:t>
      </w:r>
      <w:r>
        <w:rPr/>
        <w:t xml:space="preserve"> </w:t>
      </w:r>
      <w:r>
        <w:rPr>
          <w:sz w:val="21"/>
        </w:rPr>
        <w:t>50736-2012 《民用建筑供暖通风与空气调节设计》；</w:t>
      </w:r>
    </w:p>
    <w:p>
      <w:pPr>
        <w:pStyle w:val="null3"/>
        <w:ind w:firstLine="420"/>
      </w:pPr>
      <w:r>
        <w:rPr>
          <w:sz w:val="21"/>
        </w:rPr>
        <w:t>（</w:t>
      </w:r>
      <w:r>
        <w:rPr>
          <w:sz w:val="21"/>
        </w:rPr>
        <w:t>30）</w:t>
      </w:r>
      <w:r>
        <w:rPr>
          <w:sz w:val="21"/>
        </w:rPr>
        <w:t>GB</w:t>
      </w:r>
      <w:r>
        <w:rPr/>
        <w:t xml:space="preserve"> </w:t>
      </w:r>
      <w:r>
        <w:rPr>
          <w:sz w:val="21"/>
        </w:rPr>
        <w:t>50738-2011</w:t>
      </w:r>
      <w:r>
        <w:rPr/>
        <w:t xml:space="preserve"> </w:t>
      </w:r>
      <w:r>
        <w:rPr>
          <w:sz w:val="21"/>
        </w:rPr>
        <w:t>《通风与空调工程施工规范》（强制性标准）；</w:t>
      </w:r>
    </w:p>
    <w:p>
      <w:pPr>
        <w:pStyle w:val="null3"/>
        <w:ind w:firstLine="420"/>
      </w:pPr>
      <w:r>
        <w:rPr>
          <w:sz w:val="21"/>
        </w:rPr>
        <w:t>（</w:t>
      </w:r>
      <w:r>
        <w:rPr>
          <w:sz w:val="21"/>
        </w:rPr>
        <w:t>31）</w:t>
      </w:r>
      <w:r>
        <w:rPr>
          <w:sz w:val="21"/>
        </w:rPr>
        <w:t>GB</w:t>
      </w:r>
      <w:r>
        <w:rPr/>
        <w:t xml:space="preserve"> </w:t>
      </w:r>
      <w:r>
        <w:rPr>
          <w:sz w:val="21"/>
        </w:rPr>
        <w:t>50243-2016 《通风与空调工程施工质量验收规范》；</w:t>
      </w:r>
    </w:p>
    <w:p>
      <w:pPr>
        <w:pStyle w:val="null3"/>
        <w:ind w:firstLine="420"/>
      </w:pPr>
      <w:r>
        <w:rPr>
          <w:sz w:val="21"/>
        </w:rPr>
        <w:t>（</w:t>
      </w:r>
      <w:r>
        <w:rPr>
          <w:sz w:val="21"/>
        </w:rPr>
        <w:t>32）</w:t>
      </w:r>
      <w:r>
        <w:rPr>
          <w:sz w:val="21"/>
        </w:rPr>
        <w:t>GB</w:t>
      </w:r>
      <w:r>
        <w:rPr/>
        <w:t xml:space="preserve"> </w:t>
      </w:r>
      <w:r>
        <w:rPr>
          <w:sz w:val="21"/>
        </w:rPr>
        <w:t>51251-2017 《建筑防烟排烟系统技术标准》（强制性标准）；</w:t>
      </w:r>
    </w:p>
    <w:p>
      <w:pPr>
        <w:pStyle w:val="null3"/>
        <w:ind w:firstLine="420"/>
      </w:pPr>
      <w:r>
        <w:rPr>
          <w:sz w:val="21"/>
        </w:rPr>
        <w:t>（</w:t>
      </w:r>
      <w:r>
        <w:rPr>
          <w:sz w:val="21"/>
        </w:rPr>
        <w:t>33）</w:t>
      </w:r>
      <w:r>
        <w:rPr>
          <w:sz w:val="21"/>
        </w:rPr>
        <w:t>GB</w:t>
      </w:r>
      <w:r>
        <w:rPr/>
        <w:t xml:space="preserve"> </w:t>
      </w:r>
      <w:r>
        <w:rPr>
          <w:sz w:val="21"/>
        </w:rPr>
        <w:t>50189-2015</w:t>
      </w:r>
      <w:r>
        <w:rPr/>
        <w:t xml:space="preserve"> </w:t>
      </w:r>
      <w:r>
        <w:rPr>
          <w:sz w:val="21"/>
        </w:rPr>
        <w:t>《公共建筑节能设计标准》；</w:t>
      </w:r>
    </w:p>
    <w:p>
      <w:pPr>
        <w:pStyle w:val="null3"/>
        <w:ind w:firstLine="420"/>
      </w:pPr>
      <w:r>
        <w:rPr>
          <w:sz w:val="21"/>
        </w:rPr>
        <w:t>（</w:t>
      </w:r>
      <w:r>
        <w:rPr>
          <w:sz w:val="21"/>
        </w:rPr>
        <w:t>34）</w:t>
      </w:r>
      <w:r>
        <w:rPr>
          <w:sz w:val="21"/>
        </w:rPr>
        <w:t>GB</w:t>
      </w:r>
      <w:r>
        <w:rPr/>
        <w:t xml:space="preserve"> </w:t>
      </w:r>
      <w:r>
        <w:rPr>
          <w:sz w:val="21"/>
        </w:rPr>
        <w:t>50981-2014 《建筑机电工程抗震设计规范》（强制性标准）；</w:t>
      </w:r>
    </w:p>
    <w:p>
      <w:pPr>
        <w:pStyle w:val="null3"/>
        <w:ind w:firstLine="420"/>
      </w:pPr>
      <w:r>
        <w:rPr>
          <w:sz w:val="21"/>
        </w:rPr>
        <w:t>以及其他有关国家及地方的现行规程、规范及标准</w:t>
      </w:r>
      <w:r>
        <w:rPr>
          <w:sz w:val="21"/>
        </w:rPr>
        <w:t>。</w:t>
      </w:r>
    </w:p>
    <w:p>
      <w:pPr>
        <w:pStyle w:val="null3"/>
        <w:spacing w:before="150"/>
      </w:pPr>
      <w:r>
        <w:rPr>
          <w:sz w:val="24"/>
          <w:b/>
        </w:rPr>
        <w:t>（</w:t>
      </w:r>
      <w:r>
        <w:rPr>
          <w:sz w:val="24"/>
          <w:b/>
        </w:rPr>
        <w:t>七</w:t>
      </w:r>
      <w:r>
        <w:rPr>
          <w:sz w:val="24"/>
          <w:b/>
        </w:rPr>
        <w:t>）关于异常低价的相关要求</w:t>
      </w:r>
    </w:p>
    <w:p>
      <w:pPr>
        <w:pStyle w:val="null3"/>
        <w:ind w:firstLine="420"/>
      </w:pPr>
      <w:r>
        <w:rPr>
          <w:sz w:val="21"/>
        </w:rPr>
        <w:t>1.按照《关于推动解决政府采购异常低价问题的通知》（财库〔2026〕2号）规定，政府采购评审中出现下列情形之一的，评审委员会应当启动异常低价投标（响应）审查程序：</w:t>
      </w:r>
    </w:p>
    <w:p>
      <w:pPr>
        <w:pStyle w:val="null3"/>
        <w:ind w:firstLine="420"/>
      </w:pPr>
      <w:r>
        <w:rPr>
          <w:sz w:val="21"/>
        </w:rPr>
        <w:t>（</w:t>
      </w:r>
      <w:r>
        <w:rPr>
          <w:sz w:val="21"/>
        </w:rPr>
        <w:t>1）投标（响应）报价低于全部通过符合性审查供应商投标（响应）报价平均值50%的，即投标（响应）报价＜全部通过符合性审查供应商投标（响应）报价平均值×50%；</w:t>
      </w:r>
    </w:p>
    <w:p>
      <w:pPr>
        <w:pStyle w:val="null3"/>
        <w:ind w:firstLine="420"/>
      </w:pPr>
      <w:r>
        <w:rPr>
          <w:sz w:val="21"/>
        </w:rPr>
        <w:t>（</w:t>
      </w:r>
      <w:r>
        <w:rPr>
          <w:sz w:val="21"/>
        </w:rPr>
        <w:t>2）投标（响应）报价低于通过符合性审查的次低报价供应商投标（响应）报价50%的，即投标（响应）报价＜通过符合性审查的次低报价供应商投标（响应）报价×50%；</w:t>
      </w:r>
    </w:p>
    <w:p>
      <w:pPr>
        <w:pStyle w:val="null3"/>
        <w:ind w:firstLine="420"/>
      </w:pPr>
      <w:r>
        <w:rPr>
          <w:sz w:val="21"/>
        </w:rPr>
        <w:t>（</w:t>
      </w:r>
      <w:r>
        <w:rPr>
          <w:sz w:val="21"/>
        </w:rPr>
        <w:t>3）投标（响应）报价低于采购项目最高限价45%的，即投标（响应）报价＜采购项目最高限价×45%；</w:t>
      </w:r>
    </w:p>
    <w:p>
      <w:pPr>
        <w:pStyle w:val="null3"/>
        <w:ind w:firstLine="420"/>
      </w:pPr>
      <w:r>
        <w:rPr>
          <w:sz w:val="21"/>
        </w:rPr>
        <w:t>（</w:t>
      </w:r>
      <w:r>
        <w:rPr>
          <w:sz w:val="21"/>
        </w:rPr>
        <w:t>4）评审委员会基于专业判断，认为供应商报价过低，有可能影响产品质量或者不能诚信履约的其他情形。</w:t>
      </w:r>
    </w:p>
    <w:p>
      <w:pPr>
        <w:pStyle w:val="null3"/>
        <w:ind w:firstLine="420"/>
      </w:pPr>
      <w:r>
        <w:rPr>
          <w:sz w:val="21"/>
        </w:rPr>
        <w:t>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ind w:firstLine="420"/>
      </w:pPr>
      <w:r>
        <w:rPr>
          <w:sz w:val="21"/>
        </w:rPr>
        <w:t>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pPr>
      <w:r>
        <w:rPr/>
        <w:t>采购包1（广东省江门监狱信息化机房设备购置及改造项目）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1.项目施工安装阶段（4个日历月内完成）：开展本项目建设（含施工安装调试、测试）。 2.项目初验阶段（1个日历月完成）：对项目范围、设备的数量、质量、性能参数等指标进行初验。 3.项目试运行阶段（初验阶段完成后不少于3个日历月）：开展本项目集中学习、培训，进行平台试运行。 4.项目最终验收阶段（试运行完成后进行）：开展本项目的最终验收工作，进入项目维保期。 （注：项目开始时间要以监理签发的开工令为准）</w:t>
            </w:r>
          </w:p>
        </w:tc>
      </w:tr>
      <w:tr>
        <w:tc>
          <w:tcPr>
            <w:tcW w:type="dxa" w:w="4153"/>
          </w:tcPr>
          <w:p>
            <w:pPr>
              <w:pStyle w:val="null3"/>
            </w:pPr>
            <w:r>
              <w:rPr/>
              <w:t>标的提供的地点</w:t>
            </w:r>
          </w:p>
        </w:tc>
        <w:tc>
          <w:tcPr>
            <w:tcW w:type="dxa" w:w="4153"/>
          </w:tcPr>
          <w:p>
            <w:pPr>
              <w:pStyle w:val="null3"/>
            </w:pPr>
            <w:r>
              <w:rPr/>
              <w:t>广东省江门监狱办公大楼、监管区、综合服务大厅。</w:t>
            </w:r>
          </w:p>
        </w:tc>
      </w:tr>
      <w:tr>
        <w:tc>
          <w:tcPr>
            <w:tcW w:type="dxa" w:w="4153"/>
          </w:tcPr>
          <w:p>
            <w:pPr>
              <w:pStyle w:val="null3"/>
            </w:pPr>
            <w:r>
              <w:rPr/>
              <w:t>付款方式</w:t>
            </w:r>
          </w:p>
        </w:tc>
        <w:tc>
          <w:tcPr>
            <w:tcW w:type="dxa" w:w="4153"/>
          </w:tcPr>
          <w:p>
            <w:pPr>
              <w:pStyle w:val="null3"/>
            </w:pPr>
            <w:r>
              <w:rPr/>
              <w:t>1期：支付比例100%,1.采购人收到履约保证金后，成交供应商凭开具的付款申请函、符合国家财务规定的与拟支付金额相等的增值税普通发票向采购人申请付款，采购人收到申请并确认无误后，在10个工作日内将合同总额的30%支付给成交供应商。 2.项目整体建设完成，通过初步验收后，成交供应商凭开具的付款申请函、符合国家财务规定的与拟支付金额相等的增值税普通发票向采购人申请付款，采购人收到申请并确认无误后，在10个工作日内将合同总额的40%支付给成交供应商。 3.项目通过最终验收并完成工程结算审核后，成交供应商凭开具的付款申请函、符合国家财务规定的与拟支付金额相等的增值税普通发票向采购人申请付款，采购人收到申请并确认无误后，在10个工作日内将项目结算金额的全部余款支付给成交供应商。 4.申请最后一期工程款前成交供应商需支付工程质保金，工程质保金按结算定案价的3%收取，自最终验收之日起至维保期3年结束后由采购人一次性无息退还。 注：每期实际支付比例、金额和到账时间以采购人项目年度财政预算资金额度为准。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本项目验收按照《广东省监狱管理局信息化建设项目验收管理办法》的要求组织验收，验收以国家有关规范、招响应文件、项目合同、项目实施方案作为依据，项目验收分初步验收和最终验收，验收须由建设单位、建设单位上级主管部门（若有）、承建单位、监理单位、设计单位等代表参与。 1.初步验收 成交供应商按项目合同、项目实施方案、其他和本项目相关的说明书等进行实施，完成项目整体建设内容，提供项目技术和管理文档等各种相关资料，各功能模块的输出外观评估和内在技术指标符合要求，项目整体达到采购人使用要求并安排上线运行，要求系统可运行正常时，成交供应商才可申请初步验收，并提交采购人签字确认。 2.最终验收 （1）最终验收前，须将初步验收中存在的问题予以整改完成，经采购人确认后，全部系统连续试运行不少于三个月，且运行稳定无重大故障，不影响系统运行稳定的缺陷或漏洞得到及时解决； （2）完成试运行阶段后，确认系统连续运行无障碍且无缺陷或漏洞，所有需求均得到建设和满足，书面提请最终验收申请。 （3）项目整体验收前，需要按照省政务信息化项目管理办法的相关要求，项目建设各方应积极配合完成相关的第三方验收测评等。</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账号：以签订合同时采购人提供的账号为准。</w:t>
            </w:r>
          </w:p>
          <w:p>
            <w:pPr>
              <w:pStyle w:val="null3"/>
            </w:pPr>
            <w:r>
              <w:rPr/>
              <w:t>户名：以签订合同时采购人提供的账号为准。</w:t>
            </w:r>
          </w:p>
          <w:p>
            <w:pPr>
              <w:pStyle w:val="null3"/>
            </w:pPr>
            <w:r>
              <w:rPr/>
              <w:t>开户行：以签订合同时采购人提供的账号为准。</w:t>
            </w:r>
          </w:p>
          <w:p>
            <w:pPr>
              <w:pStyle w:val="null3"/>
            </w:pPr>
            <w:r>
              <w:rPr/>
              <w:t>支票提交方式：线下提交</w:t>
            </w:r>
          </w:p>
          <w:p>
            <w:pPr>
              <w:pStyle w:val="null3"/>
            </w:pPr>
            <w:r>
              <w:rPr/>
              <w:t>汇票、本票提交方式：线下提交</w:t>
            </w:r>
          </w:p>
          <w:p>
            <w:pPr>
              <w:pStyle w:val="null3"/>
            </w:pPr>
            <w:r>
              <w:rPr/>
              <w:t>说明：（1）在成交结果公告发布后5个工作日内，成交供应商按项目合同金额的5%向采购人提交履约保证金（以银行转账或者金融机构、担保机构出具的保函等非现金形式提交）。在项目最终验收且成交供应商无任何未解决的违约或质量问题时，成交供应商凭履约保证金支付回执和退款申请函，向采购人请求退还履约保证金，期间不计利息。采购人在15日内无息退还履约保证金给成交供应商。（2）履约保证金不退还的情形：拒绝履行合同义务的；履约验收不合格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一、报价要求，1.本项目总报价的最高限价为人民币1,159,801.86元（含税），其中安全生产措施费人民币49083.56元，暂列金人民币73,413.48元。总报价超出最高限价按无效报价处理。 ★2.报价方式：本项目采用总价包干的方式进行承包，供应商须报出响应总价，其中安全生产措施费、暂列金为不可竞争费用，供应商在报价中须包含且不得更改该金额，否则其报价无效。 3.供应商应按采购人提供的图纸和工程量清单进行报价。按照国家标准《建设工程工程量清单计价标准》（GB50500-2024）及《广东省建设工程计价通则（2018）》，《关于调整&lt;广东省建设工程计价依据2018 计价规则&gt;的通知》(粤标定函〔2025〕22号)、《关于贯彻执行建设工程工程量清单计价标准及九项专业工程工程量计算标准的实施意见》（粤标定函〔2025〕24号），采用“工程量清单计价办法”。 4.本项目采用竞争性磋商方式采购，须进行第二次报价即最终报价，最终报价以总价进行报价。成交综合单价按最终报价的下浮率计取，下浮率=（第一次报价总价-最终成交总价）/第一次报价总价。第二次报价即最终报价的清单单价若未作说明，则应按最终报价的下浮率统一计算的合理单价。</w:t>
            </w:r>
          </w:p>
          <w:p>
            <w:pPr>
              <w:pStyle w:val="null3"/>
            </w:pPr>
            <w:r>
              <w:rPr/>
              <w:t>二、项目总体要求，★1.凡列入《节能产品政府采购品目清单》的产品在验收时出具节能产品认证证书复印件作为验收依据之一。（提供承诺函，格式自拟） ★2.凡列入《中华人民共和国实施强制性产品认证的产品目录》的产品，在验收时须出具CCC认证证书复印件，并以在产品外部加施认证标志作为验收依据之一。（提供承诺函，格式自拟） 3.成交供应商提供的全部设备是原制造商制造的全新、未曾使用过的产品，整机无污染、无侵权行为、表面无划损、无任何缺陷隐患，其质量、规格及技术特征符合磋商文件的要求，可依常规安全合法使用。 4.成交供应商负责按最终确定的产品规格、型号及配套内容进行供货，及时运到采购人指定交货地点安装调试，确保所有产品达到最佳运行状态，负责对采购操作、维护人员进行培训，指导操作、使用和维修保养，做好售后服务工作。 5.对于影响设备正常工作的必要组成部分，无论在采购技术规范中指出与否，供应商都应提供并在响应文件中明确列出。 6.本项目综合布线系统和机房环境整治工作完成后，相关信息化机房需在初验前通过第三方防雷检测。 7.本项目建设过程中，若出现光纤、电源线、控制线、跳线、光纤模块、电源模块、线槽线管等配套设备、耗品和辅材以现场实际需求为准，费用应包含在项目报价之内，若出现数量不足情况，成交供应商免费补齐，达到使用要求。 8.本项目建设的空调与新风系统、门禁系统、消防系统、动环监测系统、网络交换机系统须包含符合标准的开放式接口，按要求与监狱现有的动环监测系统、门禁系统和交换机系统实现无缝对接，并为后续各系统扩展提供免费的接口和技术交底，保障各系统扩展或对接的技术可行性。</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其他专业施工</w:t>
            </w:r>
          </w:p>
        </w:tc>
        <w:tc>
          <w:tcPr>
            <w:tcW w:type="dxa" w:w="933"/>
          </w:tcPr>
          <w:p>
            <w:pPr>
              <w:pStyle w:val="null3"/>
              <w:jc w:val="left"/>
            </w:pPr>
            <w:r>
              <w:rPr/>
              <w:t>广东省江门监狱信息化机房设备购置及改造项目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1,159,801.86</w:t>
            </w:r>
          </w:p>
        </w:tc>
        <w:tc>
          <w:tcPr>
            <w:tcW w:type="dxa" w:w="933"/>
          </w:tcPr>
          <w:p>
            <w:pPr>
              <w:pStyle w:val="null3"/>
              <w:jc w:val="right"/>
            </w:pPr>
            <w:r>
              <w:rPr/>
              <w:t>1,159,801.86</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广东省江门监狱信息化机房设备购置及改造项目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50"/>
            </w:pPr>
            <w:r>
              <w:rPr>
                <w:sz w:val="28"/>
                <w:b/>
              </w:rPr>
              <w:t>一、项目建设内容</w:t>
            </w:r>
          </w:p>
          <w:p>
            <w:pPr>
              <w:pStyle w:val="null3"/>
            </w:pPr>
            <w:r>
              <w:rPr>
                <w:sz w:val="24"/>
                <w:b/>
              </w:rPr>
              <w:t>1.整体概述</w:t>
            </w:r>
          </w:p>
          <w:p>
            <w:pPr>
              <w:pStyle w:val="null3"/>
              <w:ind w:firstLine="420"/>
            </w:pPr>
            <w:r>
              <w:rPr>
                <w:sz w:val="21"/>
              </w:rPr>
              <w:t>本项目建设包括空调与新风系统、门禁系统、消防系统、动环监测系统、网络交换机系统、综合布线系统及机房环境整治等内容。</w:t>
            </w:r>
          </w:p>
          <w:tbl>
            <w:tblPr>
              <w:tblInd w:type="dxa" w:w="120"/>
              <w:tblBorders>
                <w:top w:val="none" w:color="000000" w:sz="4"/>
                <w:left w:val="none" w:color="000000" w:sz="4"/>
                <w:bottom w:val="none" w:color="000000" w:sz="4"/>
                <w:right w:val="none" w:color="000000" w:sz="4"/>
                <w:insideH w:val="none"/>
                <w:insideV w:val="none"/>
              </w:tblBorders>
            </w:tblPr>
            <w:tblGrid>
              <w:gridCol w:w="305"/>
              <w:gridCol w:w="495"/>
              <w:gridCol w:w="735"/>
              <w:gridCol w:w="381"/>
              <w:gridCol w:w="384"/>
              <w:gridCol w:w="383"/>
              <w:gridCol w:w="383"/>
              <w:gridCol w:w="384"/>
              <w:gridCol w:w="424"/>
              <w:gridCol w:w="427"/>
              <w:gridCol w:w="430"/>
              <w:gridCol w:w="430"/>
              <w:gridCol w:w="434"/>
            </w:tblGrid>
            <w:tr>
              <w:tc>
                <w:tcPr>
                  <w:tcW w:type="dxa" w:w="305"/>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95"/>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区域</w:t>
                  </w:r>
                </w:p>
              </w:tc>
              <w:tc>
                <w:tcPr>
                  <w:tcW w:type="dxa" w:w="735"/>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机房名称</w:t>
                  </w:r>
                </w:p>
              </w:tc>
              <w:tc>
                <w:tcPr>
                  <w:tcW w:type="dxa" w:w="4060"/>
                  <w:gridSpan w:val="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建设内容</w:t>
                  </w:r>
                </w:p>
              </w:tc>
            </w:tr>
            <w:tr>
              <w:tc>
                <w:tcPr>
                  <w:tcW w:type="dxa" w:w="305"/>
                  <w:vMerge/>
                  <w:tcBorders>
                    <w:top w:val="single" w:color="000000" w:sz="4"/>
                    <w:left w:val="single" w:color="000000" w:sz="4"/>
                    <w:bottom w:val="none" w:color="000000" w:sz="4"/>
                    <w:right w:val="single" w:color="000000" w:sz="4"/>
                  </w:tcBorders>
                </w:tcPr>
                <w:p/>
              </w:tc>
              <w:tc>
                <w:tcPr>
                  <w:tcW w:type="dxa" w:w="495"/>
                  <w:vMerge/>
                  <w:tcBorders>
                    <w:top w:val="single" w:color="000000" w:sz="4"/>
                    <w:left w:val="none" w:color="000000" w:sz="4"/>
                    <w:bottom w:val="none" w:color="000000" w:sz="4"/>
                    <w:right w:val="single" w:color="000000" w:sz="4"/>
                  </w:tcBorders>
                </w:tcPr>
                <w:p/>
              </w:tc>
              <w:tc>
                <w:tcPr>
                  <w:tcW w:type="dxa" w:w="735"/>
                  <w:vMerge/>
                  <w:tcBorders>
                    <w:top w:val="single" w:color="000000" w:sz="4"/>
                    <w:left w:val="none" w:color="000000" w:sz="4"/>
                    <w:bottom w:val="none" w:color="000000" w:sz="4"/>
                    <w:right w:val="single" w:color="000000" w:sz="4"/>
                  </w:tcBorders>
                </w:tcPr>
                <w:p/>
              </w:tc>
              <w:tc>
                <w:tcPr>
                  <w:tcW w:type="dxa" w:w="76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空调与新风系统</w:t>
                  </w:r>
                </w:p>
              </w:tc>
              <w:tc>
                <w:tcPr>
                  <w:tcW w:type="dxa" w:w="3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门禁系统</w:t>
                  </w:r>
                </w:p>
              </w:tc>
              <w:tc>
                <w:tcPr>
                  <w:tcW w:type="dxa" w:w="3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消防系统</w:t>
                  </w:r>
                </w:p>
              </w:tc>
              <w:tc>
                <w:tcPr>
                  <w:tcW w:type="dxa" w:w="38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机房配套</w:t>
                  </w:r>
                </w:p>
              </w:tc>
              <w:tc>
                <w:tcPr>
                  <w:tcW w:type="dxa" w:w="851"/>
                  <w:gridSpan w:val="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动环监测系统</w:t>
                  </w:r>
                </w:p>
              </w:tc>
              <w:tc>
                <w:tcPr>
                  <w:tcW w:type="dxa" w:w="86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综合布线系统</w:t>
                  </w:r>
                </w:p>
              </w:tc>
              <w:tc>
                <w:tcPr>
                  <w:tcW w:type="dxa" w:w="43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网络交换机系统</w:t>
                  </w:r>
                </w:p>
              </w:tc>
            </w:tr>
            <w:tr>
              <w:tc>
                <w:tcPr>
                  <w:tcW w:type="dxa" w:w="305"/>
                  <w:vMerge/>
                  <w:tcBorders>
                    <w:top w:val="single" w:color="000000" w:sz="4"/>
                    <w:left w:val="single" w:color="000000" w:sz="4"/>
                    <w:bottom w:val="none" w:color="000000" w:sz="4"/>
                    <w:right w:val="single" w:color="000000" w:sz="4"/>
                  </w:tcBorders>
                </w:tcPr>
                <w:p/>
              </w:tc>
              <w:tc>
                <w:tcPr>
                  <w:tcW w:type="dxa" w:w="495"/>
                  <w:vMerge/>
                  <w:tcBorders>
                    <w:top w:val="single" w:color="000000" w:sz="4"/>
                    <w:left w:val="none" w:color="000000" w:sz="4"/>
                    <w:bottom w:val="none" w:color="000000" w:sz="4"/>
                    <w:right w:val="single" w:color="000000" w:sz="4"/>
                  </w:tcBorders>
                </w:tcPr>
                <w:p/>
              </w:tc>
              <w:tc>
                <w:tcPr>
                  <w:tcW w:type="dxa" w:w="735"/>
                  <w:vMerge/>
                  <w:tcBorders>
                    <w:top w:val="single" w:color="000000" w:sz="4"/>
                    <w:left w:val="none" w:color="000000" w:sz="4"/>
                    <w:bottom w:val="none" w:color="000000" w:sz="4"/>
                    <w:right w:val="single" w:color="000000" w:sz="4"/>
                  </w:tcBorders>
                </w:tcP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空调</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新风</w:t>
                  </w:r>
                </w:p>
              </w:tc>
              <w:tc>
                <w:tcPr>
                  <w:tcW w:type="dxa" w:w="383"/>
                  <w:vMerge/>
                  <w:tcBorders>
                    <w:top w:val="single" w:color="000000" w:sz="4"/>
                    <w:left w:val="none" w:color="000000" w:sz="4"/>
                    <w:bottom w:val="single" w:color="000000" w:sz="4"/>
                    <w:right w:val="single" w:color="000000" w:sz="4"/>
                  </w:tcBorders>
                </w:tcPr>
                <w:p/>
              </w:tc>
              <w:tc>
                <w:tcPr>
                  <w:tcW w:type="dxa" w:w="383"/>
                  <w:vMerge/>
                  <w:tcBorders>
                    <w:top w:val="single" w:color="000000" w:sz="4"/>
                    <w:left w:val="none" w:color="000000" w:sz="4"/>
                    <w:bottom w:val="single" w:color="000000" w:sz="4"/>
                    <w:right w:val="single" w:color="000000" w:sz="4"/>
                  </w:tcBorders>
                </w:tcPr>
                <w:p/>
              </w:tc>
              <w:tc>
                <w:tcPr>
                  <w:tcW w:type="dxa" w:w="384"/>
                  <w:vMerge/>
                  <w:tcBorders>
                    <w:top w:val="single" w:color="000000" w:sz="4"/>
                    <w:left w:val="non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动环前端设备</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动环系统</w:t>
                  </w:r>
                </w:p>
              </w:tc>
              <w:tc>
                <w:tcPr>
                  <w:tcW w:type="dxa" w:w="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线缆梳理</w:t>
                  </w:r>
                </w:p>
              </w:tc>
              <w:tc>
                <w:tcPr>
                  <w:tcW w:type="dxa" w:w="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光纤布放</w:t>
                  </w:r>
                </w:p>
              </w:tc>
              <w:tc>
                <w:tcPr>
                  <w:tcW w:type="dxa" w:w="434"/>
                  <w:vMerge/>
                  <w:tcBorders>
                    <w:top w:val="single" w:color="000000" w:sz="4"/>
                    <w:left w:val="none" w:color="000000" w:sz="4"/>
                    <w:bottom w:val="single" w:color="000000" w:sz="4"/>
                    <w:right w:val="single" w:color="000000" w:sz="4"/>
                  </w:tcBorders>
                </w:tcP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9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监管区大门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AB门机房</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增加闭门器</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9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监管区监舍</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一监区监舍机房</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95"/>
                  <w:vMerge/>
                  <w:tcBorders>
                    <w:top w:val="single" w:color="000000" w:sz="4"/>
                    <w:left w:val="none" w:color="000000" w:sz="4"/>
                    <w:bottom w:val="single" w:color="000000" w:sz="4"/>
                    <w:right w:val="single" w:color="000000" w:sz="4"/>
                  </w:tcBorders>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二监区监舍机房</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95"/>
                  <w:vMerge/>
                  <w:tcBorders>
                    <w:top w:val="single" w:color="000000" w:sz="4"/>
                    <w:left w:val="none" w:color="000000" w:sz="4"/>
                    <w:bottom w:val="single" w:color="000000" w:sz="4"/>
                    <w:right w:val="single" w:color="000000" w:sz="4"/>
                  </w:tcBorders>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三监区监舍机房</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95"/>
                  <w:vMerge/>
                  <w:tcBorders>
                    <w:top w:val="single" w:color="000000" w:sz="4"/>
                    <w:left w:val="none" w:color="000000" w:sz="4"/>
                    <w:bottom w:val="single" w:color="000000" w:sz="4"/>
                    <w:right w:val="single" w:color="000000" w:sz="4"/>
                  </w:tcBorders>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十监区监舍机房</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95"/>
                  <w:vMerge/>
                  <w:tcBorders>
                    <w:top w:val="single" w:color="000000" w:sz="4"/>
                    <w:left w:val="none" w:color="000000" w:sz="4"/>
                    <w:bottom w:val="single" w:color="000000" w:sz="4"/>
                    <w:right w:val="single" w:color="000000" w:sz="4"/>
                  </w:tcBorders>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五监区监舍机房</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95"/>
                  <w:vMerge/>
                  <w:tcBorders>
                    <w:top w:val="single" w:color="000000" w:sz="4"/>
                    <w:left w:val="none" w:color="000000" w:sz="4"/>
                    <w:bottom w:val="single" w:color="000000" w:sz="4"/>
                    <w:right w:val="single" w:color="000000" w:sz="4"/>
                  </w:tcBorders>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六监区监舍机房</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95"/>
                  <w:vMerge/>
                  <w:tcBorders>
                    <w:top w:val="single" w:color="000000" w:sz="4"/>
                    <w:left w:val="none" w:color="000000" w:sz="4"/>
                    <w:bottom w:val="single" w:color="000000" w:sz="4"/>
                    <w:right w:val="single" w:color="000000" w:sz="4"/>
                  </w:tcBorders>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四七监区监舍机房</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95"/>
                  <w:vMerge/>
                  <w:tcBorders>
                    <w:top w:val="single" w:color="000000" w:sz="4"/>
                    <w:left w:val="none" w:color="000000" w:sz="4"/>
                    <w:bottom w:val="single" w:color="000000" w:sz="4"/>
                    <w:right w:val="single" w:color="000000" w:sz="4"/>
                  </w:tcBorders>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八九监区监舍机房</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95"/>
                  <w:vMerge/>
                  <w:tcBorders>
                    <w:top w:val="single" w:color="000000" w:sz="4"/>
                    <w:left w:val="none" w:color="000000" w:sz="4"/>
                    <w:bottom w:val="single" w:color="000000" w:sz="4"/>
                    <w:right w:val="single" w:color="000000" w:sz="4"/>
                  </w:tcBorders>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特管特教分监区机房</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95"/>
                  <w:vMerge/>
                  <w:tcBorders>
                    <w:top w:val="single" w:color="000000" w:sz="4"/>
                    <w:left w:val="none" w:color="000000" w:sz="4"/>
                    <w:bottom w:val="single" w:color="000000" w:sz="4"/>
                    <w:right w:val="single" w:color="000000" w:sz="4"/>
                  </w:tcBorders>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伙房机房</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95"/>
                  <w:vMerge/>
                  <w:tcBorders>
                    <w:top w:val="single" w:color="000000" w:sz="4"/>
                    <w:left w:val="none" w:color="000000" w:sz="4"/>
                    <w:bottom w:val="single" w:color="000000" w:sz="4"/>
                    <w:right w:val="single" w:color="000000" w:sz="4"/>
                  </w:tcBorders>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医院监区机房</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综合服务大厅</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二层机房</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办公大楼</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二层旧机房</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95"/>
                  <w:vMerge/>
                  <w:tcBorders>
                    <w:top w:val="none" w:color="000000" w:sz="4"/>
                    <w:left w:val="none" w:color="000000" w:sz="4"/>
                    <w:bottom w:val="single" w:color="000000" w:sz="4"/>
                    <w:right w:val="single" w:color="000000" w:sz="4"/>
                  </w:tcBorders>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指挥中心大屏后设备间</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95"/>
                  <w:vMerge/>
                  <w:tcBorders>
                    <w:top w:val="none" w:color="000000" w:sz="4"/>
                    <w:left w:val="none" w:color="000000" w:sz="4"/>
                    <w:bottom w:val="single" w:color="000000" w:sz="4"/>
                    <w:right w:val="single" w:color="000000" w:sz="4"/>
                  </w:tcBorders>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1F-5F左右配线间</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监管区厂房</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1#至6#厂房机房</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bl>
          <w:p>
            <w:pPr>
              <w:pStyle w:val="null3"/>
              <w:spacing w:before="150"/>
              <w:ind w:firstLine="420"/>
            </w:pPr>
            <w:r>
              <w:rPr>
                <w:sz w:val="21"/>
              </w:rPr>
              <w:t>涉及布局变化的机房平面图如下：</w:t>
            </w:r>
          </w:p>
          <w:p>
            <w:pPr>
              <w:pStyle w:val="null3"/>
              <w:spacing w:before="150"/>
              <w:ind w:firstLine="420"/>
              <w:jc w:val="center"/>
            </w:pPr>
            <w:r>
              <w:drawing>
                <wp:inline distT="0" distR="0" distB="0" distL="0">
                  <wp:extent cx="3554730" cy="2258127"/>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3554730" cy="2258127"/>
                          </a:xfrm>
                          <a:prstGeom prst="rect">
                            <a:avLst/>
                          </a:prstGeom>
                        </pic:spPr>
                      </pic:pic>
                    </a:graphicData>
                  </a:graphic>
                </wp:inline>
              </w:drawing>
            </w:r>
          </w:p>
          <w:p>
            <w:pPr>
              <w:pStyle w:val="null3"/>
              <w:jc w:val="center"/>
            </w:pPr>
            <w:r>
              <w:rPr>
                <w:sz w:val="21"/>
              </w:rPr>
              <w:t>图</w:t>
            </w:r>
            <w:r>
              <w:rPr>
                <w:sz w:val="21"/>
              </w:rPr>
              <w:t>1  AB门机房平面布局图</w:t>
            </w:r>
          </w:p>
          <w:p>
            <w:pPr>
              <w:pStyle w:val="null3"/>
              <w:jc w:val="center"/>
            </w:pPr>
            <w:r>
              <w:drawing>
                <wp:inline distT="0" distR="0" distB="0" distL="0">
                  <wp:extent cx="3554730" cy="1517262"/>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3554730" cy="1517262"/>
                          </a:xfrm>
                          <a:prstGeom prst="rect">
                            <a:avLst/>
                          </a:prstGeom>
                        </pic:spPr>
                      </pic:pic>
                    </a:graphicData>
                  </a:graphic>
                </wp:inline>
              </w:drawing>
            </w:r>
          </w:p>
          <w:p>
            <w:pPr>
              <w:pStyle w:val="null3"/>
              <w:ind w:firstLine="420"/>
              <w:jc w:val="center"/>
            </w:pPr>
            <w:r>
              <w:rPr>
                <w:sz w:val="21"/>
              </w:rPr>
              <w:t>图</w:t>
            </w:r>
            <w:r>
              <w:rPr>
                <w:sz w:val="21"/>
              </w:rPr>
              <w:t>2  一、二、三、十监区监舍机房平面布局图</w:t>
            </w:r>
          </w:p>
          <w:p>
            <w:pPr>
              <w:pStyle w:val="null3"/>
              <w:ind w:firstLine="420"/>
              <w:jc w:val="center"/>
            </w:pPr>
            <w:r>
              <w:drawing>
                <wp:inline distT="0" distR="0" distB="0" distL="0">
                  <wp:extent cx="3554730" cy="1849281"/>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7"/>
                          <a:stretch>
                            <a:fillRect/>
                          </a:stretch>
                        </pic:blipFill>
                        <pic:spPr>
                          <a:xfrm>
                            <a:off x="0" y="0"/>
                            <a:ext cx="3554730" cy="1849281"/>
                          </a:xfrm>
                          <a:prstGeom prst="rect">
                            <a:avLst/>
                          </a:prstGeom>
                        </pic:spPr>
                      </pic:pic>
                    </a:graphicData>
                  </a:graphic>
                </wp:inline>
              </w:drawing>
            </w:r>
          </w:p>
          <w:p>
            <w:pPr>
              <w:pStyle w:val="null3"/>
              <w:jc w:val="center"/>
            </w:pPr>
            <w:r>
              <w:rPr>
                <w:sz w:val="21"/>
              </w:rPr>
              <w:t>图</w:t>
            </w:r>
            <w:r>
              <w:rPr>
                <w:sz w:val="21"/>
              </w:rPr>
              <w:t>3  四七、五、六监区监舍机房平面布局图</w:t>
            </w:r>
          </w:p>
          <w:p>
            <w:pPr>
              <w:pStyle w:val="null3"/>
              <w:jc w:val="center"/>
            </w:pPr>
            <w:r>
              <w:drawing>
                <wp:inline distT="0" distR="0" distB="0" distL="0">
                  <wp:extent cx="3554730" cy="1938293"/>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8"/>
                          <a:stretch>
                            <a:fillRect/>
                          </a:stretch>
                        </pic:blipFill>
                        <pic:spPr>
                          <a:xfrm>
                            <a:off x="0" y="0"/>
                            <a:ext cx="3554730" cy="1938293"/>
                          </a:xfrm>
                          <a:prstGeom prst="rect">
                            <a:avLst/>
                          </a:prstGeom>
                        </pic:spPr>
                      </pic:pic>
                    </a:graphicData>
                  </a:graphic>
                </wp:inline>
              </w:drawing>
            </w:r>
          </w:p>
          <w:p>
            <w:pPr>
              <w:pStyle w:val="null3"/>
              <w:jc w:val="center"/>
            </w:pPr>
            <w:r>
              <w:rPr>
                <w:sz w:val="21"/>
              </w:rPr>
              <w:t>图</w:t>
            </w:r>
            <w:r>
              <w:rPr>
                <w:sz w:val="21"/>
              </w:rPr>
              <w:t>4  八九监区监舍机房平面布局图</w:t>
            </w:r>
          </w:p>
          <w:p>
            <w:pPr>
              <w:pStyle w:val="null3"/>
              <w:jc w:val="center"/>
            </w:pPr>
            <w:r>
              <w:drawing>
                <wp:inline distT="0" distR="0" distB="0" distL="0">
                  <wp:extent cx="3554730" cy="2458688"/>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9"/>
                          <a:stretch>
                            <a:fillRect/>
                          </a:stretch>
                        </pic:blipFill>
                        <pic:spPr>
                          <a:xfrm>
                            <a:off x="0" y="0"/>
                            <a:ext cx="3554730" cy="2458688"/>
                          </a:xfrm>
                          <a:prstGeom prst="rect">
                            <a:avLst/>
                          </a:prstGeom>
                        </pic:spPr>
                      </pic:pic>
                    </a:graphicData>
                  </a:graphic>
                </wp:inline>
              </w:drawing>
            </w:r>
          </w:p>
          <w:p>
            <w:pPr>
              <w:pStyle w:val="null3"/>
              <w:jc w:val="center"/>
            </w:pPr>
            <w:r>
              <w:rPr>
                <w:sz w:val="21"/>
              </w:rPr>
              <w:t>图</w:t>
            </w:r>
            <w:r>
              <w:rPr>
                <w:sz w:val="21"/>
              </w:rPr>
              <w:t>5  特管特教分监区机房平面布局图</w:t>
            </w:r>
          </w:p>
          <w:p>
            <w:pPr>
              <w:pStyle w:val="null3"/>
              <w:jc w:val="center"/>
            </w:pPr>
            <w:r>
              <w:drawing>
                <wp:inline distT="0" distR="0" distB="0" distL="0">
                  <wp:extent cx="3554730" cy="4288702"/>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0"/>
                          <a:stretch>
                            <a:fillRect/>
                          </a:stretch>
                        </pic:blipFill>
                        <pic:spPr>
                          <a:xfrm>
                            <a:off x="0" y="0"/>
                            <a:ext cx="3554730" cy="4288702"/>
                          </a:xfrm>
                          <a:prstGeom prst="rect">
                            <a:avLst/>
                          </a:prstGeom>
                        </pic:spPr>
                      </pic:pic>
                    </a:graphicData>
                  </a:graphic>
                </wp:inline>
              </w:drawing>
            </w:r>
          </w:p>
          <w:p>
            <w:pPr>
              <w:pStyle w:val="null3"/>
              <w:jc w:val="center"/>
            </w:pPr>
            <w:r>
              <w:rPr>
                <w:sz w:val="21"/>
              </w:rPr>
              <w:t>图</w:t>
            </w:r>
            <w:r>
              <w:rPr>
                <w:sz w:val="21"/>
              </w:rPr>
              <w:t>6  伙房机房平面布局图</w:t>
            </w:r>
          </w:p>
          <w:p>
            <w:pPr>
              <w:pStyle w:val="null3"/>
              <w:jc w:val="center"/>
            </w:pPr>
            <w:r>
              <w:drawing>
                <wp:inline distT="0" distR="0" distB="0" distL="0">
                  <wp:extent cx="3554730" cy="3685900"/>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11"/>
                          <a:stretch>
                            <a:fillRect/>
                          </a:stretch>
                        </pic:blipFill>
                        <pic:spPr>
                          <a:xfrm>
                            <a:off x="0" y="0"/>
                            <a:ext cx="3554730" cy="3685900"/>
                          </a:xfrm>
                          <a:prstGeom prst="rect">
                            <a:avLst/>
                          </a:prstGeom>
                        </pic:spPr>
                      </pic:pic>
                    </a:graphicData>
                  </a:graphic>
                </wp:inline>
              </w:drawing>
            </w:r>
          </w:p>
          <w:p>
            <w:pPr>
              <w:pStyle w:val="null3"/>
              <w:jc w:val="center"/>
            </w:pPr>
            <w:r>
              <w:rPr>
                <w:sz w:val="21"/>
              </w:rPr>
              <w:t xml:space="preserve"> 图7  综合服务大厅二层机房平面布局图</w:t>
            </w:r>
          </w:p>
          <w:p>
            <w:pPr>
              <w:pStyle w:val="null3"/>
              <w:ind w:firstLine="420"/>
              <w:jc w:val="center"/>
            </w:pPr>
            <w:r>
              <w:drawing>
                <wp:inline distT="0" distR="0" distB="0" distL="0">
                  <wp:extent cx="3554730" cy="3041893"/>
                  <wp:docPr id="8" name="Drawing 8" descr="img"/>
                  <a:graphic xmlns:a="http://schemas.openxmlformats.org/drawingml/2006/main">
                    <a:graphicData uri="http://schemas.openxmlformats.org/drawingml/2006/picture">
                      <pic:pic xmlns:pic="http://schemas.openxmlformats.org/drawingml/2006/picture">
                        <pic:nvPicPr>
                          <pic:cNvPr id="0" name="Picture 8" descr="img"/>
                          <pic:cNvPicPr>
                            <a:picLocks noChangeAspect="true"/>
                          </pic:cNvPicPr>
                        </pic:nvPicPr>
                        <pic:blipFill>
                          <a:blip r:embed="rId12"/>
                          <a:stretch>
                            <a:fillRect/>
                          </a:stretch>
                        </pic:blipFill>
                        <pic:spPr>
                          <a:xfrm>
                            <a:off x="0" y="0"/>
                            <a:ext cx="3554730" cy="3041893"/>
                          </a:xfrm>
                          <a:prstGeom prst="rect">
                            <a:avLst/>
                          </a:prstGeom>
                        </pic:spPr>
                      </pic:pic>
                    </a:graphicData>
                  </a:graphic>
                </wp:inline>
              </w:drawing>
            </w:r>
          </w:p>
          <w:p>
            <w:pPr>
              <w:pStyle w:val="null3"/>
              <w:jc w:val="center"/>
            </w:pPr>
            <w:r>
              <w:rPr>
                <w:sz w:val="21"/>
              </w:rPr>
              <w:t>图</w:t>
            </w:r>
            <w:r>
              <w:rPr>
                <w:sz w:val="21"/>
              </w:rPr>
              <w:t>8  办公大楼二层旧机房平面布局图</w:t>
            </w:r>
          </w:p>
          <w:p>
            <w:pPr>
              <w:pStyle w:val="null3"/>
              <w:jc w:val="center"/>
            </w:pPr>
            <w:r>
              <w:drawing>
                <wp:inline distT="0" distR="0" distB="0" distL="0">
                  <wp:extent cx="3554730" cy="811806"/>
                  <wp:docPr id="9" name="Drawing 9" descr="img"/>
                  <a:graphic xmlns:a="http://schemas.openxmlformats.org/drawingml/2006/main">
                    <a:graphicData uri="http://schemas.openxmlformats.org/drawingml/2006/picture">
                      <pic:pic xmlns:pic="http://schemas.openxmlformats.org/drawingml/2006/picture">
                        <pic:nvPicPr>
                          <pic:cNvPr id="0" name="Picture 9" descr="img"/>
                          <pic:cNvPicPr>
                            <a:picLocks noChangeAspect="true"/>
                          </pic:cNvPicPr>
                        </pic:nvPicPr>
                        <pic:blipFill>
                          <a:blip r:embed="rId13"/>
                          <a:stretch>
                            <a:fillRect/>
                          </a:stretch>
                        </pic:blipFill>
                        <pic:spPr>
                          <a:xfrm>
                            <a:off x="0" y="0"/>
                            <a:ext cx="3554730" cy="811806"/>
                          </a:xfrm>
                          <a:prstGeom prst="rect">
                            <a:avLst/>
                          </a:prstGeom>
                        </pic:spPr>
                      </pic:pic>
                    </a:graphicData>
                  </a:graphic>
                </wp:inline>
              </w:drawing>
            </w:r>
          </w:p>
          <w:p>
            <w:pPr>
              <w:pStyle w:val="null3"/>
              <w:jc w:val="center"/>
            </w:pPr>
            <w:r>
              <w:rPr>
                <w:sz w:val="21"/>
              </w:rPr>
              <w:t>图</w:t>
            </w:r>
            <w:r>
              <w:rPr>
                <w:sz w:val="21"/>
              </w:rPr>
              <w:t>9  指挥中心大屏后设备间平面布局图</w:t>
            </w:r>
          </w:p>
          <w:p>
            <w:pPr>
              <w:pStyle w:val="null3"/>
            </w:pPr>
            <w:r>
              <w:rPr>
                <w:sz w:val="24"/>
                <w:b/>
              </w:rPr>
              <w:t>2.各系统简述</w:t>
            </w:r>
          </w:p>
          <w:p>
            <w:pPr>
              <w:pStyle w:val="null3"/>
            </w:pPr>
            <w:r>
              <w:rPr>
                <w:sz w:val="21"/>
                <w:b/>
              </w:rPr>
              <w:t>（</w:t>
            </w:r>
            <w:r>
              <w:rPr>
                <w:sz w:val="21"/>
                <w:b/>
              </w:rPr>
              <w:t>1）空调与新风系统</w:t>
            </w:r>
          </w:p>
          <w:p>
            <w:pPr>
              <w:pStyle w:val="null3"/>
              <w:ind w:firstLine="420"/>
            </w:pPr>
            <w:r>
              <w:rPr>
                <w:sz w:val="21"/>
              </w:rPr>
              <w:t>空调与新风系统是信息化机房环境传感和控制的重要设施，可实现环境参数精密感知、制冷容量动态适配和气流组织管理。本项目空调与新风系统主要建设于监管区监舍伙房机房、办公大楼二层旧机房、综合服务大厅二层机房，在办公楼二层旧机房安装</w:t>
            </w:r>
            <w:r>
              <w:rPr>
                <w:sz w:val="21"/>
              </w:rPr>
              <w:t>2套精密空调和1套新风系统。</w:t>
            </w:r>
          </w:p>
          <w:p>
            <w:pPr>
              <w:pStyle w:val="null3"/>
              <w:ind w:firstLine="420"/>
            </w:pPr>
            <w:r>
              <w:rPr>
                <w:sz w:val="21"/>
              </w:rPr>
              <w:t>新建系统和设备应满足本项目相关信息化机房内温湿度调控要求，排出信息化机房内设备及其他热源所散发的热量，维持机房内恒温恒湿状态，控制机房的空气含尘量，因此，系统需具有良好的送风、回风、加热、加湿、冷却、减湿和空气净化的能力。</w:t>
            </w:r>
          </w:p>
          <w:p>
            <w:pPr>
              <w:pStyle w:val="null3"/>
            </w:pPr>
            <w:r>
              <w:rPr>
                <w:sz w:val="21"/>
                <w:b/>
              </w:rPr>
              <w:t>（</w:t>
            </w:r>
            <w:r>
              <w:rPr>
                <w:sz w:val="21"/>
                <w:b/>
              </w:rPr>
              <w:t>2）门禁系统</w:t>
            </w:r>
          </w:p>
          <w:p>
            <w:pPr>
              <w:pStyle w:val="null3"/>
              <w:ind w:firstLine="420"/>
            </w:pPr>
            <w:r>
              <w:rPr>
                <w:sz w:val="21"/>
              </w:rPr>
              <w:t>门禁控制是信息技术、电子通讯技术发展的产物，是实现安全防范管理的有效措施，可实现信息采集和出入权限管控，门禁系统分为两部分，一是控制装置，二是前端装置。控制装置包括门禁控制器以及附设门禁控制系统软件的工作站终端，前端设备包括密码二合一的读卡器（主要采用刷卡方式进出）、电磁锁及出门按钮。</w:t>
            </w:r>
          </w:p>
          <w:p>
            <w:pPr>
              <w:pStyle w:val="null3"/>
              <w:ind w:firstLine="420"/>
            </w:pPr>
            <w:r>
              <w:rPr>
                <w:sz w:val="21"/>
              </w:rPr>
              <w:t>本项目门禁系统主要建设于办公楼二层旧机房、综合服务大厅二层机房、指挥中心大屏后设备间等区域，建设</w:t>
            </w:r>
            <w:r>
              <w:rPr>
                <w:sz w:val="21"/>
              </w:rPr>
              <w:t>3套门禁和1个闭门器，属于门禁前端设备补点建设，主要负责对安全防范区域内重要通道的人员出入控制管理及出入信息记录、查询、统计等多种功能，与监狱原有门禁管理系统进行对接兼容，支持一卡通，实现身份识别、比对、人员出入管控的目标，强化信息化机房的出入管控。</w:t>
            </w:r>
          </w:p>
          <w:p>
            <w:pPr>
              <w:pStyle w:val="null3"/>
            </w:pPr>
            <w:r>
              <w:rPr>
                <w:sz w:val="21"/>
                <w:b/>
              </w:rPr>
              <w:t>（</w:t>
            </w:r>
            <w:r>
              <w:rPr>
                <w:sz w:val="21"/>
                <w:b/>
              </w:rPr>
              <w:t>3）消防系统</w:t>
            </w:r>
          </w:p>
          <w:p>
            <w:pPr>
              <w:pStyle w:val="null3"/>
              <w:ind w:firstLine="420"/>
            </w:pPr>
            <w:r>
              <w:rPr>
                <w:sz w:val="21"/>
              </w:rPr>
              <w:t>根据《建筑内部装修设计防火规范》</w:t>
            </w:r>
            <w:r>
              <w:rPr>
                <w:sz w:val="21"/>
              </w:rPr>
              <w:t>[GB50222-2017]中规定，大中型电子计算机房、中央控制室等放置特殊贵重设备的房间，其装修应采用不低于B1级的装修材料，应设气体灭火系统，信息化机房中有大量的信息化设施设备，存储重点数据资料，消防系统是确保机房设备的安全运行必要保证。</w:t>
            </w:r>
          </w:p>
          <w:p>
            <w:pPr>
              <w:pStyle w:val="null3"/>
              <w:ind w:firstLine="420"/>
            </w:pPr>
            <w:r>
              <w:rPr>
                <w:sz w:val="21"/>
              </w:rPr>
              <w:t>本项目消防系统主要建设于办公楼二层旧机房、综合服务大厅二层机房等区域，共建设</w:t>
            </w:r>
            <w:r>
              <w:rPr>
                <w:sz w:val="21"/>
              </w:rPr>
              <w:t>2套消防系统，其中，在办公大楼二层机房建设一套七氟丙烷柜式气体灭火系统，其中2台消防装置安装在办公大楼二层机房，1台安装在指挥中心大屏后设备间；在综合服务大厅二层机房设置一套悬挂式七氟丙烷灭火装置，配备齐全的温感、烟感、控制单元等设施，实现自动或手动启动功能。通过完善消防设施，使用化学性能稳定、灭火速度快、毒性和腐蚀性小、具有良好的贮存性和灭火效能的灭火设备，补全相应的消防报警和控制设备，实现对信息化机房消防安全的保护作用。</w:t>
            </w:r>
          </w:p>
          <w:p>
            <w:pPr>
              <w:pStyle w:val="null3"/>
            </w:pPr>
            <w:r>
              <w:rPr>
                <w:sz w:val="21"/>
                <w:b/>
              </w:rPr>
              <w:t>（</w:t>
            </w:r>
            <w:r>
              <w:rPr>
                <w:sz w:val="21"/>
                <w:b/>
              </w:rPr>
              <w:t>4）动环监测系统</w:t>
            </w:r>
          </w:p>
          <w:p>
            <w:pPr>
              <w:pStyle w:val="null3"/>
              <w:ind w:firstLine="420"/>
            </w:pPr>
            <w:r>
              <w:rPr>
                <w:sz w:val="21"/>
              </w:rPr>
              <w:t>依据《数据中心设计规范》</w:t>
            </w:r>
            <w:r>
              <w:rPr>
                <w:sz w:val="21"/>
              </w:rPr>
              <w:t>GB50174-2017相关标准，动环监测系统须满足：监测和控制信息化机房和辅助区的温度、露点温度或相对湿度等环境参数；监测信息化设备的运行状态和能耗；监测漏水情况并实现强制排水；监测专用空调设备、不间断电源系统等设备运行情况；紧急情况时，出入口控制系统应能接受相关系统的联动控制信号，打开机房的门禁系统。</w:t>
            </w:r>
          </w:p>
          <w:p>
            <w:pPr>
              <w:pStyle w:val="null3"/>
              <w:ind w:firstLine="420"/>
            </w:pPr>
            <w:r>
              <w:rPr>
                <w:sz w:val="21"/>
              </w:rPr>
              <w:t>本项目动环监测系统主要涉及办公楼二层旧机房、综合服务大厅二层机房和监管区内各机房等区域，具体建设内容为：在办公楼二层旧机房建设</w:t>
            </w:r>
            <w:r>
              <w:rPr>
                <w:sz w:val="21"/>
              </w:rPr>
              <w:t>1套动环系统，搭配动环前端监测设备，主要监测对象包括：</w:t>
            </w:r>
          </w:p>
          <w:p>
            <w:pPr>
              <w:pStyle w:val="null3"/>
              <w:ind w:firstLine="420"/>
            </w:pPr>
            <w:r>
              <w:rPr>
                <w:sz w:val="21"/>
              </w:rPr>
              <w:t>1）动力监测部分</w:t>
            </w:r>
          </w:p>
          <w:p>
            <w:pPr>
              <w:pStyle w:val="null3"/>
              <w:ind w:firstLine="420"/>
            </w:pPr>
            <w:r>
              <w:rPr>
                <w:sz w:val="21"/>
              </w:rPr>
              <w:t>精密列头柜：监测配电柜内的供电输入参数，各支路配电开关状态及负载电流等。</w:t>
            </w:r>
            <w:r>
              <w:rPr>
                <w:sz w:val="21"/>
              </w:rPr>
              <w:t>UPS：监测UPS的输入、输出电流、电压、频率、温度、旁路等运行参数和工作状态。单体电池监测：监测单体电池电压、内阻和负极温度等参数。</w:t>
            </w:r>
          </w:p>
          <w:p>
            <w:pPr>
              <w:pStyle w:val="null3"/>
              <w:ind w:firstLine="420"/>
            </w:pPr>
            <w:r>
              <w:rPr>
                <w:sz w:val="21"/>
              </w:rPr>
              <w:t>2）环境监测部分</w:t>
            </w:r>
          </w:p>
          <w:p>
            <w:pPr>
              <w:pStyle w:val="null3"/>
              <w:ind w:firstLine="420"/>
            </w:pPr>
            <w:r>
              <w:rPr>
                <w:sz w:val="21"/>
              </w:rPr>
              <w:t>精密空调：监测精密空调的运行参数及状态，并可实现远程开关机启停控制和参数设置。温湿度：监测机房内重要区域的温度、湿度数值及变化情况。漏水：区域式漏水，漏水感应绳，监测机房内空调四周有无漏水发生。</w:t>
            </w:r>
          </w:p>
          <w:p>
            <w:pPr>
              <w:pStyle w:val="null3"/>
              <w:ind w:firstLine="420"/>
            </w:pPr>
            <w:r>
              <w:rPr>
                <w:sz w:val="21"/>
              </w:rPr>
              <w:t>3）安防设施部分</w:t>
            </w:r>
          </w:p>
          <w:p>
            <w:pPr>
              <w:pStyle w:val="null3"/>
              <w:ind w:firstLine="420"/>
            </w:pPr>
            <w:r>
              <w:rPr>
                <w:sz w:val="21"/>
              </w:rPr>
              <w:t>门禁系统：监测门禁状态。</w:t>
            </w:r>
          </w:p>
          <w:p>
            <w:pPr>
              <w:pStyle w:val="null3"/>
              <w:ind w:firstLine="420"/>
            </w:pPr>
            <w:r>
              <w:rPr>
                <w:sz w:val="21"/>
              </w:rPr>
              <w:t>消防系统：监测消防干接点火警信号。</w:t>
            </w:r>
          </w:p>
          <w:p>
            <w:pPr>
              <w:pStyle w:val="null3"/>
              <w:ind w:firstLine="420"/>
            </w:pPr>
            <w:r>
              <w:rPr>
                <w:sz w:val="21"/>
              </w:rPr>
              <w:t>动环系统整体架构图如下：</w:t>
            </w:r>
          </w:p>
          <w:p>
            <w:pPr>
              <w:pStyle w:val="null3"/>
              <w:ind w:firstLine="420"/>
              <w:jc w:val="center"/>
            </w:pPr>
            <w:r>
              <w:drawing>
                <wp:inline distT="0" distR="0" distB="0" distL="0">
                  <wp:extent cx="3554730" cy="2533756"/>
                  <wp:docPr id="10" name="Drawing 10" descr="img"/>
                  <a:graphic xmlns:a="http://schemas.openxmlformats.org/drawingml/2006/main">
                    <a:graphicData uri="http://schemas.openxmlformats.org/drawingml/2006/picture">
                      <pic:pic xmlns:pic="http://schemas.openxmlformats.org/drawingml/2006/picture">
                        <pic:nvPicPr>
                          <pic:cNvPr id="0" name="Picture 10" descr="img"/>
                          <pic:cNvPicPr>
                            <a:picLocks noChangeAspect="true"/>
                          </pic:cNvPicPr>
                        </pic:nvPicPr>
                        <pic:blipFill>
                          <a:blip r:embed="rId14"/>
                          <a:stretch>
                            <a:fillRect/>
                          </a:stretch>
                        </pic:blipFill>
                        <pic:spPr>
                          <a:xfrm>
                            <a:off x="0" y="0"/>
                            <a:ext cx="3554730" cy="2533756"/>
                          </a:xfrm>
                          <a:prstGeom prst="rect">
                            <a:avLst/>
                          </a:prstGeom>
                        </pic:spPr>
                      </pic:pic>
                    </a:graphicData>
                  </a:graphic>
                </wp:inline>
              </w:drawing>
            </w:r>
          </w:p>
          <w:p>
            <w:pPr>
              <w:pStyle w:val="null3"/>
              <w:ind w:firstLine="420"/>
            </w:pPr>
            <w:r>
              <w:rPr>
                <w:sz w:val="21"/>
              </w:rPr>
              <w:t>此外，需新建综合服务大厅二层机房和办公楼指挥中心大屏后设备间的温湿度、烟感、漏水、</w:t>
            </w:r>
            <w:r>
              <w:rPr>
                <w:sz w:val="21"/>
              </w:rPr>
              <w:t>UPS监测等动环前端设备，并将一监区监舍机房、二监区监舍机房、三监区监舍机房、四七监区监舍机房、五监区监舍机房、六监区监舍机房、八九监区监舍机房、十监区监舍机房、特管特教机房、伙房机房、AB门机房、综合服务大厅二层机房的UPS系统接入现有动环系统。</w:t>
            </w:r>
          </w:p>
          <w:p>
            <w:pPr>
              <w:pStyle w:val="null3"/>
              <w:ind w:firstLine="420"/>
            </w:pPr>
            <w:r>
              <w:rPr>
                <w:sz w:val="21"/>
              </w:rPr>
              <w:t>监测系统实现对动力系统、空调系统、环境监测系统、安防系统的全面监测，应具有稳定运行、操作方便、扩展性强的特点，可与监狱原有动环监测管理系统进行对接，提升机房管理无人化、智能化水平，能及时提醒管理员进行有效管理，保证机房的安全性和运行可靠性。</w:t>
            </w:r>
          </w:p>
          <w:p>
            <w:pPr>
              <w:pStyle w:val="null3"/>
            </w:pPr>
            <w:r>
              <w:rPr>
                <w:sz w:val="21"/>
                <w:b/>
              </w:rPr>
              <w:t>（</w:t>
            </w:r>
            <w:r>
              <w:rPr>
                <w:sz w:val="21"/>
                <w:b/>
              </w:rPr>
              <w:t>5）网络交换机系统</w:t>
            </w:r>
          </w:p>
          <w:p>
            <w:pPr>
              <w:pStyle w:val="null3"/>
              <w:ind w:firstLine="420"/>
            </w:pPr>
            <w:r>
              <w:rPr>
                <w:sz w:val="21"/>
              </w:rPr>
              <w:t>本项目网络交换机系统建设，主要包括对各信息化机房的老旧交换机进行更新升级，通过更高性能的</w:t>
            </w:r>
            <w:r>
              <w:rPr>
                <w:sz w:val="21"/>
              </w:rPr>
              <w:t>48口网络交换机，降低网络延迟，减少丢包情况，提高网络传输速率，保障网络环境的稳定性和业务的连续性与安全性，便于信息化机房网络层面的精细化管理，具体建设点位见下表。</w:t>
            </w:r>
          </w:p>
          <w:tbl>
            <w:tblPr>
              <w:tblInd w:type="dxa" w:w="120"/>
              <w:tblBorders>
                <w:top w:val="none" w:color="000000" w:sz="4"/>
                <w:left w:val="none" w:color="000000" w:sz="4"/>
                <w:bottom w:val="none" w:color="000000" w:sz="4"/>
                <w:right w:val="none" w:color="000000" w:sz="4"/>
                <w:insideH w:val="none"/>
                <w:insideV w:val="none"/>
              </w:tblBorders>
            </w:tblPr>
            <w:tblGrid>
              <w:gridCol w:w="591"/>
              <w:gridCol w:w="1667"/>
              <w:gridCol w:w="2439"/>
              <w:gridCol w:w="482"/>
              <w:gridCol w:w="419"/>
            </w:tblGrid>
            <w:tr>
              <w:tc>
                <w:tcPr>
                  <w:tcW w:type="dxa" w:w="559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网络交换机系统建设点位</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机房名称</w:t>
                  </w:r>
                </w:p>
              </w:tc>
              <w:tc>
                <w:tcPr>
                  <w:tcW w:type="dxa" w:w="2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4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一、监管区厂房</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6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1#至6#厂房机房</w:t>
                  </w:r>
                </w:p>
              </w:tc>
              <w:tc>
                <w:tcPr>
                  <w:tcW w:type="dxa" w:w="2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48口交换机（每个机房各1台，含光纤模块）</w:t>
                  </w:r>
                </w:p>
              </w:tc>
              <w:tc>
                <w:tcPr>
                  <w:tcW w:type="dxa" w:w="48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41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67"/>
                  <w:vMerge/>
                  <w:tcBorders>
                    <w:top w:val="single" w:color="000000" w:sz="4"/>
                    <w:left w:val="single" w:color="000000" w:sz="4"/>
                    <w:bottom w:val="single" w:color="000000" w:sz="4"/>
                    <w:right w:val="single" w:color="000000" w:sz="4"/>
                  </w:tcBorders>
                </w:tcPr>
                <w:p/>
              </w:tc>
              <w:tc>
                <w:tcPr>
                  <w:tcW w:type="dxa" w:w="2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电源模块（每台交换机配</w:t>
                  </w:r>
                  <w:r>
                    <w:rPr>
                      <w:sz w:val="21"/>
                    </w:rPr>
                    <w:t>2个）</w:t>
                  </w:r>
                </w:p>
              </w:tc>
              <w:tc>
                <w:tcPr>
                  <w:tcW w:type="dxa" w:w="4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二、监管区监舍</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医院监区机房</w:t>
                  </w:r>
                </w:p>
              </w:tc>
              <w:tc>
                <w:tcPr>
                  <w:tcW w:type="dxa" w:w="243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48口交换机</w:t>
                  </w:r>
                </w:p>
              </w:tc>
              <w:tc>
                <w:tcPr>
                  <w:tcW w:type="dxa" w:w="48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41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一监舍机房</w:t>
                  </w:r>
                </w:p>
              </w:tc>
              <w:tc>
                <w:tcPr>
                  <w:tcW w:type="dxa" w:w="2439"/>
                  <w:vMerge/>
                  <w:tcBorders>
                    <w:top w:val="single" w:color="000000" w:sz="4"/>
                    <w:left w:val="single" w:color="000000" w:sz="4"/>
                    <w:bottom w:val="single" w:color="000000" w:sz="4"/>
                    <w:right w:val="single" w:color="000000" w:sz="4"/>
                  </w:tcBorders>
                </w:tcPr>
                <w:p/>
              </w:tc>
              <w:tc>
                <w:tcPr>
                  <w:tcW w:type="dxa" w:w="4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三监舍机房</w:t>
                  </w:r>
                </w:p>
              </w:tc>
              <w:tc>
                <w:tcPr>
                  <w:tcW w:type="dxa" w:w="2439"/>
                  <w:vMerge/>
                  <w:tcBorders>
                    <w:top w:val="single" w:color="000000" w:sz="4"/>
                    <w:left w:val="single" w:color="000000" w:sz="4"/>
                    <w:bottom w:val="single" w:color="000000" w:sz="4"/>
                    <w:right w:val="single" w:color="000000" w:sz="4"/>
                  </w:tcBorders>
                </w:tcPr>
                <w:p/>
              </w:tc>
              <w:tc>
                <w:tcPr>
                  <w:tcW w:type="dxa" w:w="4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四七监舍机房</w:t>
                  </w:r>
                </w:p>
              </w:tc>
              <w:tc>
                <w:tcPr>
                  <w:tcW w:type="dxa" w:w="2439"/>
                  <w:vMerge/>
                  <w:tcBorders>
                    <w:top w:val="single" w:color="000000" w:sz="4"/>
                    <w:left w:val="single" w:color="000000" w:sz="4"/>
                    <w:bottom w:val="single" w:color="000000" w:sz="4"/>
                    <w:right w:val="single" w:color="000000" w:sz="4"/>
                  </w:tcBorders>
                </w:tcPr>
                <w:p/>
              </w:tc>
              <w:tc>
                <w:tcPr>
                  <w:tcW w:type="dxa" w:w="4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五监舍机房</w:t>
                  </w:r>
                </w:p>
              </w:tc>
              <w:tc>
                <w:tcPr>
                  <w:tcW w:type="dxa" w:w="2439"/>
                  <w:vMerge/>
                  <w:tcBorders>
                    <w:top w:val="single" w:color="000000" w:sz="4"/>
                    <w:left w:val="single" w:color="000000" w:sz="4"/>
                    <w:bottom w:val="single" w:color="000000" w:sz="4"/>
                    <w:right w:val="single" w:color="000000" w:sz="4"/>
                  </w:tcBorders>
                </w:tcPr>
                <w:p/>
              </w:tc>
              <w:tc>
                <w:tcPr>
                  <w:tcW w:type="dxa" w:w="4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六监舍机房</w:t>
                  </w:r>
                </w:p>
              </w:tc>
              <w:tc>
                <w:tcPr>
                  <w:tcW w:type="dxa" w:w="2439"/>
                  <w:vMerge/>
                  <w:tcBorders>
                    <w:top w:val="single" w:color="000000" w:sz="4"/>
                    <w:left w:val="single" w:color="000000" w:sz="4"/>
                    <w:bottom w:val="single" w:color="000000" w:sz="4"/>
                    <w:right w:val="single" w:color="000000" w:sz="4"/>
                  </w:tcBorders>
                </w:tcPr>
                <w:p/>
              </w:tc>
              <w:tc>
                <w:tcPr>
                  <w:tcW w:type="dxa" w:w="4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八九监舍机房</w:t>
                  </w:r>
                </w:p>
              </w:tc>
              <w:tc>
                <w:tcPr>
                  <w:tcW w:type="dxa" w:w="2439"/>
                  <w:vMerge/>
                  <w:tcBorders>
                    <w:top w:val="single" w:color="000000" w:sz="4"/>
                    <w:left w:val="single" w:color="000000" w:sz="4"/>
                    <w:bottom w:val="single" w:color="000000" w:sz="4"/>
                    <w:right w:val="single" w:color="000000" w:sz="4"/>
                  </w:tcBorders>
                </w:tcPr>
                <w:p/>
              </w:tc>
              <w:tc>
                <w:tcPr>
                  <w:tcW w:type="dxa" w:w="4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特管特教分监区机房</w:t>
                  </w:r>
                </w:p>
              </w:tc>
              <w:tc>
                <w:tcPr>
                  <w:tcW w:type="dxa" w:w="2439"/>
                  <w:vMerge/>
                  <w:tcBorders>
                    <w:top w:val="single" w:color="000000" w:sz="4"/>
                    <w:left w:val="single" w:color="000000" w:sz="4"/>
                    <w:bottom w:val="single" w:color="000000" w:sz="4"/>
                    <w:right w:val="single" w:color="000000" w:sz="4"/>
                  </w:tcBorders>
                </w:tcPr>
                <w:p/>
              </w:tc>
              <w:tc>
                <w:tcPr>
                  <w:tcW w:type="dxa" w:w="4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1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电源模块（本项中每台交换机配</w:t>
                  </w:r>
                  <w:r>
                    <w:rPr>
                      <w:sz w:val="21"/>
                    </w:rPr>
                    <w:t>2个）</w:t>
                  </w:r>
                </w:p>
              </w:tc>
              <w:tc>
                <w:tcPr>
                  <w:tcW w:type="dxa" w:w="4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三、办公楼</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办公楼</w:t>
                  </w:r>
                  <w:r>
                    <w:rPr>
                      <w:sz w:val="21"/>
                    </w:rPr>
                    <w:t>1楼配线间</w:t>
                  </w:r>
                </w:p>
              </w:tc>
              <w:tc>
                <w:tcPr>
                  <w:tcW w:type="dxa" w:w="2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48口交换机（外网）</w:t>
                  </w:r>
                </w:p>
              </w:tc>
              <w:tc>
                <w:tcPr>
                  <w:tcW w:type="dxa" w:w="48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办公楼</w:t>
                  </w:r>
                  <w:r>
                    <w:rPr>
                      <w:sz w:val="21"/>
                    </w:rPr>
                    <w:t>1楼配线间</w:t>
                  </w:r>
                </w:p>
              </w:tc>
              <w:tc>
                <w:tcPr>
                  <w:tcW w:type="dxa" w:w="2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48口交换机（内网）</w:t>
                  </w:r>
                </w:p>
              </w:tc>
              <w:tc>
                <w:tcPr>
                  <w:tcW w:type="dxa" w:w="4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办公楼</w:t>
                  </w:r>
                  <w:r>
                    <w:rPr>
                      <w:sz w:val="21"/>
                    </w:rPr>
                    <w:t>2楼配线间</w:t>
                  </w:r>
                </w:p>
              </w:tc>
              <w:tc>
                <w:tcPr>
                  <w:tcW w:type="dxa" w:w="2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48口交换机（外网）</w:t>
                  </w:r>
                </w:p>
              </w:tc>
              <w:tc>
                <w:tcPr>
                  <w:tcW w:type="dxa" w:w="4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办公楼</w:t>
                  </w:r>
                  <w:r>
                    <w:rPr>
                      <w:sz w:val="21"/>
                    </w:rPr>
                    <w:t>2楼配线间</w:t>
                  </w:r>
                </w:p>
              </w:tc>
              <w:tc>
                <w:tcPr>
                  <w:tcW w:type="dxa" w:w="2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48口交换机（内网）</w:t>
                  </w:r>
                </w:p>
              </w:tc>
              <w:tc>
                <w:tcPr>
                  <w:tcW w:type="dxa" w:w="4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办公楼</w:t>
                  </w:r>
                  <w:r>
                    <w:rPr>
                      <w:sz w:val="21"/>
                    </w:rPr>
                    <w:t>3楼配线间</w:t>
                  </w:r>
                </w:p>
              </w:tc>
              <w:tc>
                <w:tcPr>
                  <w:tcW w:type="dxa" w:w="2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48口交换机（外网）</w:t>
                  </w:r>
                </w:p>
              </w:tc>
              <w:tc>
                <w:tcPr>
                  <w:tcW w:type="dxa" w:w="4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办公楼</w:t>
                  </w:r>
                  <w:r>
                    <w:rPr>
                      <w:sz w:val="21"/>
                    </w:rPr>
                    <w:t>3楼配线间</w:t>
                  </w:r>
                </w:p>
              </w:tc>
              <w:tc>
                <w:tcPr>
                  <w:tcW w:type="dxa" w:w="2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48口交换机（内网）</w:t>
                  </w:r>
                </w:p>
              </w:tc>
              <w:tc>
                <w:tcPr>
                  <w:tcW w:type="dxa" w:w="4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办公楼</w:t>
                  </w:r>
                  <w:r>
                    <w:rPr>
                      <w:sz w:val="21"/>
                    </w:rPr>
                    <w:t>4楼配线间</w:t>
                  </w:r>
                </w:p>
              </w:tc>
              <w:tc>
                <w:tcPr>
                  <w:tcW w:type="dxa" w:w="2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48口交换机（外网）</w:t>
                  </w:r>
                </w:p>
              </w:tc>
              <w:tc>
                <w:tcPr>
                  <w:tcW w:type="dxa" w:w="4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办公楼</w:t>
                  </w:r>
                  <w:r>
                    <w:rPr>
                      <w:sz w:val="21"/>
                    </w:rPr>
                    <w:t>4楼配线间</w:t>
                  </w:r>
                </w:p>
              </w:tc>
              <w:tc>
                <w:tcPr>
                  <w:tcW w:type="dxa" w:w="2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48口交换机（内网）</w:t>
                  </w:r>
                </w:p>
              </w:tc>
              <w:tc>
                <w:tcPr>
                  <w:tcW w:type="dxa" w:w="4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办公楼</w:t>
                  </w:r>
                  <w:r>
                    <w:rPr>
                      <w:sz w:val="21"/>
                    </w:rPr>
                    <w:t>5楼配线间</w:t>
                  </w:r>
                </w:p>
              </w:tc>
              <w:tc>
                <w:tcPr>
                  <w:tcW w:type="dxa" w:w="2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48口交换机（外网）</w:t>
                  </w:r>
                </w:p>
              </w:tc>
              <w:tc>
                <w:tcPr>
                  <w:tcW w:type="dxa" w:w="4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办公楼</w:t>
                  </w:r>
                  <w:r>
                    <w:rPr>
                      <w:sz w:val="21"/>
                    </w:rPr>
                    <w:t>5楼配线间</w:t>
                  </w:r>
                </w:p>
              </w:tc>
              <w:tc>
                <w:tcPr>
                  <w:tcW w:type="dxa" w:w="2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48口交换机（内网）</w:t>
                  </w:r>
                </w:p>
              </w:tc>
              <w:tc>
                <w:tcPr>
                  <w:tcW w:type="dxa" w:w="4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1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电源模块（本项中每台交换机配</w:t>
                  </w:r>
                  <w:r>
                    <w:rPr>
                      <w:sz w:val="21"/>
                    </w:rPr>
                    <w:t>2个）</w:t>
                  </w:r>
                </w:p>
              </w:tc>
              <w:tc>
                <w:tcPr>
                  <w:tcW w:type="dxa" w:w="4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r>
          </w:tbl>
          <w:p>
            <w:pPr>
              <w:pStyle w:val="null3"/>
              <w:spacing w:before="150"/>
            </w:pPr>
            <w:r>
              <w:rPr>
                <w:sz w:val="21"/>
                <w:b/>
              </w:rPr>
              <w:t>（</w:t>
            </w:r>
            <w:r>
              <w:rPr>
                <w:sz w:val="21"/>
                <w:b/>
              </w:rPr>
              <w:t>6）综合布线系统</w:t>
            </w:r>
          </w:p>
          <w:p>
            <w:pPr>
              <w:pStyle w:val="null3"/>
              <w:ind w:firstLine="420"/>
            </w:pPr>
            <w:r>
              <w:rPr>
                <w:sz w:val="21"/>
              </w:rPr>
              <w:t>综合布线系统的设计应根据本项目的性质，使用功能，环境安全条件以及考虑到近期实际使用和未来发展的需求，进行合理的系统布局和管线设计。应具有开放性、灵活性、可扩展性、实用性、安全可靠性和经济性。</w:t>
            </w:r>
          </w:p>
          <w:p>
            <w:pPr>
              <w:pStyle w:val="null3"/>
              <w:ind w:firstLine="420"/>
            </w:pPr>
            <w:r>
              <w:rPr>
                <w:sz w:val="21"/>
              </w:rPr>
              <w:t>本项目综合布线系统分为室内布线和室外布线两部分，室内布线内容为：从办公楼二层旧机房分别敷设</w:t>
            </w:r>
            <w:r>
              <w:rPr>
                <w:sz w:val="21"/>
              </w:rPr>
              <w:t>1条12芯光纤到办公楼1楼至5楼左右配线间（共10个）的机柜内，共敷设10条光纤线路，线缆主要沿着线槽敷设，线槽不到位之处，穿管敷设到位；整合梳理AB门机房、综合服务大厅二层机房、办公楼二层旧机房、办公楼1-5楼左右配线间（共13个机房及配线间）等区域内的原有线路，完善标识。</w:t>
            </w:r>
          </w:p>
          <w:p>
            <w:pPr>
              <w:pStyle w:val="null3"/>
              <w:ind w:firstLine="420"/>
            </w:pPr>
            <w:r>
              <w:rPr>
                <w:sz w:val="21"/>
              </w:rPr>
              <w:t>室外布线内容为：敷设</w:t>
            </w:r>
            <w:r>
              <w:rPr>
                <w:sz w:val="21"/>
              </w:rPr>
              <w:t>1条48芯单模光缆，从办公楼一楼中心机房，通过管井下地，沿监狱辖区主干道，连通到监管区大门AB门机房内机柜端及武警值班室，整体完成供管道敷设、地面开挖和修复工作。</w:t>
            </w:r>
          </w:p>
          <w:p>
            <w:pPr>
              <w:pStyle w:val="null3"/>
              <w:ind w:firstLine="420"/>
            </w:pPr>
            <w:r>
              <w:rPr>
                <w:sz w:val="21"/>
              </w:rPr>
              <w:t>系统整体配齐相关辅材，线路敷设所用光纤、管材，需具有较好稳定性和较强机械强度，符合国家标准，敷设过程考虑防水、防潮、防腐蚀、防虫等因素，采用合适外层护套，对光纤进行保护，并对所有线路采取妥善防雷及接地措施，布线完成后，系统规范完善信息化机房室内线路（包含网线、跳线、光纤、电源线）标识，采用标志牌以示区别，标志牌上标明</w:t>
            </w:r>
            <w:r>
              <w:rPr>
                <w:sz w:val="21"/>
              </w:rPr>
              <w:t>“工程名称、光缆段名称、芯数”等字样。</w:t>
            </w:r>
          </w:p>
          <w:p>
            <w:pPr>
              <w:pStyle w:val="null3"/>
            </w:pPr>
            <w:r>
              <w:rPr>
                <w:sz w:val="21"/>
                <w:b/>
              </w:rPr>
              <w:t>（</w:t>
            </w:r>
            <w:r>
              <w:rPr>
                <w:sz w:val="21"/>
                <w:b/>
              </w:rPr>
              <w:t>7）机房环境整治</w:t>
            </w:r>
          </w:p>
          <w:p>
            <w:pPr>
              <w:pStyle w:val="null3"/>
              <w:ind w:firstLine="420"/>
            </w:pPr>
            <w:r>
              <w:rPr>
                <w:sz w:val="21"/>
              </w:rPr>
              <w:t>依据《数据中心设计规范》</w:t>
            </w:r>
            <w:r>
              <w:rPr>
                <w:sz w:val="21"/>
              </w:rPr>
              <w:t>GB50174-2017标准，信息化机房内通道与设备间的距离应符合下列规定：</w:t>
            </w:r>
          </w:p>
          <w:p>
            <w:pPr>
              <w:pStyle w:val="null3"/>
              <w:ind w:firstLine="420"/>
            </w:pPr>
            <w:r>
              <w:rPr>
                <w:sz w:val="21"/>
              </w:rPr>
              <w:t>1）信息化机房内的各类设备应根据工艺设计进行布置，应满足系统运行、运行管理、人员操作和安全、设备和物料运输、设备散热、安装和维护的要求；</w:t>
            </w:r>
          </w:p>
          <w:p>
            <w:pPr>
              <w:pStyle w:val="null3"/>
              <w:ind w:firstLine="420"/>
            </w:pPr>
            <w:r>
              <w:rPr>
                <w:sz w:val="21"/>
              </w:rPr>
              <w:t>2）相互备用的设备应布置在不同的物理隔间内，相互备用的管线宜沿不同路径敷设；</w:t>
            </w:r>
          </w:p>
          <w:p>
            <w:pPr>
              <w:pStyle w:val="null3"/>
              <w:ind w:firstLine="420"/>
            </w:pPr>
            <w:r>
              <w:rPr>
                <w:sz w:val="21"/>
              </w:rPr>
              <w:t>3）当机柜（架）内的设备为前进风/后出风冷却方式，且机柜自身结构未采用封闭冷风通道或封闭热风通道方式时，机柜（架）的布置宜采用面对面、背对背方式；</w:t>
            </w:r>
          </w:p>
          <w:p>
            <w:pPr>
              <w:pStyle w:val="null3"/>
              <w:ind w:firstLine="420"/>
            </w:pPr>
            <w:r>
              <w:rPr>
                <w:sz w:val="21"/>
              </w:rPr>
              <w:t>4）信息化机房内通道与设备间的距离应符合下列规定：</w:t>
            </w:r>
          </w:p>
          <w:p>
            <w:pPr>
              <w:pStyle w:val="null3"/>
              <w:ind w:firstLine="420"/>
            </w:pPr>
            <w:r>
              <w:rPr>
                <w:sz w:val="21"/>
              </w:rPr>
              <w:t>① 用于搬运设备的通道净宽不应小于1.5m；</w:t>
            </w:r>
          </w:p>
          <w:p>
            <w:pPr>
              <w:pStyle w:val="null3"/>
              <w:ind w:firstLine="420"/>
            </w:pPr>
            <w:r>
              <w:rPr>
                <w:sz w:val="21"/>
              </w:rPr>
              <w:t>② 面对面布置的机柜（架）正面之间的距离不宜小于1.2m；</w:t>
            </w:r>
          </w:p>
          <w:p>
            <w:pPr>
              <w:pStyle w:val="null3"/>
              <w:ind w:firstLine="420"/>
            </w:pPr>
            <w:r>
              <w:rPr>
                <w:sz w:val="21"/>
              </w:rPr>
              <w:t>③ 背对背布置的机柜（架）背面之间的距离不宜小于0.8m；</w:t>
            </w:r>
          </w:p>
          <w:p>
            <w:pPr>
              <w:pStyle w:val="null3"/>
              <w:ind w:firstLine="420"/>
            </w:pPr>
            <w:r>
              <w:rPr>
                <w:sz w:val="21"/>
              </w:rPr>
              <w:t>④ 当需要在机柜（架）侧面和后面维修测试时，机柜（架）与机柜（架）、机柜（架）与墙之间的距离不宜小于1.0m；</w:t>
            </w:r>
          </w:p>
          <w:p>
            <w:pPr>
              <w:pStyle w:val="null3"/>
              <w:ind w:firstLine="420"/>
            </w:pPr>
            <w:r>
              <w:rPr>
                <w:sz w:val="21"/>
              </w:rPr>
              <w:t>5）成行排列的机柜（架），其长度超过6m时，两端应设有通道；当两个通道之间的距离超过15m时，在两个通道之间还应增加通道。通道的宽度不宜小于1m，局部可为0.8m。</w:t>
            </w:r>
          </w:p>
          <w:p>
            <w:pPr>
              <w:pStyle w:val="null3"/>
              <w:ind w:firstLine="420"/>
            </w:pPr>
            <w:r>
              <w:rPr>
                <w:sz w:val="21"/>
              </w:rPr>
              <w:t>6）参考以上标准，本项目对办公楼二层旧机房区域进行环境整治，优化调整线路走线方式，落实设备防静电防雷接地要求，各整治内容须符合施工规范要求，包含：</w:t>
            </w:r>
          </w:p>
          <w:p>
            <w:pPr>
              <w:pStyle w:val="null3"/>
              <w:ind w:firstLine="420"/>
            </w:pPr>
            <w:r>
              <w:rPr>
                <w:sz w:val="21"/>
              </w:rPr>
              <w:t>① 将10个旧机柜更换为42U标准新机柜，安装配线架及供电设施，配备风扇、电源、门锁等，增设桥架，</w:t>
            </w:r>
          </w:p>
          <w:p>
            <w:pPr>
              <w:pStyle w:val="null3"/>
              <w:ind w:firstLine="420"/>
            </w:pPr>
            <w:r>
              <w:rPr>
                <w:sz w:val="21"/>
              </w:rPr>
              <w:t>② 将所有线缆改为上走线，统一规整线路，对所有逐一割接恢复相关设备使用，并对物理设备连接的接口和线缆做好标识，对设备、接口、线缆做到一一对应，并将以上标识内容形成文档，为系统快速上线提供可靠的基础。</w:t>
            </w:r>
          </w:p>
          <w:p>
            <w:pPr>
              <w:pStyle w:val="null3"/>
              <w:ind w:firstLine="420"/>
            </w:pPr>
            <w:r>
              <w:rPr>
                <w:sz w:val="21"/>
              </w:rPr>
              <w:t>③ 修复扣板天花和静电地板，所选材料要求具有良好的气密、防火、防静电、高硬度等要求，符合环保要求，静电地板上贴静电地毯，天花尺寸与原有天花匹配。</w:t>
            </w:r>
          </w:p>
          <w:p>
            <w:pPr>
              <w:pStyle w:val="null3"/>
              <w:ind w:firstLine="420"/>
            </w:pPr>
            <w:r>
              <w:rPr>
                <w:sz w:val="21"/>
              </w:rPr>
              <w:t>④ 信息化机房内所有设备的金属外壳、各类金属管道、金属线槽、建筑物金属结构等必须进行等电位联结和接地。</w:t>
            </w:r>
          </w:p>
        </w:tc>
      </w:tr>
      <w:tr>
        <w:tc>
          <w:tcPr>
            <w:tcW w:type="dxa" w:w="2076"/>
          </w:tcPr>
          <w:p/>
        </w:tc>
        <w:tc>
          <w:tcPr>
            <w:tcW w:type="dxa" w:w="415"/>
          </w:tcPr>
          <w:p>
            <w:pPr>
              <w:pStyle w:val="null3"/>
            </w:pPr>
            <w:r>
              <w:rPr/>
              <w:t>2</w:t>
            </w:r>
          </w:p>
        </w:tc>
        <w:tc>
          <w:tcPr>
            <w:tcW w:type="dxa" w:w="5814"/>
          </w:tcPr>
          <w:p>
            <w:pPr>
              <w:pStyle w:val="null3"/>
              <w:spacing w:before="150"/>
            </w:pPr>
            <w:r>
              <w:rPr>
                <w:sz w:val="28"/>
                <w:b/>
              </w:rPr>
              <w:t>二、承包方式</w:t>
            </w:r>
          </w:p>
          <w:p>
            <w:pPr>
              <w:pStyle w:val="null3"/>
              <w:jc w:val="both"/>
            </w:pPr>
            <w:r>
              <w:rPr>
                <w:sz w:val="21"/>
              </w:rPr>
              <w:t>本项目采用总价包干的方式进行承包，按图纸、工程量清单所包含的范围，包施工、包材料、包机械、包质量、包工期、包安全、包安全施工文明、包环境卫生、包竣工验收、包竣工图纸资料编制等。</w:t>
            </w:r>
          </w:p>
        </w:tc>
      </w:tr>
      <w:tr>
        <w:tc>
          <w:tcPr>
            <w:tcW w:type="dxa" w:w="2076"/>
          </w:tcPr>
          <w:p/>
        </w:tc>
        <w:tc>
          <w:tcPr>
            <w:tcW w:type="dxa" w:w="415"/>
          </w:tcPr>
          <w:p>
            <w:pPr>
              <w:pStyle w:val="null3"/>
            </w:pPr>
            <w:r>
              <w:rPr/>
              <w:t>3</w:t>
            </w:r>
          </w:p>
        </w:tc>
        <w:tc>
          <w:tcPr>
            <w:tcW w:type="dxa" w:w="5814"/>
          </w:tcPr>
          <w:p>
            <w:pPr>
              <w:pStyle w:val="null3"/>
              <w:spacing w:before="150"/>
            </w:pPr>
            <w:r>
              <w:rPr>
                <w:sz w:val="28"/>
                <w:b/>
              </w:rPr>
              <w:t>三、质量、安全文明标准</w:t>
            </w:r>
          </w:p>
          <w:p>
            <w:pPr>
              <w:pStyle w:val="null3"/>
              <w:ind w:firstLine="420"/>
            </w:pPr>
            <w:r>
              <w:rPr>
                <w:sz w:val="21"/>
              </w:rPr>
              <w:t>1、工程质量标准：依据采购需求及图纸的要求，本工程项目的材料、设备、施工须达到下列现行中华人民共和国以及省、自治区、直辖市或行业的工程建设标准、规范的要求，确保工程质量，工程质量要求达到合格质量标准，质量等级评定由采购人及参与验收人员确定。</w:t>
            </w:r>
          </w:p>
          <w:p>
            <w:pPr>
              <w:pStyle w:val="null3"/>
              <w:ind w:firstLine="420"/>
            </w:pPr>
            <w:r>
              <w:rPr>
                <w:sz w:val="21"/>
              </w:rPr>
              <w:t>2、成交供应商施工质量必须达到工程质量标准要求，如因施工质量造成需要返工等情况的，成交供应商必须无条件按采购人要求进行返工，相关责任及费用由成交供应商承担。</w:t>
            </w:r>
          </w:p>
          <w:p>
            <w:pPr>
              <w:pStyle w:val="null3"/>
              <w:ind w:firstLine="420"/>
            </w:pPr>
            <w:r>
              <w:rPr>
                <w:sz w:val="21"/>
              </w:rPr>
              <w:t>3、安全文明施工标准：杜绝一般事故等级及以上的伤亡事故且工伤责任事故死亡人数为零。</w:t>
            </w:r>
          </w:p>
        </w:tc>
      </w:tr>
      <w:tr>
        <w:tc>
          <w:tcPr>
            <w:tcW w:type="dxa" w:w="2076"/>
          </w:tcPr>
          <w:p/>
        </w:tc>
        <w:tc>
          <w:tcPr>
            <w:tcW w:type="dxa" w:w="415"/>
          </w:tcPr>
          <w:p>
            <w:pPr>
              <w:pStyle w:val="null3"/>
            </w:pPr>
            <w:r>
              <w:rPr/>
              <w:t>4</w:t>
            </w:r>
          </w:p>
        </w:tc>
        <w:tc>
          <w:tcPr>
            <w:tcW w:type="dxa" w:w="5814"/>
          </w:tcPr>
          <w:p>
            <w:pPr>
              <w:pStyle w:val="null3"/>
              <w:spacing w:before="150"/>
            </w:pPr>
            <w:r>
              <w:rPr>
                <w:sz w:val="28"/>
                <w:b/>
              </w:rPr>
              <w:t>四、</w:t>
            </w:r>
            <w:r>
              <w:rPr>
                <w:sz w:val="28"/>
                <w:b/>
              </w:rPr>
              <w:t>材料及设备供应要求</w:t>
            </w:r>
          </w:p>
          <w:p>
            <w:pPr>
              <w:pStyle w:val="null3"/>
              <w:ind w:firstLine="420"/>
            </w:pPr>
            <w:r>
              <w:rPr>
                <w:sz w:val="21"/>
              </w:rPr>
              <w:t>1、本工程所承包范围内所需的材料、成品、未成品、设备的采购、运输、保管、质量等责任均由成交供应商承担</w:t>
            </w:r>
            <w:r>
              <w:rPr>
                <w:sz w:val="21"/>
              </w:rPr>
              <w:t>，</w:t>
            </w:r>
            <w:r>
              <w:rPr>
                <w:sz w:val="21"/>
              </w:rPr>
              <w:t>采购人不提供材料。</w:t>
            </w:r>
          </w:p>
          <w:p>
            <w:pPr>
              <w:pStyle w:val="null3"/>
              <w:ind w:firstLine="420"/>
            </w:pPr>
            <w:r>
              <w:rPr>
                <w:sz w:val="21"/>
              </w:rPr>
              <w:t>2、采购供应的材料、设备、其名称、品种、型号、规格、质量等，均应符合国家、地方及行业有关规范及要求，并能满足采购人的要求。</w:t>
            </w:r>
          </w:p>
          <w:p>
            <w:pPr>
              <w:pStyle w:val="null3"/>
              <w:ind w:firstLine="420"/>
            </w:pPr>
            <w:r>
              <w:rPr>
                <w:sz w:val="21"/>
              </w:rPr>
              <w:t>3、所有材料都必须有材料质检部门出具的合格证明，本项目使用的所有主材必须经采购人及监理单位确认后方可使用，并保证产品的有效性，否则相关责任由成交供应商承担。</w:t>
            </w:r>
          </w:p>
          <w:p>
            <w:pPr>
              <w:pStyle w:val="null3"/>
              <w:ind w:firstLine="420"/>
            </w:pPr>
            <w:r>
              <w:rPr>
                <w:sz w:val="21"/>
              </w:rPr>
              <w:t>4、由于成交供应商提供的伪劣、假冒等所有不合格材料而导致的损失、事故及一切后果，均由成交供应商负责并赔偿采购人所有损失，并负责更换所有已施工的不合格材料。</w:t>
            </w:r>
          </w:p>
          <w:p>
            <w:pPr>
              <w:pStyle w:val="null3"/>
              <w:ind w:firstLine="420"/>
            </w:pPr>
            <w:r>
              <w:rPr>
                <w:sz w:val="21"/>
              </w:rPr>
              <w:t>5、若成交供应商使用的标准在本磋商技术要求的规定外，成交供应商应明确说明用于替代的标准或使用规范并提供所使用的标准，该标准必须是国际公认的同等或更高级的标准，如成交供应商所使用的标准低于上述标准，采购人将有权不予接受。成交供应商必须将明显的差异进行详细说明并提交差异一览表（格式自拟）。</w:t>
            </w:r>
          </w:p>
          <w:p>
            <w:pPr>
              <w:pStyle w:val="null3"/>
              <w:ind w:firstLine="420"/>
            </w:pPr>
            <w:r>
              <w:rPr>
                <w:sz w:val="21"/>
              </w:rPr>
              <w:t>6、报价时必须提供需要使用的主要材料的明细说明（包括厂家、品牌、规格、品质等级等）。工程实施时，如发生货不对板，采购人有权拒用，造成损失由成交供应商承担。</w:t>
            </w:r>
          </w:p>
          <w:p>
            <w:pPr>
              <w:pStyle w:val="null3"/>
              <w:ind w:firstLine="420"/>
            </w:pPr>
            <w:r>
              <w:rPr>
                <w:sz w:val="21"/>
              </w:rPr>
              <w:t>7</w:t>
            </w:r>
            <w:r>
              <w:rPr>
                <w:sz w:val="21"/>
              </w:rPr>
              <w:t>、采购人保留对本工程使用之主要材料品质确认审查的权利及保留另行委托专业队伍对本工程进行独立检测的权利。</w:t>
            </w:r>
          </w:p>
          <w:p>
            <w:pPr>
              <w:pStyle w:val="null3"/>
              <w:ind w:firstLine="420"/>
            </w:pPr>
            <w:r>
              <w:rPr>
                <w:sz w:val="21"/>
              </w:rPr>
              <w:t>8</w:t>
            </w:r>
            <w:r>
              <w:rPr>
                <w:sz w:val="21"/>
              </w:rPr>
              <w:t>、采购范围之内工程所用之设备，由成交供应商提供。</w:t>
            </w:r>
          </w:p>
        </w:tc>
      </w:tr>
      <w:tr>
        <w:tc>
          <w:tcPr>
            <w:tcW w:type="dxa" w:w="2076"/>
          </w:tcPr>
          <w:p/>
        </w:tc>
        <w:tc>
          <w:tcPr>
            <w:tcW w:type="dxa" w:w="415"/>
          </w:tcPr>
          <w:p>
            <w:pPr>
              <w:pStyle w:val="null3"/>
            </w:pPr>
            <w:r>
              <w:rPr/>
              <w:t>5</w:t>
            </w:r>
          </w:p>
        </w:tc>
        <w:tc>
          <w:tcPr>
            <w:tcW w:type="dxa" w:w="5814"/>
          </w:tcPr>
          <w:p>
            <w:pPr>
              <w:pStyle w:val="null3"/>
              <w:spacing w:before="150"/>
            </w:pPr>
            <w:r>
              <w:rPr>
                <w:sz w:val="28"/>
                <w:b/>
              </w:rPr>
              <w:t>五</w:t>
            </w:r>
            <w:r>
              <w:rPr>
                <w:sz w:val="28"/>
                <w:b/>
              </w:rPr>
              <w:t>、项目售后服务及运维服务要求</w:t>
            </w:r>
          </w:p>
          <w:p>
            <w:pPr>
              <w:pStyle w:val="null3"/>
              <w:ind w:firstLine="420"/>
            </w:pPr>
            <w:r>
              <w:rPr>
                <w:sz w:val="21"/>
              </w:rPr>
              <w:t>1.本项目免费维保期由项目终验合格之日起3年。</w:t>
            </w:r>
          </w:p>
          <w:p>
            <w:pPr>
              <w:pStyle w:val="null3"/>
              <w:ind w:firstLine="420"/>
            </w:pPr>
            <w:r>
              <w:rPr>
                <w:sz w:val="21"/>
              </w:rPr>
              <w:t>2.所有保修服务方式均为成交供应商上门保修，即由成交供应商派员到采购人使用现场维护，并每周定期编辑、上传、发布采购人所需的各模块内容，由此产生的一切费用均由成交供应商承担。</w:t>
            </w:r>
          </w:p>
          <w:p>
            <w:pPr>
              <w:pStyle w:val="null3"/>
              <w:ind w:firstLine="420"/>
            </w:pPr>
            <w:r>
              <w:rPr>
                <w:sz w:val="21"/>
              </w:rPr>
              <w:t>3.自项目投入正式运行和维保期内，成交供应商承诺对其提供的设备、软硬件进行维修保养，并提供7×24小时服务响应服务，维护工程师应在接到报障后2个小时内到现场处理应用系统出现的故障；4小时内作出故障原因定位并提出有效措施加以解决，成交供应商须对故障设备进行无条件免费维护，采购人仅提供办公场所，不再向成交供应商支付合同约定以外的其他任何费用，其他办公及维护设备由成交供应商自备，由此产生的一切费用均由成交供应商承担。</w:t>
            </w:r>
          </w:p>
          <w:p>
            <w:pPr>
              <w:pStyle w:val="null3"/>
              <w:ind w:firstLine="420"/>
            </w:pPr>
            <w:r>
              <w:rPr>
                <w:sz w:val="21"/>
              </w:rPr>
              <w:t>4.在项目验收后的维保期内，如因需要增加系统功能而产生的费用，由双方另议。</w:t>
            </w:r>
          </w:p>
          <w:p>
            <w:pPr>
              <w:pStyle w:val="null3"/>
              <w:ind w:firstLine="420"/>
            </w:pPr>
            <w:r>
              <w:rPr>
                <w:sz w:val="21"/>
              </w:rPr>
              <w:t>5.项目维保期满后，成交供应商须承诺在法定工作时间内，可以提供免费的技术指导和咨询，如需其他技术支持服务，则费用由双方另议。</w:t>
            </w:r>
          </w:p>
        </w:tc>
      </w:tr>
      <w:tr>
        <w:tc>
          <w:tcPr>
            <w:tcW w:type="dxa" w:w="2076"/>
          </w:tcPr>
          <w:p/>
        </w:tc>
        <w:tc>
          <w:tcPr>
            <w:tcW w:type="dxa" w:w="415"/>
          </w:tcPr>
          <w:p>
            <w:pPr>
              <w:pStyle w:val="null3"/>
            </w:pPr>
            <w:r>
              <w:rPr/>
              <w:t>6</w:t>
            </w:r>
          </w:p>
        </w:tc>
        <w:tc>
          <w:tcPr>
            <w:tcW w:type="dxa" w:w="5814"/>
          </w:tcPr>
          <w:p>
            <w:pPr>
              <w:pStyle w:val="null3"/>
              <w:spacing w:before="150"/>
            </w:pPr>
            <w:r>
              <w:rPr>
                <w:sz w:val="28"/>
                <w:b/>
              </w:rPr>
              <w:t>六、项目培训要求</w:t>
            </w:r>
          </w:p>
          <w:p>
            <w:pPr>
              <w:pStyle w:val="null3"/>
              <w:ind w:firstLine="420"/>
            </w:pPr>
            <w:r>
              <w:rPr>
                <w:sz w:val="21"/>
              </w:rPr>
              <w:t>1.培训需求：</w:t>
            </w:r>
          </w:p>
          <w:p>
            <w:pPr>
              <w:pStyle w:val="null3"/>
              <w:ind w:firstLine="420"/>
            </w:pPr>
            <w:r>
              <w:rPr>
                <w:sz w:val="21"/>
              </w:rPr>
              <w:t>为保证新的信息系统迅速投入使用，并为业务操作人员正确掌握，在本期工程中将包括对相关的系统设备维护、系统软件使用、应用软件操作、系统管理维护等的培训内容。培训对象包括管理人员、操作人员、技术人员，成交供应商应针对性制定培训计划并具体实施。</w:t>
            </w:r>
          </w:p>
          <w:p>
            <w:pPr>
              <w:pStyle w:val="null3"/>
              <w:ind w:firstLine="420"/>
            </w:pPr>
            <w:r>
              <w:rPr>
                <w:sz w:val="21"/>
              </w:rPr>
              <w:t>2.培训实施要求：</w:t>
            </w:r>
          </w:p>
          <w:p>
            <w:pPr>
              <w:pStyle w:val="null3"/>
              <w:ind w:firstLine="420"/>
            </w:pPr>
            <w:r>
              <w:rPr>
                <w:sz w:val="21"/>
              </w:rPr>
              <w:t>成交供应商必须派出具有相应专业资格和实际工作、教学经验的讲师进行培训，主要讲师应至少具有三年的项目经验，培训必须使用中文，否则成交供应商必须提供翻译。</w:t>
            </w:r>
          </w:p>
          <w:p>
            <w:pPr>
              <w:pStyle w:val="null3"/>
              <w:ind w:firstLine="420"/>
            </w:pPr>
            <w:r>
              <w:rPr>
                <w:sz w:val="21"/>
              </w:rPr>
              <w:t>3.成交供应商的专业培训讲师按照双方认可的培训工作方案实施培训计划，并监控整个培训过程。</w:t>
            </w:r>
          </w:p>
        </w:tc>
      </w:tr>
      <w:tr>
        <w:tc>
          <w:tcPr>
            <w:tcW w:type="dxa" w:w="2076"/>
          </w:tcPr>
          <w:p/>
        </w:tc>
        <w:tc>
          <w:tcPr>
            <w:tcW w:type="dxa" w:w="415"/>
          </w:tcPr>
          <w:p>
            <w:pPr>
              <w:pStyle w:val="null3"/>
            </w:pPr>
            <w:r>
              <w:rPr/>
              <w:t>7</w:t>
            </w:r>
          </w:p>
        </w:tc>
        <w:tc>
          <w:tcPr>
            <w:tcW w:type="dxa" w:w="5814"/>
          </w:tcPr>
          <w:p>
            <w:pPr>
              <w:pStyle w:val="null3"/>
              <w:spacing w:before="150"/>
            </w:pPr>
            <w:r>
              <w:rPr>
                <w:sz w:val="28"/>
                <w:b/>
              </w:rPr>
              <w:t>七、</w:t>
            </w:r>
            <w:r>
              <w:rPr>
                <w:sz w:val="28"/>
                <w:b/>
              </w:rPr>
              <w:t>项目实施团队人员要求</w:t>
            </w:r>
          </w:p>
          <w:p>
            <w:pPr>
              <w:pStyle w:val="null3"/>
              <w:ind w:firstLine="420"/>
            </w:pPr>
            <w:r>
              <w:rPr>
                <w:sz w:val="21"/>
              </w:rPr>
              <w:t>1.组织机构</w:t>
            </w:r>
            <w:r>
              <w:rPr>
                <w:sz w:val="21"/>
              </w:rPr>
              <w:t>：</w:t>
            </w:r>
          </w:p>
          <w:p>
            <w:pPr>
              <w:pStyle w:val="null3"/>
              <w:ind w:firstLine="420"/>
            </w:pPr>
            <w:r>
              <w:rPr>
                <w:sz w:val="21"/>
              </w:rPr>
              <w:t>为使项目按质、按量、按时及有序实施，</w:t>
            </w:r>
            <w:r>
              <w:rPr>
                <w:sz w:val="21"/>
              </w:rPr>
              <w:t>成交供应商</w:t>
            </w:r>
            <w:r>
              <w:rPr>
                <w:sz w:val="21"/>
              </w:rPr>
              <w:t>对本项目须建立一个完善和稳定的项目实施团队。</w:t>
            </w:r>
          </w:p>
          <w:p>
            <w:pPr>
              <w:pStyle w:val="null3"/>
              <w:ind w:firstLine="420"/>
            </w:pPr>
            <w:r>
              <w:rPr>
                <w:sz w:val="21"/>
              </w:rPr>
              <w:t>2.团队人员要求</w:t>
            </w:r>
            <w:r>
              <w:rPr>
                <w:sz w:val="21"/>
              </w:rPr>
              <w:t>：</w:t>
            </w:r>
          </w:p>
          <w:p>
            <w:pPr>
              <w:pStyle w:val="null3"/>
              <w:ind w:firstLine="420"/>
            </w:pPr>
            <w:r>
              <w:rPr>
                <w:sz w:val="21"/>
              </w:rPr>
              <w:t>（</w:t>
            </w:r>
            <w:r>
              <w:rPr>
                <w:sz w:val="21"/>
              </w:rPr>
              <w:t>1）项目</w:t>
            </w:r>
            <w:r>
              <w:rPr>
                <w:sz w:val="21"/>
              </w:rPr>
              <w:t>负责人</w:t>
            </w:r>
            <w:r>
              <w:rPr>
                <w:sz w:val="21"/>
              </w:rPr>
              <w:t>：</w:t>
            </w:r>
            <w:r>
              <w:rPr>
                <w:sz w:val="21"/>
              </w:rPr>
              <w:t>1人，须由</w:t>
            </w:r>
            <w:r>
              <w:rPr>
                <w:sz w:val="21"/>
              </w:rPr>
              <w:t>成交供应商</w:t>
            </w:r>
            <w:r>
              <w:rPr>
                <w:sz w:val="21"/>
              </w:rPr>
              <w:t>正式任命并提交任命报告，对项目实施负主要责任。</w:t>
            </w:r>
          </w:p>
          <w:p>
            <w:pPr>
              <w:pStyle w:val="null3"/>
              <w:ind w:firstLine="420"/>
            </w:pPr>
            <w:r>
              <w:rPr>
                <w:sz w:val="21"/>
              </w:rPr>
              <w:t>（</w:t>
            </w:r>
            <w:r>
              <w:rPr>
                <w:sz w:val="21"/>
              </w:rPr>
              <w:t>2）项目现场负责人：1人，驻场进行项目实施管理，负责与采购人进行沟通接洽，沟通项目现场实施事宜。</w:t>
            </w:r>
          </w:p>
          <w:p>
            <w:pPr>
              <w:pStyle w:val="null3"/>
              <w:ind w:firstLine="420"/>
            </w:pPr>
            <w:r>
              <w:rPr>
                <w:sz w:val="21"/>
              </w:rPr>
              <w:t>（</w:t>
            </w:r>
            <w:r>
              <w:rPr>
                <w:sz w:val="21"/>
              </w:rPr>
              <w:t>3）项目施工人员：若干。</w:t>
            </w:r>
          </w:p>
          <w:p>
            <w:pPr>
              <w:pStyle w:val="null3"/>
              <w:ind w:firstLine="420"/>
            </w:pPr>
            <w:r>
              <w:rPr>
                <w:sz w:val="21"/>
              </w:rPr>
              <w:t>3.调整原则</w:t>
            </w:r>
            <w:r>
              <w:rPr>
                <w:sz w:val="21"/>
              </w:rPr>
              <w:t>：</w:t>
            </w:r>
          </w:p>
          <w:p>
            <w:pPr>
              <w:pStyle w:val="null3"/>
              <w:ind w:firstLine="420"/>
            </w:pPr>
            <w:r>
              <w:rPr>
                <w:sz w:val="21"/>
              </w:rPr>
              <w:t>在项目实施期间，</w:t>
            </w:r>
            <w:r>
              <w:rPr>
                <w:sz w:val="21"/>
              </w:rPr>
              <w:t>成交供应商</w:t>
            </w:r>
            <w:r>
              <w:rPr>
                <w:sz w:val="21"/>
              </w:rPr>
              <w:t>承诺的项目经理、现场负责人和实施的主要人员未经采购人同意不得调整；</w:t>
            </w:r>
            <w:r>
              <w:rPr>
                <w:sz w:val="21"/>
              </w:rPr>
              <w:t>成交供应商</w:t>
            </w:r>
            <w:r>
              <w:rPr>
                <w:sz w:val="21"/>
              </w:rPr>
              <w:t>如中途更换项目经理、现场负责人和主要技术人员，须提交正式书面申请并征得采购人同意。</w:t>
            </w:r>
          </w:p>
        </w:tc>
      </w:tr>
      <w:tr>
        <w:tc>
          <w:tcPr>
            <w:tcW w:type="dxa" w:w="2076"/>
          </w:tcPr>
          <w:p/>
        </w:tc>
        <w:tc>
          <w:tcPr>
            <w:tcW w:type="dxa" w:w="415"/>
          </w:tcPr>
          <w:p>
            <w:pPr>
              <w:pStyle w:val="null3"/>
            </w:pPr>
            <w:r>
              <w:rPr/>
              <w:t>8</w:t>
            </w:r>
          </w:p>
        </w:tc>
        <w:tc>
          <w:tcPr>
            <w:tcW w:type="dxa" w:w="5814"/>
          </w:tcPr>
          <w:p>
            <w:pPr>
              <w:pStyle w:val="null3"/>
              <w:spacing w:before="150"/>
            </w:pPr>
            <w:r>
              <w:rPr>
                <w:sz w:val="28"/>
                <w:b/>
              </w:rPr>
              <w:t>八、</w:t>
            </w:r>
            <w:r>
              <w:rPr>
                <w:sz w:val="28"/>
                <w:b/>
              </w:rPr>
              <w:t>施工规范</w:t>
            </w:r>
          </w:p>
          <w:p>
            <w:pPr>
              <w:pStyle w:val="null3"/>
              <w:ind w:firstLine="420"/>
            </w:pPr>
            <w:r>
              <w:rPr>
                <w:sz w:val="21"/>
              </w:rPr>
              <w:t>（一）根据有关国家和部门规范和标准，本项目主要采取如下安全卫生措施：</w:t>
            </w:r>
          </w:p>
          <w:p>
            <w:pPr>
              <w:pStyle w:val="null3"/>
              <w:ind w:firstLine="420"/>
            </w:pPr>
            <w:r>
              <w:rPr>
                <w:sz w:val="21"/>
              </w:rPr>
              <w:t>1</w:t>
            </w:r>
            <w:r>
              <w:rPr>
                <w:sz w:val="21"/>
              </w:rPr>
              <w:t>.</w:t>
            </w:r>
            <w:r>
              <w:rPr>
                <w:sz w:val="21"/>
              </w:rPr>
              <w:t>所有用电设备的金属外壳、金属底座、电缆金属铠装层、电缆保护管以及所有金属支架均与接地装置连接，设有安全接地，配电系统设有安全短路保护、过流保护装置，保证用电安全。</w:t>
            </w:r>
          </w:p>
          <w:p>
            <w:pPr>
              <w:pStyle w:val="null3"/>
              <w:ind w:firstLine="420"/>
            </w:pPr>
            <w:r>
              <w:rPr>
                <w:sz w:val="21"/>
              </w:rPr>
              <w:t>2</w:t>
            </w:r>
            <w:r>
              <w:rPr>
                <w:sz w:val="21"/>
              </w:rPr>
              <w:t>.</w:t>
            </w:r>
            <w:r>
              <w:rPr>
                <w:sz w:val="21"/>
              </w:rPr>
              <w:t>计算机房采取防静电措施，防止静电对设备和人身的危害。</w:t>
            </w:r>
          </w:p>
          <w:p>
            <w:pPr>
              <w:pStyle w:val="null3"/>
              <w:ind w:firstLine="420"/>
            </w:pPr>
            <w:r>
              <w:rPr>
                <w:sz w:val="21"/>
              </w:rPr>
              <w:t>3</w:t>
            </w:r>
            <w:r>
              <w:rPr>
                <w:sz w:val="21"/>
              </w:rPr>
              <w:t>.</w:t>
            </w:r>
            <w:r>
              <w:rPr>
                <w:sz w:val="21"/>
              </w:rPr>
              <w:t>设有火灾自动报警系统和应急广播系统，以便在有紧急情况时能够及时通知全体人员。</w:t>
            </w:r>
          </w:p>
          <w:p>
            <w:pPr>
              <w:pStyle w:val="null3"/>
              <w:ind w:firstLine="420"/>
            </w:pPr>
            <w:r>
              <w:rPr>
                <w:sz w:val="21"/>
              </w:rPr>
              <w:t>4</w:t>
            </w:r>
            <w:r>
              <w:rPr>
                <w:sz w:val="21"/>
              </w:rPr>
              <w:t>.</w:t>
            </w:r>
            <w:r>
              <w:rPr>
                <w:sz w:val="21"/>
              </w:rPr>
              <w:t>建筑内设计足够的人行通道和应急措施，设置疏散标志，以保证安全通行。在主要通道和出入口设置应急照明。</w:t>
            </w:r>
          </w:p>
          <w:p>
            <w:pPr>
              <w:pStyle w:val="null3"/>
              <w:ind w:firstLine="420"/>
            </w:pPr>
            <w:r>
              <w:rPr>
                <w:sz w:val="21"/>
              </w:rPr>
              <w:t>5</w:t>
            </w:r>
            <w:r>
              <w:rPr>
                <w:sz w:val="21"/>
              </w:rPr>
              <w:t>.</w:t>
            </w:r>
            <w:r>
              <w:rPr>
                <w:sz w:val="21"/>
              </w:rPr>
              <w:t>设置卫生间、休息室、开水间等必要的辅助用房。</w:t>
            </w:r>
          </w:p>
          <w:p>
            <w:pPr>
              <w:pStyle w:val="null3"/>
              <w:ind w:firstLine="420"/>
            </w:pPr>
            <w:r>
              <w:rPr>
                <w:sz w:val="21"/>
              </w:rPr>
              <w:t>6</w:t>
            </w:r>
            <w:r>
              <w:rPr>
                <w:sz w:val="21"/>
              </w:rPr>
              <w:t>.</w:t>
            </w:r>
            <w:r>
              <w:rPr>
                <w:sz w:val="21"/>
              </w:rPr>
              <w:t>建立安全责任制，落实责任人。安全措施是对项目安全生产进行计划、组织、指挥、协调或监控的一系列活动，它可以保证施工中的人身安全、设备安全、结构安全、财产安全并创造适宜的施工环境。在施工中要坚持</w:t>
            </w:r>
            <w:r>
              <w:rPr>
                <w:sz w:val="21"/>
              </w:rPr>
              <w:t>“安全第一，预防为主”的方针，控制的重点是施工中人员的不安全行为、设备设施的不安全状态、作业环境的不安全因素以及管理上的不安全缺陷。责任人在施工前要进行安全检查，把不安全因素消灭在萌芽状态。</w:t>
            </w:r>
          </w:p>
          <w:p>
            <w:pPr>
              <w:pStyle w:val="null3"/>
              <w:ind w:firstLine="420"/>
            </w:pPr>
            <w:r>
              <w:rPr>
                <w:sz w:val="21"/>
              </w:rPr>
              <w:t>7</w:t>
            </w:r>
            <w:r>
              <w:rPr>
                <w:sz w:val="21"/>
              </w:rPr>
              <w:t>.</w:t>
            </w:r>
            <w:r>
              <w:rPr>
                <w:sz w:val="21"/>
              </w:rPr>
              <w:t>设专职安全员，全面负责施工安全，统筹工程安全生产工作，保证并监督各项措施的实施。</w:t>
            </w:r>
          </w:p>
          <w:p>
            <w:pPr>
              <w:pStyle w:val="null3"/>
              <w:ind w:firstLine="420"/>
            </w:pPr>
            <w:r>
              <w:rPr>
                <w:sz w:val="21"/>
              </w:rPr>
              <w:t>8</w:t>
            </w:r>
            <w:r>
              <w:rPr>
                <w:sz w:val="21"/>
              </w:rPr>
              <w:t>.</w:t>
            </w:r>
            <w:r>
              <w:rPr>
                <w:sz w:val="21"/>
              </w:rPr>
              <w:t>加强安全教育和宣传工作，使安全意识得到进一步提高。</w:t>
            </w:r>
          </w:p>
          <w:p>
            <w:pPr>
              <w:pStyle w:val="null3"/>
              <w:ind w:firstLine="420"/>
            </w:pPr>
            <w:r>
              <w:rPr>
                <w:sz w:val="21"/>
              </w:rPr>
              <w:t>9</w:t>
            </w:r>
            <w:r>
              <w:rPr>
                <w:sz w:val="21"/>
              </w:rPr>
              <w:t>.</w:t>
            </w:r>
            <w:r>
              <w:rPr>
                <w:sz w:val="21"/>
              </w:rPr>
              <w:t>严禁酒后上班，严禁穿拖鞋、高跟鞋上班，严禁上班时嬉戏，无理取闹等扰乱正常施工</w:t>
            </w:r>
            <w:r>
              <w:rPr>
                <w:sz w:val="21"/>
              </w:rPr>
              <w:t>。</w:t>
            </w:r>
          </w:p>
          <w:p>
            <w:pPr>
              <w:pStyle w:val="null3"/>
              <w:ind w:firstLine="420"/>
            </w:pPr>
            <w:r>
              <w:rPr>
                <w:sz w:val="21"/>
              </w:rPr>
              <w:t>（二）因施工区域在监管区内，故施工人员应严格遵守监狱相关规定及施工人员认真教育本单位工作人员严格遵守监狱的相关管理规定，在签订合同的同时，签订保密承诺书。</w:t>
            </w:r>
          </w:p>
          <w:p>
            <w:pPr>
              <w:pStyle w:val="null3"/>
              <w:ind w:firstLine="420"/>
            </w:pPr>
            <w:r>
              <w:rPr>
                <w:sz w:val="21"/>
              </w:rPr>
              <w:t>1.外来人员必须遵守法律法规，不得假借监狱名义从事有损监狱形象的行为。</w:t>
            </w:r>
          </w:p>
          <w:p>
            <w:pPr>
              <w:pStyle w:val="null3"/>
              <w:ind w:firstLine="420"/>
            </w:pPr>
            <w:r>
              <w:rPr>
                <w:sz w:val="21"/>
              </w:rPr>
              <w:t>2.外来人员进入监管区应提高警惕，注意人身安全保护，加强自我防范意识； 自觉与罪犯划清界线，防止被罪犯利用。</w:t>
            </w:r>
          </w:p>
          <w:p>
            <w:pPr>
              <w:pStyle w:val="null3"/>
              <w:ind w:firstLine="420"/>
            </w:pPr>
            <w:r>
              <w:rPr>
                <w:sz w:val="21"/>
              </w:rPr>
              <w:t>3.外来人员进入监管区必须衣着整齐，举止文明；女士不得衣着暴露。</w:t>
            </w:r>
          </w:p>
          <w:p>
            <w:pPr>
              <w:pStyle w:val="null3"/>
              <w:ind w:firstLine="420"/>
            </w:pPr>
            <w:r>
              <w:rPr>
                <w:sz w:val="21"/>
              </w:rPr>
              <w:t>4.凡需进入监管区的外来人员必须由合作方开具委派证明和身份证明原件，向狱方提出申请，经核准后办理相关手续。</w:t>
            </w:r>
          </w:p>
          <w:p>
            <w:pPr>
              <w:pStyle w:val="null3"/>
              <w:ind w:firstLine="420"/>
            </w:pPr>
            <w:r>
              <w:rPr>
                <w:sz w:val="21"/>
              </w:rPr>
              <w:t>5.外来车辆应凭审批手续并由监狱警察带领或监狱指定人员驾驶，方可进出监管区大门。</w:t>
            </w:r>
          </w:p>
          <w:p>
            <w:pPr>
              <w:pStyle w:val="null3"/>
              <w:ind w:firstLine="420"/>
            </w:pPr>
            <w:r>
              <w:rPr>
                <w:sz w:val="21"/>
              </w:rPr>
              <w:t>6.所有进出监管区大门的人员、车辆和物品应接受监门警察和监门哨兵的检查，凭通行证件或经监狱审批的手续，人证相符、手续齐全方可进出监管区大门。</w:t>
            </w:r>
          </w:p>
          <w:p>
            <w:pPr>
              <w:pStyle w:val="null3"/>
              <w:ind w:firstLine="420"/>
            </w:pPr>
            <w:r>
              <w:rPr>
                <w:sz w:val="21"/>
              </w:rPr>
              <w:t>7.外来人员进出监管区大门必须遵守《广东省监狱监管区大门管理规定（试行）》。凭有效身份证件办理《外来人员通行证》或《外来人员临时通行证》 ，由监狱相关部门警察带入带出，并接受监门武警和值班警察的检查管理。</w:t>
            </w:r>
          </w:p>
          <w:p>
            <w:pPr>
              <w:pStyle w:val="null3"/>
              <w:ind w:firstLine="420"/>
            </w:pPr>
            <w:r>
              <w:rPr>
                <w:sz w:val="21"/>
              </w:rPr>
              <w:t>8.外来人员不得携带违禁品、违规品、危险品等可能影响监管安全的物品进入监管区，进入监管区时必须按规定将移动电话等物品保管在贮物箱。违禁品是指枪支弹药、通讯设备、现金、刀具、毒品、麻醉及精神药品、军警制服、便服、假发、反动、淫秽宣传制品等物品；违规品是指含有酒精的饮品、火种及可用作点火的可燃物品、身份类证件、绳索及可用作绳索的生产原材料、半成品、成品、玻璃陶瓷类制品及含有玻璃制品的物品、绝缘物品、燃料炊具和电炊具等物品；危险品是指钝器、攀高物、易燃易爆、剧毒、放射、腐蚀性等物品。</w:t>
            </w:r>
          </w:p>
          <w:p>
            <w:pPr>
              <w:pStyle w:val="null3"/>
              <w:ind w:firstLine="420"/>
            </w:pPr>
            <w:r>
              <w:rPr>
                <w:sz w:val="21"/>
              </w:rPr>
              <w:t>9.外来人员进入监管区大门后，必须将《外来人员通行证》或《外来人员临时通行证》挂于胸前，并妥善保管。</w:t>
            </w:r>
          </w:p>
          <w:p>
            <w:pPr>
              <w:pStyle w:val="null3"/>
              <w:ind w:firstLine="420"/>
            </w:pPr>
            <w:r>
              <w:rPr>
                <w:sz w:val="21"/>
              </w:rPr>
              <w:t>10.外来人员在监管区内必须遵守监狱的下列规定：</w:t>
            </w:r>
          </w:p>
          <w:p>
            <w:pPr>
              <w:pStyle w:val="null3"/>
              <w:ind w:firstLine="420"/>
            </w:pPr>
            <w:r>
              <w:rPr>
                <w:sz w:val="21"/>
              </w:rPr>
              <w:t>（</w:t>
            </w:r>
            <w:r>
              <w:rPr>
                <w:sz w:val="21"/>
              </w:rPr>
              <w:t>1）不得擅自与服刑人员接触，与服刑人员认老乡、攀亲结友；</w:t>
            </w:r>
          </w:p>
          <w:p>
            <w:pPr>
              <w:pStyle w:val="null3"/>
              <w:ind w:firstLine="420"/>
            </w:pPr>
            <w:r>
              <w:rPr>
                <w:sz w:val="21"/>
              </w:rPr>
              <w:t>（</w:t>
            </w:r>
            <w:r>
              <w:rPr>
                <w:sz w:val="21"/>
              </w:rPr>
              <w:t>2）不得为服刑人员传带、保管任何物品；</w:t>
            </w:r>
          </w:p>
          <w:p>
            <w:pPr>
              <w:pStyle w:val="null3"/>
              <w:ind w:firstLine="420"/>
            </w:pPr>
            <w:r>
              <w:rPr>
                <w:sz w:val="21"/>
              </w:rPr>
              <w:t>（</w:t>
            </w:r>
            <w:r>
              <w:rPr>
                <w:sz w:val="21"/>
              </w:rPr>
              <w:t>3）不得为服刑人员邮寄信件、捎口信或替服刑人员打电话；</w:t>
            </w:r>
          </w:p>
          <w:p>
            <w:pPr>
              <w:pStyle w:val="null3"/>
              <w:ind w:firstLine="420"/>
            </w:pPr>
            <w:r>
              <w:rPr>
                <w:sz w:val="21"/>
              </w:rPr>
              <w:t>（</w:t>
            </w:r>
            <w:r>
              <w:rPr>
                <w:sz w:val="21"/>
              </w:rPr>
              <w:t>4）不得在监管区拍照、摄像或录音；</w:t>
            </w:r>
          </w:p>
          <w:p>
            <w:pPr>
              <w:pStyle w:val="null3"/>
              <w:ind w:firstLine="420"/>
            </w:pPr>
            <w:r>
              <w:rPr>
                <w:sz w:val="21"/>
              </w:rPr>
              <w:t>（</w:t>
            </w:r>
            <w:r>
              <w:rPr>
                <w:sz w:val="21"/>
              </w:rPr>
              <w:t>5）不得在监管区内随意走动，非经许可不得进入监舍区；</w:t>
            </w:r>
          </w:p>
          <w:p>
            <w:pPr>
              <w:pStyle w:val="null3"/>
              <w:ind w:firstLine="420"/>
            </w:pPr>
            <w:r>
              <w:rPr>
                <w:sz w:val="21"/>
              </w:rPr>
              <w:t>（</w:t>
            </w:r>
            <w:r>
              <w:rPr>
                <w:sz w:val="21"/>
              </w:rPr>
              <w:t>6）不得与服刑人员交谈业务以外的内容；</w:t>
            </w:r>
          </w:p>
          <w:p>
            <w:pPr>
              <w:pStyle w:val="null3"/>
              <w:ind w:firstLine="420"/>
            </w:pPr>
            <w:r>
              <w:rPr>
                <w:sz w:val="21"/>
              </w:rPr>
              <w:t>（</w:t>
            </w:r>
            <w:r>
              <w:rPr>
                <w:sz w:val="21"/>
              </w:rPr>
              <w:t>7）不得散布不利于服刑人员改造的言论；</w:t>
            </w:r>
          </w:p>
          <w:p>
            <w:pPr>
              <w:pStyle w:val="null3"/>
              <w:ind w:firstLine="420"/>
            </w:pPr>
            <w:r>
              <w:rPr>
                <w:sz w:val="21"/>
              </w:rPr>
              <w:t>（</w:t>
            </w:r>
            <w:r>
              <w:rPr>
                <w:sz w:val="21"/>
              </w:rPr>
              <w:t>8）不得干涉、干扰监狱对服刑人员的执法活动；</w:t>
            </w:r>
          </w:p>
          <w:p>
            <w:pPr>
              <w:pStyle w:val="null3"/>
              <w:ind w:firstLine="420"/>
            </w:pPr>
            <w:r>
              <w:rPr>
                <w:sz w:val="21"/>
              </w:rPr>
              <w:t>（</w:t>
            </w:r>
            <w:r>
              <w:rPr>
                <w:sz w:val="21"/>
              </w:rPr>
              <w:t>9）不得破坏监狱设施；</w:t>
            </w:r>
          </w:p>
          <w:p>
            <w:pPr>
              <w:pStyle w:val="null3"/>
              <w:ind w:firstLine="420"/>
            </w:pPr>
            <w:r>
              <w:rPr>
                <w:sz w:val="21"/>
              </w:rPr>
              <w:t>（</w:t>
            </w:r>
            <w:r>
              <w:rPr>
                <w:sz w:val="21"/>
              </w:rPr>
              <w:t>10）患有传染性疾病的外来人员严禁进入监管区；</w:t>
            </w:r>
          </w:p>
          <w:p>
            <w:pPr>
              <w:pStyle w:val="null3"/>
              <w:ind w:firstLine="420"/>
            </w:pPr>
            <w:r>
              <w:rPr>
                <w:sz w:val="21"/>
              </w:rPr>
              <w:t>（</w:t>
            </w:r>
            <w:r>
              <w:rPr>
                <w:sz w:val="21"/>
              </w:rPr>
              <w:t>11）不得向无关人员谈及监狱工作秘密，或从事其他有碍监管安全的行为</w:t>
            </w:r>
            <w:r>
              <w:rPr>
                <w:sz w:val="21"/>
              </w:rPr>
              <w:t>；</w:t>
            </w:r>
          </w:p>
          <w:p>
            <w:pPr>
              <w:pStyle w:val="null3"/>
              <w:ind w:firstLine="420"/>
            </w:pPr>
            <w:r>
              <w:rPr>
                <w:sz w:val="21"/>
              </w:rPr>
              <w:t>（</w:t>
            </w:r>
            <w:r>
              <w:rPr>
                <w:sz w:val="21"/>
              </w:rPr>
              <w:t>12）外来车辆应按指定位置停放并熄火，拔下钥匙，锁紧车门窗。所有车辆在当天18时前应驶离监管区</w:t>
            </w:r>
            <w:r>
              <w:rPr>
                <w:sz w:val="21"/>
              </w:rPr>
              <w:t>；</w:t>
            </w:r>
          </w:p>
          <w:p>
            <w:pPr>
              <w:pStyle w:val="null3"/>
              <w:ind w:firstLine="420"/>
            </w:pPr>
            <w:r>
              <w:rPr>
                <w:sz w:val="21"/>
              </w:rPr>
              <w:t>（</w:t>
            </w:r>
            <w:r>
              <w:rPr>
                <w:sz w:val="21"/>
              </w:rPr>
              <w:t>13）外来人员若违反本管理规定，监狱将责成</w:t>
            </w:r>
            <w:r>
              <w:rPr>
                <w:sz w:val="21"/>
              </w:rPr>
              <w:t>成交供应商</w:t>
            </w:r>
            <w:r>
              <w:rPr>
                <w:sz w:val="21"/>
              </w:rPr>
              <w:t>将其解聘、辞退或调离，严禁其再次进入监管区，有违法行为的送司法机关处理。</w:t>
            </w:r>
          </w:p>
        </w:tc>
      </w:tr>
      <w:tr>
        <w:tc>
          <w:tcPr>
            <w:tcW w:type="dxa" w:w="2076"/>
          </w:tcPr>
          <w:p/>
        </w:tc>
        <w:tc>
          <w:tcPr>
            <w:tcW w:type="dxa" w:w="415"/>
          </w:tcPr>
          <w:p>
            <w:pPr>
              <w:pStyle w:val="null3"/>
            </w:pPr>
            <w:r>
              <w:rPr/>
              <w:t>9</w:t>
            </w:r>
          </w:p>
        </w:tc>
        <w:tc>
          <w:tcPr>
            <w:tcW w:type="dxa" w:w="5814"/>
          </w:tcPr>
          <w:p>
            <w:pPr>
              <w:pStyle w:val="null3"/>
              <w:spacing w:before="150"/>
            </w:pPr>
            <w:r>
              <w:rPr>
                <w:sz w:val="28"/>
                <w:b/>
              </w:rPr>
              <w:t>九、结算要求</w:t>
            </w:r>
          </w:p>
          <w:p>
            <w:pPr>
              <w:pStyle w:val="null3"/>
              <w:ind w:firstLine="420"/>
            </w:pPr>
            <w:r>
              <w:rPr>
                <w:sz w:val="21"/>
              </w:rPr>
              <w:t>1、成交供应商应按照国家规范的相关要求做好工程资料的管理工作，工程竣工验收后，成交供应商负责按现行法律法规编制工程结算书，并于30天内向采购人报送完整的工程结算资料（包括竣工图及主要材料的合格证明书）。结算不能超过成交金额，并需配合采购人对竣工结算的审核及审计工作。</w:t>
            </w:r>
          </w:p>
          <w:p>
            <w:pPr>
              <w:pStyle w:val="null3"/>
              <w:ind w:firstLine="420"/>
            </w:pPr>
            <w:r>
              <w:rPr>
                <w:sz w:val="21"/>
              </w:rPr>
              <w:t>2、项目变更。如因不可抗力因素或建设需求、技术变革等客观条件影响，项目确需进行变更的情形，</w:t>
            </w:r>
            <w:r>
              <w:rPr>
                <w:sz w:val="21"/>
              </w:rPr>
              <w:t>成交供应商</w:t>
            </w:r>
            <w:r>
              <w:rPr>
                <w:sz w:val="21"/>
              </w:rPr>
              <w:t>必须按《广东省监狱管理局信息化项目变更管理实施细则》及</w:t>
            </w:r>
            <w:r>
              <w:rPr>
                <w:sz w:val="21"/>
              </w:rPr>
              <w:t>采购人</w:t>
            </w:r>
            <w:r>
              <w:rPr>
                <w:sz w:val="21"/>
              </w:rPr>
              <w:t>要求完成变更申请流程工作。</w:t>
            </w:r>
            <w:r>
              <w:rPr>
                <w:sz w:val="21"/>
              </w:rPr>
              <w:t>采购人</w:t>
            </w:r>
            <w:r>
              <w:rPr>
                <w:sz w:val="21"/>
              </w:rPr>
              <w:t>应在变更需求提出时，向</w:t>
            </w:r>
            <w:r>
              <w:rPr>
                <w:sz w:val="21"/>
              </w:rPr>
              <w:t>成交供应商</w:t>
            </w:r>
            <w:r>
              <w:rPr>
                <w:sz w:val="21"/>
              </w:rPr>
              <w:t>提供该实施细则的使用条款，在变更被确认之后，本合同被视为在</w:t>
            </w:r>
            <w:r>
              <w:rPr>
                <w:sz w:val="21"/>
              </w:rPr>
              <w:t>采购人</w:t>
            </w:r>
            <w:r>
              <w:rPr>
                <w:sz w:val="21"/>
              </w:rPr>
              <w:t>确认当日作出了变更，且</w:t>
            </w:r>
            <w:r>
              <w:rPr>
                <w:sz w:val="21"/>
              </w:rPr>
              <w:t>采购人</w:t>
            </w:r>
            <w:r>
              <w:rPr>
                <w:sz w:val="21"/>
              </w:rPr>
              <w:t>与</w:t>
            </w:r>
            <w:r>
              <w:rPr>
                <w:sz w:val="21"/>
              </w:rPr>
              <w:t>成交供应商</w:t>
            </w:r>
            <w:r>
              <w:rPr>
                <w:sz w:val="21"/>
              </w:rPr>
              <w:t>须遵守在变更后的本合同项下所应承担的义务；</w:t>
            </w:r>
            <w:r>
              <w:rPr>
                <w:sz w:val="21"/>
              </w:rPr>
              <w:t>成交供应商</w:t>
            </w:r>
            <w:r>
              <w:rPr>
                <w:sz w:val="21"/>
              </w:rPr>
              <w:t>须按</w:t>
            </w:r>
            <w:r>
              <w:rPr>
                <w:sz w:val="21"/>
              </w:rPr>
              <w:t>采购人</w:t>
            </w:r>
            <w:r>
              <w:rPr>
                <w:sz w:val="21"/>
              </w:rPr>
              <w:t>变更通知所要求的方式或前述争议解决结果，在合理期限内实施该项变更。</w:t>
            </w:r>
          </w:p>
        </w:tc>
      </w:tr>
      <w:tr>
        <w:tc>
          <w:tcPr>
            <w:tcW w:type="dxa" w:w="2076"/>
          </w:tcPr>
          <w:p/>
        </w:tc>
        <w:tc>
          <w:tcPr>
            <w:tcW w:type="dxa" w:w="415"/>
          </w:tcPr>
          <w:p>
            <w:pPr>
              <w:pStyle w:val="null3"/>
            </w:pPr>
            <w:r>
              <w:rPr/>
              <w:t>10</w:t>
            </w:r>
          </w:p>
        </w:tc>
        <w:tc>
          <w:tcPr>
            <w:tcW w:type="dxa" w:w="5814"/>
          </w:tcPr>
          <w:p>
            <w:pPr>
              <w:pStyle w:val="null3"/>
              <w:spacing w:before="150"/>
            </w:pPr>
            <w:r>
              <w:rPr>
                <w:sz w:val="28"/>
                <w:b/>
              </w:rPr>
              <w:t>十、违约责任</w:t>
            </w:r>
          </w:p>
          <w:p>
            <w:pPr>
              <w:pStyle w:val="null3"/>
              <w:ind w:firstLine="420"/>
            </w:pPr>
            <w:r>
              <w:rPr>
                <w:sz w:val="21"/>
              </w:rPr>
              <w:t>1.</w:t>
            </w:r>
            <w:r>
              <w:rPr>
                <w:sz w:val="21"/>
              </w:rPr>
              <w:t>成交供应商</w:t>
            </w:r>
            <w:r>
              <w:rPr>
                <w:sz w:val="21"/>
              </w:rPr>
              <w:t>交付的货物或提供的服务不符合</w:t>
            </w:r>
            <w:r>
              <w:rPr>
                <w:sz w:val="21"/>
              </w:rPr>
              <w:t>磋商文件</w:t>
            </w:r>
            <w:r>
              <w:rPr>
                <w:sz w:val="21"/>
              </w:rPr>
              <w:t>用户需求或本项目合同规定的，采购人有权拒收。</w:t>
            </w:r>
          </w:p>
          <w:p>
            <w:pPr>
              <w:pStyle w:val="null3"/>
              <w:ind w:firstLine="420"/>
            </w:pPr>
            <w:r>
              <w:rPr>
                <w:sz w:val="21"/>
              </w:rPr>
              <w:t>2.</w:t>
            </w:r>
            <w:r>
              <w:rPr>
                <w:sz w:val="21"/>
              </w:rPr>
              <w:t>成交供应商</w:t>
            </w:r>
            <w:r>
              <w:rPr>
                <w:sz w:val="21"/>
              </w:rPr>
              <w:t>如非因不可抗力或其他等特殊因素未能按本合同约定的时间交付货物或提供服务的，从逾期之日起每日按本合同总价的万分之五的数额向采购人支付违约金；逾期</w:t>
            </w:r>
            <w:r>
              <w:rPr>
                <w:sz w:val="21"/>
              </w:rPr>
              <w:t>1个月以上的，采购人有权终止合同，</w:t>
            </w:r>
            <w:r>
              <w:rPr>
                <w:sz w:val="21"/>
              </w:rPr>
              <w:t>成交供应商</w:t>
            </w:r>
            <w:r>
              <w:rPr>
                <w:sz w:val="21"/>
              </w:rPr>
              <w:t>承担本合同总价</w:t>
            </w:r>
            <w:r>
              <w:rPr>
                <w:sz w:val="21"/>
              </w:rPr>
              <w:t>20%的违约金。违约金不足以弥补采购人损失，</w:t>
            </w:r>
            <w:r>
              <w:rPr>
                <w:sz w:val="21"/>
              </w:rPr>
              <w:t>成交供应商</w:t>
            </w:r>
            <w:r>
              <w:rPr>
                <w:sz w:val="21"/>
              </w:rPr>
              <w:t>按照采购人的实际损失承担相应的违约责任。</w:t>
            </w:r>
          </w:p>
          <w:p>
            <w:pPr>
              <w:pStyle w:val="null3"/>
              <w:ind w:firstLine="420"/>
            </w:pPr>
            <w:r>
              <w:rPr>
                <w:sz w:val="21"/>
              </w:rPr>
              <w:t>3.其它违约责任按《中华人民共和国民法典》处理。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1.采购代理机构：本项目是指广州顺为招标采购有限公司，负责整个采购活动的组织，依法负责编制和发布磋商文件，对磋商文件拥有最终的解释权，不以任何身份出任磋商小组成员。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广东省江门监狱</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以下收费标准下浮30%执行，收费金额按差额定率累进法计算。成交金额100万元以下，费率1.0%；100－500万元，费率0.7%。注：（1）服务费以人民币支付。（2）服务费支付方式：一次性以电汇、支票或现金等形式支付。（3）服务费不在投标报价中单列。（4）如成交供应商放弃中标或因违法违规行为被取消中标资格的，代理服务费不予退还。</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本项目为远程电子开启方式，参与本项目的供应商登录云平台通过“新供应商开标大厅”进行签到及响应文件解密，签到需在递交响应文件截止时间前30分钟内完成。开启时，供应商应当使用编制本项目（采购包）电子响应文件时加密所用数字证书开始解密，解密时限为主持人开启远程解密起30分钟内完成。各供应商在参加开启之前须自行对使用电脑的网络环境、驱动安装、客户端安装以及数字证书的有效性等进行检测，确保可以正常使用。</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广州顺为招标采购有限公司</w:t>
      </w:r>
      <w:r>
        <w:rPr/>
        <w:t>代收。具体操作要求详见</w:t>
      </w:r>
      <w:r>
        <w:rPr/>
        <w:t>广州顺为招标采购有限公司</w:t>
      </w:r>
      <w:r>
        <w:rPr/>
        <w:t>有关指引，递交事宜请自行咨询</w:t>
      </w:r>
      <w:r>
        <w:rPr/>
        <w:t>广州顺为招标采购有限公司</w:t>
      </w:r>
      <w:r>
        <w:rPr/>
        <w:t>；请各供应商在响应文件递交截止时间前按须知前附表规定的金额递交至</w:t>
      </w:r>
      <w:r>
        <w:rPr/>
        <w:t>广州顺为招标采购有限公司</w:t>
      </w:r>
      <w:r>
        <w:rPr/>
        <w:t>，到账情况以开启时</w:t>
      </w:r>
      <w:r>
        <w:rPr/>
        <w:t>广州顺为招标采购有限公司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广州顺为招标采购有限公司网（www.gzswbc.com）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广州顺为招标采购有限公司网（www.gzswbc.com）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罗先生</w:t>
      </w:r>
    </w:p>
    <w:p>
      <w:pPr>
        <w:pStyle w:val="null3"/>
        <w:ind w:firstLine="480"/>
      </w:pPr>
      <w:r>
        <w:rPr/>
        <w:t>电话：</w:t>
      </w:r>
      <w:r>
        <w:rPr/>
        <w:t>020-83592216-841</w:t>
      </w:r>
    </w:p>
    <w:p>
      <w:pPr>
        <w:pStyle w:val="null3"/>
        <w:ind w:firstLine="480"/>
      </w:pPr>
      <w:r>
        <w:rPr/>
        <w:t>传真：</w:t>
      </w:r>
      <w:r>
        <w:rPr/>
        <w:t>020-83595411</w:t>
      </w:r>
    </w:p>
    <w:p>
      <w:pPr>
        <w:pStyle w:val="null3"/>
        <w:ind w:firstLine="480"/>
      </w:pPr>
      <w:r>
        <w:rPr/>
        <w:t>邮箱：</w:t>
      </w:r>
      <w:r>
        <w:rPr/>
        <w:t>gzswbc08@163.com</w:t>
      </w:r>
    </w:p>
    <w:p>
      <w:pPr>
        <w:pStyle w:val="null3"/>
        <w:ind w:firstLine="480"/>
      </w:pPr>
      <w:r>
        <w:rPr/>
        <w:t>地址：</w:t>
      </w:r>
      <w:r>
        <w:rPr/>
        <w:t>广州市越秀区环市中路205号自编B501-B505、B512-B525房</w:t>
      </w:r>
    </w:p>
    <w:p>
      <w:pPr>
        <w:pStyle w:val="null3"/>
        <w:ind w:firstLine="480"/>
      </w:pPr>
      <w:r>
        <w:rPr/>
        <w:t>邮编：</w:t>
      </w:r>
      <w:r>
        <w:rPr/>
        <w:t>510010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东省江门监狱信息化机房设备购置及改造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广州顺为招标采购有限公司</w:t>
      </w:r>
      <w:r>
        <w:rPr/>
        <w:t>统一对外发布。</w:t>
      </w:r>
    </w:p>
    <w:p>
      <w:pPr>
        <w:pStyle w:val="null3"/>
        <w:ind w:firstLine="480"/>
      </w:pPr>
      <w:r>
        <w:rPr/>
        <w:t>（2）对</w:t>
      </w:r>
      <w:r>
        <w:rPr/>
        <w:t>广州顺为招标采购有限公司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采购包1（广东省江门监狱信息化机房设备购置及改造项目）：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采购包1（广东省江门监狱信息化机房设备购置及改造项目）：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提供投标截止日前6个月内任意1个月依法缴纳税收和社会保障资金的相关材料或提供书面承诺（格式自拟）。 如依法免税或不需要缴纳社会保障资金的，提供相应证明材料或提供书面承诺（格式自拟）。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提供2024或2025年度财务状况报告或基本开户行出具的资信证明或提供书面承诺（格式自拟）。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填报设备及专业技术能力情况或提供书面承诺（格式自拟）。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提供书面承诺（格式自拟）。</w:t>
            </w:r>
          </w:p>
        </w:tc>
      </w:tr>
      <w:tr>
        <w:tc>
          <w:tcPr>
            <w:tcW w:type="dxa" w:w="890"/>
          </w:tcPr>
          <w:p>
            <w:pPr>
              <w:pStyle w:val="null3"/>
            </w:pPr>
            <w:r>
              <w:rPr/>
              <w:t>8</w:t>
            </w:r>
          </w:p>
        </w:tc>
        <w:tc>
          <w:tcPr>
            <w:tcW w:type="dxa" w:w="3178"/>
          </w:tcPr>
          <w:p>
            <w:pPr>
              <w:pStyle w:val="null3"/>
            </w:pPr>
            <w:r>
              <w:rPr/>
              <w:t>特定资格要求1</w:t>
            </w:r>
          </w:p>
        </w:tc>
        <w:tc>
          <w:tcPr>
            <w:tcW w:type="dxa" w:w="4238"/>
          </w:tcPr>
          <w:p>
            <w:pPr>
              <w:pStyle w:val="null3"/>
            </w:pPr>
            <w:r>
              <w:rPr/>
              <w:t>供应商须具有建设行政主管部门核发的有效的电子与智能化工程专业承包二级（或以上）资质，或建筑机电工程专业承包乙级（或以上）资质。（提供证书复印件；证书须在有效期内，如依照规定顺延有效期的，须同时提供证明材料）</w:t>
            </w:r>
          </w:p>
        </w:tc>
      </w:tr>
      <w:tr>
        <w:tc>
          <w:tcPr>
            <w:tcW w:type="dxa" w:w="890"/>
          </w:tcPr>
          <w:p>
            <w:pPr>
              <w:pStyle w:val="null3"/>
            </w:pPr>
            <w:r>
              <w:rPr/>
              <w:t>9</w:t>
            </w:r>
          </w:p>
        </w:tc>
        <w:tc>
          <w:tcPr>
            <w:tcW w:type="dxa" w:w="3178"/>
          </w:tcPr>
          <w:p>
            <w:pPr>
              <w:pStyle w:val="null3"/>
            </w:pPr>
            <w:r>
              <w:rPr/>
              <w:t>特定资格要求2</w:t>
            </w:r>
          </w:p>
        </w:tc>
        <w:tc>
          <w:tcPr>
            <w:tcW w:type="dxa" w:w="4238"/>
          </w:tcPr>
          <w:p>
            <w:pPr>
              <w:pStyle w:val="null3"/>
            </w:pPr>
            <w:r>
              <w:rPr/>
              <w:t>供应商须具有建设行政主管部门颁发的有效期内的《安全生产许可证》。（提供有效期内的证书复印件）。</w:t>
            </w:r>
          </w:p>
        </w:tc>
      </w:tr>
      <w:tr>
        <w:tc>
          <w:tcPr>
            <w:tcW w:type="dxa" w:w="890"/>
          </w:tcPr>
          <w:p>
            <w:pPr>
              <w:pStyle w:val="null3"/>
            </w:pPr>
            <w:r>
              <w:rPr/>
              <w:t>10</w:t>
            </w:r>
          </w:p>
        </w:tc>
        <w:tc>
          <w:tcPr>
            <w:tcW w:type="dxa" w:w="3178"/>
          </w:tcPr>
          <w:p>
            <w:pPr>
              <w:pStyle w:val="null3"/>
            </w:pPr>
            <w:r>
              <w:rPr/>
              <w:t>特定资格要求3</w:t>
            </w:r>
          </w:p>
        </w:tc>
        <w:tc>
          <w:tcPr>
            <w:tcW w:type="dxa" w:w="4238"/>
          </w:tcPr>
          <w:p>
            <w:pPr>
              <w:pStyle w:val="null3"/>
            </w:pPr>
            <w:r>
              <w:rPr/>
              <w:t>供应商拟担任本工程项目负责人的人员为机电工程专业二级或以上级别的注册建造师，且持有有效期内的安全生产考核合格证（B类）或提供建筑施工企业管理人员安全生产考核信息系统安全生产管理人员证书信息的网页截图。【提供有效期内的证书扫描件及提供该人员在响应截止之日前三个月内任意一个月供应商为其缴纳的社保证明。（在磋商开始时间起至本项目完工前，该项目负责人不能担任其它项目的项目负责人）】 注1：①一级注册建造师电子证书使用时限为180天，但使用时限距注册专业有效期或建造师满65周岁不足180天的，使用时限截止日期以注册专业有效期截止日期或建造师满65周岁当日为准。超出使用时限的电子证书无效，需重新下载电子证书并再次、确认使用时限。一级注册建造师打印电子证书后，应在个人签名处手写本人签名，未手写签名或与签名图像笔迹不一致的，该电子证书无效。 ②二级注册建造师证书是否有效，按证书注册所在省的规定执行。对于在广东省注册的二级建造师，打印电子证书后，应在个人签名处手写本人签名，未手写签名或与签名图像笔迹不一致的，或者已超出使用有效期的，该电子证书无效。 注2：建造师的专业及等级标准按《注册建造师执业管理办法（试行）》及《注册建造师执业工程规模标准（试行）》；注册建造师包括延续注册成功的注册临时建造师。项目负责人不得同时在其他在建工程项目担任项目负责人，供应商承诺的项目负责人在建工程项目情况与本项目磋商截止日当天采购代理机构通过相关公开数据信息网站查询结果不一致的，以采购代理机构网上查询结果为准。</w:t>
            </w:r>
          </w:p>
        </w:tc>
      </w:tr>
      <w:tr>
        <w:tc>
          <w:tcPr>
            <w:tcW w:type="dxa" w:w="890"/>
          </w:tcPr>
          <w:p>
            <w:pPr>
              <w:pStyle w:val="null3"/>
            </w:pPr>
            <w:r>
              <w:rPr/>
              <w:t>11</w:t>
            </w:r>
          </w:p>
        </w:tc>
        <w:tc>
          <w:tcPr>
            <w:tcW w:type="dxa" w:w="3178"/>
          </w:tcPr>
          <w:p>
            <w:pPr>
              <w:pStyle w:val="null3"/>
            </w:pPr>
            <w:r>
              <w:rPr/>
              <w:t>特定资格要求4</w:t>
            </w:r>
          </w:p>
        </w:tc>
        <w:tc>
          <w:tcPr>
            <w:tcW w:type="dxa" w:w="4238"/>
          </w:tcPr>
          <w:p>
            <w:pPr>
              <w:pStyle w:val="null3"/>
            </w:pPr>
            <w:r>
              <w:rPr/>
              <w:t>专职安全员须具有在有效期内的安全生产考核合格证(C类)或建筑施工企业专职安全生产管理人员安全生产考核合格证(综合类C3)，项目负责人和安全员不为同一人。【提供有效期内的证书扫描件及提供该人员在响应截止之日前三个月内任意一个月供应商为其缴纳的社保证明。】</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整体专门面向中小企业采购。本项目采购标的对应的中小企业划分标准所属行业为：建筑业，投标人须是符合本项目采购标的对应行业（建筑业）政策划分标准的中型、小型或微型企业。监狱企业、残疾人福利单位视同小型、微型企业。注：1.中小企业以供应商填写的《中小企业声明函（服务）》（见投标格式）为判定标准，残疾人福利性单位以投标人填写的《残疾人福利性单位声明函》（见投标格式）为判定标准，监狱企业须投标人提供由省级以上监狱管理局、戒毒管理局（含新疆生产建设兵团）出具的属于监狱企业的证明文件，否则不予认定。2.《中小企业声明函》的填写要求见《广东省财政厅关于进一步规范政府采购活动中落实促进中小企业发展政策的通知》（粤财采购〔2024〕11号）的规定。</w:t>
            </w:r>
          </w:p>
        </w:tc>
      </w:tr>
    </w:tbl>
    <w:p>
      <w:pPr>
        <w:pStyle w:val="null3"/>
        <w:ind w:firstLine="480"/>
      </w:pPr>
      <w:r>
        <w:rPr/>
        <w:t>表二符合性审查表：</w:t>
      </w:r>
    </w:p>
    <w:p>
      <w:pPr>
        <w:pStyle w:val="null3"/>
      </w:pPr>
      <w:r>
        <w:rPr/>
        <w:t>采购包1（广东省江门监狱信息化机房设备购置及改造项目）：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响应有效期满足磋商文件要求（90天）</w:t>
            </w:r>
          </w:p>
        </w:tc>
      </w:tr>
      <w:tr>
        <w:tc>
          <w:tcPr>
            <w:tcW w:type="dxa" w:w="890"/>
          </w:tcPr>
          <w:p>
            <w:pPr>
              <w:pStyle w:val="null3"/>
            </w:pPr>
            <w:r>
              <w:rPr/>
              <w:t>2</w:t>
            </w:r>
          </w:p>
        </w:tc>
        <w:tc>
          <w:tcPr>
            <w:tcW w:type="dxa" w:w="3178"/>
          </w:tcPr>
          <w:p>
            <w:pPr>
              <w:pStyle w:val="null3"/>
            </w:pPr>
            <w:r>
              <w:rPr/>
              <w:t>响应文件的签署和盖章</w:t>
            </w:r>
          </w:p>
        </w:tc>
        <w:tc>
          <w:tcPr>
            <w:tcW w:type="dxa" w:w="4238"/>
          </w:tcPr>
          <w:p>
            <w:pPr>
              <w:pStyle w:val="null3"/>
            </w:pPr>
            <w:r>
              <w:rPr/>
              <w:t>响应文件符合磋商文件的签署和盖章要求</w:t>
            </w:r>
          </w:p>
        </w:tc>
      </w:tr>
      <w:tr>
        <w:tc>
          <w:tcPr>
            <w:tcW w:type="dxa" w:w="890"/>
          </w:tcPr>
          <w:p>
            <w:pPr>
              <w:pStyle w:val="null3"/>
            </w:pPr>
            <w:r>
              <w:rPr/>
              <w:t>3</w:t>
            </w:r>
          </w:p>
        </w:tc>
        <w:tc>
          <w:tcPr>
            <w:tcW w:type="dxa" w:w="3178"/>
          </w:tcPr>
          <w:p>
            <w:pPr>
              <w:pStyle w:val="null3"/>
            </w:pPr>
            <w:r>
              <w:rPr/>
              <w:t>带★号条款</w:t>
            </w:r>
          </w:p>
        </w:tc>
        <w:tc>
          <w:tcPr>
            <w:tcW w:type="dxa" w:w="4238"/>
          </w:tcPr>
          <w:p>
            <w:pPr>
              <w:pStyle w:val="null3"/>
            </w:pPr>
            <w:r>
              <w:rPr/>
              <w:t>实质性响应采购需求书中带★号条款要求</w:t>
            </w:r>
          </w:p>
        </w:tc>
      </w:tr>
      <w:tr>
        <w:tc>
          <w:tcPr>
            <w:tcW w:type="dxa" w:w="890"/>
          </w:tcPr>
          <w:p>
            <w:pPr>
              <w:pStyle w:val="null3"/>
            </w:pPr>
            <w:r>
              <w:rPr/>
              <w:t>4</w:t>
            </w:r>
          </w:p>
        </w:tc>
        <w:tc>
          <w:tcPr>
            <w:tcW w:type="dxa" w:w="3178"/>
          </w:tcPr>
          <w:p>
            <w:pPr>
              <w:pStyle w:val="null3"/>
            </w:pPr>
            <w:r>
              <w:rPr/>
              <w:t>响应报价</w:t>
            </w:r>
          </w:p>
        </w:tc>
        <w:tc>
          <w:tcPr>
            <w:tcW w:type="dxa" w:w="4238"/>
          </w:tcPr>
          <w:p>
            <w:pPr>
              <w:pStyle w:val="null3"/>
            </w:pPr>
            <w:r>
              <w:rPr/>
              <w:t>响应总报价是固定唯一值，且没有超出采购预算</w:t>
            </w:r>
          </w:p>
        </w:tc>
      </w:tr>
      <w:tr>
        <w:tc>
          <w:tcPr>
            <w:tcW w:type="dxa" w:w="890"/>
          </w:tcPr>
          <w:p>
            <w:pPr>
              <w:pStyle w:val="null3"/>
            </w:pPr>
            <w:r>
              <w:rPr/>
              <w:t>5</w:t>
            </w:r>
          </w:p>
        </w:tc>
        <w:tc>
          <w:tcPr>
            <w:tcW w:type="dxa" w:w="3178"/>
          </w:tcPr>
          <w:p>
            <w:pPr>
              <w:pStyle w:val="null3"/>
            </w:pPr>
            <w:r>
              <w:rPr/>
              <w:t>其他要求</w:t>
            </w:r>
          </w:p>
        </w:tc>
        <w:tc>
          <w:tcPr>
            <w:tcW w:type="dxa" w:w="4238"/>
          </w:tcPr>
          <w:p>
            <w:pPr>
              <w:pStyle w:val="null3"/>
            </w:pPr>
            <w:r>
              <w:rPr/>
              <w:t>响应文件实质性响应磋商文件要求，且无经评委认定为无效标的。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采购包1(广东省江门监狱信息化机房设备购置及改造项目):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施工实施方案 (10.0分)</w:t>
            </w:r>
          </w:p>
        </w:tc>
        <w:tc>
          <w:tcPr>
            <w:tcW w:type="dxa" w:w="5076"/>
          </w:tcPr>
          <w:p>
            <w:pPr>
              <w:pStyle w:val="null3"/>
              <w:jc w:val="left"/>
            </w:pPr>
            <w:r>
              <w:rPr/>
              <w:t>根据供应商针对本项目提供的实施方案（包含但不限于①施工总体部署；②施工工序；③施工方法；④材料管理等）进行评审： 1、实施方案内容详细完整、合理，对本项目改造技术重点针对性强，技术措施安全、具体、成熟，得10分； 2、实施方案内容较完整、合理，对本项目改造技术重点针对性较强，技术措施安全、较具体、较成熟，得7分； 3、实施方案内容基本完整，对本项目改造技术重点针对性一般，技术措施安全、但欠具体、欠成熟，得4分； 4、不提供或其他情形，得0分。</w:t>
            </w:r>
          </w:p>
        </w:tc>
      </w:tr>
      <w:tr>
        <w:tc>
          <w:tcPr>
            <w:tcW w:type="dxa" w:w="922"/>
            <w:gridSpan w:val="2"/>
            <w:vMerge/>
          </w:tcPr>
          <w:p/>
        </w:tc>
        <w:tc>
          <w:tcPr>
            <w:tcW w:type="dxa" w:w="2307"/>
          </w:tcPr>
          <w:p>
            <w:pPr>
              <w:pStyle w:val="null3"/>
              <w:jc w:val="left"/>
            </w:pPr>
            <w:r>
              <w:rPr/>
              <w:t>工程质量保障方案 (10.0分)</w:t>
            </w:r>
          </w:p>
        </w:tc>
        <w:tc>
          <w:tcPr>
            <w:tcW w:type="dxa" w:w="5076"/>
          </w:tcPr>
          <w:p>
            <w:pPr>
              <w:pStyle w:val="null3"/>
              <w:jc w:val="left"/>
            </w:pPr>
            <w:r>
              <w:rPr/>
              <w:t>根据供应商针对本工程提供的工程质量保障方案（包括①质量目标②质量保证措施③主材选用依据④质保期服务等）进行评审： 1、工程质量保障方案完整可靠，质量目标非常明确、质量保证措施完整可行，有明确的质量承诺，完全符合项目需求，得10分； 2、工程质量保障方案较完整，质量目标比较明确、质量保证措施基本可行，有比较明确的质量承诺，基本符合项目需求，得7分； 3、工程质量保障方案基本完整，质量目标不明确、质量保证措施一般，部分质量承诺不明确，部分不符合项目需求，得4分； 4、不提供或其他情形，得0分。</w:t>
            </w:r>
          </w:p>
        </w:tc>
      </w:tr>
      <w:tr>
        <w:tc>
          <w:tcPr>
            <w:tcW w:type="dxa" w:w="922"/>
            <w:gridSpan w:val="2"/>
            <w:vMerge/>
          </w:tcPr>
          <w:p/>
        </w:tc>
        <w:tc>
          <w:tcPr>
            <w:tcW w:type="dxa" w:w="2307"/>
          </w:tcPr>
          <w:p>
            <w:pPr>
              <w:pStyle w:val="null3"/>
              <w:jc w:val="left"/>
            </w:pPr>
            <w:r>
              <w:rPr/>
              <w:t>安全及绿色文明施工措施 (8.0分)</w:t>
            </w:r>
          </w:p>
        </w:tc>
        <w:tc>
          <w:tcPr>
            <w:tcW w:type="dxa" w:w="5076"/>
          </w:tcPr>
          <w:p>
            <w:pPr>
              <w:pStyle w:val="null3"/>
              <w:jc w:val="left"/>
            </w:pPr>
            <w:r>
              <w:rPr/>
              <w:t>供应商根据采购需求“质量、安全文明标准”“施工规范”，针对本项目提供的安全及绿色文明施工措施（包括但不限于①绿色施工；②安全防护；③文明施工；④措施计划等）进行评审： 1、安全及绿色文明施工措施考虑全面，切实可行、具体措施便于落实，完全满足且优于采购需求，得8分； 2.安全及绿色文明施工措施，考虑较全面，措施较较为合理可行，满足采购需求，得5分； 3、安全及绿色文明施工措施不够明确具体，具体实施措施一般，不能完全满足采购需求，得2分； 4、不提供或其他情形，得0分。</w:t>
            </w:r>
          </w:p>
        </w:tc>
      </w:tr>
      <w:tr>
        <w:tc>
          <w:tcPr>
            <w:tcW w:type="dxa" w:w="922"/>
            <w:gridSpan w:val="2"/>
            <w:vMerge/>
          </w:tcPr>
          <w:p/>
        </w:tc>
        <w:tc>
          <w:tcPr>
            <w:tcW w:type="dxa" w:w="2307"/>
          </w:tcPr>
          <w:p>
            <w:pPr>
              <w:pStyle w:val="null3"/>
              <w:jc w:val="left"/>
            </w:pPr>
            <w:r>
              <w:rPr/>
              <w:t>施工总进度计划及保障方案 (8.0分)</w:t>
            </w:r>
          </w:p>
        </w:tc>
        <w:tc>
          <w:tcPr>
            <w:tcW w:type="dxa" w:w="5076"/>
          </w:tcPr>
          <w:p>
            <w:pPr>
              <w:pStyle w:val="null3"/>
              <w:jc w:val="left"/>
            </w:pPr>
            <w:r>
              <w:rPr/>
              <w:t>根据供应商针对本项目提供的施工总进度计划及保障方案（包括但不限于①关键线路；②关键节点；③计划编制；④人、材、机进场计划等）进行评审： 1、关键线路清晰、准确、完整，计划编制合理、可行。关键节点的控制措施有力、合理、可行。人、材、机需求和进场计划与进度计划相呼应，满足施工需要，调配投入计划合理、准确，得8分； 2、关键线路较清晰、准确、完整，计划编制可行。关键节点的控制措施较合理、可行。人、材、机需求和进场计划与进度计划相呼应，基本满足施工需要，调配投入计划基本合理、准确，得5分； 3、关键线路基本准确，计划编制基本合理。关键节点的控制措施基本可行。人、材、机需求和进场计划与进度计划不完善，不够满足施工需要，调配投入计划不够合理，得2分； 4、不提供或其他情形，得0分。</w:t>
            </w:r>
          </w:p>
        </w:tc>
      </w:tr>
      <w:tr>
        <w:tc>
          <w:tcPr>
            <w:tcW w:type="dxa" w:w="922"/>
            <w:gridSpan w:val="2"/>
            <w:vMerge/>
          </w:tcPr>
          <w:p/>
        </w:tc>
        <w:tc>
          <w:tcPr>
            <w:tcW w:type="dxa" w:w="2307"/>
          </w:tcPr>
          <w:p>
            <w:pPr>
              <w:pStyle w:val="null3"/>
              <w:jc w:val="left"/>
            </w:pPr>
            <w:r>
              <w:rPr/>
              <w:t>突发事件应急预案 (4.0分)</w:t>
            </w:r>
          </w:p>
        </w:tc>
        <w:tc>
          <w:tcPr>
            <w:tcW w:type="dxa" w:w="5076"/>
          </w:tcPr>
          <w:p>
            <w:pPr>
              <w:pStyle w:val="null3"/>
              <w:jc w:val="left"/>
            </w:pPr>
            <w:r>
              <w:rPr/>
              <w:t>根据供应商针对对本项目提供的突发事件应急预案（包含但不限于：①可能存在安全事故的风险点；②应对突发事故的预防措施；③出现事故的处理方案等；）进行评审： 1、应急预案包含上述内容，能围绕本项目实际需求进行详细描述，且方案合理，可操作性强，得4分； 2、应急预案包含上述内容，能联系到本项目实际需要进行描述，但详细程度欠缺，方案基本合理，较有可操作性，得2分； 3、应急预案未能包含上述内容，内容描述简单或不完整，方案不合理，可操作性差，得1分； 4、不提供或其他情形，得0分。</w:t>
            </w:r>
          </w:p>
        </w:tc>
      </w:tr>
      <w:tr>
        <w:tc>
          <w:tcPr>
            <w:tcW w:type="dxa" w:w="922"/>
            <w:gridSpan w:val="2"/>
            <w:vMerge w:val="restart"/>
          </w:tcPr>
          <w:p>
            <w:pPr>
              <w:pStyle w:val="null3"/>
              <w:jc w:val="center"/>
            </w:pPr>
            <w:r>
              <w:rPr/>
              <w:t>商务部分</w:t>
            </w:r>
          </w:p>
        </w:tc>
        <w:tc>
          <w:tcPr>
            <w:tcW w:type="dxa" w:w="2307"/>
          </w:tcPr>
          <w:p>
            <w:pPr>
              <w:pStyle w:val="null3"/>
              <w:jc w:val="left"/>
            </w:pPr>
            <w:r>
              <w:rPr/>
              <w:t>业绩经验 (10.0分)</w:t>
            </w:r>
          </w:p>
        </w:tc>
        <w:tc>
          <w:tcPr>
            <w:tcW w:type="dxa" w:w="5076"/>
          </w:tcPr>
          <w:p>
            <w:pPr>
              <w:pStyle w:val="null3"/>
              <w:jc w:val="left"/>
            </w:pPr>
            <w:r>
              <w:rPr/>
              <w:t>2023年1月1日至今(以合同签订时间为准)，供应商独立完成过的同类机房改造项目业绩，每完成1个项目业绩得2分，满分10分。 注：提供能体现上述内容的项目合同关键页扫描件（合同关键页包括：合同封面、项目实施内容页及双方签章页）、竣工验收报告或完工证明扫描件。如合同无法体现项目实施内容的，则提供加盖业绩合同对应的甲方公章（或甲方项目主（分）管部门盖章或合同专用章））的证明材料，否则不得分。</w:t>
            </w:r>
          </w:p>
        </w:tc>
      </w:tr>
      <w:tr>
        <w:tc>
          <w:tcPr>
            <w:tcW w:type="dxa" w:w="922"/>
            <w:gridSpan w:val="2"/>
            <w:vMerge/>
          </w:tcPr>
          <w:p/>
        </w:tc>
        <w:tc>
          <w:tcPr>
            <w:tcW w:type="dxa" w:w="2307"/>
          </w:tcPr>
          <w:p>
            <w:pPr>
              <w:pStyle w:val="null3"/>
              <w:jc w:val="left"/>
            </w:pPr>
            <w:r>
              <w:rPr/>
              <w:t>项目负责人 (5.0分)</w:t>
            </w:r>
          </w:p>
        </w:tc>
        <w:tc>
          <w:tcPr>
            <w:tcW w:type="dxa" w:w="5076"/>
          </w:tcPr>
          <w:p>
            <w:pPr>
              <w:pStyle w:val="null3"/>
              <w:jc w:val="left"/>
            </w:pPr>
            <w:r>
              <w:rPr/>
              <w:t>供应商拟派的项目负责人具备机电相关专业或计算机相关专业高级（或以上）职称得5分，具备上述专业中级职称的得3分。 注：须同时提供职称证书扫描件或电子证书和该人员在响应截止之日前三个月内任意一个月供应商为其缴纳的社保证明（其中必须包含养老保险，否则该社保证明认定无效），加盖供应商公章。</w:t>
            </w:r>
          </w:p>
        </w:tc>
      </w:tr>
      <w:tr>
        <w:tc>
          <w:tcPr>
            <w:tcW w:type="dxa" w:w="922"/>
            <w:gridSpan w:val="2"/>
            <w:vMerge/>
          </w:tcPr>
          <w:p/>
        </w:tc>
        <w:tc>
          <w:tcPr>
            <w:tcW w:type="dxa" w:w="2307"/>
          </w:tcPr>
          <w:p>
            <w:pPr>
              <w:pStyle w:val="null3"/>
              <w:jc w:val="left"/>
            </w:pPr>
            <w:r>
              <w:rPr/>
              <w:t>项目现场负责人 (5.0分)</w:t>
            </w:r>
          </w:p>
        </w:tc>
        <w:tc>
          <w:tcPr>
            <w:tcW w:type="dxa" w:w="5076"/>
          </w:tcPr>
          <w:p>
            <w:pPr>
              <w:pStyle w:val="null3"/>
              <w:jc w:val="left"/>
            </w:pPr>
            <w:r>
              <w:rPr/>
              <w:t>供应商拟派的项目现场负责人（不得由项目负责人兼任）具备机电相关专业或计算机相关专业高级（或以上）职称得5分，具备上述专业中级职称的得3分。 注：须同时提供职称证书扫描件或电子证书和该人员在响应截止之日前三个月内任意一个月供应商为其缴纳的社保证明（其中必须包含养老保险，否则该社保证明认定无效），加盖供应商公章。</w:t>
            </w:r>
          </w:p>
        </w:tc>
      </w:tr>
      <w:tr>
        <w:tc>
          <w:tcPr>
            <w:tcW w:type="dxa" w:w="922"/>
            <w:gridSpan w:val="2"/>
            <w:vMerge/>
          </w:tcPr>
          <w:p/>
        </w:tc>
        <w:tc>
          <w:tcPr>
            <w:tcW w:type="dxa" w:w="2307"/>
          </w:tcPr>
          <w:p>
            <w:pPr>
              <w:pStyle w:val="null3"/>
              <w:jc w:val="left"/>
            </w:pPr>
            <w:r>
              <w:rPr/>
              <w:t>项目团队成员 (7.5分)</w:t>
            </w:r>
          </w:p>
        </w:tc>
        <w:tc>
          <w:tcPr>
            <w:tcW w:type="dxa" w:w="5076"/>
          </w:tcPr>
          <w:p>
            <w:pPr>
              <w:pStyle w:val="null3"/>
              <w:jc w:val="left"/>
            </w:pPr>
            <w:r>
              <w:rPr/>
              <w:t>团队成员含①施工员1名、②资料员1名、③质量员1名、④材料员1名、⑤其他工程技术人员1名，每满足一项得1.5分，全部满足得7.5分。 注：①-④具有上岗证或培训证或岗位证；⑤具备机电或电气或计算机相关专业中级或以上职称。须同时提供上岗证或培训证或岗位证复印件（①-④提供）、职称证书扫描件或电子证书（⑤提供）和该人员在响应截止之日前三个月内任意一个月供应商为其缴纳的社保证明（其中必须包含养老保险，否则该社保证明认定无效），加盖供应商公章。</w:t>
            </w:r>
          </w:p>
        </w:tc>
      </w:tr>
      <w:tr>
        <w:tc>
          <w:tcPr>
            <w:tcW w:type="dxa" w:w="922"/>
            <w:gridSpan w:val="2"/>
            <w:vMerge/>
          </w:tcPr>
          <w:p/>
        </w:tc>
        <w:tc>
          <w:tcPr>
            <w:tcW w:type="dxa" w:w="2307"/>
          </w:tcPr>
          <w:p>
            <w:pPr>
              <w:pStyle w:val="null3"/>
              <w:jc w:val="left"/>
            </w:pPr>
            <w:r>
              <w:rPr/>
              <w:t>认证情况 (2.5分)</w:t>
            </w:r>
          </w:p>
        </w:tc>
        <w:tc>
          <w:tcPr>
            <w:tcW w:type="dxa" w:w="5076"/>
          </w:tcPr>
          <w:p>
            <w:pPr>
              <w:pStyle w:val="null3"/>
              <w:jc w:val="left"/>
            </w:pPr>
            <w:r>
              <w:rPr/>
              <w:t>供应商具有有效的质量管理体系认证证书，得2.5分。 注：响应供应商须提供上述证书扫描件，同时提供在“全国认证认可信息公共服务平台”（http://cx.cnca.cn）对体系证书的信息查询截图作为评审依据，已失效、撤销、暂停或不提供的不得分（以采购代理机构于提交响应文件截止之日当天在“全国认证认可信息公共服务平台”（http://cx.cnca.cn）的查询结果为准）。以上证书如因企业成立时间不足3个月的原因而未能获得认证，可相应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磋商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磋商小组采取随机抽取的方式确定。排名第一的响应供应商为第一成交候选人，排名第二的响应供应商为第二成交候选人（提供相同品牌产品（非单一产品采购，以核心产品为准。多个核心产品的，有一种产品品牌相同，即视为提供相同品牌产品），评审后得分最高的同品牌响应供应商获得成交候选人推荐资格；评审得分相同的，由采购人或者采购人委托磋商小组采取随机抽取方式确定，其他同品牌响应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24"/>
        </w:rPr>
        <w:t>合同书格式仅供参考，双方在签订合同时可根据磋商文件内容作相应修改</w:t>
      </w:r>
      <w:r>
        <w:rPr>
          <w:sz w:val="24"/>
        </w:rPr>
        <w:t>。</w:t>
      </w:r>
      <w:r>
        <w:rPr>
          <w:sz w:val="24"/>
        </w:rPr>
        <w:t>详见附件。</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440001-2026-22534</w:t>
      </w:r>
    </w:p>
    <w:p>
      <w:pPr>
        <w:pStyle w:val="null3"/>
        <w:jc w:val="center"/>
        <w:outlineLvl w:val="3"/>
      </w:pPr>
      <w:r>
        <w:rPr>
          <w:sz w:val="24"/>
          <w:b/>
        </w:rPr>
        <w:t>采购项目编号：</w:t>
      </w:r>
      <w:r>
        <w:rPr>
          <w:sz w:val="24"/>
          <w:b/>
        </w:rPr>
        <w:t>GZSW26201GC2183</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广州顺为招标采购有限公司</w:t>
      </w:r>
    </w:p>
    <w:p>
      <w:pPr>
        <w:pStyle w:val="null3"/>
        <w:ind w:firstLine="480"/>
      </w:pPr>
      <w:r>
        <w:rPr/>
        <w:t xml:space="preserve"> 你方组织的</w:t>
      </w:r>
      <w:r>
        <w:rPr>
          <w:u w:val="single"/>
        </w:rPr>
        <w:t>“</w:t>
      </w:r>
      <w:r>
        <w:rPr>
          <w:u w:val="single"/>
        </w:rPr>
        <w:t>广东省江门监狱信息化机房设备购置及改造项目</w:t>
      </w:r>
      <w:r>
        <w:rPr>
          <w:u w:val="single"/>
        </w:rPr>
        <w:t>”</w:t>
      </w:r>
      <w:r>
        <w:rPr/>
        <w:t>项目的竞争性磋商[采购项目编号为：</w:t>
      </w:r>
      <w:r>
        <w:rPr>
          <w:u w:val="single"/>
        </w:rPr>
        <w:t>GZSW26201GC2183</w:t>
      </w:r>
      <w:r>
        <w:rPr/>
        <w:t>]，我方愿参与响应。</w:t>
      </w:r>
    </w:p>
    <w:p>
      <w:pPr>
        <w:pStyle w:val="null3"/>
        <w:ind w:firstLine="480"/>
      </w:pPr>
      <w:r>
        <w:rPr/>
        <w:t>我方确认收到贵方提供的</w:t>
      </w:r>
      <w:r>
        <w:rPr>
          <w:u w:val="single"/>
        </w:rPr>
        <w:t>“</w:t>
      </w:r>
      <w:r>
        <w:rPr>
          <w:u w:val="single"/>
        </w:rPr>
        <w:t>广东省江门监狱信息化机房设备购置及改造项目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广州顺为招标采购有限公司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广东省江门监狱信息化机房设备购置及改造项目</w:t>
      </w:r>
      <w:r>
        <w:rPr/>
        <w:t>”项目采购[采购项目编号为</w:t>
      </w:r>
      <w:r>
        <w:rPr/>
        <w:t>GZSW26201GC2183</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广东省江门监狱</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广州顺为招标采购有限公司</w:t>
      </w:r>
    </w:p>
    <w:p>
      <w:pPr>
        <w:pStyle w:val="null3"/>
        <w:ind w:firstLine="480"/>
      </w:pPr>
      <w:r>
        <w:rPr/>
        <w:t>我单位参加贵公司组织的</w:t>
      </w:r>
      <w:r>
        <w:rPr/>
        <w:t>广东省江门监狱信息化机房设备购置及改造项目</w:t>
      </w:r>
      <w:r>
        <w:rPr/>
        <w:t>（采购项目编号：</w:t>
      </w:r>
      <w:r>
        <w:rPr/>
        <w:t>GZSW26201GC2183</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广州顺为招标采购有限公司</w:t>
      </w:r>
    </w:p>
    <w:p>
      <w:pPr>
        <w:pStyle w:val="null3"/>
        <w:ind w:firstLine="480"/>
      </w:pPr>
      <w:r>
        <w:rPr/>
        <w:t>我单位已登记并准备参与“</w:t>
      </w:r>
      <w:r>
        <w:rPr/>
        <w:t>广东省江门监狱信息化机房设备购置及改造项目</w:t>
      </w:r>
      <w:r>
        <w:rPr/>
        <w:t>”项目（采购项目编号：</w:t>
      </w:r>
      <w:r>
        <w:rPr/>
        <w:t>GZSW26201GC2183</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6.png" Type="http://schemas.openxmlformats.org/officeDocument/2006/relationships/image"/><Relationship Id="rId11" Target="media/image7.png" Type="http://schemas.openxmlformats.org/officeDocument/2006/relationships/image"/><Relationship Id="rId12" Target="media/image8.png" Type="http://schemas.openxmlformats.org/officeDocument/2006/relationships/image"/><Relationship Id="rId13" Target="media/image9.png" Type="http://schemas.openxmlformats.org/officeDocument/2006/relationships/image"/><Relationship Id="rId14" Target="media/image10.png" Type="http://schemas.openxmlformats.org/officeDocument/2006/relationships/image"/><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 Id="rId7" Target="media/image3.png" Type="http://schemas.openxmlformats.org/officeDocument/2006/relationships/image"/><Relationship Id="rId8" Target="media/image4.png" Type="http://schemas.openxmlformats.org/officeDocument/2006/relationships/image"/><Relationship Id="rId9" Target="media/image5.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