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440001-2026-21909</w:t>
      </w:r>
    </w:p>
    <w:p>
      <w:pPr>
        <w:pStyle w:val="null3"/>
        <w:jc w:val="center"/>
        <w:outlineLvl w:val="3"/>
      </w:pPr>
      <w:r>
        <w:rPr>
          <w:sz w:val="24"/>
          <w:b/>
        </w:rPr>
        <w:t>采购项目编号：</w:t>
      </w:r>
      <w:r>
        <w:rPr>
          <w:sz w:val="24"/>
          <w:b/>
        </w:rPr>
        <w:t>GPCGD263174HG052F</w:t>
      </w:r>
    </w:p>
    <w:p>
      <w:pPr>
        <w:pStyle w:val="null3"/>
        <w:jc w:val="center"/>
        <w:outlineLvl w:val="3"/>
      </w:pPr>
      <w:r>
        <w:rPr>
          <w:sz w:val="24"/>
          <w:b/>
        </w:rPr>
        <w:t>项目名称：</w:t>
      </w:r>
      <w:r>
        <w:rPr>
          <w:sz w:val="24"/>
          <w:b/>
        </w:rPr>
        <w:t>广东医科大学附属医院海东院区中心机房OLT设备板卡扩容及配套服务</w:t>
      </w:r>
    </w:p>
    <w:p>
      <w:pPr>
        <w:pStyle w:val="null3"/>
        <w:jc w:val="center"/>
        <w:outlineLvl w:val="3"/>
      </w:pPr>
      <w:r>
        <w:rPr>
          <w:sz w:val="24"/>
          <w:b/>
        </w:rPr>
        <w:t>采购人：</w:t>
      </w:r>
      <w:r>
        <w:rPr>
          <w:sz w:val="24"/>
          <w:b/>
        </w:rPr>
        <w:t>广东医科大学附属医院</w:t>
      </w:r>
    </w:p>
    <w:p>
      <w:pPr>
        <w:pStyle w:val="null3"/>
        <w:jc w:val="center"/>
        <w:outlineLvl w:val="3"/>
      </w:pPr>
      <w:r>
        <w:rPr>
          <w:sz w:val="24"/>
          <w:b/>
        </w:rPr>
        <w:t>采购代理机构：</w:t>
      </w:r>
      <w:r>
        <w:rPr>
          <w:sz w:val="24"/>
          <w:b/>
        </w:rPr>
        <w:t>广东省政府采购中心</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广东省政府采购中心</w:t>
      </w:r>
      <w:r>
        <w:rPr/>
        <w:t>受</w:t>
      </w:r>
      <w:r>
        <w:rPr/>
        <w:t>广东医科大学附属医院</w:t>
      </w:r>
      <w:r>
        <w:rPr/>
        <w:t>的委托，采用</w:t>
      </w:r>
      <w:r>
        <w:rPr/>
        <w:t>公开招标</w:t>
      </w:r>
      <w:r>
        <w:rPr/>
        <w:t>方式组织采购</w:t>
      </w:r>
      <w:r>
        <w:rPr/>
        <w:t>广东医科大学附属医院海东院区中心机房OLT设备板卡扩容及配套服务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广东医科大学附属医院海东院区中心机房OLT设备板卡扩容及配套服务</w:t>
      </w:r>
    </w:p>
    <w:p>
      <w:pPr>
        <w:pStyle w:val="null3"/>
        <w:ind w:firstLine="480"/>
      </w:pPr>
      <w:r>
        <w:rPr/>
        <w:t>采购计划编号：</w:t>
      </w:r>
      <w:r>
        <w:rPr/>
        <w:t>440001-2026-21909</w:t>
      </w:r>
    </w:p>
    <w:p>
      <w:pPr>
        <w:pStyle w:val="null3"/>
        <w:ind w:firstLine="480"/>
      </w:pPr>
      <w:r>
        <w:rPr/>
        <w:t>采购项目编号：</w:t>
      </w:r>
      <w:r>
        <w:rPr/>
        <w:t>GPCGD263174HG052F</w:t>
      </w:r>
    </w:p>
    <w:p>
      <w:pPr>
        <w:pStyle w:val="null3"/>
        <w:ind w:firstLine="480"/>
      </w:pPr>
      <w:r>
        <w:rPr/>
        <w:t>采购方式：</w:t>
      </w:r>
      <w:r>
        <w:rPr/>
        <w:t>公开招标</w:t>
      </w:r>
    </w:p>
    <w:p>
      <w:pPr>
        <w:pStyle w:val="null3"/>
        <w:ind w:firstLine="480"/>
      </w:pPr>
      <w:r>
        <w:rPr/>
        <w:t>预算金额：</w:t>
      </w:r>
      <w:r>
        <w:rPr/>
        <w:t>1,180,000.00</w:t>
      </w:r>
      <w:r>
        <w:rPr/>
        <w:t>元</w:t>
      </w:r>
    </w:p>
    <w:p>
      <w:pPr>
        <w:pStyle w:val="null3"/>
        <w:outlineLvl w:val="3"/>
      </w:pPr>
      <w:r>
        <w:rPr>
          <w:sz w:val="24"/>
          <w:b/>
        </w:rPr>
        <w:t>2.项目内容及需求情况（采购项目技术规格、参数及要求）</w:t>
      </w:r>
    </w:p>
    <w:p>
      <w:pPr>
        <w:pStyle w:val="null3"/>
      </w:pPr>
      <w:r>
        <w:rPr/>
        <w:t>采购包1(海东院区中心机房OLT设备板卡扩容及配套服务):</w:t>
      </w:r>
    </w:p>
    <w:p>
      <w:pPr>
        <w:pStyle w:val="null3"/>
      </w:pPr>
      <w:r>
        <w:rPr/>
        <w:t>采购包预算金额：1,180,000.00元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其他网络设备</w:t>
            </w:r>
          </w:p>
        </w:tc>
        <w:tc>
          <w:tcPr>
            <w:tcW w:type="dxa" w:w="2136"/>
          </w:tcPr>
          <w:p>
            <w:pPr>
              <w:pStyle w:val="null3"/>
            </w:pPr>
            <w:r>
              <w:rPr/>
              <w:t>OLT业务板卡</w:t>
            </w:r>
          </w:p>
        </w:tc>
        <w:tc>
          <w:tcPr>
            <w:tcW w:type="dxa" w:w="1187"/>
          </w:tcPr>
          <w:p>
            <w:pPr>
              <w:pStyle w:val="null3"/>
            </w:pPr>
            <w:r>
              <w:rPr/>
              <w:t>10.00(个)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其他网络设备</w:t>
            </w:r>
          </w:p>
        </w:tc>
        <w:tc>
          <w:tcPr>
            <w:tcW w:type="dxa" w:w="2136"/>
          </w:tcPr>
          <w:p>
            <w:pPr>
              <w:pStyle w:val="null3"/>
            </w:pPr>
            <w:r>
              <w:rPr/>
              <w:t>其他产品（除核心产品外）</w:t>
            </w:r>
          </w:p>
        </w:tc>
        <w:tc>
          <w:tcPr>
            <w:tcW w:type="dxa" w:w="1187"/>
          </w:tcPr>
          <w:p>
            <w:pPr>
              <w:pStyle w:val="null3"/>
            </w:pPr>
            <w:r>
              <w:rPr/>
              <w:t>1.00(批)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其他网络设备</w:t>
            </w:r>
          </w:p>
        </w:tc>
        <w:tc>
          <w:tcPr>
            <w:tcW w:type="dxa" w:w="2076"/>
          </w:tcPr>
          <w:p>
            <w:pPr>
              <w:pStyle w:val="null3"/>
              <w:jc w:val="left"/>
            </w:pPr>
            <w:r>
              <w:rPr/>
              <w:t>OLT业务板卡</w:t>
            </w:r>
          </w:p>
        </w:tc>
        <w:tc>
          <w:tcPr>
            <w:tcW w:type="dxa" w:w="2076"/>
          </w:tcPr>
          <w:p>
            <w:pPr>
              <w:pStyle w:val="null3"/>
              <w:jc w:val="left"/>
            </w:pPr>
            <w:r>
              <w:rPr/>
              <w:t>OLT业务板卡</w:t>
            </w:r>
          </w:p>
        </w:tc>
      </w:tr>
      <w:tr>
        <w:tc>
          <w:tcPr>
            <w:tcW w:type="dxa" w:w="2076"/>
          </w:tcPr>
          <w:p>
            <w:pPr>
              <w:pStyle w:val="null3"/>
              <w:jc w:val="center"/>
            </w:pPr>
            <w:r>
              <w:rPr/>
              <w:t>2</w:t>
            </w:r>
          </w:p>
        </w:tc>
        <w:tc>
          <w:tcPr>
            <w:tcW w:type="dxa" w:w="2076"/>
          </w:tcPr>
          <w:p>
            <w:pPr>
              <w:pStyle w:val="null3"/>
              <w:jc w:val="left"/>
            </w:pPr>
            <w:r>
              <w:rPr/>
              <w:t>其他网络设备</w:t>
            </w:r>
          </w:p>
        </w:tc>
        <w:tc>
          <w:tcPr>
            <w:tcW w:type="dxa" w:w="2076"/>
          </w:tcPr>
          <w:p>
            <w:pPr>
              <w:pStyle w:val="null3"/>
              <w:jc w:val="left"/>
            </w:pPr>
            <w:r>
              <w:rPr/>
              <w:t>其他产品（除核心产品外）</w:t>
            </w:r>
          </w:p>
        </w:tc>
        <w:tc>
          <w:tcPr>
            <w:tcW w:type="dxa" w:w="2076"/>
          </w:tcPr>
          <w:p>
            <w:pPr>
              <w:pStyle w:val="null3"/>
              <w:jc w:val="left"/>
            </w:pPr>
            <w:r>
              <w:rPr/>
              <w:t>24口SC光纤配线架</w:t>
            </w:r>
          </w:p>
        </w:tc>
      </w:tr>
      <w:tr>
        <w:tc>
          <w:tcPr>
            <w:tcW w:type="dxa" w:w="2076"/>
          </w:tcPr>
          <w:p>
            <w:pPr>
              <w:pStyle w:val="null3"/>
              <w:jc w:val="center"/>
            </w:pPr>
            <w:r>
              <w:rPr/>
              <w:t>3</w:t>
            </w:r>
          </w:p>
        </w:tc>
        <w:tc>
          <w:tcPr>
            <w:tcW w:type="dxa" w:w="2076"/>
          </w:tcPr>
          <w:p>
            <w:pPr>
              <w:pStyle w:val="null3"/>
              <w:jc w:val="left"/>
            </w:pPr>
            <w:r>
              <w:rPr/>
              <w:t>其他网络设备</w:t>
            </w:r>
          </w:p>
        </w:tc>
        <w:tc>
          <w:tcPr>
            <w:tcW w:type="dxa" w:w="2076"/>
          </w:tcPr>
          <w:p>
            <w:pPr>
              <w:pStyle w:val="null3"/>
              <w:jc w:val="left"/>
            </w:pPr>
            <w:r>
              <w:rPr/>
              <w:t>其他产品（除核心产品外）</w:t>
            </w:r>
          </w:p>
        </w:tc>
        <w:tc>
          <w:tcPr>
            <w:tcW w:type="dxa" w:w="2076"/>
          </w:tcPr>
          <w:p>
            <w:pPr>
              <w:pStyle w:val="null3"/>
              <w:jc w:val="left"/>
            </w:pPr>
            <w:r>
              <w:rPr/>
              <w:t>光纤跳线</w:t>
            </w:r>
          </w:p>
        </w:tc>
      </w:tr>
      <w:tr>
        <w:tc>
          <w:tcPr>
            <w:tcW w:type="dxa" w:w="2076"/>
          </w:tcPr>
          <w:p>
            <w:pPr>
              <w:pStyle w:val="null3"/>
              <w:jc w:val="center"/>
            </w:pPr>
            <w:r>
              <w:rPr/>
              <w:t>4</w:t>
            </w:r>
          </w:p>
        </w:tc>
        <w:tc>
          <w:tcPr>
            <w:tcW w:type="dxa" w:w="2076"/>
          </w:tcPr>
          <w:p>
            <w:pPr>
              <w:pStyle w:val="null3"/>
              <w:jc w:val="left"/>
            </w:pPr>
            <w:r>
              <w:rPr/>
              <w:t>其他网络设备</w:t>
            </w:r>
          </w:p>
        </w:tc>
        <w:tc>
          <w:tcPr>
            <w:tcW w:type="dxa" w:w="2076"/>
          </w:tcPr>
          <w:p>
            <w:pPr>
              <w:pStyle w:val="null3"/>
              <w:jc w:val="left"/>
            </w:pPr>
            <w:r>
              <w:rPr/>
              <w:t>其他产品（除核心产品外）</w:t>
            </w:r>
          </w:p>
        </w:tc>
        <w:tc>
          <w:tcPr>
            <w:tcW w:type="dxa" w:w="2076"/>
          </w:tcPr>
          <w:p>
            <w:pPr>
              <w:pStyle w:val="null3"/>
              <w:jc w:val="left"/>
            </w:pPr>
            <w:r>
              <w:rPr/>
              <w:t>六类屏蔽网线</w:t>
            </w:r>
          </w:p>
        </w:tc>
      </w:tr>
      <w:tr>
        <w:tc>
          <w:tcPr>
            <w:tcW w:type="dxa" w:w="2076"/>
          </w:tcPr>
          <w:p>
            <w:pPr>
              <w:pStyle w:val="null3"/>
              <w:jc w:val="center"/>
            </w:pPr>
            <w:r>
              <w:rPr/>
              <w:t>5</w:t>
            </w:r>
          </w:p>
        </w:tc>
        <w:tc>
          <w:tcPr>
            <w:tcW w:type="dxa" w:w="2076"/>
          </w:tcPr>
          <w:p>
            <w:pPr>
              <w:pStyle w:val="null3"/>
              <w:jc w:val="left"/>
            </w:pPr>
            <w:r>
              <w:rPr/>
              <w:t>其他网络设备</w:t>
            </w:r>
          </w:p>
        </w:tc>
        <w:tc>
          <w:tcPr>
            <w:tcW w:type="dxa" w:w="2076"/>
          </w:tcPr>
          <w:p>
            <w:pPr>
              <w:pStyle w:val="null3"/>
              <w:jc w:val="left"/>
            </w:pPr>
            <w:r>
              <w:rPr/>
              <w:t>其他产品（除核心产品外）</w:t>
            </w:r>
          </w:p>
        </w:tc>
        <w:tc>
          <w:tcPr>
            <w:tcW w:type="dxa" w:w="2076"/>
          </w:tcPr>
          <w:p>
            <w:pPr>
              <w:pStyle w:val="null3"/>
              <w:jc w:val="left"/>
            </w:pPr>
            <w:r>
              <w:rPr/>
              <w:t>六类网络跳线</w:t>
            </w:r>
          </w:p>
        </w:tc>
      </w:tr>
    </w:tbl>
    <w:p>
      <w:pPr>
        <w:pStyle w:val="null3"/>
      </w:pPr>
      <w:r>
        <w:rPr/>
        <w:t>本采购包不接受联合体投标</w:t>
      </w:r>
    </w:p>
    <w:p>
      <w:pPr>
        <w:pStyle w:val="null3"/>
      </w:pPr>
      <w:r>
        <w:rPr/>
        <w:t>合同分包：不允许合同分包</w:t>
      </w:r>
    </w:p>
    <w:p>
      <w:pPr>
        <w:pStyle w:val="null3"/>
      </w:pPr>
      <w:r>
        <w:rPr/>
        <w:t>合同履行期限：安装、调试运行并通过验收，并完成3年保修服务。</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以下2种证明材料之一：①经会计师事务所审计的2024或2025年度财务状况报告；②同时提供a.基本开户行出具的资信证明，b.《基本存款账号信息》或《开户许可证》。）</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采购包1（海东院区中心机房OLT设备板卡扩容及配套服务）：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广东医科大学附属医院</w:t>
      </w:r>
    </w:p>
    <w:p>
      <w:pPr>
        <w:pStyle w:val="null3"/>
        <w:ind w:firstLine="480"/>
      </w:pPr>
      <w:r>
        <w:rPr/>
        <w:t xml:space="preserve"> 地址：</w:t>
      </w:r>
      <w:r>
        <w:rPr/>
        <w:t>人民大道南57号</w:t>
      </w:r>
    </w:p>
    <w:p>
      <w:pPr>
        <w:pStyle w:val="null3"/>
        <w:ind w:firstLine="480"/>
      </w:pPr>
      <w:r>
        <w:rPr/>
        <w:t xml:space="preserve"> 联系方式：</w:t>
      </w:r>
      <w:r>
        <w:rPr/>
        <w:t>0759-2369318</w:t>
      </w:r>
    </w:p>
    <w:p>
      <w:pPr>
        <w:pStyle w:val="null3"/>
        <w:outlineLvl w:val="3"/>
      </w:pPr>
      <w:r>
        <w:rPr>
          <w:sz w:val="24"/>
          <w:b/>
        </w:rPr>
        <w:t xml:space="preserve"> 2.采购代理机构信息</w:t>
      </w:r>
    </w:p>
    <w:p>
      <w:pPr>
        <w:pStyle w:val="null3"/>
        <w:ind w:firstLine="480"/>
      </w:pPr>
      <w:r>
        <w:rPr/>
        <w:t xml:space="preserve"> 名称：</w:t>
      </w:r>
      <w:r>
        <w:rPr/>
        <w:t>广东省政府采购中心</w:t>
      </w:r>
    </w:p>
    <w:p>
      <w:pPr>
        <w:pStyle w:val="null3"/>
        <w:ind w:firstLine="480"/>
      </w:pPr>
      <w:r>
        <w:rPr/>
        <w:t xml:space="preserve"> 地址：</w:t>
      </w:r>
      <w:r>
        <w:rPr/>
        <w:t>广东省广州市越秀区越华路112号珠江国际大厦3楼</w:t>
      </w:r>
    </w:p>
    <w:p>
      <w:pPr>
        <w:pStyle w:val="null3"/>
        <w:ind w:firstLine="480"/>
      </w:pPr>
      <w:r>
        <w:rPr/>
        <w:t xml:space="preserve"> 联系方式：</w:t>
      </w:r>
      <w:r>
        <w:rPr/>
        <w:t>020-83187191</w:t>
      </w:r>
    </w:p>
    <w:p>
      <w:pPr>
        <w:pStyle w:val="null3"/>
        <w:outlineLvl w:val="3"/>
      </w:pPr>
      <w:r>
        <w:rPr>
          <w:sz w:val="24"/>
          <w:b/>
        </w:rPr>
        <w:t xml:space="preserve"> 3.项目联系方式</w:t>
      </w:r>
    </w:p>
    <w:p>
      <w:pPr>
        <w:pStyle w:val="null3"/>
        <w:ind w:firstLine="480"/>
      </w:pPr>
      <w:r>
        <w:rPr/>
        <w:t xml:space="preserve"> 项目联系人：</w:t>
      </w:r>
      <w:r>
        <w:rPr/>
        <w:t>王工</w:t>
      </w:r>
    </w:p>
    <w:p>
      <w:pPr>
        <w:pStyle w:val="null3"/>
        <w:ind w:firstLine="480"/>
      </w:pPr>
      <w:r>
        <w:rPr/>
        <w:t xml:space="preserve"> 电话：</w:t>
      </w:r>
      <w:r>
        <w:rPr/>
        <w:t>020-83187191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 xml:space="preserve"> </w:t>
      </w:r>
      <w:r>
        <w:rPr>
          <w:sz w:val="20"/>
        </w:rPr>
        <w:t>请供应商留意以下内容：</w:t>
      </w:r>
    </w:p>
    <w:p>
      <w:pPr>
        <w:pStyle w:val="null3"/>
      </w:pPr>
      <w:r>
        <w:rPr>
          <w:sz w:val="20"/>
        </w:rPr>
        <w:t>1</w:t>
      </w:r>
      <w:r>
        <w:rPr>
          <w:sz w:val="20"/>
        </w:rPr>
        <w:t>、采购文件中带“★”的条款为本次采购的重要要求，供应商必须全部满足或响应，只要不满足任一带“★”的条款，将被认定为无效投标（响应）。采购文件中带“▲”</w:t>
      </w:r>
      <w:r>
        <w:rPr>
          <w:sz w:val="20"/>
        </w:rPr>
        <w:t>(</w:t>
      </w:r>
      <w:r>
        <w:rPr>
          <w:sz w:val="20"/>
        </w:rPr>
        <w:t>如有</w:t>
      </w:r>
      <w:r>
        <w:rPr>
          <w:sz w:val="20"/>
        </w:rPr>
        <w:t>)</w:t>
      </w:r>
      <w:r>
        <w:rPr>
          <w:sz w:val="20"/>
        </w:rPr>
        <w:t>的条款为本次采购较为重要的要求，供应商无法满足或响应时，将影响其评审分值。</w:t>
      </w:r>
    </w:p>
    <w:p>
      <w:pPr>
        <w:pStyle w:val="null3"/>
      </w:pPr>
      <w:r>
        <w:rPr>
          <w:sz w:val="20"/>
        </w:rPr>
        <w:t>2</w:t>
      </w:r>
      <w:r>
        <w:rPr>
          <w:sz w:val="20"/>
        </w:rPr>
        <w:t>、本需求涉及的各项规范、标准，如国家和行业有最新的修改版或停用的，则按最新规定执行。</w:t>
      </w:r>
    </w:p>
    <w:p>
      <w:pPr>
        <w:pStyle w:val="null3"/>
      </w:pPr>
      <w:r>
        <w:rPr>
          <w:sz w:val="20"/>
        </w:rPr>
        <w:t>3</w:t>
      </w:r>
      <w:r>
        <w:rPr>
          <w:sz w:val="20"/>
        </w:rPr>
        <w:t>、采购文件所要求的证书、资质等材料，如有有效期限制的，供应商所提供的资质、证书等材料均应处于有效期内，否则按无效材料处理。</w:t>
      </w:r>
    </w:p>
    <w:p>
      <w:pPr>
        <w:pStyle w:val="null3"/>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w:t>
      </w:r>
      <w:r>
        <w:rPr>
          <w:sz w:val="21"/>
        </w:rPr>
        <w:t>(</w:t>
      </w:r>
      <w:r>
        <w:rPr>
          <w:sz w:val="21"/>
        </w:rPr>
        <w:t>财库〔</w:t>
      </w:r>
      <w:r>
        <w:rPr>
          <w:sz w:val="21"/>
        </w:rPr>
        <w:t>2014</w:t>
      </w:r>
      <w:r>
        <w:rPr>
          <w:sz w:val="21"/>
        </w:rPr>
        <w:t>〕</w:t>
      </w:r>
      <w:r>
        <w:rPr>
          <w:sz w:val="21"/>
        </w:rPr>
        <w:t>68</w:t>
      </w:r>
      <w:r>
        <w:rPr>
          <w:sz w:val="21"/>
        </w:rPr>
        <w:t>号</w:t>
      </w:r>
      <w:r>
        <w:rPr>
          <w:sz w:val="21"/>
        </w:rPr>
        <w:t>)</w:t>
      </w:r>
      <w:r>
        <w:rPr>
          <w:sz w:val="21"/>
        </w:rPr>
        <w:t>、《关于促进残疾人就业政府采购政策的通知》（财库〔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号）、《财政部工信部关于贯彻落实</w:t>
      </w:r>
      <w:r>
        <w:rPr>
          <w:sz w:val="21"/>
        </w:rPr>
        <w:t>&lt;</w:t>
      </w:r>
      <w:r>
        <w:rPr>
          <w:sz w:val="21"/>
        </w:rPr>
        <w:t>国务院办公厅关于在政府采购中实施本国产品标准及相关政策的通知</w:t>
      </w:r>
      <w:r>
        <w:rPr>
          <w:sz w:val="21"/>
        </w:rPr>
        <w:t>&gt;</w:t>
      </w:r>
      <w:r>
        <w:rPr>
          <w:sz w:val="21"/>
        </w:rPr>
        <w:t>的意见》（财库〔</w:t>
      </w:r>
      <w:r>
        <w:rPr>
          <w:sz w:val="21"/>
        </w:rPr>
        <w:t>2025</w:t>
      </w:r>
      <w:r>
        <w:rPr>
          <w:sz w:val="21"/>
        </w:rPr>
        <w:t>〕</w:t>
      </w:r>
      <w:r>
        <w:rPr>
          <w:sz w:val="21"/>
        </w:rPr>
        <w:t xml:space="preserve">30 </w:t>
      </w:r>
      <w:r>
        <w:rPr>
          <w:sz w:val="21"/>
        </w:rPr>
        <w:t>号）等。</w:t>
      </w:r>
    </w:p>
    <w:p>
      <w:pPr>
        <w:pStyle w:val="null3"/>
        <w:jc w:val="both"/>
      </w:pPr>
      <w:r>
        <w:rPr>
          <w:sz w:val="21"/>
          <w:color w:val="000000"/>
        </w:rPr>
        <w:t>本项目为货物类项目，中小企业划分标准所属行业为：工业。</w:t>
      </w:r>
    </w:p>
    <w:p>
      <w:pPr>
        <w:pStyle w:val="null3"/>
      </w:pPr>
      <w:r>
        <w:rPr>
          <w:sz w:val="20"/>
          <w:b/>
        </w:rPr>
        <w:t>★</w:t>
      </w:r>
      <w:r>
        <w:rPr>
          <w:sz w:val="20"/>
          <w:b/>
        </w:rPr>
        <w:t>5</w:t>
      </w:r>
      <w:r>
        <w:rPr>
          <w:sz w:val="20"/>
          <w:b/>
        </w:rPr>
        <w:t>、</w:t>
      </w:r>
      <w:r>
        <w:rPr>
          <w:sz w:val="20"/>
        </w:rPr>
        <w:t>供应商须保证，如中标（成交），投标（响应）文件所提供的材料，如果有效期（包括需要年审、继续教育等完成后才能执业的行政许可、人员证书等情形）未能覆盖项目（包组）合同履行期的，将提前按规定办理延期手续，确保合同顺利履行。</w:t>
      </w:r>
      <w:r>
        <w:rPr>
          <w:sz w:val="21"/>
        </w:rPr>
        <w:t>（供应商提供承诺函，可参照“响应文件格式与要求”中《承诺函》格式）</w:t>
      </w:r>
    </w:p>
    <w:p>
      <w:pPr>
        <w:pStyle w:val="null3"/>
      </w:pPr>
      <w:r>
        <w:rPr>
          <w:sz w:val="20"/>
        </w:rPr>
        <w:t>6</w:t>
      </w:r>
      <w:r>
        <w:rPr>
          <w:sz w:val="20"/>
        </w:rPr>
        <w:t>、</w:t>
      </w:r>
      <w:r>
        <w:rPr>
          <w:sz w:val="20"/>
        </w:rPr>
        <w:t>本项目为交钥匙承包项目，中标（</w:t>
      </w:r>
      <w:r>
        <w:rPr>
          <w:sz w:val="20"/>
        </w:rPr>
        <w:t>成交</w:t>
      </w:r>
      <w:r>
        <w:rPr>
          <w:sz w:val="20"/>
        </w:rPr>
        <w:t>）价为包干价，中标（</w:t>
      </w:r>
      <w:r>
        <w:rPr>
          <w:sz w:val="20"/>
        </w:rPr>
        <w:t>成交</w:t>
      </w:r>
      <w:r>
        <w:rPr>
          <w:sz w:val="20"/>
        </w:rPr>
        <w:t>）人承包及负责</w:t>
      </w:r>
      <w:r>
        <w:rPr>
          <w:sz w:val="20"/>
        </w:rPr>
        <w:t>采购文件</w:t>
      </w:r>
      <w:r>
        <w:rPr>
          <w:sz w:val="20"/>
        </w:rPr>
        <w:t>要求的一切事宜及责任。包括产品供货、运输、保管、安装、调试、验收、培训</w:t>
      </w:r>
      <w:r>
        <w:rPr>
          <w:sz w:val="20"/>
        </w:rPr>
        <w:t>等</w:t>
      </w:r>
      <w:r>
        <w:rPr>
          <w:sz w:val="20"/>
        </w:rPr>
        <w:t>等以及</w:t>
      </w:r>
      <w:r>
        <w:rPr>
          <w:sz w:val="20"/>
        </w:rPr>
        <w:t>供应商</w:t>
      </w:r>
      <w:r>
        <w:rPr>
          <w:sz w:val="20"/>
        </w:rPr>
        <w:t>认为完成本项目而产生的其他相关费用。如采购清单</w:t>
      </w:r>
      <w:r>
        <w:rPr>
          <w:sz w:val="20"/>
        </w:rPr>
        <w:t>可能存在</w:t>
      </w:r>
      <w:r>
        <w:rPr>
          <w:sz w:val="20"/>
        </w:rPr>
        <w:t>缺项，由中标人自行补充并承担所有费用。</w:t>
      </w:r>
      <w:r>
        <w:rPr>
          <w:sz w:val="20"/>
        </w:rPr>
        <w:t>采购人按合同价支付费用，不再另外增加支付。</w:t>
      </w:r>
    </w:p>
    <w:p>
      <w:pPr>
        <w:pStyle w:val="null3"/>
      </w:pPr>
      <w:r>
        <w:rPr>
          <w:sz w:val="20"/>
        </w:rPr>
        <w:t>★</w:t>
      </w:r>
      <w:r>
        <w:rPr>
          <w:sz w:val="20"/>
        </w:rPr>
        <w:t>7</w:t>
      </w:r>
      <w:r>
        <w:rPr>
          <w:sz w:val="20"/>
        </w:rPr>
        <w:t>、供应商须承诺所投设备在投标（响应）时均已符合国家强制性要求。</w:t>
      </w:r>
      <w:r>
        <w:rPr>
          <w:sz w:val="21"/>
        </w:rPr>
        <w:t>（供应商提供承诺函，可参照“响应文件格式与要求”中《承诺函》格式）</w:t>
      </w:r>
    </w:p>
    <w:p>
      <w:pPr>
        <w:pStyle w:val="null3"/>
      </w:pPr>
      <w:r>
        <w:rPr>
          <w:sz w:val="20"/>
          <w:b/>
        </w:rPr>
        <w:t>★</w:t>
      </w:r>
      <w:r>
        <w:rPr>
          <w:sz w:val="20"/>
          <w:b/>
        </w:rPr>
        <w:t>8</w:t>
      </w:r>
      <w:r>
        <w:rPr>
          <w:sz w:val="20"/>
          <w:b/>
        </w:rPr>
        <w:t>、本项目采购的产品如列入国家互联网信息办公室会同工业和信息化部、公安部、国家认证认可监督管理委员会颁布的《网络关键设备和网络安全专用产品目录》，验收时须出具以下任一材料</w:t>
      </w:r>
      <w:r>
        <w:rPr>
          <w:sz w:val="21"/>
        </w:rPr>
        <w:t>（供应商提供承诺函，可参照“响应文件格式与要求”中《承诺函》格式）</w:t>
      </w:r>
      <w:r>
        <w:rPr>
          <w:sz w:val="20"/>
          <w:b/>
        </w:rPr>
        <w:t>：</w:t>
      </w:r>
    </w:p>
    <w:p>
      <w:pPr>
        <w:pStyle w:val="null3"/>
      </w:pPr>
      <w:r>
        <w:rPr>
          <w:sz w:val="20"/>
        </w:rPr>
        <w:t>①有效期内的公安部监制的《计算机信息系统安全专用产品销售许可证》；</w:t>
      </w:r>
    </w:p>
    <w:p>
      <w:pPr>
        <w:pStyle w:val="null3"/>
      </w:pPr>
      <w:r>
        <w:rPr>
          <w:sz w:val="20"/>
        </w:rPr>
        <w:t>②提供在“网络关键设备和网络安全专用产品安全认证和安全检测结果检索（</w:t>
      </w:r>
      <w:r>
        <w:rPr>
          <w:sz w:val="20"/>
        </w:rPr>
        <w:t>https://www.cac.gov.cn/wa/netWorkCriticalEquipment.htm</w:t>
      </w:r>
      <w:r>
        <w:rPr>
          <w:sz w:val="20"/>
        </w:rPr>
        <w:t>）”检索的截图。</w:t>
      </w:r>
    </w:p>
    <w:p>
      <w:pPr>
        <w:pStyle w:val="null3"/>
      </w:pPr>
      <w:r>
        <w:rPr>
          <w:sz w:val="21"/>
        </w:rPr>
        <w:t>★</w:t>
      </w:r>
      <w:r>
        <w:rPr>
          <w:sz w:val="21"/>
        </w:rPr>
        <w:t>9</w:t>
      </w:r>
      <w:r>
        <w:rPr>
          <w:sz w:val="21"/>
        </w:rPr>
        <w:t>、本项目采购产品如涉及《中华人民共和国实施强制性产品认证的产品目录》的产品，在验收时须出具</w:t>
      </w:r>
      <w:r>
        <w:rPr>
          <w:sz w:val="21"/>
        </w:rPr>
        <w:t>CCC</w:t>
      </w:r>
      <w:r>
        <w:rPr>
          <w:sz w:val="21"/>
        </w:rPr>
        <w:t>认证证书复印件（如实施自我声明程序的，则提供自我声明相关材料（提供在</w:t>
      </w:r>
      <w:r>
        <w:rPr>
          <w:sz w:val="21"/>
        </w:rPr>
        <w:t>http://cx.cnca.cn/</w:t>
      </w:r>
      <w:r>
        <w:rPr>
          <w:sz w:val="21"/>
        </w:rPr>
        <w:t>查询的产品的证书编号及查询结果截图）），并在产品外部施加认证标志作为验收依据之一。（供应商提供承诺函，可参照“响应文件格式与要求”中《承诺函》格式）</w:t>
      </w:r>
    </w:p>
    <w:p>
      <w:pPr>
        <w:pStyle w:val="null3"/>
      </w:pPr>
      <w:r>
        <w:rPr>
          <w:sz w:val="21"/>
        </w:rPr>
        <w:t>★</w:t>
      </w:r>
      <w:r>
        <w:rPr>
          <w:sz w:val="21"/>
        </w:rPr>
        <w:t>10</w:t>
      </w:r>
      <w:r>
        <w:rPr>
          <w:sz w:val="21"/>
        </w:rPr>
        <w:t>、本项目不允许合同分包。如供应商在投标</w:t>
      </w:r>
      <w:r>
        <w:rPr>
          <w:sz w:val="21"/>
        </w:rPr>
        <w:t>/</w:t>
      </w:r>
      <w:r>
        <w:rPr>
          <w:sz w:val="21"/>
        </w:rPr>
        <w:t>响应文件中未出现《分包协议意向书》，则视为未采取合同分包。</w:t>
      </w:r>
    </w:p>
    <w:p>
      <w:pPr>
        <w:pStyle w:val="null3"/>
      </w:pPr>
      <w:r>
        <w:rPr>
          <w:sz w:val="21"/>
        </w:rPr>
        <w:t>★</w:t>
      </w:r>
      <w:r>
        <w:rPr>
          <w:sz w:val="21"/>
        </w:rPr>
        <w:t>11</w:t>
      </w:r>
      <w:r>
        <w:rPr>
          <w:sz w:val="21"/>
        </w:rPr>
        <w:t>如本项目涉及到《中华人民共和国实行能源效率标识的产品目录（</w:t>
      </w:r>
      <w:r>
        <w:rPr>
          <w:sz w:val="21"/>
        </w:rPr>
        <w:t xml:space="preserve">2026 </w:t>
      </w:r>
      <w:r>
        <w:rPr>
          <w:sz w:val="21"/>
        </w:rPr>
        <w:t>年版）》内产品的，须严格执行《国家发展改革委</w:t>
      </w:r>
      <w:r>
        <w:rPr>
          <w:sz w:val="21"/>
        </w:rPr>
        <w:t>市场监管总局关于印发〈中华人民共和国实行能源效率标识的产品目录（</w:t>
      </w:r>
      <w:r>
        <w:rPr>
          <w:sz w:val="21"/>
        </w:rPr>
        <w:t xml:space="preserve">2026 </w:t>
      </w:r>
      <w:r>
        <w:rPr>
          <w:sz w:val="21"/>
        </w:rPr>
        <w:t>年版）〉及相关实施规则的通知》（发改环资规〔</w:t>
      </w:r>
      <w:r>
        <w:rPr>
          <w:sz w:val="21"/>
        </w:rPr>
        <w:t>2026</w:t>
      </w:r>
      <w:r>
        <w:rPr>
          <w:sz w:val="21"/>
        </w:rPr>
        <w:t>〕</w:t>
      </w:r>
      <w:r>
        <w:rPr>
          <w:sz w:val="21"/>
        </w:rPr>
        <w:t xml:space="preserve">550 </w:t>
      </w:r>
      <w:r>
        <w:rPr>
          <w:sz w:val="21"/>
        </w:rPr>
        <w:t>号）规定。（供应商提供承诺函，可参照“响应文件格式与要求”中《承诺函》格式）。</w:t>
      </w:r>
    </w:p>
    <w:p>
      <w:pPr>
        <w:pStyle w:val="null3"/>
      </w:pPr>
      <w:r>
        <w:rPr>
          <w:sz w:val="21"/>
        </w:rPr>
        <w:t>12.</w:t>
      </w:r>
      <w:r>
        <w:rPr>
          <w:sz w:val="20"/>
        </w:rPr>
        <w:t>如供应商异常低价报价</w:t>
      </w:r>
      <w:r>
        <w:rPr>
          <w:sz w:val="20"/>
        </w:rPr>
        <w:t xml:space="preserve"> </w:t>
      </w:r>
      <w:r>
        <w:rPr>
          <w:sz w:val="20"/>
        </w:rPr>
        <w:t>，评标委员会（评审小组）将启动异常低价投标（响应）审查，要求相关供应商在评审现场合理的时间内提供书面说明及必要的证明材料，对投标（响应）价格作出解释。供应商应在评标（审）现场合理的时间内提供书面说明。</w:t>
      </w:r>
      <w:r>
        <w:rPr>
          <w:sz w:val="20"/>
        </w:rPr>
        <w:t>如供应商为厂家的，则对主要材料采购价格、人工费用、厂房（办公场地）费用、设备折旧、包装、运输、售后服务、税金、利润、代理服务费等各项费用组成的报价进行分析说明。如供应商为代理商或经销商的，则对设备采购价格、人工费用、办公场地费用、包装、运输、售后服务、税金、利润、代理服务费等各项费用组成的报价进行分析说明。分析说明须逐一提供佐证材料，包括但不限于：①设备的采购合同，或主要材料的采购合同；②人员工资明细表及银行工资转帐凭证；③自有厂房（或办公场所）的提供房产证明，租赁厂房（或办公场所）的提供租赁合同及发票，委托生产的提供委托生产合同；④生产设备购置合同或租赁合同或委托生产合同。⑤以往同类产品的合同及中标（成交）通知书（或交易发票）。</w:t>
      </w:r>
    </w:p>
    <w:p>
      <w:pPr>
        <w:pStyle w:val="null3"/>
      </w:pPr>
      <w:r>
        <w:rPr>
          <w:sz w:val="20"/>
        </w:rPr>
        <w:t>注：上述罗列的费用，如实际并未发生，则无须提供对应的成本分析及证明材料，但供应商应提供说明。</w:t>
      </w:r>
    </w:p>
    <w:p>
      <w:pPr>
        <w:pStyle w:val="null3"/>
      </w:pPr>
      <w:r>
        <w:rPr>
          <w:sz w:val="21"/>
        </w:rPr>
        <w:t>12.</w:t>
      </w:r>
      <w:r>
        <w:rPr>
          <w:sz w:val="20"/>
        </w:rPr>
        <w:t>因投标（响应）格式中《政策适用性说明》无法满足项目（包组）填写需要，如涉及符合政策要求的节能产品、环境标志产品，请供应商按需求附件《节能环保政策适用性说明》的格式进行填写。</w:t>
      </w:r>
    </w:p>
    <w:p>
      <w:pPr>
        <w:pStyle w:val="null3"/>
      </w:pPr>
      <w:r>
        <w:rPr>
          <w:sz w:val="20"/>
        </w:rPr>
        <w:t>一、</w:t>
      </w:r>
      <w:r>
        <w:rPr>
          <w:sz w:val="20"/>
        </w:rPr>
        <w:t xml:space="preserve">    </w:t>
      </w:r>
      <w:r>
        <w:rPr>
          <w:sz w:val="20"/>
          <w:b/>
        </w:rPr>
        <w:t>项目名称</w:t>
      </w:r>
      <w:r>
        <w:rPr>
          <w:sz w:val="20"/>
        </w:rPr>
        <w:t>：海东院区中心机房</w:t>
      </w:r>
      <w:r>
        <w:rPr>
          <w:sz w:val="20"/>
        </w:rPr>
        <w:t>OLT</w:t>
      </w:r>
      <w:r>
        <w:rPr>
          <w:sz w:val="20"/>
        </w:rPr>
        <w:t>设备板卡扩容及配套服务</w:t>
      </w:r>
    </w:p>
    <w:p>
      <w:pPr>
        <w:pStyle w:val="null3"/>
        <w:ind w:left="570"/>
      </w:pPr>
      <w:r>
        <w:rPr>
          <w:sz w:val="20"/>
        </w:rPr>
        <w:t>二、</w:t>
      </w:r>
      <w:r>
        <w:rPr>
          <w:sz w:val="20"/>
        </w:rPr>
        <w:t xml:space="preserve">    </w:t>
      </w:r>
      <w:r>
        <w:rPr>
          <w:sz w:val="20"/>
          <w:b/>
        </w:rPr>
        <w:t>预算金额：</w:t>
      </w:r>
      <w:r>
        <w:rPr>
          <w:sz w:val="20"/>
        </w:rPr>
        <w:t>118</w:t>
      </w:r>
      <w:r>
        <w:rPr>
          <w:sz w:val="20"/>
        </w:rPr>
        <w:t>万元</w:t>
      </w:r>
    </w:p>
    <w:p>
      <w:pPr>
        <w:pStyle w:val="null3"/>
        <w:ind w:left="570"/>
      </w:pPr>
      <w:r>
        <w:rPr>
          <w:sz w:val="20"/>
        </w:rPr>
        <w:t>三、</w:t>
      </w:r>
      <w:r>
        <w:rPr>
          <w:sz w:val="20"/>
        </w:rPr>
        <w:t xml:space="preserve">    </w:t>
      </w:r>
      <w:r>
        <w:rPr>
          <w:sz w:val="20"/>
          <w:b/>
        </w:rPr>
        <w:t>功能</w:t>
      </w:r>
      <w:r>
        <w:rPr>
          <w:sz w:val="20"/>
          <w:b/>
        </w:rPr>
        <w:t>\</w:t>
      </w:r>
      <w:r>
        <w:rPr>
          <w:sz w:val="20"/>
          <w:b/>
        </w:rPr>
        <w:t>技术参数</w:t>
      </w:r>
    </w:p>
    <w:tbl>
      <w:tblPr>
        <w:tblW w:w="0" w:type="auto"/>
        <w:tblBorders>
          <w:top w:val="single"/>
          <w:left w:val="single"/>
          <w:bottom w:val="single"/>
          <w:right w:val="single"/>
          <w:insideH w:val="single"/>
          <w:insideV w:val="single"/>
        </w:tblBorders>
      </w:tblPr>
      <w:tblGrid>
        <w:gridCol w:w="593"/>
        <w:gridCol w:w="1356"/>
        <w:gridCol w:w="6357"/>
      </w:tblGrid>
      <w:tr>
        <w:tc>
          <w:tcPr>
            <w:tcW w:type="dxa" w:w="59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0"/>
              </w:rPr>
              <w:t>序号</w:t>
            </w:r>
          </w:p>
        </w:tc>
        <w:tc>
          <w:tcPr>
            <w:tcW w:type="dxa" w:w="13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名称</w:t>
            </w:r>
          </w:p>
        </w:tc>
        <w:tc>
          <w:tcPr>
            <w:tcW w:type="dxa" w:w="635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技术要求及指标</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0"/>
              </w:rPr>
              <w:t>1</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OLT</w:t>
            </w:r>
            <w:r>
              <w:rPr>
                <w:sz w:val="20"/>
              </w:rPr>
              <w:t>业务板卡</w:t>
            </w:r>
          </w:p>
        </w:tc>
        <w:tc>
          <w:tcPr>
            <w:tcW w:type="dxa" w:w="6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rPr>
              <w:t>▲1.</w:t>
            </w:r>
            <w:r>
              <w:rPr>
                <w:sz w:val="21"/>
              </w:rPr>
              <w:t>单板支持</w:t>
            </w:r>
            <w:r>
              <w:rPr>
                <w:sz w:val="21"/>
              </w:rPr>
              <w:t>≥16</w:t>
            </w:r>
            <w:r>
              <w:rPr>
                <w:sz w:val="21"/>
              </w:rPr>
              <w:t>个</w:t>
            </w:r>
            <w:r>
              <w:rPr>
                <w:sz w:val="21"/>
              </w:rPr>
              <w:t>XGS-PON</w:t>
            </w:r>
            <w:r>
              <w:rPr>
                <w:sz w:val="21"/>
              </w:rPr>
              <w:t>及</w:t>
            </w:r>
            <w:r>
              <w:rPr>
                <w:sz w:val="21"/>
              </w:rPr>
              <w:t>GPON Combo OLT</w:t>
            </w:r>
            <w:r>
              <w:rPr>
                <w:sz w:val="21"/>
              </w:rPr>
              <w:t>接口；</w:t>
            </w:r>
          </w:p>
          <w:p>
            <w:pPr>
              <w:pStyle w:val="null3"/>
            </w:pPr>
            <w:r>
              <w:rPr>
                <w:sz w:val="21"/>
              </w:rPr>
              <w:t>2.</w:t>
            </w:r>
            <w:r>
              <w:rPr>
                <w:sz w:val="21"/>
              </w:rPr>
              <w:t>转发性能</w:t>
            </w:r>
            <w:r>
              <w:rPr>
                <w:sz w:val="21"/>
              </w:rPr>
              <w:t>≥200 Gbit/s</w:t>
            </w:r>
            <w:r>
              <w:rPr>
                <w:sz w:val="21"/>
              </w:rPr>
              <w:t>；</w:t>
            </w:r>
          </w:p>
          <w:p>
            <w:pPr>
              <w:pStyle w:val="null3"/>
            </w:pPr>
            <w:r>
              <w:rPr>
                <w:sz w:val="21"/>
              </w:rPr>
              <w:t>3.MAC</w:t>
            </w:r>
            <w:r>
              <w:rPr>
                <w:sz w:val="21"/>
              </w:rPr>
              <w:t>地址表</w:t>
            </w:r>
            <w:r>
              <w:rPr>
                <w:sz w:val="21"/>
              </w:rPr>
              <w:t>≥130000</w:t>
            </w:r>
            <w:r>
              <w:rPr>
                <w:sz w:val="21"/>
              </w:rPr>
              <w:t>；</w:t>
            </w:r>
          </w:p>
          <w:p>
            <w:pPr>
              <w:pStyle w:val="null3"/>
            </w:pPr>
            <w:r>
              <w:rPr>
                <w:sz w:val="21"/>
              </w:rPr>
              <w:t>4.</w:t>
            </w:r>
            <w:r>
              <w:rPr>
                <w:sz w:val="21"/>
              </w:rPr>
              <w:t>每单板支持的业务流数</w:t>
            </w:r>
            <w:r>
              <w:rPr>
                <w:sz w:val="21"/>
              </w:rPr>
              <w:t>≥16000</w:t>
            </w:r>
            <w:r>
              <w:rPr>
                <w:sz w:val="21"/>
              </w:rPr>
              <w:t>；</w:t>
            </w:r>
          </w:p>
          <w:p>
            <w:pPr>
              <w:pStyle w:val="null3"/>
            </w:pPr>
            <w:r>
              <w:rPr>
                <w:sz w:val="21"/>
              </w:rPr>
              <w:t>▲5.</w:t>
            </w:r>
            <w:r>
              <w:rPr>
                <w:sz w:val="21"/>
              </w:rPr>
              <w:t>支持接入的</w:t>
            </w:r>
            <w:r>
              <w:rPr>
                <w:sz w:val="21"/>
              </w:rPr>
              <w:t>0NU</w:t>
            </w:r>
            <w:r>
              <w:rPr>
                <w:sz w:val="21"/>
              </w:rPr>
              <w:t>类型</w:t>
            </w:r>
            <w:r>
              <w:rPr>
                <w:sz w:val="21"/>
              </w:rPr>
              <w:t>:GPON</w:t>
            </w:r>
            <w:r>
              <w:rPr>
                <w:sz w:val="21"/>
              </w:rPr>
              <w:t>道</w:t>
            </w:r>
            <w:r>
              <w:rPr>
                <w:sz w:val="21"/>
              </w:rPr>
              <w:t>:2.5G/1.25G(</w:t>
            </w:r>
            <w:r>
              <w:rPr>
                <w:sz w:val="21"/>
              </w:rPr>
              <w:t>下行速率</w:t>
            </w:r>
            <w:r>
              <w:rPr>
                <w:sz w:val="21"/>
              </w:rPr>
              <w:t>/</w:t>
            </w:r>
            <w:r>
              <w:rPr>
                <w:sz w:val="21"/>
              </w:rPr>
              <w:t>上行速率</w:t>
            </w:r>
            <w:r>
              <w:rPr>
                <w:sz w:val="21"/>
              </w:rPr>
              <w:t>)</w:t>
            </w:r>
            <w:r>
              <w:rPr>
                <w:sz w:val="21"/>
              </w:rPr>
              <w:t>；</w:t>
            </w:r>
            <w:r>
              <w:rPr>
                <w:sz w:val="21"/>
              </w:rPr>
              <w:t>XGS-PON:10G/10G(</w:t>
            </w:r>
            <w:r>
              <w:rPr>
                <w:sz w:val="21"/>
              </w:rPr>
              <w:t>下行速率</w:t>
            </w:r>
            <w:r>
              <w:rPr>
                <w:sz w:val="21"/>
              </w:rPr>
              <w:t>/</w:t>
            </w:r>
            <w:r>
              <w:rPr>
                <w:sz w:val="21"/>
              </w:rPr>
              <w:t>上行速率</w:t>
            </w:r>
            <w:r>
              <w:rPr>
                <w:sz w:val="21"/>
              </w:rPr>
              <w:t>)</w:t>
            </w:r>
            <w:r>
              <w:rPr>
                <w:sz w:val="21"/>
              </w:rPr>
              <w:t>（提供官网链接及截图证明材料并加盖投标人公章</w:t>
            </w:r>
            <w:r>
              <w:rPr>
                <w:sz w:val="21"/>
              </w:rPr>
              <w:t>)</w:t>
            </w:r>
            <w:r>
              <w:rPr>
                <w:sz w:val="21"/>
              </w:rPr>
              <w:t>；</w:t>
            </w:r>
          </w:p>
          <w:p>
            <w:pPr>
              <w:pStyle w:val="null3"/>
            </w:pPr>
            <w:r>
              <w:rPr>
                <w:sz w:val="21"/>
              </w:rPr>
              <w:t>▲6.</w:t>
            </w:r>
            <w:r>
              <w:rPr>
                <w:sz w:val="21"/>
              </w:rPr>
              <w:t>支持</w:t>
            </w:r>
            <w:r>
              <w:rPr>
                <w:sz w:val="21"/>
              </w:rPr>
              <w:t>1588v2</w:t>
            </w:r>
            <w:r>
              <w:rPr>
                <w:sz w:val="21"/>
              </w:rPr>
              <w:t>同步，</w:t>
            </w:r>
            <w:r>
              <w:rPr>
                <w:sz w:val="21"/>
              </w:rPr>
              <w:t>9KJumbo</w:t>
            </w:r>
            <w:r>
              <w:rPr>
                <w:sz w:val="21"/>
              </w:rPr>
              <w:t>帧，双向</w:t>
            </w:r>
            <w:r>
              <w:rPr>
                <w:sz w:val="21"/>
              </w:rPr>
              <w:t>FEC</w:t>
            </w:r>
            <w:r>
              <w:rPr>
                <w:sz w:val="21"/>
              </w:rPr>
              <w:t>，可变长</w:t>
            </w:r>
            <w:r>
              <w:rPr>
                <w:sz w:val="21"/>
              </w:rPr>
              <w:t>OMCI</w:t>
            </w:r>
            <w:r>
              <w:rPr>
                <w:sz w:val="21"/>
              </w:rPr>
              <w:t>功能特性（提供官网链接及截图证明材料并加盖投标人公章</w:t>
            </w:r>
            <w:r>
              <w:rPr>
                <w:sz w:val="21"/>
              </w:rPr>
              <w:t>)</w:t>
            </w:r>
            <w:r>
              <w:rPr>
                <w:sz w:val="21"/>
              </w:rPr>
              <w:t>；</w:t>
            </w:r>
            <w:r>
              <w:br/>
            </w:r>
            <w:r>
              <w:rPr>
                <w:sz w:val="21"/>
              </w:rPr>
              <w:t xml:space="preserve"> ▲7.</w:t>
            </w:r>
            <w:r>
              <w:rPr>
                <w:sz w:val="21"/>
              </w:rPr>
              <w:t>可靠性</w:t>
            </w:r>
            <w:r>
              <w:rPr>
                <w:sz w:val="21"/>
              </w:rPr>
              <w:t>:</w:t>
            </w:r>
            <w:r>
              <w:rPr>
                <w:sz w:val="21"/>
              </w:rPr>
              <w:t>支持</w:t>
            </w:r>
            <w:r>
              <w:rPr>
                <w:sz w:val="21"/>
              </w:rPr>
              <w:t>TypeB</w:t>
            </w:r>
            <w:r>
              <w:rPr>
                <w:sz w:val="21"/>
              </w:rPr>
              <w:t>、</w:t>
            </w:r>
            <w:r>
              <w:rPr>
                <w:sz w:val="21"/>
              </w:rPr>
              <w:t>TypeC</w:t>
            </w:r>
            <w:r>
              <w:rPr>
                <w:sz w:val="21"/>
              </w:rPr>
              <w:t>单归属</w:t>
            </w:r>
            <w:r>
              <w:rPr>
                <w:sz w:val="21"/>
              </w:rPr>
              <w:t>/</w:t>
            </w:r>
            <w:r>
              <w:rPr>
                <w:sz w:val="21"/>
              </w:rPr>
              <w:t>双归属保护，保护倒换时延小于</w:t>
            </w:r>
            <w:r>
              <w:rPr>
                <w:sz w:val="21"/>
              </w:rPr>
              <w:t>50ms</w:t>
            </w:r>
            <w:r>
              <w:rPr>
                <w:sz w:val="21"/>
              </w:rPr>
              <w:t>（</w:t>
            </w:r>
            <w:r>
              <w:rPr>
                <w:sz w:val="21"/>
              </w:rPr>
              <w:t>提供以下任意一项证明材料：①第三方机构出具的检验检测报告复印件；②产品制造商官网对应参数功能截图（含网址栏及页面内容）及官网链接地址；③制造商产品说明书或制造商公开发布的产品功能印刷资料，须清晰完整载明产品型号、功能、技术参数及制造商名称。为便于评审，须对相关证明项进行标注（如红色方框标注，并注明对应参数名称或序号）；</w:t>
            </w:r>
            <w:r>
              <w:br/>
            </w:r>
            <w:r>
              <w:rPr>
                <w:sz w:val="21"/>
              </w:rPr>
              <w:t xml:space="preserve"> 8.</w:t>
            </w:r>
            <w:r>
              <w:rPr>
                <w:sz w:val="21"/>
              </w:rPr>
              <w:t>支持流氓</w:t>
            </w:r>
            <w:r>
              <w:rPr>
                <w:sz w:val="21"/>
              </w:rPr>
              <w:t>ONU</w:t>
            </w:r>
            <w:r>
              <w:rPr>
                <w:sz w:val="21"/>
              </w:rPr>
              <w:t>检测和隔离，支持高温自动关断，支持单板节能；</w:t>
            </w:r>
          </w:p>
          <w:p>
            <w:pPr>
              <w:pStyle w:val="null3"/>
            </w:pPr>
            <w:r>
              <w:rPr>
                <w:sz w:val="21"/>
              </w:rPr>
              <w:t>▲9.</w:t>
            </w:r>
            <w:r>
              <w:rPr>
                <w:sz w:val="21"/>
              </w:rPr>
              <w:t>为了网络安全、自主、高效、节能，</w:t>
            </w:r>
            <w:r>
              <w:rPr>
                <w:sz w:val="21"/>
              </w:rPr>
              <w:t>PON</w:t>
            </w:r>
            <w:r>
              <w:rPr>
                <w:sz w:val="21"/>
              </w:rPr>
              <w:t>单板主要业务处理芯片要求为国产芯片（</w:t>
            </w:r>
            <w:r>
              <w:rPr>
                <w:sz w:val="21"/>
              </w:rPr>
              <w:t>提供以下任意一项证明材料：①第三方机构出具的检验检测报告复印件；②产品制造商官网对应参数功能截图（含网址栏及页面内容）及官网链接地址；③制造商产品说明书或制造商公开发布的产品功能印刷资料，须清晰完整载明产品型号、功能、技术参数及制造商名称。为便于评审，须对相关证明项进行标注（如红色方框标注，并注明对应参数名称或序号））；</w:t>
            </w:r>
          </w:p>
          <w:p>
            <w:pPr>
              <w:pStyle w:val="null3"/>
            </w:pPr>
            <w:r>
              <w:rPr>
                <w:sz w:val="21"/>
              </w:rPr>
              <w:t>▲10.</w:t>
            </w:r>
            <w:r>
              <w:rPr>
                <w:sz w:val="21"/>
              </w:rPr>
              <w:t>为了保持系统稳定运行，要求与现网已运行的</w:t>
            </w:r>
            <w:r>
              <w:rPr>
                <w:sz w:val="21"/>
              </w:rPr>
              <w:t>0LT</w:t>
            </w:r>
            <w:r>
              <w:rPr>
                <w:sz w:val="21"/>
              </w:rPr>
              <w:t>主设备兼容（</w:t>
            </w:r>
            <w:r>
              <w:rPr>
                <w:sz w:val="21"/>
              </w:rPr>
              <w:t>现网已运行</w:t>
            </w:r>
            <w:r>
              <w:rPr>
                <w:sz w:val="21"/>
              </w:rPr>
              <w:t>OLT</w:t>
            </w:r>
            <w:r>
              <w:rPr>
                <w:sz w:val="21"/>
              </w:rPr>
              <w:t>主设备为华为</w:t>
            </w:r>
            <w:r>
              <w:rPr>
                <w:sz w:val="21"/>
              </w:rPr>
              <w:t>SmartAx EA5800-X15</w:t>
            </w:r>
            <w:r>
              <w:rPr>
                <w:sz w:val="21"/>
              </w:rPr>
              <w:t>）（提供承诺函并加盖投标人公章）。</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0"/>
              </w:rPr>
              <w:t>2</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24</w:t>
            </w:r>
            <w:r>
              <w:rPr>
                <w:sz w:val="20"/>
              </w:rPr>
              <w:t>口</w:t>
            </w:r>
            <w:r>
              <w:rPr>
                <w:sz w:val="20"/>
              </w:rPr>
              <w:t>SC</w:t>
            </w:r>
            <w:r>
              <w:rPr>
                <w:sz w:val="20"/>
              </w:rPr>
              <w:t>光纤配线架</w:t>
            </w:r>
          </w:p>
        </w:tc>
        <w:tc>
          <w:tcPr>
            <w:tcW w:type="dxa" w:w="6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1.24-SC/UPC</w:t>
            </w:r>
            <w:r>
              <w:rPr>
                <w:sz w:val="20"/>
              </w:rPr>
              <w:t>模块，支持</w:t>
            </w:r>
            <w:r>
              <w:rPr>
                <w:sz w:val="20"/>
              </w:rPr>
              <w:t>24</w:t>
            </w:r>
            <w:r>
              <w:rPr>
                <w:sz w:val="20"/>
              </w:rPr>
              <w:t>芯单模光纤的熔接、转接；</w:t>
            </w:r>
          </w:p>
          <w:p>
            <w:pPr>
              <w:pStyle w:val="null3"/>
            </w:pPr>
            <w:r>
              <w:rPr>
                <w:sz w:val="20"/>
              </w:rPr>
              <w:t>2.</w:t>
            </w:r>
            <w:r>
              <w:rPr>
                <w:sz w:val="20"/>
              </w:rPr>
              <w:t>外壳材质：≥</w:t>
            </w:r>
            <w:r>
              <w:rPr>
                <w:sz w:val="20"/>
              </w:rPr>
              <w:t xml:space="preserve">0.85 mm </w:t>
            </w:r>
            <w:r>
              <w:rPr>
                <w:sz w:val="20"/>
              </w:rPr>
              <w:t>冷扎板静电喷涂；</w:t>
            </w:r>
          </w:p>
          <w:p>
            <w:pPr>
              <w:pStyle w:val="null3"/>
            </w:pPr>
            <w:r>
              <w:rPr>
                <w:sz w:val="20"/>
              </w:rPr>
              <w:t>3.</w:t>
            </w:r>
            <w:r>
              <w:rPr>
                <w:sz w:val="20"/>
              </w:rPr>
              <w:t>产品高度：</w:t>
            </w:r>
            <w:r>
              <w:rPr>
                <w:sz w:val="20"/>
              </w:rPr>
              <w:t>1U</w:t>
            </w:r>
            <w:r>
              <w:rPr>
                <w:sz w:val="20"/>
              </w:rPr>
              <w:t>（机柜挂耳安装）。</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0"/>
              </w:rPr>
              <w:t>3</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光纤跳线</w:t>
            </w:r>
          </w:p>
        </w:tc>
        <w:tc>
          <w:tcPr>
            <w:tcW w:type="dxa" w:w="6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1.5</w:t>
            </w:r>
            <w:r>
              <w:rPr>
                <w:sz w:val="20"/>
              </w:rPr>
              <w:t>米成品</w:t>
            </w:r>
            <w:r>
              <w:rPr>
                <w:sz w:val="20"/>
              </w:rPr>
              <w:t>SC-SC</w:t>
            </w:r>
            <w:r>
              <w:rPr>
                <w:sz w:val="20"/>
              </w:rPr>
              <w:t>单模单光纤跳线；</w:t>
            </w:r>
          </w:p>
          <w:p>
            <w:pPr>
              <w:pStyle w:val="null3"/>
            </w:pPr>
            <w:r>
              <w:rPr>
                <w:sz w:val="20"/>
              </w:rPr>
              <w:t>2.</w:t>
            </w:r>
            <w:r>
              <w:rPr>
                <w:sz w:val="20"/>
              </w:rPr>
              <w:t>支持单模光信号传输，陶瓷插芯材质，线皮为环保</w:t>
            </w:r>
            <w:r>
              <w:rPr>
                <w:sz w:val="20"/>
              </w:rPr>
              <w:t>PVC</w:t>
            </w:r>
            <w:r>
              <w:rPr>
                <w:sz w:val="20"/>
              </w:rPr>
              <w:t>材料，线径</w:t>
            </w:r>
            <w:r>
              <w:rPr>
                <w:sz w:val="20"/>
              </w:rPr>
              <w:t>OD3mm</w:t>
            </w:r>
            <w:r>
              <w:rPr>
                <w:sz w:val="20"/>
              </w:rPr>
              <w:t>；</w:t>
            </w:r>
          </w:p>
          <w:p>
            <w:pPr>
              <w:pStyle w:val="null3"/>
            </w:pPr>
            <w:r>
              <w:rPr>
                <w:sz w:val="20"/>
              </w:rPr>
              <w:t>3.</w:t>
            </w:r>
            <w:r>
              <w:rPr>
                <w:sz w:val="20"/>
              </w:rPr>
              <w:t>满足</w:t>
            </w:r>
            <w:r>
              <w:rPr>
                <w:sz w:val="20"/>
              </w:rPr>
              <w:t xml:space="preserve"> 1310nm~1550nm</w:t>
            </w:r>
            <w:r>
              <w:rPr>
                <w:sz w:val="20"/>
              </w:rPr>
              <w:t>波长下的低损耗传输，用于</w:t>
            </w:r>
            <w:r>
              <w:rPr>
                <w:sz w:val="20"/>
              </w:rPr>
              <w:t>GPON/XGSPON</w:t>
            </w:r>
            <w:r>
              <w:rPr>
                <w:sz w:val="20"/>
              </w:rPr>
              <w:t>等光接入网络；</w:t>
            </w:r>
          </w:p>
          <w:p>
            <w:pPr>
              <w:pStyle w:val="null3"/>
            </w:pPr>
            <w:r>
              <w:rPr>
                <w:sz w:val="20"/>
              </w:rPr>
              <w:t>4.</w:t>
            </w:r>
            <w:r>
              <w:rPr>
                <w:sz w:val="20"/>
              </w:rPr>
              <w:t>具备抗弯折、抗干扰特性，适应机房布线或墙面</w:t>
            </w:r>
            <w:r>
              <w:rPr>
                <w:sz w:val="20"/>
              </w:rPr>
              <w:t>/</w:t>
            </w:r>
            <w:r>
              <w:rPr>
                <w:sz w:val="20"/>
              </w:rPr>
              <w:t>管道暗敷环境。</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0"/>
              </w:rPr>
              <w:t>4</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六类屏蔽网线</w:t>
            </w:r>
          </w:p>
        </w:tc>
        <w:tc>
          <w:tcPr>
            <w:tcW w:type="dxa" w:w="6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 xml:space="preserve">1.      </w:t>
            </w:r>
            <w:r>
              <w:rPr>
                <w:sz w:val="20"/>
              </w:rPr>
              <w:t>双屏蔽六类</w:t>
            </w:r>
            <w:r>
              <w:rPr>
                <w:sz w:val="20"/>
              </w:rPr>
              <w:t>0.52</w:t>
            </w:r>
            <w:r>
              <w:rPr>
                <w:sz w:val="20"/>
              </w:rPr>
              <w:t>线；</w:t>
            </w:r>
          </w:p>
          <w:p>
            <w:pPr>
              <w:pStyle w:val="null3"/>
            </w:pPr>
            <w:r>
              <w:rPr>
                <w:sz w:val="20"/>
              </w:rPr>
              <w:t xml:space="preserve">2.      </w:t>
            </w:r>
            <w:r>
              <w:rPr>
                <w:sz w:val="20"/>
              </w:rPr>
              <w:t>导体：无氧铜导体（±</w:t>
            </w:r>
            <w:r>
              <w:rPr>
                <w:sz w:val="20"/>
              </w:rPr>
              <w:t>0.01mm</w:t>
            </w:r>
            <w:r>
              <w:rPr>
                <w:sz w:val="20"/>
              </w:rPr>
              <w:t>）；</w:t>
            </w:r>
          </w:p>
          <w:p>
            <w:pPr>
              <w:pStyle w:val="null3"/>
            </w:pPr>
            <w:r>
              <w:rPr>
                <w:sz w:val="20"/>
              </w:rPr>
              <w:t xml:space="preserve">3.      </w:t>
            </w:r>
            <w:r>
              <w:rPr>
                <w:sz w:val="20"/>
              </w:rPr>
              <w:t>内层：环保全新材料</w:t>
            </w:r>
            <w:r>
              <w:rPr>
                <w:sz w:val="20"/>
              </w:rPr>
              <w:t>+</w:t>
            </w:r>
            <w:r>
              <w:rPr>
                <w:sz w:val="20"/>
              </w:rPr>
              <w:t>铝箔；</w:t>
            </w:r>
          </w:p>
          <w:p>
            <w:pPr>
              <w:pStyle w:val="null3"/>
            </w:pPr>
            <w:r>
              <w:rPr>
                <w:sz w:val="20"/>
              </w:rPr>
              <w:t xml:space="preserve">4.      </w:t>
            </w:r>
            <w:r>
              <w:rPr>
                <w:sz w:val="20"/>
              </w:rPr>
              <w:t>网线颜色：蓝色、橙色；</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0"/>
              </w:rPr>
              <w:t>5</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六类网络跳线</w:t>
            </w:r>
          </w:p>
        </w:tc>
        <w:tc>
          <w:tcPr>
            <w:tcW w:type="dxa" w:w="6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1.3</w:t>
            </w:r>
            <w:r>
              <w:rPr>
                <w:sz w:val="20"/>
              </w:rPr>
              <w:t>米成品网络跳线</w:t>
            </w:r>
          </w:p>
          <w:p>
            <w:pPr>
              <w:pStyle w:val="null3"/>
            </w:pPr>
            <w:r>
              <w:rPr>
                <w:sz w:val="20"/>
              </w:rPr>
              <w:t>2.</w:t>
            </w:r>
            <w:r>
              <w:rPr>
                <w:sz w:val="20"/>
              </w:rPr>
              <w:t>无氧铜线芯，中心十字骨架，进口高密度</w:t>
            </w:r>
            <w:r>
              <w:rPr>
                <w:sz w:val="20"/>
              </w:rPr>
              <w:t>PE</w:t>
            </w:r>
            <w:r>
              <w:rPr>
                <w:sz w:val="20"/>
              </w:rPr>
              <w:t>，环保阻燃</w:t>
            </w:r>
            <w:r>
              <w:rPr>
                <w:sz w:val="20"/>
              </w:rPr>
              <w:t>PVC</w:t>
            </w:r>
            <w:r>
              <w:rPr>
                <w:sz w:val="20"/>
              </w:rPr>
              <w:t>；</w:t>
            </w:r>
          </w:p>
          <w:p>
            <w:pPr>
              <w:pStyle w:val="null3"/>
            </w:pPr>
            <w:r>
              <w:rPr>
                <w:sz w:val="20"/>
              </w:rPr>
              <w:t>3.</w:t>
            </w:r>
            <w:r>
              <w:rPr>
                <w:sz w:val="20"/>
              </w:rPr>
              <w:t>工艺特点：采用多股</w:t>
            </w:r>
            <w:r>
              <w:rPr>
                <w:sz w:val="20"/>
              </w:rPr>
              <w:t>(7*8</w:t>
            </w:r>
            <w:r>
              <w:rPr>
                <w:sz w:val="20"/>
              </w:rPr>
              <w:t>股</w:t>
            </w:r>
            <w:r>
              <w:rPr>
                <w:sz w:val="20"/>
              </w:rPr>
              <w:t>)</w:t>
            </w:r>
            <w:r>
              <w:rPr>
                <w:sz w:val="20"/>
              </w:rPr>
              <w:t>绞合线电缆设计，跳线柔韧性好；</w:t>
            </w:r>
          </w:p>
          <w:p>
            <w:pPr>
              <w:pStyle w:val="null3"/>
            </w:pPr>
            <w:r>
              <w:rPr>
                <w:sz w:val="20"/>
              </w:rPr>
              <w:t>4.</w:t>
            </w:r>
            <w:r>
              <w:rPr>
                <w:sz w:val="20"/>
              </w:rPr>
              <w:t>水晶头渐变型受力原理的灌胶护套，防滑抗拉，保证弯曲半径；</w:t>
            </w:r>
          </w:p>
          <w:p>
            <w:pPr>
              <w:pStyle w:val="null3"/>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0"/>
              </w:rPr>
              <w:t>6</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安装调试服务</w:t>
            </w:r>
          </w:p>
        </w:tc>
        <w:tc>
          <w:tcPr>
            <w:tcW w:type="dxa" w:w="6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1.</w:t>
            </w:r>
            <w:r>
              <w:rPr>
                <w:sz w:val="20"/>
              </w:rPr>
              <w:t>提供</w:t>
            </w:r>
            <w:r>
              <w:rPr>
                <w:sz w:val="20"/>
              </w:rPr>
              <w:t>OLT</w:t>
            </w:r>
            <w:r>
              <w:rPr>
                <w:sz w:val="20"/>
              </w:rPr>
              <w:t>业务板卡的机房机架安装、</w:t>
            </w:r>
            <w:r>
              <w:rPr>
                <w:sz w:val="20"/>
              </w:rPr>
              <w:t>24</w:t>
            </w:r>
            <w:r>
              <w:rPr>
                <w:sz w:val="20"/>
              </w:rPr>
              <w:t>口</w:t>
            </w:r>
            <w:r>
              <w:rPr>
                <w:sz w:val="20"/>
              </w:rPr>
              <w:t>SC</w:t>
            </w:r>
            <w:r>
              <w:rPr>
                <w:sz w:val="20"/>
              </w:rPr>
              <w:t>光纤配线架的机柜挂耳固定，以及相关设备的物理接线；（含机房内提供的光纤跳线、六类网线的布设与连接）</w:t>
            </w:r>
          </w:p>
          <w:p>
            <w:pPr>
              <w:pStyle w:val="null3"/>
            </w:pPr>
            <w:r>
              <w:rPr>
                <w:sz w:val="20"/>
              </w:rPr>
              <w:t>2.</w:t>
            </w:r>
            <w:r>
              <w:rPr>
                <w:sz w:val="20"/>
              </w:rPr>
              <w:t>按技术参数要求验证</w:t>
            </w:r>
            <w:r>
              <w:rPr>
                <w:sz w:val="20"/>
              </w:rPr>
              <w:t>OLT</w:t>
            </w:r>
            <w:r>
              <w:rPr>
                <w:sz w:val="20"/>
              </w:rPr>
              <w:t>业务板卡≥</w:t>
            </w:r>
            <w:r>
              <w:rPr>
                <w:sz w:val="20"/>
              </w:rPr>
              <w:t>16</w:t>
            </w:r>
            <w:r>
              <w:rPr>
                <w:sz w:val="20"/>
              </w:rPr>
              <w:t>个</w:t>
            </w:r>
            <w:r>
              <w:rPr>
                <w:sz w:val="20"/>
              </w:rPr>
              <w:t>Combo</w:t>
            </w:r>
            <w:r>
              <w:rPr>
                <w:sz w:val="20"/>
              </w:rPr>
              <w:t>接口可用性、转发性能≥</w:t>
            </w:r>
            <w:r>
              <w:rPr>
                <w:sz w:val="20"/>
              </w:rPr>
              <w:t>200Gbit/s</w:t>
            </w:r>
            <w:r>
              <w:rPr>
                <w:sz w:val="20"/>
              </w:rPr>
              <w:t>等核心指标；</w:t>
            </w:r>
          </w:p>
          <w:p>
            <w:pPr>
              <w:pStyle w:val="null3"/>
            </w:pPr>
            <w:r>
              <w:rPr>
                <w:sz w:val="20"/>
              </w:rPr>
              <w:t>3.</w:t>
            </w:r>
            <w:r>
              <w:rPr>
                <w:sz w:val="20"/>
              </w:rPr>
              <w:t>按技术参数要求测试板卡</w:t>
            </w:r>
            <w:r>
              <w:rPr>
                <w:sz w:val="20"/>
              </w:rPr>
              <w:t xml:space="preserve"> TypeB</w:t>
            </w:r>
            <w:r>
              <w:rPr>
                <w:sz w:val="20"/>
              </w:rPr>
              <w:t>或</w:t>
            </w:r>
            <w:r>
              <w:rPr>
                <w:sz w:val="20"/>
              </w:rPr>
              <w:t xml:space="preserve">TypeC </w:t>
            </w:r>
            <w:r>
              <w:rPr>
                <w:sz w:val="20"/>
              </w:rPr>
              <w:t>保护倒换功能，倒换时延＜</w:t>
            </w:r>
            <w:r>
              <w:rPr>
                <w:sz w:val="20"/>
              </w:rPr>
              <w:t>50ms</w:t>
            </w:r>
            <w:r>
              <w:rPr>
                <w:sz w:val="20"/>
              </w:rPr>
              <w:t>；</w:t>
            </w:r>
          </w:p>
          <w:p>
            <w:pPr>
              <w:pStyle w:val="null3"/>
            </w:pPr>
            <w:r>
              <w:rPr>
                <w:sz w:val="20"/>
              </w:rPr>
              <w:t>4.</w:t>
            </w:r>
            <w:r>
              <w:rPr>
                <w:sz w:val="20"/>
              </w:rPr>
              <w:t>调试设备与现网</w:t>
            </w:r>
            <w:r>
              <w:rPr>
                <w:sz w:val="20"/>
              </w:rPr>
              <w:t>OLT</w:t>
            </w:r>
            <w:r>
              <w:rPr>
                <w:sz w:val="20"/>
              </w:rPr>
              <w:t>主备设备的兼容性；</w:t>
            </w:r>
          </w:p>
          <w:p>
            <w:pPr>
              <w:pStyle w:val="null3"/>
            </w:pPr>
            <w:r>
              <w:rPr>
                <w:sz w:val="20"/>
              </w:rPr>
              <w:t>5.</w:t>
            </w:r>
            <w:r>
              <w:rPr>
                <w:sz w:val="20"/>
              </w:rPr>
              <w:t>所提供的设备及线路的标签张贴。</w:t>
            </w:r>
          </w:p>
        </w:tc>
      </w:tr>
    </w:tbl>
    <w:p>
      <w:pPr>
        <w:pStyle w:val="null3"/>
        <w:ind w:left="570"/>
      </w:pPr>
      <w:r>
        <w:rPr>
          <w:sz w:val="20"/>
        </w:rPr>
        <w:t>四、</w:t>
      </w:r>
      <w:r>
        <w:rPr>
          <w:sz w:val="20"/>
        </w:rPr>
        <w:t xml:space="preserve">    </w:t>
      </w:r>
      <w:r>
        <w:rPr>
          <w:sz w:val="20"/>
        </w:rPr>
        <w:t>服务要求</w:t>
      </w:r>
    </w:p>
    <w:p>
      <w:pPr>
        <w:pStyle w:val="null3"/>
      </w:pPr>
      <w:r>
        <w:rPr>
          <w:sz w:val="20"/>
        </w:rPr>
        <w:t>1.</w:t>
      </w:r>
      <w:r>
        <w:rPr>
          <w:sz w:val="20"/>
        </w:rPr>
        <w:t>提供</w:t>
      </w:r>
      <w:r>
        <w:rPr>
          <w:sz w:val="20"/>
        </w:rPr>
        <w:t>7</w:t>
      </w:r>
      <w:r>
        <w:rPr>
          <w:sz w:val="20"/>
        </w:rPr>
        <w:t>×</w:t>
      </w:r>
      <w:r>
        <w:rPr>
          <w:sz w:val="20"/>
        </w:rPr>
        <w:t>24</w:t>
      </w:r>
      <w:r>
        <w:rPr>
          <w:sz w:val="20"/>
        </w:rPr>
        <w:t>小时售后服务电话，解答用户在使用、维护过程中遇到的问题，及时提出解决问题的建议和操作方法</w:t>
      </w:r>
      <w:r>
        <w:rPr>
          <w:sz w:val="20"/>
        </w:rPr>
        <w:t>;</w:t>
      </w:r>
      <w:r>
        <w:rPr>
          <w:sz w:val="20"/>
        </w:rPr>
        <w:t>若电话中无法解决，</w:t>
      </w:r>
      <w:r>
        <w:rPr>
          <w:sz w:val="20"/>
        </w:rPr>
        <w:t>24</w:t>
      </w:r>
      <w:r>
        <w:rPr>
          <w:sz w:val="20"/>
        </w:rPr>
        <w:t>小时内到达现场给予问题处理支持。若设备故障在检修</w:t>
      </w:r>
      <w:r>
        <w:rPr>
          <w:sz w:val="20"/>
        </w:rPr>
        <w:t>48</w:t>
      </w:r>
      <w:r>
        <w:rPr>
          <w:sz w:val="20"/>
        </w:rPr>
        <w:t>小时内仍无法排除，投标人需提供不低于故障设备故障规格、型号、性能的备用设备使用，直至故障设备修复；</w:t>
      </w:r>
    </w:p>
    <w:p>
      <w:pPr>
        <w:pStyle w:val="null3"/>
      </w:pPr>
      <w:r>
        <w:rPr>
          <w:sz w:val="20"/>
        </w:rPr>
        <w:t>2.</w:t>
      </w:r>
      <w:r>
        <w:rPr>
          <w:sz w:val="20"/>
        </w:rPr>
        <w:t>质保期内对所供货物实行包修、</w:t>
      </w:r>
      <w:r>
        <w:rPr>
          <w:sz w:val="20"/>
        </w:rPr>
        <w:t>包换、包退、包维护保养，期满后可同时提供终身有偿维修保养服务；</w:t>
      </w:r>
    </w:p>
    <w:p>
      <w:pPr>
        <w:pStyle w:val="null3"/>
      </w:pPr>
      <w:r>
        <w:rPr>
          <w:sz w:val="20"/>
        </w:rPr>
        <w:t>▲</w:t>
      </w:r>
      <w:r>
        <w:rPr>
          <w:sz w:val="20"/>
        </w:rPr>
        <w:t>3.</w:t>
      </w:r>
      <w:r>
        <w:rPr>
          <w:sz w:val="20"/>
        </w:rPr>
        <w:t>质保期内修提供备件先行服务，即中标人通过备件服务申请后，提前提供更换件给采购人，而采购人只需要在收到中标人提供的更换部件后的</w:t>
      </w:r>
      <w:r>
        <w:rPr>
          <w:sz w:val="20"/>
        </w:rPr>
        <w:t>30</w:t>
      </w:r>
      <w:r>
        <w:rPr>
          <w:sz w:val="20"/>
        </w:rPr>
        <w:t>自然日内将故障件返回中标人指定接收点即可；（投标人提供承诺函，可参照“投标文件格式”中《承诺函》格式）</w:t>
      </w:r>
    </w:p>
    <w:p>
      <w:pPr>
        <w:pStyle w:val="null3"/>
      </w:pPr>
      <w:r>
        <w:rPr>
          <w:sz w:val="20"/>
        </w:rPr>
        <w:t>4..</w:t>
      </w:r>
      <w:r>
        <w:rPr>
          <w:sz w:val="20"/>
        </w:rPr>
        <w:t>提供产品终身故障诊断、排除服务。</w:t>
      </w:r>
    </w:p>
    <w:p>
      <w:pPr>
        <w:pStyle w:val="null3"/>
        <w:ind w:left="570"/>
      </w:pPr>
      <w:r>
        <w:rPr>
          <w:sz w:val="20"/>
        </w:rPr>
        <w:t>五、</w:t>
      </w:r>
      <w:r>
        <w:rPr>
          <w:sz w:val="20"/>
        </w:rPr>
        <w:t xml:space="preserve">    </w:t>
      </w:r>
      <w:r>
        <w:rPr>
          <w:sz w:val="20"/>
        </w:rPr>
        <w:t>应急预案要求</w:t>
      </w:r>
    </w:p>
    <w:p>
      <w:pPr>
        <w:pStyle w:val="null3"/>
        <w:ind w:firstLine="400"/>
      </w:pPr>
      <w:r>
        <w:rPr>
          <w:sz w:val="20"/>
        </w:rPr>
        <w:t>需制定完善的应急预案，因</w:t>
      </w:r>
      <w:r>
        <w:rPr>
          <w:sz w:val="20"/>
        </w:rPr>
        <w:t>OLT</w:t>
      </w:r>
      <w:r>
        <w:rPr>
          <w:sz w:val="20"/>
        </w:rPr>
        <w:t>板卡或</w:t>
      </w:r>
      <w:r>
        <w:rPr>
          <w:sz w:val="20"/>
        </w:rPr>
        <w:t>OLT</w:t>
      </w:r>
      <w:r>
        <w:rPr>
          <w:sz w:val="20"/>
        </w:rPr>
        <w:t>板卡的端口在后续运行中引发的医院信息系统瘫痪、全网终端等网络中断等突发事件。预案包含清晰的组织架构，明确各层级预案的职责与衔接机制，以及针对故障事件的预警、报告、分析、决策、抢修和恢复等整套处置流程。</w:t>
      </w:r>
    </w:p>
    <w:p>
      <w:pPr>
        <w:pStyle w:val="null3"/>
        <w:ind w:left="570"/>
      </w:pPr>
      <w:r>
        <w:rPr>
          <w:sz w:val="20"/>
        </w:rPr>
        <w:t>六、</w:t>
      </w:r>
      <w:r>
        <w:rPr>
          <w:sz w:val="20"/>
        </w:rPr>
        <w:t xml:space="preserve">    </w:t>
      </w:r>
      <w:r>
        <w:rPr>
          <w:sz w:val="20"/>
        </w:rPr>
        <w:t>供应商人员要求</w:t>
      </w:r>
    </w:p>
    <w:p>
      <w:pPr>
        <w:pStyle w:val="null3"/>
        <w:jc w:val="both"/>
      </w:pPr>
      <w:r>
        <w:rPr>
          <w:sz w:val="20"/>
        </w:rPr>
        <w:t>（一）项目负责人</w:t>
      </w:r>
    </w:p>
    <w:p>
      <w:pPr>
        <w:pStyle w:val="null3"/>
        <w:ind w:firstLine="420"/>
        <w:jc w:val="both"/>
      </w:pPr>
      <w:r>
        <w:rPr>
          <w:sz w:val="20"/>
        </w:rPr>
        <w:t>（</w:t>
      </w:r>
      <w:r>
        <w:rPr>
          <w:sz w:val="20"/>
        </w:rPr>
        <w:t>1</w:t>
      </w:r>
      <w:r>
        <w:rPr>
          <w:sz w:val="20"/>
        </w:rPr>
        <w:t>）具有</w:t>
      </w:r>
      <w:r>
        <w:rPr>
          <w:sz w:val="21"/>
        </w:rPr>
        <w:t>人力资源和社会保障部门（早期为人事部门）</w:t>
      </w:r>
      <w:r>
        <w:rPr>
          <w:sz w:val="20"/>
        </w:rPr>
        <w:t>颁发的计算机技术与软件专业技术资格证书：信息系统项目管理师证书；</w:t>
      </w:r>
    </w:p>
    <w:p>
      <w:pPr>
        <w:pStyle w:val="null3"/>
        <w:ind w:firstLine="420"/>
        <w:jc w:val="both"/>
      </w:pPr>
      <w:r>
        <w:rPr>
          <w:sz w:val="20"/>
        </w:rPr>
        <w:t>（</w:t>
      </w:r>
      <w:r>
        <w:rPr>
          <w:sz w:val="20"/>
        </w:rPr>
        <w:t>2</w:t>
      </w:r>
      <w:r>
        <w:rPr>
          <w:sz w:val="20"/>
        </w:rPr>
        <w:t>）具有</w:t>
      </w:r>
      <w:r>
        <w:rPr>
          <w:sz w:val="21"/>
        </w:rPr>
        <w:t>人力资源和社会保障部门（早期为人事部门）</w:t>
      </w:r>
      <w:r>
        <w:rPr>
          <w:sz w:val="20"/>
        </w:rPr>
        <w:t>颁发的计算机技术与软件专业技术资格证书：系统规划与管理师证书。</w:t>
      </w:r>
    </w:p>
    <w:p>
      <w:pPr>
        <w:pStyle w:val="null3"/>
        <w:jc w:val="both"/>
      </w:pPr>
      <w:r>
        <w:rPr>
          <w:sz w:val="20"/>
        </w:rPr>
        <w:t>（二）项目技术负责人</w:t>
      </w:r>
    </w:p>
    <w:p>
      <w:pPr>
        <w:pStyle w:val="null3"/>
        <w:ind w:firstLine="420"/>
        <w:jc w:val="both"/>
      </w:pPr>
      <w:r>
        <w:rPr>
          <w:sz w:val="20"/>
        </w:rPr>
        <w:t>（</w:t>
      </w:r>
      <w:r>
        <w:rPr>
          <w:sz w:val="20"/>
        </w:rPr>
        <w:t>1</w:t>
      </w:r>
      <w:r>
        <w:rPr>
          <w:sz w:val="20"/>
        </w:rPr>
        <w:t>）具有</w:t>
      </w:r>
      <w:r>
        <w:rPr>
          <w:sz w:val="21"/>
        </w:rPr>
        <w:t>人力资源和社会保障部门（早期为人事部门）</w:t>
      </w:r>
      <w:r>
        <w:rPr>
          <w:sz w:val="20"/>
        </w:rPr>
        <w:t>颁发的计算机技术与软件专业技术资格证书：信息系统项目管理师证书；</w:t>
      </w:r>
    </w:p>
    <w:p>
      <w:pPr>
        <w:pStyle w:val="null3"/>
        <w:ind w:firstLine="400"/>
      </w:pPr>
      <w:r>
        <w:rPr>
          <w:sz w:val="20"/>
        </w:rPr>
        <w:t>（</w:t>
      </w:r>
      <w:r>
        <w:rPr>
          <w:sz w:val="20"/>
        </w:rPr>
        <w:t>1</w:t>
      </w:r>
      <w:r>
        <w:rPr>
          <w:sz w:val="20"/>
        </w:rPr>
        <w:t>）具有</w:t>
      </w:r>
      <w:r>
        <w:rPr>
          <w:sz w:val="20"/>
        </w:rPr>
        <w:t>人力资源和社会保障部门（早期为人事部门）颁发的计算机技术与软件专业技术资格证书：网络工程师证书。</w:t>
      </w:r>
    </w:p>
    <w:p>
      <w:pPr>
        <w:pStyle w:val="null3"/>
        <w:ind w:left="570"/>
      </w:pPr>
      <w:r>
        <w:rPr>
          <w:sz w:val="20"/>
        </w:rPr>
        <w:t>七、</w:t>
      </w:r>
      <w:r>
        <w:rPr>
          <w:sz w:val="20"/>
        </w:rPr>
        <w:t xml:space="preserve">    </w:t>
      </w:r>
      <w:r>
        <w:rPr>
          <w:sz w:val="20"/>
        </w:rPr>
        <w:t>货物清单</w:t>
      </w:r>
    </w:p>
    <w:tbl>
      <w:tblPr>
        <w:tblW w:w="0" w:type="auto"/>
        <w:tblBorders>
          <w:top w:val="single"/>
          <w:left w:val="single"/>
          <w:bottom w:val="single"/>
          <w:right w:val="single"/>
          <w:insideH w:val="single"/>
          <w:insideV w:val="single"/>
        </w:tblBorders>
      </w:tblPr>
      <w:tblGrid>
        <w:gridCol w:w="599"/>
        <w:gridCol w:w="2740"/>
        <w:gridCol w:w="942"/>
        <w:gridCol w:w="2826"/>
        <w:gridCol w:w="599"/>
        <w:gridCol w:w="599"/>
      </w:tblGrid>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0"/>
              </w:rPr>
              <w:t>序号</w:t>
            </w:r>
          </w:p>
        </w:tc>
        <w:tc>
          <w:tcPr>
            <w:tcW w:type="dxa" w:w="274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设备名称</w:t>
            </w:r>
          </w:p>
        </w:tc>
        <w:tc>
          <w:tcPr>
            <w:tcW w:type="dxa" w:w="9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类型</w:t>
            </w:r>
          </w:p>
        </w:tc>
        <w:tc>
          <w:tcPr>
            <w:tcW w:type="dxa" w:w="28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性能参数</w:t>
            </w:r>
          </w:p>
        </w:tc>
        <w:tc>
          <w:tcPr>
            <w:tcW w:type="dxa" w:w="5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单位</w:t>
            </w:r>
          </w:p>
        </w:tc>
        <w:tc>
          <w:tcPr>
            <w:tcW w:type="dxa" w:w="5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数量</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0"/>
              </w:rPr>
              <w:t>1</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OLT</w:t>
            </w:r>
            <w:r>
              <w:rPr>
                <w:sz w:val="20"/>
              </w:rPr>
              <w:t>业务板卡</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设备</w:t>
            </w:r>
          </w:p>
        </w:tc>
        <w:tc>
          <w:tcPr>
            <w:tcW w:type="dxa" w:w="28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详见技术参数说明</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10</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0"/>
              </w:rPr>
              <w:t>2</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24</w:t>
            </w:r>
            <w:r>
              <w:rPr>
                <w:sz w:val="20"/>
              </w:rPr>
              <w:t>口</w:t>
            </w:r>
            <w:r>
              <w:rPr>
                <w:sz w:val="20"/>
              </w:rPr>
              <w:t>SC</w:t>
            </w:r>
            <w:r>
              <w:rPr>
                <w:sz w:val="20"/>
              </w:rPr>
              <w:t>光纤配线架</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辅材</w:t>
            </w:r>
          </w:p>
        </w:tc>
        <w:tc>
          <w:tcPr>
            <w:tcW w:type="dxa" w:w="28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详见技术参数说明</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个</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20</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0"/>
              </w:rPr>
              <w:t>3</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光纤跳线</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辅材</w:t>
            </w:r>
          </w:p>
        </w:tc>
        <w:tc>
          <w:tcPr>
            <w:tcW w:type="dxa" w:w="28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详见技术参数说明</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条</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100</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0"/>
              </w:rPr>
              <w:t>4</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六类屏蔽网线</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辅材</w:t>
            </w:r>
          </w:p>
        </w:tc>
        <w:tc>
          <w:tcPr>
            <w:tcW w:type="dxa" w:w="28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详见技术参数说明</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箱</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20</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0"/>
              </w:rPr>
              <w:t>5</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六类网络跳线</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辅材</w:t>
            </w:r>
          </w:p>
        </w:tc>
        <w:tc>
          <w:tcPr>
            <w:tcW w:type="dxa" w:w="28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详见技术参数说明</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条</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400</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0"/>
              </w:rPr>
              <w:t>6</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安装调试服务</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服务</w:t>
            </w:r>
          </w:p>
        </w:tc>
        <w:tc>
          <w:tcPr>
            <w:tcW w:type="dxa" w:w="28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详见技术参数说明</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项</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0"/>
              </w:rPr>
              <w:t>1</w:t>
            </w:r>
          </w:p>
        </w:tc>
      </w:tr>
    </w:tbl>
    <w:p>
      <w:pPr>
        <w:pStyle w:val="null3"/>
      </w:pPr>
      <w:r>
        <w:rPr>
          <w:sz w:val="20"/>
        </w:rPr>
        <w:t>八、</w:t>
      </w:r>
      <w:r>
        <w:rPr>
          <w:sz w:val="20"/>
        </w:rPr>
        <w:t xml:space="preserve">    </w:t>
      </w:r>
      <w:r>
        <w:rPr>
          <w:sz w:val="20"/>
          <w:b/>
        </w:rPr>
        <w:t>安装验收要求</w:t>
      </w:r>
    </w:p>
    <w:p>
      <w:pPr>
        <w:pStyle w:val="null3"/>
        <w:ind w:left="420"/>
      </w:pPr>
      <w:r>
        <w:rPr>
          <w:sz w:val="20"/>
        </w:rPr>
        <w:t xml:space="preserve">1.      </w:t>
      </w:r>
      <w:r>
        <w:rPr>
          <w:sz w:val="20"/>
        </w:rPr>
        <w:t>所有货物</w:t>
      </w:r>
      <w:r>
        <w:rPr>
          <w:sz w:val="20"/>
        </w:rPr>
        <w:t>(</w:t>
      </w:r>
      <w:r>
        <w:rPr>
          <w:sz w:val="20"/>
        </w:rPr>
        <w:t>设备和系统软件</w:t>
      </w:r>
      <w:r>
        <w:rPr>
          <w:sz w:val="20"/>
        </w:rPr>
        <w:t>)</w:t>
      </w:r>
      <w:r>
        <w:rPr>
          <w:sz w:val="20"/>
        </w:rPr>
        <w:t>集成调试完毕，运行正常且所有培训工作结束后，建设单位对所有设备、系统及人员培训情况进行检查。</w:t>
      </w:r>
    </w:p>
    <w:p>
      <w:pPr>
        <w:pStyle w:val="null3"/>
        <w:ind w:left="420"/>
      </w:pPr>
      <w:r>
        <w:rPr>
          <w:sz w:val="20"/>
        </w:rPr>
        <w:t xml:space="preserve">2.      </w:t>
      </w:r>
      <w:r>
        <w:rPr>
          <w:sz w:val="20"/>
        </w:rPr>
        <w:t>验收测试在安装地实地进行。项目经理应在验收测试进行前向建设单位提交详细的测试计划，测试表格。</w:t>
      </w:r>
    </w:p>
    <w:p>
      <w:pPr>
        <w:pStyle w:val="null3"/>
        <w:ind w:left="420"/>
      </w:pPr>
      <w:r>
        <w:rPr>
          <w:sz w:val="20"/>
        </w:rPr>
        <w:t xml:space="preserve">3.      </w:t>
      </w:r>
      <w:r>
        <w:rPr>
          <w:sz w:val="20"/>
        </w:rPr>
        <w:t>验收测试组织人员于规定时间内共同完成。双方共同制定和签署验收测试表，验收测试完成后，记录验收测试的所有结果，证实各部件功能良好，系统的试运行准备已就绪。</w:t>
      </w:r>
    </w:p>
    <w:p>
      <w:pPr>
        <w:pStyle w:val="null3"/>
        <w:ind w:left="420"/>
      </w:pPr>
      <w:r>
        <w:rPr>
          <w:sz w:val="20"/>
        </w:rPr>
        <w:t xml:space="preserve">4.      </w:t>
      </w:r>
      <w:r>
        <w:rPr>
          <w:sz w:val="20"/>
        </w:rPr>
        <w:t>双方共同整理完成测试报告和竣工文件。</w:t>
      </w:r>
    </w:p>
    <w:p>
      <w:pPr>
        <w:pStyle w:val="null3"/>
        <w:ind w:left="420"/>
      </w:pPr>
      <w:r>
        <w:rPr>
          <w:sz w:val="20"/>
        </w:rPr>
        <w:t xml:space="preserve">5.      </w:t>
      </w:r>
      <w:r>
        <w:rPr>
          <w:sz w:val="20"/>
        </w:rPr>
        <w:t>上述工作全部完成后，双方共同签署验收报告，系统正式投入运行。</w:t>
      </w:r>
    </w:p>
    <w:p>
      <w:pPr>
        <w:pStyle w:val="null3"/>
        <w:ind w:left="570"/>
      </w:pPr>
      <w:r>
        <w:rPr>
          <w:sz w:val="20"/>
        </w:rPr>
        <w:t>九、</w:t>
      </w:r>
      <w:r>
        <w:rPr>
          <w:sz w:val="20"/>
        </w:rPr>
        <w:t xml:space="preserve">    </w:t>
      </w:r>
      <w:r>
        <w:rPr>
          <w:sz w:val="20"/>
          <w:b/>
        </w:rPr>
        <w:t>供货期</w:t>
      </w:r>
    </w:p>
    <w:p>
      <w:pPr>
        <w:pStyle w:val="null3"/>
      </w:pPr>
      <w:r>
        <w:rPr>
          <w:sz w:val="21"/>
        </w:rPr>
        <w:t>★</w:t>
      </w:r>
      <w:r>
        <w:rPr>
          <w:sz w:val="20"/>
        </w:rPr>
        <w:t>所有货物要求供货商在合同签订</w:t>
      </w:r>
      <w:r>
        <w:rPr>
          <w:sz w:val="20"/>
        </w:rPr>
        <w:t>20</w:t>
      </w:r>
      <w:r>
        <w:rPr>
          <w:sz w:val="20"/>
        </w:rPr>
        <w:t>天内完成设备到货，并在到货后</w:t>
      </w:r>
      <w:r>
        <w:rPr>
          <w:sz w:val="20"/>
        </w:rPr>
        <w:t>30</w:t>
      </w:r>
      <w:r>
        <w:rPr>
          <w:sz w:val="20"/>
        </w:rPr>
        <w:t>天内完成设备上架、调试。</w:t>
      </w:r>
      <w:r>
        <w:rPr>
          <w:sz w:val="21"/>
        </w:rPr>
        <w:t>（供应商提供承诺函，可参照“响应文件格式与要求”中《承诺函》格式）</w:t>
      </w:r>
    </w:p>
    <w:p>
      <w:pPr>
        <w:pStyle w:val="null3"/>
        <w:ind w:left="570"/>
      </w:pPr>
      <w:r>
        <w:rPr>
          <w:sz w:val="20"/>
        </w:rPr>
        <w:t>十、</w:t>
      </w:r>
      <w:r>
        <w:rPr>
          <w:sz w:val="20"/>
        </w:rPr>
        <w:t xml:space="preserve">    </w:t>
      </w:r>
      <w:r>
        <w:rPr>
          <w:sz w:val="20"/>
          <w:b/>
        </w:rPr>
        <w:t>保修期（维保期）</w:t>
      </w:r>
    </w:p>
    <w:p>
      <w:pPr>
        <w:pStyle w:val="null3"/>
      </w:pPr>
      <w:r>
        <w:rPr>
          <w:sz w:val="21"/>
        </w:rPr>
        <w:t>★所有货物均提供</w:t>
      </w:r>
      <w:r>
        <w:rPr>
          <w:sz w:val="20"/>
        </w:rPr>
        <w:t>三年保修期服务。</w:t>
      </w:r>
      <w:r>
        <w:rPr>
          <w:sz w:val="21"/>
        </w:rPr>
        <w:t>（供应商提供承诺函，可参照“响应文件格式与要求”中《承诺函》格式）</w:t>
      </w:r>
    </w:p>
    <w:p>
      <w:pPr>
        <w:pStyle w:val="null3"/>
        <w:ind w:left="570"/>
      </w:pPr>
      <w:r>
        <w:rPr>
          <w:sz w:val="20"/>
        </w:rPr>
        <w:t>十一、</w:t>
      </w:r>
      <w:r>
        <w:rPr>
          <w:sz w:val="20"/>
        </w:rPr>
        <w:t xml:space="preserve">      </w:t>
      </w:r>
      <w:r>
        <w:rPr>
          <w:sz w:val="20"/>
          <w:b/>
        </w:rPr>
        <w:t>付款方式</w:t>
      </w:r>
    </w:p>
    <w:p>
      <w:pPr>
        <w:pStyle w:val="null3"/>
      </w:pPr>
      <w:r>
        <w:rPr>
          <w:sz w:val="20"/>
        </w:rPr>
        <w:t>1</w:t>
      </w:r>
      <w:r>
        <w:rPr>
          <w:sz w:val="20"/>
        </w:rPr>
        <w:t>、支付比例</w:t>
      </w:r>
      <w:r>
        <w:rPr>
          <w:sz w:val="20"/>
        </w:rPr>
        <w:t>30%,</w:t>
      </w:r>
      <w:r>
        <w:rPr>
          <w:sz w:val="20"/>
        </w:rPr>
        <w:t>签订合同且收到发票后</w:t>
      </w:r>
      <w:r>
        <w:rPr>
          <w:sz w:val="20"/>
        </w:rPr>
        <w:t>10</w:t>
      </w:r>
      <w:r>
        <w:rPr>
          <w:sz w:val="20"/>
        </w:rPr>
        <w:t>个工作日内，采购人向中标人支付合同总额的</w:t>
      </w:r>
      <w:r>
        <w:rPr>
          <w:sz w:val="20"/>
        </w:rPr>
        <w:t>30%</w:t>
      </w:r>
      <w:r>
        <w:rPr>
          <w:sz w:val="20"/>
        </w:rPr>
        <w:t>，中标人应办理完开工手续，安排实施人员进场，出具《设备开箱检验单》。</w:t>
      </w:r>
    </w:p>
    <w:p>
      <w:pPr>
        <w:pStyle w:val="null3"/>
      </w:pPr>
      <w:r>
        <w:rPr>
          <w:sz w:val="20"/>
        </w:rPr>
        <w:t>2</w:t>
      </w:r>
      <w:r>
        <w:rPr>
          <w:sz w:val="20"/>
        </w:rPr>
        <w:t>、支付比例</w:t>
      </w:r>
      <w:r>
        <w:rPr>
          <w:sz w:val="20"/>
        </w:rPr>
        <w:t>20%,</w:t>
      </w:r>
      <w:r>
        <w:rPr>
          <w:sz w:val="20"/>
        </w:rPr>
        <w:t>项目所有货物、软硬件设备安装调试部署完成，经采购人、中标人、监理（如有）三方确认，采购人在收到发票后</w:t>
      </w:r>
      <w:r>
        <w:rPr>
          <w:sz w:val="20"/>
        </w:rPr>
        <w:t>10</w:t>
      </w:r>
      <w:r>
        <w:rPr>
          <w:sz w:val="20"/>
        </w:rPr>
        <w:t>个工作日内向中标人支付合同总额的</w:t>
      </w:r>
      <w:r>
        <w:rPr>
          <w:sz w:val="20"/>
        </w:rPr>
        <w:t>20%</w:t>
      </w:r>
      <w:r>
        <w:rPr>
          <w:sz w:val="20"/>
        </w:rPr>
        <w:t>。</w:t>
      </w:r>
    </w:p>
    <w:p>
      <w:pPr>
        <w:pStyle w:val="null3"/>
      </w:pPr>
      <w:r>
        <w:rPr>
          <w:sz w:val="20"/>
        </w:rPr>
        <w:t>3</w:t>
      </w:r>
      <w:r>
        <w:rPr>
          <w:sz w:val="20"/>
        </w:rPr>
        <w:t>、支付比例</w:t>
      </w:r>
      <w:r>
        <w:rPr>
          <w:sz w:val="20"/>
        </w:rPr>
        <w:t>50%,</w:t>
      </w:r>
      <w:r>
        <w:rPr>
          <w:sz w:val="20"/>
        </w:rPr>
        <w:t>项目整体正常运行</w:t>
      </w:r>
      <w:r>
        <w:rPr>
          <w:sz w:val="20"/>
        </w:rPr>
        <w:t>60</w:t>
      </w:r>
      <w:r>
        <w:rPr>
          <w:sz w:val="20"/>
        </w:rPr>
        <w:t>天，经采购人、中标人、监理（如有）三方确认，验收合格，并出具验收报告后，采购人在收到发票后</w:t>
      </w:r>
      <w:r>
        <w:rPr>
          <w:sz w:val="20"/>
        </w:rPr>
        <w:t>10</w:t>
      </w:r>
      <w:r>
        <w:rPr>
          <w:sz w:val="20"/>
        </w:rPr>
        <w:t>个工作日内向中标人支付合同总额的</w:t>
      </w:r>
      <w:r>
        <w:rPr>
          <w:sz w:val="20"/>
        </w:rPr>
        <w:t>50%</w:t>
      </w:r>
      <w:r>
        <w:rPr>
          <w:sz w:val="20"/>
        </w:rPr>
        <w:t>。</w:t>
      </w:r>
    </w:p>
    <w:p>
      <w:pPr>
        <w:pStyle w:val="null3"/>
        <w:ind w:left="570"/>
      </w:pPr>
      <w:r>
        <w:rPr>
          <w:sz w:val="20"/>
        </w:rPr>
        <w:t>十二、</w:t>
      </w:r>
      <w:r>
        <w:rPr>
          <w:sz w:val="20"/>
        </w:rPr>
        <w:t xml:space="preserve">      </w:t>
      </w:r>
      <w:r>
        <w:rPr>
          <w:sz w:val="20"/>
          <w:b/>
        </w:rPr>
        <w:t>履约担保</w:t>
      </w:r>
    </w:p>
    <w:p>
      <w:pPr>
        <w:pStyle w:val="null3"/>
      </w:pPr>
      <w:r>
        <w:rPr>
          <w:sz w:val="20"/>
        </w:rPr>
        <w:t>1</w:t>
      </w:r>
      <w:r>
        <w:rPr>
          <w:sz w:val="20"/>
        </w:rPr>
        <w:t>、是否有履约担保：是。</w:t>
      </w:r>
    </w:p>
    <w:p>
      <w:pPr>
        <w:pStyle w:val="null3"/>
      </w:pPr>
      <w:r>
        <w:rPr>
          <w:sz w:val="20"/>
        </w:rPr>
        <w:t>2</w:t>
      </w:r>
      <w:r>
        <w:rPr>
          <w:sz w:val="20"/>
        </w:rPr>
        <w:t>、履约担保金额：为中标金额的</w:t>
      </w:r>
      <w:r>
        <w:rPr>
          <w:sz w:val="20"/>
        </w:rPr>
        <w:t>10%</w:t>
      </w:r>
      <w:r>
        <w:rPr>
          <w:sz w:val="20"/>
        </w:rPr>
        <w:t>（符合《〈政府采购促进中小企业发展管理办法〉（财库〔</w:t>
      </w:r>
      <w:r>
        <w:rPr>
          <w:sz w:val="20"/>
        </w:rPr>
        <w:t>2020</w:t>
      </w:r>
      <w:r>
        <w:rPr>
          <w:sz w:val="20"/>
        </w:rPr>
        <w:t>〕</w:t>
      </w:r>
      <w:r>
        <w:rPr>
          <w:sz w:val="20"/>
        </w:rPr>
        <w:t>46</w:t>
      </w:r>
      <w:r>
        <w:rPr>
          <w:sz w:val="20"/>
        </w:rPr>
        <w:t>号）》的中小微企业为中标金额的</w:t>
      </w:r>
      <w:r>
        <w:rPr>
          <w:sz w:val="20"/>
        </w:rPr>
        <w:t>5%</w:t>
      </w:r>
      <w:r>
        <w:rPr>
          <w:sz w:val="20"/>
        </w:rPr>
        <w:t>）。</w:t>
      </w:r>
    </w:p>
    <w:p>
      <w:pPr>
        <w:pStyle w:val="null3"/>
      </w:pPr>
      <w:r>
        <w:rPr>
          <w:sz w:val="20"/>
        </w:rPr>
        <w:t>3</w:t>
      </w:r>
      <w:r>
        <w:rPr>
          <w:sz w:val="20"/>
        </w:rPr>
        <w:t>、履约保证金形式：可以采用银行转账、支票、汇票、本票或者金融机构、担保机构出具的保函等非现金形式提交，以保函形式提交的保函有效期应不小于本项目合同期。</w:t>
      </w:r>
    </w:p>
    <w:p>
      <w:pPr>
        <w:pStyle w:val="null3"/>
      </w:pPr>
      <w:r>
        <w:rPr>
          <w:sz w:val="20"/>
        </w:rPr>
        <w:t>（</w:t>
      </w:r>
      <w:r>
        <w:rPr>
          <w:sz w:val="20"/>
        </w:rPr>
        <w:t>1</w:t>
      </w:r>
      <w:r>
        <w:rPr>
          <w:sz w:val="20"/>
        </w:rPr>
        <w:t>）开户名称：广东医科大学附属医院</w:t>
      </w:r>
      <w:r>
        <w:rPr>
          <w:sz w:val="20"/>
        </w:rPr>
        <w:t xml:space="preserve">       </w:t>
      </w:r>
    </w:p>
    <w:p>
      <w:pPr>
        <w:pStyle w:val="null3"/>
      </w:pPr>
      <w:r>
        <w:rPr>
          <w:sz w:val="20"/>
        </w:rPr>
        <w:t>（</w:t>
      </w:r>
      <w:r>
        <w:rPr>
          <w:sz w:val="20"/>
        </w:rPr>
        <w:t>2</w:t>
      </w:r>
      <w:r>
        <w:rPr>
          <w:sz w:val="20"/>
        </w:rPr>
        <w:t>）开户银行：广发银行湛江岭南支行</w:t>
      </w:r>
    </w:p>
    <w:p>
      <w:pPr>
        <w:pStyle w:val="null3"/>
      </w:pPr>
      <w:r>
        <w:rPr>
          <w:sz w:val="20"/>
        </w:rPr>
        <w:t>（</w:t>
      </w:r>
      <w:r>
        <w:rPr>
          <w:sz w:val="20"/>
        </w:rPr>
        <w:t>3</w:t>
      </w:r>
      <w:r>
        <w:rPr>
          <w:sz w:val="20"/>
        </w:rPr>
        <w:t>）账号：</w:t>
      </w:r>
      <w:r>
        <w:rPr>
          <w:sz w:val="20"/>
        </w:rPr>
        <w:t>109008516010000123</w:t>
      </w:r>
    </w:p>
    <w:p>
      <w:pPr>
        <w:pStyle w:val="null3"/>
      </w:pPr>
      <w:r>
        <w:rPr>
          <w:sz w:val="20"/>
        </w:rPr>
        <w:t>4</w:t>
      </w:r>
      <w:r>
        <w:rPr>
          <w:sz w:val="20"/>
        </w:rPr>
        <w:t>、履约保证金提交时间：中标供应商在中标通知书发出后</w:t>
      </w:r>
      <w:r>
        <w:rPr>
          <w:sz w:val="20"/>
        </w:rPr>
        <w:t>10</w:t>
      </w:r>
      <w:r>
        <w:rPr>
          <w:sz w:val="20"/>
        </w:rPr>
        <w:t>个工作日内递交履约保证金。</w:t>
      </w:r>
    </w:p>
    <w:p>
      <w:pPr>
        <w:pStyle w:val="null3"/>
      </w:pPr>
      <w:r>
        <w:rPr>
          <w:sz w:val="20"/>
        </w:rPr>
        <w:t>5</w:t>
      </w:r>
      <w:r>
        <w:rPr>
          <w:sz w:val="20"/>
        </w:rPr>
        <w:t>、履约保证金退还：服务验收合格后，由中标人提出申请，经采购人、中标人确认，采购人收到中标人申请后</w:t>
      </w:r>
      <w:r>
        <w:rPr>
          <w:sz w:val="20"/>
        </w:rPr>
        <w:t>30</w:t>
      </w:r>
      <w:r>
        <w:rPr>
          <w:sz w:val="20"/>
        </w:rPr>
        <w:t>天内退还履约担保金额的</w:t>
      </w:r>
      <w:r>
        <w:rPr>
          <w:sz w:val="20"/>
        </w:rPr>
        <w:t>100%</w:t>
      </w:r>
      <w:r>
        <w:rPr>
          <w:sz w:val="20"/>
        </w:rPr>
        <w:t>（不计利息）。采购人无正当理由逾期退还履约保证金，导致供应商权益受损的，采购人除应退还履约保证金外，赔偿供应商权益范围内损失。</w:t>
      </w:r>
    </w:p>
    <w:p>
      <w:pPr>
        <w:pStyle w:val="null3"/>
      </w:pPr>
      <w:r>
        <w:rPr>
          <w:sz w:val="20"/>
        </w:rPr>
        <w:t>6</w:t>
      </w:r>
      <w:r>
        <w:rPr>
          <w:sz w:val="20"/>
        </w:rPr>
        <w:t>、履约保证金说明：若中标人在合同履行期间违约，采购人有权从履约担保中扣除违约金，扣除后中标人须在</w:t>
      </w:r>
      <w:r>
        <w:rPr>
          <w:sz w:val="20"/>
        </w:rPr>
        <w:t>10</w:t>
      </w:r>
      <w:r>
        <w:rPr>
          <w:sz w:val="20"/>
        </w:rPr>
        <w:t>日内补足履约保证金，履约保证金金额不足以扣除的部分采购人可向中标人进一步索赔。中标人不按合同规定提交履约保证金的，视为中标人违约，采购人有权单方面解除合同且不须承担任何违约责任。签订合同时中标人须提供银行转账凭证及广东医科大学附属医院出具的履约保证金收据作为附件。</w:t>
      </w:r>
    </w:p>
    <w:p>
      <w:pPr>
        <w:pStyle w:val="null3"/>
      </w:pPr>
      <w:r>
        <w:rPr>
          <w:sz w:val="21"/>
          <w:b/>
          <w:shd w:fill="FFFFFF" w:val="clear"/>
        </w:rPr>
        <w:t>附件：</w:t>
      </w:r>
    </w:p>
    <w:p>
      <w:pPr>
        <w:pStyle w:val="null3"/>
        <w:spacing w:after="165"/>
        <w:jc w:val="center"/>
      </w:pPr>
      <w:r>
        <w:rPr>
          <w:sz w:val="21"/>
          <w:b/>
          <w:shd w:fill="FFFFFF" w:val="clear"/>
        </w:rPr>
        <w:t>《节能环保政策适用性说明》</w:t>
      </w:r>
    </w:p>
    <w:p>
      <w:pPr>
        <w:pStyle w:val="null3"/>
        <w:ind w:firstLine="420"/>
        <w:jc w:val="both"/>
      </w:pPr>
      <w:r>
        <w:rPr>
          <w:sz w:val="21"/>
        </w:rPr>
        <w:t>填写注意事项：</w:t>
      </w:r>
    </w:p>
    <w:p>
      <w:pPr>
        <w:pStyle w:val="null3"/>
        <w:ind w:firstLine="420"/>
      </w:pPr>
      <w:r>
        <w:rPr>
          <w:sz w:val="21"/>
        </w:rPr>
        <w:t>1</w:t>
      </w:r>
      <w:r>
        <w:rPr>
          <w:sz w:val="21"/>
        </w:rPr>
        <w:t>、供应商所投的产品，符合节能产品、环境标志产品政策要求的，按以下格式填写。</w:t>
      </w:r>
    </w:p>
    <w:p>
      <w:pPr>
        <w:pStyle w:val="null3"/>
        <w:ind w:firstLine="420"/>
      </w:pPr>
      <w:r>
        <w:rPr>
          <w:sz w:val="21"/>
        </w:rPr>
        <w:t>2</w:t>
      </w:r>
      <w:r>
        <w:rPr>
          <w:sz w:val="21"/>
        </w:rPr>
        <w:t>、供应商所响应的产品须是《节能产品政府采购品目清单》、《环境标志产品政府采购品目清单》内的产品，该产品由国家确定的认证机构颁发处于有效期内的认证证书（认证标准须符合《清单》中对应产品所依据的标准，认证型号须与所投产品型号一致），才视为符合节能产品、环境标志产品政策要求。</w:t>
      </w:r>
    </w:p>
    <w:p>
      <w:pPr>
        <w:pStyle w:val="null3"/>
        <w:ind w:firstLine="420"/>
        <w:jc w:val="both"/>
      </w:pPr>
      <w:r>
        <w:rPr>
          <w:sz w:val="21"/>
        </w:rPr>
        <w:t>3</w:t>
      </w:r>
      <w:r>
        <w:rPr>
          <w:sz w:val="21"/>
        </w:rPr>
        <w:t>、节能产品包括节水产品。</w:t>
      </w:r>
    </w:p>
    <w:p>
      <w:pPr>
        <w:pStyle w:val="null3"/>
        <w:ind w:firstLine="420"/>
      </w:pPr>
      <w:r>
        <w:rPr>
          <w:sz w:val="21"/>
        </w:rPr>
        <w:t>4</w:t>
      </w:r>
      <w:r>
        <w:rPr>
          <w:sz w:val="21"/>
        </w:rPr>
        <w:t>、在《财政部发展改革委生态环境部市场监管总局关于调整优化节能产品、环境标志产品政府采购执行机制的通知》（财库〔</w:t>
      </w:r>
      <w:r>
        <w:rPr>
          <w:sz w:val="21"/>
        </w:rPr>
        <w:t>2019</w:t>
      </w:r>
      <w:r>
        <w:rPr>
          <w:sz w:val="21"/>
        </w:rPr>
        <w:t>〕</w:t>
      </w:r>
      <w:r>
        <w:rPr>
          <w:sz w:val="21"/>
        </w:rPr>
        <w:t>9</w:t>
      </w:r>
      <w:r>
        <w:rPr>
          <w:sz w:val="21"/>
        </w:rPr>
        <w:t>号）中可查询节能产品、环境标志产品政府采购政策。</w:t>
      </w:r>
    </w:p>
    <w:p>
      <w:pPr>
        <w:pStyle w:val="null3"/>
        <w:ind w:firstLine="420"/>
      </w:pPr>
      <w:r>
        <w:rPr>
          <w:sz w:val="21"/>
        </w:rPr>
        <w:t>查询网址：</w:t>
      </w:r>
      <w:r>
        <w:rPr>
          <w:sz w:val="21"/>
        </w:rPr>
        <w:t>http://www.ccgp.gov.cn/zcfg/mof/201902/t20190213_11628855.htm</w:t>
      </w:r>
      <w:r>
        <w:rPr>
          <w:sz w:val="21"/>
        </w:rPr>
        <w:t>。</w:t>
      </w:r>
    </w:p>
    <w:p>
      <w:pPr>
        <w:pStyle w:val="null3"/>
        <w:ind w:firstLine="420"/>
        <w:jc w:val="both"/>
      </w:pPr>
      <w:r>
        <w:rPr>
          <w:sz w:val="21"/>
        </w:rPr>
        <w:t>5</w:t>
      </w:r>
      <w:r>
        <w:rPr>
          <w:sz w:val="21"/>
        </w:rPr>
        <w:t>、在《关于印发环境标志产品政府采购品目清单的通知》（财库〔</w:t>
      </w:r>
      <w:r>
        <w:rPr>
          <w:sz w:val="21"/>
        </w:rPr>
        <w:t>2019</w:t>
      </w:r>
      <w:r>
        <w:rPr>
          <w:sz w:val="21"/>
        </w:rPr>
        <w:t>〕</w:t>
      </w:r>
      <w:r>
        <w:rPr>
          <w:sz w:val="21"/>
        </w:rPr>
        <w:t>18</w:t>
      </w:r>
      <w:r>
        <w:rPr>
          <w:sz w:val="21"/>
        </w:rPr>
        <w:t>号）、《关于印发节能产品政府采购品目清单的通知》（财库〔</w:t>
      </w:r>
      <w:r>
        <w:rPr>
          <w:sz w:val="21"/>
        </w:rPr>
        <w:t>2019</w:t>
      </w:r>
      <w:r>
        <w:rPr>
          <w:sz w:val="21"/>
        </w:rPr>
        <w:t>〕</w:t>
      </w:r>
      <w:r>
        <w:rPr>
          <w:sz w:val="21"/>
        </w:rPr>
        <w:t>19</w:t>
      </w:r>
      <w:r>
        <w:rPr>
          <w:sz w:val="21"/>
        </w:rPr>
        <w:t>号）中可以查到对应的清单目录。国家确定的认证机构可在《市场监管总局关于发布参与实施政府采购节能产品、环境标志产品认证机构名录的公告》（</w:t>
      </w:r>
      <w:r>
        <w:rPr>
          <w:sz w:val="21"/>
        </w:rPr>
        <w:t>2019</w:t>
      </w:r>
      <w:r>
        <w:rPr>
          <w:sz w:val="21"/>
        </w:rPr>
        <w:t>年第</w:t>
      </w:r>
      <w:r>
        <w:rPr>
          <w:sz w:val="21"/>
        </w:rPr>
        <w:t>16</w:t>
      </w:r>
      <w:r>
        <w:rPr>
          <w:sz w:val="21"/>
        </w:rPr>
        <w:t>号）中查询。</w:t>
      </w:r>
    </w:p>
    <w:p>
      <w:pPr>
        <w:pStyle w:val="null3"/>
        <w:ind w:firstLine="479"/>
        <w:jc w:val="both"/>
      </w:pPr>
      <w:r>
        <w:rPr>
          <w:sz w:val="21"/>
          <w:shd w:fill="FFFFFF" w:val="clear"/>
        </w:rPr>
        <w:t>查询网址：</w:t>
      </w:r>
      <w:r>
        <w:rPr>
          <w:sz w:val="21"/>
          <w:shd w:fill="FFFFFF" w:val="clear"/>
        </w:rPr>
        <w:t>http://www.ccgp.gov.cn/zcfg/mof/201903/t20190330_11833800.htm</w:t>
      </w:r>
    </w:p>
    <w:p>
      <w:pPr>
        <w:pStyle w:val="null3"/>
        <w:ind w:firstLine="479"/>
        <w:jc w:val="both"/>
      </w:pPr>
      <w:r>
        <w:rPr>
          <w:sz w:val="21"/>
          <w:shd w:fill="FFFFFF" w:val="clear"/>
        </w:rPr>
        <w:t>http://www.ccgp.gov.cn/zcfg/mof/201904/t20190403_11849836.htm</w:t>
      </w:r>
    </w:p>
    <w:p>
      <w:pPr>
        <w:pStyle w:val="null3"/>
        <w:ind w:firstLine="479"/>
        <w:jc w:val="both"/>
      </w:pPr>
      <w:r>
        <w:rPr>
          <w:sz w:val="21"/>
          <w:shd w:fill="FFFFFF" w:val="clear"/>
        </w:rPr>
        <w:t>http://www.ccgp.gov.cn/zcfg/bwfile/201904/t20190403_11853998.htm</w:t>
      </w:r>
    </w:p>
    <w:p>
      <w:pPr>
        <w:pStyle w:val="null3"/>
        <w:ind w:firstLine="479"/>
        <w:jc w:val="both"/>
      </w:pPr>
      <w:r>
        <w:rPr>
          <w:sz w:val="21"/>
          <w:shd w:fill="FFFFFF" w:val="clear"/>
        </w:rPr>
        <w:t>6</w:t>
      </w:r>
      <w:r>
        <w:rPr>
          <w:sz w:val="21"/>
          <w:shd w:fill="FFFFFF" w:val="clear"/>
        </w:rPr>
        <w:t>、因投标（响应）格式中《政策适用性说明》无法满足项目（包组）填写需要，如涉及符合政策要求的节能产品、环境标志产品，请供应商按需求附件《节能环保政策适用性说明》的格式进行填写。</w:t>
      </w:r>
    </w:p>
    <w:p>
      <w:pPr>
        <w:pStyle w:val="null3"/>
        <w:ind w:firstLine="420"/>
      </w:pPr>
      <w:r>
        <w:rPr>
          <w:sz w:val="21"/>
          <w:shd w:fill="FFFFFF" w:val="clear"/>
        </w:rPr>
        <w:t>7</w:t>
      </w:r>
      <w:r>
        <w:rPr>
          <w:sz w:val="21"/>
          <w:shd w:fill="FFFFFF" w:val="clear"/>
        </w:rPr>
        <w:t>、《政策适用性说明》的货物名称、型号与《分项报价表》（如工程项目，则为《工程量清单》）的货物名称、型号不一致的，以《分项报价表》或《工程量清单》的货物名称、型号为准。</w:t>
      </w:r>
    </w:p>
    <w:p>
      <w:pPr>
        <w:pStyle w:val="null3"/>
        <w:ind w:firstLine="420"/>
      </w:pPr>
      <w:r>
        <w:rPr>
          <w:sz w:val="21"/>
          <w:shd w:fill="FFFFFF" w:val="clear"/>
        </w:rPr>
        <w:t xml:space="preserve">8. </w:t>
      </w:r>
      <w:r>
        <w:rPr>
          <w:sz w:val="21"/>
          <w:shd w:fill="FFFFFF" w:val="clear"/>
        </w:rPr>
        <w:t>请供应商提供所投产品的节能（水）产品认证证书或环境标志产品认证证书。</w:t>
      </w:r>
    </w:p>
    <w:p>
      <w:pPr>
        <w:pStyle w:val="null3"/>
        <w:ind w:left="360"/>
        <w:jc w:val="both"/>
      </w:pPr>
      <w:r>
        <w:rPr>
          <w:sz w:val="21"/>
          <w:shd w:fill="FFFFFF" w:val="clear"/>
        </w:rPr>
        <w:t>节能产品说明：</w:t>
      </w:r>
    </w:p>
    <w:tbl>
      <w:tblPr>
        <w:tblW w:w="0" w:type="auto"/>
        <w:tblBorders>
          <w:top w:val="none" w:color="000000" w:sz="4"/>
          <w:left w:val="none" w:color="000000" w:sz="4"/>
          <w:bottom w:val="none" w:color="000000" w:sz="4"/>
          <w:right w:val="none" w:color="000000" w:sz="4"/>
          <w:insideH w:val="none"/>
          <w:insideV w:val="none"/>
        </w:tblBorders>
        <w:shd w:fill="FFFFFF"/>
      </w:tblPr>
      <w:tblGrid>
        <w:gridCol w:w="437"/>
        <w:gridCol w:w="612"/>
        <w:gridCol w:w="612"/>
        <w:gridCol w:w="1137"/>
        <w:gridCol w:w="699"/>
        <w:gridCol w:w="612"/>
        <w:gridCol w:w="699"/>
        <w:gridCol w:w="525"/>
        <w:gridCol w:w="787"/>
        <w:gridCol w:w="962"/>
        <w:gridCol w:w="1224"/>
      </w:tblGrid>
      <w:tr>
        <w:tc>
          <w:tcPr>
            <w:tcW w:type="dxa" w:w="437"/>
            <w:tcBorders>
              <w:top w:val="singl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r>
              <w:rPr>
                <w:sz w:val="15"/>
              </w:rPr>
              <w:t>序号</w:t>
            </w:r>
          </w:p>
        </w:tc>
        <w:tc>
          <w:tcPr>
            <w:tcW w:type="dxa" w:w="612"/>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r>
              <w:rPr>
                <w:sz w:val="15"/>
              </w:rPr>
              <w:t>产品名称</w:t>
            </w:r>
          </w:p>
          <w:p>
            <w:pPr>
              <w:pStyle w:val="null3"/>
              <w:spacing w:after="165"/>
              <w:jc w:val="center"/>
            </w:pPr>
          </w:p>
        </w:tc>
        <w:tc>
          <w:tcPr>
            <w:tcW w:type="dxa" w:w="612"/>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15"/>
              </w:rPr>
              <w:t>对应《节能产品政府采购品目清单》的品目序号</w:t>
            </w:r>
          </w:p>
        </w:tc>
        <w:tc>
          <w:tcPr>
            <w:tcW w:type="dxa" w:w="1137"/>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r>
              <w:rPr>
                <w:sz w:val="15"/>
              </w:rPr>
              <w:t>对应《分项报价表》序号</w:t>
            </w:r>
          </w:p>
          <w:p>
            <w:pPr>
              <w:pStyle w:val="null3"/>
              <w:spacing w:after="165"/>
              <w:jc w:val="center"/>
            </w:pPr>
            <w:r>
              <w:rPr>
                <w:sz w:val="15"/>
              </w:rPr>
              <w:t>（如为工程项目，则填写工程量清单表格名称及对应的序号）</w:t>
            </w:r>
          </w:p>
        </w:tc>
        <w:tc>
          <w:tcPr>
            <w:tcW w:type="dxa" w:w="699"/>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r>
              <w:rPr>
                <w:sz w:val="15"/>
              </w:rPr>
              <w:t>产品品牌</w:t>
            </w:r>
          </w:p>
          <w:p>
            <w:pPr>
              <w:pStyle w:val="null3"/>
              <w:spacing w:after="165"/>
              <w:jc w:val="center"/>
            </w:pPr>
            <w:r>
              <w:rPr>
                <w:sz w:val="15"/>
              </w:rPr>
              <w:t>（如有）</w:t>
            </w:r>
          </w:p>
        </w:tc>
        <w:tc>
          <w:tcPr>
            <w:tcW w:type="dxa" w:w="612"/>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r>
              <w:rPr>
                <w:sz w:val="15"/>
              </w:rPr>
              <w:t>所投产品型号</w:t>
            </w:r>
          </w:p>
        </w:tc>
        <w:tc>
          <w:tcPr>
            <w:tcW w:type="dxa" w:w="699"/>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r>
              <w:rPr>
                <w:sz w:val="15"/>
              </w:rPr>
              <w:t>认证证书上的认证型号</w:t>
            </w:r>
          </w:p>
          <w:p>
            <w:pPr>
              <w:pStyle w:val="null3"/>
              <w:spacing w:after="165"/>
              <w:jc w:val="center"/>
            </w:pPr>
          </w:p>
        </w:tc>
        <w:tc>
          <w:tcPr>
            <w:tcW w:type="dxa" w:w="525"/>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15"/>
              </w:rPr>
              <w:t>认证证书所在页码</w:t>
            </w:r>
          </w:p>
        </w:tc>
        <w:tc>
          <w:tcPr>
            <w:tcW w:type="dxa" w:w="787"/>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both"/>
            </w:pPr>
            <w:r>
              <w:rPr>
                <w:sz w:val="15"/>
              </w:rPr>
              <w:t>《节能产品政府采购品目清单》所依据的标准</w:t>
            </w:r>
          </w:p>
        </w:tc>
        <w:tc>
          <w:tcPr>
            <w:tcW w:type="dxa" w:w="962"/>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both"/>
            </w:pPr>
            <w:r>
              <w:rPr>
                <w:sz w:val="15"/>
              </w:rPr>
              <w:t>认证证书上的认证标准</w:t>
            </w:r>
          </w:p>
        </w:tc>
        <w:tc>
          <w:tcPr>
            <w:tcW w:type="dxa" w:w="1224"/>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r>
              <w:rPr>
                <w:sz w:val="15"/>
              </w:rPr>
              <w:t>产品报价（元）</w:t>
            </w:r>
          </w:p>
          <w:p>
            <w:pPr>
              <w:pStyle w:val="null3"/>
              <w:spacing w:after="165"/>
              <w:jc w:val="center"/>
            </w:pPr>
          </w:p>
        </w:tc>
      </w:tr>
      <w:tr>
        <w:tc>
          <w:tcPr>
            <w:tcW w:type="dxa" w:w="8306"/>
            <w:gridSpan w:val="11"/>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pPr>
            <w:r>
              <w:rPr>
                <w:sz w:val="21"/>
              </w:rPr>
              <w:t>（一）强制节能产品（即《节能产品政府采购品目清单》中标注“★”的产品）</w:t>
            </w:r>
          </w:p>
        </w:tc>
      </w:tr>
      <w:tr>
        <w:tc>
          <w:tcPr>
            <w:tcW w:type="dxa" w:w="437"/>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r>
              <w:rPr>
                <w:sz w:val="21"/>
              </w:rPr>
              <w:t>1</w:t>
            </w: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13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99"/>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99"/>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25"/>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224"/>
            <w:vMerge w:val="restart"/>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18"/>
              </w:rPr>
              <w:t>强制节能产品，不享受价格扣除或技术加分，故此处无须填报价格</w:t>
            </w:r>
          </w:p>
        </w:tc>
      </w:tr>
      <w:tr>
        <w:tc>
          <w:tcPr>
            <w:tcW w:type="dxa" w:w="437"/>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r>
              <w:rPr>
                <w:sz w:val="21"/>
              </w:rPr>
              <w:t>2</w:t>
            </w: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13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99"/>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99"/>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25"/>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224"/>
            <w:vMerge/>
            <w:tcBorders>
              <w:top w:val="none" w:color="000000" w:sz="4"/>
              <w:left w:val="none" w:color="000000" w:sz="4"/>
              <w:bottom w:val="single" w:color="000000" w:sz="4"/>
              <w:right w:val="single" w:color="000000" w:sz="4"/>
            </w:tcBorders>
          </w:tcPr>
          <w:p/>
        </w:tc>
      </w:tr>
      <w:tr>
        <w:tc>
          <w:tcPr>
            <w:tcW w:type="dxa" w:w="437"/>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3</w:t>
            </w: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13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99"/>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99"/>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25"/>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224"/>
            <w:vMerge/>
            <w:tcBorders>
              <w:top w:val="none" w:color="000000" w:sz="4"/>
              <w:left w:val="none" w:color="000000" w:sz="4"/>
              <w:bottom w:val="single" w:color="000000" w:sz="4"/>
              <w:right w:val="single" w:color="000000" w:sz="4"/>
            </w:tcBorders>
          </w:tcPr>
          <w:p/>
        </w:tc>
      </w:tr>
      <w:tr>
        <w:tc>
          <w:tcPr>
            <w:tcW w:type="dxa" w:w="8306"/>
            <w:gridSpan w:val="11"/>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pPr>
            <w:r>
              <w:rPr>
                <w:sz w:val="21"/>
              </w:rPr>
              <w:t>（二）优先采购节能产品（即《节能产品政府采购品目清单》中未标注“★”的产品）</w:t>
            </w:r>
          </w:p>
        </w:tc>
      </w:tr>
      <w:tr>
        <w:tc>
          <w:tcPr>
            <w:tcW w:type="dxa" w:w="437"/>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r>
              <w:rPr>
                <w:sz w:val="21"/>
              </w:rPr>
              <w:t>1</w:t>
            </w: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13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99"/>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99"/>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25"/>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224"/>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437"/>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2</w:t>
            </w: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13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99"/>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99"/>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25"/>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224"/>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437"/>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3</w:t>
            </w: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13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99"/>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99"/>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25"/>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224"/>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4808"/>
            <w:gridSpan w:val="7"/>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优先节能产品价格合计</w:t>
            </w:r>
          </w:p>
        </w:tc>
        <w:tc>
          <w:tcPr>
            <w:tcW w:type="dxa" w:w="3498"/>
            <w:gridSpan w:val="4"/>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p>
        </w:tc>
      </w:tr>
    </w:tbl>
    <w:p>
      <w:pPr>
        <w:pStyle w:val="null3"/>
        <w:jc w:val="right"/>
      </w:pPr>
      <w:r>
        <w:rPr>
          <w:sz w:val="21"/>
          <w:shd w:fill="FFFFFF" w:val="clear"/>
        </w:rPr>
        <w:t>供应商名称（盖章）：</w:t>
      </w:r>
      <w:r>
        <w:rPr>
          <w:sz w:val="21"/>
          <w:shd w:fill="FFFFFF" w:val="clear"/>
        </w:rPr>
        <w:t>__________________</w:t>
      </w:r>
    </w:p>
    <w:p>
      <w:pPr>
        <w:pStyle w:val="null3"/>
        <w:spacing w:after="165"/>
        <w:ind w:firstLine="480"/>
        <w:jc w:val="right"/>
      </w:pPr>
      <w:r>
        <w:rPr>
          <w:sz w:val="21"/>
          <w:shd w:fill="FFFFFF" w:val="clear"/>
        </w:rPr>
        <w:t>日期：年月日</w:t>
      </w:r>
    </w:p>
    <w:p>
      <w:pPr>
        <w:pStyle w:val="null3"/>
      </w:pPr>
      <w:r>
        <w:rPr>
          <w:sz w:val="21"/>
          <w:shd w:fill="FFFFFF" w:val="clear"/>
        </w:rPr>
        <w:t>环境标志产品说明</w:t>
      </w:r>
    </w:p>
    <w:tbl>
      <w:tblPr>
        <w:tblW w:w="0" w:type="auto"/>
        <w:tblBorders>
          <w:top w:val="none" w:color="000000" w:sz="4"/>
          <w:left w:val="none" w:color="000000" w:sz="4"/>
          <w:bottom w:val="none" w:color="000000" w:sz="4"/>
          <w:right w:val="none" w:color="000000" w:sz="4"/>
          <w:insideH w:val="none"/>
          <w:insideV w:val="none"/>
        </w:tblBorders>
        <w:shd w:fill="FFFFFF"/>
      </w:tblPr>
      <w:tblGrid>
        <w:gridCol w:w="442"/>
        <w:gridCol w:w="265"/>
        <w:gridCol w:w="265"/>
        <w:gridCol w:w="795"/>
        <w:gridCol w:w="972"/>
        <w:gridCol w:w="707"/>
        <w:gridCol w:w="530"/>
        <w:gridCol w:w="619"/>
        <w:gridCol w:w="707"/>
        <w:gridCol w:w="972"/>
        <w:gridCol w:w="1060"/>
        <w:gridCol w:w="972"/>
      </w:tblGrid>
      <w:tr>
        <w:tc>
          <w:tcPr>
            <w:tcW w:type="dxa" w:w="442"/>
            <w:tcBorders>
              <w:top w:val="singl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pPr>
            <w:r>
              <w:rPr>
                <w:sz w:val="15"/>
              </w:rPr>
              <w:t>序号</w:t>
            </w:r>
          </w:p>
        </w:tc>
        <w:tc>
          <w:tcPr>
            <w:tcW w:type="dxa" w:w="530"/>
            <w:gridSpan w:val="2"/>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pPr>
            <w:r>
              <w:rPr>
                <w:sz w:val="15"/>
              </w:rPr>
              <w:t>产品名称</w:t>
            </w:r>
          </w:p>
        </w:tc>
        <w:tc>
          <w:tcPr>
            <w:tcW w:type="dxa" w:w="795"/>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75"/>
            </w:pPr>
            <w:r>
              <w:rPr>
                <w:sz w:val="15"/>
              </w:rPr>
              <w:t>对应《环境标志产品政府采购品目清单》的品目序号</w:t>
            </w:r>
          </w:p>
          <w:p>
            <w:pPr>
              <w:pStyle w:val="null3"/>
              <w:spacing w:after="165"/>
            </w:pPr>
          </w:p>
        </w:tc>
        <w:tc>
          <w:tcPr>
            <w:tcW w:type="dxa" w:w="972"/>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15"/>
              </w:rPr>
              <w:t>对应《分项报价表》序号</w:t>
            </w:r>
          </w:p>
          <w:p>
            <w:pPr>
              <w:pStyle w:val="null3"/>
              <w:spacing w:after="165"/>
            </w:pPr>
            <w:r>
              <w:rPr>
                <w:sz w:val="15"/>
              </w:rPr>
              <w:t>（如为工程项目，则填写工程量清单表格名称及对应的序号）</w:t>
            </w:r>
          </w:p>
        </w:tc>
        <w:tc>
          <w:tcPr>
            <w:tcW w:type="dxa" w:w="707"/>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pPr>
            <w:r>
              <w:rPr>
                <w:sz w:val="15"/>
              </w:rPr>
              <w:t>认证证书所在页码</w:t>
            </w:r>
          </w:p>
        </w:tc>
        <w:tc>
          <w:tcPr>
            <w:tcW w:type="dxa" w:w="530"/>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pPr>
            <w:r>
              <w:rPr>
                <w:sz w:val="15"/>
              </w:rPr>
              <w:t>产品品牌（如有）</w:t>
            </w:r>
          </w:p>
        </w:tc>
        <w:tc>
          <w:tcPr>
            <w:tcW w:type="dxa" w:w="619"/>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pPr>
            <w:r>
              <w:rPr>
                <w:sz w:val="15"/>
              </w:rPr>
              <w:t>所投产品</w:t>
            </w:r>
          </w:p>
          <w:p>
            <w:pPr>
              <w:pStyle w:val="null3"/>
              <w:spacing w:after="165"/>
            </w:pPr>
            <w:r>
              <w:rPr>
                <w:sz w:val="15"/>
              </w:rPr>
              <w:t>型号</w:t>
            </w:r>
          </w:p>
        </w:tc>
        <w:tc>
          <w:tcPr>
            <w:tcW w:type="dxa" w:w="707"/>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r>
              <w:rPr>
                <w:sz w:val="15"/>
              </w:rPr>
              <w:t>认证证书上的认证型号</w:t>
            </w:r>
          </w:p>
        </w:tc>
        <w:tc>
          <w:tcPr>
            <w:tcW w:type="dxa" w:w="972"/>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r>
              <w:rPr>
                <w:sz w:val="15"/>
              </w:rPr>
              <w:t>《环境标志产品政府采购品目清单》所依据的标准</w:t>
            </w:r>
          </w:p>
        </w:tc>
        <w:tc>
          <w:tcPr>
            <w:tcW w:type="dxa" w:w="1060"/>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pPr>
            <w:r>
              <w:rPr>
                <w:sz w:val="15"/>
              </w:rPr>
              <w:t>认证证书上的认证标准</w:t>
            </w:r>
          </w:p>
        </w:tc>
        <w:tc>
          <w:tcPr>
            <w:tcW w:type="dxa" w:w="972"/>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225"/>
            </w:pPr>
            <w:r>
              <w:rPr>
                <w:sz w:val="15"/>
              </w:rPr>
              <w:t>产品报价（元）</w:t>
            </w:r>
          </w:p>
          <w:p>
            <w:pPr>
              <w:pStyle w:val="null3"/>
              <w:spacing w:after="165"/>
            </w:pPr>
          </w:p>
        </w:tc>
      </w:tr>
      <w:tr>
        <w:tc>
          <w:tcPr>
            <w:tcW w:type="dxa" w:w="442"/>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1</w:t>
            </w:r>
          </w:p>
        </w:tc>
        <w:tc>
          <w:tcPr>
            <w:tcW w:type="dxa" w:w="530"/>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p>
        </w:tc>
        <w:tc>
          <w:tcPr>
            <w:tcW w:type="dxa" w:w="795"/>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7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0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3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19"/>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0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7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06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7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442"/>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both"/>
            </w:pPr>
            <w:r>
              <w:rPr>
                <w:sz w:val="21"/>
              </w:rPr>
              <w:t>2</w:t>
            </w:r>
          </w:p>
        </w:tc>
        <w:tc>
          <w:tcPr>
            <w:tcW w:type="dxa" w:w="530"/>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p>
        </w:tc>
        <w:tc>
          <w:tcPr>
            <w:tcW w:type="dxa" w:w="795"/>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7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0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3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19"/>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0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7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06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7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442"/>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both"/>
            </w:pPr>
            <w:r>
              <w:rPr>
                <w:sz w:val="21"/>
              </w:rPr>
              <w:t>3</w:t>
            </w:r>
          </w:p>
        </w:tc>
        <w:tc>
          <w:tcPr>
            <w:tcW w:type="dxa" w:w="530"/>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p>
        </w:tc>
        <w:tc>
          <w:tcPr>
            <w:tcW w:type="dxa" w:w="795"/>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7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0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3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19"/>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0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7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06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7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707"/>
            <w:gridSpan w:val="2"/>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tc>
        <w:tc>
          <w:tcPr>
            <w:tcW w:type="dxa" w:w="2739"/>
            <w:gridSpan w:val="4"/>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pPr>
            <w:r>
              <w:rPr>
                <w:sz w:val="21"/>
              </w:rPr>
              <w:t>环境标志产品价格合计</w:t>
            </w:r>
          </w:p>
        </w:tc>
        <w:tc>
          <w:tcPr>
            <w:tcW w:type="dxa" w:w="53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pPr>
          </w:p>
        </w:tc>
        <w:tc>
          <w:tcPr>
            <w:tcW w:type="dxa" w:w="619"/>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0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7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06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7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442"/>
            <w:tcBorders>
              <w:top w:val="none" w:color="000000" w:sz="4"/>
              <w:right w:val="none" w:color="000000" w:sz="4"/>
            </w:tcBorders>
            <w:shd w:fill="FFFFFF"/>
            <w:tcMar>
              <w:top w:type="dxa" w:w="0"/>
              <w:left w:type="dxa" w:w="105"/>
              <w:bottom w:type="dxa" w:w="0"/>
              <w:right w:type="dxa" w:w="105"/>
            </w:tcMar>
            <w:vAlign w:val="top"/>
          </w:tcPr>
          <w:p/>
        </w:tc>
        <w:tc>
          <w:tcPr>
            <w:tcW w:type="dxa" w:w="265"/>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tc>
        <w:tc>
          <w:tcPr>
            <w:tcW w:type="dxa" w:w="265"/>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tc>
        <w:tc>
          <w:tcPr>
            <w:tcW w:type="dxa" w:w="795"/>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tc>
        <w:tc>
          <w:tcPr>
            <w:tcW w:type="dxa" w:w="97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tc>
        <w:tc>
          <w:tcPr>
            <w:tcW w:type="dxa" w:w="707"/>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tc>
        <w:tc>
          <w:tcPr>
            <w:tcW w:type="dxa" w:w="530"/>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tc>
        <w:tc>
          <w:tcPr>
            <w:tcW w:type="dxa" w:w="619"/>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tc>
        <w:tc>
          <w:tcPr>
            <w:tcW w:type="dxa" w:w="707"/>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tc>
        <w:tc>
          <w:tcPr>
            <w:tcW w:type="dxa" w:w="972"/>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tc>
        <w:tc>
          <w:tcPr>
            <w:tcW w:type="dxa" w:w="1060"/>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tc>
        <w:tc>
          <w:tcPr>
            <w:tcW w:type="dxa" w:w="972"/>
            <w:tcBorders>
              <w:top w:val="none" w:color="000000" w:sz="4"/>
              <w:left w:val="none" w:color="000000" w:sz="4"/>
            </w:tcBorders>
            <w:shd w:fill="FFFFFF"/>
            <w:tcMar>
              <w:top w:type="dxa" w:w="0"/>
              <w:left w:type="dxa" w:w="105"/>
              <w:bottom w:type="dxa" w:w="0"/>
              <w:right w:type="dxa" w:w="105"/>
            </w:tcMar>
            <w:vAlign w:val="top"/>
          </w:tcPr>
          <w:p/>
        </w:tc>
      </w:tr>
    </w:tbl>
    <w:p>
      <w:pPr>
        <w:pStyle w:val="null3"/>
        <w:jc w:val="right"/>
      </w:pPr>
      <w:r>
        <w:rPr>
          <w:sz w:val="21"/>
          <w:shd w:fill="FFFFFF" w:val="clear"/>
        </w:rPr>
        <w:t>供应商名称（盖章）：</w:t>
      </w:r>
      <w:r>
        <w:rPr>
          <w:sz w:val="21"/>
          <w:shd w:fill="FFFFFF" w:val="clear"/>
        </w:rPr>
        <w:t>__________________</w:t>
      </w:r>
    </w:p>
    <w:p>
      <w:pPr>
        <w:pStyle w:val="null3"/>
        <w:spacing w:after="165"/>
        <w:ind w:firstLine="480"/>
        <w:jc w:val="center"/>
      </w:pPr>
      <w:r>
        <w:rPr>
          <w:sz w:val="21"/>
          <w:shd w:fill="FFFFFF" w:val="clear"/>
        </w:rPr>
        <w:t>日期：年月日</w:t>
      </w:r>
    </w:p>
    <w:p>
      <w:pPr>
        <w:pStyle w:val="null3"/>
        <w:ind w:firstLine="420"/>
      </w:pPr>
      <w:r>
        <w:rPr>
          <w:sz w:val="21"/>
          <w:b/>
          <w:color w:val="383940"/>
          <w:shd w:fill="FFFFFF" w:val="clear"/>
        </w:rPr>
        <w:t>请供应商认真阅读《关于本国产品政策的说明》</w:t>
      </w:r>
    </w:p>
    <w:p>
      <w:pPr>
        <w:pStyle w:val="null3"/>
        <w:ind w:left="825"/>
        <w:jc w:val="center"/>
      </w:pPr>
      <w:r>
        <w:rPr>
          <w:sz w:val="21"/>
          <w:b/>
          <w:color w:val="383940"/>
          <w:shd w:fill="FFFFFF" w:val="clear"/>
        </w:rPr>
        <w:t>《关于本国产品政策的说明》</w:t>
      </w:r>
    </w:p>
    <w:p>
      <w:pPr>
        <w:pStyle w:val="null3"/>
        <w:ind w:left="105" w:firstLine="632"/>
        <w:jc w:val="both"/>
      </w:pPr>
      <w:r>
        <w:rPr>
          <w:sz w:val="21"/>
          <w:color w:val="383940"/>
          <w:shd w:fill="FFFFFF" w:val="clear"/>
        </w:rPr>
        <w:t>1.</w:t>
      </w:r>
      <w:r>
        <w:rPr>
          <w:sz w:val="21"/>
          <w:color w:val="383940"/>
          <w:shd w:fill="FFFFFF" w:val="clear"/>
        </w:rPr>
        <w:t>在中国境内生产的组件成本占比、关键组件及关键工序相关要求实施前，供应商所提供的产品在中国境内生产，即在中华人民共和国关境内实现从原材料、组件到产品的属性改变，视同本国产品。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ind w:firstLine="420"/>
        <w:jc w:val="both"/>
      </w:pPr>
      <w:r>
        <w:rPr>
          <w:sz w:val="21"/>
          <w:color w:val="383940"/>
          <w:shd w:fill="FFFFFF" w:val="clear"/>
        </w:rPr>
        <w:t>注：</w:t>
      </w:r>
    </w:p>
    <w:p>
      <w:pPr>
        <w:pStyle w:val="null3"/>
        <w:ind w:firstLine="420"/>
        <w:jc w:val="both"/>
      </w:pPr>
      <w:r>
        <w:rPr>
          <w:sz w:val="21"/>
          <w:color w:val="383940"/>
          <w:shd w:fill="FFFFFF" w:val="clear"/>
        </w:rPr>
        <w:t>（</w:t>
      </w:r>
      <w:r>
        <w:rPr>
          <w:sz w:val="21"/>
          <w:color w:val="383940"/>
          <w:shd w:fill="FFFFFF" w:val="clear"/>
        </w:rPr>
        <w:t>1</w:t>
      </w:r>
      <w:r>
        <w:rPr>
          <w:sz w:val="21"/>
          <w:color w:val="383940"/>
          <w:shd w:fill="FFFFFF" w:val="clear"/>
        </w:rPr>
        <w:t>）属性改变是指经过制造、加工或者组装等工序，产生完全不同于原材料、组件的新产品，并具有新的名称和特征（用途）。</w:t>
      </w:r>
    </w:p>
    <w:p>
      <w:pPr>
        <w:pStyle w:val="null3"/>
        <w:ind w:firstLine="420"/>
        <w:jc w:val="both"/>
      </w:pPr>
      <w:r>
        <w:rPr>
          <w:sz w:val="21"/>
          <w:color w:val="383940"/>
          <w:shd w:fill="FFFFFF" w:val="clear"/>
        </w:rPr>
        <w:t>（</w:t>
      </w:r>
      <w:r>
        <w:rPr>
          <w:sz w:val="21"/>
          <w:color w:val="383940"/>
          <w:shd w:fill="FFFFFF" w:val="clear"/>
        </w:rPr>
        <w:t>2</w:t>
      </w:r>
      <w:r>
        <w:rPr>
          <w:sz w:val="21"/>
          <w:color w:val="383940"/>
          <w:shd w:fill="FFFFFF" w:val="clear"/>
        </w:rPr>
        <w:t>）属性改变不包括以下细微操作：</w:t>
      </w:r>
    </w:p>
    <w:p>
      <w:pPr>
        <w:pStyle w:val="null3"/>
        <w:ind w:firstLine="420"/>
        <w:jc w:val="both"/>
      </w:pPr>
      <w:r>
        <w:rPr>
          <w:sz w:val="21"/>
          <w:color w:val="383940"/>
          <w:shd w:fill="FFFFFF" w:val="clear"/>
        </w:rPr>
        <w:t>①为确保产品在运输或者储存期间保持某种状态而进行的操作；</w:t>
      </w:r>
    </w:p>
    <w:p>
      <w:pPr>
        <w:pStyle w:val="null3"/>
        <w:ind w:firstLine="420"/>
        <w:jc w:val="both"/>
      </w:pPr>
      <w:r>
        <w:rPr>
          <w:sz w:val="21"/>
          <w:color w:val="383940"/>
          <w:shd w:fill="FFFFFF" w:val="clear"/>
        </w:rPr>
        <w:t>②为产品运输或者销售进行的包装或者展示；</w:t>
      </w:r>
    </w:p>
    <w:p>
      <w:pPr>
        <w:pStyle w:val="null3"/>
        <w:ind w:firstLine="420"/>
        <w:jc w:val="both"/>
      </w:pPr>
      <w:r>
        <w:rPr>
          <w:sz w:val="21"/>
          <w:color w:val="383940"/>
          <w:shd w:fill="FFFFFF" w:val="clear"/>
        </w:rPr>
        <w:t>③在产品或者其包装上粘贴或者印刷品牌、标志、标识以及其他用于区别的标记；</w:t>
      </w:r>
    </w:p>
    <w:p>
      <w:pPr>
        <w:pStyle w:val="null3"/>
        <w:ind w:firstLine="420"/>
        <w:jc w:val="both"/>
      </w:pPr>
      <w:r>
        <w:rPr>
          <w:sz w:val="21"/>
          <w:color w:val="383940"/>
          <w:shd w:fill="FFFFFF" w:val="clear"/>
        </w:rPr>
        <w:t>④简单的上漆、磨光和分装；</w:t>
      </w:r>
    </w:p>
    <w:p>
      <w:pPr>
        <w:pStyle w:val="null3"/>
        <w:ind w:firstLine="420"/>
        <w:jc w:val="both"/>
      </w:pPr>
      <w:r>
        <w:rPr>
          <w:sz w:val="21"/>
          <w:color w:val="383940"/>
          <w:shd w:fill="FFFFFF" w:val="clear"/>
        </w:rPr>
        <w:t>⑤其他不属于属性改变的情形。</w:t>
      </w:r>
    </w:p>
    <w:p>
      <w:pPr>
        <w:pStyle w:val="null3"/>
        <w:ind w:firstLine="420"/>
        <w:jc w:val="both"/>
      </w:pPr>
      <w:r>
        <w:rPr>
          <w:sz w:val="21"/>
          <w:color w:val="383940"/>
          <w:shd w:fill="FFFFFF" w:val="clear"/>
        </w:rPr>
        <w:t>2.</w:t>
      </w:r>
      <w:r>
        <w:rPr>
          <w:sz w:val="21"/>
          <w:color w:val="383940"/>
          <w:shd w:fill="FFFFFF" w:val="clear"/>
        </w:rPr>
        <w:t>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ind w:firstLine="420"/>
        <w:jc w:val="both"/>
      </w:pPr>
      <w:r>
        <w:rPr>
          <w:sz w:val="21"/>
          <w:color w:val="000000"/>
          <w:shd w:fill="FFFFFF" w:val="clear"/>
        </w:rPr>
        <w:t>3.</w:t>
      </w:r>
      <w:r>
        <w:rPr>
          <w:sz w:val="21"/>
          <w:color w:val="000000"/>
          <w:shd w:fill="FFFFFF" w:val="clear"/>
        </w:rPr>
        <w:t>当采购项目或采购包的采购标的仅包含单一产品时，政府采购活动中既有本国产品又有非本国产品参与竞争的，依法对本国产品给予价格评审优惠，对本国产品的报价给予</w:t>
      </w:r>
      <w:r>
        <w:rPr>
          <w:sz w:val="21"/>
          <w:color w:val="000000"/>
          <w:shd w:fill="FFFFFF" w:val="clear"/>
        </w:rPr>
        <w:t>20%</w:t>
      </w:r>
      <w:r>
        <w:rPr>
          <w:sz w:val="21"/>
          <w:color w:val="000000"/>
          <w:shd w:fill="FFFFFF" w:val="clear"/>
        </w:rPr>
        <w:t>的价格扣除，用扣除后的价格参与评审。当采购项目或者采购包的采购标的中含有多种产品，供应商为该采购项目或者采购包提供的符合本国产品标准的产品成本之和占该供应商提供的全部产品成本之和的比例达到</w:t>
      </w:r>
      <w:r>
        <w:rPr>
          <w:sz w:val="21"/>
          <w:color w:val="000000"/>
          <w:shd w:fill="FFFFFF" w:val="clear"/>
        </w:rPr>
        <w:t>80%</w:t>
      </w:r>
      <w:r>
        <w:rPr>
          <w:sz w:val="21"/>
          <w:color w:val="000000"/>
          <w:shd w:fill="FFFFFF" w:val="clear"/>
        </w:rPr>
        <w:t>以上时，且供应商在投标（响应）文件中对此作出承诺的，则依法对该供应商提供的全部产品给予价格评审优惠，即对该供应商提供的全部产品的总报价给予</w:t>
      </w:r>
      <w:r>
        <w:rPr>
          <w:sz w:val="21"/>
          <w:color w:val="000000"/>
          <w:shd w:fill="FFFFFF" w:val="clear"/>
        </w:rPr>
        <w:t>20%</w:t>
      </w:r>
      <w:r>
        <w:rPr>
          <w:sz w:val="21"/>
          <w:color w:val="000000"/>
          <w:shd w:fill="FFFFFF" w:val="clear"/>
        </w:rPr>
        <w:t>的价格扣除，用扣除后的价格参与评审。当采购项目或者采购包中含有多种产品，供应商为该采购项目或者采购包提供的符合本国产品标准的产品成本之和占该供应商提供的全部产品成本之和的比例未达到</w:t>
      </w:r>
      <w:r>
        <w:rPr>
          <w:sz w:val="21"/>
          <w:color w:val="000000"/>
          <w:shd w:fill="FFFFFF" w:val="clear"/>
        </w:rPr>
        <w:t>80%</w:t>
      </w:r>
      <w:r>
        <w:rPr>
          <w:sz w:val="21"/>
          <w:color w:val="000000"/>
          <w:shd w:fill="FFFFFF" w:val="clear"/>
        </w:rPr>
        <w:t>时，对该供应商提供的全部产品均不给予上述价格评审优惠。全部产品是指货物或服务采购项目或采购包中包含的全部货物、服务产品。</w:t>
      </w:r>
    </w:p>
    <w:p>
      <w:pPr>
        <w:pStyle w:val="null3"/>
        <w:ind w:firstLine="420"/>
        <w:jc w:val="both"/>
      </w:pPr>
      <w:r>
        <w:rPr>
          <w:sz w:val="21"/>
          <w:color w:val="000000"/>
          <w:shd w:fill="FFFFFF" w:val="clear"/>
        </w:rPr>
        <w:t>4.</w:t>
      </w:r>
      <w:r>
        <w:rPr>
          <w:sz w:val="21"/>
          <w:color w:val="383940"/>
          <w:shd w:fill="FFFFFF" w:val="clear"/>
        </w:rPr>
        <w:t>供应商所投产品如符合本国产品政策的，请供应商填写《关于符合本国产品标准的声明函》。如属于多种产品的项目或采购包，还须填写《关于本国产品成本比例承诺函》。</w:t>
      </w:r>
      <w:r>
        <w:rPr>
          <w:sz w:val="21"/>
          <w:b/>
          <w:color w:val="383940"/>
          <w:shd w:fill="FFFFFF" w:val="clear"/>
        </w:rPr>
        <w:t>（本项目属于多种产品的项目或采购包）。</w:t>
      </w:r>
    </w:p>
    <w:p>
      <w:pPr>
        <w:pStyle w:val="null3"/>
      </w:pPr>
      <w:r>
        <w:rPr>
          <w:sz w:val="21"/>
          <w:color w:val="383940"/>
          <w:shd w:fill="FFFFFF" w:val="clear"/>
        </w:rPr>
        <w:t>5.</w:t>
      </w:r>
      <w:r>
        <w:rPr>
          <w:sz w:val="21"/>
          <w:color w:val="383940"/>
          <w:shd w:fill="FFFFFF" w:val="clear"/>
        </w:rPr>
        <w:t>在中国境内生产的组件成本占比相关要求实施前，《关于符合本国产品标准的声明函》</w:t>
      </w:r>
      <w:r>
        <w:rPr>
          <w:sz w:val="21"/>
          <w:color w:val="383940"/>
          <w:shd w:fill="FFFFFF" w:val="clear"/>
        </w:rPr>
        <w:t>“</w:t>
      </w:r>
      <w:r>
        <w:rPr>
          <w:sz w:val="21"/>
          <w:color w:val="383940"/>
          <w:shd w:fill="FFFFFF" w:val="clear"/>
        </w:rPr>
        <w:t>规定比例</w:t>
      </w:r>
      <w:r>
        <w:rPr>
          <w:sz w:val="21"/>
          <w:color w:val="383940"/>
          <w:shd w:fill="FFFFFF" w:val="clear"/>
        </w:rPr>
        <w:t>”</w:t>
      </w:r>
      <w:r>
        <w:rPr>
          <w:sz w:val="21"/>
          <w:color w:val="383940"/>
          <w:shd w:fill="FFFFFF" w:val="clear"/>
        </w:rPr>
        <w:t>栏可不填写；在产品的关键组件要求实施前，</w:t>
      </w:r>
      <w:r>
        <w:rPr>
          <w:sz w:val="21"/>
          <w:color w:val="383940"/>
          <w:shd w:fill="FFFFFF" w:val="clear"/>
        </w:rPr>
        <w:t>“</w:t>
      </w:r>
      <w:r>
        <w:rPr>
          <w:sz w:val="21"/>
          <w:color w:val="383940"/>
          <w:shd w:fill="FFFFFF" w:val="clear"/>
        </w:rPr>
        <w:t>关键组件</w:t>
      </w:r>
      <w:r>
        <w:rPr>
          <w:sz w:val="21"/>
          <w:color w:val="383940"/>
          <w:shd w:fill="FFFFFF" w:val="clear"/>
        </w:rPr>
        <w:t>”</w:t>
      </w:r>
      <w:r>
        <w:rPr>
          <w:sz w:val="21"/>
          <w:color w:val="383940"/>
          <w:shd w:fill="FFFFFF" w:val="clear"/>
        </w:rPr>
        <w:t>可不填写；在产品的关键工序要求实施前，</w:t>
      </w:r>
      <w:r>
        <w:rPr>
          <w:sz w:val="21"/>
          <w:color w:val="383940"/>
          <w:shd w:fill="FFFFFF" w:val="clear"/>
        </w:rPr>
        <w:t>“</w:t>
      </w:r>
      <w:r>
        <w:rPr>
          <w:sz w:val="21"/>
          <w:color w:val="383940"/>
          <w:shd w:fill="FFFFFF" w:val="clear"/>
        </w:rPr>
        <w:t>关键工序</w:t>
      </w:r>
      <w:r>
        <w:rPr>
          <w:sz w:val="21"/>
          <w:color w:val="383940"/>
          <w:shd w:fill="FFFFFF" w:val="clear"/>
        </w:rPr>
        <w:t>”</w:t>
      </w:r>
      <w:r>
        <w:rPr>
          <w:sz w:val="21"/>
          <w:color w:val="383940"/>
          <w:shd w:fill="FFFFFF" w:val="clear"/>
        </w:rPr>
        <w:t>栏可不填。</w:t>
      </w:r>
    </w:p>
    <w:p>
      <w:pPr>
        <w:pStyle w:val="null3"/>
      </w:pPr>
      <w:r>
        <w:rPr/>
        <w:t>采购包1（海东院区中心机房OLT设备板卡扩容及配套服务）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所有货物要求供货商在合同签订20天内完成设备到货，并在到货后30天内完成设备上架、调试。</w:t>
            </w:r>
          </w:p>
        </w:tc>
      </w:tr>
      <w:tr>
        <w:tc>
          <w:tcPr>
            <w:tcW w:type="dxa" w:w="4153"/>
          </w:tcPr>
          <w:p>
            <w:pPr>
              <w:pStyle w:val="null3"/>
            </w:pPr>
            <w:r>
              <w:rPr/>
              <w:t>标的提供的地点</w:t>
            </w:r>
          </w:p>
        </w:tc>
        <w:tc>
          <w:tcPr>
            <w:tcW w:type="dxa" w:w="4153"/>
          </w:tcPr>
          <w:p>
            <w:pPr>
              <w:pStyle w:val="null3"/>
            </w:pPr>
            <w:r>
              <w:rPr/>
              <w:t>广东医科大学附属医院</w:t>
            </w:r>
          </w:p>
        </w:tc>
      </w:tr>
      <w:tr>
        <w:tc>
          <w:tcPr>
            <w:tcW w:type="dxa" w:w="4153"/>
          </w:tcPr>
          <w:p>
            <w:pPr>
              <w:pStyle w:val="null3"/>
            </w:pPr>
            <w:r>
              <w:rPr/>
              <w:t>付款方式</w:t>
            </w:r>
          </w:p>
        </w:tc>
        <w:tc>
          <w:tcPr>
            <w:tcW w:type="dxa" w:w="4153"/>
          </w:tcPr>
          <w:p>
            <w:pPr>
              <w:pStyle w:val="null3"/>
            </w:pPr>
            <w:r>
              <w:rPr/>
              <w:t>1期：支付比例30%,签订合同且收到发票后10个工作日内，采购人向中标人支付合同总额的30%，中标人应办理完开工手续，安排实施人员进场，出具《设备开箱检验单》。</w:t>
            </w:r>
          </w:p>
          <w:p>
            <w:pPr>
              <w:pStyle w:val="null3"/>
            </w:pPr>
            <w:r>
              <w:rPr/>
              <w:t>2期：支付比例20%,项目所有货物、软硬件设备安装调试部署完成，经采购人、中标人、监理（如有）三方确认，采购人在收到发票后10个工作日内向中标人支付合同总额的20%。</w:t>
            </w:r>
          </w:p>
          <w:p>
            <w:pPr>
              <w:pStyle w:val="null3"/>
            </w:pPr>
            <w:r>
              <w:rPr/>
              <w:t>3期：支付比例50%,项目整体正常运行60天，经采购人、中标人、监理（如有）三方确认，验收合格，并出具验收报告后，采购人在收到发票后10个工作日内向中标人支付合同总额的50%。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 所有货物(设备和系统软件)集成调试完毕，运行正常且所有培训工作结束后，建设单位对所有设备、系统及人员培训情况进行检查。 2. 验收测试在安装地实地进行。项目经理应在验收测试进行前向建设单位提交详细的测试计划，测试表格。 3. 验收测试组织人员于规定时间内共同完成。双方共同制定和签署验收测试表，验收测试完成后，记录验收测试的所有结果，证实各部件功能良好，系统的试运行准备已就绪。 4. 双方共同整理完成测试报告和竣工文件。 5. 上述工作全部完成后，双方共同签署验收报告，系统正式投入运行。</w:t>
            </w:r>
          </w:p>
        </w:tc>
      </w:tr>
      <w:tr>
        <w:tc>
          <w:tcPr>
            <w:tcW w:type="dxa" w:w="4153"/>
          </w:tcPr>
          <w:p>
            <w:pPr>
              <w:pStyle w:val="null3"/>
            </w:pPr>
            <w:r>
              <w:rPr/>
              <w:t>履约保证金</w:t>
            </w:r>
          </w:p>
        </w:tc>
        <w:tc>
          <w:tcPr>
            <w:tcW w:type="dxa" w:w="4153"/>
          </w:tcPr>
          <w:p>
            <w:pPr>
              <w:pStyle w:val="null3"/>
            </w:pPr>
            <w:r>
              <w:rPr/>
              <w:t>交纳比例：10%</w:t>
            </w:r>
          </w:p>
          <w:p>
            <w:pPr>
              <w:pStyle w:val="null3"/>
            </w:pPr>
            <w:r>
              <w:rPr/>
              <w:t>缴费渠道：</w:t>
            </w:r>
            <w:r>
              <w:rPr/>
              <w:t>电子保函（保险）</w:t>
            </w:r>
            <w:r>
              <w:rPr/>
              <w:t>、支票（本票、汇票）</w:t>
            </w:r>
            <w:r>
              <w:rPr/>
              <w:t>、其他</w:t>
            </w:r>
          </w:p>
          <w:p>
            <w:pPr>
              <w:pStyle w:val="null3"/>
            </w:pPr>
            <w:r>
              <w:rPr/>
              <w:t>账号：109008516010000123</w:t>
            </w:r>
          </w:p>
          <w:p>
            <w:pPr>
              <w:pStyle w:val="null3"/>
            </w:pPr>
            <w:r>
              <w:rPr/>
              <w:t>户名：广东医科大学附属医院</w:t>
            </w:r>
          </w:p>
          <w:p>
            <w:pPr>
              <w:pStyle w:val="null3"/>
            </w:pPr>
            <w:r>
              <w:rPr/>
              <w:t>开户行：广发银行湛江岭南支行</w:t>
            </w:r>
          </w:p>
          <w:p>
            <w:pPr>
              <w:pStyle w:val="null3"/>
            </w:pPr>
            <w:r>
              <w:rPr/>
              <w:t>支票提交方式：中标后提供</w:t>
            </w:r>
          </w:p>
          <w:p>
            <w:pPr>
              <w:pStyle w:val="null3"/>
            </w:pPr>
            <w:r>
              <w:rPr/>
              <w:t>汇票、本票提交方式：中标后提供</w:t>
            </w:r>
          </w:p>
          <w:p>
            <w:pPr>
              <w:pStyle w:val="null3"/>
            </w:pPr>
            <w:r>
              <w:rPr/>
              <w:t>说明：1、是否有履约担保：是。 2、履约担保金额：为中标金额的10%（符合《〈政府采购促进中小企业发展管理办法〉（财库〔2020〕46号）》的中小微企业为中标金额的5%）。 3、履约保证金形式：可以采用银行转账、支票、汇票、本票或者金融机构、担保机构出具的保函等非现金形式提交，以保函形式提交的保函有效期应不小于本项目合同期。 （1）开户名称：广东医科大学附属医院 （2）开户银行：广发银行湛江岭南支行 （3）账号：109008516010000123 4、履约保证金提交时间：中标供应商在中标通知书发出后10个工作日内递交履约保证金。 5、履约保证金退还：服务验收合格后，由中标人提出申请，经采购人、中标人确认，采购人收到中标人申请后30天内退还履约担保金额的100%（不计利息）。采购人无正当理由逾期退还履约保证金，导致供应商权益受损的，采购人除应退还履约保证金外，赔偿供应商权益范围内损失。 6、履约保证金说明：若中标人在合同履行期间违约，采购人有权从履约担保中扣除违约金，扣除后中标人须在10日内补足履约保证金，履约保证金金额不足以扣除的部分采购人可向中标人进一步索赔。中标人不按合同规定提交履约保证金的，视为中标人违约，采购人有权单方面解除合同且不须承担任何违约责任。签订合同时中标人须提供银行转账凭证及广东医科大学附属医院出具的履约保证金收据作为附件。</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其他网络设备</w:t>
            </w:r>
          </w:p>
        </w:tc>
        <w:tc>
          <w:tcPr>
            <w:tcW w:type="dxa" w:w="831"/>
          </w:tcPr>
          <w:p>
            <w:pPr>
              <w:pStyle w:val="null3"/>
              <w:jc w:val="left"/>
            </w:pPr>
            <w:r>
              <w:rPr/>
              <w:t>OLT业务板卡</w:t>
            </w:r>
          </w:p>
        </w:tc>
        <w:tc>
          <w:tcPr>
            <w:tcW w:type="dxa" w:w="831"/>
          </w:tcPr>
          <w:p>
            <w:pPr>
              <w:pStyle w:val="null3"/>
              <w:jc w:val="left"/>
            </w:pPr>
            <w:r>
              <w:rPr/>
              <w:t>个</w:t>
            </w:r>
          </w:p>
        </w:tc>
        <w:tc>
          <w:tcPr>
            <w:tcW w:type="dxa" w:w="831"/>
          </w:tcPr>
          <w:p>
            <w:pPr>
              <w:pStyle w:val="null3"/>
              <w:jc w:val="right"/>
            </w:pPr>
            <w:r>
              <w:rPr/>
              <w:t>10.00</w:t>
            </w:r>
          </w:p>
        </w:tc>
        <w:tc>
          <w:tcPr>
            <w:tcW w:type="dxa" w:w="831"/>
          </w:tcPr>
          <w:p>
            <w:pPr>
              <w:pStyle w:val="null3"/>
              <w:jc w:val="right"/>
            </w:pPr>
            <w:r>
              <w:rPr/>
              <w:t>108,150.00</w:t>
            </w:r>
          </w:p>
        </w:tc>
        <w:tc>
          <w:tcPr>
            <w:tcW w:type="dxa" w:w="831"/>
          </w:tcPr>
          <w:p>
            <w:pPr>
              <w:pStyle w:val="null3"/>
              <w:jc w:val="right"/>
            </w:pPr>
            <w:r>
              <w:rPr/>
              <w:t>1,081,500.00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其他网络设备</w:t>
            </w:r>
          </w:p>
        </w:tc>
        <w:tc>
          <w:tcPr>
            <w:tcW w:type="dxa" w:w="831"/>
          </w:tcPr>
          <w:p>
            <w:pPr>
              <w:pStyle w:val="null3"/>
              <w:jc w:val="left"/>
            </w:pPr>
            <w:r>
              <w:rPr/>
              <w:t>其他产品（除核心产品外）</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98,500.00</w:t>
            </w:r>
          </w:p>
        </w:tc>
        <w:tc>
          <w:tcPr>
            <w:tcW w:type="dxa" w:w="831"/>
          </w:tcPr>
          <w:p>
            <w:pPr>
              <w:pStyle w:val="null3"/>
              <w:jc w:val="right"/>
            </w:pPr>
            <w:r>
              <w:rPr/>
              <w:t>98,500.00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OLT业务板卡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其他产品（除核心产品外）</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广东医科大学附属医院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采购机构代理服务收费标准：http://gpcgd.gd.gov.cn/ywdt/tzgg/content/post_3049076.html（按中标费用为基数计算）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主持人开启远程解密起30分钟内完成；说明：具体情况根据开标时现场代理机构人员设置为准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广东省政府采购中心</w:t>
      </w:r>
      <w:r>
        <w:rPr/>
        <w:t>代收。具体操作要求详见</w:t>
      </w:r>
      <w:r>
        <w:rPr/>
        <w:t>广东省政府采购中心</w:t>
      </w:r>
      <w:r>
        <w:rPr/>
        <w:t>有关指引，递交事宜请自行咨询</w:t>
      </w:r>
      <w:r>
        <w:rPr/>
        <w:t>广东省政府采购中心</w:t>
      </w:r>
      <w:r>
        <w:rPr/>
        <w:t>；请各投标人在投标文件递交截止时间前按须知前附表规定的金额递交至</w:t>
      </w:r>
      <w:r>
        <w:rPr/>
        <w:t>广东省政府采购中心</w:t>
      </w:r>
      <w:r>
        <w:rPr/>
        <w:t>，到账情况以开标时</w:t>
      </w:r>
      <w:r>
        <w:rPr/>
        <w:t>广东省政府采购中心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陈小姐/龚小姐</w:t>
      </w:r>
    </w:p>
    <w:p>
      <w:pPr>
        <w:pStyle w:val="null3"/>
        <w:ind w:firstLine="480"/>
      </w:pPr>
      <w:r>
        <w:rPr/>
        <w:t>电话：</w:t>
      </w:r>
      <w:r>
        <w:rPr/>
        <w:t>020-83187086/83196816</w:t>
      </w:r>
    </w:p>
    <w:p>
      <w:pPr>
        <w:pStyle w:val="null3"/>
        <w:ind w:firstLine="480"/>
      </w:pPr>
      <w:r>
        <w:rPr/>
        <w:t>传真：</w:t>
      </w:r>
      <w:r>
        <w:rPr/>
        <w:t>-</w:t>
      </w:r>
    </w:p>
    <w:p>
      <w:pPr>
        <w:pStyle w:val="null3"/>
        <w:ind w:firstLine="480"/>
      </w:pPr>
      <w:r>
        <w:rPr/>
        <w:t>邮箱：</w:t>
      </w:r>
      <w:r>
        <w:rPr/>
        <w:t>gpcgdzgke@gd.gov.cn (推荐使用）</w:t>
      </w:r>
    </w:p>
    <w:p>
      <w:pPr>
        <w:pStyle w:val="null3"/>
        <w:ind w:firstLine="480"/>
      </w:pPr>
      <w:r>
        <w:rPr/>
        <w:t>地址：</w:t>
      </w:r>
      <w:r>
        <w:rPr/>
        <w:t>广州市越秀区越华路112号珠江国际大厦3楼质管科</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海东院区中心机房OLT设备板卡扩容及配套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广东省政府采购中心</w:t>
      </w:r>
      <w:r>
        <w:rPr/>
        <w:t>统一对外发布。</w:t>
      </w:r>
    </w:p>
    <w:p>
      <w:pPr>
        <w:pStyle w:val="null3"/>
        <w:ind w:firstLine="480"/>
      </w:pPr>
      <w:r>
        <w:rPr/>
        <w:t>（2）对</w:t>
      </w:r>
      <w:r>
        <w:rPr/>
        <w:t>广东省政府采购中心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采购包1（海东院区中心机房OLT设备板卡扩容及配套服务）：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供应商所响应产品属于《节能产品政府采购品目清单》（下简称《清单》）优先采购范围(即《清单》中非标注星号的产品)，且获得国家确定的认证机构颁发的处于有效期内的节能（节水）产品认证证书（认证产品型号须与所投产品型号一致，认证标准须符合《清单》中对应产品所依据的标准）。对于符合上述要求的节能产品核实价给予价格扣除，即评审价＝核实价－节能产品核实价×C1（C1的取值为1%）； 2、供应商所响应产品属于《环境标志产品政府采购品目清单》（下简称《清单》）范围的，且获得国家确定的认证机构颁发的处于有效期内的环境标志产品认证证书的（认证产品型号须与所投产品型号一致，认证标准须符合《清单》中对应产品所依据的标准）。对于符合上述要求的环境标志产品核实价给予价格扣除，即评审价＝核实价－环境标志产品核实价×C2（C2的取值为1%）； 1-2项备注：为避免漏评，请供应商按需求附件《节能环保政策适用性说明》规定的格式进行填写及提交认证证书，并留意其中的“填写注意事项”。</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本采购包中含有多种产品，供应商为本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采购包1（海东院区中心机房OLT设备板卡扩容及配套服务）：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提供以下2种证明材料之一：①经会计师事务所审计的2024或2025年度财务状况报告；②同时提供a.基本开户行出具的资信证明，b.《基本存款账号信息》或《开户许可证》。）</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ind w:firstLine="480"/>
      </w:pPr>
      <w:r>
        <w:rPr/>
        <w:t>表二符合性审查表：</w:t>
      </w:r>
    </w:p>
    <w:p>
      <w:pPr>
        <w:pStyle w:val="null3"/>
      </w:pPr>
      <w:r>
        <w:rPr/>
        <w:t>采购包1（海东院区中心机房OLT设备板卡扩容及配套服务）：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投标总金额是固定价且是唯一的，未超过本项目采购预算。分项报价未超过分项预算。</w:t>
            </w:r>
          </w:p>
        </w:tc>
      </w:tr>
      <w:tr>
        <w:tc>
          <w:tcPr>
            <w:tcW w:type="dxa" w:w="890"/>
          </w:tcPr>
          <w:p>
            <w:pPr>
              <w:pStyle w:val="null3"/>
            </w:pPr>
            <w:r>
              <w:rPr/>
              <w:t>2</w:t>
            </w:r>
          </w:p>
        </w:tc>
        <w:tc>
          <w:tcPr>
            <w:tcW w:type="dxa" w:w="3178"/>
          </w:tcPr>
          <w:p>
            <w:pPr>
              <w:pStyle w:val="null3"/>
            </w:pPr>
            <w:r>
              <w:rPr/>
              <w:t>对标的内容没有报价漏项</w:t>
            </w:r>
          </w:p>
        </w:tc>
        <w:tc>
          <w:tcPr>
            <w:tcW w:type="dxa" w:w="4238"/>
          </w:tcPr>
          <w:p>
            <w:pPr>
              <w:pStyle w:val="null3"/>
            </w:pPr>
            <w:r>
              <w:rPr/>
              <w:t>对标的内容没有报价漏项。</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提交投标函。投标函按规定格式填写，内容完整。</w:t>
            </w:r>
          </w:p>
        </w:tc>
      </w:tr>
      <w:tr>
        <w:tc>
          <w:tcPr>
            <w:tcW w:type="dxa" w:w="890"/>
          </w:tcPr>
          <w:p>
            <w:pPr>
              <w:pStyle w:val="null3"/>
            </w:pPr>
            <w:r>
              <w:rPr/>
              <w:t>4</w:t>
            </w:r>
          </w:p>
        </w:tc>
        <w:tc>
          <w:tcPr>
            <w:tcW w:type="dxa" w:w="3178"/>
          </w:tcPr>
          <w:p>
            <w:pPr>
              <w:pStyle w:val="null3"/>
            </w:pPr>
            <w:r>
              <w:rPr/>
              <w:t>法定代表人（单位负责人）资格证明书及授权委托书</w:t>
            </w:r>
          </w:p>
        </w:tc>
        <w:tc>
          <w:tcPr>
            <w:tcW w:type="dxa" w:w="4238"/>
          </w:tcPr>
          <w:p>
            <w:pPr>
              <w:pStyle w:val="null3"/>
            </w:pPr>
            <w:r>
              <w:rPr/>
              <w:t>法定代表人（单位负责人）资格证明书及授权委托书（如法定代表人（单位负责人）代表单位投标（响应）的，则提交法定代表人（单位负责人）资格证明书），按对应格式文件签署、盖章。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投标有效期</w:t>
            </w:r>
          </w:p>
        </w:tc>
        <w:tc>
          <w:tcPr>
            <w:tcW w:type="dxa" w:w="4238"/>
          </w:tcPr>
          <w:p>
            <w:pPr>
              <w:pStyle w:val="null3"/>
            </w:pPr>
            <w:r>
              <w:rPr/>
              <w:t>投标有效期为投标截止日起至少90天。</w:t>
            </w:r>
          </w:p>
        </w:tc>
      </w:tr>
      <w:tr>
        <w:tc>
          <w:tcPr>
            <w:tcW w:type="dxa" w:w="890"/>
          </w:tcPr>
          <w:p>
            <w:pPr>
              <w:pStyle w:val="null3"/>
            </w:pPr>
            <w:r>
              <w:rPr/>
              <w:t>7</w:t>
            </w:r>
          </w:p>
        </w:tc>
        <w:tc>
          <w:tcPr>
            <w:tcW w:type="dxa" w:w="3178"/>
          </w:tcPr>
          <w:p>
            <w:pPr>
              <w:pStyle w:val="null3"/>
            </w:pPr>
            <w:r>
              <w:rPr/>
              <w:t>投标报价错误的处理</w:t>
            </w:r>
          </w:p>
        </w:tc>
        <w:tc>
          <w:tcPr>
            <w:tcW w:type="dxa" w:w="4238"/>
          </w:tcPr>
          <w:p>
            <w:pPr>
              <w:pStyle w:val="null3"/>
            </w:pPr>
            <w:r>
              <w:rPr/>
              <w:t>如出现投标报价错误的处理原则修正后的报价,投标供应商按规定书面确认。</w:t>
            </w:r>
          </w:p>
        </w:tc>
      </w:tr>
      <w:tr>
        <w:tc>
          <w:tcPr>
            <w:tcW w:type="dxa" w:w="890"/>
          </w:tcPr>
          <w:p>
            <w:pPr>
              <w:pStyle w:val="null3"/>
            </w:pPr>
            <w:r>
              <w:rPr/>
              <w:t>8</w:t>
            </w:r>
          </w:p>
        </w:tc>
        <w:tc>
          <w:tcPr>
            <w:tcW w:type="dxa" w:w="3178"/>
          </w:tcPr>
          <w:p>
            <w:pPr>
              <w:pStyle w:val="null3"/>
            </w:pPr>
            <w:r>
              <w:rPr/>
              <w:t>未出现视为投标供应商串标投标所列的情形</w:t>
            </w:r>
          </w:p>
        </w:tc>
        <w:tc>
          <w:tcPr>
            <w:tcW w:type="dxa" w:w="4238"/>
          </w:tcPr>
          <w:p>
            <w:pPr>
              <w:pStyle w:val="null3"/>
            </w:pPr>
            <w:r>
              <w:rPr/>
              <w:t>未出现视为投标供应商串标投标所列的情形。</w:t>
            </w:r>
          </w:p>
        </w:tc>
      </w:tr>
      <w:tr>
        <w:tc>
          <w:tcPr>
            <w:tcW w:type="dxa" w:w="890"/>
          </w:tcPr>
          <w:p>
            <w:pPr>
              <w:pStyle w:val="null3"/>
            </w:pPr>
            <w:r>
              <w:rPr/>
              <w:t>9</w:t>
            </w:r>
          </w:p>
        </w:tc>
        <w:tc>
          <w:tcPr>
            <w:tcW w:type="dxa" w:w="3178"/>
          </w:tcPr>
          <w:p>
            <w:pPr>
              <w:pStyle w:val="null3"/>
            </w:pPr>
            <w:r>
              <w:rPr/>
              <w:t>投标文件未含有采购人不可接受的附加条件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未以联合体形式投标。</w:t>
            </w:r>
          </w:p>
        </w:tc>
        <w:tc>
          <w:tcPr>
            <w:tcW w:type="dxa" w:w="4238"/>
          </w:tcPr>
          <w:p>
            <w:pPr>
              <w:pStyle w:val="null3"/>
            </w:pPr>
            <w:r>
              <w:rPr/>
              <w:t>未以联合体形式投标。</w:t>
            </w:r>
          </w:p>
        </w:tc>
      </w:tr>
      <w:tr>
        <w:tc>
          <w:tcPr>
            <w:tcW w:type="dxa" w:w="890"/>
          </w:tcPr>
          <w:p>
            <w:pPr>
              <w:pStyle w:val="null3"/>
            </w:pPr>
            <w:r>
              <w:rPr/>
              <w:t>11</w:t>
            </w:r>
          </w:p>
        </w:tc>
        <w:tc>
          <w:tcPr>
            <w:tcW w:type="dxa" w:w="3178"/>
          </w:tcPr>
          <w:p>
            <w:pPr>
              <w:pStyle w:val="null3"/>
            </w:pPr>
            <w:r>
              <w:rPr/>
              <w:t>非进口产品。</w:t>
            </w:r>
          </w:p>
        </w:tc>
        <w:tc>
          <w:tcPr>
            <w:tcW w:type="dxa" w:w="4238"/>
          </w:tcPr>
          <w:p>
            <w:pPr>
              <w:pStyle w:val="null3"/>
            </w:pPr>
            <w:r>
              <w:rPr/>
              <w:t>供应商所投产品非进口产品。</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采购包1(海东院区中心机房OLT设备板卡扩容及配套服务):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商务部分17.0分</w:t>
            </w:r>
          </w:p>
          <w:p>
            <w:pPr>
              <w:pStyle w:val="null3"/>
            </w:pPr>
            <w:r>
              <w:rPr/>
              <w:t>技术部分53.0分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技术条款响应情况 (33.0分)</w:t>
            </w:r>
          </w:p>
        </w:tc>
        <w:tc>
          <w:tcPr>
            <w:tcW w:type="dxa" w:w="5076"/>
          </w:tcPr>
          <w:p>
            <w:pPr>
              <w:pStyle w:val="null3"/>
              <w:jc w:val="left"/>
            </w:pPr>
            <w:r>
              <w:rPr/>
              <w:t>1、用户需求书“功能\技术参数要求”中“▲”的条款（共6项）： 每有一项满足要求得3分，本小项最高得18分。 2、用户需求书“服务要求”中“▲”的条款（共1项）： 每有一项满足要求得3分，本小项最高得3分。 3、用户需求书“功能技术参数”中非“▲”条款、非“★”条款（共24项）：每有一项满足要求得0.5分，本小项最高得12分。 1-3注：如用户需求中有明确要求提供的证明资料，则以用户需求中要求的为准，无提供或未按要求提供证明材料的不得分，建议在对应的技术参数上标识（如加方框，并注明参数名称或参数序号）；如用户需求中无明确证明材料的，以投标人投标文件中的自行响应为准，未填写或未响应的视为负偏离。</w:t>
            </w:r>
          </w:p>
        </w:tc>
      </w:tr>
      <w:tr>
        <w:tc>
          <w:tcPr>
            <w:tcW w:type="dxa" w:w="922"/>
            <w:gridSpan w:val="2"/>
            <w:vMerge/>
          </w:tcPr>
          <w:p/>
        </w:tc>
        <w:tc>
          <w:tcPr>
            <w:tcW w:type="dxa" w:w="2307"/>
          </w:tcPr>
          <w:p>
            <w:pPr>
              <w:pStyle w:val="null3"/>
              <w:jc w:val="left"/>
            </w:pPr>
            <w:r>
              <w:rPr/>
              <w:t>服务要求 (10.0分)</w:t>
            </w:r>
          </w:p>
        </w:tc>
        <w:tc>
          <w:tcPr>
            <w:tcW w:type="dxa" w:w="5076"/>
          </w:tcPr>
          <w:p>
            <w:pPr>
              <w:pStyle w:val="null3"/>
              <w:jc w:val="left"/>
            </w:pPr>
            <w:r>
              <w:rPr/>
              <w:t>根据投标人制定的方案进行评审，包括但不限于用户需求书中“服务要求”的相关要求（“▲”条款除外）： 实施方案完全满足且优于采购需求，得10分。 实施方案完全满足采购需求，得5分。 实施方案不能完全满足采购需求，得2分。 未提供得0分。</w:t>
            </w:r>
          </w:p>
        </w:tc>
      </w:tr>
      <w:tr>
        <w:tc>
          <w:tcPr>
            <w:tcW w:type="dxa" w:w="922"/>
            <w:gridSpan w:val="2"/>
            <w:vMerge/>
          </w:tcPr>
          <w:p/>
        </w:tc>
        <w:tc>
          <w:tcPr>
            <w:tcW w:type="dxa" w:w="2307"/>
          </w:tcPr>
          <w:p>
            <w:pPr>
              <w:pStyle w:val="null3"/>
              <w:jc w:val="left"/>
            </w:pPr>
            <w:r>
              <w:rPr/>
              <w:t>应急预案要求 (10.0分)</w:t>
            </w:r>
          </w:p>
        </w:tc>
        <w:tc>
          <w:tcPr>
            <w:tcW w:type="dxa" w:w="5076"/>
          </w:tcPr>
          <w:p>
            <w:pPr>
              <w:pStyle w:val="null3"/>
              <w:jc w:val="left"/>
            </w:pPr>
            <w:r>
              <w:rPr/>
              <w:t>根据投标人制定的方案进行评审，包括但不限于用户需求书中“应急预案要求”的相关要求： 实施方案完全满足且优于采购需求，得10分。 实施方案完全满足采购需求，得5分。 实施方案不能完全满足采购需求，得2分。 未提供得0分。</w:t>
            </w:r>
          </w:p>
        </w:tc>
      </w:tr>
      <w:tr>
        <w:tc>
          <w:tcPr>
            <w:tcW w:type="dxa" w:w="922"/>
            <w:gridSpan w:val="2"/>
            <w:vMerge w:val="restart"/>
          </w:tcPr>
          <w:p>
            <w:pPr>
              <w:pStyle w:val="null3"/>
              <w:jc w:val="center"/>
            </w:pPr>
            <w:r>
              <w:rPr/>
              <w:t>商务部分</w:t>
            </w:r>
          </w:p>
        </w:tc>
        <w:tc>
          <w:tcPr>
            <w:tcW w:type="dxa" w:w="2307"/>
          </w:tcPr>
          <w:p>
            <w:pPr>
              <w:pStyle w:val="null3"/>
              <w:jc w:val="left"/>
            </w:pPr>
            <w:r>
              <w:rPr/>
              <w:t>承接本项目能力保障 (9.0分)</w:t>
            </w:r>
          </w:p>
        </w:tc>
        <w:tc>
          <w:tcPr>
            <w:tcW w:type="dxa" w:w="5076"/>
          </w:tcPr>
          <w:p>
            <w:pPr>
              <w:pStyle w:val="null3"/>
              <w:jc w:val="left"/>
            </w:pPr>
            <w:r>
              <w:rPr/>
              <w:t>2023年1月1日以来（以合同签订时间为准），以投标人名义承担过OLT设备或其他光接入交换设备的供货及安装业绩，每提供一份业绩合同复印件得3分，最高9分。 注：1、以合同签订日期计算。提供合同（协议）关键页（至少同时包括双方盖章、合同金额、签约时间、采购内容）； 2、分支机构投标的，须提供总公司和分公司营业执照副本复印件，总公司出具给分支机构的授权书，总公司或分公司取得的资质证书、荣誉、人员信息和业绩对分公司有效</w:t>
            </w:r>
          </w:p>
        </w:tc>
      </w:tr>
      <w:tr>
        <w:tc>
          <w:tcPr>
            <w:tcW w:type="dxa" w:w="922"/>
            <w:gridSpan w:val="2"/>
            <w:vMerge/>
          </w:tcPr>
          <w:p/>
        </w:tc>
        <w:tc>
          <w:tcPr>
            <w:tcW w:type="dxa" w:w="2307"/>
          </w:tcPr>
          <w:p>
            <w:pPr>
              <w:pStyle w:val="null3"/>
              <w:jc w:val="left"/>
            </w:pPr>
            <w:r>
              <w:rPr/>
              <w:t>项目负责人 (4.0分)</w:t>
            </w:r>
          </w:p>
        </w:tc>
        <w:tc>
          <w:tcPr>
            <w:tcW w:type="dxa" w:w="5076"/>
          </w:tcPr>
          <w:p>
            <w:pPr>
              <w:pStyle w:val="null3"/>
              <w:jc w:val="left"/>
            </w:pPr>
            <w:r>
              <w:rPr/>
              <w:t>投标人拟派项目负责人(限1人)具有人力资源和社会保障部（早期为人事部门）颁发的计算机技术与软件专业技术资格证书： (1)具有信息系统项目管理师证书; (2)具有系统规划与管理师证书。 注:项目负责人本人每提供1个证书得2分，本项最高4分。上述证书需为同一人具备，提供证书复印件。如证书未能体现“计算机技术与软件专业技术资格证书”字样的，请提供证书封面复印件。投标人另须提供上述人员自2026年1月以来任意1个月的加盖社保部门印章的投保单或社会保险参保人员证明或单位代缴个人所得税税单等复印件(加盖投标人公章)。没有提供有效证明的不得分。如分公司投标，上述人员可以为同一法人下的总公司员工或分公司人员。</w:t>
            </w:r>
          </w:p>
        </w:tc>
      </w:tr>
      <w:tr>
        <w:tc>
          <w:tcPr>
            <w:tcW w:type="dxa" w:w="922"/>
            <w:gridSpan w:val="2"/>
            <w:vMerge/>
          </w:tcPr>
          <w:p/>
        </w:tc>
        <w:tc>
          <w:tcPr>
            <w:tcW w:type="dxa" w:w="2307"/>
          </w:tcPr>
          <w:p>
            <w:pPr>
              <w:pStyle w:val="null3"/>
              <w:jc w:val="left"/>
            </w:pPr>
            <w:r>
              <w:rPr/>
              <w:t>技术负责人（除项目负责人外） (4.0分)</w:t>
            </w:r>
          </w:p>
        </w:tc>
        <w:tc>
          <w:tcPr>
            <w:tcW w:type="dxa" w:w="5076"/>
          </w:tcPr>
          <w:p>
            <w:pPr>
              <w:pStyle w:val="null3"/>
              <w:jc w:val="left"/>
            </w:pPr>
            <w:r>
              <w:rPr/>
              <w:t>投标人拟派项目技术负责人(限1人)具有人力资源和社会保障部（早期为人事部门）颁发的计算机技术与软件专业技术资格证书： (1)具有信息系统项目管理师证书; (2)具有网络工程师证书。 注:项目技术负责人本人每提供1个证书得2分，本项最高4分。上述证书需为同一人具备，提供证书复印件。如证书未能体现“计算机技术与软件专业技术资格证书”字样的，请提供证书封面复印件。投标人另须提供上述人员自2026年1月以来任意1个月的加盖社保部门印章的投保单或社会保险参保人员证明或单位代缴个人所得税税单等复印件(加盖投标人公章)。没有提供有效证明的不得分。如分公司投标，上述人员可以为同一法人下的总公司员工或分公司人员。</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上述1-3项数值的计算，如涉及到总价、单价的，则精确到“分”并四舍五入；涉及费率计算的，则精准到小数点后二位，第三位四舍五入。如按上述原则计算后数值为123.456元，则按123.46取值；计算后数值为87.654%，则按87.65%取值。被启动异常低价审查的供应商，如果不提供书面说明、证明材料，或者提供的书面说明、证明材料不能证明其报价合理性的，应当将其作为无效投标（响应）处理。通过异常低价审查的不足3家，不得进入详细评审。</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广东医科大学附属医院</w:t>
      </w:r>
    </w:p>
    <w:p>
      <w:pPr>
        <w:pStyle w:val="null3"/>
        <w:jc w:val="left"/>
      </w:pPr>
      <w:r>
        <w:rPr>
          <w:sz w:val="24"/>
          <w:b/>
        </w:rPr>
        <w:t>货物类（信息）合同模板</w:t>
      </w:r>
    </w:p>
    <w:p>
      <w:pPr>
        <w:pStyle w:val="null3"/>
        <w:jc w:val="left"/>
      </w:pPr>
      <w:r>
        <w:rPr>
          <w:sz w:val="21"/>
          <w:b/>
        </w:rPr>
        <w:t xml:space="preserve">             </w:t>
      </w:r>
    </w:p>
    <w:p>
      <w:pPr>
        <w:pStyle w:val="null3"/>
        <w:jc w:val="left"/>
      </w:pPr>
      <w:r>
        <w:rPr>
          <w:sz w:val="24"/>
          <w:b/>
        </w:rPr>
        <w:t>项目名称：广东医科大学附属医院</w:t>
      </w:r>
      <w:r>
        <w:rPr>
          <w:sz w:val="24"/>
          <w:b/>
        </w:rPr>
        <w:t>XXXXX</w:t>
      </w:r>
      <w:r>
        <w:rPr>
          <w:sz w:val="24"/>
          <w:b/>
        </w:rPr>
        <w:t>采购项目</w:t>
      </w:r>
    </w:p>
    <w:p>
      <w:pPr>
        <w:pStyle w:val="null3"/>
        <w:jc w:val="left"/>
      </w:pPr>
      <w:r>
        <w:rPr>
          <w:sz w:val="24"/>
          <w:b/>
        </w:rPr>
        <w:t>甲</w:t>
      </w:r>
      <w:r>
        <w:rPr>
          <w:sz w:val="21"/>
          <w:b/>
        </w:rPr>
        <w:t xml:space="preserve">    </w:t>
      </w:r>
      <w:r>
        <w:rPr>
          <w:sz w:val="24"/>
          <w:b/>
        </w:rPr>
        <w:t>方：</w:t>
      </w:r>
      <w:r>
        <w:rPr>
          <w:sz w:val="24"/>
          <w:b/>
          <w:u w:val="single"/>
        </w:rPr>
        <w:t>广东医科大学附属医院</w:t>
      </w:r>
    </w:p>
    <w:p>
      <w:pPr>
        <w:pStyle w:val="null3"/>
        <w:jc w:val="left"/>
      </w:pPr>
      <w:r>
        <w:rPr>
          <w:sz w:val="24"/>
          <w:b/>
        </w:rPr>
        <w:t>乙</w:t>
      </w:r>
      <w:r>
        <w:rPr>
          <w:sz w:val="21"/>
          <w:b/>
        </w:rPr>
        <w:t xml:space="preserve">    </w:t>
      </w:r>
      <w:r>
        <w:rPr>
          <w:sz w:val="24"/>
          <w:b/>
        </w:rPr>
        <w:t>方：</w:t>
      </w:r>
    </w:p>
    <w:p>
      <w:pPr>
        <w:pStyle w:val="null3"/>
        <w:jc w:val="left"/>
      </w:pPr>
      <w:r>
        <w:rPr>
          <w:sz w:val="24"/>
          <w:b/>
        </w:rPr>
        <w:t>签订时间：</w:t>
      </w:r>
      <w:r>
        <w:rPr>
          <w:sz w:val="21"/>
          <w:b/>
          <w:u w:val="single"/>
        </w:rPr>
        <w:t xml:space="preserve">      </w:t>
      </w:r>
      <w:r>
        <w:rPr>
          <w:sz w:val="24"/>
          <w:b/>
          <w:u w:val="single"/>
        </w:rPr>
        <w:t>年</w:t>
      </w:r>
      <w:r>
        <w:rPr>
          <w:sz w:val="21"/>
          <w:b/>
          <w:u w:val="single"/>
        </w:rPr>
        <w:t xml:space="preserve">    </w:t>
      </w:r>
      <w:r>
        <w:rPr>
          <w:sz w:val="24"/>
          <w:b/>
          <w:u w:val="single"/>
        </w:rPr>
        <w:t>月</w:t>
      </w:r>
      <w:r>
        <w:rPr>
          <w:sz w:val="21"/>
          <w:b/>
          <w:u w:val="single"/>
        </w:rPr>
        <w:t xml:space="preserve">    </w:t>
      </w:r>
      <w:r>
        <w:rPr>
          <w:sz w:val="24"/>
          <w:b/>
          <w:u w:val="single"/>
        </w:rPr>
        <w:t>日</w:t>
      </w:r>
    </w:p>
    <w:p>
      <w:pPr>
        <w:pStyle w:val="null3"/>
        <w:jc w:val="left"/>
      </w:pPr>
      <w:r>
        <w:rPr>
          <w:sz w:val="21"/>
          <w:b/>
        </w:rPr>
        <w:t xml:space="preserve">                                                </w:t>
      </w:r>
    </w:p>
    <w:p>
      <w:pPr>
        <w:pStyle w:val="null3"/>
        <w:jc w:val="left"/>
      </w:pPr>
      <w:r>
        <w:rPr>
          <w:sz w:val="24"/>
        </w:rPr>
        <w:t>（本合同为合同模板，相关内容根据招响应文件进行调整补充）</w:t>
      </w:r>
    </w:p>
    <w:p>
      <w:pPr>
        <w:pStyle w:val="null3"/>
        <w:jc w:val="left"/>
      </w:pPr>
      <w:r>
        <w:rPr>
          <w:sz w:val="24"/>
          <w:b/>
        </w:rPr>
        <w:t>合同</w:t>
      </w:r>
    </w:p>
    <w:p>
      <w:pPr>
        <w:pStyle w:val="null3"/>
        <w:jc w:val="left"/>
      </w:pPr>
      <w:r>
        <w:rPr>
          <w:sz w:val="24"/>
        </w:rPr>
        <w:t>甲方：</w:t>
      </w:r>
      <w:r>
        <w:rPr>
          <w:sz w:val="24"/>
        </w:rPr>
        <w:t>广东医科大学附属医院</w:t>
      </w:r>
    </w:p>
    <w:p>
      <w:pPr>
        <w:pStyle w:val="null3"/>
        <w:jc w:val="left"/>
      </w:pPr>
      <w:r>
        <w:rPr>
          <w:sz w:val="24"/>
          <w:u w:val="single"/>
        </w:rPr>
        <w:t>统一社会信用代码：</w:t>
      </w:r>
      <w:r>
        <w:rPr>
          <w:sz w:val="24"/>
          <w:u w:val="single"/>
        </w:rPr>
        <w:t>12440000455858169P</w:t>
      </w:r>
    </w:p>
    <w:p>
      <w:pPr>
        <w:pStyle w:val="null3"/>
        <w:jc w:val="left"/>
      </w:pPr>
      <w:r>
        <w:rPr>
          <w:sz w:val="24"/>
          <w:u w:val="single"/>
        </w:rPr>
        <w:t>法定代表人：</w:t>
      </w:r>
    </w:p>
    <w:p>
      <w:pPr>
        <w:pStyle w:val="null3"/>
        <w:jc w:val="left"/>
      </w:pPr>
      <w:r>
        <w:rPr>
          <w:sz w:val="24"/>
          <w:u w:val="single"/>
        </w:rPr>
        <w:t>联系人：</w:t>
      </w:r>
      <w:r>
        <w:rPr>
          <w:sz w:val="24"/>
          <w:u w:val="single"/>
        </w:rPr>
        <w:t>XXX</w:t>
      </w:r>
    </w:p>
    <w:p>
      <w:pPr>
        <w:pStyle w:val="null3"/>
        <w:jc w:val="left"/>
      </w:pPr>
      <w:r>
        <w:rPr>
          <w:sz w:val="24"/>
          <w:u w:val="single"/>
        </w:rPr>
        <w:t>联系方式：</w:t>
      </w:r>
      <w:r>
        <w:rPr>
          <w:sz w:val="24"/>
          <w:u w:val="single"/>
        </w:rPr>
        <w:t>XXX</w:t>
      </w:r>
    </w:p>
    <w:p>
      <w:pPr>
        <w:pStyle w:val="null3"/>
        <w:jc w:val="left"/>
      </w:pPr>
      <w:r>
        <w:rPr>
          <w:sz w:val="24"/>
          <w:u w:val="single"/>
        </w:rPr>
        <w:t>联系地址：广东省湛江市霞山区人民大道南</w:t>
      </w:r>
      <w:r>
        <w:rPr>
          <w:sz w:val="24"/>
          <w:u w:val="single"/>
        </w:rPr>
        <w:t>57</w:t>
      </w:r>
      <w:r>
        <w:rPr>
          <w:sz w:val="24"/>
          <w:u w:val="single"/>
        </w:rPr>
        <w:t>号</w:t>
      </w:r>
    </w:p>
    <w:p>
      <w:pPr>
        <w:pStyle w:val="null3"/>
        <w:jc w:val="left"/>
      </w:pPr>
      <w:r>
        <w:rPr>
          <w:sz w:val="24"/>
        </w:rPr>
        <w:t>乙方：</w:t>
      </w:r>
      <w:r>
        <w:rPr>
          <w:sz w:val="24"/>
          <w:u w:val="single"/>
        </w:rPr>
        <w:t>XXX</w:t>
      </w:r>
      <w:r>
        <w:rPr>
          <w:sz w:val="24"/>
          <w:u w:val="single"/>
        </w:rPr>
        <w:t>公司</w:t>
      </w:r>
    </w:p>
    <w:p>
      <w:pPr>
        <w:pStyle w:val="null3"/>
        <w:jc w:val="left"/>
      </w:pPr>
      <w:r>
        <w:rPr>
          <w:sz w:val="24"/>
          <w:u w:val="single"/>
        </w:rPr>
        <w:t>统一社会信用代码：</w:t>
      </w:r>
      <w:r>
        <w:rPr>
          <w:sz w:val="24"/>
          <w:u w:val="single"/>
        </w:rPr>
        <w:t>XXXX</w:t>
      </w:r>
    </w:p>
    <w:p>
      <w:pPr>
        <w:pStyle w:val="null3"/>
        <w:jc w:val="left"/>
      </w:pPr>
      <w:r>
        <w:rPr>
          <w:sz w:val="24"/>
          <w:u w:val="single"/>
        </w:rPr>
        <w:t>法定代表人：</w:t>
      </w:r>
      <w:r>
        <w:rPr>
          <w:sz w:val="24"/>
          <w:u w:val="single"/>
        </w:rPr>
        <w:t>XXX</w:t>
      </w:r>
    </w:p>
    <w:p>
      <w:pPr>
        <w:pStyle w:val="null3"/>
        <w:jc w:val="left"/>
      </w:pPr>
      <w:r>
        <w:rPr>
          <w:sz w:val="24"/>
          <w:u w:val="single"/>
        </w:rPr>
        <w:t>联系人：</w:t>
      </w:r>
      <w:r>
        <w:rPr>
          <w:sz w:val="24"/>
          <w:u w:val="single"/>
        </w:rPr>
        <w:t>XXX</w:t>
      </w:r>
    </w:p>
    <w:p>
      <w:pPr>
        <w:pStyle w:val="null3"/>
        <w:jc w:val="left"/>
      </w:pPr>
      <w:r>
        <w:rPr>
          <w:sz w:val="24"/>
          <w:u w:val="single"/>
        </w:rPr>
        <w:t>联系方式：</w:t>
      </w:r>
      <w:r>
        <w:rPr>
          <w:sz w:val="24"/>
          <w:u w:val="single"/>
        </w:rPr>
        <w:t>XXX</w:t>
      </w:r>
    </w:p>
    <w:p>
      <w:pPr>
        <w:pStyle w:val="null3"/>
        <w:jc w:val="left"/>
      </w:pPr>
      <w:r>
        <w:rPr>
          <w:sz w:val="24"/>
          <w:u w:val="single"/>
        </w:rPr>
        <w:t>联系地址：</w:t>
      </w:r>
      <w:r>
        <w:rPr>
          <w:sz w:val="24"/>
          <w:u w:val="single"/>
        </w:rPr>
        <w:t>XXX</w:t>
      </w:r>
    </w:p>
    <w:p>
      <w:pPr>
        <w:pStyle w:val="null3"/>
        <w:jc w:val="left"/>
      </w:pPr>
      <w:r>
        <w:rPr>
          <w:sz w:val="24"/>
        </w:rPr>
        <w:t>根据《中华人民共和国民法典》等国家相关法律法规的规定，以及该项目的采购结果和相关采购文件、响应文件的要求，按照广东医科大学附属医院</w:t>
      </w:r>
      <w:r>
        <w:rPr>
          <w:sz w:val="24"/>
        </w:rPr>
        <w:t>XXXXX</w:t>
      </w:r>
      <w:r>
        <w:rPr>
          <w:sz w:val="24"/>
        </w:rPr>
        <w:t>采购项目（招标编号：</w:t>
      </w:r>
      <w:r>
        <w:rPr>
          <w:sz w:val="24"/>
        </w:rPr>
        <w:t>XXX</w:t>
      </w:r>
      <w:r>
        <w:rPr>
          <w:sz w:val="24"/>
        </w:rPr>
        <w:t>）</w:t>
      </w:r>
      <w:r>
        <w:rPr>
          <w:sz w:val="24"/>
        </w:rPr>
        <w:t>20XX</w:t>
      </w:r>
      <w:r>
        <w:rPr>
          <w:sz w:val="24"/>
        </w:rPr>
        <w:t>年</w:t>
      </w:r>
      <w:r>
        <w:rPr>
          <w:sz w:val="24"/>
        </w:rPr>
        <w:t>XX</w:t>
      </w:r>
      <w:r>
        <w:rPr>
          <w:sz w:val="24"/>
        </w:rPr>
        <w:t>月</w:t>
      </w:r>
      <w:r>
        <w:rPr>
          <w:sz w:val="24"/>
        </w:rPr>
        <w:t>XX</w:t>
      </w:r>
      <w:r>
        <w:rPr>
          <w:sz w:val="24"/>
        </w:rPr>
        <w:t>日的采购结果，甲、乙双方经协商确定，甲方向乙方订购下述货物、设备及其服务，为明确双方责任和权利，特签订本合同，共同遵守。合同的标的、价款、质量、履行期限等主要条款应当与采购文件和乙方的响应文件的内容一致。具体条款如下：</w:t>
      </w:r>
    </w:p>
    <w:p>
      <w:pPr>
        <w:pStyle w:val="null3"/>
        <w:jc w:val="left"/>
      </w:pPr>
      <w:r>
        <w:rPr>
          <w:sz w:val="24"/>
          <w:b/>
        </w:rPr>
        <w:t>一、</w:t>
      </w:r>
      <w:r>
        <w:rPr>
          <w:sz w:val="21"/>
          <w:b/>
        </w:rPr>
        <w:t xml:space="preserve">  </w:t>
      </w:r>
      <w:r>
        <w:rPr>
          <w:sz w:val="24"/>
          <w:b/>
        </w:rPr>
        <w:t>合同标的</w:t>
      </w:r>
    </w:p>
    <w:p>
      <w:pPr>
        <w:pStyle w:val="null3"/>
        <w:jc w:val="left"/>
      </w:pPr>
      <w:r>
        <w:rPr>
          <w:sz w:val="24"/>
        </w:rPr>
        <w:t>乙方负责向甲方供应下表中所列货物、设备、软件、服务及配套设备，并负责相关的安装调试及售后服务。</w:t>
      </w:r>
    </w:p>
    <w:tbl>
      <w:tblPr>
        <w:tblW w:w="0" w:type="auto"/>
        <w:tblBorders>
          <w:top w:val="none" w:color="000000" w:sz="4"/>
          <w:left w:val="none" w:color="000000" w:sz="4"/>
          <w:bottom w:val="none" w:color="000000" w:sz="4"/>
          <w:right w:val="none" w:color="000000" w:sz="4"/>
          <w:insideH w:val="none"/>
          <w:insideV w:val="none"/>
        </w:tblBorders>
      </w:tblPr>
      <w:tblGrid>
        <w:gridCol w:w="1018"/>
        <w:gridCol w:w="451"/>
        <w:gridCol w:w="1251"/>
        <w:gridCol w:w="683"/>
        <w:gridCol w:w="683"/>
        <w:gridCol w:w="683"/>
        <w:gridCol w:w="683"/>
        <w:gridCol w:w="915"/>
        <w:gridCol w:w="915"/>
        <w:gridCol w:w="1018"/>
      </w:tblGrid>
      <w:tr>
        <w:tc>
          <w:tcPr>
            <w:tcW w:type="dxa" w:w="10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货物名称</w:t>
            </w:r>
          </w:p>
        </w:tc>
        <w:tc>
          <w:tcPr>
            <w:tcW w:type="dxa" w:w="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品牌</w:t>
            </w:r>
          </w:p>
        </w:tc>
        <w:tc>
          <w:tcPr>
            <w:tcW w:type="dxa" w:w="1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规格型号</w:t>
            </w:r>
          </w:p>
          <w:p>
            <w:pPr>
              <w:pStyle w:val="null3"/>
              <w:jc w:val="left"/>
            </w:pPr>
            <w:r>
              <w:rPr>
                <w:sz w:val="24"/>
              </w:rPr>
              <w:t>/</w:t>
            </w:r>
            <w:r>
              <w:rPr>
                <w:sz w:val="24"/>
              </w:rPr>
              <w:t>版本号</w:t>
            </w:r>
          </w:p>
        </w:tc>
        <w:tc>
          <w:tcPr>
            <w:tcW w:type="dxa" w:w="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产地</w:t>
            </w:r>
          </w:p>
        </w:tc>
        <w:tc>
          <w:tcPr>
            <w:tcW w:type="dxa" w:w="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厂家</w:t>
            </w:r>
          </w:p>
        </w:tc>
        <w:tc>
          <w:tcPr>
            <w:tcW w:type="dxa" w:w="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计量单位</w:t>
            </w:r>
          </w:p>
        </w:tc>
        <w:tc>
          <w:tcPr>
            <w:tcW w:type="dxa" w:w="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数量</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单价（元）</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总价</w:t>
            </w:r>
          </w:p>
          <w:p>
            <w:pPr>
              <w:pStyle w:val="null3"/>
              <w:jc w:val="left"/>
            </w:pPr>
            <w:r>
              <w:rPr>
                <w:sz w:val="24"/>
              </w:rPr>
              <w:t>（元）</w:t>
            </w:r>
          </w:p>
        </w:tc>
        <w:tc>
          <w:tcPr>
            <w:tcW w:type="dxa" w:w="10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配套配件</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b/>
        </w:rPr>
        <w:t>二、</w:t>
      </w:r>
      <w:r>
        <w:rPr>
          <w:sz w:val="21"/>
          <w:b/>
        </w:rPr>
        <w:t xml:space="preserve">  </w:t>
      </w:r>
      <w:r>
        <w:rPr>
          <w:sz w:val="24"/>
          <w:b/>
        </w:rPr>
        <w:t>合同总价</w:t>
      </w:r>
    </w:p>
    <w:p>
      <w:pPr>
        <w:pStyle w:val="null3"/>
        <w:jc w:val="left"/>
      </w:pPr>
      <w:r>
        <w:rPr>
          <w:sz w:val="24"/>
        </w:rPr>
        <w:t>总价为：人民币</w:t>
      </w:r>
      <w:r>
        <w:rPr>
          <w:sz w:val="21"/>
          <w:u w:val="single"/>
        </w:rPr>
        <w:t xml:space="preserve">     </w:t>
      </w:r>
      <w:r>
        <w:rPr>
          <w:sz w:val="24"/>
          <w:u w:val="single"/>
        </w:rPr>
        <w:t>元</w:t>
      </w:r>
      <w:r>
        <w:rPr>
          <w:sz w:val="24"/>
        </w:rPr>
        <w:t>（大写）</w:t>
      </w:r>
      <w:r>
        <w:rPr>
          <w:sz w:val="24"/>
        </w:rPr>
        <w:t>，即</w:t>
      </w:r>
      <w:r>
        <w:rPr>
          <w:sz w:val="24"/>
        </w:rPr>
        <w:t>¥</w:t>
      </w:r>
      <w:r>
        <w:rPr>
          <w:sz w:val="24"/>
          <w:u w:val="single"/>
        </w:rPr>
        <w:t xml:space="preserve">    </w:t>
      </w:r>
      <w:r>
        <w:rPr>
          <w:sz w:val="24"/>
          <w:u w:val="single"/>
        </w:rPr>
        <w:t>元</w:t>
      </w:r>
      <w:r>
        <w:rPr>
          <w:sz w:val="24"/>
        </w:rPr>
        <w:t>（其中，含财政项目专项资金：人民币</w:t>
      </w:r>
      <w:r>
        <w:rPr>
          <w:sz w:val="24"/>
        </w:rPr>
        <w:t>元（大写），即</w:t>
      </w:r>
      <w:r>
        <w:rPr>
          <w:sz w:val="24"/>
        </w:rPr>
        <w:t xml:space="preserve">¥ </w:t>
      </w:r>
      <w:r>
        <w:rPr>
          <w:sz w:val="24"/>
        </w:rPr>
        <w:t>元），该合同总金额是合同货物、设备、软件、服务的设计、制造、包装、仓储、运输、培训、保险、装卸、安装、调试及验收合格之前及保修期与备品备件发生的所有含税费用。本合同执行期间合同总金额不变。</w:t>
      </w:r>
    </w:p>
    <w:p>
      <w:pPr>
        <w:pStyle w:val="null3"/>
        <w:jc w:val="left"/>
      </w:pPr>
      <w:r>
        <w:rPr>
          <w:sz w:val="24"/>
          <w:b/>
        </w:rPr>
        <w:t>三、</w:t>
      </w:r>
      <w:r>
        <w:rPr>
          <w:sz w:val="21"/>
          <w:b/>
        </w:rPr>
        <w:t xml:space="preserve">  </w:t>
      </w:r>
      <w:r>
        <w:rPr>
          <w:sz w:val="24"/>
          <w:b/>
        </w:rPr>
        <w:t>合同组成</w:t>
      </w:r>
    </w:p>
    <w:p>
      <w:pPr>
        <w:pStyle w:val="null3"/>
        <w:jc w:val="left"/>
      </w:pPr>
      <w:r>
        <w:rPr>
          <w:sz w:val="24"/>
        </w:rPr>
        <w:t>详细价格、技术说明及其它有关合同货物、设备、软件、服务的特定信息由合同附件说明。所有合同附件及本项目的采购文件（或招标文件）、响应文件（或投标文件）、协议等均为本合同不可分割之一部分。</w:t>
      </w:r>
    </w:p>
    <w:p>
      <w:pPr>
        <w:pStyle w:val="null3"/>
        <w:jc w:val="left"/>
      </w:pPr>
      <w:r>
        <w:rPr>
          <w:sz w:val="24"/>
          <w:b/>
        </w:rPr>
        <w:t>四、</w:t>
      </w:r>
      <w:r>
        <w:rPr>
          <w:sz w:val="21"/>
          <w:b/>
        </w:rPr>
        <w:t xml:space="preserve">  </w:t>
      </w:r>
      <w:r>
        <w:rPr>
          <w:sz w:val="24"/>
          <w:b/>
        </w:rPr>
        <w:t>技术要求</w:t>
      </w:r>
    </w:p>
    <w:p>
      <w:pPr>
        <w:pStyle w:val="null3"/>
        <w:jc w:val="left"/>
      </w:pPr>
      <w:r>
        <w:rPr>
          <w:sz w:val="24"/>
        </w:rPr>
        <w:t>4.1</w:t>
      </w:r>
      <w:r>
        <w:rPr>
          <w:sz w:val="24"/>
        </w:rPr>
        <w:t>乙方所提供的货物、设备、软件、服务及配套配件，必须符合国家有关规范和甲方的技术要求，并提供货物的厂试测验报告（保修卡、合格证、出厂检验报告等质量相关证明文件）。</w:t>
      </w:r>
    </w:p>
    <w:p>
      <w:pPr>
        <w:pStyle w:val="null3"/>
        <w:jc w:val="left"/>
      </w:pPr>
      <w:r>
        <w:rPr>
          <w:sz w:val="24"/>
        </w:rPr>
        <w:t xml:space="preserve">4.2 </w:t>
      </w:r>
      <w:r>
        <w:rPr>
          <w:sz w:val="24"/>
        </w:rPr>
        <w:t>乙方提供的货物、设备、服务保证能与甲方原有设备或系统进行良好兼容，并且不能影响甲方原有设备或系统的性能。</w:t>
      </w:r>
    </w:p>
    <w:p>
      <w:pPr>
        <w:pStyle w:val="null3"/>
        <w:jc w:val="left"/>
      </w:pPr>
      <w:r>
        <w:rPr>
          <w:sz w:val="24"/>
          <w:b/>
        </w:rPr>
        <w:t>五、</w:t>
      </w:r>
      <w:r>
        <w:rPr>
          <w:sz w:val="21"/>
          <w:b/>
        </w:rPr>
        <w:t xml:space="preserve">  </w:t>
      </w:r>
      <w:r>
        <w:rPr>
          <w:sz w:val="24"/>
          <w:b/>
        </w:rPr>
        <w:t>合同标的物包装、交货、安装及验收</w:t>
      </w:r>
    </w:p>
    <w:p>
      <w:pPr>
        <w:pStyle w:val="null3"/>
        <w:jc w:val="left"/>
      </w:pPr>
      <w:r>
        <w:rPr>
          <w:sz w:val="24"/>
        </w:rPr>
        <w:t xml:space="preserve">5.1 </w:t>
      </w:r>
      <w:r>
        <w:rPr>
          <w:sz w:val="24"/>
        </w:rPr>
        <w:t>合同标的物的包装</w:t>
      </w:r>
    </w:p>
    <w:p>
      <w:pPr>
        <w:pStyle w:val="null3"/>
        <w:jc w:val="left"/>
      </w:pPr>
      <w:r>
        <w:rPr>
          <w:sz w:val="24"/>
        </w:rPr>
        <w:t>合同标的物包装均应有良好的防湿、防锈、防潮、防雨、防腐及防碰撞的措施。凡由于包装不良造成的损失和由此产生的费用均由乙方承担，且乙方应按甲方要求在规定的时间内重新提供新的符合验收要求的货物。</w:t>
      </w:r>
    </w:p>
    <w:p>
      <w:pPr>
        <w:pStyle w:val="null3"/>
        <w:jc w:val="left"/>
      </w:pPr>
      <w:r>
        <w:rPr>
          <w:sz w:val="24"/>
        </w:rPr>
        <w:t xml:space="preserve">5.2 </w:t>
      </w:r>
      <w:r>
        <w:rPr>
          <w:sz w:val="24"/>
        </w:rPr>
        <w:t>合同标的物的交货</w:t>
      </w:r>
    </w:p>
    <w:p>
      <w:pPr>
        <w:pStyle w:val="null3"/>
        <w:jc w:val="left"/>
      </w:pPr>
      <w:r>
        <w:rPr>
          <w:sz w:val="24"/>
        </w:rPr>
        <w:t xml:space="preserve">5.2.1 </w:t>
      </w:r>
      <w:r>
        <w:rPr>
          <w:sz w:val="24"/>
        </w:rPr>
        <w:t>项目工期：</w:t>
      </w:r>
    </w:p>
    <w:p>
      <w:pPr>
        <w:pStyle w:val="null3"/>
        <w:jc w:val="left"/>
      </w:pPr>
      <w:r>
        <w:rPr>
          <w:sz w:val="24"/>
        </w:rPr>
        <w:t>合同签订后</w:t>
      </w:r>
      <w:r>
        <w:rPr>
          <w:sz w:val="24"/>
        </w:rPr>
        <w:t>10</w:t>
      </w:r>
      <w:r>
        <w:rPr>
          <w:sz w:val="24"/>
        </w:rPr>
        <w:t>个工作日内，乙方按照甲方及监理方（如有）要求办理完开工手续（即：审批通过《开工申请单》及《实施方案》）及安排人员进场实施。</w:t>
      </w:r>
    </w:p>
    <w:p>
      <w:pPr>
        <w:pStyle w:val="null3"/>
        <w:jc w:val="left"/>
      </w:pPr>
      <w:r>
        <w:rPr>
          <w:sz w:val="24"/>
        </w:rPr>
        <w:t>合同签订后的</w:t>
      </w:r>
      <w:r>
        <w:rPr>
          <w:sz w:val="24"/>
          <w:u w:val="single"/>
        </w:rPr>
        <w:t xml:space="preserve"> XX  </w:t>
      </w:r>
      <w:r>
        <w:rPr>
          <w:sz w:val="24"/>
        </w:rPr>
        <w:t>天内完成项目</w:t>
      </w:r>
      <w:r>
        <w:rPr>
          <w:sz w:val="24"/>
        </w:rPr>
        <w:t>/</w:t>
      </w:r>
      <w:r>
        <w:rPr>
          <w:sz w:val="24"/>
        </w:rPr>
        <w:t>设备的调研、设计（如有）、开箱检验、安装、测试等，直至正常运行。</w:t>
      </w:r>
    </w:p>
    <w:p>
      <w:pPr>
        <w:pStyle w:val="null3"/>
        <w:jc w:val="left"/>
      </w:pPr>
      <w:r>
        <w:rPr>
          <w:sz w:val="24"/>
        </w:rPr>
        <w:t xml:space="preserve">5.2.2 </w:t>
      </w:r>
      <w:r>
        <w:rPr>
          <w:sz w:val="24"/>
        </w:rPr>
        <w:t>乙方交货地点：运输、卸车并安装至甲方指定地点。</w:t>
      </w:r>
    </w:p>
    <w:p>
      <w:pPr>
        <w:pStyle w:val="null3"/>
        <w:jc w:val="left"/>
      </w:pPr>
      <w:r>
        <w:rPr>
          <w:sz w:val="24"/>
        </w:rPr>
        <w:t xml:space="preserve">5.3 </w:t>
      </w:r>
      <w:r>
        <w:rPr>
          <w:sz w:val="24"/>
        </w:rPr>
        <w:t>合同标的物的安装</w:t>
      </w:r>
    </w:p>
    <w:p>
      <w:pPr>
        <w:pStyle w:val="null3"/>
        <w:jc w:val="left"/>
      </w:pPr>
      <w:r>
        <w:rPr>
          <w:sz w:val="24"/>
        </w:rPr>
        <w:t xml:space="preserve">5.3.1 </w:t>
      </w:r>
      <w:r>
        <w:rPr>
          <w:sz w:val="24"/>
        </w:rPr>
        <w:t>乙方负责合同项下标的安装、调试等，相关费用已包含在本合同总价中，甲方无需另行支付费用。</w:t>
      </w:r>
    </w:p>
    <w:p>
      <w:pPr>
        <w:pStyle w:val="null3"/>
        <w:jc w:val="left"/>
      </w:pPr>
      <w:r>
        <w:rPr>
          <w:sz w:val="24"/>
        </w:rPr>
        <w:t xml:space="preserve">5.3.2 </w:t>
      </w:r>
      <w:r>
        <w:rPr>
          <w:sz w:val="24"/>
        </w:rPr>
        <w:t>乙方安装时须对各安装场地内的其他设备、设施有良好保护措施；设备</w:t>
      </w:r>
      <w:r>
        <w:rPr>
          <w:sz w:val="24"/>
        </w:rPr>
        <w:t>/</w:t>
      </w:r>
      <w:r>
        <w:rPr>
          <w:sz w:val="24"/>
        </w:rPr>
        <w:t>系统及用户等账号采用强密码策略，禁止使用常见密码和弱密码。</w:t>
      </w:r>
    </w:p>
    <w:p>
      <w:pPr>
        <w:pStyle w:val="null3"/>
        <w:jc w:val="left"/>
      </w:pPr>
      <w:r>
        <w:rPr>
          <w:sz w:val="24"/>
        </w:rPr>
        <w:t xml:space="preserve">5.3.3 </w:t>
      </w:r>
      <w:r>
        <w:rPr>
          <w:sz w:val="24"/>
        </w:rPr>
        <w:t>安装过程中出现的一切安全责任以及财产损失或人身损害，均由乙方自行负责</w:t>
      </w:r>
    </w:p>
    <w:p>
      <w:pPr>
        <w:pStyle w:val="null3"/>
        <w:jc w:val="left"/>
      </w:pPr>
      <w:r>
        <w:rPr>
          <w:sz w:val="24"/>
        </w:rPr>
        <w:t xml:space="preserve">5.4 </w:t>
      </w:r>
      <w:r>
        <w:rPr>
          <w:sz w:val="24"/>
        </w:rPr>
        <w:t>验收</w:t>
      </w:r>
    </w:p>
    <w:p>
      <w:pPr>
        <w:pStyle w:val="null3"/>
        <w:jc w:val="left"/>
      </w:pPr>
      <w:r>
        <w:rPr>
          <w:sz w:val="24"/>
        </w:rPr>
        <w:t xml:space="preserve">5.4.1 </w:t>
      </w:r>
      <w:r>
        <w:rPr>
          <w:sz w:val="24"/>
        </w:rPr>
        <w:t>合同货物、设备、软件、服务及配套设备安装完成且甲方试用其性能达标，并稳定运行</w:t>
      </w:r>
      <w:r>
        <w:rPr>
          <w:sz w:val="24"/>
          <w:u w:val="single"/>
        </w:rPr>
        <w:t xml:space="preserve">  60  </w:t>
      </w:r>
      <w:r>
        <w:rPr>
          <w:sz w:val="24"/>
        </w:rPr>
        <w:t>天后组织项目验收，验收应在甲、乙、监理（如有）方共同参加下进行。</w:t>
      </w:r>
    </w:p>
    <w:p>
      <w:pPr>
        <w:pStyle w:val="null3"/>
        <w:jc w:val="left"/>
      </w:pPr>
      <w:r>
        <w:rPr>
          <w:sz w:val="24"/>
        </w:rPr>
        <w:t xml:space="preserve">5.4.2 </w:t>
      </w:r>
      <w:r>
        <w:rPr>
          <w:sz w:val="24"/>
        </w:rPr>
        <w:t>乙方在验收时须向甲方提供与本合同项下货物、设备、软件、服务及配套设备相符且完整的技术资料，技术资料包括但不限于：</w:t>
      </w:r>
      <w:r>
        <w:rPr>
          <w:sz w:val="24"/>
          <w:u w:val="single"/>
        </w:rPr>
        <w:t>①</w:t>
      </w:r>
      <w:r>
        <w:rPr>
          <w:sz w:val="24"/>
          <w:u w:val="single"/>
        </w:rPr>
        <w:t>两套中文使用说明书；</w:t>
      </w:r>
      <w:r>
        <w:rPr>
          <w:sz w:val="24"/>
          <w:u w:val="single"/>
        </w:rPr>
        <w:t>②</w:t>
      </w:r>
      <w:r>
        <w:rPr>
          <w:sz w:val="24"/>
          <w:u w:val="single"/>
        </w:rPr>
        <w:t>出厂合格证或出厂检测报告；</w:t>
      </w:r>
      <w:r>
        <w:rPr>
          <w:sz w:val="24"/>
          <w:u w:val="single"/>
        </w:rPr>
        <w:t>③</w:t>
      </w:r>
      <w:r>
        <w:rPr>
          <w:sz w:val="24"/>
          <w:u w:val="single"/>
        </w:rPr>
        <w:t>安装调试报告；</w:t>
      </w:r>
      <w:r>
        <w:rPr>
          <w:sz w:val="24"/>
          <w:u w:val="single"/>
        </w:rPr>
        <w:t>④</w:t>
      </w:r>
      <w:r>
        <w:rPr>
          <w:sz w:val="24"/>
          <w:u w:val="single"/>
        </w:rPr>
        <w:t>人员培训报告；</w:t>
      </w:r>
      <w:r>
        <w:rPr>
          <w:sz w:val="24"/>
          <w:u w:val="single"/>
        </w:rPr>
        <w:t>⑤</w:t>
      </w:r>
      <w:r>
        <w:rPr>
          <w:sz w:val="24"/>
          <w:u w:val="single"/>
        </w:rPr>
        <w:t>进口货物、设备还需要提供进口货物报关单、入境货物检验检疫证明；⑥项目实施过程文档等。</w:t>
      </w:r>
    </w:p>
    <w:p>
      <w:pPr>
        <w:pStyle w:val="null3"/>
        <w:jc w:val="left"/>
      </w:pPr>
      <w:r>
        <w:rPr>
          <w:sz w:val="24"/>
        </w:rPr>
        <w:t>如果乙方提供的技术资料不齐全，甲方有权拒绝接收货物、设备</w:t>
      </w:r>
      <w:r>
        <w:rPr>
          <w:sz w:val="24"/>
        </w:rPr>
        <w:t>、软件、服务及配套设备，乙方拒不配合的，甲方有权直接处置乙方应运走的货物</w:t>
      </w:r>
      <w:r>
        <w:rPr>
          <w:sz w:val="24"/>
        </w:rPr>
        <w:t>/</w:t>
      </w:r>
      <w:r>
        <w:rPr>
          <w:sz w:val="24"/>
        </w:rPr>
        <w:t>设备</w:t>
      </w:r>
      <w:r>
        <w:rPr>
          <w:sz w:val="24"/>
        </w:rPr>
        <w:t>/</w:t>
      </w:r>
      <w:r>
        <w:rPr>
          <w:sz w:val="24"/>
        </w:rPr>
        <w:t>配套设备等，乙方须承担由此产生的一切经济损失。</w:t>
      </w:r>
    </w:p>
    <w:p>
      <w:pPr>
        <w:pStyle w:val="null3"/>
        <w:jc w:val="left"/>
      </w:pPr>
      <w:r>
        <w:rPr>
          <w:sz w:val="24"/>
        </w:rPr>
        <w:t xml:space="preserve">5.4.3 </w:t>
      </w:r>
      <w:r>
        <w:rPr>
          <w:sz w:val="24"/>
        </w:rPr>
        <w:t>验收标准：</w:t>
      </w:r>
    </w:p>
    <w:p>
      <w:pPr>
        <w:pStyle w:val="null3"/>
        <w:jc w:val="left"/>
      </w:pPr>
      <w:r>
        <w:rPr>
          <w:sz w:val="24"/>
        </w:rPr>
        <w:t>按本合同的有关规定。</w:t>
      </w:r>
    </w:p>
    <w:p>
      <w:pPr>
        <w:pStyle w:val="null3"/>
        <w:jc w:val="left"/>
      </w:pPr>
      <w:r>
        <w:rPr>
          <w:sz w:val="24"/>
        </w:rPr>
        <w:t xml:space="preserve">5.4.4 </w:t>
      </w:r>
      <w:r>
        <w:rPr>
          <w:sz w:val="24"/>
        </w:rPr>
        <w:t>验收按国家有关的规定、规范进行。合同货物、设备、软件、服务及配套设备全部通过开箱验收；合同货物、设备、软件、服务及配套设备全部安装调试部署完成，并稳定运行</w:t>
      </w:r>
      <w:r>
        <w:rPr>
          <w:sz w:val="24"/>
          <w:u w:val="single"/>
        </w:rPr>
        <w:t xml:space="preserve">  60  </w:t>
      </w:r>
      <w:r>
        <w:rPr>
          <w:sz w:val="24"/>
        </w:rPr>
        <w:t>天后，经甲、乙、监理方（如有）共同确认并出具《项目验收报告》，视为验收合格。</w:t>
      </w:r>
    </w:p>
    <w:p>
      <w:pPr>
        <w:pStyle w:val="null3"/>
        <w:jc w:val="left"/>
      </w:pPr>
      <w:r>
        <w:rPr>
          <w:sz w:val="24"/>
        </w:rPr>
        <w:t xml:space="preserve">5.4.5 </w:t>
      </w:r>
      <w:r>
        <w:rPr>
          <w:sz w:val="24"/>
        </w:rPr>
        <w:t>甲方、监理方（如有）在验收中如发现货物、设备、软件、服务及配套设备不符合本合同的约定，有权拒收货物、设备、软件、服务及配套设备，并签发拒绝收货通知书。如果甲方、监理方（如有）同意更换的，乙方应于收到拒绝收货通知书之日起按国产货物</w:t>
      </w:r>
      <w:r>
        <w:rPr>
          <w:sz w:val="24"/>
        </w:rPr>
        <w:t>7</w:t>
      </w:r>
      <w:r>
        <w:rPr>
          <w:sz w:val="24"/>
        </w:rPr>
        <w:t>个工作日内、进口货物</w:t>
      </w:r>
      <w:r>
        <w:rPr>
          <w:sz w:val="24"/>
        </w:rPr>
        <w:t>15</w:t>
      </w:r>
      <w:r>
        <w:rPr>
          <w:sz w:val="24"/>
        </w:rPr>
        <w:t>个工作日内的期限重新提供符合本合同约定的货物、设备，否则，视为乙方逾期交货。甲方因前述原因拒收货物而产生的一切费用和责任均由乙方承担。</w:t>
      </w:r>
    </w:p>
    <w:p>
      <w:pPr>
        <w:pStyle w:val="null3"/>
        <w:jc w:val="left"/>
      </w:pPr>
      <w:r>
        <w:rPr>
          <w:sz w:val="24"/>
        </w:rPr>
        <w:t xml:space="preserve">5.4.6 </w:t>
      </w:r>
      <w:r>
        <w:rPr>
          <w:sz w:val="24"/>
        </w:rPr>
        <w:t>验收时如发现所交付的货物、设备、软件、服务及配套设备有短装、次品、损坏或其它不符合本合同规定之情形者，甲方、监理方（如有）应作出详尽的现场记录，或由甲、乙、监理方（如有）三方签署备忘录。此现场记录或备忘录可用作补充、缺失和更换损坏部件的有效证据。由此产生的有关费用由乙方承担。</w:t>
      </w:r>
    </w:p>
    <w:p>
      <w:pPr>
        <w:pStyle w:val="null3"/>
        <w:jc w:val="left"/>
      </w:pPr>
      <w:r>
        <w:rPr>
          <w:sz w:val="24"/>
        </w:rPr>
        <w:t xml:space="preserve">5.4.7 </w:t>
      </w:r>
      <w:r>
        <w:rPr>
          <w:sz w:val="24"/>
        </w:rPr>
        <w:t>如果合同标的物在运输和安装过程中因事故造成货物、设备、软件、服务及配套设备短缺、损坏，乙方应及时安排换装，以保证本合同货物、设备的安装能按本合同约定的期限成功完成。换货的相关费用由乙方承担。</w:t>
      </w:r>
    </w:p>
    <w:p>
      <w:pPr>
        <w:pStyle w:val="null3"/>
        <w:jc w:val="left"/>
      </w:pPr>
      <w:r>
        <w:rPr>
          <w:sz w:val="24"/>
        </w:rPr>
        <w:t xml:space="preserve">5.5 </w:t>
      </w:r>
      <w:r>
        <w:rPr>
          <w:sz w:val="24"/>
        </w:rPr>
        <w:t>乙方保证本合同项下提供的货物、设备、软件、服务及配套设备不侵犯任何第三方的专利、商标或版权。否则，乙方须承担对第三方的专利或版权的侵权责任并承担甲方因此而发生的所有费用和遭受的间接损失</w:t>
      </w:r>
    </w:p>
    <w:p>
      <w:pPr>
        <w:pStyle w:val="null3"/>
        <w:jc w:val="left"/>
      </w:pPr>
      <w:r>
        <w:rPr>
          <w:sz w:val="24"/>
        </w:rPr>
        <w:t xml:space="preserve">5.6 </w:t>
      </w:r>
      <w:r>
        <w:rPr>
          <w:sz w:val="24"/>
        </w:rPr>
        <w:t>乙方应就交付的货物、设备、软件、服务及配套设备，保证甲方免受任何第三方主张任何权利（第三方主张的权利包括但不仅限于：对合同标的物主张所有权或知识产权等）。</w:t>
      </w:r>
    </w:p>
    <w:p>
      <w:pPr>
        <w:pStyle w:val="null3"/>
        <w:jc w:val="left"/>
      </w:pPr>
      <w:r>
        <w:rPr>
          <w:sz w:val="24"/>
        </w:rPr>
        <w:t xml:space="preserve">5.6.1 </w:t>
      </w:r>
      <w:r>
        <w:rPr>
          <w:sz w:val="24"/>
        </w:rPr>
        <w:t>若有第三方对合同标的物主张上述权利的侵权损害赔偿请求，由乙方承担全部法律责任；甲方有权解除本合同，且乙方应向甲方承担包括赔偿甲方直接或间接损失在内的全部违约责任。</w:t>
      </w:r>
    </w:p>
    <w:p>
      <w:pPr>
        <w:pStyle w:val="null3"/>
        <w:jc w:val="left"/>
      </w:pPr>
      <w:r>
        <w:rPr>
          <w:sz w:val="24"/>
        </w:rPr>
        <w:t xml:space="preserve">5.6.2 </w:t>
      </w:r>
      <w:r>
        <w:rPr>
          <w:sz w:val="24"/>
        </w:rPr>
        <w:t>在合同履行过程中，甲方有确切证据证明第三方可能就合同标的物主张上述权利的，甲方有权中止支付相应的价款，如甲方已支付部分价款，则有权要求乙方返还已收取的价款；但乙方提供适当担保的除外。</w:t>
      </w:r>
    </w:p>
    <w:p>
      <w:pPr>
        <w:pStyle w:val="null3"/>
        <w:jc w:val="left"/>
      </w:pPr>
      <w:r>
        <w:rPr>
          <w:sz w:val="24"/>
        </w:rPr>
        <w:t xml:space="preserve">5.6.3 </w:t>
      </w:r>
      <w:r>
        <w:rPr>
          <w:sz w:val="24"/>
        </w:rPr>
        <w:t>因第三方就合同标的对甲方主张权利而发生的纠纷，乙方应承担相应的法律责任和诉讼费用、律师费用、保全费用、保函费用、鉴定费用、差旅费用等为解除纠纷而发生的费用以及由此给甲方造成的一切直接或间接经济损失。</w:t>
      </w:r>
    </w:p>
    <w:p>
      <w:pPr>
        <w:pStyle w:val="null3"/>
        <w:jc w:val="left"/>
      </w:pPr>
      <w:r>
        <w:rPr>
          <w:sz w:val="24"/>
        </w:rPr>
        <w:t xml:space="preserve">5.7 </w:t>
      </w:r>
      <w:r>
        <w:rPr>
          <w:sz w:val="24"/>
        </w:rPr>
        <w:t>风险承担</w:t>
      </w:r>
    </w:p>
    <w:p>
      <w:pPr>
        <w:pStyle w:val="null3"/>
        <w:jc w:val="left"/>
      </w:pPr>
      <w:r>
        <w:rPr>
          <w:sz w:val="24"/>
        </w:rPr>
        <w:t xml:space="preserve">5.7.1 </w:t>
      </w:r>
      <w:r>
        <w:rPr>
          <w:sz w:val="24"/>
        </w:rPr>
        <w:t>货物、设备、软件、服务及配套设备毁损、灭失的风险，在货物、设备、软件、服务及配套设备经甲方验收合格以前由乙方承担，在货物、设备、软件、服务及配套设备经甲方验收合格以后由甲方承担。</w:t>
      </w:r>
    </w:p>
    <w:p>
      <w:pPr>
        <w:pStyle w:val="null3"/>
        <w:jc w:val="left"/>
      </w:pPr>
      <w:r>
        <w:rPr>
          <w:sz w:val="24"/>
        </w:rPr>
        <w:t xml:space="preserve">5.7.2 </w:t>
      </w:r>
      <w:r>
        <w:rPr>
          <w:sz w:val="24"/>
        </w:rPr>
        <w:t>甲方因货物、设备、软件、服务及配套设备质量不符合约定的质量要求而拒绝接收货物或解除合同的，货物、设备毁损、灭失的风险由乙方承担。</w:t>
      </w:r>
    </w:p>
    <w:p>
      <w:pPr>
        <w:pStyle w:val="null3"/>
        <w:jc w:val="left"/>
      </w:pPr>
      <w:r>
        <w:rPr>
          <w:sz w:val="24"/>
        </w:rPr>
        <w:t xml:space="preserve">5.7.3 </w:t>
      </w:r>
      <w:r>
        <w:rPr>
          <w:sz w:val="24"/>
        </w:rPr>
        <w:t>经甲方验收合格后，货物、设备、软件、服务及配套设备毁损、灭失的风险由甲方承担的，不影响因乙方履行其他合同义务不符合约定的，甲方要求其承担违约责任的权利。</w:t>
      </w:r>
    </w:p>
    <w:p>
      <w:pPr>
        <w:pStyle w:val="null3"/>
        <w:jc w:val="left"/>
      </w:pPr>
      <w:r>
        <w:rPr>
          <w:sz w:val="24"/>
        </w:rPr>
        <w:t>5.7.4</w:t>
      </w:r>
      <w:r>
        <w:rPr>
          <w:sz w:val="24"/>
        </w:rPr>
        <w:t>由乙方承担货物、设备、软件、服务及配套设备毁损、灭失风险，如货物、设备、软件、服务及配套设备毁损或灭失的，乙方应按国产货物</w:t>
      </w:r>
      <w:r>
        <w:rPr>
          <w:sz w:val="24"/>
        </w:rPr>
        <w:t>7</w:t>
      </w:r>
      <w:r>
        <w:rPr>
          <w:sz w:val="24"/>
        </w:rPr>
        <w:t>个工作日内、进口货物</w:t>
      </w:r>
      <w:r>
        <w:rPr>
          <w:sz w:val="24"/>
        </w:rPr>
        <w:t>15</w:t>
      </w:r>
      <w:r>
        <w:rPr>
          <w:sz w:val="24"/>
        </w:rPr>
        <w:t>个工作日内的期限重新提供符合合同规定的货物、设备、软件、服务及配套设备，否则，视为乙方逾期交货。</w:t>
      </w:r>
    </w:p>
    <w:p>
      <w:pPr>
        <w:pStyle w:val="null3"/>
        <w:jc w:val="left"/>
      </w:pPr>
      <w:r>
        <w:rPr>
          <w:sz w:val="24"/>
        </w:rPr>
        <w:t xml:space="preserve">5.7.5 </w:t>
      </w:r>
      <w:r>
        <w:rPr>
          <w:sz w:val="24"/>
        </w:rPr>
        <w:t>由甲方承担货物、设备、软件、服务及配套设备毁损、灭失风险的，则甲方不能免除给付货款的义务。</w:t>
      </w:r>
    </w:p>
    <w:p>
      <w:pPr>
        <w:pStyle w:val="null3"/>
        <w:ind w:left="600"/>
        <w:jc w:val="left"/>
      </w:pPr>
      <w:r>
        <w:rPr>
          <w:sz w:val="24"/>
          <w:b/>
        </w:rPr>
        <w:t>六、</w:t>
      </w:r>
      <w:r>
        <w:rPr>
          <w:sz w:val="21"/>
          <w:b/>
        </w:rPr>
        <w:t xml:space="preserve">  </w:t>
      </w:r>
      <w:r>
        <w:rPr>
          <w:sz w:val="24"/>
          <w:b/>
        </w:rPr>
        <w:t>质量保证及售后服务</w:t>
      </w:r>
    </w:p>
    <w:p>
      <w:pPr>
        <w:pStyle w:val="null3"/>
        <w:jc w:val="left"/>
      </w:pPr>
      <w:r>
        <w:rPr>
          <w:sz w:val="24"/>
        </w:rPr>
        <w:t xml:space="preserve">6.1  </w:t>
      </w:r>
      <w:r>
        <w:rPr>
          <w:sz w:val="24"/>
        </w:rPr>
        <w:t>乙方保证合同货物、设备、软件、服务及配套设备是全新的（出厂日期距离合同签订之日不得超过</w:t>
      </w:r>
      <w:r>
        <w:rPr>
          <w:sz w:val="21"/>
          <w:u w:val="single"/>
        </w:rPr>
        <w:t xml:space="preserve">  </w:t>
      </w:r>
      <w:r>
        <w:rPr>
          <w:sz w:val="24"/>
          <w:u w:val="single"/>
        </w:rPr>
        <w:t>壹</w:t>
      </w:r>
      <w:r>
        <w:rPr>
          <w:sz w:val="21"/>
          <w:u w:val="single"/>
        </w:rPr>
        <w:t xml:space="preserve">  </w:t>
      </w:r>
      <w:r>
        <w:rPr>
          <w:sz w:val="24"/>
        </w:rPr>
        <w:t>年）、未曾使用过的，且进货渠道合法。合同货物、设备、软件、服务及配套设备必须具备出厂合格证或出厂检测报告（进口货物、设备、软件、服务及配套设备还需要提供进口货物报关单、入境货物检验检疫证明），其质量、规格及技术特征符合合同附件的要求（在本条款下，如甲方对乙方交付的货物存在异议，乙方须提供相关的证明文件并附书面说明，如货物、设备、软件、服务及配套设备生产商出具书面出厂证明等，用以有效解释、证明甲方所质疑的事项）。</w:t>
      </w:r>
    </w:p>
    <w:p>
      <w:pPr>
        <w:pStyle w:val="null3"/>
        <w:jc w:val="left"/>
      </w:pPr>
      <w:r>
        <w:rPr>
          <w:sz w:val="24"/>
        </w:rPr>
        <w:t xml:space="preserve">6.2  </w:t>
      </w:r>
      <w:r>
        <w:rPr>
          <w:sz w:val="24"/>
        </w:rPr>
        <w:t>合同标的的保修期自验收合格之日起</w:t>
      </w:r>
      <w:r>
        <w:rPr>
          <w:sz w:val="24"/>
          <w:u w:val="single"/>
        </w:rPr>
        <w:t xml:space="preserve">   XX  </w:t>
      </w:r>
      <w:r>
        <w:rPr>
          <w:sz w:val="24"/>
        </w:rPr>
        <w:t>个月（详见响应文件）。保修期内非因甲方人为原因而出现产品质量及安装问题，由乙方负责包修、包换或包退，并承担因此而产生的一切费用。乙方应在收到甲方报修通知后【】小时（详见响应文件）内派员到现场维修。下列情况乙方不负责保修，但乙方需对此提供证明材料予以证明：</w:t>
      </w:r>
    </w:p>
    <w:p>
      <w:pPr>
        <w:pStyle w:val="null3"/>
        <w:jc w:val="left"/>
      </w:pPr>
      <w:r>
        <w:rPr>
          <w:sz w:val="24"/>
        </w:rPr>
        <w:t xml:space="preserve">6.3.1 </w:t>
      </w:r>
      <w:r>
        <w:rPr>
          <w:sz w:val="24"/>
        </w:rPr>
        <w:t>甲方不按照乙方提供的正确使用方法而引致合同标的故障损坏；</w:t>
      </w:r>
    </w:p>
    <w:p>
      <w:pPr>
        <w:pStyle w:val="null3"/>
        <w:jc w:val="left"/>
      </w:pPr>
      <w:r>
        <w:rPr>
          <w:sz w:val="24"/>
        </w:rPr>
        <w:t xml:space="preserve">6.3.2 </w:t>
      </w:r>
      <w:r>
        <w:rPr>
          <w:sz w:val="24"/>
        </w:rPr>
        <w:t>甲方擅自修改系统或改装合同标的；</w:t>
      </w:r>
    </w:p>
    <w:p>
      <w:pPr>
        <w:pStyle w:val="null3"/>
        <w:jc w:val="left"/>
      </w:pPr>
      <w:r>
        <w:rPr>
          <w:sz w:val="24"/>
        </w:rPr>
        <w:t xml:space="preserve">6.3.3 </w:t>
      </w:r>
      <w:r>
        <w:rPr>
          <w:sz w:val="24"/>
        </w:rPr>
        <w:t>非乙方过错的人为因素或天灾等外来因素造成的损坏。</w:t>
      </w:r>
    </w:p>
    <w:p>
      <w:pPr>
        <w:pStyle w:val="null3"/>
        <w:jc w:val="left"/>
      </w:pPr>
      <w:r>
        <w:rPr>
          <w:sz w:val="24"/>
        </w:rPr>
        <w:t xml:space="preserve">6.3  </w:t>
      </w:r>
      <w:r>
        <w:rPr>
          <w:sz w:val="24"/>
        </w:rPr>
        <w:t>因产品的质量问题而发生争议，甲乙双方均有权向广东省有资质的质检部门申请质量鉴定。产品符合质量标准的，鉴定费用由甲方承担；产品不符合质量标准的，鉴定费用由乙方承担。</w:t>
      </w:r>
    </w:p>
    <w:p>
      <w:pPr>
        <w:pStyle w:val="null3"/>
        <w:jc w:val="left"/>
      </w:pPr>
      <w:r>
        <w:rPr>
          <w:sz w:val="24"/>
        </w:rPr>
        <w:t xml:space="preserve">6.4 </w:t>
      </w:r>
      <w:r>
        <w:rPr>
          <w:sz w:val="24"/>
        </w:rPr>
        <w:t>乙方无偿培训甲方使用人员、维护及维修人员，主要内容为合同标的的基本结构、性能、主要部件</w:t>
      </w:r>
      <w:r>
        <w:rPr>
          <w:sz w:val="24"/>
        </w:rPr>
        <w:t>/</w:t>
      </w:r>
      <w:r>
        <w:rPr>
          <w:sz w:val="24"/>
        </w:rPr>
        <w:t>模块的构造及维护，日常使用与管理，常见故障的排除，紧急情况的处理等，培训地点主要在产品安装现场或按甲方安排。</w:t>
      </w:r>
    </w:p>
    <w:p>
      <w:pPr>
        <w:pStyle w:val="null3"/>
        <w:jc w:val="left"/>
      </w:pPr>
      <w:r>
        <w:rPr>
          <w:sz w:val="24"/>
          <w:b/>
        </w:rPr>
        <w:t>七、</w:t>
      </w:r>
      <w:r>
        <w:rPr>
          <w:sz w:val="21"/>
          <w:b/>
        </w:rPr>
        <w:t xml:space="preserve">  </w:t>
      </w:r>
      <w:r>
        <w:rPr>
          <w:sz w:val="24"/>
          <w:b/>
        </w:rPr>
        <w:t>付款时间及方式</w:t>
      </w:r>
    </w:p>
    <w:p>
      <w:pPr>
        <w:pStyle w:val="null3"/>
        <w:jc w:val="left"/>
      </w:pPr>
      <w:r>
        <w:rPr>
          <w:sz w:val="24"/>
        </w:rPr>
        <w:t xml:space="preserve">7.1 </w:t>
      </w:r>
      <w:r>
        <w:rPr>
          <w:sz w:val="24"/>
        </w:rPr>
        <w:t>（详见用户需求）</w:t>
      </w:r>
    </w:p>
    <w:p>
      <w:pPr>
        <w:pStyle w:val="null3"/>
        <w:jc w:val="left"/>
      </w:pPr>
      <w:r>
        <w:rPr>
          <w:sz w:val="24"/>
        </w:rPr>
        <w:t>7.2</w:t>
      </w:r>
    </w:p>
    <w:p>
      <w:pPr>
        <w:pStyle w:val="null3"/>
        <w:jc w:val="left"/>
      </w:pPr>
      <w:r>
        <w:rPr>
          <w:sz w:val="24"/>
        </w:rPr>
        <w:t>7.3</w:t>
      </w:r>
    </w:p>
    <w:p>
      <w:pPr>
        <w:pStyle w:val="null3"/>
        <w:jc w:val="left"/>
      </w:pPr>
      <w:r>
        <w:rPr>
          <w:sz w:val="24"/>
        </w:rPr>
        <w:t>7.4</w:t>
      </w:r>
      <w:r>
        <w:rPr>
          <w:sz w:val="24"/>
        </w:rPr>
        <w:t>如乙方违反甲方《广东医科大学附属医院信息化项目建设管理制度》，确认、统计后出现扣款情况的，甲方将从本项目货款中予以扣除相应金额，货款不足以抵扣的部分由乙方直接向甲方支付。</w:t>
      </w:r>
    </w:p>
    <w:p>
      <w:pPr>
        <w:pStyle w:val="null3"/>
        <w:jc w:val="left"/>
      </w:pPr>
      <w:r>
        <w:rPr>
          <w:sz w:val="24"/>
        </w:rPr>
        <w:t>7.5</w:t>
      </w:r>
      <w:r>
        <w:rPr>
          <w:sz w:val="24"/>
        </w:rPr>
        <w:t>甲方开票详细信息：</w:t>
      </w:r>
    </w:p>
    <w:tbl>
      <w:tblPr>
        <w:tblW w:w="0" w:type="auto"/>
        <w:tblInd w:type="dxa" w:w="645"/>
        <w:tblBorders>
          <w:top w:val="none" w:color="000000" w:sz="4"/>
          <w:left w:val="none" w:color="000000" w:sz="4"/>
          <w:bottom w:val="none" w:color="000000" w:sz="4"/>
          <w:right w:val="none" w:color="000000" w:sz="4"/>
          <w:insideH w:val="none"/>
          <w:insideV w:val="none"/>
        </w:tblBorders>
      </w:tblPr>
      <w:tblGrid>
        <w:gridCol w:w="2010"/>
        <w:gridCol w:w="5700"/>
      </w:tblGrid>
      <w:tr>
        <w:tc>
          <w:tcPr>
            <w:tcW w:type="dxa" w:w="201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4"/>
              </w:rPr>
              <w:t>单位名称</w:t>
            </w:r>
          </w:p>
        </w:tc>
        <w:tc>
          <w:tcPr>
            <w:tcW w:type="dxa" w:w="57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广东医科大学附属医院</w:t>
            </w:r>
          </w:p>
        </w:tc>
      </w:tr>
      <w:tr>
        <w:tc>
          <w:tcPr>
            <w:tcW w:type="dxa" w:w="20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4"/>
              </w:rPr>
              <w:t>统一社会信用代码</w:t>
            </w:r>
          </w:p>
        </w:tc>
        <w:tc>
          <w:tcPr>
            <w:tcW w:type="dxa" w:w="5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12440000455858169P</w:t>
            </w:r>
          </w:p>
        </w:tc>
      </w:tr>
      <w:tr>
        <w:tc>
          <w:tcPr>
            <w:tcW w:type="dxa" w:w="20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4"/>
              </w:rPr>
              <w:t>地址</w:t>
            </w:r>
          </w:p>
        </w:tc>
        <w:tc>
          <w:tcPr>
            <w:tcW w:type="dxa" w:w="5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广东省湛江市霞山区人民大道南</w:t>
            </w:r>
            <w:r>
              <w:rPr>
                <w:sz w:val="24"/>
              </w:rPr>
              <w:t>57</w:t>
            </w:r>
            <w:r>
              <w:rPr>
                <w:sz w:val="24"/>
              </w:rPr>
              <w:t>号</w:t>
            </w:r>
          </w:p>
        </w:tc>
      </w:tr>
      <w:tr>
        <w:tc>
          <w:tcPr>
            <w:tcW w:type="dxa" w:w="20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4"/>
              </w:rPr>
              <w:t>电话</w:t>
            </w:r>
          </w:p>
        </w:tc>
        <w:tc>
          <w:tcPr>
            <w:tcW w:type="dxa" w:w="5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0759-2387612</w:t>
            </w:r>
          </w:p>
        </w:tc>
      </w:tr>
      <w:tr>
        <w:tc>
          <w:tcPr>
            <w:tcW w:type="dxa" w:w="20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4"/>
              </w:rPr>
              <w:t>开户行</w:t>
            </w:r>
          </w:p>
        </w:tc>
        <w:tc>
          <w:tcPr>
            <w:tcW w:type="dxa" w:w="5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广发银行湛江岭南支行</w:t>
            </w:r>
          </w:p>
        </w:tc>
      </w:tr>
      <w:tr>
        <w:tc>
          <w:tcPr>
            <w:tcW w:type="dxa" w:w="20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4"/>
              </w:rPr>
              <w:t>账号</w:t>
            </w:r>
          </w:p>
        </w:tc>
        <w:tc>
          <w:tcPr>
            <w:tcW w:type="dxa" w:w="5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109008516010000123</w:t>
            </w:r>
          </w:p>
        </w:tc>
      </w:tr>
    </w:tbl>
    <w:p>
      <w:pPr>
        <w:pStyle w:val="null3"/>
        <w:jc w:val="left"/>
      </w:pPr>
      <w:r>
        <w:rPr>
          <w:sz w:val="24"/>
        </w:rPr>
        <w:t>7.6</w:t>
      </w:r>
      <w:r>
        <w:rPr>
          <w:sz w:val="24"/>
        </w:rPr>
        <w:t>乙方开户银行名称及账号：</w:t>
      </w:r>
    </w:p>
    <w:tbl>
      <w:tblPr>
        <w:tblW w:w="0" w:type="auto"/>
        <w:tblInd w:type="dxa" w:w="675"/>
        <w:tblBorders>
          <w:top w:val="none" w:color="000000" w:sz="4"/>
          <w:left w:val="none" w:color="000000" w:sz="4"/>
          <w:bottom w:val="none" w:color="000000" w:sz="4"/>
          <w:right w:val="none" w:color="000000" w:sz="4"/>
          <w:insideH w:val="none"/>
          <w:insideV w:val="none"/>
        </w:tblBorders>
      </w:tblPr>
      <w:tblGrid>
        <w:gridCol w:w="1980"/>
        <w:gridCol w:w="5700"/>
      </w:tblGrid>
      <w:tr>
        <w:tc>
          <w:tcPr>
            <w:tcW w:type="dxa" w:w="198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4"/>
              </w:rPr>
              <w:t>用户名</w:t>
            </w:r>
          </w:p>
        </w:tc>
        <w:tc>
          <w:tcPr>
            <w:tcW w:type="dxa" w:w="57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XXX</w:t>
            </w:r>
            <w:r>
              <w:rPr>
                <w:sz w:val="24"/>
              </w:rPr>
              <w:t>公司</w:t>
            </w:r>
          </w:p>
        </w:tc>
      </w:tr>
      <w:tr>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4"/>
              </w:rPr>
              <w:t>开户银行</w:t>
            </w:r>
          </w:p>
        </w:tc>
        <w:tc>
          <w:tcPr>
            <w:tcW w:type="dxa" w:w="5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XXX</w:t>
            </w:r>
          </w:p>
        </w:tc>
      </w:tr>
      <w:tr>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4"/>
              </w:rPr>
              <w:t>账号</w:t>
            </w:r>
          </w:p>
        </w:tc>
        <w:tc>
          <w:tcPr>
            <w:tcW w:type="dxa" w:w="5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XXX</w:t>
            </w:r>
          </w:p>
        </w:tc>
      </w:tr>
    </w:tbl>
    <w:p>
      <w:pPr>
        <w:pStyle w:val="null3"/>
        <w:jc w:val="left"/>
      </w:pPr>
      <w:r>
        <w:rPr>
          <w:sz w:val="24"/>
          <w:b/>
        </w:rPr>
        <w:t>八、</w:t>
      </w:r>
      <w:r>
        <w:rPr>
          <w:sz w:val="21"/>
          <w:b/>
        </w:rPr>
        <w:t xml:space="preserve">  </w:t>
      </w:r>
      <w:r>
        <w:rPr>
          <w:sz w:val="24"/>
          <w:b/>
        </w:rPr>
        <w:t>技术服务</w:t>
      </w:r>
    </w:p>
    <w:p>
      <w:pPr>
        <w:pStyle w:val="null3"/>
        <w:jc w:val="left"/>
      </w:pPr>
      <w:r>
        <w:rPr>
          <w:sz w:val="24"/>
        </w:rPr>
        <w:t xml:space="preserve">8.1 </w:t>
      </w:r>
      <w:r>
        <w:rPr>
          <w:sz w:val="24"/>
        </w:rPr>
        <w:t>乙方应按照合同要求期限内安排人员到甲方指定地点配合工作。如驻场人员能力达不到甲方要求，甲方有权要求更换项目驻场人员。</w:t>
      </w:r>
    </w:p>
    <w:p>
      <w:pPr>
        <w:pStyle w:val="null3"/>
        <w:jc w:val="left"/>
      </w:pPr>
      <w:r>
        <w:rPr>
          <w:sz w:val="24"/>
        </w:rPr>
        <w:t xml:space="preserve">8.2 </w:t>
      </w:r>
      <w:r>
        <w:rPr>
          <w:sz w:val="24"/>
        </w:rPr>
        <w:t>乙方按甲方提供的合同执行进度计划，再配合甲方及有关单位，以此做好合同执行进度上的配合工作。</w:t>
      </w:r>
    </w:p>
    <w:p>
      <w:pPr>
        <w:pStyle w:val="null3"/>
        <w:jc w:val="left"/>
      </w:pPr>
      <w:r>
        <w:rPr>
          <w:sz w:val="24"/>
        </w:rPr>
        <w:t xml:space="preserve">8.3 </w:t>
      </w:r>
      <w:r>
        <w:rPr>
          <w:sz w:val="24"/>
        </w:rPr>
        <w:t>在项目的建设和实施过程中，乙方应遵守甲方《广东医科大学附属医院信息化项目建设管理制度》内相关制度的考核，如有监理单位，则要接受甲方指定的监理单位的监督和考核。</w:t>
      </w:r>
    </w:p>
    <w:p>
      <w:pPr>
        <w:pStyle w:val="null3"/>
        <w:jc w:val="left"/>
      </w:pPr>
      <w:r>
        <w:rPr>
          <w:sz w:val="24"/>
        </w:rPr>
        <w:t xml:space="preserve">8.4 </w:t>
      </w:r>
      <w:r>
        <w:rPr>
          <w:sz w:val="24"/>
        </w:rPr>
        <w:t>乙方在货物开箱检验阶段必须派遣对货物熟悉的人员主导开箱检验工作，确保设备开箱检验的通过率。</w:t>
      </w:r>
    </w:p>
    <w:p>
      <w:pPr>
        <w:pStyle w:val="null3"/>
        <w:jc w:val="left"/>
      </w:pPr>
      <w:r>
        <w:rPr>
          <w:sz w:val="24"/>
        </w:rPr>
        <w:t xml:space="preserve">8.5 </w:t>
      </w:r>
      <w:r>
        <w:rPr>
          <w:sz w:val="24"/>
        </w:rPr>
        <w:t>乙方在项目实施阶段需要提供与响应文件相同资质和经验的项目人员，如项目人员有调整，需要提出书面的人员变更申请，并经过甲方和监理方（如有）同意后才能更换，且保证更换的人员资质和经验大于或等于原响应文件的要求。</w:t>
      </w:r>
    </w:p>
    <w:p>
      <w:pPr>
        <w:pStyle w:val="null3"/>
        <w:jc w:val="left"/>
      </w:pPr>
      <w:r>
        <w:rPr>
          <w:sz w:val="24"/>
          <w:b/>
        </w:rPr>
        <w:t>九、</w:t>
      </w:r>
      <w:r>
        <w:rPr>
          <w:sz w:val="21"/>
          <w:b/>
        </w:rPr>
        <w:t xml:space="preserve">  </w:t>
      </w:r>
      <w:r>
        <w:rPr>
          <w:sz w:val="24"/>
          <w:b/>
        </w:rPr>
        <w:t>不可抗力</w:t>
      </w:r>
    </w:p>
    <w:p>
      <w:pPr>
        <w:pStyle w:val="null3"/>
        <w:jc w:val="left"/>
      </w:pPr>
      <w:r>
        <w:rPr>
          <w:sz w:val="24"/>
        </w:rPr>
        <w:t xml:space="preserve">9.1 </w:t>
      </w:r>
      <w:r>
        <w:rPr>
          <w:sz w:val="24"/>
        </w:rPr>
        <w:t>不可抗力指合同订立时不能预见、不能避免且不能克服的客观情况，包括台风、地震、洪水等。</w:t>
      </w:r>
    </w:p>
    <w:p>
      <w:pPr>
        <w:pStyle w:val="null3"/>
        <w:jc w:val="left"/>
      </w:pPr>
      <w:r>
        <w:rPr>
          <w:sz w:val="24"/>
        </w:rPr>
        <w:t xml:space="preserve">9.2 </w:t>
      </w:r>
      <w:r>
        <w:rPr>
          <w:sz w:val="24"/>
        </w:rPr>
        <w:t>签约双方中任何一方由于不可抗力影响合同执行时，发生不可抗力一方应在合理时间内尽快将事故通知另一方。在此情况下，乙方仍然有责任采取必要的措施加速供货，双方应通过友好协商尽快解决本合同的执行问题。</w:t>
      </w:r>
    </w:p>
    <w:p>
      <w:pPr>
        <w:pStyle w:val="null3"/>
        <w:jc w:val="left"/>
      </w:pPr>
      <w:r>
        <w:rPr>
          <w:sz w:val="24"/>
          <w:b/>
        </w:rPr>
        <w:t>十、</w:t>
      </w:r>
      <w:r>
        <w:rPr>
          <w:sz w:val="21"/>
          <w:b/>
        </w:rPr>
        <w:t xml:space="preserve">  </w:t>
      </w:r>
      <w:r>
        <w:rPr>
          <w:sz w:val="24"/>
          <w:b/>
        </w:rPr>
        <w:t>索赔</w:t>
      </w:r>
    </w:p>
    <w:p>
      <w:pPr>
        <w:pStyle w:val="null3"/>
        <w:jc w:val="left"/>
      </w:pPr>
      <w:r>
        <w:rPr>
          <w:sz w:val="24"/>
        </w:rPr>
        <w:t xml:space="preserve">10.1 </w:t>
      </w:r>
      <w:r>
        <w:rPr>
          <w:sz w:val="24"/>
        </w:rPr>
        <w:t>如有异议，甲方有权根据相关有资质的质检部门的检验结果向乙方提出索赔。</w:t>
      </w:r>
    </w:p>
    <w:p>
      <w:pPr>
        <w:pStyle w:val="null3"/>
        <w:jc w:val="left"/>
      </w:pPr>
      <w:r>
        <w:rPr>
          <w:sz w:val="24"/>
        </w:rPr>
        <w:t xml:space="preserve">10.2 </w:t>
      </w:r>
      <w:r>
        <w:rPr>
          <w:sz w:val="24"/>
        </w:rPr>
        <w:t>在合同执行期间，如果乙方对甲方提出的索赔或差异（指合同实际履行情况与合同约定存在的差异）要求负有责任，乙方应按照甲方同意的下列一种或多种方式解决索赔事宜：</w:t>
      </w:r>
    </w:p>
    <w:p>
      <w:pPr>
        <w:pStyle w:val="null3"/>
        <w:jc w:val="left"/>
      </w:pPr>
      <w:r>
        <w:rPr>
          <w:sz w:val="24"/>
        </w:rPr>
        <w:t xml:space="preserve">10.2.1 </w:t>
      </w:r>
      <w:r>
        <w:rPr>
          <w:sz w:val="24"/>
        </w:rPr>
        <w:t>乙方同意退货，并按合同规定的同种货币将货款退还给甲方，并承担由此造成甲方产生的一切损失和费用。</w:t>
      </w:r>
    </w:p>
    <w:p>
      <w:pPr>
        <w:pStyle w:val="null3"/>
        <w:jc w:val="left"/>
      </w:pPr>
      <w:r>
        <w:rPr>
          <w:sz w:val="24"/>
        </w:rPr>
        <w:t xml:space="preserve">10.2.2 </w:t>
      </w:r>
      <w:r>
        <w:rPr>
          <w:sz w:val="24"/>
        </w:rPr>
        <w:t>根据货物低劣程度、损坏程度以及甲方所遭受损失的数额甲乙双方商定降低货物的价格。</w:t>
      </w:r>
    </w:p>
    <w:p>
      <w:pPr>
        <w:pStyle w:val="null3"/>
        <w:jc w:val="left"/>
      </w:pPr>
      <w:r>
        <w:rPr>
          <w:sz w:val="24"/>
        </w:rPr>
        <w:t xml:space="preserve">10.2.3 </w:t>
      </w:r>
      <w:r>
        <w:rPr>
          <w:sz w:val="24"/>
        </w:rPr>
        <w:t>在不改变合同价款的情况下，用符合或高于合同约定的规格、质量和性能、权属等要求的新零件、部件或货物来更换有缺陷的部分或修补缺陷的部分，乙方应承担一切费用和风险并负担甲方所发生的一切直接费用。同时，相应延长保修期。</w:t>
      </w:r>
    </w:p>
    <w:p>
      <w:pPr>
        <w:pStyle w:val="null3"/>
        <w:jc w:val="left"/>
      </w:pPr>
      <w:r>
        <w:rPr>
          <w:sz w:val="24"/>
        </w:rPr>
        <w:t xml:space="preserve">10.3 </w:t>
      </w:r>
      <w:r>
        <w:rPr>
          <w:sz w:val="24"/>
        </w:rPr>
        <w:t>如果在甲方发出索赔通知后</w:t>
      </w:r>
      <w:r>
        <w:rPr>
          <w:sz w:val="24"/>
        </w:rPr>
        <w:t>15</w:t>
      </w:r>
      <w:r>
        <w:rPr>
          <w:sz w:val="24"/>
        </w:rPr>
        <w:t>天内，乙方未作书面答复，上述索赔应视为已被乙方接受。甲方将从合同款项中扣回索赔金额。如果这些金额不足以补偿索赔金额，乙方应对不足部分金额予以补偿。</w:t>
      </w:r>
    </w:p>
    <w:p>
      <w:pPr>
        <w:pStyle w:val="null3"/>
        <w:jc w:val="left"/>
      </w:pPr>
      <w:r>
        <w:rPr>
          <w:sz w:val="24"/>
        </w:rPr>
        <w:t>10.4</w:t>
      </w:r>
      <w:r>
        <w:rPr>
          <w:sz w:val="24"/>
        </w:rPr>
        <w:t>双方承担因其自身原因而导致项目延期的责任和费用。如因乙方原因造成项目出现严重故障并造成重大事故的，甲方有权终止合同，并向乙方索赔合同总额</w:t>
      </w:r>
      <w:r>
        <w:rPr>
          <w:sz w:val="24"/>
        </w:rPr>
        <w:t>20%</w:t>
      </w:r>
      <w:r>
        <w:rPr>
          <w:sz w:val="24"/>
        </w:rPr>
        <w:t>罚金，同时要求乙方另行承担由此为甲方造成的直接和间接损失；如因甲方原因出现事故，则由甲方承担相应责任和费用。</w:t>
      </w:r>
    </w:p>
    <w:p>
      <w:pPr>
        <w:pStyle w:val="null3"/>
        <w:jc w:val="left"/>
      </w:pPr>
      <w:r>
        <w:rPr>
          <w:sz w:val="24"/>
        </w:rPr>
        <w:t>10.5</w:t>
      </w:r>
      <w:r>
        <w:rPr>
          <w:sz w:val="24"/>
        </w:rPr>
        <w:t>如因客观原因导致工期延误，经各方共同协商并达成一致后，双方无须为此负责；项目工期如需调整必须在双方协商同意并出具《项目延期申请表》后方可生效。</w:t>
      </w:r>
    </w:p>
    <w:p>
      <w:pPr>
        <w:pStyle w:val="null3"/>
        <w:jc w:val="left"/>
      </w:pPr>
      <w:r>
        <w:rPr>
          <w:sz w:val="24"/>
          <w:b/>
        </w:rPr>
        <w:t>十一、</w:t>
      </w:r>
      <w:r>
        <w:rPr>
          <w:sz w:val="21"/>
          <w:b/>
        </w:rPr>
        <w:t xml:space="preserve">    </w:t>
      </w:r>
      <w:r>
        <w:rPr>
          <w:sz w:val="24"/>
          <w:b/>
        </w:rPr>
        <w:t>违约责任</w:t>
      </w:r>
    </w:p>
    <w:p>
      <w:pPr>
        <w:pStyle w:val="null3"/>
        <w:jc w:val="left"/>
      </w:pPr>
      <w:r>
        <w:rPr>
          <w:sz w:val="24"/>
        </w:rPr>
        <w:t>11.1</w:t>
      </w:r>
      <w:r>
        <w:rPr>
          <w:sz w:val="24"/>
        </w:rPr>
        <w:t>甲方向本合同乙方账号汇出款项即视为甲方已履行付款义务，在合同履行过程中，因乙方账户的原因（包括但不限于账号被注销、被冻结等）导致乙方无法收取款项的，由乙方承担相应后果。</w:t>
      </w:r>
    </w:p>
    <w:p>
      <w:pPr>
        <w:pStyle w:val="null3"/>
        <w:jc w:val="left"/>
      </w:pPr>
      <w:r>
        <w:rPr>
          <w:sz w:val="24"/>
        </w:rPr>
        <w:t xml:space="preserve">11.2 </w:t>
      </w:r>
      <w:r>
        <w:rPr>
          <w:sz w:val="24"/>
        </w:rPr>
        <w:t>如因乙方原因未能按时交货，每逾期</w:t>
      </w:r>
      <w:r>
        <w:rPr>
          <w:sz w:val="24"/>
        </w:rPr>
        <w:t>1</w:t>
      </w:r>
      <w:r>
        <w:rPr>
          <w:sz w:val="24"/>
        </w:rPr>
        <w:t>天，乙方须向甲方支付合同金额的</w:t>
      </w:r>
      <w:r>
        <w:rPr>
          <w:sz w:val="24"/>
        </w:rPr>
        <w:t>5‰</w:t>
      </w:r>
      <w:r>
        <w:rPr>
          <w:sz w:val="24"/>
        </w:rPr>
        <w:t>的违约金，甲方有权直接从应付给乙方的合同款项中扣除该违约金。若逾期超过【</w:t>
      </w:r>
      <w:r>
        <w:rPr>
          <w:sz w:val="24"/>
        </w:rPr>
        <w:t>15</w:t>
      </w:r>
      <w:r>
        <w:rPr>
          <w:sz w:val="24"/>
        </w:rPr>
        <w:t>】日，甲方还有权单方面解除本合同并要求乙方承担由此为甲方造成的直接和间接损失。</w:t>
      </w:r>
    </w:p>
    <w:p>
      <w:pPr>
        <w:pStyle w:val="null3"/>
        <w:jc w:val="left"/>
      </w:pPr>
      <w:r>
        <w:rPr>
          <w:sz w:val="24"/>
        </w:rPr>
        <w:t xml:space="preserve">11.3 </w:t>
      </w:r>
      <w:r>
        <w:rPr>
          <w:sz w:val="24"/>
        </w:rPr>
        <w:t>乙方交付的货物不符合合同规定的，甲方有权拒收并要求乙方更换，且乙方还须向甲方支付合同金额的</w:t>
      </w:r>
      <w:r>
        <w:rPr>
          <w:sz w:val="24"/>
        </w:rPr>
        <w:t>3%</w:t>
      </w:r>
      <w:r>
        <w:rPr>
          <w:sz w:val="24"/>
        </w:rPr>
        <w:t>的违约金，</w:t>
      </w:r>
      <w:r>
        <w:rPr>
          <w:sz w:val="24"/>
        </w:rPr>
        <w:t>甲方有权直接从应付给乙方的合同款项中扣除该违约金</w:t>
      </w:r>
      <w:r>
        <w:rPr>
          <w:sz w:val="24"/>
        </w:rPr>
        <w:t>。</w:t>
      </w:r>
    </w:p>
    <w:p>
      <w:pPr>
        <w:pStyle w:val="null3"/>
        <w:jc w:val="left"/>
      </w:pPr>
      <w:r>
        <w:rPr>
          <w:sz w:val="24"/>
        </w:rPr>
        <w:t>如果甲方同意更换的，乙方应于收到甲方拒绝收货通知书之日起按本合同约定的期限重新提供符合合同约定的货物，乙方在本合同约定的期限内未能调换的，按逾期交货的违约责任处理。</w:t>
      </w:r>
    </w:p>
    <w:p>
      <w:pPr>
        <w:pStyle w:val="null3"/>
        <w:jc w:val="left"/>
      </w:pPr>
      <w:r>
        <w:rPr>
          <w:sz w:val="24"/>
        </w:rPr>
        <w:t>如果乙方拒绝重新提供货物，或重新提供的货物仍不符合合同规定的，甲方有权拒收货物，视为乙方交付的货物不符合本合同规定，甲方有权解除本合同，且乙方须向甲方支付合同总金额的</w:t>
      </w:r>
      <w:r>
        <w:rPr>
          <w:sz w:val="24"/>
        </w:rPr>
        <w:t>20%</w:t>
      </w:r>
      <w:r>
        <w:rPr>
          <w:sz w:val="24"/>
        </w:rPr>
        <w:t>作为违约金，并保留追究因乙方的违约导致甲方产生的一切经济损失（包括因项目延期期间的可得收益）。</w:t>
      </w:r>
    </w:p>
    <w:p>
      <w:pPr>
        <w:pStyle w:val="null3"/>
        <w:jc w:val="left"/>
      </w:pPr>
      <w:r>
        <w:rPr>
          <w:sz w:val="24"/>
        </w:rPr>
        <w:t xml:space="preserve">11.4 </w:t>
      </w:r>
      <w:r>
        <w:rPr>
          <w:sz w:val="24"/>
        </w:rPr>
        <w:t>甲方无正当理由拒收货物的，甲方向乙方支付合同总金额的</w:t>
      </w:r>
      <w:r>
        <w:rPr>
          <w:sz w:val="24"/>
        </w:rPr>
        <w:t>5%</w:t>
      </w:r>
      <w:r>
        <w:rPr>
          <w:sz w:val="24"/>
        </w:rPr>
        <w:t>的违约金。</w:t>
      </w:r>
    </w:p>
    <w:p>
      <w:pPr>
        <w:pStyle w:val="null3"/>
        <w:jc w:val="left"/>
      </w:pPr>
      <w:r>
        <w:rPr>
          <w:sz w:val="24"/>
        </w:rPr>
        <w:t>11.5</w:t>
      </w:r>
      <w:r>
        <w:rPr>
          <w:sz w:val="24"/>
        </w:rPr>
        <w:t>若乙方未按本合同的约定提供保修服务，甲方有权自行委托第三方提供甲方所需要的技术支持和售后服务，所发生的费用由乙方承担，如因此造成甲方损失的，乙方应承担赔偿责任。</w:t>
      </w:r>
    </w:p>
    <w:p>
      <w:pPr>
        <w:pStyle w:val="null3"/>
        <w:jc w:val="left"/>
      </w:pPr>
      <w:r>
        <w:rPr>
          <w:sz w:val="24"/>
        </w:rPr>
        <w:t xml:space="preserve">11.6 </w:t>
      </w:r>
      <w:r>
        <w:rPr>
          <w:sz w:val="24"/>
        </w:rPr>
        <w:t>甲方如逾期支付，经双方协商后，甲方根据协商结果承担逾期支付相应责任。</w:t>
      </w:r>
    </w:p>
    <w:p>
      <w:pPr>
        <w:pStyle w:val="null3"/>
        <w:jc w:val="left"/>
      </w:pPr>
      <w:r>
        <w:rPr>
          <w:sz w:val="24"/>
        </w:rPr>
        <w:t>11.7</w:t>
      </w:r>
      <w:r>
        <w:rPr>
          <w:sz w:val="24"/>
        </w:rPr>
        <w:t>其他违约情形的责任按《中华人民共和国民法典》及相关法律法规的规定处理。</w:t>
      </w:r>
    </w:p>
    <w:p>
      <w:pPr>
        <w:pStyle w:val="null3"/>
        <w:jc w:val="left"/>
      </w:pPr>
      <w:r>
        <w:rPr>
          <w:sz w:val="24"/>
          <w:b/>
        </w:rPr>
        <w:t>十二、</w:t>
      </w:r>
      <w:r>
        <w:rPr>
          <w:sz w:val="21"/>
          <w:b/>
        </w:rPr>
        <w:t xml:space="preserve">    </w:t>
      </w:r>
      <w:r>
        <w:rPr>
          <w:sz w:val="24"/>
          <w:b/>
        </w:rPr>
        <w:t>合同解除</w:t>
      </w:r>
    </w:p>
    <w:p>
      <w:pPr>
        <w:pStyle w:val="null3"/>
        <w:jc w:val="left"/>
      </w:pPr>
      <w:r>
        <w:rPr>
          <w:sz w:val="24"/>
        </w:rPr>
        <w:t>如果一方严重违反合同，并在收到对方违约通知书之日起</w:t>
      </w:r>
      <w:r>
        <w:rPr>
          <w:sz w:val="24"/>
        </w:rPr>
        <w:t>15</w:t>
      </w:r>
      <w:r>
        <w:rPr>
          <w:sz w:val="24"/>
        </w:rPr>
        <w:t>天内仍未能改正，对方有权立即解除本合同而不构成违约。在此情形下，违约方仍应当赔偿守约方因此遭受的损失，包括但不限于守约方的直接经济损失、间接经济损失、守约方为追究违约责任所发生的律师费、诉讼费、保全费、保函费、鉴定费、差旅费、交通费等。</w:t>
      </w:r>
    </w:p>
    <w:p>
      <w:pPr>
        <w:pStyle w:val="null3"/>
        <w:jc w:val="left"/>
      </w:pPr>
      <w:r>
        <w:rPr>
          <w:sz w:val="24"/>
          <w:b/>
        </w:rPr>
        <w:t>十三、</w:t>
      </w:r>
      <w:r>
        <w:rPr>
          <w:sz w:val="21"/>
          <w:b/>
        </w:rPr>
        <w:t xml:space="preserve">    </w:t>
      </w:r>
      <w:r>
        <w:rPr>
          <w:sz w:val="24"/>
          <w:b/>
        </w:rPr>
        <w:t>争议解决</w:t>
      </w:r>
    </w:p>
    <w:p>
      <w:pPr>
        <w:pStyle w:val="null3"/>
        <w:jc w:val="left"/>
      </w:pPr>
      <w:r>
        <w:rPr>
          <w:sz w:val="24"/>
        </w:rPr>
        <w:t>签约双方在履约中发生争执和分歧，双方应通过友好协商解决；若经协商不能达成协议时，可通过向法院提起诉讼解决；双方同意诉讼管辖法院为甲方住所地人民法院。协商、调解或诉讼期间，除争议条款外，原则上双方应继续执行合同其余部分。</w:t>
      </w:r>
    </w:p>
    <w:p>
      <w:pPr>
        <w:pStyle w:val="null3"/>
        <w:jc w:val="left"/>
      </w:pPr>
      <w:r>
        <w:rPr>
          <w:sz w:val="24"/>
          <w:b/>
        </w:rPr>
        <w:t>十四、</w:t>
      </w:r>
      <w:r>
        <w:rPr>
          <w:sz w:val="21"/>
          <w:b/>
        </w:rPr>
        <w:t xml:space="preserve">    </w:t>
      </w:r>
      <w:r>
        <w:rPr>
          <w:sz w:val="24"/>
          <w:b/>
        </w:rPr>
        <w:t>其他</w:t>
      </w:r>
    </w:p>
    <w:p>
      <w:pPr>
        <w:pStyle w:val="null3"/>
        <w:jc w:val="left"/>
      </w:pPr>
      <w:r>
        <w:rPr>
          <w:sz w:val="24"/>
        </w:rPr>
        <w:t>14.1</w:t>
      </w:r>
      <w:r>
        <w:rPr>
          <w:sz w:val="24"/>
        </w:rPr>
        <w:t>合同签订地：广东省湛江市霞山区人民大道南</w:t>
      </w:r>
      <w:r>
        <w:rPr>
          <w:sz w:val="24"/>
        </w:rPr>
        <w:t>57</w:t>
      </w:r>
      <w:r>
        <w:rPr>
          <w:sz w:val="24"/>
        </w:rPr>
        <w:t>号。</w:t>
      </w:r>
    </w:p>
    <w:p>
      <w:pPr>
        <w:pStyle w:val="null3"/>
        <w:jc w:val="left"/>
      </w:pPr>
      <w:r>
        <w:rPr>
          <w:sz w:val="24"/>
        </w:rPr>
        <w:t>14.2</w:t>
      </w:r>
      <w:r>
        <w:rPr>
          <w:sz w:val="24"/>
        </w:rPr>
        <w:t>本合同正本柒份（每份合同必须双面打印并附上页码，并加盖骑缝章），甲方执伍份，乙方执贰份，具有同等法律效力。</w:t>
      </w:r>
    </w:p>
    <w:p>
      <w:pPr>
        <w:pStyle w:val="null3"/>
        <w:jc w:val="left"/>
      </w:pPr>
      <w:r>
        <w:rPr>
          <w:sz w:val="24"/>
        </w:rPr>
        <w:t>14.3</w:t>
      </w:r>
      <w:r>
        <w:rPr>
          <w:sz w:val="24"/>
        </w:rPr>
        <w:t>本合同自双方法定代表人或授权代表签字并加盖单位公章（或合同专用章）之日起生效。</w:t>
      </w:r>
    </w:p>
    <w:p>
      <w:pPr>
        <w:pStyle w:val="null3"/>
        <w:jc w:val="left"/>
      </w:pPr>
      <w:r>
        <w:rPr>
          <w:sz w:val="24"/>
        </w:rPr>
        <w:t>14.4</w:t>
      </w:r>
      <w:r>
        <w:rPr>
          <w:sz w:val="24"/>
        </w:rPr>
        <w:t>本合同未尽事宜，经双方友好协商可另行签订补充协议。补充条款为本合同不可分割的一部分，与本合同具有同等法律效力，补充条款与本合同不一致的，以补充条款为准。</w:t>
      </w:r>
    </w:p>
    <w:p>
      <w:pPr>
        <w:pStyle w:val="null3"/>
        <w:jc w:val="left"/>
      </w:pPr>
      <w:r>
        <w:rPr>
          <w:sz w:val="24"/>
        </w:rPr>
        <w:t>14.5</w:t>
      </w:r>
      <w:r>
        <w:rPr>
          <w:sz w:val="24"/>
        </w:rPr>
        <w:t>双方确认本协议合同首部及签字页的联系方式为各自有效送达地址和联系方式，对方或法院向该地址送达的文书、文件等均视为有效送达。如一方注册信息（含单位名称、地址、电话、传真号码等）发生变更，应于变更后</w:t>
      </w:r>
      <w:r>
        <w:rPr>
          <w:sz w:val="24"/>
        </w:rPr>
        <w:t>2</w:t>
      </w:r>
      <w:r>
        <w:rPr>
          <w:sz w:val="24"/>
        </w:rPr>
        <w:t>个工作日内书面通知对方，否则违约方应承担相应责任。由于合同一方提供或者确认的送达地址不准确、送达地址变更后未及时依程序履行通知义务、指定接收人拒绝签收等原因而导致的不利后果及产生的法律责任，应当自行承担。</w:t>
      </w:r>
    </w:p>
    <w:p>
      <w:pPr>
        <w:pStyle w:val="null3"/>
        <w:jc w:val="left"/>
      </w:pPr>
      <w:r>
        <w:rPr>
          <w:sz w:val="24"/>
        </w:rPr>
        <w:t>各方授权代表或法定代表人向对方发送的通知、文件、资料等均视为各自代理的法人的真实意思表示，即视为法人的行为。</w:t>
      </w:r>
    </w:p>
    <w:p>
      <w:pPr>
        <w:pStyle w:val="null3"/>
        <w:jc w:val="left"/>
      </w:pPr>
      <w:r>
        <w:rPr>
          <w:sz w:val="24"/>
        </w:rPr>
        <w:t>14.6</w:t>
      </w:r>
      <w:r>
        <w:rPr>
          <w:sz w:val="24"/>
        </w:rPr>
        <w:t>合同附件：</w:t>
      </w:r>
    </w:p>
    <w:p>
      <w:pPr>
        <w:pStyle w:val="null3"/>
        <w:jc w:val="left"/>
      </w:pPr>
      <w:r>
        <w:rPr>
          <w:sz w:val="24"/>
        </w:rPr>
        <w:t>□</w:t>
      </w:r>
      <w:r>
        <w:rPr>
          <w:sz w:val="24"/>
        </w:rPr>
        <w:t xml:space="preserve">14.6.1 </w:t>
      </w:r>
      <w:r>
        <w:rPr>
          <w:sz w:val="24"/>
        </w:rPr>
        <w:t>货物的配置清单（货物型号、参数、功能、数量、质量等应与采购文件、响应文件的内容一致，乙方署名并加盖公章）。</w:t>
      </w:r>
    </w:p>
    <w:p>
      <w:pPr>
        <w:pStyle w:val="null3"/>
        <w:jc w:val="left"/>
      </w:pPr>
      <w:r>
        <w:rPr>
          <w:sz w:val="24"/>
        </w:rPr>
        <w:t>□</w:t>
      </w:r>
      <w:r>
        <w:rPr>
          <w:sz w:val="24"/>
        </w:rPr>
        <w:t xml:space="preserve">14.6.2 </w:t>
      </w:r>
      <w:r>
        <w:rPr>
          <w:sz w:val="24"/>
        </w:rPr>
        <w:t>成交结果通知书（加盖乙方公章）。</w:t>
      </w:r>
    </w:p>
    <w:p>
      <w:pPr>
        <w:pStyle w:val="null3"/>
        <w:jc w:val="left"/>
      </w:pPr>
      <w:r>
        <w:rPr>
          <w:sz w:val="24"/>
        </w:rPr>
        <w:t>□</w:t>
      </w:r>
      <w:r>
        <w:rPr>
          <w:sz w:val="24"/>
        </w:rPr>
        <w:t xml:space="preserve">14.6.3 </w:t>
      </w:r>
      <w:r>
        <w:rPr>
          <w:sz w:val="24"/>
        </w:rPr>
        <w:t>售后服务承诺（加盖乙方公章）。</w:t>
      </w:r>
    </w:p>
    <w:p>
      <w:pPr>
        <w:pStyle w:val="null3"/>
        <w:jc w:val="left"/>
      </w:pPr>
      <w:r>
        <w:rPr>
          <w:sz w:val="24"/>
        </w:rPr>
        <w:t>□</w:t>
      </w:r>
      <w:r>
        <w:rPr>
          <w:sz w:val="24"/>
        </w:rPr>
        <w:t xml:space="preserve">14.6.4 </w:t>
      </w:r>
      <w:r>
        <w:rPr>
          <w:sz w:val="24"/>
        </w:rPr>
        <w:t>其他：。</w:t>
      </w:r>
    </w:p>
    <w:p>
      <w:pPr>
        <w:pStyle w:val="null3"/>
        <w:jc w:val="left"/>
      </w:pPr>
      <w:r>
        <w:rPr>
          <w:sz w:val="24"/>
          <w:b/>
        </w:rPr>
        <w:t>（以下无条款）</w:t>
      </w:r>
    </w:p>
    <w:tbl>
      <w:tblPr>
        <w:tblW w:w="0" w:type="auto"/>
        <w:tblBorders>
          <w:top w:val="none" w:color="000000" w:sz="4"/>
          <w:left w:val="none" w:color="000000" w:sz="4"/>
          <w:bottom w:val="none" w:color="000000" w:sz="4"/>
          <w:right w:val="none" w:color="000000" w:sz="4"/>
          <w:insideH w:val="none"/>
          <w:insideV w:val="none"/>
        </w:tblBorders>
      </w:tblPr>
      <w:tblGrid>
        <w:gridCol w:w="4140"/>
        <w:gridCol w:w="4166"/>
      </w:tblGrid>
      <w:tr>
        <w:tc>
          <w:tcPr>
            <w:tcW w:type="dxa" w:w="4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甲方（盖章）：</w:t>
            </w:r>
            <w:r>
              <w:rPr>
                <w:sz w:val="24"/>
              </w:rPr>
              <w:t>广东医科大学附属医院</w:t>
            </w:r>
          </w:p>
        </w:tc>
        <w:tc>
          <w:tcPr>
            <w:tcW w:type="dxa" w:w="4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乙方（盖章）：</w:t>
            </w:r>
          </w:p>
        </w:tc>
      </w:tr>
      <w:tr>
        <w:tc>
          <w:tcPr>
            <w:tcW w:type="dxa" w:w="41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4"/>
                <w:b/>
              </w:rPr>
              <w:t>地址：</w:t>
            </w:r>
            <w:r>
              <w:rPr>
                <w:sz w:val="24"/>
              </w:rPr>
              <w:t>广东省湛江市霞山区人民大道南</w:t>
            </w:r>
            <w:r>
              <w:rPr>
                <w:sz w:val="24"/>
              </w:rPr>
              <w:t>57</w:t>
            </w:r>
            <w:r>
              <w:rPr>
                <w:sz w:val="24"/>
              </w:rPr>
              <w:t>号</w:t>
            </w:r>
          </w:p>
          <w:p>
            <w:pPr>
              <w:pStyle w:val="null3"/>
              <w:jc w:val="left"/>
            </w:pPr>
            <w:r>
              <w:rPr>
                <w:sz w:val="24"/>
                <w:b/>
              </w:rPr>
              <w:t>邮编：</w:t>
            </w:r>
            <w:r>
              <w:rPr>
                <w:sz w:val="24"/>
              </w:rPr>
              <w:t>524001</w:t>
            </w:r>
          </w:p>
          <w:p>
            <w:pPr>
              <w:pStyle w:val="null3"/>
              <w:jc w:val="left"/>
            </w:pPr>
            <w:r>
              <w:rPr>
                <w:sz w:val="24"/>
                <w:b/>
              </w:rPr>
              <w:t>电话：</w:t>
            </w:r>
            <w:r>
              <w:rPr>
                <w:sz w:val="24"/>
                <w:b/>
              </w:rPr>
              <w:t>07592387575</w:t>
            </w:r>
          </w:p>
        </w:tc>
        <w:tc>
          <w:tcPr>
            <w:tcW w:type="dxa" w:w="4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地址：</w:t>
            </w:r>
          </w:p>
          <w:p>
            <w:pPr>
              <w:pStyle w:val="null3"/>
              <w:jc w:val="left"/>
            </w:pPr>
            <w:r>
              <w:rPr>
                <w:sz w:val="24"/>
                <w:b/>
              </w:rPr>
              <w:t>邮编：</w:t>
            </w:r>
          </w:p>
          <w:p>
            <w:pPr>
              <w:pStyle w:val="null3"/>
              <w:jc w:val="left"/>
            </w:pPr>
            <w:r>
              <w:rPr>
                <w:sz w:val="24"/>
                <w:b/>
              </w:rPr>
              <w:t>电话：</w:t>
            </w:r>
          </w:p>
          <w:p>
            <w:pPr>
              <w:pStyle w:val="null3"/>
              <w:jc w:val="left"/>
            </w:pPr>
            <w:r>
              <w:rPr>
                <w:sz w:val="24"/>
                <w:b/>
              </w:rPr>
              <w:t>电子邮箱：</w:t>
            </w:r>
          </w:p>
        </w:tc>
      </w:tr>
      <w:tr>
        <w:tc>
          <w:tcPr>
            <w:tcW w:type="dxa" w:w="4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法定代表人</w:t>
            </w:r>
          </w:p>
          <w:p>
            <w:pPr>
              <w:pStyle w:val="null3"/>
              <w:jc w:val="left"/>
            </w:pPr>
            <w:r>
              <w:rPr>
                <w:sz w:val="24"/>
                <w:b/>
              </w:rPr>
              <w:t>或授权代表（签字</w:t>
            </w:r>
            <w:r>
              <w:rPr>
                <w:sz w:val="24"/>
                <w:b/>
              </w:rPr>
              <w:t>/</w:t>
            </w:r>
            <w:r>
              <w:rPr>
                <w:sz w:val="24"/>
                <w:b/>
              </w:rPr>
              <w:t>签章）：</w:t>
            </w:r>
          </w:p>
        </w:tc>
        <w:tc>
          <w:tcPr>
            <w:tcW w:type="dxa" w:w="4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法定代表人</w:t>
            </w:r>
          </w:p>
          <w:p>
            <w:pPr>
              <w:pStyle w:val="null3"/>
              <w:jc w:val="left"/>
            </w:pPr>
            <w:r>
              <w:rPr>
                <w:sz w:val="24"/>
                <w:b/>
              </w:rPr>
              <w:t>或授权代表（签字</w:t>
            </w:r>
            <w:r>
              <w:rPr>
                <w:sz w:val="24"/>
                <w:b/>
              </w:rPr>
              <w:t>/</w:t>
            </w:r>
            <w:r>
              <w:rPr>
                <w:sz w:val="24"/>
                <w:b/>
              </w:rPr>
              <w:t>签章）：</w:t>
            </w:r>
          </w:p>
        </w:tc>
      </w:tr>
      <w:tr>
        <w:tc>
          <w:tcPr>
            <w:tcW w:type="dxa" w:w="4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签订日期：</w:t>
            </w:r>
            <w:r>
              <w:rPr>
                <w:sz w:val="21"/>
              </w:rPr>
              <w:t xml:space="preserve">                </w:t>
            </w:r>
            <w:r>
              <w:rPr>
                <w:sz w:val="24"/>
              </w:rPr>
              <w:t>年</w:t>
            </w:r>
            <w:r>
              <w:rPr>
                <w:sz w:val="21"/>
              </w:rPr>
              <w:t xml:space="preserve">   </w:t>
            </w:r>
            <w:r>
              <w:rPr>
                <w:sz w:val="24"/>
              </w:rPr>
              <w:t>月</w:t>
            </w:r>
            <w:r>
              <w:rPr>
                <w:sz w:val="21"/>
              </w:rPr>
              <w:t xml:space="preserve">   </w:t>
            </w:r>
            <w:r>
              <w:rPr>
                <w:sz w:val="24"/>
              </w:rPr>
              <w:t>日</w:t>
            </w:r>
          </w:p>
        </w:tc>
        <w:tc>
          <w:tcPr>
            <w:tcW w:type="dxa" w:w="4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签订日期：</w:t>
            </w:r>
            <w:r>
              <w:rPr>
                <w:sz w:val="21"/>
              </w:rPr>
              <w:t xml:space="preserve">                  </w:t>
            </w:r>
            <w:r>
              <w:rPr>
                <w:sz w:val="24"/>
              </w:rPr>
              <w:t>年</w:t>
            </w:r>
            <w:r>
              <w:rPr>
                <w:sz w:val="21"/>
              </w:rPr>
              <w:t xml:space="preserve">   </w:t>
            </w:r>
            <w:r>
              <w:rPr>
                <w:sz w:val="24"/>
              </w:rPr>
              <w:t>月</w:t>
            </w:r>
            <w:r>
              <w:rPr>
                <w:sz w:val="21"/>
              </w:rPr>
              <w:t xml:space="preserve">   </w:t>
            </w:r>
            <w:r>
              <w:rPr>
                <w:sz w:val="24"/>
              </w:rPr>
              <w:t>日</w:t>
            </w:r>
          </w:p>
        </w:tc>
      </w:tr>
    </w:tbl>
    <w:p>
      <w:pPr>
        <w:pStyle w:val="null3"/>
        <w:jc w:val="left"/>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440001-2026-21909</w:t>
      </w:r>
    </w:p>
    <w:p>
      <w:pPr>
        <w:pStyle w:val="null3"/>
        <w:jc w:val="center"/>
        <w:outlineLvl w:val="3"/>
      </w:pPr>
      <w:r>
        <w:rPr>
          <w:sz w:val="24"/>
          <w:b/>
        </w:rPr>
        <w:t>采购项目编号：</w:t>
      </w:r>
      <w:r>
        <w:rPr>
          <w:sz w:val="24"/>
          <w:b/>
        </w:rPr>
        <w:t>GPCGD263174HG052F</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广东省政府采购中心</w:t>
      </w:r>
    </w:p>
    <w:p>
      <w:pPr>
        <w:pStyle w:val="null3"/>
        <w:ind w:firstLine="480"/>
      </w:pPr>
      <w:r>
        <w:rPr/>
        <w:t xml:space="preserve"> 你方组织的</w:t>
      </w:r>
      <w:r>
        <w:rPr>
          <w:u w:val="single"/>
        </w:rPr>
        <w:t>“</w:t>
      </w:r>
      <w:r>
        <w:rPr>
          <w:u w:val="single"/>
        </w:rPr>
        <w:t>广东医科大学附属医院海东院区中心机房OLT设备板卡扩容及配套服务</w:t>
      </w:r>
      <w:r>
        <w:rPr>
          <w:u w:val="single"/>
        </w:rPr>
        <w:t>”</w:t>
      </w:r>
      <w:r>
        <w:rPr/>
        <w:t>项目的招标[采购项目编号为：</w:t>
      </w:r>
      <w:r>
        <w:rPr>
          <w:u w:val="single"/>
        </w:rPr>
        <w:t>GPCGD263174HG052F</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广东医科大学附属医院海东院区中心机房OLT设备板卡扩容及配套服务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广东医科大学附属医院海东院区中心机房OLT设备板卡扩容及配套服务</w:t>
      </w:r>
      <w:r>
        <w:rPr/>
        <w:t>”项目采购[采购项目编号为</w:t>
      </w:r>
      <w:r>
        <w:rPr/>
        <w:t>GPCGD263174HG052F</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广东医科大学附属医院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广东省政府采购中心</w:t>
      </w:r>
    </w:p>
    <w:p>
      <w:pPr>
        <w:pStyle w:val="null3"/>
        <w:ind w:firstLine="480"/>
      </w:pPr>
      <w:r>
        <w:rPr/>
        <w:t xml:space="preserve"> 如果我方在贵采购代理机构组织的</w:t>
      </w:r>
      <w:r>
        <w:rPr/>
        <w:t>广东医科大学附属医院海东院区中心机房OLT设备板卡扩容及配套服务</w:t>
      </w:r>
      <w:r>
        <w:rPr/>
        <w:t>招标中获中标（采购项目编号：</w:t>
      </w:r>
      <w:r>
        <w:rPr/>
        <w:t>GPCGD263174HG052F</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广东省政府采购中心</w:t>
      </w:r>
    </w:p>
    <w:p>
      <w:pPr>
        <w:pStyle w:val="null3"/>
        <w:ind w:firstLine="480"/>
      </w:pPr>
      <w:r>
        <w:rPr/>
        <w:t>我单位已登记并准备参与“</w:t>
      </w:r>
      <w:r>
        <w:rPr/>
        <w:t>广东医科大学附属医院海东院区中心机房OLT设备板卡扩容及配套服务</w:t>
      </w:r>
      <w:r>
        <w:rPr/>
        <w:t>”项目（采购项目编号：</w:t>
      </w:r>
      <w:r>
        <w:rPr/>
        <w:t>GPCGD263174HG052F</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