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2782">
      <w:pPr>
        <w:spacing w:line="1200" w:lineRule="exact"/>
        <w:ind w:right="-241" w:rightChars="-115"/>
        <w:jc w:val="center"/>
        <w:outlineLvl w:val="0"/>
        <w:rPr>
          <w:rFonts w:hint="eastAsia" w:ascii="宋体" w:hAnsi="宋体" w:cs="宋体"/>
          <w:b/>
          <w:bCs/>
          <w:color w:val="auto"/>
          <w:sz w:val="40"/>
          <w:szCs w:val="40"/>
          <w:highlight w:val="none"/>
          <w:u w:val="none"/>
          <w:lang w:val="en-US" w:eastAsia="zh-CN"/>
        </w:rPr>
      </w:pPr>
    </w:p>
    <w:p w14:paraId="15CA4592">
      <w:pPr>
        <w:spacing w:line="1200" w:lineRule="exact"/>
        <w:ind w:right="-241" w:rightChars="-115"/>
        <w:jc w:val="center"/>
        <w:outlineLvl w:val="0"/>
        <w:rPr>
          <w:rFonts w:hint="eastAsia" w:ascii="宋体" w:hAnsi="宋体" w:eastAsia="宋体" w:cs="宋体"/>
          <w:color w:val="auto"/>
          <w:sz w:val="40"/>
          <w:szCs w:val="40"/>
          <w:highlight w:val="none"/>
          <w:u w:val="none"/>
          <w:lang w:val="en-US" w:eastAsia="zh-CN"/>
        </w:rPr>
      </w:pPr>
      <w:r>
        <w:rPr>
          <w:rFonts w:hint="eastAsia" w:ascii="宋体" w:hAnsi="宋体" w:cs="宋体"/>
          <w:b/>
          <w:bCs/>
          <w:color w:val="auto"/>
          <w:sz w:val="40"/>
          <w:szCs w:val="40"/>
          <w:highlight w:val="none"/>
          <w:u w:val="none"/>
          <w:lang w:val="en-US" w:eastAsia="zh-CN"/>
        </w:rPr>
        <w:t>2026年衢江区卫生健康局机房改造建设项目</w:t>
      </w:r>
    </w:p>
    <w:p w14:paraId="4CB75257">
      <w:pPr>
        <w:pStyle w:val="11"/>
        <w:ind w:firstLine="210"/>
        <w:rPr>
          <w:rFonts w:hint="eastAsia" w:ascii="宋体" w:hAnsi="宋体" w:eastAsia="宋体" w:cs="宋体"/>
          <w:color w:val="auto"/>
          <w:highlight w:val="none"/>
        </w:rPr>
      </w:pPr>
    </w:p>
    <w:p w14:paraId="117ACDBC">
      <w:pPr>
        <w:pStyle w:val="11"/>
        <w:ind w:firstLine="210"/>
        <w:rPr>
          <w:rFonts w:hint="eastAsia" w:ascii="宋体" w:hAnsi="宋体" w:eastAsia="宋体" w:cs="宋体"/>
          <w:color w:val="auto"/>
          <w:highlight w:val="none"/>
        </w:rPr>
      </w:pPr>
    </w:p>
    <w:p w14:paraId="05839043">
      <w:pPr>
        <w:rPr>
          <w:rFonts w:hint="eastAsia" w:ascii="宋体" w:hAnsi="宋体" w:eastAsia="宋体" w:cs="宋体"/>
          <w:color w:val="auto"/>
          <w:highlight w:val="none"/>
        </w:rPr>
      </w:pPr>
    </w:p>
    <w:p w14:paraId="684AFA07">
      <w:pPr>
        <w:pStyle w:val="11"/>
        <w:ind w:left="0" w:leftChars="0" w:firstLine="0" w:firstLineChars="0"/>
        <w:jc w:val="center"/>
        <w:rPr>
          <w:rFonts w:hint="eastAsia" w:ascii="宋体" w:hAnsi="宋体" w:eastAsia="宋体" w:cs="宋体"/>
          <w:color w:val="auto"/>
          <w:highlight w:val="none"/>
        </w:rPr>
      </w:pPr>
      <w:r>
        <w:rPr>
          <w:rFonts w:hint="eastAsia" w:ascii="仿宋" w:hAnsi="仿宋" w:eastAsia="仿宋" w:cs="仿宋"/>
          <w:color w:val="auto"/>
          <w:highlight w:val="none"/>
        </w:rPr>
        <w:drawing>
          <wp:inline distT="0" distB="0" distL="114300" distR="114300">
            <wp:extent cx="2607945" cy="2597150"/>
            <wp:effectExtent l="0" t="0" r="1905"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607945" cy="2597150"/>
                    </a:xfrm>
                    <a:prstGeom prst="rect">
                      <a:avLst/>
                    </a:prstGeom>
                    <a:noFill/>
                    <a:ln>
                      <a:noFill/>
                    </a:ln>
                  </pic:spPr>
                </pic:pic>
              </a:graphicData>
            </a:graphic>
          </wp:inline>
        </w:drawing>
      </w:r>
    </w:p>
    <w:p w14:paraId="50551B39">
      <w:pPr>
        <w:rPr>
          <w:rFonts w:hint="eastAsia" w:ascii="宋体" w:hAnsi="宋体" w:eastAsia="宋体" w:cs="宋体"/>
          <w:color w:val="auto"/>
          <w:highlight w:val="none"/>
        </w:rPr>
      </w:pPr>
    </w:p>
    <w:p w14:paraId="7EDB3FC1">
      <w:pPr>
        <w:rPr>
          <w:rFonts w:hint="eastAsia" w:ascii="宋体" w:hAnsi="宋体" w:eastAsia="宋体" w:cs="宋体"/>
          <w:color w:val="auto"/>
          <w:highlight w:val="none"/>
        </w:rPr>
      </w:pPr>
    </w:p>
    <w:p w14:paraId="02C19D7C">
      <w:pPr>
        <w:snapToGrid w:val="0"/>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采购</w:t>
      </w:r>
      <w:r>
        <w:rPr>
          <w:rFonts w:hint="eastAsia" w:ascii="宋体" w:hAnsi="宋体" w:eastAsia="宋体" w:cs="宋体"/>
          <w:b/>
          <w:bCs/>
          <w:color w:val="auto"/>
          <w:sz w:val="52"/>
          <w:szCs w:val="52"/>
          <w:highlight w:val="none"/>
        </w:rPr>
        <w:t>文件</w:t>
      </w:r>
    </w:p>
    <w:p w14:paraId="455343F7">
      <w:pPr>
        <w:pStyle w:val="11"/>
        <w:ind w:firstLine="210"/>
        <w:rPr>
          <w:rFonts w:hint="eastAsia" w:ascii="宋体" w:hAnsi="宋体" w:eastAsia="宋体" w:cs="宋体"/>
          <w:color w:val="auto"/>
          <w:highlight w:val="none"/>
        </w:rPr>
      </w:pPr>
    </w:p>
    <w:p w14:paraId="03231ABC">
      <w:pPr>
        <w:pStyle w:val="11"/>
        <w:ind w:firstLine="210"/>
        <w:rPr>
          <w:rFonts w:hint="eastAsia" w:ascii="宋体" w:hAnsi="宋体" w:eastAsia="宋体" w:cs="宋体"/>
          <w:color w:val="auto"/>
          <w:highlight w:val="none"/>
        </w:rPr>
      </w:pPr>
    </w:p>
    <w:p w14:paraId="3727A994">
      <w:pPr>
        <w:spacing w:line="360" w:lineRule="auto"/>
        <w:jc w:val="center"/>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lang w:val="en-US" w:eastAsia="zh-CN"/>
        </w:rPr>
        <w:t>采  购  人</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衢州市衢江区人民政府办公室</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（盖章）</w:t>
      </w:r>
    </w:p>
    <w:p w14:paraId="78B4A76D">
      <w:pPr>
        <w:spacing w:line="360" w:lineRule="auto"/>
        <w:jc w:val="both"/>
        <w:rPr>
          <w:rFonts w:hint="eastAsia" w:ascii="宋体" w:hAnsi="宋体" w:eastAsia="宋体" w:cs="宋体"/>
          <w:color w:val="auto"/>
          <w:sz w:val="30"/>
          <w:szCs w:val="30"/>
          <w:highlight w:val="none"/>
        </w:rPr>
      </w:pPr>
    </w:p>
    <w:p w14:paraId="772060E8">
      <w:pPr>
        <w:spacing w:line="360" w:lineRule="auto"/>
        <w:jc w:val="center"/>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lang w:val="en-US" w:eastAsia="zh-CN"/>
        </w:rPr>
        <w:t>采购</w:t>
      </w:r>
      <w:r>
        <w:rPr>
          <w:rFonts w:hint="eastAsia" w:ascii="宋体" w:hAnsi="宋体" w:eastAsia="宋体" w:cs="宋体"/>
          <w:color w:val="auto"/>
          <w:sz w:val="30"/>
          <w:szCs w:val="30"/>
          <w:highlight w:val="none"/>
        </w:rPr>
        <w:t>代理机构：</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浙江天平投资咨询有限公司 </w:t>
      </w:r>
      <w:r>
        <w:rPr>
          <w:rFonts w:hint="eastAsia" w:ascii="宋体" w:hAnsi="宋体" w:eastAsia="宋体" w:cs="宋体"/>
          <w:color w:val="auto"/>
          <w:sz w:val="30"/>
          <w:szCs w:val="30"/>
          <w:highlight w:val="none"/>
          <w:u w:val="single"/>
        </w:rPr>
        <w:t>（盖章）</w:t>
      </w:r>
    </w:p>
    <w:p w14:paraId="101AC20E">
      <w:pPr>
        <w:pStyle w:val="11"/>
        <w:rPr>
          <w:rFonts w:hint="eastAsia"/>
          <w:highlight w:val="none"/>
          <w:lang w:val="en-US" w:eastAsia="zh-CN"/>
        </w:rPr>
      </w:pPr>
    </w:p>
    <w:p w14:paraId="09E77DEC">
      <w:pPr>
        <w:bidi w:val="0"/>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2026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u w:val="none"/>
          <w:lang w:val="en-US" w:eastAsia="zh-CN"/>
        </w:rPr>
        <w:t>5</w:t>
      </w:r>
      <w:r>
        <w:rPr>
          <w:rFonts w:hint="eastAsia" w:ascii="宋体" w:hAnsi="宋体" w:eastAsia="宋体" w:cs="宋体"/>
          <w:color w:val="auto"/>
          <w:sz w:val="32"/>
          <w:szCs w:val="32"/>
          <w:highlight w:val="none"/>
        </w:rPr>
        <w:t>月</w:t>
      </w:r>
    </w:p>
    <w:p w14:paraId="6AB670A5">
      <w:pPr>
        <w:pStyle w:val="10"/>
        <w:ind w:firstLine="640"/>
        <w:rPr>
          <w:rFonts w:hint="eastAsia"/>
          <w:highlight w:val="none"/>
        </w:rPr>
      </w:pPr>
    </w:p>
    <w:p w14:paraId="03627F1C">
      <w:pPr>
        <w:pStyle w:val="11"/>
        <w:rPr>
          <w:rFonts w:hint="eastAsia"/>
          <w:highlight w:val="none"/>
        </w:rPr>
      </w:pPr>
    </w:p>
    <w:sdt>
      <w:sdtPr>
        <w:rPr>
          <w:rFonts w:hint="eastAsia" w:ascii="宋体" w:hAnsi="宋体" w:eastAsia="宋体" w:cs="宋体"/>
          <w:kern w:val="2"/>
          <w:sz w:val="28"/>
          <w:szCs w:val="32"/>
          <w:highlight w:val="none"/>
          <w:lang w:val="en-US" w:eastAsia="zh-CN" w:bidi="ar-SA"/>
        </w:rPr>
        <w:id w:val="147461656"/>
        <w15:color w:val="DBDBDB"/>
        <w:docPartObj>
          <w:docPartGallery w:val="Table of Contents"/>
          <w:docPartUnique/>
        </w:docPartObj>
      </w:sdtPr>
      <w:sdtEndPr>
        <w:rPr>
          <w:rFonts w:hint="eastAsia" w:ascii="宋体" w:hAnsi="宋体" w:eastAsia="宋体" w:cs="宋体"/>
          <w:kern w:val="2"/>
          <w:sz w:val="21"/>
          <w:szCs w:val="22"/>
          <w:highlight w:val="none"/>
          <w:lang w:val="en-US" w:eastAsia="zh-CN" w:bidi="ar-SA"/>
        </w:rPr>
      </w:sdtEndPr>
      <w:sdtContent>
        <w:p w14:paraId="3DB42F2A">
          <w:pPr>
            <w:spacing w:before="0" w:beforeLines="0" w:after="0" w:afterLines="0" w:line="240" w:lineRule="auto"/>
            <w:ind w:left="0" w:leftChars="0" w:right="0" w:rightChars="0" w:firstLine="0" w:firstLineChars="0"/>
            <w:jc w:val="center"/>
            <w:rPr>
              <w:rFonts w:hint="eastAsia" w:ascii="宋体" w:hAnsi="宋体" w:eastAsia="宋体" w:cs="宋体"/>
              <w:sz w:val="28"/>
              <w:szCs w:val="32"/>
              <w:highlight w:val="none"/>
            </w:rPr>
          </w:pPr>
          <w:r>
            <w:rPr>
              <w:rFonts w:hint="eastAsia" w:ascii="宋体" w:hAnsi="宋体" w:eastAsia="宋体" w:cs="宋体"/>
              <w:sz w:val="28"/>
              <w:szCs w:val="32"/>
              <w:highlight w:val="none"/>
            </w:rPr>
            <w:t>目录</w:t>
          </w:r>
        </w:p>
        <w:p w14:paraId="52F4C924">
          <w:pPr>
            <w:pStyle w:val="30"/>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TOC \o "1-1" \h \u </w:instrText>
          </w:r>
          <w:r>
            <w:rPr>
              <w:rFonts w:hint="eastAsia" w:ascii="宋体" w:hAnsi="宋体" w:eastAsia="宋体" w:cs="宋体"/>
              <w:highlight w:val="none"/>
              <w:lang w:eastAsia="zh-CN"/>
            </w:rPr>
            <w:fldChar w:fldCharType="separate"/>
          </w: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_Toc8961 </w:instrText>
          </w:r>
          <w:r>
            <w:rPr>
              <w:rFonts w:hint="eastAsia" w:ascii="宋体" w:hAnsi="宋体" w:eastAsia="宋体" w:cs="宋体"/>
              <w:highlight w:val="none"/>
              <w:lang w:eastAsia="zh-CN"/>
            </w:rPr>
            <w:fldChar w:fldCharType="separate"/>
          </w:r>
          <w:r>
            <w:rPr>
              <w:rFonts w:hint="eastAsia" w:ascii="宋体" w:hAnsi="宋体" w:eastAsia="宋体" w:cs="宋体"/>
              <w:szCs w:val="32"/>
              <w:highlight w:val="none"/>
            </w:rPr>
            <w:t>第一</w:t>
          </w:r>
          <w:r>
            <w:rPr>
              <w:rFonts w:hint="eastAsia" w:ascii="宋体" w:hAnsi="宋体" w:eastAsia="宋体" w:cs="宋体"/>
              <w:szCs w:val="32"/>
              <w:highlight w:val="none"/>
              <w:lang w:val="en-US" w:eastAsia="zh-CN"/>
            </w:rPr>
            <w:t>章</w:t>
          </w:r>
          <w:r>
            <w:rPr>
              <w:rFonts w:hint="eastAsia" w:ascii="宋体" w:hAnsi="宋体" w:eastAsia="宋体" w:cs="宋体"/>
              <w:szCs w:val="32"/>
              <w:highlight w:val="none"/>
            </w:rPr>
            <w:t xml:space="preserve">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_Toc8961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50E3AFA4">
          <w:pPr>
            <w:pStyle w:val="30"/>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_Toc32019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rPr>
            <w:t>第二章  投标须知前附表及投标须知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_Toc32019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10C8C143">
          <w:pPr>
            <w:pStyle w:val="30"/>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_Toc24091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lang w:val="en-US" w:eastAsia="zh-CN"/>
            </w:rPr>
            <w:t xml:space="preserve">第三章 </w:t>
          </w:r>
          <w:r>
            <w:rPr>
              <w:rFonts w:hint="eastAsia" w:ascii="宋体" w:hAnsi="宋体" w:eastAsia="宋体" w:cs="宋体"/>
              <w:szCs w:val="28"/>
              <w:highlight w:val="none"/>
            </w:rPr>
            <w:t>采购内容及要求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_Toc24091 \h </w:instrText>
          </w:r>
          <w:r>
            <w:rPr>
              <w:rFonts w:hint="eastAsia" w:ascii="宋体" w:hAnsi="宋体" w:eastAsia="宋体" w:cs="宋体"/>
              <w:highlight w:val="none"/>
            </w:rPr>
            <w:fldChar w:fldCharType="separate"/>
          </w:r>
          <w:r>
            <w:rPr>
              <w:rFonts w:hint="eastAsia" w:ascii="宋体" w:hAnsi="宋体" w:eastAsia="宋体" w:cs="宋体"/>
              <w:highlight w:val="none"/>
            </w:rPr>
            <w:t>33</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0F44A9F9">
          <w:pPr>
            <w:pStyle w:val="30"/>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_Toc9656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lang w:val="en-US" w:eastAsia="zh-CN"/>
            </w:rPr>
            <w:t>第四章 合同主要条款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_Toc9656 \h </w:instrText>
          </w:r>
          <w:r>
            <w:rPr>
              <w:rFonts w:hint="eastAsia" w:ascii="宋体" w:hAnsi="宋体" w:eastAsia="宋体" w:cs="宋体"/>
              <w:highlight w:val="none"/>
            </w:rPr>
            <w:fldChar w:fldCharType="separate"/>
          </w:r>
          <w:r>
            <w:rPr>
              <w:rFonts w:hint="eastAsia" w:ascii="宋体" w:hAnsi="宋体" w:eastAsia="宋体" w:cs="宋体"/>
              <w:highlight w:val="none"/>
            </w:rPr>
            <w:t>64</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009E9073">
          <w:pPr>
            <w:pStyle w:val="30"/>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_Toc5592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lang w:val="en-US" w:eastAsia="zh-CN"/>
            </w:rPr>
            <w:t>第五章  应提交的有关格式范例</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_Toc5592 \h </w:instrText>
          </w:r>
          <w:r>
            <w:rPr>
              <w:rFonts w:hint="eastAsia" w:ascii="宋体" w:hAnsi="宋体" w:eastAsia="宋体" w:cs="宋体"/>
              <w:highlight w:val="none"/>
            </w:rPr>
            <w:fldChar w:fldCharType="separate"/>
          </w:r>
          <w:r>
            <w:rPr>
              <w:rFonts w:hint="eastAsia" w:ascii="宋体" w:hAnsi="宋体" w:eastAsia="宋体" w:cs="宋体"/>
              <w:highlight w:val="none"/>
            </w:rPr>
            <w:t>72</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638EEA85">
          <w:pPr>
            <w:pStyle w:val="30"/>
            <w:keepNext w:val="0"/>
            <w:keepLines w:val="0"/>
            <w:pageBreakBefore w:val="0"/>
            <w:tabs>
              <w:tab w:val="right" w:leader="dot" w:pos="9638"/>
            </w:tabs>
            <w:kinsoku/>
            <w:wordWrap/>
            <w:overflowPunct/>
            <w:topLinePunct w:val="0"/>
            <w:autoSpaceDE/>
            <w:autoSpaceDN/>
            <w:bidi w:val="0"/>
            <w:adjustRightInd/>
            <w:snapToGrid/>
            <w:spacing w:line="600" w:lineRule="exact"/>
            <w:textAlignment w:val="auto"/>
            <w:rPr>
              <w:rFonts w:hint="eastAsia" w:ascii="宋体" w:hAnsi="宋体" w:eastAsia="宋体" w:cs="宋体"/>
              <w:highlight w:val="none"/>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\l _Toc2416 </w:instrText>
          </w:r>
          <w:r>
            <w:rPr>
              <w:rFonts w:hint="eastAsia" w:ascii="宋体" w:hAnsi="宋体" w:eastAsia="宋体" w:cs="宋体"/>
              <w:highlight w:val="none"/>
              <w:lang w:eastAsia="zh-CN"/>
            </w:rPr>
            <w:fldChar w:fldCharType="separate"/>
          </w:r>
          <w:r>
            <w:rPr>
              <w:rFonts w:hint="eastAsia" w:ascii="宋体" w:hAnsi="宋体" w:eastAsia="宋体" w:cs="宋体"/>
              <w:szCs w:val="28"/>
              <w:highlight w:val="none"/>
              <w:lang w:val="zh-CN" w:eastAsia="zh-CN"/>
            </w:rPr>
            <w:t>第六章</w:t>
          </w:r>
          <w:r>
            <w:rPr>
              <w:rFonts w:hint="eastAsia" w:ascii="宋体" w:hAnsi="宋体" w:eastAsia="宋体" w:cs="宋体"/>
              <w:szCs w:val="28"/>
              <w:highlight w:val="none"/>
              <w:lang w:val="en-US" w:eastAsia="zh-CN"/>
            </w:rPr>
            <w:t xml:space="preserve">  </w:t>
          </w:r>
          <w:r>
            <w:rPr>
              <w:rFonts w:hint="eastAsia" w:ascii="宋体" w:hAnsi="宋体" w:eastAsia="宋体" w:cs="宋体"/>
              <w:szCs w:val="28"/>
              <w:highlight w:val="none"/>
              <w:lang w:val="zh-CN" w:eastAsia="zh-CN"/>
            </w:rPr>
            <w:t>评标办法及开标程序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_Toc2416 \h </w:instrText>
          </w:r>
          <w:r>
            <w:rPr>
              <w:rFonts w:hint="eastAsia" w:ascii="宋体" w:hAnsi="宋体" w:eastAsia="宋体" w:cs="宋体"/>
              <w:highlight w:val="none"/>
            </w:rPr>
            <w:fldChar w:fldCharType="separate"/>
          </w:r>
          <w:r>
            <w:rPr>
              <w:rFonts w:hint="eastAsia" w:ascii="宋体" w:hAnsi="宋体" w:eastAsia="宋体" w:cs="宋体"/>
              <w:highlight w:val="none"/>
            </w:rPr>
            <w:t>97</w:t>
          </w:r>
          <w:r>
            <w:rPr>
              <w:rFonts w:hint="eastAsia" w:ascii="宋体" w:hAnsi="宋体" w:eastAsia="宋体" w:cs="宋体"/>
              <w:highlight w:val="none"/>
            </w:rPr>
            <w:fldChar w:fldCharType="end"/>
          </w:r>
          <w:r>
            <w:rPr>
              <w:rFonts w:hint="eastAsia" w:ascii="宋体" w:hAnsi="宋体" w:eastAsia="宋体" w:cs="宋体"/>
              <w:highlight w:val="none"/>
              <w:lang w:eastAsia="zh-CN"/>
            </w:rPr>
            <w:fldChar w:fldCharType="end"/>
          </w:r>
        </w:p>
        <w:p w14:paraId="79557903">
          <w:pP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eastAsia="zh-CN"/>
            </w:rPr>
            <w:fldChar w:fldCharType="end"/>
          </w:r>
        </w:p>
      </w:sdtContent>
    </w:sdt>
    <w:p w14:paraId="699FF906">
      <w:pPr>
        <w:pStyle w:val="20"/>
        <w:rPr>
          <w:rFonts w:hint="eastAsia" w:ascii="宋体" w:hAnsi="宋体" w:eastAsia="宋体" w:cs="宋体"/>
          <w:highlight w:val="none"/>
          <w:lang w:val="en-US" w:eastAsia="zh-CN"/>
        </w:rPr>
      </w:pPr>
    </w:p>
    <w:p w14:paraId="314274AD">
      <w:pPr>
        <w:pStyle w:val="11"/>
        <w:rPr>
          <w:rFonts w:hint="eastAsia" w:ascii="宋体" w:hAnsi="宋体" w:eastAsia="宋体" w:cs="宋体"/>
          <w:color w:val="auto"/>
          <w:highlight w:val="none"/>
          <w:lang w:eastAsia="zh-CN"/>
        </w:rPr>
      </w:pPr>
    </w:p>
    <w:p w14:paraId="08701D6F">
      <w:pPr>
        <w:rPr>
          <w:rFonts w:hint="eastAsia" w:ascii="宋体" w:hAnsi="宋体" w:eastAsia="宋体" w:cs="宋体"/>
          <w:color w:val="auto"/>
          <w:highlight w:val="none"/>
          <w:lang w:eastAsia="zh-CN"/>
        </w:rPr>
      </w:pPr>
    </w:p>
    <w:p w14:paraId="7E7B19AC">
      <w:pPr>
        <w:pStyle w:val="11"/>
        <w:rPr>
          <w:rFonts w:hint="eastAsia" w:ascii="宋体" w:hAnsi="宋体" w:eastAsia="宋体" w:cs="宋体"/>
          <w:color w:val="auto"/>
          <w:highlight w:val="none"/>
          <w:lang w:eastAsia="zh-CN"/>
        </w:rPr>
      </w:pPr>
    </w:p>
    <w:p w14:paraId="5578F869">
      <w:pPr>
        <w:rPr>
          <w:rFonts w:hint="eastAsia" w:ascii="宋体" w:hAnsi="宋体" w:eastAsia="宋体" w:cs="宋体"/>
          <w:color w:val="auto"/>
          <w:highlight w:val="none"/>
          <w:lang w:eastAsia="zh-CN"/>
        </w:rPr>
      </w:pPr>
    </w:p>
    <w:p w14:paraId="7B04EDE2">
      <w:pPr>
        <w:pStyle w:val="11"/>
        <w:rPr>
          <w:rFonts w:hint="eastAsia" w:ascii="宋体" w:hAnsi="宋体" w:eastAsia="宋体" w:cs="宋体"/>
          <w:color w:val="auto"/>
          <w:highlight w:val="none"/>
          <w:lang w:eastAsia="zh-CN"/>
        </w:rPr>
      </w:pPr>
    </w:p>
    <w:p w14:paraId="436BA288">
      <w:pPr>
        <w:rPr>
          <w:rFonts w:hint="eastAsia" w:ascii="宋体" w:hAnsi="宋体" w:eastAsia="宋体" w:cs="宋体"/>
          <w:color w:val="auto"/>
          <w:highlight w:val="none"/>
          <w:lang w:eastAsia="zh-CN"/>
        </w:rPr>
      </w:pPr>
    </w:p>
    <w:p w14:paraId="135E434E">
      <w:pPr>
        <w:pStyle w:val="11"/>
        <w:rPr>
          <w:rFonts w:hint="eastAsia" w:ascii="宋体" w:hAnsi="宋体" w:eastAsia="宋体" w:cs="宋体"/>
          <w:color w:val="auto"/>
          <w:highlight w:val="none"/>
          <w:lang w:eastAsia="zh-CN"/>
        </w:rPr>
      </w:pPr>
    </w:p>
    <w:p w14:paraId="3B01F442">
      <w:pPr>
        <w:rPr>
          <w:rFonts w:hint="eastAsia" w:ascii="宋体" w:hAnsi="宋体" w:eastAsia="宋体" w:cs="宋体"/>
          <w:color w:val="auto"/>
          <w:highlight w:val="none"/>
          <w:lang w:eastAsia="zh-CN"/>
        </w:rPr>
      </w:pPr>
    </w:p>
    <w:p w14:paraId="4DFAA63D">
      <w:pPr>
        <w:pStyle w:val="11"/>
        <w:rPr>
          <w:rFonts w:hint="eastAsia" w:ascii="宋体" w:hAnsi="宋体" w:eastAsia="宋体" w:cs="宋体"/>
          <w:color w:val="auto"/>
          <w:highlight w:val="none"/>
          <w:lang w:eastAsia="zh-CN"/>
        </w:rPr>
      </w:pPr>
    </w:p>
    <w:p w14:paraId="0B1A90CA">
      <w:pPr>
        <w:rPr>
          <w:rFonts w:hint="eastAsia" w:ascii="宋体" w:hAnsi="宋体" w:eastAsia="宋体" w:cs="宋体"/>
          <w:color w:val="auto"/>
          <w:highlight w:val="none"/>
          <w:lang w:eastAsia="zh-CN"/>
        </w:rPr>
      </w:pPr>
    </w:p>
    <w:p w14:paraId="770BB3D9">
      <w:pPr>
        <w:pStyle w:val="11"/>
        <w:rPr>
          <w:rFonts w:hint="eastAsia" w:ascii="宋体" w:hAnsi="宋体" w:eastAsia="宋体" w:cs="宋体"/>
          <w:color w:val="auto"/>
          <w:highlight w:val="none"/>
          <w:lang w:eastAsia="zh-CN"/>
        </w:rPr>
      </w:pPr>
    </w:p>
    <w:p w14:paraId="6F1571EF">
      <w:pPr>
        <w:rPr>
          <w:rFonts w:hint="eastAsia" w:ascii="宋体" w:hAnsi="宋体" w:eastAsia="宋体" w:cs="宋体"/>
          <w:color w:val="auto"/>
          <w:highlight w:val="none"/>
          <w:lang w:eastAsia="zh-CN"/>
        </w:rPr>
      </w:pPr>
    </w:p>
    <w:p w14:paraId="250B2CFB">
      <w:pPr>
        <w:pStyle w:val="11"/>
        <w:rPr>
          <w:rFonts w:hint="eastAsia" w:ascii="宋体" w:hAnsi="宋体" w:eastAsia="宋体" w:cs="宋体"/>
          <w:color w:val="auto"/>
          <w:highlight w:val="none"/>
          <w:lang w:eastAsia="zh-CN"/>
        </w:rPr>
      </w:pPr>
    </w:p>
    <w:p w14:paraId="40CE7A4C">
      <w:pPr>
        <w:rPr>
          <w:rFonts w:hint="eastAsia" w:ascii="宋体" w:hAnsi="宋体" w:eastAsia="宋体" w:cs="宋体"/>
          <w:color w:val="auto"/>
          <w:highlight w:val="none"/>
          <w:lang w:eastAsia="zh-CN"/>
        </w:rPr>
      </w:pPr>
    </w:p>
    <w:p w14:paraId="5A278479">
      <w:pPr>
        <w:pStyle w:val="11"/>
        <w:rPr>
          <w:rFonts w:hint="eastAsia" w:ascii="宋体" w:hAnsi="宋体" w:eastAsia="宋体" w:cs="宋体"/>
          <w:color w:val="auto"/>
          <w:highlight w:val="none"/>
          <w:lang w:eastAsia="zh-CN"/>
        </w:rPr>
      </w:pPr>
    </w:p>
    <w:p w14:paraId="46405D54">
      <w:pPr>
        <w:rPr>
          <w:rFonts w:hint="eastAsia" w:ascii="宋体" w:hAnsi="宋体" w:eastAsia="宋体" w:cs="宋体"/>
          <w:color w:val="auto"/>
          <w:highlight w:val="none"/>
          <w:lang w:eastAsia="zh-CN"/>
        </w:rPr>
      </w:pPr>
    </w:p>
    <w:p w14:paraId="1B325112">
      <w:pPr>
        <w:pStyle w:val="11"/>
        <w:rPr>
          <w:rFonts w:hint="eastAsia" w:ascii="宋体" w:hAnsi="宋体" w:eastAsia="宋体" w:cs="宋体"/>
          <w:color w:val="auto"/>
          <w:highlight w:val="none"/>
          <w:lang w:eastAsia="zh-CN"/>
        </w:rPr>
      </w:pPr>
    </w:p>
    <w:p w14:paraId="3B9E8053">
      <w:pPr>
        <w:rPr>
          <w:rFonts w:hint="eastAsia" w:ascii="宋体" w:hAnsi="宋体" w:eastAsia="宋体" w:cs="宋体"/>
          <w:color w:val="auto"/>
          <w:highlight w:val="none"/>
          <w:lang w:eastAsia="zh-CN"/>
        </w:rPr>
      </w:pPr>
    </w:p>
    <w:p w14:paraId="5595AA07">
      <w:pPr>
        <w:pStyle w:val="11"/>
        <w:rPr>
          <w:rFonts w:hint="eastAsia" w:ascii="宋体" w:hAnsi="宋体" w:eastAsia="宋体" w:cs="宋体"/>
          <w:color w:val="auto"/>
          <w:highlight w:val="none"/>
          <w:lang w:eastAsia="zh-CN"/>
        </w:rPr>
      </w:pPr>
    </w:p>
    <w:p w14:paraId="14AAFED3">
      <w:pPr>
        <w:rPr>
          <w:rFonts w:hint="eastAsia" w:ascii="宋体" w:hAnsi="宋体" w:eastAsia="宋体" w:cs="宋体"/>
          <w:color w:val="auto"/>
          <w:highlight w:val="none"/>
          <w:lang w:eastAsia="zh-CN"/>
        </w:rPr>
      </w:pPr>
    </w:p>
    <w:p w14:paraId="22CC6165">
      <w:pPr>
        <w:pStyle w:val="11"/>
        <w:rPr>
          <w:rFonts w:hint="eastAsia" w:ascii="宋体" w:hAnsi="宋体" w:eastAsia="宋体" w:cs="宋体"/>
          <w:color w:val="auto"/>
          <w:highlight w:val="none"/>
          <w:lang w:eastAsia="zh-CN"/>
        </w:rPr>
      </w:pPr>
    </w:p>
    <w:p w14:paraId="48C97301">
      <w:pPr>
        <w:rPr>
          <w:rFonts w:hint="eastAsia" w:ascii="宋体" w:hAnsi="宋体" w:eastAsia="宋体" w:cs="宋体"/>
          <w:color w:val="auto"/>
          <w:highlight w:val="none"/>
          <w:lang w:eastAsia="zh-CN"/>
        </w:rPr>
      </w:pPr>
    </w:p>
    <w:p w14:paraId="5D168B56">
      <w:pPr>
        <w:pStyle w:val="11"/>
        <w:ind w:left="0" w:leftChars="0" w:firstLine="0" w:firstLineChars="0"/>
        <w:rPr>
          <w:rFonts w:hint="eastAsia" w:ascii="宋体" w:hAnsi="宋体" w:eastAsia="宋体" w:cs="宋体"/>
          <w:color w:val="auto"/>
          <w:highlight w:val="none"/>
          <w:lang w:eastAsia="zh-CN"/>
        </w:rPr>
      </w:pPr>
    </w:p>
    <w:p w14:paraId="0DDBD091">
      <w:pPr>
        <w:rPr>
          <w:rFonts w:hint="eastAsia" w:ascii="宋体" w:hAnsi="宋体" w:eastAsia="宋体" w:cs="宋体"/>
          <w:highlight w:val="none"/>
          <w:lang w:eastAsia="zh-CN"/>
        </w:rPr>
      </w:pPr>
    </w:p>
    <w:p w14:paraId="4FADABD8">
      <w:pPr>
        <w:pStyle w:val="11"/>
        <w:rPr>
          <w:rFonts w:hint="eastAsia" w:ascii="宋体" w:hAnsi="宋体" w:eastAsia="宋体" w:cs="宋体"/>
          <w:highlight w:val="none"/>
          <w:lang w:eastAsia="zh-CN"/>
        </w:rPr>
      </w:pPr>
    </w:p>
    <w:p w14:paraId="55328764">
      <w:pPr>
        <w:keepNext w:val="0"/>
        <w:keepLines w:val="0"/>
        <w:pageBreakBefore w:val="0"/>
        <w:widowControl w:val="0"/>
        <w:kinsoku/>
        <w:wordWrap/>
        <w:overflowPunct/>
        <w:topLinePunct w:val="0"/>
        <w:autoSpaceDE/>
        <w:autoSpaceDN/>
        <w:bidi w:val="0"/>
        <w:adjustRightInd/>
        <w:spacing w:line="500" w:lineRule="exact"/>
        <w:jc w:val="center"/>
        <w:textAlignment w:val="auto"/>
        <w:outlineLvl w:val="0"/>
        <w:rPr>
          <w:rFonts w:hint="eastAsia" w:ascii="宋体" w:hAnsi="宋体" w:eastAsia="宋体" w:cs="宋体"/>
          <w:b/>
          <w:color w:val="auto"/>
          <w:sz w:val="32"/>
          <w:szCs w:val="32"/>
          <w:highlight w:val="none"/>
        </w:rPr>
      </w:pPr>
      <w:bookmarkStart w:id="0" w:name="_Toc8961"/>
      <w:r>
        <w:rPr>
          <w:rFonts w:hint="eastAsia" w:ascii="宋体" w:hAnsi="宋体" w:eastAsia="宋体" w:cs="宋体"/>
          <w:b/>
          <w:color w:val="auto"/>
          <w:sz w:val="32"/>
          <w:szCs w:val="32"/>
          <w:highlight w:val="none"/>
        </w:rPr>
        <w:t>第一</w:t>
      </w:r>
      <w:r>
        <w:rPr>
          <w:rFonts w:hint="eastAsia" w:ascii="宋体" w:hAnsi="宋体" w:eastAsia="宋体" w:cs="宋体"/>
          <w:b/>
          <w:color w:val="auto"/>
          <w:sz w:val="32"/>
          <w:szCs w:val="32"/>
          <w:highlight w:val="none"/>
          <w:lang w:val="en-US" w:eastAsia="zh-CN"/>
        </w:rPr>
        <w:t>章</w:t>
      </w:r>
      <w:r>
        <w:rPr>
          <w:rFonts w:hint="eastAsia" w:ascii="宋体" w:hAnsi="宋体" w:eastAsia="宋体" w:cs="宋体"/>
          <w:b/>
          <w:color w:val="auto"/>
          <w:sz w:val="32"/>
          <w:szCs w:val="32"/>
          <w:highlight w:val="none"/>
        </w:rPr>
        <w:t xml:space="preserve"> 招标公告</w:t>
      </w:r>
      <w:bookmarkEnd w:id="0"/>
    </w:p>
    <w:p w14:paraId="1144393A">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1CF018D9">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2026年衢江区卫生健康局机房改造建设项目</w:t>
      </w:r>
      <w:r>
        <w:rPr>
          <w:rFonts w:hint="eastAsia" w:ascii="宋体" w:hAnsi="宋体" w:eastAsia="宋体" w:cs="宋体"/>
          <w:color w:val="auto"/>
          <w:sz w:val="24"/>
          <w:szCs w:val="24"/>
          <w:highlight w:val="none"/>
        </w:rPr>
        <w:t>招标项目的潜在投标人应在政采云平台（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"https://www.zcygov.cn/）获取（下载）招标文件，并于202%20年%20月%20日%20点%20分00秒"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snapToGrid/>
          <w:color w:val="auto"/>
          <w:kern w:val="2"/>
          <w:sz w:val="24"/>
          <w:szCs w:val="24"/>
          <w:highlight w:val="none"/>
        </w:rPr>
        <w:t>https://www.zcygov.cn/）获取（下载）招标文件，并于202</w:t>
      </w:r>
      <w:r>
        <w:rPr>
          <w:rStyle w:val="25"/>
          <w:rFonts w:hint="eastAsia" w:ascii="宋体" w:hAnsi="宋体" w:cs="宋体"/>
          <w:snapToGrid/>
          <w:color w:val="auto"/>
          <w:kern w:val="2"/>
          <w:sz w:val="24"/>
          <w:szCs w:val="24"/>
          <w:highlight w:val="none"/>
          <w:lang w:val="en-US" w:eastAsia="zh-CN"/>
        </w:rPr>
        <w:t>6</w:t>
      </w:r>
      <w:r>
        <w:rPr>
          <w:rStyle w:val="25"/>
          <w:rFonts w:hint="eastAsia" w:ascii="宋体" w:hAnsi="宋体" w:eastAsia="宋体" w:cs="宋体"/>
          <w:snapToGrid/>
          <w:color w:val="auto"/>
          <w:kern w:val="2"/>
          <w:sz w:val="24"/>
          <w:szCs w:val="24"/>
          <w:highlight w:val="none"/>
        </w:rPr>
        <w:t>年</w:t>
      </w:r>
      <w:r>
        <w:rPr>
          <w:rStyle w:val="25"/>
          <w:rFonts w:hint="eastAsia" w:ascii="宋体" w:hAnsi="宋体" w:cs="宋体"/>
          <w:snapToGrid/>
          <w:color w:val="auto"/>
          <w:kern w:val="2"/>
          <w:sz w:val="24"/>
          <w:szCs w:val="24"/>
          <w:highlight w:val="none"/>
          <w:lang w:val="en-US" w:eastAsia="zh-CN"/>
        </w:rPr>
        <w:t>6</w:t>
      </w:r>
      <w:r>
        <w:rPr>
          <w:rStyle w:val="25"/>
          <w:rFonts w:hint="eastAsia" w:ascii="宋体" w:hAnsi="宋体" w:eastAsia="宋体" w:cs="宋体"/>
          <w:snapToGrid/>
          <w:color w:val="auto"/>
          <w:kern w:val="2"/>
          <w:sz w:val="24"/>
          <w:szCs w:val="24"/>
          <w:highlight w:val="none"/>
        </w:rPr>
        <w:t>月</w:t>
      </w:r>
      <w:r>
        <w:rPr>
          <w:rStyle w:val="25"/>
          <w:rFonts w:hint="eastAsia" w:ascii="宋体" w:hAnsi="宋体" w:cs="宋体"/>
          <w:snapToGrid/>
          <w:color w:val="auto"/>
          <w:kern w:val="2"/>
          <w:sz w:val="24"/>
          <w:szCs w:val="24"/>
          <w:highlight w:val="none"/>
          <w:lang w:val="en-US" w:eastAsia="zh-CN"/>
        </w:rPr>
        <w:t>16</w:t>
      </w:r>
      <w:r>
        <w:rPr>
          <w:rStyle w:val="25"/>
          <w:rFonts w:hint="eastAsia" w:ascii="宋体" w:hAnsi="宋体" w:eastAsia="宋体" w:cs="宋体"/>
          <w:snapToGrid/>
          <w:color w:val="auto"/>
          <w:kern w:val="2"/>
          <w:sz w:val="24"/>
          <w:szCs w:val="24"/>
          <w:highlight w:val="none"/>
        </w:rPr>
        <w:t>日</w:t>
      </w:r>
      <w:r>
        <w:rPr>
          <w:rStyle w:val="25"/>
          <w:rFonts w:hint="eastAsia" w:ascii="宋体" w:hAnsi="宋体" w:cs="宋体"/>
          <w:snapToGrid/>
          <w:color w:val="auto"/>
          <w:kern w:val="2"/>
          <w:sz w:val="24"/>
          <w:szCs w:val="24"/>
          <w:highlight w:val="none"/>
          <w:lang w:val="en-US" w:eastAsia="zh-CN"/>
        </w:rPr>
        <w:t>09</w:t>
      </w:r>
      <w:r>
        <w:rPr>
          <w:rStyle w:val="25"/>
          <w:rFonts w:hint="eastAsia" w:ascii="宋体" w:hAnsi="宋体" w:eastAsia="宋体" w:cs="宋体"/>
          <w:snapToGrid/>
          <w:color w:val="auto"/>
          <w:kern w:val="2"/>
          <w:sz w:val="24"/>
          <w:szCs w:val="24"/>
          <w:highlight w:val="none"/>
        </w:rPr>
        <w:t>点</w:t>
      </w:r>
      <w:r>
        <w:rPr>
          <w:rStyle w:val="25"/>
          <w:rFonts w:hint="eastAsia" w:ascii="宋体" w:hAnsi="宋体" w:cs="宋体"/>
          <w:snapToGrid/>
          <w:color w:val="auto"/>
          <w:kern w:val="2"/>
          <w:sz w:val="24"/>
          <w:szCs w:val="24"/>
          <w:highlight w:val="none"/>
          <w:lang w:val="en-US" w:eastAsia="zh-CN"/>
        </w:rPr>
        <w:t>30</w:t>
      </w:r>
      <w:r>
        <w:rPr>
          <w:rStyle w:val="25"/>
          <w:rFonts w:hint="eastAsia" w:ascii="宋体" w:hAnsi="宋体" w:eastAsia="宋体" w:cs="宋体"/>
          <w:snapToGrid/>
          <w:color w:val="auto"/>
          <w:kern w:val="2"/>
          <w:sz w:val="24"/>
          <w:szCs w:val="24"/>
          <w:highlight w:val="none"/>
        </w:rPr>
        <w:t>分</w:t>
      </w:r>
      <w:r>
        <w:rPr>
          <w:rStyle w:val="25"/>
          <w:rFonts w:hint="eastAsia" w:ascii="宋体" w:hAnsi="宋体" w:cs="宋体"/>
          <w:snapToGrid/>
          <w:color w:val="auto"/>
          <w:kern w:val="2"/>
          <w:sz w:val="24"/>
          <w:szCs w:val="24"/>
          <w:highlight w:val="none"/>
          <w:lang w:val="en-US" w:eastAsia="zh-CN"/>
        </w:rPr>
        <w:t>00</w:t>
      </w:r>
      <w:r>
        <w:rPr>
          <w:rStyle w:val="25"/>
          <w:rFonts w:hint="eastAsia" w:ascii="宋体" w:hAnsi="宋体" w:eastAsia="宋体" w:cs="宋体"/>
          <w:bCs/>
          <w:snapToGrid/>
          <w:color w:val="auto"/>
          <w:kern w:val="2"/>
          <w:sz w:val="24"/>
          <w:szCs w:val="24"/>
          <w:highlight w:val="none"/>
        </w:rPr>
        <w:t>秒</w:t>
      </w:r>
      <w:r>
        <w:rPr>
          <w:rStyle w:val="25"/>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szCs w:val="24"/>
          <w:highlight w:val="none"/>
        </w:rPr>
        <w:t>（北京时间）前</w:t>
      </w:r>
      <w:r>
        <w:rPr>
          <w:rFonts w:hint="eastAsia" w:ascii="宋体" w:hAnsi="宋体" w:eastAsia="宋体" w:cs="宋体"/>
          <w:color w:val="auto"/>
          <w:sz w:val="24"/>
          <w:szCs w:val="24"/>
          <w:highlight w:val="none"/>
        </w:rPr>
        <w:t>递交（上传）投标文件。</w:t>
      </w:r>
    </w:p>
    <w:p w14:paraId="5D124EEF">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一、项目基本情况                                            </w:t>
      </w:r>
    </w:p>
    <w:p w14:paraId="0986917E">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项目编号：</w:t>
      </w:r>
      <w:r>
        <w:rPr>
          <w:rFonts w:hint="eastAsia" w:ascii="宋体" w:hAnsi="宋体" w:cs="宋体"/>
          <w:b w:val="0"/>
          <w:bCs/>
          <w:color w:val="auto"/>
          <w:sz w:val="24"/>
          <w:szCs w:val="24"/>
          <w:highlight w:val="none"/>
          <w:lang w:eastAsia="zh-CN"/>
        </w:rPr>
        <w:t>ZJTP-QZF-2026018</w:t>
      </w:r>
    </w:p>
    <w:p w14:paraId="11A97BC2">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项目名称：</w:t>
      </w:r>
      <w:r>
        <w:rPr>
          <w:rFonts w:hint="eastAsia" w:ascii="宋体" w:hAnsi="宋体" w:cs="宋体"/>
          <w:b w:val="0"/>
          <w:bCs/>
          <w:color w:val="auto"/>
          <w:sz w:val="24"/>
          <w:szCs w:val="24"/>
          <w:highlight w:val="none"/>
          <w:lang w:eastAsia="zh-CN"/>
        </w:rPr>
        <w:t>2026年衢江区卫生健康局机房改造建设项目</w:t>
      </w:r>
    </w:p>
    <w:p w14:paraId="24F790C7">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预算金额（元）：</w:t>
      </w:r>
      <w:r>
        <w:rPr>
          <w:rFonts w:hint="eastAsia" w:ascii="宋体" w:hAnsi="宋体" w:cs="宋体"/>
          <w:b w:val="0"/>
          <w:bCs/>
          <w:color w:val="auto"/>
          <w:sz w:val="24"/>
          <w:szCs w:val="24"/>
          <w:highlight w:val="none"/>
          <w:lang w:val="en-US" w:eastAsia="zh-CN"/>
        </w:rPr>
        <w:t>1460000</w:t>
      </w:r>
      <w:r>
        <w:rPr>
          <w:rFonts w:hint="eastAsia" w:ascii="宋体" w:hAnsi="宋体" w:eastAsia="宋体" w:cs="宋体"/>
          <w:b w:val="0"/>
          <w:bCs/>
          <w:color w:val="auto"/>
          <w:sz w:val="24"/>
          <w:szCs w:val="24"/>
          <w:highlight w:val="none"/>
          <w:lang w:val="en-US" w:eastAsia="zh-CN"/>
        </w:rPr>
        <w:t>元</w:t>
      </w:r>
      <w:r>
        <w:rPr>
          <w:rFonts w:hint="eastAsia" w:ascii="宋体" w:hAnsi="宋体" w:eastAsia="宋体" w:cs="宋体"/>
          <w:b w:val="0"/>
          <w:bCs/>
          <w:color w:val="auto"/>
          <w:sz w:val="24"/>
          <w:szCs w:val="24"/>
          <w:highlight w:val="none"/>
        </w:rPr>
        <w:t xml:space="preserve"> </w:t>
      </w:r>
    </w:p>
    <w:p w14:paraId="191700CC">
      <w:pPr>
        <w:keepNext w:val="0"/>
        <w:keepLines w:val="0"/>
        <w:pageBreakBefore w:val="0"/>
        <w:widowControl w:val="0"/>
        <w:kinsoku/>
        <w:wordWrap/>
        <w:overflowPunct/>
        <w:topLinePunct w:val="0"/>
        <w:autoSpaceDE/>
        <w:autoSpaceDN/>
        <w:bidi w:val="0"/>
        <w:adjustRightInd/>
        <w:spacing w:line="460" w:lineRule="exact"/>
        <w:ind w:firstLine="480"/>
        <w:textAlignment w:val="auto"/>
        <w:rPr>
          <w:rFonts w:hint="eastAsia"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最高限价（</w:t>
      </w:r>
      <w:r>
        <w:rPr>
          <w:rFonts w:hint="eastAsia" w:ascii="宋体" w:hAnsi="宋体" w:cs="宋体"/>
          <w:b/>
          <w:color w:val="auto"/>
          <w:sz w:val="24"/>
          <w:szCs w:val="24"/>
          <w:highlight w:val="none"/>
          <w:lang w:val="en-US" w:eastAsia="zh-CN"/>
        </w:rPr>
        <w:t>元</w:t>
      </w:r>
      <w:r>
        <w:rPr>
          <w:rFonts w:hint="eastAsia" w:ascii="宋体" w:hAnsi="宋体" w:eastAsia="宋体" w:cs="宋体"/>
          <w:b/>
          <w:color w:val="auto"/>
          <w:sz w:val="24"/>
          <w:szCs w:val="24"/>
          <w:highlight w:val="none"/>
        </w:rPr>
        <w:t>）：</w:t>
      </w:r>
      <w:r>
        <w:rPr>
          <w:rFonts w:hint="eastAsia" w:ascii="宋体" w:hAnsi="宋体" w:cs="宋体"/>
          <w:b w:val="0"/>
          <w:bCs/>
          <w:color w:val="auto"/>
          <w:sz w:val="24"/>
          <w:szCs w:val="24"/>
          <w:highlight w:val="none"/>
          <w:lang w:val="en-US" w:eastAsia="zh-CN"/>
        </w:rPr>
        <w:t>1460000</w:t>
      </w:r>
      <w:r>
        <w:rPr>
          <w:rFonts w:hint="eastAsia" w:ascii="宋体" w:hAnsi="宋体" w:eastAsia="宋体" w:cs="宋体"/>
          <w:b w:val="0"/>
          <w:bCs/>
          <w:color w:val="auto"/>
          <w:sz w:val="24"/>
          <w:szCs w:val="24"/>
          <w:highlight w:val="none"/>
          <w:lang w:val="en-US" w:eastAsia="zh-CN"/>
        </w:rPr>
        <w:t>元。</w:t>
      </w:r>
    </w:p>
    <w:p w14:paraId="3A328EC4">
      <w:pPr>
        <w:pStyle w:val="7"/>
        <w:keepNext w:val="0"/>
        <w:keepLines w:val="0"/>
        <w:pageBreakBefore w:val="0"/>
        <w:widowControl w:val="0"/>
        <w:kinsoku/>
        <w:wordWrap/>
        <w:overflowPunct/>
        <w:topLinePunct w:val="0"/>
        <w:autoSpaceDE/>
        <w:autoSpaceDN/>
        <w:bidi w:val="0"/>
        <w:adjustRightInd/>
        <w:spacing w:line="460" w:lineRule="exact"/>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采购需求</w:t>
      </w:r>
      <w:r>
        <w:rPr>
          <w:rFonts w:hint="eastAsia" w:ascii="宋体" w:hAnsi="宋体" w:eastAsia="宋体" w:cs="宋体"/>
          <w:b w:val="0"/>
          <w:bCs/>
          <w:color w:val="auto"/>
          <w:sz w:val="24"/>
          <w:szCs w:val="24"/>
          <w:highlight w:val="none"/>
        </w:rPr>
        <w:t>（内容、用途、数量、简要技术要求等）</w:t>
      </w:r>
      <w:r>
        <w:rPr>
          <w:rFonts w:hint="eastAsia" w:ascii="宋体" w:hAnsi="宋体" w:eastAsia="宋体" w:cs="宋体"/>
          <w:b/>
          <w:color w:val="auto"/>
          <w:sz w:val="24"/>
          <w:szCs w:val="24"/>
          <w:highlight w:val="none"/>
        </w:rPr>
        <w:t>：</w:t>
      </w:r>
    </w:p>
    <w:tbl>
      <w:tblPr>
        <w:tblStyle w:val="21"/>
        <w:tblW w:w="9799"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2751"/>
        <w:gridCol w:w="882"/>
        <w:gridCol w:w="4611"/>
        <w:gridCol w:w="771"/>
      </w:tblGrid>
      <w:tr w14:paraId="3053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784" w:type="dxa"/>
            <w:tcBorders>
              <w:top w:val="single" w:color="auto" w:sz="4" w:space="0"/>
              <w:left w:val="single" w:color="auto" w:sz="4" w:space="0"/>
              <w:bottom w:val="single" w:color="auto" w:sz="4" w:space="0"/>
              <w:right w:val="single" w:color="auto" w:sz="4" w:space="0"/>
            </w:tcBorders>
            <w:vAlign w:val="center"/>
          </w:tcPr>
          <w:p w14:paraId="3FE8B3C6">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标项</w:t>
            </w:r>
          </w:p>
        </w:tc>
        <w:tc>
          <w:tcPr>
            <w:tcW w:w="2751" w:type="dxa"/>
            <w:tcBorders>
              <w:top w:val="single" w:color="auto" w:sz="4" w:space="0"/>
              <w:left w:val="single" w:color="auto" w:sz="4" w:space="0"/>
              <w:bottom w:val="single" w:color="auto" w:sz="4" w:space="0"/>
              <w:right w:val="single" w:color="auto" w:sz="4" w:space="0"/>
            </w:tcBorders>
            <w:vAlign w:val="center"/>
          </w:tcPr>
          <w:p w14:paraId="7053E1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标项内容</w:t>
            </w:r>
          </w:p>
        </w:tc>
        <w:tc>
          <w:tcPr>
            <w:tcW w:w="882" w:type="dxa"/>
            <w:tcBorders>
              <w:top w:val="single" w:color="auto" w:sz="4" w:space="0"/>
              <w:left w:val="single" w:color="auto" w:sz="4" w:space="0"/>
              <w:bottom w:val="single" w:color="auto" w:sz="4" w:space="0"/>
              <w:right w:val="single" w:color="auto" w:sz="4" w:space="0"/>
            </w:tcBorders>
            <w:vAlign w:val="center"/>
          </w:tcPr>
          <w:p w14:paraId="2BA1D8D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4611" w:type="dxa"/>
            <w:tcBorders>
              <w:top w:val="single" w:color="auto" w:sz="4" w:space="0"/>
              <w:left w:val="single" w:color="auto" w:sz="4" w:space="0"/>
              <w:bottom w:val="single" w:color="auto" w:sz="4" w:space="0"/>
              <w:right w:val="single" w:color="auto" w:sz="4" w:space="0"/>
            </w:tcBorders>
            <w:vAlign w:val="center"/>
          </w:tcPr>
          <w:p w14:paraId="25566A7D">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简要技术、服务要求</w:t>
            </w:r>
          </w:p>
        </w:tc>
        <w:tc>
          <w:tcPr>
            <w:tcW w:w="771" w:type="dxa"/>
            <w:tcBorders>
              <w:top w:val="single" w:color="auto" w:sz="4" w:space="0"/>
              <w:left w:val="single" w:color="auto" w:sz="4" w:space="0"/>
              <w:bottom w:val="single" w:color="auto" w:sz="4" w:space="0"/>
              <w:right w:val="single" w:color="auto" w:sz="4" w:space="0"/>
            </w:tcBorders>
            <w:vAlign w:val="center"/>
          </w:tcPr>
          <w:p w14:paraId="4477998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5AB3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trPr>
        <w:tc>
          <w:tcPr>
            <w:tcW w:w="784" w:type="dxa"/>
            <w:tcBorders>
              <w:top w:val="single" w:color="auto" w:sz="4" w:space="0"/>
              <w:left w:val="single" w:color="auto" w:sz="4" w:space="0"/>
              <w:bottom w:val="single" w:color="auto" w:sz="4" w:space="0"/>
              <w:right w:val="single" w:color="auto" w:sz="4" w:space="0"/>
            </w:tcBorders>
            <w:vAlign w:val="center"/>
          </w:tcPr>
          <w:p w14:paraId="2ED8B894">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751" w:type="dxa"/>
            <w:tcBorders>
              <w:top w:val="single" w:color="auto" w:sz="4" w:space="0"/>
              <w:left w:val="single" w:color="auto" w:sz="4" w:space="0"/>
              <w:bottom w:val="single" w:color="auto" w:sz="4" w:space="0"/>
              <w:right w:val="single" w:color="auto" w:sz="4" w:space="0"/>
            </w:tcBorders>
            <w:vAlign w:val="center"/>
          </w:tcPr>
          <w:p w14:paraId="345C1F90">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val="0"/>
                <w:bCs/>
                <w:color w:val="auto"/>
                <w:sz w:val="24"/>
                <w:szCs w:val="24"/>
                <w:highlight w:val="none"/>
                <w:lang w:eastAsia="zh-CN"/>
              </w:rPr>
              <w:t>2026年衢江区卫生健康局机房改造建设项目</w:t>
            </w:r>
          </w:p>
        </w:tc>
        <w:tc>
          <w:tcPr>
            <w:tcW w:w="882" w:type="dxa"/>
            <w:tcBorders>
              <w:top w:val="single" w:color="auto" w:sz="4" w:space="0"/>
              <w:left w:val="single" w:color="auto" w:sz="4" w:space="0"/>
              <w:bottom w:val="single" w:color="auto" w:sz="4" w:space="0"/>
              <w:right w:val="single" w:color="auto" w:sz="4" w:space="0"/>
            </w:tcBorders>
            <w:vAlign w:val="center"/>
          </w:tcPr>
          <w:p w14:paraId="44AB693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批</w:t>
            </w:r>
          </w:p>
        </w:tc>
        <w:tc>
          <w:tcPr>
            <w:tcW w:w="4611" w:type="dxa"/>
            <w:tcBorders>
              <w:top w:val="single" w:color="auto" w:sz="4" w:space="0"/>
              <w:left w:val="single" w:color="auto" w:sz="4" w:space="0"/>
              <w:bottom w:val="single" w:color="auto" w:sz="4" w:space="0"/>
              <w:right w:val="single" w:color="auto" w:sz="4" w:space="0"/>
            </w:tcBorders>
            <w:vAlign w:val="center"/>
          </w:tcPr>
          <w:p w14:paraId="66A36CBC">
            <w:pPr>
              <w:keepNext w:val="0"/>
              <w:keepLines w:val="0"/>
              <w:pageBreakBefore w:val="0"/>
              <w:widowControl w:val="0"/>
              <w:kinsoku/>
              <w:wordWrap/>
              <w:overflowPunct/>
              <w:topLinePunct w:val="0"/>
              <w:autoSpaceDE/>
              <w:autoSpaceDN/>
              <w:bidi w:val="0"/>
              <w:adjustRightIn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val="0"/>
                <w:bCs/>
                <w:sz w:val="24"/>
                <w:szCs w:val="24"/>
                <w:highlight w:val="none"/>
                <w:vertAlign w:val="baseline"/>
                <w:lang w:val="en-US" w:eastAsia="zh-CN"/>
              </w:rPr>
              <w:t>互联网防火墙、APT等货物采购，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具体详见第三章采购内容及要求。</w:t>
            </w:r>
          </w:p>
        </w:tc>
        <w:tc>
          <w:tcPr>
            <w:tcW w:w="771" w:type="dxa"/>
            <w:tcBorders>
              <w:left w:val="single" w:color="auto" w:sz="4" w:space="0"/>
              <w:right w:val="single" w:color="auto" w:sz="4" w:space="0"/>
            </w:tcBorders>
            <w:vAlign w:val="center"/>
          </w:tcPr>
          <w:p w14:paraId="748225E7">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p>
        </w:tc>
      </w:tr>
    </w:tbl>
    <w:p w14:paraId="2E19DB23">
      <w:pPr>
        <w:pStyle w:val="31"/>
        <w:keepNext w:val="0"/>
        <w:keepLines w:val="0"/>
        <w:pageBreakBefore w:val="0"/>
        <w:widowControl w:val="0"/>
        <w:kinsoku/>
        <w:wordWrap/>
        <w:overflowPunct/>
        <w:topLinePunct w:val="0"/>
        <w:autoSpaceDE/>
        <w:autoSpaceDN/>
        <w:bidi w:val="0"/>
        <w:adjustRightInd/>
        <w:spacing w:before="0" w:line="440" w:lineRule="exact"/>
        <w:ind w:firstLine="482"/>
        <w:textAlignment w:val="auto"/>
        <w:outlineLvl w:val="2"/>
        <w:rPr>
          <w:rFonts w:hint="default"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rPr>
        <w:t>合同履约期限：</w:t>
      </w:r>
      <w:r>
        <w:rPr>
          <w:rFonts w:hint="eastAsia" w:ascii="宋体" w:hAnsi="宋体" w:cs="宋体"/>
          <w:b w:val="0"/>
          <w:bCs/>
          <w:color w:val="auto"/>
          <w:sz w:val="24"/>
          <w:szCs w:val="24"/>
          <w:highlight w:val="none"/>
          <w:lang w:val="en-US" w:eastAsia="zh-CN"/>
        </w:rPr>
        <w:t>合同签订生效之日起60日历天内完成采购需求范围内所有货物及软件系统</w:t>
      </w:r>
      <w:r>
        <w:rPr>
          <w:rFonts w:hint="eastAsia" w:ascii="宋体" w:hAnsi="宋体" w:eastAsia="宋体" w:cs="宋体"/>
          <w:b w:val="0"/>
          <w:bCs/>
          <w:color w:val="auto"/>
          <w:sz w:val="24"/>
          <w:szCs w:val="24"/>
          <w:highlight w:val="none"/>
        </w:rPr>
        <w:t>的采购（或生产</w:t>
      </w:r>
      <w:r>
        <w:rPr>
          <w:rFonts w:hint="eastAsia" w:ascii="宋体" w:hAnsi="宋体" w:cs="宋体"/>
          <w:b w:val="0"/>
          <w:bCs/>
          <w:color w:val="auto"/>
          <w:sz w:val="24"/>
          <w:szCs w:val="24"/>
          <w:highlight w:val="none"/>
          <w:lang w:val="en-US" w:eastAsia="zh-CN"/>
        </w:rPr>
        <w:t>制造</w:t>
      </w:r>
      <w:r>
        <w:rPr>
          <w:rFonts w:hint="eastAsia" w:ascii="宋体" w:hAnsi="宋体" w:eastAsia="宋体" w:cs="宋体"/>
          <w:b w:val="0"/>
          <w:bCs/>
          <w:color w:val="auto"/>
          <w:sz w:val="24"/>
          <w:szCs w:val="24"/>
          <w:highlight w:val="none"/>
        </w:rPr>
        <w:t>）、包装、运输、到货、安装</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集成、调试，</w:t>
      </w:r>
      <w:r>
        <w:rPr>
          <w:rFonts w:hint="eastAsia" w:ascii="宋体" w:hAnsi="宋体" w:cs="宋体"/>
          <w:b w:val="0"/>
          <w:bCs/>
          <w:color w:val="auto"/>
          <w:sz w:val="24"/>
          <w:szCs w:val="24"/>
          <w:highlight w:val="none"/>
          <w:lang w:val="en-US" w:eastAsia="zh-CN"/>
        </w:rPr>
        <w:t>并提交采购人初步验收，试运行不少于3个月，运维服务期不少于3年，自采购人最终验收合格之日起计算。</w:t>
      </w:r>
    </w:p>
    <w:p w14:paraId="01B8080C">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bookmarkStart w:id="1" w:name="_Hlk101132948"/>
      <w:r>
        <w:rPr>
          <w:rFonts w:hint="eastAsia" w:ascii="宋体" w:hAnsi="宋体" w:eastAsia="宋体" w:cs="宋体"/>
          <w:b/>
          <w:color w:val="auto"/>
          <w:sz w:val="24"/>
          <w:szCs w:val="24"/>
          <w:highlight w:val="none"/>
        </w:rPr>
        <w:t>申请人的资格要求</w:t>
      </w:r>
      <w:bookmarkEnd w:id="1"/>
      <w:r>
        <w:rPr>
          <w:rFonts w:hint="eastAsia" w:ascii="宋体" w:hAnsi="宋体" w:eastAsia="宋体" w:cs="宋体"/>
          <w:b/>
          <w:color w:val="auto"/>
          <w:sz w:val="24"/>
          <w:szCs w:val="24"/>
          <w:highlight w:val="none"/>
        </w:rPr>
        <w:t>：</w:t>
      </w:r>
    </w:p>
    <w:p w14:paraId="68EDDED1">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E8A19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napToGrid w:val="0"/>
          <w:color w:val="auto"/>
          <w:kern w:val="28"/>
          <w:sz w:val="24"/>
          <w:szCs w:val="24"/>
          <w:highlight w:val="none"/>
          <w:u w:val="single"/>
          <w:lang w:val="en-US" w:eastAsia="zh-CN"/>
        </w:rPr>
      </w:pPr>
      <w:r>
        <w:rPr>
          <w:rFonts w:hint="eastAsia" w:ascii="宋体" w:hAnsi="宋体" w:eastAsia="宋体" w:cs="宋体"/>
          <w:snapToGrid w:val="0"/>
          <w:color w:val="auto"/>
          <w:kern w:val="28"/>
          <w:sz w:val="24"/>
          <w:szCs w:val="24"/>
          <w:highlight w:val="none"/>
          <w:lang w:val="en-US" w:eastAsia="zh-CN"/>
        </w:rPr>
        <w:t>2</w:t>
      </w:r>
      <w:r>
        <w:rPr>
          <w:rFonts w:hint="eastAsia" w:ascii="宋体" w:hAnsi="宋体" w:eastAsia="宋体" w:cs="宋体"/>
          <w:snapToGrid w:val="0"/>
          <w:color w:val="auto"/>
          <w:kern w:val="28"/>
          <w:sz w:val="24"/>
          <w:szCs w:val="24"/>
          <w:highlight w:val="none"/>
        </w:rPr>
        <w:t>.落实政府采购政策需满足的资格要求：</w:t>
      </w:r>
      <w:r>
        <w:rPr>
          <w:rFonts w:hint="eastAsia" w:ascii="宋体" w:hAnsi="宋体" w:cs="宋体"/>
          <w:snapToGrid w:val="0"/>
          <w:color w:val="auto"/>
          <w:kern w:val="28"/>
          <w:sz w:val="24"/>
          <w:szCs w:val="24"/>
          <w:highlight w:val="none"/>
          <w:u w:val="single"/>
          <w:lang w:val="en-US" w:eastAsia="zh-CN"/>
        </w:rPr>
        <w:t>无</w:t>
      </w:r>
      <w:r>
        <w:rPr>
          <w:rFonts w:hint="eastAsia" w:ascii="宋体" w:hAnsi="宋体" w:eastAsia="宋体" w:cs="宋体"/>
          <w:snapToGrid w:val="0"/>
          <w:color w:val="auto"/>
          <w:kern w:val="28"/>
          <w:sz w:val="24"/>
          <w:szCs w:val="24"/>
          <w:highlight w:val="none"/>
          <w:u w:val="single"/>
          <w:lang w:val="en-US" w:eastAsia="zh-CN"/>
        </w:rPr>
        <w:t>。</w:t>
      </w:r>
    </w:p>
    <w:p w14:paraId="0AF384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u w:val="single"/>
          <w:lang w:val="en-US" w:eastAsia="zh-CN"/>
        </w:rPr>
        <w:t>无。</w:t>
      </w:r>
    </w:p>
    <w:p w14:paraId="6D4629C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4.根据《关于规范政府采购供应商资格设定及资格审查的通知》（浙财采监[2013]24 号）第6条规定接受金融、保险、通讯等特定行业的全国性企业所设立的区域性分支机构以及个体工商户、个人独资企业、合伙企业（应依法办理了工商、税务和社保登记手续，并且获得总公司（总机构）授权或能够提供房产权证或其他有效财产证明材料（在投标文件中提供相关材料），能证明其具备实际承担责任的能力和法定的缔结合同能力，可以独立参加政府采购活动，由单位负责人签署相关文件材料）。</w:t>
      </w:r>
    </w:p>
    <w:p w14:paraId="2D32EF4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26672EC">
      <w:pPr>
        <w:pStyle w:val="27"/>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.本项目接受联合体投标</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w:t>
      </w:r>
    </w:p>
    <w:p w14:paraId="18F8FE2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三、获取招标文件 </w:t>
      </w:r>
    </w:p>
    <w:p w14:paraId="0E4FD1D5">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时间：</w:t>
      </w:r>
      <w:r>
        <w:rPr>
          <w:rFonts w:hint="eastAsia" w:ascii="宋体" w:hAnsi="宋体" w:eastAsia="宋体" w:cs="宋体"/>
          <w:color w:val="auto"/>
          <w:sz w:val="24"/>
          <w:szCs w:val="24"/>
          <w:highlight w:val="none"/>
          <w:lang w:val="en-US" w:eastAsia="zh-CN"/>
        </w:rPr>
        <w:t>招标公告发布之日起</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，每天上午00:00至12:00 ，下午12:00至23:59（北京时间，线上获取法定节假日均可，线下获取文件法定节假日除外）</w:t>
      </w:r>
    </w:p>
    <w:p w14:paraId="6CDC3362">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地点（网址）：</w:t>
      </w:r>
      <w:r>
        <w:rPr>
          <w:rFonts w:hint="eastAsia" w:ascii="宋体" w:hAnsi="宋体" w:eastAsia="宋体" w:cs="宋体"/>
          <w:color w:val="auto"/>
          <w:sz w:val="24"/>
          <w:szCs w:val="24"/>
          <w:highlight w:val="none"/>
        </w:rPr>
        <w:t xml:space="preserve">政采云平台（https://www.zcygov.cn/） </w:t>
      </w:r>
    </w:p>
    <w:p w14:paraId="1FAF8BF4">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方式：</w:t>
      </w:r>
      <w:r>
        <w:rPr>
          <w:rFonts w:hint="eastAsia" w:ascii="宋体" w:hAnsi="宋体" w:eastAsia="宋体" w:cs="宋体"/>
          <w:color w:val="auto"/>
          <w:sz w:val="24"/>
          <w:szCs w:val="24"/>
          <w:highlight w:val="none"/>
        </w:rPr>
        <w:t xml:space="preserve">供应商登录政采云平台https://www.zcygov.cn/在线申请获取采购文件（进入“项目采购”应用，在获取采购文件菜单中选择项目，申请获取采购文件）。 </w:t>
      </w:r>
    </w:p>
    <w:p w14:paraId="0393D051">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售价（元）：</w:t>
      </w:r>
      <w:r>
        <w:rPr>
          <w:rFonts w:hint="eastAsia" w:ascii="宋体" w:hAnsi="宋体" w:eastAsia="宋体" w:cs="宋体"/>
          <w:color w:val="auto"/>
          <w:sz w:val="24"/>
          <w:szCs w:val="24"/>
          <w:highlight w:val="none"/>
        </w:rPr>
        <w:t xml:space="preserve">0 </w:t>
      </w:r>
      <w:r>
        <w:rPr>
          <w:rFonts w:hint="eastAsia" w:ascii="宋体" w:hAnsi="宋体" w:eastAsia="宋体" w:cs="宋体"/>
          <w:color w:val="auto"/>
          <w:sz w:val="24"/>
          <w:szCs w:val="24"/>
          <w:highlight w:val="none"/>
        </w:rPr>
        <w:tab/>
      </w:r>
    </w:p>
    <w:p w14:paraId="440162D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6757415E">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秒</w:t>
      </w:r>
      <w:r>
        <w:rPr>
          <w:rFonts w:hint="eastAsia" w:ascii="宋体" w:hAnsi="宋体" w:eastAsia="宋体" w:cs="宋体"/>
          <w:color w:val="auto"/>
          <w:sz w:val="24"/>
          <w:szCs w:val="24"/>
          <w:highlight w:val="none"/>
        </w:rPr>
        <w:t>（北京时间）</w:t>
      </w:r>
    </w:p>
    <w:p w14:paraId="09FCFC7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投标地点（网址）：</w:t>
      </w:r>
      <w:r>
        <w:rPr>
          <w:rFonts w:hint="eastAsia" w:ascii="宋体" w:hAnsi="宋体" w:eastAsia="宋体" w:cs="宋体"/>
          <w:color w:val="auto"/>
          <w:sz w:val="24"/>
          <w:szCs w:val="24"/>
          <w:highlight w:val="none"/>
        </w:rPr>
        <w:t xml:space="preserve">政采云平台（https://www.zcygov.cn/） </w:t>
      </w:r>
    </w:p>
    <w:p w14:paraId="178CF1C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开标时间：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秒</w:t>
      </w:r>
    </w:p>
    <w:p w14:paraId="30F367AF">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开标地点：</w:t>
      </w:r>
      <w:r>
        <w:rPr>
          <w:rFonts w:hint="eastAsia" w:ascii="宋体" w:hAnsi="宋体" w:eastAsia="宋体" w:cs="宋体"/>
          <w:color w:val="auto"/>
          <w:sz w:val="24"/>
          <w:szCs w:val="24"/>
          <w:highlight w:val="none"/>
        </w:rPr>
        <w:t>衢江区公共资源交易中心</w:t>
      </w:r>
      <w:r>
        <w:rPr>
          <w:rFonts w:hint="eastAsia"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号评标室（衢江区水利局5楼）；同步在“政采云远程开标大厅”在线开标。</w:t>
      </w:r>
    </w:p>
    <w:p w14:paraId="324DBCC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五、公告期限 </w:t>
      </w:r>
    </w:p>
    <w:p w14:paraId="76091F4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0C30E40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7B996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9A614D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45824A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eastAsia="宋体" w:cs="宋体"/>
          <w:b/>
          <w:bCs/>
          <w:color w:val="auto"/>
          <w:sz w:val="24"/>
          <w:szCs w:val="24"/>
          <w:highlight w:val="none"/>
          <w:u w:val="single"/>
          <w:lang w:val="en-US" w:eastAsia="zh-CN"/>
        </w:rPr>
        <w:t>本项目要求</w:t>
      </w:r>
      <w:r>
        <w:rPr>
          <w:rFonts w:hint="eastAsia" w:ascii="宋体" w:hAnsi="宋体" w:eastAsia="宋体" w:cs="宋体"/>
          <w:b/>
          <w:bCs/>
          <w:color w:val="auto"/>
          <w:sz w:val="24"/>
          <w:szCs w:val="24"/>
          <w:highlight w:val="none"/>
          <w:u w:val="single"/>
          <w:lang w:val="zh-CN"/>
        </w:rPr>
        <w:t>供应商</w:t>
      </w:r>
      <w:r>
        <w:rPr>
          <w:rFonts w:hint="eastAsia" w:ascii="宋体" w:hAnsi="宋体" w:eastAsia="宋体" w:cs="宋体"/>
          <w:b/>
          <w:bCs/>
          <w:color w:val="auto"/>
          <w:sz w:val="24"/>
          <w:szCs w:val="24"/>
          <w:highlight w:val="none"/>
          <w:u w:val="single"/>
          <w:lang w:val="en-US" w:eastAsia="zh-CN"/>
        </w:rPr>
        <w:t>在法定质疑期内一次性提出针对同一采购程序环节的质疑，针对同一环节二次或多次提出质疑，采购人或采购代理机构将不予受理。</w:t>
      </w:r>
    </w:p>
    <w:p w14:paraId="6E8FBA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4.其他事项：（1）需要落实的政府采购政策：促进中小企业发展</w:t>
      </w:r>
      <w:r>
        <w:rPr>
          <w:rFonts w:hint="eastAsia" w:ascii="宋体" w:hAnsi="宋体" w:cs="宋体"/>
          <w:color w:val="auto"/>
          <w:sz w:val="24"/>
          <w:szCs w:val="24"/>
          <w:highlight w:val="none"/>
          <w:lang w:eastAsia="zh-CN"/>
        </w:rPr>
        <w:t>、支持监狱企业发展、促进残疾人就业等</w:t>
      </w:r>
      <w:r>
        <w:rPr>
          <w:rFonts w:hint="eastAsia" w:ascii="宋体" w:hAnsi="宋体" w:eastAsia="宋体" w:cs="宋体"/>
          <w:color w:val="auto"/>
          <w:sz w:val="24"/>
          <w:szCs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w:t>
      </w:r>
      <w:r>
        <w:rPr>
          <w:rFonts w:hint="eastAsia" w:ascii="宋体" w:hAnsi="宋体" w:eastAsia="宋体" w:cs="宋体"/>
          <w:b/>
          <w:bCs/>
          <w:color w:val="auto"/>
          <w:sz w:val="24"/>
          <w:szCs w:val="24"/>
          <w:highlight w:val="none"/>
          <w:u w:val="single"/>
        </w:rPr>
        <w:t>还可以在投标截止时间前直接提交或者以快递方式递交备份投标文件1份。备份投标文件的制作、存储、密封详见招标文件第二部分第</w:t>
      </w:r>
      <w:r>
        <w:rPr>
          <w:rFonts w:hint="eastAsia" w:ascii="宋体" w:hAnsi="宋体" w:eastAsia="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single"/>
        </w:rPr>
        <w:t>点—“备份投标文件要求”</w:t>
      </w:r>
      <w:r>
        <w:rPr>
          <w:rFonts w:hint="eastAsia" w:ascii="宋体" w:hAnsi="宋体" w:eastAsia="宋体" w:cs="宋体"/>
          <w:color w:val="auto"/>
          <w:sz w:val="24"/>
          <w:szCs w:val="24"/>
          <w:highlight w:val="none"/>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291AF2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七、对本次采购提出询问、质疑、投诉，请按以下方式联系</w:t>
      </w:r>
    </w:p>
    <w:p w14:paraId="1479B26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1.采购人信息</w:t>
      </w:r>
    </w:p>
    <w:p w14:paraId="20E7D01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名    称：</w:t>
      </w:r>
      <w:r>
        <w:rPr>
          <w:rFonts w:hint="eastAsia" w:ascii="宋体" w:hAnsi="宋体" w:cs="宋体"/>
          <w:color w:val="auto"/>
          <w:sz w:val="24"/>
          <w:szCs w:val="24"/>
          <w:highlight w:val="none"/>
          <w:lang w:val="en-US" w:eastAsia="zh-CN"/>
        </w:rPr>
        <w:t>衢州市衢江区人民政府办公室</w:t>
      </w:r>
      <w:r>
        <w:rPr>
          <w:rFonts w:hint="eastAsia" w:ascii="宋体" w:hAnsi="宋体" w:eastAsia="宋体" w:cs="宋体"/>
          <w:color w:val="auto"/>
          <w:sz w:val="24"/>
          <w:szCs w:val="24"/>
          <w:highlight w:val="none"/>
        </w:rPr>
        <w:t xml:space="preserve"> </w:t>
      </w:r>
    </w:p>
    <w:p w14:paraId="10BFEC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址：浙江省衢州市衢江区府前路6号</w:t>
      </w:r>
    </w:p>
    <w:p w14:paraId="72301A1B">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    真：</w:t>
      </w:r>
      <w:r>
        <w:rPr>
          <w:rFonts w:hint="eastAsia" w:ascii="宋体" w:hAnsi="宋体" w:cs="宋体"/>
          <w:color w:val="auto"/>
          <w:sz w:val="24"/>
          <w:szCs w:val="24"/>
          <w:highlight w:val="none"/>
          <w:lang w:val="en-US" w:eastAsia="zh-CN"/>
        </w:rPr>
        <w:t>/</w:t>
      </w:r>
    </w:p>
    <w:p w14:paraId="723381B0">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项目联系人（询问）：</w:t>
      </w:r>
      <w:r>
        <w:rPr>
          <w:rFonts w:hint="eastAsia" w:ascii="宋体" w:hAnsi="宋体" w:cs="宋体"/>
          <w:color w:val="auto"/>
          <w:sz w:val="24"/>
          <w:szCs w:val="24"/>
          <w:highlight w:val="none"/>
          <w:lang w:val="en-US" w:eastAsia="zh-CN"/>
        </w:rPr>
        <w:t>徐先生</w:t>
      </w:r>
    </w:p>
    <w:p w14:paraId="63401FC7">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项目联系方式（询问）：</w:t>
      </w:r>
      <w:r>
        <w:rPr>
          <w:rFonts w:hint="eastAsia" w:ascii="宋体" w:hAnsi="宋体" w:cs="宋体"/>
          <w:color w:val="auto"/>
          <w:sz w:val="24"/>
          <w:szCs w:val="24"/>
          <w:highlight w:val="none"/>
          <w:lang w:val="en-US" w:eastAsia="zh-CN"/>
        </w:rPr>
        <w:t>0570-3835123</w:t>
      </w:r>
    </w:p>
    <w:p w14:paraId="0736FB16">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质疑联系人：</w:t>
      </w:r>
      <w:r>
        <w:rPr>
          <w:rFonts w:hint="eastAsia" w:ascii="宋体" w:hAnsi="宋体" w:cs="宋体"/>
          <w:color w:val="auto"/>
          <w:sz w:val="24"/>
          <w:szCs w:val="24"/>
          <w:highlight w:val="none"/>
          <w:lang w:val="en-US" w:eastAsia="zh-CN"/>
        </w:rPr>
        <w:t>李女士</w:t>
      </w:r>
    </w:p>
    <w:p w14:paraId="7C1707CC">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质疑联系方式：</w:t>
      </w:r>
      <w:r>
        <w:rPr>
          <w:rFonts w:hint="eastAsia" w:ascii="宋体" w:hAnsi="宋体" w:cs="宋体"/>
          <w:color w:val="auto"/>
          <w:sz w:val="24"/>
          <w:szCs w:val="24"/>
          <w:highlight w:val="none"/>
          <w:lang w:val="en-US" w:eastAsia="zh-CN"/>
        </w:rPr>
        <w:t>0570-3832867</w:t>
      </w:r>
    </w:p>
    <w:p w14:paraId="1CFC15AB">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2.采购代理机构信息            </w:t>
      </w:r>
    </w:p>
    <w:p w14:paraId="0C86299E">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浙江天平投资咨询有限公司</w:t>
      </w:r>
    </w:p>
    <w:p w14:paraId="6B97F6B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浙江省衢州市衢江区东方广场7号楼405室</w:t>
      </w:r>
    </w:p>
    <w:p w14:paraId="4ACF516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lang w:val="en-US" w:eastAsia="zh-CN"/>
        </w:rPr>
        <w:t>0570-8033087</w:t>
      </w:r>
    </w:p>
    <w:p w14:paraId="410FFBA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项目联系人（询问）：</w:t>
      </w:r>
      <w:r>
        <w:rPr>
          <w:rFonts w:hint="eastAsia" w:ascii="宋体" w:hAnsi="宋体" w:eastAsia="宋体" w:cs="宋体"/>
          <w:color w:val="auto"/>
          <w:sz w:val="24"/>
          <w:szCs w:val="24"/>
          <w:highlight w:val="none"/>
          <w:lang w:val="en-US" w:eastAsia="zh-CN"/>
        </w:rPr>
        <w:t>李先生</w:t>
      </w:r>
    </w:p>
    <w:p w14:paraId="40CD89C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项目联系方式（询问）：</w:t>
      </w:r>
      <w:r>
        <w:rPr>
          <w:rFonts w:hint="eastAsia" w:ascii="宋体" w:hAnsi="宋体" w:eastAsia="宋体" w:cs="宋体"/>
          <w:color w:val="auto"/>
          <w:sz w:val="24"/>
          <w:szCs w:val="24"/>
          <w:highlight w:val="none"/>
          <w:lang w:val="en-US" w:eastAsia="zh-CN"/>
        </w:rPr>
        <w:t>0570-8033087</w:t>
      </w:r>
    </w:p>
    <w:p w14:paraId="05AE3DB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质疑联系人：</w:t>
      </w:r>
      <w:r>
        <w:rPr>
          <w:rFonts w:hint="eastAsia" w:ascii="宋体" w:hAnsi="宋体" w:eastAsia="宋体" w:cs="宋体"/>
          <w:color w:val="auto"/>
          <w:sz w:val="24"/>
          <w:szCs w:val="24"/>
          <w:highlight w:val="none"/>
          <w:lang w:val="en-US" w:eastAsia="zh-CN"/>
        </w:rPr>
        <w:t>余先生</w:t>
      </w:r>
    </w:p>
    <w:p w14:paraId="6156FE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质疑联系方式：</w:t>
      </w:r>
      <w:r>
        <w:rPr>
          <w:rFonts w:hint="eastAsia" w:ascii="宋体" w:hAnsi="宋体" w:eastAsia="宋体" w:cs="宋体"/>
          <w:color w:val="auto"/>
          <w:sz w:val="24"/>
          <w:szCs w:val="24"/>
          <w:highlight w:val="none"/>
          <w:lang w:val="en-US" w:eastAsia="zh-CN"/>
        </w:rPr>
        <w:t>0570-8033086</w:t>
      </w:r>
    </w:p>
    <w:p w14:paraId="5D0911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同级政府采购监督管理部门            </w:t>
      </w:r>
    </w:p>
    <w:p w14:paraId="10452B4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名    称：</w:t>
      </w:r>
      <w:r>
        <w:rPr>
          <w:rFonts w:hint="eastAsia" w:ascii="宋体" w:hAnsi="宋体" w:eastAsia="宋体" w:cs="宋体"/>
          <w:color w:val="auto"/>
          <w:sz w:val="24"/>
          <w:szCs w:val="24"/>
          <w:highlight w:val="none"/>
          <w:lang w:eastAsia="zh-CN"/>
        </w:rPr>
        <w:t>衢州市衢江区财政局</w:t>
      </w:r>
    </w:p>
    <w:p w14:paraId="1175C30E">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址：衢州市衢江区政和路6号</w:t>
      </w:r>
    </w:p>
    <w:p w14:paraId="0468A4A0">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 ：</w:t>
      </w:r>
      <w:r>
        <w:rPr>
          <w:rFonts w:hint="eastAsia" w:ascii="宋体" w:hAnsi="宋体" w:cs="宋体"/>
          <w:color w:val="auto"/>
          <w:sz w:val="24"/>
          <w:szCs w:val="24"/>
          <w:highlight w:val="none"/>
          <w:lang w:val="en-US" w:eastAsia="zh-CN"/>
        </w:rPr>
        <w:t>杨</w:t>
      </w:r>
      <w:r>
        <w:rPr>
          <w:rFonts w:hint="eastAsia" w:ascii="宋体" w:hAnsi="宋体" w:eastAsia="宋体" w:cs="宋体"/>
          <w:color w:val="auto"/>
          <w:sz w:val="24"/>
          <w:szCs w:val="24"/>
          <w:highlight w:val="none"/>
          <w:lang w:eastAsia="zh-CN"/>
        </w:rPr>
        <w:t>女士</w:t>
      </w:r>
    </w:p>
    <w:p w14:paraId="0F59784D">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监督投诉电话：0570-8762709</w:t>
      </w:r>
    </w:p>
    <w:p w14:paraId="077BF90B">
      <w:pPr>
        <w:pStyle w:val="11"/>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p>
    <w:p w14:paraId="5BDD3CAB">
      <w:pPr>
        <w:pStyle w:val="11"/>
        <w:keepNext w:val="0"/>
        <w:keepLines w:val="0"/>
        <w:pageBreakBefore w:val="0"/>
        <w:widowControl w:val="0"/>
        <w:kinsoku/>
        <w:wordWrap/>
        <w:overflowPunct/>
        <w:topLinePunct w:val="0"/>
        <w:autoSpaceDE/>
        <w:autoSpaceDN/>
        <w:bidi w:val="0"/>
        <w:adjustRightInd/>
        <w:snapToGrid/>
        <w:spacing w:after="0" w:afterLines="0"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若对项目采购电子交易系统操作有疑问，可登录政采云（https://www.zcygov.cn/），点击右侧咨询小采，获取采小蜜智能服务管家帮助，或拨打政采云服务热线95763获取热线服务帮助。CA问题联系电话（人工）：汇信CA 400-888-4636；天谷CA 400-087-8198。</w:t>
      </w:r>
    </w:p>
    <w:p w14:paraId="56FB6D47">
      <w:pPr>
        <w:rPr>
          <w:rFonts w:hint="eastAsia" w:ascii="宋体" w:hAnsi="宋体" w:eastAsia="宋体" w:cs="宋体"/>
          <w:color w:val="auto"/>
          <w:kern w:val="2"/>
          <w:sz w:val="24"/>
          <w:szCs w:val="24"/>
          <w:highlight w:val="none"/>
          <w:lang w:val="en-US" w:eastAsia="zh-CN" w:bidi="ar-SA"/>
        </w:rPr>
      </w:pPr>
    </w:p>
    <w:p w14:paraId="2CCF7E56">
      <w:pPr>
        <w:bidi w:val="0"/>
        <w:rPr>
          <w:rFonts w:hint="eastAsia"/>
          <w:highlight w:val="none"/>
          <w:lang w:val="en-US" w:eastAsia="zh-CN"/>
        </w:rPr>
      </w:pPr>
    </w:p>
    <w:p w14:paraId="6CA3DBB4">
      <w:pPr>
        <w:bidi w:val="0"/>
        <w:rPr>
          <w:rFonts w:hint="eastAsia"/>
          <w:highlight w:val="none"/>
          <w:lang w:val="en-US" w:eastAsia="zh-CN"/>
        </w:rPr>
      </w:pPr>
    </w:p>
    <w:p w14:paraId="16FCE3FF">
      <w:pPr>
        <w:pStyle w:val="10"/>
        <w:rPr>
          <w:rFonts w:hint="eastAsia"/>
          <w:highlight w:val="none"/>
          <w:lang w:val="en-US" w:eastAsia="zh-CN"/>
        </w:rPr>
      </w:pPr>
    </w:p>
    <w:p w14:paraId="3C9DC44D">
      <w:pPr>
        <w:pStyle w:val="11"/>
        <w:rPr>
          <w:rFonts w:hint="eastAsia"/>
          <w:highlight w:val="none"/>
          <w:lang w:val="en-US" w:eastAsia="zh-CN"/>
        </w:rPr>
      </w:pPr>
    </w:p>
    <w:p w14:paraId="793DE744">
      <w:pPr>
        <w:pStyle w:val="12"/>
        <w:rPr>
          <w:rFonts w:hint="eastAsia"/>
          <w:highlight w:val="none"/>
          <w:lang w:val="en-US" w:eastAsia="zh-CN"/>
        </w:rPr>
      </w:pPr>
    </w:p>
    <w:p w14:paraId="49A333ED">
      <w:pPr>
        <w:rPr>
          <w:rFonts w:hint="eastAsia"/>
          <w:highlight w:val="none"/>
          <w:lang w:val="en-US" w:eastAsia="zh-CN"/>
        </w:rPr>
      </w:pPr>
    </w:p>
    <w:p w14:paraId="47396E77">
      <w:pPr>
        <w:bidi w:val="0"/>
        <w:rPr>
          <w:rFonts w:hint="eastAsia"/>
          <w:highlight w:val="none"/>
          <w:lang w:val="en-US" w:eastAsia="zh-CN"/>
        </w:rPr>
      </w:pPr>
    </w:p>
    <w:p w14:paraId="4606E12A">
      <w:pPr>
        <w:rPr>
          <w:rFonts w:hint="eastAsia"/>
          <w:highlight w:val="none"/>
          <w:lang w:val="en-US" w:eastAsia="zh-CN"/>
        </w:rPr>
      </w:pPr>
    </w:p>
    <w:p w14:paraId="12C52D0E">
      <w:pPr>
        <w:rPr>
          <w:rFonts w:hint="eastAsia"/>
          <w:highlight w:val="none"/>
          <w:lang w:val="en-US" w:eastAsia="zh-CN"/>
        </w:rPr>
      </w:pPr>
    </w:p>
    <w:p w14:paraId="4A5E350F">
      <w:pPr>
        <w:rPr>
          <w:rFonts w:hint="eastAsia"/>
          <w:highlight w:val="none"/>
          <w:lang w:val="en-US" w:eastAsia="zh-CN"/>
        </w:rPr>
      </w:pPr>
    </w:p>
    <w:p w14:paraId="46E76A79">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rPr>
      </w:pPr>
      <w:bookmarkStart w:id="2" w:name="_Toc8838"/>
      <w:bookmarkStart w:id="3" w:name="_Toc32019"/>
      <w:r>
        <w:rPr>
          <w:rFonts w:hint="eastAsia" w:ascii="宋体" w:hAnsi="宋体" w:eastAsia="宋体" w:cs="宋体"/>
          <w:b/>
          <w:bCs/>
          <w:color w:val="auto"/>
          <w:kern w:val="44"/>
          <w:sz w:val="28"/>
          <w:szCs w:val="28"/>
          <w:highlight w:val="none"/>
          <w:lang w:val="en-US" w:eastAsia="zh-CN" w:bidi="ar-SA"/>
        </w:rPr>
        <w:t>第二章</w:t>
      </w:r>
      <w:r>
        <w:rPr>
          <w:rFonts w:hint="eastAsia" w:ascii="宋体" w:hAnsi="宋体" w:eastAsia="宋体" w:cs="宋体"/>
          <w:color w:val="auto"/>
          <w:sz w:val="28"/>
          <w:szCs w:val="28"/>
          <w:highlight w:val="none"/>
        </w:rPr>
        <w:t xml:space="preserve"> 投标须知前附表及投标须知</w:t>
      </w:r>
      <w:bookmarkEnd w:id="2"/>
      <w:bookmarkEnd w:id="3"/>
    </w:p>
    <w:p w14:paraId="5FD20D24">
      <w:pPr>
        <w:pageBreakBefore w:val="0"/>
        <w:widowControl w:val="0"/>
        <w:kinsoku/>
        <w:wordWrap/>
        <w:overflowPunct/>
        <w:topLinePunct w:val="0"/>
        <w:autoSpaceDE/>
        <w:autoSpaceDN/>
        <w:bidi w:val="0"/>
        <w:adjustRightInd/>
        <w:snapToGrid w:val="0"/>
        <w:spacing w:before="120" w:beforeLines="50" w:after="120" w:afterLines="50" w:line="400" w:lineRule="exact"/>
        <w:ind w:left="567"/>
        <w:jc w:val="center"/>
        <w:textAlignment w:val="auto"/>
        <w:outlineLvl w:val="0"/>
        <w:rPr>
          <w:rFonts w:hint="eastAsia" w:ascii="宋体" w:hAnsi="宋体" w:eastAsia="宋体" w:cs="宋体"/>
          <w:highlight w:val="none"/>
        </w:rPr>
      </w:pPr>
      <w:r>
        <w:rPr>
          <w:rFonts w:hint="eastAsia" w:ascii="宋体" w:hAnsi="宋体" w:eastAsia="宋体" w:cs="宋体"/>
          <w:b/>
          <w:color w:val="auto"/>
          <w:sz w:val="28"/>
          <w:szCs w:val="28"/>
          <w:highlight w:val="none"/>
        </w:rPr>
        <w:t>第一部分、投标须知前附表</w:t>
      </w:r>
    </w:p>
    <w:tbl>
      <w:tblPr>
        <w:tblStyle w:val="21"/>
        <w:tblW w:w="9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200"/>
        <w:gridCol w:w="6538"/>
      </w:tblGrid>
      <w:tr w14:paraId="59BD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87" w:type="dxa"/>
            <w:vAlign w:val="center"/>
          </w:tcPr>
          <w:p w14:paraId="251D15D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rPr>
            </w:pPr>
            <w:bookmarkStart w:id="4" w:name="_Toc18294"/>
            <w:bookmarkStart w:id="5" w:name="_Toc9451"/>
            <w:bookmarkStart w:id="6" w:name="_Toc5312"/>
            <w:bookmarkStart w:id="7" w:name="_Toc30763"/>
            <w:bookmarkStart w:id="8" w:name="_Toc356371431"/>
            <w:bookmarkStart w:id="9" w:name="_Toc29801"/>
            <w:bookmarkStart w:id="10" w:name="_Toc32117"/>
            <w:r>
              <w:rPr>
                <w:rStyle w:val="32"/>
                <w:rFonts w:hint="eastAsia" w:ascii="宋体" w:hAnsi="宋体" w:eastAsia="宋体" w:cs="宋体"/>
                <w:b/>
                <w:sz w:val="24"/>
                <w:szCs w:val="24"/>
                <w:highlight w:val="none"/>
              </w:rPr>
              <w:t>序号</w:t>
            </w:r>
          </w:p>
        </w:tc>
        <w:tc>
          <w:tcPr>
            <w:tcW w:w="2200" w:type="dxa"/>
            <w:vAlign w:val="center"/>
          </w:tcPr>
          <w:p w14:paraId="6C603D2C">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rPr>
            </w:pPr>
            <w:r>
              <w:rPr>
                <w:rStyle w:val="32"/>
                <w:rFonts w:hint="eastAsia" w:ascii="宋体" w:hAnsi="宋体" w:eastAsia="宋体" w:cs="宋体"/>
                <w:b/>
                <w:sz w:val="24"/>
                <w:szCs w:val="24"/>
                <w:highlight w:val="none"/>
              </w:rPr>
              <w:t>内  容</w:t>
            </w:r>
          </w:p>
        </w:tc>
        <w:tc>
          <w:tcPr>
            <w:tcW w:w="6538" w:type="dxa"/>
            <w:vAlign w:val="center"/>
          </w:tcPr>
          <w:p w14:paraId="7EE574D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highlight w:val="none"/>
              </w:rPr>
            </w:pPr>
            <w:r>
              <w:rPr>
                <w:rStyle w:val="32"/>
                <w:rFonts w:hint="eastAsia" w:ascii="宋体" w:hAnsi="宋体" w:eastAsia="宋体" w:cs="宋体"/>
                <w:b/>
                <w:sz w:val="24"/>
                <w:szCs w:val="24"/>
                <w:highlight w:val="none"/>
              </w:rPr>
              <w:t>说明与要求</w:t>
            </w:r>
          </w:p>
        </w:tc>
      </w:tr>
      <w:tr w14:paraId="5DC6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DA9CA36">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2200" w:type="dxa"/>
            <w:vAlign w:val="center"/>
          </w:tcPr>
          <w:p w14:paraId="080E0162">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项目名称</w:t>
            </w:r>
          </w:p>
        </w:tc>
        <w:tc>
          <w:tcPr>
            <w:tcW w:w="6538" w:type="dxa"/>
            <w:vAlign w:val="center"/>
          </w:tcPr>
          <w:p w14:paraId="6A395049">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2026年衢江区卫生健康局机房改造建设项目</w:t>
            </w:r>
          </w:p>
        </w:tc>
      </w:tr>
      <w:tr w14:paraId="4683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09B349C7">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2200" w:type="dxa"/>
            <w:vAlign w:val="center"/>
          </w:tcPr>
          <w:p w14:paraId="57C0A46F">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采购人</w:t>
            </w:r>
          </w:p>
        </w:tc>
        <w:tc>
          <w:tcPr>
            <w:tcW w:w="6538" w:type="dxa"/>
            <w:vAlign w:val="center"/>
          </w:tcPr>
          <w:p w14:paraId="441E0F60">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hAnsi="宋体" w:cs="宋体"/>
                <w:color w:val="auto"/>
                <w:sz w:val="24"/>
                <w:szCs w:val="24"/>
                <w:highlight w:val="none"/>
                <w:lang w:val="en-US" w:eastAsia="zh-CN"/>
              </w:rPr>
              <w:t>衢州市衢江区人民政府办公室</w:t>
            </w:r>
          </w:p>
        </w:tc>
      </w:tr>
      <w:tr w14:paraId="0FC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10C809F">
            <w:pPr>
              <w:pStyle w:val="13"/>
              <w:keepNext w:val="0"/>
              <w:keepLines w:val="0"/>
              <w:pageBreakBefore w:val="0"/>
              <w:widowControl w:val="0"/>
              <w:tabs>
                <w:tab w:val="center" w:pos="384"/>
                <w:tab w:val="left" w:pos="520"/>
              </w:tabs>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2200" w:type="dxa"/>
            <w:vAlign w:val="center"/>
          </w:tcPr>
          <w:p w14:paraId="26CC8AA9">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采购标的及其对应的中小企业划分标准所属行业</w:t>
            </w:r>
          </w:p>
        </w:tc>
        <w:tc>
          <w:tcPr>
            <w:tcW w:w="6538" w:type="dxa"/>
            <w:vAlign w:val="center"/>
          </w:tcPr>
          <w:p w14:paraId="68401A4C">
            <w:pPr>
              <w:pStyle w:val="13"/>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项目属性：</w:t>
            </w:r>
            <w:r>
              <w:rPr>
                <w:rFonts w:hint="eastAsia" w:hAnsi="宋体" w:cs="宋体"/>
                <w:color w:val="auto"/>
                <w:sz w:val="24"/>
                <w:szCs w:val="24"/>
                <w:highlight w:val="none"/>
                <w:u w:val="single"/>
                <w:lang w:val="en-US" w:eastAsia="zh-CN"/>
              </w:rPr>
              <w:t>货物</w:t>
            </w:r>
            <w:r>
              <w:rPr>
                <w:rFonts w:hint="eastAsia" w:ascii="宋体" w:hAnsi="宋体" w:eastAsia="宋体" w:cs="宋体"/>
                <w:color w:val="auto"/>
                <w:sz w:val="24"/>
                <w:szCs w:val="24"/>
                <w:highlight w:val="none"/>
                <w:u w:val="single"/>
                <w:lang w:val="en-US" w:eastAsia="zh-CN"/>
              </w:rPr>
              <w:t>类</w:t>
            </w:r>
          </w:p>
          <w:p w14:paraId="7502242E">
            <w:pPr>
              <w:pStyle w:val="13"/>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标的：</w:t>
            </w:r>
            <w:r>
              <w:rPr>
                <w:rFonts w:hint="eastAsia" w:hAnsi="宋体" w:cs="宋体"/>
                <w:color w:val="auto"/>
                <w:sz w:val="24"/>
                <w:szCs w:val="24"/>
                <w:highlight w:val="none"/>
                <w:u w:val="single"/>
                <w:lang w:val="en-US" w:eastAsia="zh-CN"/>
              </w:rPr>
              <w:t>详见第三章采购内容及要求</w:t>
            </w:r>
            <w:r>
              <w:rPr>
                <w:rFonts w:hint="eastAsia" w:ascii="宋体" w:hAnsi="宋体" w:eastAsia="宋体" w:cs="宋体"/>
                <w:color w:val="auto"/>
                <w:sz w:val="24"/>
                <w:szCs w:val="24"/>
                <w:highlight w:val="none"/>
                <w:lang w:eastAsia="zh-CN"/>
              </w:rPr>
              <w:t>；</w:t>
            </w:r>
          </w:p>
          <w:p w14:paraId="3F61BE3F">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hAnsi="宋体" w:cs="宋体"/>
                <w:color w:val="auto"/>
                <w:sz w:val="24"/>
                <w:szCs w:val="24"/>
                <w:highlight w:val="none"/>
                <w:lang w:val="en-US" w:eastAsia="zh-CN"/>
              </w:rPr>
              <w:t>采购标的所属行业</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u w:val="single"/>
                <w:lang w:val="en-US" w:eastAsia="zh-CN"/>
              </w:rPr>
              <w:t>详见第三章采购内容及要求</w:t>
            </w:r>
            <w:r>
              <w:rPr>
                <w:rFonts w:hint="eastAsia" w:ascii="宋体" w:hAnsi="宋体" w:eastAsia="宋体" w:cs="宋体"/>
                <w:color w:val="auto"/>
                <w:sz w:val="24"/>
                <w:szCs w:val="24"/>
                <w:highlight w:val="none"/>
                <w:lang w:eastAsia="zh-CN"/>
              </w:rPr>
              <w:t>；</w:t>
            </w:r>
          </w:p>
        </w:tc>
      </w:tr>
      <w:tr w14:paraId="44FE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BCAC899">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200" w:type="dxa"/>
            <w:vAlign w:val="center"/>
          </w:tcPr>
          <w:p w14:paraId="2227D921">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合同履约期限</w:t>
            </w:r>
          </w:p>
        </w:tc>
        <w:tc>
          <w:tcPr>
            <w:tcW w:w="6538" w:type="dxa"/>
            <w:vAlign w:val="center"/>
          </w:tcPr>
          <w:p w14:paraId="5A697BC5">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b w:val="0"/>
                <w:bCs/>
                <w:color w:val="auto"/>
                <w:sz w:val="24"/>
                <w:szCs w:val="24"/>
                <w:highlight w:val="none"/>
                <w:lang w:val="en-US" w:eastAsia="zh-CN"/>
              </w:rPr>
              <w:t>合同签订生效之日起</w:t>
            </w:r>
            <w:r>
              <w:rPr>
                <w:rFonts w:hint="eastAsia" w:hAnsi="宋体" w:cs="宋体"/>
                <w:b w:val="0"/>
                <w:bCs/>
                <w:color w:val="auto"/>
                <w:sz w:val="24"/>
                <w:szCs w:val="24"/>
                <w:highlight w:val="none"/>
                <w:lang w:val="en-US" w:eastAsia="zh-CN"/>
              </w:rPr>
              <w:t>60</w:t>
            </w:r>
            <w:r>
              <w:rPr>
                <w:rFonts w:hint="eastAsia" w:ascii="宋体" w:hAnsi="宋体" w:cs="宋体"/>
                <w:b w:val="0"/>
                <w:bCs/>
                <w:color w:val="auto"/>
                <w:sz w:val="24"/>
                <w:szCs w:val="24"/>
                <w:highlight w:val="none"/>
                <w:lang w:val="en-US" w:eastAsia="zh-CN"/>
              </w:rPr>
              <w:t>日历天内完成采购需求范围内所有货物及软件系统</w:t>
            </w:r>
            <w:r>
              <w:rPr>
                <w:rFonts w:hint="eastAsia" w:ascii="宋体" w:hAnsi="宋体" w:eastAsia="宋体" w:cs="宋体"/>
                <w:b w:val="0"/>
                <w:bCs/>
                <w:color w:val="auto"/>
                <w:sz w:val="24"/>
                <w:szCs w:val="24"/>
                <w:highlight w:val="none"/>
              </w:rPr>
              <w:t>的采购（或生产</w:t>
            </w:r>
            <w:r>
              <w:rPr>
                <w:rFonts w:hint="eastAsia" w:ascii="宋体" w:hAnsi="宋体" w:cs="宋体"/>
                <w:b w:val="0"/>
                <w:bCs/>
                <w:color w:val="auto"/>
                <w:sz w:val="24"/>
                <w:szCs w:val="24"/>
                <w:highlight w:val="none"/>
                <w:lang w:val="en-US" w:eastAsia="zh-CN"/>
              </w:rPr>
              <w:t>制造</w:t>
            </w:r>
            <w:r>
              <w:rPr>
                <w:rFonts w:hint="eastAsia" w:ascii="宋体" w:hAnsi="宋体" w:eastAsia="宋体" w:cs="宋体"/>
                <w:b w:val="0"/>
                <w:bCs/>
                <w:color w:val="auto"/>
                <w:sz w:val="24"/>
                <w:szCs w:val="24"/>
                <w:highlight w:val="none"/>
              </w:rPr>
              <w:t>）、包装、运输、到货、安装</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集成、调试，</w:t>
            </w:r>
            <w:r>
              <w:rPr>
                <w:rFonts w:hint="eastAsia" w:ascii="宋体" w:hAnsi="宋体" w:cs="宋体"/>
                <w:b w:val="0"/>
                <w:bCs/>
                <w:color w:val="auto"/>
                <w:sz w:val="24"/>
                <w:szCs w:val="24"/>
                <w:highlight w:val="none"/>
                <w:lang w:val="en-US" w:eastAsia="zh-CN"/>
              </w:rPr>
              <w:t>并提交采购人初步验收，试运行不少于3个月，</w:t>
            </w:r>
            <w:r>
              <w:rPr>
                <w:rFonts w:hint="eastAsia" w:hAnsi="宋体" w:cs="宋体"/>
                <w:b w:val="0"/>
                <w:bCs/>
                <w:color w:val="auto"/>
                <w:sz w:val="24"/>
                <w:szCs w:val="24"/>
                <w:highlight w:val="none"/>
                <w:lang w:val="en-US" w:eastAsia="zh-CN"/>
              </w:rPr>
              <w:t>运维服务期</w:t>
            </w:r>
            <w:r>
              <w:rPr>
                <w:rFonts w:hint="eastAsia" w:ascii="宋体" w:hAnsi="宋体" w:cs="宋体"/>
                <w:b w:val="0"/>
                <w:bCs/>
                <w:color w:val="auto"/>
                <w:sz w:val="24"/>
                <w:szCs w:val="24"/>
                <w:highlight w:val="none"/>
                <w:lang w:val="en-US" w:eastAsia="zh-CN"/>
              </w:rPr>
              <w:t>不少于3年，自采购人最终验收合格之日起计算。</w:t>
            </w:r>
          </w:p>
        </w:tc>
      </w:tr>
      <w:tr w14:paraId="25D0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6216AD2">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2200" w:type="dxa"/>
            <w:vAlign w:val="center"/>
          </w:tcPr>
          <w:p w14:paraId="5FDB8AF8">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采购方式</w:t>
            </w:r>
          </w:p>
        </w:tc>
        <w:tc>
          <w:tcPr>
            <w:tcW w:w="6538" w:type="dxa"/>
            <w:vAlign w:val="center"/>
          </w:tcPr>
          <w:p w14:paraId="42CFD956">
            <w:pPr>
              <w:pStyle w:val="13"/>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公开招标。</w:t>
            </w:r>
          </w:p>
        </w:tc>
      </w:tr>
      <w:tr w14:paraId="3926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3605842">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2200" w:type="dxa"/>
            <w:vAlign w:val="center"/>
          </w:tcPr>
          <w:p w14:paraId="513AA311">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评标办法</w:t>
            </w:r>
          </w:p>
        </w:tc>
        <w:tc>
          <w:tcPr>
            <w:tcW w:w="6538" w:type="dxa"/>
            <w:vAlign w:val="center"/>
          </w:tcPr>
          <w:p w14:paraId="35FF335D">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本次招标的评标办法采用：</w:t>
            </w:r>
          </w:p>
          <w:p w14:paraId="1FEACB48">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2"/>
                <w:sz w:val="24"/>
                <w:szCs w:val="24"/>
                <w:highlight w:val="none"/>
                <w:lang w:val="en-US" w:eastAsia="zh-CN"/>
              </w:rPr>
              <w:t>百分制综合评分法，根据本项目招标文件的要求，按照本办法规定的内容和分值设置，资格审查采用合格制，商务技术分值为</w:t>
            </w:r>
            <w:r>
              <w:rPr>
                <w:rFonts w:hint="eastAsia" w:ascii="宋体" w:hAnsi="宋体" w:eastAsia="宋体" w:cs="宋体"/>
                <w:color w:val="auto"/>
                <w:kern w:val="2"/>
                <w:sz w:val="24"/>
                <w:szCs w:val="24"/>
                <w:highlight w:val="none"/>
                <w:u w:val="single"/>
                <w:lang w:val="en-US" w:eastAsia="zh-CN"/>
              </w:rPr>
              <w:t xml:space="preserve"> </w:t>
            </w:r>
            <w:r>
              <w:rPr>
                <w:rFonts w:hint="eastAsia" w:hAnsi="宋体" w:cs="宋体"/>
                <w:color w:val="auto"/>
                <w:kern w:val="2"/>
                <w:sz w:val="24"/>
                <w:szCs w:val="24"/>
                <w:highlight w:val="none"/>
                <w:u w:val="single"/>
                <w:lang w:val="en-US" w:eastAsia="zh-CN"/>
              </w:rPr>
              <w:t>70</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分，报价文件分值为</w:t>
            </w:r>
            <w:r>
              <w:rPr>
                <w:rFonts w:hint="eastAsia" w:ascii="宋体" w:hAnsi="宋体" w:eastAsia="宋体" w:cs="宋体"/>
                <w:color w:val="auto"/>
                <w:kern w:val="2"/>
                <w:sz w:val="24"/>
                <w:szCs w:val="24"/>
                <w:highlight w:val="none"/>
                <w:u w:val="single"/>
                <w:lang w:val="en-US" w:eastAsia="zh-CN"/>
              </w:rPr>
              <w:t xml:space="preserve"> </w:t>
            </w:r>
            <w:r>
              <w:rPr>
                <w:rFonts w:hint="eastAsia" w:hAnsi="宋体" w:cs="宋体"/>
                <w:color w:val="auto"/>
                <w:kern w:val="2"/>
                <w:sz w:val="24"/>
                <w:szCs w:val="24"/>
                <w:highlight w:val="none"/>
                <w:u w:val="single"/>
                <w:lang w:val="en-US" w:eastAsia="zh-CN"/>
              </w:rPr>
              <w:t>30</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分，对供应商的投标文件中的商务技术、报价等内容进行评分，最终得出综合得分。</w:t>
            </w:r>
          </w:p>
        </w:tc>
      </w:tr>
      <w:tr w14:paraId="08B9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6ACADAE7">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2200" w:type="dxa"/>
            <w:vAlign w:val="center"/>
          </w:tcPr>
          <w:p w14:paraId="34E26430">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是否允许分包</w:t>
            </w:r>
          </w:p>
        </w:tc>
        <w:tc>
          <w:tcPr>
            <w:tcW w:w="6538" w:type="dxa"/>
            <w:vAlign w:val="center"/>
          </w:tcPr>
          <w:p w14:paraId="578884EB">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不允许</w:t>
            </w:r>
          </w:p>
        </w:tc>
      </w:tr>
      <w:tr w14:paraId="3E49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ED56FB8">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2200" w:type="dxa"/>
            <w:vAlign w:val="center"/>
          </w:tcPr>
          <w:p w14:paraId="6C03F69E">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踏勘现场</w:t>
            </w:r>
          </w:p>
        </w:tc>
        <w:tc>
          <w:tcPr>
            <w:tcW w:w="6538" w:type="dxa"/>
            <w:vAlign w:val="center"/>
          </w:tcPr>
          <w:p w14:paraId="5CD79B61">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不组织，投标人如有需要可自行前往踏勘，联系方式见招标公告。</w:t>
            </w:r>
          </w:p>
        </w:tc>
      </w:tr>
      <w:tr w14:paraId="65F0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4DF8C4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p>
        </w:tc>
        <w:tc>
          <w:tcPr>
            <w:tcW w:w="2200" w:type="dxa"/>
            <w:vAlign w:val="center"/>
          </w:tcPr>
          <w:p w14:paraId="41B15144">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投标预备答疑会</w:t>
            </w:r>
          </w:p>
        </w:tc>
        <w:tc>
          <w:tcPr>
            <w:tcW w:w="6538" w:type="dxa"/>
            <w:vAlign w:val="center"/>
          </w:tcPr>
          <w:p w14:paraId="69428A16">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不召开</w:t>
            </w:r>
          </w:p>
        </w:tc>
      </w:tr>
      <w:tr w14:paraId="545E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2820AF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p>
        </w:tc>
        <w:tc>
          <w:tcPr>
            <w:tcW w:w="2200" w:type="dxa"/>
            <w:vAlign w:val="center"/>
          </w:tcPr>
          <w:p w14:paraId="069A717D">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是否接受联合体投标</w:t>
            </w:r>
          </w:p>
        </w:tc>
        <w:tc>
          <w:tcPr>
            <w:tcW w:w="6538" w:type="dxa"/>
            <w:vAlign w:val="center"/>
          </w:tcPr>
          <w:p w14:paraId="081089D2">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否。</w:t>
            </w:r>
          </w:p>
        </w:tc>
      </w:tr>
      <w:tr w14:paraId="427C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79D39CB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p>
        </w:tc>
        <w:tc>
          <w:tcPr>
            <w:tcW w:w="2200" w:type="dxa"/>
            <w:vAlign w:val="center"/>
          </w:tcPr>
          <w:p w14:paraId="164968EB">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投标有效期</w:t>
            </w:r>
          </w:p>
        </w:tc>
        <w:tc>
          <w:tcPr>
            <w:tcW w:w="6538" w:type="dxa"/>
            <w:vAlign w:val="center"/>
          </w:tcPr>
          <w:p w14:paraId="424B0288">
            <w:pPr>
              <w:pStyle w:val="13"/>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投标文件递交截止之日起90天</w:t>
            </w:r>
          </w:p>
        </w:tc>
      </w:tr>
      <w:tr w14:paraId="43D3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A3860B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2200" w:type="dxa"/>
            <w:vAlign w:val="center"/>
          </w:tcPr>
          <w:p w14:paraId="6807FBD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6538" w:type="dxa"/>
            <w:vAlign w:val="center"/>
          </w:tcPr>
          <w:p w14:paraId="259853E0">
            <w:pPr>
              <w:pStyle w:val="13"/>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sz w:val="24"/>
                <w:szCs w:val="24"/>
                <w:highlight w:val="none"/>
              </w:rPr>
              <w:t>本项目不需要缴纳投标保证金，若</w:t>
            </w:r>
            <w:r>
              <w:rPr>
                <w:rFonts w:hint="eastAsia" w:ascii="宋体" w:hAnsi="宋体" w:eastAsia="宋体" w:cs="宋体"/>
                <w:b/>
                <w:bCs/>
                <w:color w:val="auto"/>
                <w:sz w:val="24"/>
                <w:szCs w:val="24"/>
                <w:highlight w:val="none"/>
              </w:rPr>
              <w:t>供应商</w:t>
            </w:r>
            <w:r>
              <w:rPr>
                <w:rFonts w:hint="eastAsia" w:ascii="宋体" w:hAnsi="宋体" w:eastAsia="宋体" w:cs="宋体"/>
                <w:b/>
                <w:color w:val="auto"/>
                <w:sz w:val="24"/>
                <w:szCs w:val="24"/>
                <w:highlight w:val="none"/>
              </w:rPr>
              <w:t>在采购过程中存在违规行为给采购人造成损失的，须赔偿全部损失</w:t>
            </w:r>
            <w:r>
              <w:rPr>
                <w:rFonts w:hint="eastAsia" w:ascii="宋体" w:hAnsi="宋体" w:eastAsia="宋体" w:cs="宋体"/>
                <w:b/>
                <w:color w:val="auto"/>
                <w:sz w:val="24"/>
                <w:szCs w:val="24"/>
                <w:highlight w:val="none"/>
                <w:lang w:eastAsia="zh-CN"/>
              </w:rPr>
              <w:t>。</w:t>
            </w:r>
          </w:p>
        </w:tc>
      </w:tr>
      <w:tr w14:paraId="7595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0763A6C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p>
        </w:tc>
        <w:tc>
          <w:tcPr>
            <w:tcW w:w="2200" w:type="dxa"/>
            <w:vAlign w:val="center"/>
          </w:tcPr>
          <w:p w14:paraId="03FE262F">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是否允许进口产品投标</w:t>
            </w:r>
          </w:p>
        </w:tc>
        <w:tc>
          <w:tcPr>
            <w:tcW w:w="6538" w:type="dxa"/>
            <w:vAlign w:val="center"/>
          </w:tcPr>
          <w:p w14:paraId="4E0BCA72">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eastAsia="zh-CN"/>
              </w:rPr>
              <w:t>不允许。</w:t>
            </w:r>
          </w:p>
        </w:tc>
      </w:tr>
      <w:tr w14:paraId="1D6A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73442675">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14</w:t>
            </w:r>
          </w:p>
        </w:tc>
        <w:tc>
          <w:tcPr>
            <w:tcW w:w="2200" w:type="dxa"/>
            <w:vAlign w:val="center"/>
          </w:tcPr>
          <w:p w14:paraId="5BCC2BCA">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投标文件的组成和编制</w:t>
            </w:r>
          </w:p>
        </w:tc>
        <w:tc>
          <w:tcPr>
            <w:tcW w:w="6538" w:type="dxa"/>
            <w:vAlign w:val="center"/>
          </w:tcPr>
          <w:p w14:paraId="48D864BB">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本项目完整的《投标文件》由“资格审查文件”、“商务技术文件”和“报价文件”三个部分组成。</w:t>
            </w:r>
          </w:p>
          <w:p w14:paraId="1C48A40C">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投标人应先安装“政采云电子交易客户端”，并按照本招标文件和“政府采购云平台”的要求，通过“政采云电子交易客户端”编制并加密投标文件。</w:t>
            </w:r>
          </w:p>
        </w:tc>
      </w:tr>
      <w:tr w14:paraId="29FB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74009C99">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15</w:t>
            </w:r>
          </w:p>
        </w:tc>
        <w:tc>
          <w:tcPr>
            <w:tcW w:w="2200" w:type="dxa"/>
            <w:vAlign w:val="center"/>
          </w:tcPr>
          <w:p w14:paraId="29F20554">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投标文件的签章 </w:t>
            </w:r>
          </w:p>
        </w:tc>
        <w:tc>
          <w:tcPr>
            <w:tcW w:w="6538" w:type="dxa"/>
            <w:vAlign w:val="center"/>
          </w:tcPr>
          <w:p w14:paraId="3ED858D2">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highlight w:val="none"/>
                <w:lang w:val="en-US" w:eastAsia="zh-CN"/>
              </w:rPr>
            </w:pPr>
            <w:r>
              <w:rPr>
                <w:rFonts w:hint="eastAsia" w:ascii="宋体" w:hAnsi="宋体" w:eastAsia="宋体" w:cs="宋体"/>
                <w:color w:val="auto"/>
                <w:kern w:val="2"/>
                <w:sz w:val="24"/>
                <w:szCs w:val="24"/>
                <w:highlight w:val="none"/>
                <w:lang w:val="en-US" w:eastAsia="zh-CN"/>
              </w:rPr>
              <w:t>电子签章（公章），其中法定代表人和授权代表签字（或盖章）可书面签订（或盖章）后，扫描至电子投标文件中上传；凡投标格式文件明确有签字盖章处均应符合。</w:t>
            </w:r>
          </w:p>
        </w:tc>
      </w:tr>
      <w:tr w14:paraId="696E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B1904C5">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16</w:t>
            </w:r>
          </w:p>
        </w:tc>
        <w:tc>
          <w:tcPr>
            <w:tcW w:w="2200" w:type="dxa"/>
            <w:vAlign w:val="center"/>
          </w:tcPr>
          <w:p w14:paraId="417B87DE">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投标文件份数</w:t>
            </w:r>
          </w:p>
        </w:tc>
        <w:tc>
          <w:tcPr>
            <w:tcW w:w="6538" w:type="dxa"/>
            <w:vAlign w:val="center"/>
          </w:tcPr>
          <w:p w14:paraId="17EE82B5">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（1）“电子加密投标文件”：在线上传递交、一份。</w:t>
            </w:r>
          </w:p>
          <w:p w14:paraId="7AA73D29">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（2）“备份投标文件”</w:t>
            </w:r>
            <w:r>
              <w:rPr>
                <w:rFonts w:hint="eastAsia" w:ascii="宋体" w:hAnsi="宋体" w:eastAsia="宋体" w:cs="宋体"/>
                <w:b/>
                <w:bCs/>
                <w:color w:val="auto"/>
                <w:kern w:val="2"/>
                <w:sz w:val="24"/>
                <w:szCs w:val="24"/>
                <w:highlight w:val="none"/>
                <w:u w:val="single"/>
                <w:lang w:val="en-US" w:eastAsia="zh-CN"/>
              </w:rPr>
              <w:t>（非强制要求）</w:t>
            </w:r>
            <w:r>
              <w:rPr>
                <w:rFonts w:hint="eastAsia" w:ascii="宋体" w:hAnsi="宋体" w:eastAsia="宋体" w:cs="宋体"/>
                <w:color w:val="auto"/>
                <w:kern w:val="2"/>
                <w:sz w:val="24"/>
                <w:szCs w:val="24"/>
                <w:highlight w:val="none"/>
                <w:lang w:val="en-US" w:eastAsia="zh-CN"/>
              </w:rPr>
              <w:t>：密封包装后投标截止时间前递交一份。</w:t>
            </w:r>
          </w:p>
        </w:tc>
      </w:tr>
      <w:tr w14:paraId="330C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AE91108">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17</w:t>
            </w:r>
          </w:p>
        </w:tc>
        <w:tc>
          <w:tcPr>
            <w:tcW w:w="2200" w:type="dxa"/>
            <w:vAlign w:val="center"/>
          </w:tcPr>
          <w:p w14:paraId="4F309D7F">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备份投标文件要求</w:t>
            </w:r>
          </w:p>
        </w:tc>
        <w:tc>
          <w:tcPr>
            <w:tcW w:w="6538" w:type="dxa"/>
            <w:vAlign w:val="center"/>
          </w:tcPr>
          <w:p w14:paraId="238AC50D">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供应商可以（</w:t>
            </w:r>
            <w:r>
              <w:rPr>
                <w:rFonts w:hint="eastAsia" w:ascii="宋体" w:hAnsi="宋体" w:eastAsia="宋体" w:cs="宋体"/>
                <w:b/>
                <w:bCs/>
                <w:color w:val="auto"/>
                <w:kern w:val="2"/>
                <w:sz w:val="24"/>
                <w:szCs w:val="24"/>
                <w:highlight w:val="none"/>
                <w:lang w:val="en-US" w:eastAsia="zh-CN"/>
              </w:rPr>
              <w:t>非强制性要求</w:t>
            </w:r>
            <w:r>
              <w:rPr>
                <w:rFonts w:hint="eastAsia" w:ascii="宋体" w:hAnsi="宋体" w:eastAsia="宋体" w:cs="宋体"/>
                <w:color w:val="auto"/>
                <w:kern w:val="2"/>
                <w:sz w:val="24"/>
                <w:szCs w:val="24"/>
                <w:highlight w:val="none"/>
                <w:lang w:val="en-US" w:eastAsia="zh-CN"/>
              </w:rPr>
              <w:t>，推荐EMS或顺丰邮寄形式）递交以介质（U盘）存储的数据电文形式的“备份投标文件”（与“电子加密投标文件”同时生成的数据电文形式的电子文件），“备份投标文件”应当密封包装并在包装上标注投标项目名称、投标人名称并加盖公章。</w:t>
            </w:r>
          </w:p>
          <w:p w14:paraId="325F9016">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注：“备份投标文件”接收地址为</w:t>
            </w:r>
            <w:r>
              <w:rPr>
                <w:rFonts w:hint="eastAsia" w:ascii="宋体" w:hAnsi="宋体" w:eastAsia="宋体" w:cs="宋体"/>
                <w:color w:val="auto"/>
                <w:kern w:val="2"/>
                <w:sz w:val="24"/>
                <w:szCs w:val="24"/>
                <w:highlight w:val="none"/>
                <w:u w:val="single"/>
                <w:lang w:val="en-US" w:eastAsia="zh-CN"/>
              </w:rPr>
              <w:t xml:space="preserve"> 浙江省衢州市衢江区东方广场7号楼405室 </w:t>
            </w:r>
            <w:r>
              <w:rPr>
                <w:rFonts w:hint="eastAsia" w:ascii="宋体" w:hAnsi="宋体" w:eastAsia="宋体" w:cs="宋体"/>
                <w:color w:val="auto"/>
                <w:kern w:val="2"/>
                <w:sz w:val="24"/>
                <w:szCs w:val="24"/>
                <w:highlight w:val="none"/>
                <w:lang w:val="en-US" w:eastAsia="zh-CN"/>
              </w:rPr>
              <w:t>，联系人：</w:t>
            </w:r>
            <w:r>
              <w:rPr>
                <w:rFonts w:hint="eastAsia" w:ascii="宋体" w:hAnsi="宋体" w:eastAsia="宋体" w:cs="宋体"/>
                <w:color w:val="auto"/>
                <w:kern w:val="2"/>
                <w:sz w:val="24"/>
                <w:szCs w:val="24"/>
                <w:highlight w:val="none"/>
                <w:u w:val="single"/>
                <w:lang w:val="en-US" w:eastAsia="zh-CN"/>
              </w:rPr>
              <w:t xml:space="preserve"> 李先生 </w:t>
            </w:r>
            <w:r>
              <w:rPr>
                <w:rFonts w:hint="eastAsia" w:ascii="宋体" w:hAnsi="宋体" w:eastAsia="宋体" w:cs="宋体"/>
                <w:color w:val="auto"/>
                <w:kern w:val="2"/>
                <w:sz w:val="24"/>
                <w:szCs w:val="24"/>
                <w:highlight w:val="none"/>
                <w:lang w:val="en-US" w:eastAsia="zh-CN"/>
              </w:rPr>
              <w:t>，联系电话：</w:t>
            </w:r>
            <w:r>
              <w:rPr>
                <w:rFonts w:hint="eastAsia" w:ascii="宋体" w:hAnsi="宋体" w:eastAsia="宋体" w:cs="宋体"/>
                <w:color w:val="auto"/>
                <w:kern w:val="2"/>
                <w:sz w:val="24"/>
                <w:szCs w:val="24"/>
                <w:highlight w:val="none"/>
                <w:u w:val="single"/>
                <w:lang w:val="en-US" w:eastAsia="zh-CN"/>
              </w:rPr>
              <w:t>13735093979</w:t>
            </w:r>
            <w:r>
              <w:rPr>
                <w:rFonts w:hint="eastAsia" w:ascii="宋体" w:hAnsi="宋体" w:eastAsia="宋体" w:cs="宋体"/>
                <w:color w:val="auto"/>
                <w:kern w:val="2"/>
                <w:sz w:val="24"/>
                <w:szCs w:val="24"/>
                <w:highlight w:val="none"/>
                <w:lang w:val="en-US" w:eastAsia="zh-CN"/>
              </w:rPr>
              <w:t>，“备份投标文件”递交截止时间为提交投标文件截止时间。供应商邮寄后可将邮件单号发送至代理机构电子邮箱（电子邮箱：</w:t>
            </w:r>
            <w:r>
              <w:rPr>
                <w:rFonts w:hint="eastAsia" w:ascii="宋体" w:hAnsi="宋体" w:eastAsia="宋体" w:cs="宋体"/>
                <w:color w:val="auto"/>
                <w:kern w:val="2"/>
                <w:sz w:val="24"/>
                <w:szCs w:val="24"/>
                <w:highlight w:val="none"/>
                <w:u w:val="single"/>
                <w:lang w:val="en-US" w:eastAsia="zh-CN"/>
              </w:rPr>
              <w:t xml:space="preserve"> 915482302@qq.com </w:t>
            </w:r>
            <w:r>
              <w:rPr>
                <w:rFonts w:hint="eastAsia" w:ascii="宋体" w:hAnsi="宋体" w:eastAsia="宋体" w:cs="宋体"/>
                <w:color w:val="auto"/>
                <w:kern w:val="2"/>
                <w:sz w:val="24"/>
                <w:szCs w:val="24"/>
                <w:highlight w:val="none"/>
                <w:lang w:val="en-US" w:eastAsia="zh-CN"/>
              </w:rPr>
              <w:t>），以便采购代理机构查询物流记录。各供应商应当确保“备份投标文件”的密封包装在邮寄过程保持完好，因邮寄造成“备份投标文件”密封破损而不符合采购文件对“备份投标文件”的密封要求、或邮寄过程中导致“备份投标文件”未按招标公告规定时限前送达的，代理机构将拒绝其“备份投标文件”。各供应商自行考虑邮寄在途时间，“备份投标文件”送达时间以代理机构工作人员实际签收时间为准。</w:t>
            </w:r>
          </w:p>
        </w:tc>
      </w:tr>
      <w:tr w14:paraId="6404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6DB1417">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1"/>
                <w:szCs w:val="21"/>
                <w:highlight w:val="none"/>
                <w:lang w:val="en-US" w:eastAsia="zh-CN" w:bidi="ar-SA"/>
              </w:rPr>
            </w:pPr>
            <w:r>
              <w:rPr>
                <w:rStyle w:val="32"/>
                <w:rFonts w:hint="eastAsia" w:ascii="宋体" w:hAnsi="宋体" w:eastAsia="宋体" w:cs="宋体"/>
                <w:highlight w:val="none"/>
                <w:lang w:val="en-US" w:eastAsia="zh-CN"/>
              </w:rPr>
              <w:t>18</w:t>
            </w:r>
          </w:p>
        </w:tc>
        <w:tc>
          <w:tcPr>
            <w:tcW w:w="2200" w:type="dxa"/>
            <w:vAlign w:val="center"/>
          </w:tcPr>
          <w:p w14:paraId="27B53B41">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投标文件有效期</w:t>
            </w:r>
          </w:p>
        </w:tc>
        <w:tc>
          <w:tcPr>
            <w:tcW w:w="6538" w:type="dxa"/>
            <w:vAlign w:val="center"/>
          </w:tcPr>
          <w:p w14:paraId="0C9B722F">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自投标截止时间起不少于90天。</w:t>
            </w:r>
          </w:p>
        </w:tc>
      </w:tr>
      <w:tr w14:paraId="562D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6ED7500">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19</w:t>
            </w:r>
          </w:p>
        </w:tc>
        <w:tc>
          <w:tcPr>
            <w:tcW w:w="2200" w:type="dxa"/>
            <w:vAlign w:val="center"/>
          </w:tcPr>
          <w:p w14:paraId="5F055F3F">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投标文件的形式</w:t>
            </w:r>
          </w:p>
        </w:tc>
        <w:tc>
          <w:tcPr>
            <w:tcW w:w="6538" w:type="dxa"/>
            <w:vAlign w:val="center"/>
          </w:tcPr>
          <w:p w14:paraId="0B3FD2F5">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电子投标文件（包括“电子加密投标文件”和“备份投标文件”，在投标文件编制完成后同时生成）；</w:t>
            </w:r>
          </w:p>
          <w:p w14:paraId="03234886">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（1）“电子加密投标文件”是指通过“政采云电子交易客户端”完成投标文件编制后生成并加密的数据电文形式的投标文件。</w:t>
            </w:r>
          </w:p>
          <w:p w14:paraId="1EA78D3D">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（2）“备份投标文件”是指与“电子加密投标文件”同时生成的数据电文形式的电子文件（备份标书），其他方式编制的备份投标文件视为无效备份投标文件。</w:t>
            </w:r>
          </w:p>
        </w:tc>
      </w:tr>
      <w:tr w14:paraId="53D0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3AF91CD1">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20</w:t>
            </w:r>
          </w:p>
        </w:tc>
        <w:tc>
          <w:tcPr>
            <w:tcW w:w="2200" w:type="dxa"/>
            <w:vAlign w:val="center"/>
          </w:tcPr>
          <w:p w14:paraId="35908EB3">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投标样品</w:t>
            </w:r>
          </w:p>
        </w:tc>
        <w:tc>
          <w:tcPr>
            <w:tcW w:w="6538" w:type="dxa"/>
            <w:vAlign w:val="center"/>
          </w:tcPr>
          <w:p w14:paraId="36B41D05">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本项目是否需要样品：</w:t>
            </w:r>
            <w:r>
              <w:rPr>
                <w:rFonts w:hint="eastAsia" w:ascii="宋体" w:hAnsi="宋体" w:eastAsia="宋体" w:cs="宋体"/>
                <w:color w:val="auto"/>
                <w:kern w:val="2"/>
                <w:sz w:val="24"/>
                <w:szCs w:val="24"/>
                <w:highlight w:val="none"/>
                <w:lang w:val="zh-CN" w:eastAsia="zh-CN"/>
              </w:rPr>
              <w:t>否；</w:t>
            </w:r>
          </w:p>
        </w:tc>
      </w:tr>
      <w:tr w14:paraId="5DA9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6C49707">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default" w:ascii="宋体" w:hAnsi="宋体" w:eastAsia="宋体" w:cs="宋体"/>
                <w:highlight w:val="none"/>
                <w:lang w:val="en-US" w:eastAsia="zh-CN"/>
              </w:rPr>
            </w:pPr>
            <w:r>
              <w:rPr>
                <w:rStyle w:val="32"/>
                <w:rFonts w:hint="eastAsia" w:ascii="宋体" w:hAnsi="宋体" w:cs="宋体"/>
                <w:highlight w:val="none"/>
                <w:lang w:val="en-US" w:eastAsia="zh-CN"/>
              </w:rPr>
              <w:t>21</w:t>
            </w:r>
          </w:p>
        </w:tc>
        <w:tc>
          <w:tcPr>
            <w:tcW w:w="2200" w:type="dxa"/>
            <w:vAlign w:val="center"/>
          </w:tcPr>
          <w:p w14:paraId="550884D2">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演示视频</w:t>
            </w:r>
          </w:p>
        </w:tc>
        <w:tc>
          <w:tcPr>
            <w:tcW w:w="6538" w:type="dxa"/>
            <w:vAlign w:val="center"/>
          </w:tcPr>
          <w:p w14:paraId="7E401CF1">
            <w:pPr>
              <w:pStyle w:val="13"/>
              <w:snapToGrid w:val="0"/>
              <w:spacing w:line="60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1．本项目是否需要</w:t>
            </w:r>
            <w:r>
              <w:rPr>
                <w:rFonts w:hint="eastAsia" w:ascii="宋体" w:hAnsi="宋体" w:eastAsia="宋体" w:cs="宋体"/>
                <w:sz w:val="24"/>
                <w:szCs w:val="24"/>
                <w:highlight w:val="none"/>
                <w:lang w:val="en-US" w:eastAsia="zh-CN"/>
              </w:rPr>
              <w:t>演示视频</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val="zh-CN"/>
              </w:rPr>
              <w:t>否；</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是，详见第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 xml:space="preserve">章 </w:t>
            </w:r>
            <w:r>
              <w:rPr>
                <w:rFonts w:hint="eastAsia" w:ascii="宋体" w:hAnsi="宋体" w:eastAsia="宋体" w:cs="宋体"/>
                <w:sz w:val="24"/>
                <w:szCs w:val="24"/>
                <w:highlight w:val="none"/>
                <w:lang w:val="zh-CN" w:eastAsia="zh-CN"/>
              </w:rPr>
              <w:t>评标办法及开标程序</w:t>
            </w:r>
            <w:r>
              <w:rPr>
                <w:rFonts w:hint="eastAsia" w:ascii="宋体" w:hAnsi="宋体" w:eastAsia="宋体" w:cs="宋体"/>
                <w:sz w:val="24"/>
                <w:szCs w:val="24"/>
                <w:highlight w:val="none"/>
              </w:rPr>
              <w:t>。</w:t>
            </w:r>
          </w:p>
          <w:p w14:paraId="0FD04C00">
            <w:pPr>
              <w:pStyle w:val="13"/>
              <w:snapToGrid w:val="0"/>
              <w:spacing w:line="6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演示视频</w:t>
            </w:r>
            <w:r>
              <w:rPr>
                <w:rFonts w:hint="eastAsia" w:ascii="宋体" w:hAnsi="宋体" w:eastAsia="宋体" w:cs="宋体"/>
                <w:sz w:val="24"/>
                <w:szCs w:val="24"/>
                <w:highlight w:val="none"/>
              </w:rPr>
              <w:t>标识：☑</w:t>
            </w:r>
            <w:r>
              <w:rPr>
                <w:rFonts w:hint="eastAsia" w:ascii="宋体" w:hAnsi="宋体" w:eastAsia="宋体" w:cs="宋体"/>
                <w:sz w:val="24"/>
                <w:szCs w:val="24"/>
                <w:highlight w:val="none"/>
                <w:lang w:val="zh-CN"/>
              </w:rPr>
              <w:t>明标；</w:t>
            </w:r>
            <w:r>
              <w:rPr>
                <w:rFonts w:hint="eastAsia" w:ascii="宋体" w:hAnsi="宋体" w:eastAsia="宋体" w:cs="宋体"/>
                <w:sz w:val="24"/>
                <w:szCs w:val="24"/>
                <w:highlight w:val="none"/>
              </w:rPr>
              <w:t>□暗标。</w:t>
            </w:r>
          </w:p>
          <w:p w14:paraId="317E8E84">
            <w:pPr>
              <w:pStyle w:val="13"/>
              <w:snapToGrid w:val="0"/>
              <w:spacing w:line="6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演示视频</w:t>
            </w:r>
            <w:r>
              <w:rPr>
                <w:rFonts w:hint="eastAsia" w:ascii="宋体" w:hAnsi="宋体" w:eastAsia="宋体" w:cs="宋体"/>
                <w:sz w:val="24"/>
                <w:szCs w:val="24"/>
                <w:highlight w:val="none"/>
              </w:rPr>
              <w:t>送至地点：</w:t>
            </w:r>
            <w:r>
              <w:rPr>
                <w:rFonts w:hint="eastAsia" w:ascii="宋体" w:hAnsi="宋体" w:eastAsia="宋体" w:cs="宋体"/>
                <w:b/>
                <w:bCs/>
                <w:sz w:val="24"/>
                <w:szCs w:val="24"/>
                <w:highlight w:val="none"/>
                <w:u w:val="single"/>
              </w:rPr>
              <w:t xml:space="preserve"> 浙江省衢州市衢江区东方广场7号楼405室（邮寄方式签收地址）或衢州市</w:t>
            </w:r>
            <w:r>
              <w:rPr>
                <w:rFonts w:hint="eastAsia" w:ascii="宋体" w:hAnsi="宋体" w:eastAsia="宋体" w:cs="宋体"/>
                <w:b/>
                <w:bCs/>
                <w:sz w:val="24"/>
                <w:szCs w:val="24"/>
                <w:highlight w:val="none"/>
                <w:u w:val="single"/>
                <w:lang w:val="en-US" w:eastAsia="zh-CN"/>
              </w:rPr>
              <w:t>衢江区</w:t>
            </w:r>
            <w:r>
              <w:rPr>
                <w:rFonts w:hint="eastAsia" w:ascii="宋体" w:hAnsi="宋体" w:eastAsia="宋体" w:cs="宋体"/>
                <w:b/>
                <w:bCs/>
                <w:sz w:val="24"/>
                <w:szCs w:val="24"/>
                <w:highlight w:val="none"/>
                <w:u w:val="single"/>
              </w:rPr>
              <w:t>公共资源交易中心</w:t>
            </w:r>
            <w:r>
              <w:rPr>
                <w:rFonts w:hint="eastAsia"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rPr>
              <w:t>楼（衢江区水利局</w:t>
            </w:r>
            <w:r>
              <w:rPr>
                <w:rFonts w:hint="eastAsia"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rPr>
              <w:t>楼）开标室（</w:t>
            </w:r>
            <w:r>
              <w:rPr>
                <w:rFonts w:hint="eastAsia" w:ascii="宋体" w:hAnsi="宋体" w:eastAsia="宋体" w:cs="宋体"/>
                <w:b/>
                <w:bCs/>
                <w:sz w:val="24"/>
                <w:szCs w:val="24"/>
                <w:highlight w:val="none"/>
                <w:u w:val="single"/>
                <w:lang w:val="en-US" w:eastAsia="zh-CN"/>
              </w:rPr>
              <w:t>供应商</w:t>
            </w:r>
            <w:r>
              <w:rPr>
                <w:rFonts w:hint="eastAsia" w:ascii="宋体" w:hAnsi="宋体" w:eastAsia="宋体" w:cs="宋体"/>
                <w:b/>
                <w:bCs/>
                <w:sz w:val="24"/>
                <w:szCs w:val="24"/>
                <w:highlight w:val="none"/>
                <w:u w:val="single"/>
              </w:rPr>
              <w:t xml:space="preserve">自行送达地址） </w:t>
            </w:r>
            <w:r>
              <w:rPr>
                <w:rFonts w:hint="eastAsia" w:ascii="宋体" w:hAnsi="宋体" w:eastAsia="宋体" w:cs="宋体"/>
                <w:sz w:val="24"/>
                <w:szCs w:val="24"/>
                <w:highlight w:val="none"/>
                <w:u w:val="single"/>
              </w:rPr>
              <w:t>。</w:t>
            </w:r>
          </w:p>
          <w:p w14:paraId="4576B883">
            <w:pPr>
              <w:pStyle w:val="13"/>
              <w:snapToGrid w:val="0"/>
              <w:spacing w:line="6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演示视频</w:t>
            </w:r>
            <w:r>
              <w:rPr>
                <w:rFonts w:hint="eastAsia" w:ascii="宋体" w:hAnsi="宋体" w:eastAsia="宋体" w:cs="宋体"/>
                <w:sz w:val="24"/>
                <w:szCs w:val="24"/>
                <w:highlight w:val="none"/>
              </w:rPr>
              <w:t>送至时间：</w:t>
            </w:r>
            <w:r>
              <w:rPr>
                <w:rFonts w:hint="eastAsia" w:ascii="宋体" w:hAnsi="宋体" w:eastAsia="宋体" w:cs="宋体"/>
                <w:sz w:val="24"/>
                <w:szCs w:val="24"/>
                <w:highlight w:val="none"/>
                <w:u w:val="single"/>
              </w:rPr>
              <w:t>提交</w:t>
            </w:r>
            <w:r>
              <w:rPr>
                <w:rFonts w:hint="eastAsia" w:ascii="宋体" w:hAnsi="宋体" w:eastAsia="宋体" w:cs="宋体"/>
                <w:sz w:val="24"/>
                <w:szCs w:val="24"/>
                <w:highlight w:val="none"/>
                <w:u w:val="single"/>
                <w:lang w:val="en-US" w:eastAsia="zh-CN"/>
              </w:rPr>
              <w:t>投标</w:t>
            </w:r>
            <w:r>
              <w:rPr>
                <w:rFonts w:hint="eastAsia" w:ascii="宋体" w:hAnsi="宋体" w:eastAsia="宋体" w:cs="宋体"/>
                <w:sz w:val="24"/>
                <w:szCs w:val="24"/>
                <w:highlight w:val="none"/>
                <w:u w:val="single"/>
              </w:rPr>
              <w:t>文件截止时间前。</w:t>
            </w:r>
          </w:p>
          <w:p w14:paraId="6698A875">
            <w:pPr>
              <w:pStyle w:val="13"/>
              <w:snapToGrid w:val="0"/>
              <w:spacing w:line="6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演示视频</w:t>
            </w:r>
            <w:r>
              <w:rPr>
                <w:rFonts w:hint="eastAsia" w:ascii="宋体" w:hAnsi="宋体" w:eastAsia="宋体" w:cs="宋体"/>
                <w:sz w:val="24"/>
                <w:szCs w:val="24"/>
                <w:highlight w:val="none"/>
              </w:rPr>
              <w:t>递交要求：</w:t>
            </w:r>
            <w:r>
              <w:rPr>
                <w:rFonts w:hint="eastAsia" w:ascii="宋体" w:hAnsi="宋体" w:eastAsia="宋体" w:cs="宋体"/>
                <w:sz w:val="24"/>
                <w:szCs w:val="24"/>
                <w:highlight w:val="none"/>
                <w:u w:val="single"/>
              </w:rPr>
              <w:t>供应商可以</w:t>
            </w:r>
            <w:r>
              <w:rPr>
                <w:rFonts w:hint="eastAsia" w:ascii="宋体" w:hAnsi="宋体" w:eastAsia="宋体" w:cs="宋体"/>
                <w:sz w:val="24"/>
                <w:szCs w:val="24"/>
                <w:highlight w:val="none"/>
                <w:u w:val="single"/>
                <w:lang w:val="en-US" w:eastAsia="zh-CN"/>
              </w:rPr>
              <w:t>邮寄方式</w:t>
            </w:r>
            <w:r>
              <w:rPr>
                <w:rFonts w:hint="eastAsia" w:ascii="宋体" w:hAnsi="宋体" w:eastAsia="宋体" w:cs="宋体"/>
                <w:sz w:val="24"/>
                <w:szCs w:val="24"/>
                <w:highlight w:val="none"/>
                <w:u w:val="single"/>
              </w:rPr>
              <w:t>（</w:t>
            </w:r>
            <w:r>
              <w:rPr>
                <w:rFonts w:hint="eastAsia" w:ascii="宋体" w:hAnsi="宋体" w:eastAsia="宋体" w:cs="宋体"/>
                <w:b/>
                <w:bCs/>
                <w:sz w:val="24"/>
                <w:szCs w:val="24"/>
                <w:highlight w:val="none"/>
                <w:u w:val="single"/>
              </w:rPr>
              <w:t>非强制性要求</w:t>
            </w:r>
            <w:r>
              <w:rPr>
                <w:rFonts w:hint="eastAsia" w:ascii="宋体" w:hAnsi="宋体" w:eastAsia="宋体" w:cs="宋体"/>
                <w:sz w:val="24"/>
                <w:szCs w:val="24"/>
                <w:highlight w:val="none"/>
                <w:u w:val="single"/>
              </w:rPr>
              <w:t>，推荐EMS或顺丰邮寄形式）递交或</w:t>
            </w:r>
            <w:r>
              <w:rPr>
                <w:rFonts w:hint="eastAsia" w:ascii="宋体" w:hAnsi="宋体" w:eastAsia="宋体" w:cs="宋体"/>
                <w:b/>
                <w:bCs/>
                <w:sz w:val="24"/>
                <w:szCs w:val="24"/>
                <w:highlight w:val="none"/>
                <w:u w:val="single"/>
              </w:rPr>
              <w:t>由</w:t>
            </w:r>
            <w:r>
              <w:rPr>
                <w:rFonts w:hint="eastAsia" w:ascii="宋体" w:hAnsi="宋体" w:eastAsia="宋体" w:cs="宋体"/>
                <w:b/>
                <w:bCs/>
                <w:sz w:val="24"/>
                <w:szCs w:val="24"/>
                <w:highlight w:val="none"/>
                <w:u w:val="single"/>
                <w:lang w:val="en-US" w:eastAsia="zh-CN"/>
              </w:rPr>
              <w:t>供应商</w:t>
            </w:r>
            <w:r>
              <w:rPr>
                <w:rFonts w:hint="eastAsia" w:ascii="宋体" w:hAnsi="宋体" w:eastAsia="宋体" w:cs="宋体"/>
                <w:b/>
                <w:bCs/>
                <w:sz w:val="24"/>
                <w:szCs w:val="24"/>
                <w:highlight w:val="none"/>
                <w:u w:val="single"/>
              </w:rPr>
              <w:t>自行送至开标地点【衢州市</w:t>
            </w:r>
            <w:r>
              <w:rPr>
                <w:rFonts w:hint="eastAsia" w:ascii="宋体" w:hAnsi="宋体" w:eastAsia="宋体" w:cs="宋体"/>
                <w:b/>
                <w:bCs/>
                <w:sz w:val="24"/>
                <w:szCs w:val="24"/>
                <w:highlight w:val="none"/>
                <w:u w:val="single"/>
                <w:lang w:val="en-US" w:eastAsia="zh-CN"/>
              </w:rPr>
              <w:t>衢江区</w:t>
            </w:r>
            <w:r>
              <w:rPr>
                <w:rFonts w:hint="eastAsia" w:ascii="宋体" w:hAnsi="宋体" w:eastAsia="宋体" w:cs="宋体"/>
                <w:b/>
                <w:bCs/>
                <w:sz w:val="24"/>
                <w:szCs w:val="24"/>
                <w:highlight w:val="none"/>
                <w:u w:val="single"/>
              </w:rPr>
              <w:t>公共资源交易中心</w:t>
            </w:r>
            <w:r>
              <w:rPr>
                <w:rFonts w:hint="eastAsia"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rPr>
              <w:t>楼（衢江区水利局</w:t>
            </w:r>
            <w:r>
              <w:rPr>
                <w:rFonts w:hint="eastAsia"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rPr>
              <w:t>楼）开标室】</w:t>
            </w:r>
            <w:r>
              <w:rPr>
                <w:rFonts w:hint="eastAsia" w:ascii="宋体" w:hAnsi="宋体" w:eastAsia="宋体" w:cs="宋体"/>
                <w:sz w:val="24"/>
                <w:szCs w:val="24"/>
                <w:highlight w:val="none"/>
                <w:u w:val="single"/>
              </w:rPr>
              <w:t>以介质（U盘）存储的数据电文形式的“演示视频”，演示内容详见第</w:t>
            </w:r>
            <w:r>
              <w:rPr>
                <w:rFonts w:hint="eastAsia" w:ascii="宋体" w:hAnsi="宋体" w:eastAsia="宋体" w:cs="宋体"/>
                <w:sz w:val="24"/>
                <w:szCs w:val="24"/>
                <w:highlight w:val="none"/>
                <w:u w:val="single"/>
                <w:lang w:val="en-US" w:eastAsia="zh-CN"/>
              </w:rPr>
              <w:t>六</w:t>
            </w:r>
            <w:r>
              <w:rPr>
                <w:rFonts w:hint="eastAsia" w:ascii="宋体" w:hAnsi="宋体" w:eastAsia="宋体" w:cs="宋体"/>
                <w:sz w:val="24"/>
                <w:szCs w:val="24"/>
                <w:highlight w:val="none"/>
                <w:u w:val="single"/>
              </w:rPr>
              <w:t xml:space="preserve">章 </w:t>
            </w:r>
            <w:r>
              <w:rPr>
                <w:rFonts w:hint="eastAsia" w:ascii="宋体" w:hAnsi="宋体" w:eastAsia="宋体" w:cs="宋体"/>
                <w:sz w:val="24"/>
                <w:szCs w:val="24"/>
                <w:highlight w:val="none"/>
                <w:u w:val="single"/>
                <w:lang w:val="zh-CN" w:eastAsia="zh-CN"/>
              </w:rPr>
              <w:t>评标办法及开标程序</w:t>
            </w:r>
            <w:r>
              <w:rPr>
                <w:rFonts w:hint="eastAsia" w:ascii="宋体" w:hAnsi="宋体" w:eastAsia="宋体" w:cs="宋体"/>
                <w:sz w:val="24"/>
                <w:szCs w:val="24"/>
                <w:highlight w:val="none"/>
                <w:u w:val="single"/>
              </w:rPr>
              <w:t>。</w:t>
            </w:r>
          </w:p>
          <w:p w14:paraId="3343AC02">
            <w:pPr>
              <w:pStyle w:val="13"/>
              <w:snapToGrid w:val="0"/>
              <w:spacing w:line="6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演示视频</w:t>
            </w:r>
            <w:r>
              <w:rPr>
                <w:rFonts w:hint="eastAsia" w:ascii="宋体" w:hAnsi="宋体" w:eastAsia="宋体" w:cs="宋体"/>
                <w:sz w:val="24"/>
                <w:szCs w:val="24"/>
                <w:highlight w:val="none"/>
              </w:rPr>
              <w:t>封装要求</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演示视频</w:t>
            </w:r>
            <w:r>
              <w:rPr>
                <w:rFonts w:hint="eastAsia" w:ascii="宋体" w:hAnsi="宋体" w:eastAsia="宋体" w:cs="宋体"/>
                <w:sz w:val="24"/>
                <w:szCs w:val="24"/>
                <w:highlight w:val="none"/>
                <w:u w:val="single"/>
              </w:rPr>
              <w:t>包装物的正面应写明项目名称、</w:t>
            </w:r>
            <w:r>
              <w:rPr>
                <w:rFonts w:hint="eastAsia" w:ascii="宋体" w:hAnsi="宋体" w:eastAsia="宋体" w:cs="宋体"/>
                <w:sz w:val="24"/>
                <w:szCs w:val="24"/>
                <w:highlight w:val="none"/>
                <w:u w:val="single"/>
                <w:lang w:val="en-US" w:eastAsia="zh-CN"/>
              </w:rPr>
              <w:t>供应商</w:t>
            </w:r>
            <w:r>
              <w:rPr>
                <w:rFonts w:hint="eastAsia" w:ascii="宋体" w:hAnsi="宋体" w:eastAsia="宋体" w:cs="宋体"/>
                <w:sz w:val="24"/>
                <w:szCs w:val="24"/>
                <w:highlight w:val="none"/>
                <w:u w:val="single"/>
              </w:rPr>
              <w:t>全称，</w:t>
            </w:r>
            <w:r>
              <w:rPr>
                <w:rFonts w:hint="eastAsia" w:ascii="宋体" w:hAnsi="宋体" w:eastAsia="宋体" w:cs="宋体"/>
                <w:b/>
                <w:bCs/>
                <w:sz w:val="24"/>
                <w:szCs w:val="24"/>
                <w:highlight w:val="none"/>
                <w:u w:val="single"/>
              </w:rPr>
              <w:t>写明文件类型（</w:t>
            </w:r>
            <w:r>
              <w:rPr>
                <w:rFonts w:hint="eastAsia" w:ascii="宋体" w:hAnsi="宋体" w:eastAsia="宋体" w:cs="宋体"/>
                <w:b/>
                <w:bCs/>
                <w:sz w:val="24"/>
                <w:szCs w:val="24"/>
                <w:highlight w:val="none"/>
                <w:u w:val="single"/>
                <w:lang w:val="en-US" w:eastAsia="zh-CN"/>
              </w:rPr>
              <w:t>演示视频</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u w:val="single"/>
              </w:rPr>
              <w:t>，并注明“在202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年</w:t>
            </w:r>
            <w:r>
              <w:rPr>
                <w:rFonts w:hint="eastAsia" w:hAnsi="宋体" w:cs="宋体"/>
                <w:sz w:val="24"/>
                <w:szCs w:val="24"/>
                <w:highlight w:val="none"/>
                <w:u w:val="single"/>
                <w:lang w:val="en-US" w:eastAsia="zh-CN"/>
              </w:rPr>
              <w:t>6</w:t>
            </w:r>
            <w:r>
              <w:rPr>
                <w:rFonts w:hint="eastAsia" w:ascii="宋体" w:hAnsi="宋体" w:eastAsia="宋体" w:cs="宋体"/>
                <w:sz w:val="24"/>
                <w:szCs w:val="24"/>
                <w:highlight w:val="none"/>
                <w:u w:val="single"/>
              </w:rPr>
              <w:t>月</w:t>
            </w:r>
            <w:r>
              <w:rPr>
                <w:rFonts w:hint="eastAsia" w:hAnsi="宋体" w:cs="宋体"/>
                <w:sz w:val="24"/>
                <w:szCs w:val="24"/>
                <w:highlight w:val="none"/>
                <w:u w:val="single"/>
                <w:lang w:val="en-US" w:eastAsia="zh-CN"/>
              </w:rPr>
              <w:t>16</w:t>
            </w:r>
            <w:r>
              <w:rPr>
                <w:rFonts w:hint="eastAsia" w:ascii="宋体" w:hAnsi="宋体" w:eastAsia="宋体" w:cs="宋体"/>
                <w:sz w:val="24"/>
                <w:szCs w:val="24"/>
                <w:highlight w:val="none"/>
                <w:u w:val="single"/>
              </w:rPr>
              <w:t>日</w:t>
            </w:r>
            <w:r>
              <w:rPr>
                <w:rFonts w:hint="eastAsia" w:hAnsi="宋体" w:cs="宋体"/>
                <w:sz w:val="24"/>
                <w:szCs w:val="24"/>
                <w:highlight w:val="none"/>
                <w:u w:val="single"/>
                <w:lang w:val="en-US" w:eastAsia="zh-CN"/>
              </w:rPr>
              <w:t>09</w:t>
            </w:r>
            <w:r>
              <w:rPr>
                <w:rFonts w:hint="eastAsia" w:ascii="宋体" w:hAnsi="宋体" w:eastAsia="宋体" w:cs="宋体"/>
                <w:sz w:val="24"/>
                <w:szCs w:val="24"/>
                <w:highlight w:val="none"/>
                <w:u w:val="single"/>
              </w:rPr>
              <w:t>时</w:t>
            </w:r>
            <w:r>
              <w:rPr>
                <w:rFonts w:hint="eastAsia" w:hAnsi="宋体" w:cs="宋体"/>
                <w:sz w:val="24"/>
                <w:szCs w:val="24"/>
                <w:highlight w:val="none"/>
                <w:u w:val="single"/>
                <w:lang w:val="en-US" w:eastAsia="zh-CN"/>
              </w:rPr>
              <w:t>30</w:t>
            </w:r>
            <w:r>
              <w:rPr>
                <w:rFonts w:hint="eastAsia" w:ascii="宋体" w:hAnsi="宋体" w:eastAsia="宋体" w:cs="宋体"/>
                <w:sz w:val="24"/>
                <w:szCs w:val="24"/>
                <w:highlight w:val="none"/>
                <w:u w:val="single"/>
              </w:rPr>
              <w:t>分前不得启封”，封口处要密封并加盖</w:t>
            </w:r>
            <w:r>
              <w:rPr>
                <w:rFonts w:hint="eastAsia" w:ascii="宋体" w:hAnsi="宋体" w:eastAsia="宋体" w:cs="宋体"/>
                <w:sz w:val="24"/>
                <w:szCs w:val="24"/>
                <w:highlight w:val="none"/>
                <w:u w:val="single"/>
                <w:lang w:val="en-US" w:eastAsia="zh-CN"/>
              </w:rPr>
              <w:t>供应商</w:t>
            </w:r>
            <w:r>
              <w:rPr>
                <w:rFonts w:hint="eastAsia" w:ascii="宋体" w:hAnsi="宋体" w:eastAsia="宋体" w:cs="宋体"/>
                <w:sz w:val="24"/>
                <w:szCs w:val="24"/>
                <w:highlight w:val="none"/>
                <w:u w:val="single"/>
              </w:rPr>
              <w:t>公章。未按要求提供的</w:t>
            </w:r>
            <w:r>
              <w:rPr>
                <w:rFonts w:hint="eastAsia" w:ascii="宋体" w:hAnsi="宋体" w:eastAsia="宋体" w:cs="宋体"/>
                <w:sz w:val="24"/>
                <w:szCs w:val="24"/>
                <w:highlight w:val="none"/>
                <w:u w:val="single"/>
                <w:lang w:val="en-US" w:eastAsia="zh-CN"/>
              </w:rPr>
              <w:t>演示视频</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采购人</w:t>
            </w:r>
            <w:r>
              <w:rPr>
                <w:rFonts w:hint="eastAsia" w:ascii="宋体" w:hAnsi="宋体" w:eastAsia="宋体" w:cs="宋体"/>
                <w:sz w:val="24"/>
                <w:szCs w:val="24"/>
                <w:highlight w:val="none"/>
                <w:u w:val="single"/>
              </w:rPr>
              <w:t>将不予接受。</w:t>
            </w:r>
          </w:p>
          <w:p w14:paraId="799D4050">
            <w:pPr>
              <w:pStyle w:val="13"/>
              <w:snapToGrid w:val="0"/>
              <w:spacing w:line="6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中标候选人演示视频</w:t>
            </w:r>
            <w:r>
              <w:rPr>
                <w:rFonts w:hint="eastAsia" w:ascii="宋体" w:hAnsi="宋体" w:eastAsia="宋体" w:cs="宋体"/>
                <w:sz w:val="24"/>
                <w:szCs w:val="24"/>
                <w:highlight w:val="none"/>
              </w:rPr>
              <w:t>处理：□退还；☑封存至验收；□抵扣采购数量。</w:t>
            </w:r>
          </w:p>
          <w:p w14:paraId="7246FB4F">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演示视频</w:t>
            </w:r>
            <w:r>
              <w:rPr>
                <w:rFonts w:hint="eastAsia" w:ascii="宋体" w:hAnsi="宋体" w:eastAsia="宋体" w:cs="宋体"/>
                <w:sz w:val="24"/>
                <w:szCs w:val="24"/>
                <w:highlight w:val="none"/>
              </w:rPr>
              <w:t>退还时间：</w:t>
            </w:r>
            <w:r>
              <w:rPr>
                <w:rFonts w:hint="eastAsia" w:ascii="宋体" w:hAnsi="宋体" w:eastAsia="宋体" w:cs="宋体"/>
                <w:sz w:val="24"/>
                <w:szCs w:val="24"/>
                <w:highlight w:val="none"/>
                <w:u w:val="single"/>
              </w:rPr>
              <w:t>采购活动结束后，对于推荐为</w:t>
            </w:r>
            <w:r>
              <w:rPr>
                <w:rFonts w:hint="eastAsia" w:ascii="宋体" w:hAnsi="宋体" w:eastAsia="宋体" w:cs="宋体"/>
                <w:sz w:val="24"/>
                <w:szCs w:val="24"/>
                <w:highlight w:val="none"/>
                <w:u w:val="single"/>
                <w:lang w:val="en-US" w:eastAsia="zh-CN"/>
              </w:rPr>
              <w:t>中标候选人</w:t>
            </w:r>
            <w:r>
              <w:rPr>
                <w:rFonts w:hint="eastAsia" w:ascii="宋体" w:hAnsi="宋体" w:eastAsia="宋体" w:cs="宋体"/>
                <w:sz w:val="24"/>
                <w:szCs w:val="24"/>
                <w:highlight w:val="none"/>
                <w:u w:val="single"/>
              </w:rPr>
              <w:t>提供的</w:t>
            </w:r>
            <w:r>
              <w:rPr>
                <w:rFonts w:hint="eastAsia" w:ascii="宋体" w:hAnsi="宋体" w:eastAsia="宋体" w:cs="宋体"/>
                <w:sz w:val="24"/>
                <w:szCs w:val="24"/>
                <w:highlight w:val="none"/>
                <w:u w:val="single"/>
                <w:lang w:val="en-US" w:eastAsia="zh-CN"/>
              </w:rPr>
              <w:t>演示视频</w:t>
            </w:r>
            <w:r>
              <w:rPr>
                <w:rFonts w:hint="eastAsia" w:ascii="宋体" w:hAnsi="宋体" w:eastAsia="宋体" w:cs="宋体"/>
                <w:sz w:val="24"/>
                <w:szCs w:val="24"/>
                <w:highlight w:val="none"/>
                <w:u w:val="single"/>
              </w:rPr>
              <w:t>，采购人将进行保管、封存，不予退回，并作为履约验收的参考。其余</w:t>
            </w:r>
            <w:r>
              <w:rPr>
                <w:rFonts w:hint="eastAsia" w:ascii="宋体" w:hAnsi="宋体" w:eastAsia="宋体" w:cs="宋体"/>
                <w:sz w:val="24"/>
                <w:szCs w:val="24"/>
                <w:highlight w:val="none"/>
                <w:u w:val="single"/>
                <w:lang w:val="en-US" w:eastAsia="zh-CN"/>
              </w:rPr>
              <w:t>供应商</w:t>
            </w:r>
            <w:r>
              <w:rPr>
                <w:rFonts w:hint="eastAsia" w:ascii="宋体" w:hAnsi="宋体" w:eastAsia="宋体" w:cs="宋体"/>
                <w:sz w:val="24"/>
                <w:szCs w:val="24"/>
                <w:highlight w:val="none"/>
                <w:u w:val="single"/>
              </w:rPr>
              <w:t>的</w:t>
            </w:r>
            <w:r>
              <w:rPr>
                <w:rFonts w:hint="eastAsia" w:ascii="宋体" w:hAnsi="宋体" w:eastAsia="宋体" w:cs="宋体"/>
                <w:sz w:val="24"/>
                <w:szCs w:val="24"/>
                <w:highlight w:val="none"/>
                <w:u w:val="single"/>
                <w:lang w:val="en-US" w:eastAsia="zh-CN"/>
              </w:rPr>
              <w:t>演示视频</w:t>
            </w:r>
            <w:r>
              <w:rPr>
                <w:rFonts w:hint="eastAsia" w:ascii="宋体" w:hAnsi="宋体" w:eastAsia="宋体" w:cs="宋体"/>
                <w:sz w:val="24"/>
                <w:szCs w:val="24"/>
                <w:highlight w:val="none"/>
                <w:u w:val="single"/>
              </w:rPr>
              <w:t>在</w:t>
            </w:r>
            <w:r>
              <w:rPr>
                <w:rFonts w:hint="eastAsia" w:ascii="宋体" w:hAnsi="宋体" w:eastAsia="宋体" w:cs="宋体"/>
                <w:sz w:val="24"/>
                <w:szCs w:val="24"/>
                <w:highlight w:val="none"/>
                <w:u w:val="single"/>
                <w:lang w:val="en-US" w:eastAsia="zh-CN"/>
              </w:rPr>
              <w:t>评审</w:t>
            </w:r>
            <w:r>
              <w:rPr>
                <w:rFonts w:hint="eastAsia" w:ascii="宋体" w:hAnsi="宋体" w:eastAsia="宋体" w:cs="宋体"/>
                <w:sz w:val="24"/>
                <w:szCs w:val="24"/>
                <w:highlight w:val="none"/>
                <w:u w:val="single"/>
              </w:rPr>
              <w:t>结束后取回，逾期未取回的，采购人、采购机构不负保管义务</w:t>
            </w:r>
            <w:r>
              <w:rPr>
                <w:rFonts w:hint="eastAsia" w:ascii="宋体" w:hAnsi="宋体" w:eastAsia="宋体" w:cs="宋体"/>
                <w:sz w:val="24"/>
                <w:szCs w:val="24"/>
                <w:highlight w:val="none"/>
              </w:rPr>
              <w:t>。</w:t>
            </w:r>
          </w:p>
        </w:tc>
      </w:tr>
      <w:tr w14:paraId="23E6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49FEF0A9">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2</w:t>
            </w:r>
            <w:r>
              <w:rPr>
                <w:rStyle w:val="32"/>
                <w:rFonts w:hint="eastAsia" w:ascii="宋体" w:hAnsi="宋体" w:cs="宋体"/>
                <w:highlight w:val="none"/>
                <w:lang w:val="en-US" w:eastAsia="zh-CN"/>
              </w:rPr>
              <w:t>2</w:t>
            </w:r>
          </w:p>
        </w:tc>
        <w:tc>
          <w:tcPr>
            <w:tcW w:w="2200" w:type="dxa"/>
            <w:vAlign w:val="center"/>
          </w:tcPr>
          <w:p w14:paraId="729294B2">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投标文件的上传和递交</w:t>
            </w:r>
          </w:p>
        </w:tc>
        <w:tc>
          <w:tcPr>
            <w:tcW w:w="6538" w:type="dxa"/>
            <w:vAlign w:val="center"/>
          </w:tcPr>
          <w:p w14:paraId="77298D6A">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（1）“电子加密投标文件”的上传、递交：</w:t>
            </w:r>
          </w:p>
          <w:p w14:paraId="3F5E583A">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a.投标供应商应在投标截止时间前将“电子加密投标文件”成功上传递交至“政采云平台”，否则投标无效。</w:t>
            </w:r>
          </w:p>
          <w:p w14:paraId="189BC879">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b.“电子加密投标文件”成功上传递交后，供应商可自行打印投标文件接收回执。</w:t>
            </w:r>
          </w:p>
          <w:p w14:paraId="3B4DDA61">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（2）“备份投标文件”递交：</w:t>
            </w:r>
          </w:p>
          <w:p w14:paraId="016E65B3">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a.“备份投标文件”的递交：</w:t>
            </w:r>
            <w:r>
              <w:rPr>
                <w:rFonts w:hint="eastAsia" w:ascii="宋体" w:hAnsi="宋体" w:eastAsia="宋体" w:cs="宋体"/>
                <w:color w:val="auto"/>
                <w:kern w:val="2"/>
                <w:sz w:val="24"/>
                <w:szCs w:val="24"/>
                <w:highlight w:val="none"/>
                <w:lang w:val="en-US" w:eastAsia="zh-CN"/>
              </w:rPr>
              <w:fldChar w:fldCharType="begin"/>
            </w:r>
            <w:r>
              <w:rPr>
                <w:rFonts w:hint="eastAsia" w:ascii="宋体" w:hAnsi="宋体" w:eastAsia="宋体" w:cs="宋体"/>
                <w:color w:val="auto"/>
                <w:kern w:val="2"/>
                <w:sz w:val="24"/>
                <w:szCs w:val="24"/>
                <w:highlight w:val="none"/>
                <w:lang w:val="en-US" w:eastAsia="zh-CN"/>
              </w:rPr>
              <w:instrText xml:space="preserve"> HYPERLINK "mailto:供应商在制作电子标书时，标书生成后有两份，一份为加密标书（用于供应商投标上传），一份为备份标书，其中加密标书文件后缀格式为.jmbs；备份标书文件后缀格式为.bfbs；供应商在系统里上传好加密标书后，应在投标截止时间前将备份标书发送至代理机构邮箱471870577@qq.com。" </w:instrText>
            </w:r>
            <w:r>
              <w:rPr>
                <w:rFonts w:hint="eastAsia" w:ascii="宋体" w:hAnsi="宋体" w:eastAsia="宋体" w:cs="宋体"/>
                <w:color w:val="auto"/>
                <w:kern w:val="2"/>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rPr>
              <w:t>供应商在系统里上传好加密标书后，可以（</w:t>
            </w:r>
            <w:r>
              <w:rPr>
                <w:rFonts w:hint="eastAsia" w:ascii="宋体" w:hAnsi="宋体" w:eastAsia="宋体" w:cs="宋体"/>
                <w:b/>
                <w:bCs/>
                <w:color w:val="auto"/>
                <w:kern w:val="2"/>
                <w:sz w:val="24"/>
                <w:szCs w:val="24"/>
                <w:highlight w:val="none"/>
                <w:u w:val="single"/>
                <w:lang w:val="en-US" w:eastAsia="zh-CN"/>
              </w:rPr>
              <w:t>非强制要求</w:t>
            </w:r>
            <w:r>
              <w:rPr>
                <w:rFonts w:hint="eastAsia" w:ascii="宋体" w:hAnsi="宋体" w:eastAsia="宋体" w:cs="宋体"/>
                <w:color w:val="auto"/>
                <w:kern w:val="2"/>
                <w:sz w:val="24"/>
                <w:szCs w:val="24"/>
                <w:highlight w:val="none"/>
                <w:lang w:val="en-US" w:eastAsia="zh-CN"/>
              </w:rPr>
              <w:t>）在投标截止时间前将系统生成的备份标书（后缀格式为.bfbs），备份投标文件要求详见投标须知前附表第17条。</w:t>
            </w:r>
            <w:r>
              <w:rPr>
                <w:rFonts w:hint="eastAsia" w:ascii="宋体" w:hAnsi="宋体" w:eastAsia="宋体" w:cs="宋体"/>
                <w:color w:val="auto"/>
                <w:kern w:val="2"/>
                <w:sz w:val="24"/>
                <w:szCs w:val="24"/>
                <w:highlight w:val="none"/>
                <w:lang w:val="en-US" w:eastAsia="zh-CN"/>
              </w:rPr>
              <w:fldChar w:fldCharType="end"/>
            </w:r>
          </w:p>
          <w:p w14:paraId="070D1A95">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b.通过“政府采购云平台”上传递交的“电子加密投标文件”无法按时解密，投标供应商递交了备份投标文件的，以备份投标文件为依据，否则视为投标文件撤回。 通过“政府采购云平台”上传递交的“电子加密投标文件”已按时解密的，“备份投标文件”自动失效。投标供应商仅递交备份投标文件的，投标无效；</w:t>
            </w:r>
          </w:p>
          <w:p w14:paraId="635E868C">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供应商需保证上传的电子加密投标文件与提交的备份投标文件必须同时生成且内容完全一致；</w:t>
            </w:r>
          </w:p>
        </w:tc>
      </w:tr>
      <w:tr w14:paraId="6D29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6DC4B357">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2</w:t>
            </w:r>
            <w:r>
              <w:rPr>
                <w:rStyle w:val="32"/>
                <w:rFonts w:hint="eastAsia" w:ascii="宋体" w:hAnsi="宋体" w:cs="宋体"/>
                <w:highlight w:val="none"/>
                <w:lang w:val="en-US" w:eastAsia="zh-CN"/>
              </w:rPr>
              <w:t>3</w:t>
            </w:r>
          </w:p>
        </w:tc>
        <w:tc>
          <w:tcPr>
            <w:tcW w:w="2200" w:type="dxa"/>
            <w:vAlign w:val="center"/>
          </w:tcPr>
          <w:p w14:paraId="43B0513E">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电子加密投标文件的解密和异常情况处理</w:t>
            </w:r>
          </w:p>
        </w:tc>
        <w:tc>
          <w:tcPr>
            <w:tcW w:w="6538" w:type="dxa"/>
            <w:vAlign w:val="center"/>
          </w:tcPr>
          <w:p w14:paraId="2673513A">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（1）开标后，采购组织机构将向各投标供应商发出“电子加密投标文件”的解密通知，各投标供应商代表应当在接到解密通知后30分钟内自行完成“电子加密投标文件”的在线解密。</w:t>
            </w:r>
          </w:p>
          <w:p w14:paraId="181A4101">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通过“政采云平台”成功上传递交的“电子加密投标文件”无法按时解密，投标供应商如按规定递交了“备份投标文件”的，以“备份投标文件”为依据（由采购组织机构按“政采云平台”操作规范将“备份投标文件”上传至“政采云平台”，上传成功后，“电子加密投标文件”自动失效），否则视为投标文件撤回。</w:t>
            </w:r>
          </w:p>
          <w:p w14:paraId="7A721341">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（3）投标截止时间前，投标供应商仅递交了“备份投标文件”而未将电子加密投标文件上传至“政采云平台”的，投标无效。</w:t>
            </w:r>
          </w:p>
        </w:tc>
      </w:tr>
      <w:tr w14:paraId="7394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C848943">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4</w:t>
            </w:r>
          </w:p>
        </w:tc>
        <w:tc>
          <w:tcPr>
            <w:tcW w:w="2200" w:type="dxa"/>
            <w:vAlign w:val="center"/>
          </w:tcPr>
          <w:p w14:paraId="58ACFB63">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sz w:val="24"/>
                <w:szCs w:val="24"/>
                <w:highlight w:val="none"/>
              </w:rPr>
              <w:t>开标地点</w:t>
            </w:r>
          </w:p>
        </w:tc>
        <w:tc>
          <w:tcPr>
            <w:tcW w:w="6538" w:type="dxa"/>
            <w:vAlign w:val="center"/>
          </w:tcPr>
          <w:p w14:paraId="0070A461">
            <w:pPr>
              <w:pStyle w:val="13"/>
              <w:keepNext w:val="0"/>
              <w:keepLines w:val="0"/>
              <w:pageBreakBefore w:val="0"/>
              <w:widowControl w:val="0"/>
              <w:kinsoku/>
              <w:wordWrap/>
              <w:overflowPunct/>
              <w:topLinePunct w:val="0"/>
              <w:autoSpaceDE/>
              <w:autoSpaceDN/>
              <w:bidi w:val="0"/>
              <w:adjustRightInd/>
              <w:snapToGrid w:val="0"/>
              <w:spacing w:line="500" w:lineRule="exact"/>
              <w:ind w:left="14" w:leftChars="0" w:hanging="14" w:hangingChars="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衢江区公共资源交易中心</w:t>
            </w:r>
            <w:r>
              <w:rPr>
                <w:rFonts w:hint="eastAsia"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号评标室（衢江区水利局5楼）；同步在“政采云远程开标大厅”在线开标。</w:t>
            </w:r>
          </w:p>
        </w:tc>
      </w:tr>
      <w:tr w14:paraId="158F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58650BD4">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5</w:t>
            </w:r>
          </w:p>
        </w:tc>
        <w:tc>
          <w:tcPr>
            <w:tcW w:w="2200" w:type="dxa"/>
            <w:vAlign w:val="center"/>
          </w:tcPr>
          <w:p w14:paraId="6BC5EB32">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开标时间</w:t>
            </w:r>
          </w:p>
        </w:tc>
        <w:tc>
          <w:tcPr>
            <w:tcW w:w="6538" w:type="dxa"/>
            <w:vAlign w:val="center"/>
          </w:tcPr>
          <w:p w14:paraId="132EA93C">
            <w:pPr>
              <w:pStyle w:val="13"/>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hAnsi="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00</w:t>
            </w:r>
            <w:r>
              <w:rPr>
                <w:rFonts w:hint="eastAsia" w:ascii="宋体" w:hAnsi="宋体" w:eastAsia="宋体" w:cs="宋体"/>
                <w:color w:val="auto"/>
                <w:sz w:val="24"/>
                <w:szCs w:val="24"/>
                <w:highlight w:val="none"/>
              </w:rPr>
              <w:t xml:space="preserve">（北京时间）   </w:t>
            </w:r>
          </w:p>
        </w:tc>
      </w:tr>
      <w:tr w14:paraId="4981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62FCA484">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6</w:t>
            </w:r>
          </w:p>
        </w:tc>
        <w:tc>
          <w:tcPr>
            <w:tcW w:w="2200" w:type="dxa"/>
            <w:vAlign w:val="center"/>
          </w:tcPr>
          <w:p w14:paraId="4AFB9EEC">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评标委员会推荐中标候选人的</w:t>
            </w:r>
            <w:r>
              <w:rPr>
                <w:rFonts w:hint="eastAsia" w:ascii="宋体" w:hAnsi="宋体" w:eastAsia="宋体" w:cs="宋体"/>
                <w:color w:val="auto"/>
                <w:sz w:val="24"/>
                <w:szCs w:val="24"/>
                <w:highlight w:val="none"/>
                <w:lang w:val="en-US" w:eastAsia="zh-CN"/>
              </w:rPr>
              <w:t>数量</w:t>
            </w:r>
          </w:p>
        </w:tc>
        <w:tc>
          <w:tcPr>
            <w:tcW w:w="6538" w:type="dxa"/>
            <w:vAlign w:val="center"/>
          </w:tcPr>
          <w:p w14:paraId="3E89F10A">
            <w:pPr>
              <w:pStyle w:val="13"/>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 本项目由评标委员会推荐</w:t>
            </w:r>
            <w:r>
              <w:rPr>
                <w:rFonts w:hint="eastAsia"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名中标候选人 </w:t>
            </w:r>
          </w:p>
        </w:tc>
      </w:tr>
      <w:tr w14:paraId="6058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63EE4BB">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2</w:t>
            </w:r>
            <w:r>
              <w:rPr>
                <w:rStyle w:val="32"/>
                <w:rFonts w:hint="eastAsia" w:ascii="宋体" w:hAnsi="宋体" w:cs="宋体"/>
                <w:highlight w:val="none"/>
                <w:lang w:val="en-US" w:eastAsia="zh-CN"/>
              </w:rPr>
              <w:t>7</w:t>
            </w:r>
          </w:p>
        </w:tc>
        <w:tc>
          <w:tcPr>
            <w:tcW w:w="2200" w:type="dxa"/>
            <w:vAlign w:val="center"/>
          </w:tcPr>
          <w:p w14:paraId="4816A2BF">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中标结果公示期限</w:t>
            </w:r>
          </w:p>
        </w:tc>
        <w:tc>
          <w:tcPr>
            <w:tcW w:w="6538" w:type="dxa"/>
            <w:vAlign w:val="center"/>
          </w:tcPr>
          <w:p w14:paraId="60044540">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公示1个工作日</w:t>
            </w:r>
          </w:p>
        </w:tc>
      </w:tr>
      <w:tr w14:paraId="43AE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1882912">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2</w:t>
            </w:r>
            <w:r>
              <w:rPr>
                <w:rStyle w:val="32"/>
                <w:rFonts w:hint="eastAsia" w:ascii="宋体" w:hAnsi="宋体" w:cs="宋体"/>
                <w:highlight w:val="none"/>
                <w:lang w:val="en-US" w:eastAsia="zh-CN"/>
              </w:rPr>
              <w:t>8</w:t>
            </w:r>
          </w:p>
        </w:tc>
        <w:tc>
          <w:tcPr>
            <w:tcW w:w="2200" w:type="dxa"/>
            <w:vAlign w:val="center"/>
          </w:tcPr>
          <w:p w14:paraId="37A4B547">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签订合同</w:t>
            </w:r>
          </w:p>
        </w:tc>
        <w:tc>
          <w:tcPr>
            <w:tcW w:w="6538" w:type="dxa"/>
            <w:vAlign w:val="center"/>
          </w:tcPr>
          <w:p w14:paraId="0D42EE13">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中标通知书发出后30日内，与采购人签订合同。</w:t>
            </w:r>
          </w:p>
        </w:tc>
      </w:tr>
      <w:tr w14:paraId="31D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7635798E">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2</w:t>
            </w:r>
            <w:r>
              <w:rPr>
                <w:rStyle w:val="32"/>
                <w:rFonts w:hint="eastAsia" w:ascii="宋体" w:hAnsi="宋体" w:cs="宋体"/>
                <w:highlight w:val="none"/>
                <w:lang w:val="en-US" w:eastAsia="zh-CN"/>
              </w:rPr>
              <w:t>9</w:t>
            </w:r>
          </w:p>
        </w:tc>
        <w:tc>
          <w:tcPr>
            <w:tcW w:w="2200" w:type="dxa"/>
            <w:vAlign w:val="center"/>
          </w:tcPr>
          <w:p w14:paraId="7ACDBC52">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履约保证金</w:t>
            </w:r>
          </w:p>
        </w:tc>
        <w:tc>
          <w:tcPr>
            <w:tcW w:w="6538" w:type="dxa"/>
            <w:vAlign w:val="center"/>
          </w:tcPr>
          <w:p w14:paraId="3096E254">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本项目无需履约保证金</w:t>
            </w:r>
          </w:p>
        </w:tc>
      </w:tr>
      <w:tr w14:paraId="19D8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5ADB6DD">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default" w:ascii="宋体" w:hAnsi="宋体" w:eastAsia="宋体" w:cs="宋体"/>
                <w:highlight w:val="none"/>
                <w:lang w:val="en-US" w:eastAsia="zh-CN"/>
              </w:rPr>
            </w:pPr>
            <w:r>
              <w:rPr>
                <w:rStyle w:val="32"/>
                <w:rFonts w:hint="eastAsia" w:ascii="宋体" w:hAnsi="宋体" w:cs="宋体"/>
                <w:highlight w:val="none"/>
                <w:lang w:val="en-US" w:eastAsia="zh-CN"/>
              </w:rPr>
              <w:t>30</w:t>
            </w:r>
          </w:p>
        </w:tc>
        <w:tc>
          <w:tcPr>
            <w:tcW w:w="2200" w:type="dxa"/>
            <w:vAlign w:val="center"/>
          </w:tcPr>
          <w:p w14:paraId="7B407D49">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发布网址</w:t>
            </w:r>
          </w:p>
        </w:tc>
        <w:tc>
          <w:tcPr>
            <w:tcW w:w="6538" w:type="dxa"/>
            <w:vAlign w:val="center"/>
          </w:tcPr>
          <w:p w14:paraId="5FBC16BA">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https://zfcg.czt.zj.gov.cn/</w:t>
            </w:r>
          </w:p>
        </w:tc>
      </w:tr>
      <w:tr w14:paraId="2B9D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C336A9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1</w:t>
            </w:r>
          </w:p>
        </w:tc>
        <w:tc>
          <w:tcPr>
            <w:tcW w:w="2200" w:type="dxa"/>
            <w:vAlign w:val="center"/>
          </w:tcPr>
          <w:p w14:paraId="059424AB">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采购代理服务费</w:t>
            </w:r>
          </w:p>
        </w:tc>
        <w:tc>
          <w:tcPr>
            <w:tcW w:w="6538" w:type="dxa"/>
            <w:vAlign w:val="center"/>
          </w:tcPr>
          <w:p w14:paraId="4D2288D3">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本项目的招标代理服务费由中标人支付。参照原国家计委关于印发《招标代理服务收费管理暂行办法》的通知（计价格[2002]1980号）</w:t>
            </w:r>
            <w:r>
              <w:rPr>
                <w:rFonts w:hint="eastAsia" w:hAnsi="宋体" w:cs="宋体"/>
                <w:color w:val="auto"/>
                <w:kern w:val="2"/>
                <w:sz w:val="24"/>
                <w:szCs w:val="24"/>
                <w:highlight w:val="none"/>
                <w:lang w:val="en-US" w:eastAsia="zh-CN"/>
              </w:rPr>
              <w:t>货物招标</w:t>
            </w:r>
            <w:r>
              <w:rPr>
                <w:rFonts w:hint="eastAsia" w:ascii="宋体" w:hAnsi="宋体" w:eastAsia="宋体" w:cs="宋体"/>
                <w:color w:val="auto"/>
                <w:kern w:val="2"/>
                <w:sz w:val="24"/>
                <w:szCs w:val="24"/>
                <w:highlight w:val="none"/>
                <w:lang w:val="en-US" w:eastAsia="zh-CN"/>
              </w:rPr>
              <w:t>收费标准</w:t>
            </w:r>
            <w:r>
              <w:rPr>
                <w:rFonts w:hint="eastAsia" w:hAnsi="宋体" w:cs="宋体"/>
                <w:color w:val="auto"/>
                <w:kern w:val="2"/>
                <w:sz w:val="24"/>
                <w:szCs w:val="24"/>
                <w:highlight w:val="none"/>
                <w:lang w:val="en-US" w:eastAsia="zh-CN"/>
              </w:rPr>
              <w:t>的41.2%</w:t>
            </w:r>
            <w:r>
              <w:rPr>
                <w:rFonts w:hint="eastAsia" w:ascii="宋体" w:hAnsi="宋体" w:eastAsia="宋体" w:cs="宋体"/>
                <w:color w:val="auto"/>
                <w:kern w:val="2"/>
                <w:sz w:val="24"/>
                <w:szCs w:val="24"/>
                <w:highlight w:val="none"/>
                <w:lang w:val="en-US" w:eastAsia="zh-CN"/>
              </w:rPr>
              <w:t>向中标供应商收取招标代理服务费，其他相关费用可咨询招标代理机构。</w:t>
            </w:r>
          </w:p>
          <w:p w14:paraId="51E29E7A">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1）收款单位（户名）：浙江天平投资咨询有限公司衢州工程咨询分公司</w:t>
            </w:r>
          </w:p>
          <w:p w14:paraId="2E92A966">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2）开  户：浙江衢州衢江农村商业银行股份有限公司樟潭支</w:t>
            </w:r>
          </w:p>
          <w:p w14:paraId="237EE4C6">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行浮石分理处</w:t>
            </w:r>
          </w:p>
          <w:p w14:paraId="60B70C27">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3）账  号：201000249766899</w:t>
            </w:r>
          </w:p>
          <w:p w14:paraId="36B4114A">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以上费用均不在报价中单列，请投标人在报价中予以考虑。</w:t>
            </w:r>
          </w:p>
          <w:p w14:paraId="418D94C8">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结算方式及时间为：在领取中标通知书时由中标供应商一次性向招标代理机构付清。</w:t>
            </w:r>
          </w:p>
          <w:p w14:paraId="638221ED">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《招标代理服务费管理暂行办法》的通知规定的收费标准</w:t>
            </w:r>
          </w:p>
          <w:tbl>
            <w:tblPr>
              <w:tblStyle w:val="21"/>
              <w:tblW w:w="6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00"/>
              <w:gridCol w:w="2600"/>
            </w:tblGrid>
            <w:tr w14:paraId="076D4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0" w:type="dxa"/>
                </w:tcPr>
                <w:p w14:paraId="3047B16F">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中标金额（万元）</w:t>
                  </w:r>
                </w:p>
              </w:tc>
              <w:tc>
                <w:tcPr>
                  <w:tcW w:w="2600" w:type="dxa"/>
                </w:tcPr>
                <w:p w14:paraId="27823B37">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费率</w:t>
                  </w:r>
                </w:p>
              </w:tc>
            </w:tr>
            <w:tr w14:paraId="3724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3700" w:type="dxa"/>
                </w:tcPr>
                <w:p w14:paraId="1B017702">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100以下</w:t>
                  </w:r>
                </w:p>
              </w:tc>
              <w:tc>
                <w:tcPr>
                  <w:tcW w:w="2600" w:type="dxa"/>
                </w:tcPr>
                <w:p w14:paraId="7AB5DDA6">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r>
            <w:tr w14:paraId="5C9C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0" w:type="dxa"/>
                </w:tcPr>
                <w:p w14:paraId="0C4E1FC8">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100-500</w:t>
                  </w:r>
                </w:p>
              </w:tc>
              <w:tc>
                <w:tcPr>
                  <w:tcW w:w="2600" w:type="dxa"/>
                </w:tcPr>
                <w:p w14:paraId="42F59B28">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lang w:val="en-US" w:eastAsia="zh-CN"/>
                    </w:rPr>
                    <w:t>%</w:t>
                  </w:r>
                </w:p>
              </w:tc>
            </w:tr>
          </w:tbl>
          <w:p w14:paraId="3E7A716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2"/>
                <w:sz w:val="24"/>
                <w:szCs w:val="24"/>
                <w:highlight w:val="none"/>
                <w:lang w:val="en-US" w:eastAsia="zh-CN"/>
              </w:rPr>
            </w:pPr>
          </w:p>
        </w:tc>
      </w:tr>
      <w:tr w14:paraId="0CEB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C21FE6B">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3</w:t>
            </w:r>
            <w:r>
              <w:rPr>
                <w:rStyle w:val="32"/>
                <w:rFonts w:hint="eastAsia" w:ascii="宋体" w:hAnsi="宋体" w:cs="宋体"/>
                <w:highlight w:val="none"/>
                <w:lang w:val="en-US" w:eastAsia="zh-CN"/>
              </w:rPr>
              <w:t>2</w:t>
            </w:r>
          </w:p>
        </w:tc>
        <w:tc>
          <w:tcPr>
            <w:tcW w:w="2200" w:type="dxa"/>
            <w:vAlign w:val="center"/>
          </w:tcPr>
          <w:p w14:paraId="70A17575">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在线提起询问、质疑、投诉方式</w:t>
            </w:r>
          </w:p>
        </w:tc>
        <w:tc>
          <w:tcPr>
            <w:tcW w:w="6538" w:type="dxa"/>
            <w:vAlign w:val="center"/>
          </w:tcPr>
          <w:p w14:paraId="2D9E7882">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根据《浙江省财政厅关于进一步促进政府采购公平竞争打造最优营商环境的通知》（浙财采监（2021）22号）文件关于“健全行政裁决机制”要求，鼓励供应商在线提起询问，路径为：政采云-项目采购-询问质疑投诉-询问列表。质疑供应商对在线质疑答复不满意的，可在线提起投诉，路径为：浙江政府服务网-政府采购投诉处理-在线办理。</w:t>
            </w:r>
          </w:p>
        </w:tc>
      </w:tr>
      <w:tr w14:paraId="2D41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281D763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p>
        </w:tc>
        <w:tc>
          <w:tcPr>
            <w:tcW w:w="2200" w:type="dxa"/>
            <w:vAlign w:val="center"/>
          </w:tcPr>
          <w:p w14:paraId="14FADEF0">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其他注意事项</w:t>
            </w:r>
          </w:p>
        </w:tc>
        <w:tc>
          <w:tcPr>
            <w:tcW w:w="6538" w:type="dxa"/>
            <w:vAlign w:val="center"/>
          </w:tcPr>
          <w:p w14:paraId="3C643460">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招标文件中部分加“▲”的条款，属于招标文件的实质性要求和条件，着重提醒各投标人注意，并认真查看招标文件中的每一个条款及要求，因误读招标文件而造成的后果，采购人概不负责。</w:t>
            </w:r>
          </w:p>
        </w:tc>
      </w:tr>
      <w:tr w14:paraId="7186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0C3CC27D">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3</w:t>
            </w:r>
            <w:r>
              <w:rPr>
                <w:rStyle w:val="32"/>
                <w:rFonts w:hint="eastAsia" w:ascii="宋体" w:hAnsi="宋体" w:cs="宋体"/>
                <w:highlight w:val="none"/>
                <w:lang w:val="en-US" w:eastAsia="zh-CN"/>
              </w:rPr>
              <w:t>4</w:t>
            </w:r>
          </w:p>
        </w:tc>
        <w:tc>
          <w:tcPr>
            <w:tcW w:w="2200" w:type="dxa"/>
            <w:vAlign w:val="center"/>
          </w:tcPr>
          <w:p w14:paraId="25EC14BA">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中小企业信用融资</w:t>
            </w:r>
          </w:p>
        </w:tc>
        <w:tc>
          <w:tcPr>
            <w:tcW w:w="6538" w:type="dxa"/>
            <w:vAlign w:val="center"/>
          </w:tcPr>
          <w:p w14:paraId="446265D9">
            <w:pPr>
              <w:pStyle w:val="13"/>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EBC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69F7190A">
            <w:pPr>
              <w:keepNext w:val="0"/>
              <w:keepLines w:val="0"/>
              <w:pageBreakBefore w:val="0"/>
              <w:widowControl w:val="0"/>
              <w:kinsoku/>
              <w:wordWrap/>
              <w:overflowPunct/>
              <w:topLinePunct w:val="0"/>
              <w:autoSpaceDE/>
              <w:autoSpaceDN/>
              <w:bidi w:val="0"/>
              <w:adjustRightInd/>
              <w:spacing w:line="500" w:lineRule="exact"/>
              <w:jc w:val="center"/>
              <w:textAlignment w:val="auto"/>
              <w:rPr>
                <w:rStyle w:val="32"/>
                <w:rFonts w:hint="eastAsia" w:ascii="宋体" w:hAnsi="宋体" w:eastAsia="宋体" w:cs="宋体"/>
                <w:highlight w:val="none"/>
                <w:lang w:val="en-US" w:eastAsia="zh-CN"/>
              </w:rPr>
            </w:pPr>
            <w:r>
              <w:rPr>
                <w:rStyle w:val="32"/>
                <w:rFonts w:hint="eastAsia" w:ascii="宋体" w:hAnsi="宋体" w:eastAsia="宋体" w:cs="宋体"/>
                <w:highlight w:val="none"/>
                <w:lang w:val="en-US" w:eastAsia="zh-CN"/>
              </w:rPr>
              <w:t>3</w:t>
            </w:r>
            <w:r>
              <w:rPr>
                <w:rStyle w:val="32"/>
                <w:rFonts w:hint="eastAsia" w:ascii="宋体" w:hAnsi="宋体" w:cs="宋体"/>
                <w:highlight w:val="none"/>
                <w:lang w:val="en-US" w:eastAsia="zh-CN"/>
              </w:rPr>
              <w:t>5</w:t>
            </w:r>
          </w:p>
        </w:tc>
        <w:tc>
          <w:tcPr>
            <w:tcW w:w="2200" w:type="dxa"/>
            <w:vAlign w:val="center"/>
          </w:tcPr>
          <w:p w14:paraId="4BAE739B">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信用查询</w:t>
            </w:r>
          </w:p>
        </w:tc>
        <w:tc>
          <w:tcPr>
            <w:tcW w:w="6538" w:type="dxa"/>
            <w:vAlign w:val="center"/>
          </w:tcPr>
          <w:p w14:paraId="1FEE2A20">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根据《关于在政府采购活动中查询及使用信用记录有关问题的通知》财库[2016]125号的规定：</w:t>
            </w:r>
          </w:p>
          <w:p w14:paraId="07F8AF6C">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1）采购人或采购代理机构将对本项目投标人的信用记录进行查询。查询渠道为信用中国网站（www.creditchina.gov.cn）、中国政府采购网（www.ccgp.gov.cn）；</w:t>
            </w:r>
          </w:p>
          <w:p w14:paraId="608A5338">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2）截止时点：提交投标文件（响应文件）截止时间前3年内；</w:t>
            </w:r>
          </w:p>
          <w:p w14:paraId="39FF52EA">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3）查询记录和证据的留存：信用信息查询记录和证据以网页截图等方式留存。</w:t>
            </w:r>
          </w:p>
          <w:p w14:paraId="0E6C9077">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4）使用规则：被列入失信被执行人、税收违法黑名单、政府采购严重违法失信行为记录名单及其它不符合《中华人民共和国政府采购法》第二十二条规定条件的，其投标将被拒绝。</w:t>
            </w:r>
          </w:p>
          <w:p w14:paraId="3437FE3B">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5）联合体成员任意一方存在不良信用记录的，视同联合体存在不良信用记录</w:t>
            </w:r>
            <w:r>
              <w:rPr>
                <w:rFonts w:hint="eastAsia" w:hAnsi="宋体" w:cs="宋体"/>
                <w:color w:val="auto"/>
                <w:kern w:val="2"/>
                <w:sz w:val="24"/>
                <w:szCs w:val="24"/>
                <w:highlight w:val="none"/>
                <w:lang w:val="en-US" w:eastAsia="zh-CN"/>
              </w:rPr>
              <w:t>（本项目不适用）</w:t>
            </w:r>
            <w:r>
              <w:rPr>
                <w:rFonts w:hint="eastAsia" w:ascii="宋体" w:hAnsi="宋体" w:eastAsia="宋体" w:cs="宋体"/>
                <w:color w:val="auto"/>
                <w:kern w:val="2"/>
                <w:sz w:val="24"/>
                <w:szCs w:val="24"/>
                <w:highlight w:val="none"/>
                <w:lang w:val="en-US" w:eastAsia="zh-CN"/>
              </w:rPr>
              <w:t>。</w:t>
            </w:r>
          </w:p>
        </w:tc>
      </w:tr>
      <w:tr w14:paraId="3F61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7" w:type="dxa"/>
            <w:vAlign w:val="center"/>
          </w:tcPr>
          <w:p w14:paraId="102DE911">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8"/>
                <w:highlight w:val="none"/>
                <w:lang w:val="en-US" w:eastAsia="zh-CN" w:bidi="ar-SA"/>
                <w14:textFill>
                  <w14:solidFill>
                    <w14:schemeClr w14:val="tx1"/>
                  </w14:solidFill>
                </w14:textFill>
              </w:rPr>
              <w:t>3</w:t>
            </w:r>
            <w:r>
              <w:rPr>
                <w:rFonts w:hint="eastAsia" w:ascii="宋体" w:hAnsi="宋体" w:cs="宋体"/>
                <w:color w:val="000000" w:themeColor="text1"/>
                <w:kern w:val="2"/>
                <w:sz w:val="24"/>
                <w:szCs w:val="28"/>
                <w:highlight w:val="none"/>
                <w:lang w:val="en-US" w:eastAsia="zh-CN" w:bidi="ar-SA"/>
                <w14:textFill>
                  <w14:solidFill>
                    <w14:schemeClr w14:val="tx1"/>
                  </w14:solidFill>
                </w14:textFill>
              </w:rPr>
              <w:t>6</w:t>
            </w:r>
          </w:p>
        </w:tc>
        <w:tc>
          <w:tcPr>
            <w:tcW w:w="2200" w:type="dxa"/>
            <w:vAlign w:val="center"/>
          </w:tcPr>
          <w:p w14:paraId="62CFF63D">
            <w:pPr>
              <w:pStyle w:val="13"/>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特别提醒</w:t>
            </w:r>
          </w:p>
        </w:tc>
        <w:tc>
          <w:tcPr>
            <w:tcW w:w="6538" w:type="dxa"/>
            <w:vAlign w:val="center"/>
          </w:tcPr>
          <w:p w14:paraId="657BE3F7">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1.所有询标流程，均在线上完成，请各投标人务必不要离开电脑太久，并留意手机短信。（请提前检查“政采云”内，关于“项目采购”的岗位权限是否已勾选上。如有问题，请致电</w:t>
            </w:r>
            <w:r>
              <w:rPr>
                <w:rFonts w:hint="eastAsia" w:ascii="宋体" w:hAnsi="宋体" w:eastAsia="宋体" w:cs="宋体"/>
                <w:color w:val="auto"/>
                <w:kern w:val="2"/>
                <w:sz w:val="24"/>
                <w:szCs w:val="24"/>
                <w:highlight w:val="none"/>
                <w:lang w:val="en-US" w:eastAsia="zh-CN" w:bidi="ar-SA"/>
              </w:rPr>
              <w:t>政采云服务热线95763</w:t>
            </w:r>
            <w:r>
              <w:rPr>
                <w:rFonts w:hint="eastAsia" w:ascii="宋体" w:hAnsi="宋体" w:eastAsia="宋体" w:cs="宋体"/>
                <w:color w:val="auto"/>
                <w:kern w:val="2"/>
                <w:sz w:val="24"/>
                <w:szCs w:val="24"/>
                <w:highlight w:val="none"/>
                <w:lang w:val="en-US" w:eastAsia="zh-CN"/>
              </w:rPr>
              <w:t>）</w:t>
            </w:r>
          </w:p>
          <w:p w14:paraId="09E83DF8">
            <w:pPr>
              <w:pStyle w:val="13"/>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2.投标人无须到开标现场，只需自备电脑在规定时间前进行在线解密文件即可。</w:t>
            </w:r>
          </w:p>
        </w:tc>
      </w:tr>
      <w:bookmarkEnd w:id="4"/>
      <w:bookmarkEnd w:id="5"/>
      <w:bookmarkEnd w:id="6"/>
      <w:bookmarkEnd w:id="7"/>
      <w:bookmarkEnd w:id="8"/>
      <w:bookmarkEnd w:id="9"/>
      <w:bookmarkEnd w:id="10"/>
    </w:tbl>
    <w:p w14:paraId="582B90E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ascii="宋体" w:hAnsi="宋体" w:eastAsia="宋体" w:cs="宋体"/>
          <w:b/>
          <w:color w:val="auto"/>
          <w:sz w:val="28"/>
          <w:szCs w:val="28"/>
          <w:highlight w:val="none"/>
        </w:rPr>
      </w:pPr>
      <w:bookmarkStart w:id="11" w:name="_Toc9488"/>
      <w:bookmarkStart w:id="12" w:name="_Toc27765"/>
    </w:p>
    <w:p w14:paraId="6C8582B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第二部分、投标须知</w:t>
      </w:r>
      <w:bookmarkEnd w:id="11"/>
      <w:bookmarkEnd w:id="12"/>
    </w:p>
    <w:p w14:paraId="16B812A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auto"/>
          <w:sz w:val="28"/>
          <w:szCs w:val="24"/>
          <w:highlight w:val="none"/>
        </w:rPr>
      </w:pPr>
      <w:bookmarkStart w:id="13" w:name="_Toc12000"/>
      <w:bookmarkStart w:id="14" w:name="_Toc5241"/>
      <w:bookmarkStart w:id="15" w:name="_Toc251566650"/>
      <w:bookmarkStart w:id="16" w:name="_Toc240450077"/>
      <w:bookmarkStart w:id="17" w:name="_Toc12860"/>
      <w:r>
        <w:rPr>
          <w:rFonts w:hint="eastAsia" w:ascii="宋体" w:hAnsi="宋体" w:eastAsia="宋体" w:cs="宋体"/>
          <w:b/>
          <w:bCs/>
          <w:color w:val="auto"/>
          <w:sz w:val="28"/>
          <w:szCs w:val="24"/>
          <w:highlight w:val="none"/>
        </w:rPr>
        <w:t>一、总则</w:t>
      </w:r>
      <w:bookmarkEnd w:id="13"/>
      <w:bookmarkEnd w:id="14"/>
      <w:bookmarkEnd w:id="15"/>
      <w:bookmarkEnd w:id="16"/>
      <w:bookmarkEnd w:id="17"/>
    </w:p>
    <w:p w14:paraId="0ECBCFF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本次招标工作是按照《中华人民共和国政府采购法》、《中华人民共和国政府采购法实施条例》、《政府采购货物和服务招标投标管理办法》等相关法律法规组织和实施，并接受同级政府采购监督管理部门监督。</w:t>
      </w:r>
    </w:p>
    <w:p w14:paraId="796E7936">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1</w:t>
      </w:r>
      <w:r>
        <w:rPr>
          <w:rFonts w:hint="eastAsia" w:ascii="宋体" w:hAnsi="宋体" w:eastAsia="宋体" w:cs="宋体"/>
          <w:b/>
          <w:snapToGrid w:val="0"/>
          <w:color w:val="auto"/>
          <w:kern w:val="0"/>
          <w:sz w:val="28"/>
          <w:szCs w:val="28"/>
          <w:highlight w:val="none"/>
          <w:lang w:val="en-US" w:eastAsia="zh-CN"/>
        </w:rPr>
        <w:t>.</w:t>
      </w:r>
      <w:r>
        <w:rPr>
          <w:rFonts w:hint="eastAsia" w:ascii="宋体" w:hAnsi="宋体" w:eastAsia="宋体" w:cs="宋体"/>
          <w:b/>
          <w:snapToGrid w:val="0"/>
          <w:color w:val="auto"/>
          <w:kern w:val="0"/>
          <w:sz w:val="28"/>
          <w:szCs w:val="28"/>
          <w:highlight w:val="none"/>
        </w:rPr>
        <w:t>适用范围</w:t>
      </w:r>
    </w:p>
    <w:p w14:paraId="3F22161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1.1本采购文件仅适用于本次招标项目。</w:t>
      </w:r>
    </w:p>
    <w:p w14:paraId="1F683CC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1.2本项目采购方式为公开招标。</w:t>
      </w:r>
    </w:p>
    <w:p w14:paraId="19E1B43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rPr>
        <w:t>1.3投标须知为招标文件的通用条款，如通用条款与前附表、采购内容及要求、合同条款等特定条款不一致的，请按特定条款执行。</w:t>
      </w:r>
    </w:p>
    <w:p w14:paraId="629A21B5">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2</w:t>
      </w:r>
      <w:r>
        <w:rPr>
          <w:rFonts w:hint="eastAsia" w:ascii="宋体" w:hAnsi="宋体" w:eastAsia="宋体" w:cs="宋体"/>
          <w:b/>
          <w:snapToGrid w:val="0"/>
          <w:color w:val="auto"/>
          <w:kern w:val="0"/>
          <w:sz w:val="28"/>
          <w:szCs w:val="28"/>
          <w:highlight w:val="none"/>
          <w:lang w:eastAsia="zh-CN"/>
        </w:rPr>
        <w:t>、</w:t>
      </w:r>
      <w:r>
        <w:rPr>
          <w:rFonts w:hint="eastAsia" w:ascii="宋体" w:hAnsi="宋体" w:eastAsia="宋体" w:cs="宋体"/>
          <w:b/>
          <w:snapToGrid w:val="0"/>
          <w:color w:val="auto"/>
          <w:kern w:val="0"/>
          <w:sz w:val="28"/>
          <w:szCs w:val="28"/>
          <w:highlight w:val="none"/>
        </w:rPr>
        <w:t>定义</w:t>
      </w:r>
    </w:p>
    <w:p w14:paraId="674261E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2.1采购人</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指</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衢州市衢江区人民政府办公室</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（合同中的甲方）</w:t>
      </w:r>
      <w:r>
        <w:rPr>
          <w:rFonts w:hint="eastAsia" w:ascii="宋体" w:hAnsi="宋体" w:eastAsia="宋体" w:cs="宋体"/>
          <w:snapToGrid w:val="0"/>
          <w:color w:val="auto"/>
          <w:kern w:val="0"/>
          <w:sz w:val="24"/>
          <w:szCs w:val="24"/>
          <w:highlight w:val="none"/>
        </w:rPr>
        <w:t>。</w:t>
      </w:r>
    </w:p>
    <w:p w14:paraId="4B6161E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r>
        <w:rPr>
          <w:rFonts w:hint="eastAsia" w:ascii="宋体" w:hAnsi="宋体" w:eastAsia="宋体" w:cs="宋体"/>
          <w:snapToGrid w:val="0"/>
          <w:color w:val="auto"/>
          <w:kern w:val="0"/>
          <w:sz w:val="24"/>
          <w:szCs w:val="24"/>
          <w:highlight w:val="none"/>
          <w:lang w:eastAsia="zh-CN"/>
        </w:rPr>
        <w:t>招标（</w:t>
      </w:r>
      <w:r>
        <w:rPr>
          <w:rFonts w:hint="eastAsia" w:ascii="宋体" w:hAnsi="宋体" w:eastAsia="宋体" w:cs="宋体"/>
          <w:snapToGrid w:val="0"/>
          <w:color w:val="auto"/>
          <w:kern w:val="0"/>
          <w:sz w:val="24"/>
          <w:szCs w:val="24"/>
          <w:highlight w:val="none"/>
        </w:rPr>
        <w:t>采购</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代理机构</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w:t>
      </w:r>
      <w:r>
        <w:rPr>
          <w:rFonts w:hint="eastAsia" w:ascii="宋体" w:hAnsi="宋体" w:eastAsia="宋体" w:cs="宋体"/>
          <w:color w:val="auto"/>
          <w:sz w:val="24"/>
          <w:szCs w:val="24"/>
          <w:highlight w:val="none"/>
          <w:u w:val="single"/>
          <w:lang w:val="en-US" w:eastAsia="zh-CN"/>
        </w:rPr>
        <w:t xml:space="preserve"> 浙江天平投资咨询有限公司 </w:t>
      </w:r>
      <w:r>
        <w:rPr>
          <w:rFonts w:hint="eastAsia" w:ascii="宋体" w:hAnsi="宋体" w:eastAsia="宋体" w:cs="宋体"/>
          <w:snapToGrid w:val="0"/>
          <w:color w:val="auto"/>
          <w:kern w:val="0"/>
          <w:sz w:val="24"/>
          <w:szCs w:val="24"/>
          <w:highlight w:val="none"/>
        </w:rPr>
        <w:t>。</w:t>
      </w:r>
    </w:p>
    <w:p w14:paraId="628657E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2.3同级政府采购监督管理部门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衢州市衢江区财政局</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w:t>
      </w:r>
    </w:p>
    <w:p w14:paraId="339968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2.4供应商</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系指响应本次招标，参加本次投标的独立法人。</w:t>
      </w:r>
    </w:p>
    <w:p w14:paraId="4263D09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2.5服务</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指采购文件或合同规定投标人须承担的服务以及其他类似的义务。</w:t>
      </w:r>
    </w:p>
    <w:p w14:paraId="5038CDB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2.6</w:t>
      </w:r>
      <w:r>
        <w:rPr>
          <w:rFonts w:hint="eastAsia" w:ascii="宋体" w:hAnsi="宋体" w:eastAsia="宋体" w:cs="宋体"/>
          <w:snapToGrid w:val="0"/>
          <w:color w:val="auto"/>
          <w:kern w:val="0"/>
          <w:sz w:val="24"/>
          <w:szCs w:val="24"/>
          <w:highlight w:val="none"/>
          <w:lang w:eastAsia="zh-CN"/>
        </w:rPr>
        <w:t>中标人、</w:t>
      </w:r>
      <w:r>
        <w:rPr>
          <w:rFonts w:hint="eastAsia" w:ascii="宋体" w:hAnsi="宋体" w:eastAsia="宋体" w:cs="宋体"/>
          <w:snapToGrid w:val="0"/>
          <w:color w:val="auto"/>
          <w:kern w:val="0"/>
          <w:sz w:val="24"/>
          <w:szCs w:val="24"/>
          <w:highlight w:val="none"/>
          <w:lang w:val="en-US" w:eastAsia="zh-CN"/>
        </w:rPr>
        <w:t>中标供应商</w:t>
      </w:r>
      <w:r>
        <w:rPr>
          <w:rFonts w:hint="eastAsia" w:ascii="宋体" w:hAnsi="宋体" w:eastAsia="宋体" w:cs="宋体"/>
          <w:snapToGrid w:val="0"/>
          <w:color w:val="auto"/>
          <w:kern w:val="0"/>
          <w:sz w:val="24"/>
          <w:szCs w:val="24"/>
          <w:highlight w:val="none"/>
          <w:lang w:eastAsia="zh-CN"/>
        </w:rPr>
        <w:t>：指经评审获得本项目最终合同签订资格的投标人</w:t>
      </w:r>
    </w:p>
    <w:p w14:paraId="4CAE01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val="zh-CN" w:eastAsia="zh-CN"/>
        </w:rPr>
        <w:t>投标人代表：指全权代表投标人参加招标活动并签署投标文件的人。本次投标的投标人代表必须是投标人的法定代表人或其授权委托人，如投标人代表不是法定代表人，须有法定代表人出具的授权委托书。</w:t>
      </w:r>
    </w:p>
    <w:p w14:paraId="6B9CB68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2.8</w:t>
      </w:r>
      <w:r>
        <w:rPr>
          <w:rFonts w:hint="eastAsia" w:ascii="宋体" w:hAnsi="宋体" w:eastAsia="宋体" w:cs="宋体"/>
          <w:snapToGrid w:val="0"/>
          <w:color w:val="auto"/>
          <w:kern w:val="0"/>
          <w:sz w:val="24"/>
          <w:szCs w:val="24"/>
          <w:highlight w:val="none"/>
          <w:lang w:val="zh-CN"/>
        </w:rPr>
        <w:t>联合体：指两个以上供应商组成联合体，以一个供应商的身份参加投标。</w:t>
      </w:r>
    </w:p>
    <w:p w14:paraId="27A508F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2.9</w:t>
      </w:r>
      <w:r>
        <w:rPr>
          <w:rFonts w:hint="eastAsia" w:ascii="宋体" w:hAnsi="宋体" w:eastAsia="宋体" w:cs="宋体"/>
          <w:snapToGrid w:val="0"/>
          <w:color w:val="auto"/>
          <w:kern w:val="0"/>
          <w:sz w:val="24"/>
          <w:szCs w:val="24"/>
          <w:highlight w:val="none"/>
          <w:lang w:val="zh-CN"/>
        </w:rPr>
        <w:t>制造商：拥有投标产品自主知识产权的单位。</w:t>
      </w:r>
    </w:p>
    <w:p w14:paraId="32D6887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2.10</w:t>
      </w:r>
      <w:r>
        <w:rPr>
          <w:rFonts w:hint="eastAsia" w:ascii="宋体" w:hAnsi="宋体" w:cs="宋体"/>
          <w:snapToGrid w:val="0"/>
          <w:color w:val="auto"/>
          <w:kern w:val="0"/>
          <w:sz w:val="24"/>
          <w:szCs w:val="24"/>
          <w:highlight w:val="none"/>
          <w:lang w:val="en-US" w:eastAsia="zh-CN"/>
        </w:rPr>
        <w:t>货物</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指供方按</w:t>
      </w:r>
      <w:r>
        <w:rPr>
          <w:rFonts w:hint="eastAsia" w:ascii="宋体" w:hAnsi="宋体" w:eastAsia="宋体" w:cs="宋体"/>
          <w:snapToGrid w:val="0"/>
          <w:color w:val="auto"/>
          <w:kern w:val="0"/>
          <w:sz w:val="24"/>
          <w:szCs w:val="24"/>
          <w:highlight w:val="none"/>
          <w:lang w:eastAsia="zh-CN"/>
        </w:rPr>
        <w:t>采购文件</w:t>
      </w:r>
      <w:r>
        <w:rPr>
          <w:rFonts w:hint="eastAsia" w:ascii="宋体" w:hAnsi="宋体" w:eastAsia="宋体" w:cs="宋体"/>
          <w:snapToGrid w:val="0"/>
          <w:color w:val="auto"/>
          <w:kern w:val="0"/>
          <w:sz w:val="24"/>
          <w:szCs w:val="24"/>
          <w:highlight w:val="none"/>
        </w:rPr>
        <w:t>规定，须向采购人提供的一切设备、保险、税金、备品备件、工具、手册及其它有关技术资料和材料。</w:t>
      </w:r>
    </w:p>
    <w:p w14:paraId="17DF53B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2.11</w:t>
      </w:r>
      <w:r>
        <w:rPr>
          <w:rFonts w:hint="eastAsia" w:ascii="宋体" w:hAnsi="宋体" w:eastAsia="宋体" w:cs="宋体"/>
          <w:snapToGrid w:val="0"/>
          <w:color w:val="auto"/>
          <w:kern w:val="0"/>
          <w:sz w:val="24"/>
          <w:szCs w:val="24"/>
          <w:highlight w:val="none"/>
        </w:rPr>
        <w:t>项目</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指投标人按</w:t>
      </w:r>
      <w:r>
        <w:rPr>
          <w:rFonts w:hint="eastAsia" w:ascii="宋体" w:hAnsi="宋体" w:eastAsia="宋体" w:cs="宋体"/>
          <w:snapToGrid w:val="0"/>
          <w:color w:val="auto"/>
          <w:kern w:val="0"/>
          <w:sz w:val="24"/>
          <w:szCs w:val="24"/>
          <w:highlight w:val="none"/>
          <w:lang w:eastAsia="zh-CN"/>
        </w:rPr>
        <w:t>采购文件</w:t>
      </w:r>
      <w:r>
        <w:rPr>
          <w:rFonts w:hint="eastAsia" w:ascii="宋体" w:hAnsi="宋体" w:eastAsia="宋体" w:cs="宋体"/>
          <w:snapToGrid w:val="0"/>
          <w:color w:val="auto"/>
          <w:kern w:val="0"/>
          <w:sz w:val="24"/>
          <w:szCs w:val="24"/>
          <w:highlight w:val="none"/>
        </w:rPr>
        <w:t>规定向采购人提供的</w:t>
      </w:r>
      <w:r>
        <w:rPr>
          <w:rFonts w:hint="eastAsia" w:ascii="宋体" w:hAnsi="宋体" w:cs="宋体"/>
          <w:snapToGrid w:val="0"/>
          <w:color w:val="auto"/>
          <w:kern w:val="0"/>
          <w:sz w:val="24"/>
          <w:szCs w:val="24"/>
          <w:highlight w:val="none"/>
          <w:lang w:val="en-US" w:eastAsia="zh-CN"/>
        </w:rPr>
        <w:t>货物</w:t>
      </w:r>
      <w:r>
        <w:rPr>
          <w:rFonts w:hint="eastAsia" w:ascii="宋体" w:hAnsi="宋体" w:eastAsia="宋体" w:cs="宋体"/>
          <w:snapToGrid w:val="0"/>
          <w:color w:val="auto"/>
          <w:kern w:val="0"/>
          <w:sz w:val="24"/>
          <w:szCs w:val="24"/>
          <w:highlight w:val="none"/>
        </w:rPr>
        <w:t>和服务。</w:t>
      </w:r>
    </w:p>
    <w:p w14:paraId="6911359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2.12</w:t>
      </w:r>
      <w:r>
        <w:rPr>
          <w:rFonts w:hint="eastAsia" w:ascii="宋体" w:hAnsi="宋体" w:eastAsia="宋体" w:cs="宋体"/>
          <w:snapToGrid w:val="0"/>
          <w:color w:val="auto"/>
          <w:kern w:val="0"/>
          <w:sz w:val="24"/>
          <w:szCs w:val="24"/>
          <w:highlight w:val="none"/>
        </w:rPr>
        <w:t>书面形式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zh-CN"/>
        </w:rPr>
        <w:t>包括纸质文件、电子邮件、传真、信函、电报等</w:t>
      </w:r>
      <w:r>
        <w:rPr>
          <w:rFonts w:hint="eastAsia" w:ascii="宋体" w:hAnsi="宋体" w:eastAsia="宋体" w:cs="宋体"/>
          <w:snapToGrid w:val="0"/>
          <w:color w:val="auto"/>
          <w:kern w:val="0"/>
          <w:sz w:val="24"/>
          <w:szCs w:val="24"/>
          <w:highlight w:val="none"/>
        </w:rPr>
        <w:t>。</w:t>
      </w:r>
    </w:p>
    <w:p w14:paraId="42251B6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2.</w:t>
      </w: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lang w:eastAsia="zh-CN"/>
        </w:rPr>
        <w:t>官方指定网站公示的内容视为书面告知。</w:t>
      </w:r>
    </w:p>
    <w:p w14:paraId="70D51A7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2.14</w:t>
      </w:r>
      <w:r>
        <w:rPr>
          <w:rFonts w:hint="eastAsia" w:ascii="宋体" w:hAnsi="宋体" w:eastAsia="宋体" w:cs="宋体"/>
          <w:snapToGrid w:val="0"/>
          <w:color w:val="auto"/>
          <w:kern w:val="0"/>
          <w:sz w:val="24"/>
          <w:szCs w:val="24"/>
          <w:highlight w:val="none"/>
        </w:rPr>
        <w:t>电子签名</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指数据电文中以电子形式所含、所附用于识别签名人身份并表明签名人认可其中内容的数据；“公章”系指单位法定名称章。</w:t>
      </w:r>
    </w:p>
    <w:p w14:paraId="77840DD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eastAsia="zh-CN"/>
        </w:rPr>
      </w:pPr>
      <w:r>
        <w:rPr>
          <w:rFonts w:hint="eastAsia" w:ascii="宋体" w:hAnsi="宋体" w:eastAsia="宋体" w:cs="宋体"/>
          <w:snapToGrid w:val="0"/>
          <w:color w:val="auto"/>
          <w:kern w:val="0"/>
          <w:sz w:val="24"/>
          <w:szCs w:val="24"/>
          <w:highlight w:val="none"/>
          <w:lang w:val="en-US" w:eastAsia="zh-CN"/>
        </w:rPr>
        <w:t>2.15“电子交易平台”系指本项目政府采购活动所依托的政府采购云平台（https://www.zcygov.cn/）。</w:t>
      </w:r>
    </w:p>
    <w:p w14:paraId="5B08B9F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2.16</w:t>
      </w:r>
      <w:r>
        <w:rPr>
          <w:rFonts w:hint="eastAsia" w:ascii="宋体" w:hAnsi="宋体" w:eastAsia="宋体" w:cs="宋体"/>
          <w:snapToGrid w:val="0"/>
          <w:color w:val="auto"/>
          <w:kern w:val="0"/>
          <w:sz w:val="24"/>
          <w:szCs w:val="24"/>
          <w:highlight w:val="none"/>
          <w:lang w:val="zh-CN"/>
        </w:rPr>
        <w:t>投标人应保证提供的</w:t>
      </w:r>
      <w:r>
        <w:rPr>
          <w:rFonts w:hint="eastAsia" w:ascii="宋体" w:hAnsi="宋体" w:cs="宋体"/>
          <w:snapToGrid w:val="0"/>
          <w:color w:val="auto"/>
          <w:kern w:val="0"/>
          <w:sz w:val="24"/>
          <w:szCs w:val="24"/>
          <w:highlight w:val="none"/>
          <w:lang w:val="en-US" w:eastAsia="zh-CN"/>
        </w:rPr>
        <w:t>货物</w:t>
      </w:r>
      <w:r>
        <w:rPr>
          <w:rFonts w:hint="eastAsia" w:ascii="宋体" w:hAnsi="宋体" w:eastAsia="宋体" w:cs="宋体"/>
          <w:snapToGrid w:val="0"/>
          <w:color w:val="auto"/>
          <w:kern w:val="0"/>
          <w:sz w:val="24"/>
          <w:szCs w:val="24"/>
          <w:highlight w:val="none"/>
          <w:lang w:val="zh-CN"/>
        </w:rPr>
        <w:t>为合法企业生产的合法产品，符合中华人民共和国有关法律、法规、规章、文件、标准、规范的规定。按国家规定应通过有关部门鉴定（批准）的产品，应保证已按国家规定通过了鉴定（批准）；实行产品许可证制度的产品须获得国家许可；实行强制性认证的产品须通过国家认可认证；产品应符合国家节能环保要求；投标人在投标文件中提供相关证明材料。</w:t>
      </w:r>
    </w:p>
    <w:p w14:paraId="50B05C8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2.17</w:t>
      </w:r>
      <w:r>
        <w:rPr>
          <w:rFonts w:hint="eastAsia" w:ascii="宋体" w:hAnsi="宋体" w:eastAsia="宋体" w:cs="宋体"/>
          <w:snapToGrid w:val="0"/>
          <w:color w:val="auto"/>
          <w:kern w:val="0"/>
          <w:sz w:val="24"/>
          <w:szCs w:val="24"/>
          <w:highlight w:val="none"/>
          <w:lang w:val="zh-CN"/>
        </w:rPr>
        <w:t>培训：系指按招标文件规定，向采购人提供操作使用培训、系统管理培训和其他相关培训等。</w:t>
      </w:r>
    </w:p>
    <w:p w14:paraId="5279D9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2.18</w:t>
      </w:r>
      <w:r>
        <w:rPr>
          <w:rFonts w:hint="eastAsia" w:ascii="宋体" w:hAnsi="宋体" w:eastAsia="宋体" w:cs="宋体"/>
          <w:snapToGrid w:val="0"/>
          <w:color w:val="auto"/>
          <w:kern w:val="0"/>
          <w:sz w:val="24"/>
          <w:szCs w:val="24"/>
          <w:highlight w:val="none"/>
          <w:lang w:val="zh-CN"/>
        </w:rPr>
        <w:t>实质性响应：系指投标文件符合招标文件规定的实质性内容、条件和规定。</w:t>
      </w:r>
    </w:p>
    <w:p w14:paraId="3BA4F0B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2.19</w:t>
      </w:r>
      <w:r>
        <w:rPr>
          <w:rFonts w:hint="eastAsia" w:ascii="宋体" w:hAnsi="宋体" w:eastAsia="宋体" w:cs="宋体"/>
          <w:snapToGrid w:val="0"/>
          <w:color w:val="auto"/>
          <w:kern w:val="0"/>
          <w:sz w:val="24"/>
          <w:szCs w:val="24"/>
          <w:highlight w:val="none"/>
          <w:lang w:val="zh-CN"/>
        </w:rPr>
        <w:t>重大偏离或保留：系指将会影响到招标文件规定的服务范围、质量标准，或会给合同中规定的采购人的权利和投标人的责任造成实质性限制，而纠正这些偏离或保留将对其他提交了实质性响应的投标文件的投标人产生不公平影响的。</w:t>
      </w:r>
    </w:p>
    <w:p w14:paraId="607D5AB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zh-CN"/>
        </w:rPr>
        <w:t>细微偏离：系指投标文件对招标文件的非实质性内容存在不完全响应或不响应。</w:t>
      </w:r>
    </w:p>
    <w:p w14:paraId="73EF7B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en-US" w:eastAsia="zh-CN"/>
        </w:rPr>
        <w:t>2.20“</w:t>
      </w: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zh-CN"/>
        </w:rPr>
        <w:t>系指实质性的要求条款。</w:t>
      </w:r>
    </w:p>
    <w:p w14:paraId="0912284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en-US" w:eastAsia="zh-CN"/>
        </w:rPr>
        <w:t>2.21“</w:t>
      </w: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zh-CN"/>
        </w:rPr>
        <w:t>系指投标人应特别关注的条款。</w:t>
      </w:r>
    </w:p>
    <w:p w14:paraId="2BAD44C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3</w:t>
      </w:r>
      <w:r>
        <w:rPr>
          <w:rFonts w:hint="eastAsia" w:ascii="宋体" w:hAnsi="宋体" w:eastAsia="宋体" w:cs="宋体"/>
          <w:b/>
          <w:snapToGrid w:val="0"/>
          <w:color w:val="auto"/>
          <w:kern w:val="0"/>
          <w:sz w:val="28"/>
          <w:szCs w:val="28"/>
          <w:highlight w:val="none"/>
          <w:lang w:val="en-US" w:eastAsia="zh-CN"/>
        </w:rPr>
        <w:t>.</w:t>
      </w:r>
      <w:r>
        <w:rPr>
          <w:rFonts w:hint="eastAsia" w:ascii="宋体" w:hAnsi="宋体" w:eastAsia="宋体" w:cs="宋体"/>
          <w:b/>
          <w:snapToGrid w:val="0"/>
          <w:color w:val="auto"/>
          <w:kern w:val="0"/>
          <w:sz w:val="28"/>
          <w:szCs w:val="28"/>
          <w:highlight w:val="none"/>
        </w:rPr>
        <w:t>合格的投标人及合格的投标货物和服务</w:t>
      </w:r>
    </w:p>
    <w:p w14:paraId="542D23B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snapToGrid w:val="0"/>
          <w:color w:val="auto"/>
          <w:kern w:val="0"/>
          <w:sz w:val="28"/>
          <w:szCs w:val="28"/>
          <w:highlight w:val="none"/>
          <w:lang w:val="en-US" w:eastAsia="zh-CN"/>
        </w:rPr>
      </w:pPr>
      <w:r>
        <w:rPr>
          <w:rFonts w:hint="eastAsia" w:ascii="宋体" w:hAnsi="宋体" w:eastAsia="宋体" w:cs="宋体"/>
          <w:b/>
          <w:snapToGrid w:val="0"/>
          <w:color w:val="auto"/>
          <w:kern w:val="0"/>
          <w:sz w:val="28"/>
          <w:szCs w:val="28"/>
          <w:highlight w:val="none"/>
        </w:rPr>
        <w:t>3.1合格的投标人</w:t>
      </w:r>
      <w:r>
        <w:rPr>
          <w:rFonts w:hint="eastAsia" w:ascii="宋体" w:hAnsi="宋体" w:eastAsia="宋体" w:cs="宋体"/>
          <w:b/>
          <w:snapToGrid w:val="0"/>
          <w:color w:val="auto"/>
          <w:kern w:val="0"/>
          <w:sz w:val="28"/>
          <w:szCs w:val="28"/>
          <w:highlight w:val="none"/>
          <w:lang w:val="en-US" w:eastAsia="zh-CN"/>
        </w:rPr>
        <w:t xml:space="preserve"> </w:t>
      </w:r>
    </w:p>
    <w:p w14:paraId="54D65BC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bCs/>
          <w:color w:val="auto"/>
          <w:highlight w:val="none"/>
          <w:u w:val="single"/>
          <w:lang w:val="en-US" w:eastAsia="zh-CN"/>
        </w:rPr>
      </w:pPr>
      <w:r>
        <w:rPr>
          <w:rFonts w:hint="eastAsia" w:ascii="宋体" w:hAnsi="宋体" w:eastAsia="宋体" w:cs="宋体"/>
          <w:snapToGrid w:val="0"/>
          <w:color w:val="auto"/>
          <w:kern w:val="0"/>
          <w:sz w:val="24"/>
          <w:szCs w:val="24"/>
          <w:highlight w:val="none"/>
        </w:rPr>
        <w:t>详见采购公告</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二、申请人的资格要求</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规定的投标人必须具备的资格条件并经评标委员会审查通过的。</w:t>
      </w:r>
    </w:p>
    <w:p w14:paraId="0D6996C0">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t>3.</w:t>
      </w:r>
      <w:r>
        <w:rPr>
          <w:rFonts w:hint="eastAsia" w:ascii="宋体" w:hAnsi="宋体" w:eastAsia="宋体" w:cs="宋体"/>
          <w:b/>
          <w:bCs/>
          <w:snapToGrid w:val="0"/>
          <w:color w:val="auto"/>
          <w:kern w:val="0"/>
          <w:sz w:val="28"/>
          <w:szCs w:val="28"/>
          <w:highlight w:val="none"/>
          <w:lang w:val="en-US" w:eastAsia="zh-CN"/>
        </w:rPr>
        <w:t>2</w:t>
      </w:r>
      <w:r>
        <w:rPr>
          <w:rFonts w:hint="eastAsia" w:ascii="宋体" w:hAnsi="宋体" w:eastAsia="宋体" w:cs="宋体"/>
          <w:b/>
          <w:bCs/>
          <w:snapToGrid w:val="0"/>
          <w:color w:val="auto"/>
          <w:kern w:val="0"/>
          <w:sz w:val="28"/>
          <w:szCs w:val="28"/>
          <w:highlight w:val="none"/>
        </w:rPr>
        <w:t>对投标人的限制</w:t>
      </w:r>
    </w:p>
    <w:p w14:paraId="1CDAC94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1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07C02B9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.2为本项目提供过整体设计、规范编制或者项目管理、监理、检测等服务的供应商，不得再参加该采购项目的其他采购活动（不包括为该项目提供整体设计、规范编制或者项目管理、监理、检测等服务）；</w:t>
      </w:r>
    </w:p>
    <w:p w14:paraId="03CB8C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.3以联合体形式参加政府采购活动的，联合体各方不得再单独参加或者与其他供应商另外组成联合体参加同一合同项下的政府采购活动；</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本项目不适用</w:t>
      </w:r>
      <w:r>
        <w:rPr>
          <w:rFonts w:hint="eastAsia" w:ascii="宋体" w:hAnsi="宋体" w:cs="宋体"/>
          <w:snapToGrid w:val="0"/>
          <w:color w:val="auto"/>
          <w:kern w:val="0"/>
          <w:sz w:val="24"/>
          <w:szCs w:val="24"/>
          <w:highlight w:val="none"/>
          <w:lang w:eastAsia="zh-CN"/>
        </w:rPr>
        <w:t>】</w:t>
      </w:r>
    </w:p>
    <w:p w14:paraId="6232B5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.4为证明投标人拥有的业绩、荣誉、知识产权、项目案例等而在投标文件中提供的证明材料必须为供应商自身所有。不同法人、其他组织的资料与供应商无关。</w:t>
      </w:r>
    </w:p>
    <w:p w14:paraId="1A4B2BC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.5在政府采购活动中，采购人员及相关人员与供应商有下列利害关系之一的，应当回避：</w:t>
      </w:r>
    </w:p>
    <w:p w14:paraId="13E9818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）参加采购活动前3年内与供应商存在劳动关系；</w:t>
      </w:r>
    </w:p>
    <w:p w14:paraId="0980A2D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）参加采购活动前3年内担任供应商的董事、监事；</w:t>
      </w:r>
    </w:p>
    <w:p w14:paraId="21786FD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）参加采购活动前3年内是供应商的控股股东或者实际控制人；</w:t>
      </w:r>
    </w:p>
    <w:p w14:paraId="170A533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）与供应商的法定代表人或者负责人有夫妻、直系血亲、三代以内旁系血亲或者近姻亲关系；</w:t>
      </w:r>
    </w:p>
    <w:p w14:paraId="5FC8836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）与供应商有其他可能影响政府采购活动公平、公正进行的关系。</w:t>
      </w:r>
    </w:p>
    <w:p w14:paraId="0751673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CF231A">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4.</w:t>
      </w:r>
      <w:r>
        <w:rPr>
          <w:rFonts w:hint="eastAsia" w:ascii="宋体" w:hAnsi="宋体" w:eastAsia="宋体" w:cs="宋体"/>
          <w:b/>
          <w:snapToGrid w:val="0"/>
          <w:color w:val="auto"/>
          <w:kern w:val="0"/>
          <w:sz w:val="28"/>
          <w:szCs w:val="28"/>
          <w:highlight w:val="none"/>
        </w:rPr>
        <w:t>相关说明</w:t>
      </w:r>
    </w:p>
    <w:p w14:paraId="59A9264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见本须知“前附表”，同时还需注意以下事项：</w:t>
      </w:r>
    </w:p>
    <w:p w14:paraId="5D1C8FC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.1投标费用</w:t>
      </w:r>
    </w:p>
    <w:p w14:paraId="6ED5BB0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供应商应承担其参加投标所涉及的一切费用，不管投标结果如何，采购人对这些费用不负任何责任。</w:t>
      </w:r>
    </w:p>
    <w:p w14:paraId="2ABAB41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应仔细阅读采购文件的所有内容，按照采购文件的要求提交投标文件。投标文件应对采购文件的要求作出实质性响应，并对所提供的全部资料的真实性承担法律责任。</w:t>
      </w:r>
    </w:p>
    <w:p w14:paraId="6A31977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4.3供应商投标所使用的资格、信誉、荣誉、业绩与企业认证必须为本法人所拥有。供应商投标拟派项目实施人员必须为本法人员工。</w:t>
      </w:r>
    </w:p>
    <w:p w14:paraId="460979E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4.4供应商应仔细阅读采购文件的所有内容，按照采购文件的要求提交投标文件，并对所提供的全部资料的真实性承担法律责任。</w:t>
      </w:r>
    </w:p>
    <w:p w14:paraId="4A6F54B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4.5▲投标人对所投标项内的采购内容必须全部进行投标。</w:t>
      </w:r>
    </w:p>
    <w:p w14:paraId="7BFB01F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4.6不论采购人、招标代理机构向投标人发送的资料文件，还是投标人提出的问题，均采用书面形式，任何口头提问及答复一律无效。</w:t>
      </w:r>
    </w:p>
    <w:p w14:paraId="60D2B8D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4.7招标文件中所涉及的产品品牌或型号均为建议性要求或为档次选择要求或为代替部分技术指标描述，投标人可以选择其他品牌型号的产品参加投标，但投标产品须具有相当于或优于招标文件要求的指标、性能、档次。否则，评标委员会将可能对其作出不利的评审。</w:t>
      </w:r>
    </w:p>
    <w:p w14:paraId="383B6BF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4.8▲投标人应保证所投产品整体或其任一部分，均免受第三方提出的侵犯其专利权、商标权、著作权或其他知识产权的起诉。投标人应承担由此可能产生的一切法律责任和费用。</w:t>
      </w:r>
    </w:p>
    <w:p w14:paraId="223915B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在投标活动中提供任何虚假材料,其投标无效，并报监管部门查处；中标后发现的,按《政府采购货物和服务招标投标管理办法》（财政部令第87号）相关规定承担相应的法律责任。</w:t>
      </w:r>
    </w:p>
    <w:p w14:paraId="03B39389">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lang w:val="en-US" w:eastAsia="zh-CN"/>
        </w:rPr>
      </w:pPr>
      <w:r>
        <w:rPr>
          <w:rFonts w:hint="eastAsia" w:ascii="宋体" w:hAnsi="宋体" w:eastAsia="宋体" w:cs="宋体"/>
          <w:b/>
          <w:snapToGrid w:val="0"/>
          <w:color w:val="auto"/>
          <w:kern w:val="0"/>
          <w:sz w:val="28"/>
          <w:szCs w:val="28"/>
          <w:highlight w:val="none"/>
          <w:lang w:val="en-US" w:eastAsia="zh-CN"/>
        </w:rPr>
        <w:t>5.保密</w:t>
      </w:r>
    </w:p>
    <w:p w14:paraId="093A78A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参与招标投标活动的各方应对招标文件和投标文件中的商业和技术等秘密保密，违者应对此造成的后果承担法律责任。</w:t>
      </w:r>
    </w:p>
    <w:p w14:paraId="6FE7D1DA">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bCs/>
          <w:color w:val="auto"/>
          <w:sz w:val="28"/>
          <w:szCs w:val="24"/>
          <w:highlight w:val="none"/>
        </w:rPr>
      </w:pPr>
      <w:bookmarkStart w:id="18" w:name="_Toc240450078"/>
      <w:bookmarkStart w:id="19" w:name="_Toc251566651"/>
      <w:bookmarkStart w:id="20" w:name="_Toc27862"/>
      <w:bookmarkStart w:id="21" w:name="_Toc4927"/>
      <w:bookmarkStart w:id="22" w:name="_Toc18941"/>
      <w:r>
        <w:rPr>
          <w:rFonts w:hint="eastAsia" w:ascii="宋体" w:hAnsi="宋体" w:eastAsia="宋体" w:cs="宋体"/>
          <w:b/>
          <w:bCs/>
          <w:color w:val="auto"/>
          <w:sz w:val="28"/>
          <w:szCs w:val="24"/>
          <w:highlight w:val="none"/>
        </w:rPr>
        <w:t>二、</w:t>
      </w:r>
      <w:bookmarkEnd w:id="18"/>
      <w:bookmarkEnd w:id="19"/>
      <w:r>
        <w:rPr>
          <w:rFonts w:hint="eastAsia" w:ascii="宋体" w:hAnsi="宋体" w:eastAsia="宋体" w:cs="宋体"/>
          <w:b/>
          <w:bCs/>
          <w:color w:val="auto"/>
          <w:sz w:val="28"/>
          <w:szCs w:val="24"/>
          <w:highlight w:val="none"/>
        </w:rPr>
        <w:t>采购文件</w:t>
      </w:r>
      <w:bookmarkEnd w:id="20"/>
      <w:bookmarkEnd w:id="21"/>
      <w:bookmarkEnd w:id="22"/>
    </w:p>
    <w:p w14:paraId="719F6F31">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6.</w:t>
      </w:r>
      <w:r>
        <w:rPr>
          <w:rFonts w:hint="eastAsia" w:ascii="宋体" w:hAnsi="宋体" w:eastAsia="宋体" w:cs="宋体"/>
          <w:b/>
          <w:snapToGrid w:val="0"/>
          <w:color w:val="auto"/>
          <w:kern w:val="0"/>
          <w:sz w:val="28"/>
          <w:szCs w:val="28"/>
          <w:highlight w:val="none"/>
        </w:rPr>
        <w:t>采购文件构成</w:t>
      </w:r>
    </w:p>
    <w:p w14:paraId="11CF340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.1本采购文件包括目录所示内容及所有按本须知第</w:t>
      </w:r>
      <w:r>
        <w:rPr>
          <w:rFonts w:hint="eastAsia" w:ascii="宋体" w:hAnsi="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条发出的补充资料。</w:t>
      </w:r>
    </w:p>
    <w:p w14:paraId="13AD0F4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.2除上述所列内容外，采购人和采购代理机构的任何工作人员对供应商所作的任何口头解释、介绍、答复，只能供供应商参考，对采购人、采购代理机构和供应商无任何约束力。</w:t>
      </w:r>
    </w:p>
    <w:p w14:paraId="7B90603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.3采购文件是招标过程进行的有效依据，也是成交后签订合同的依据，对双方均具有约束力，凡不遵守采购文件规定或对采购文件的实质性内容不响应的，将可能被拒绝或以无效标处理。</w:t>
      </w:r>
    </w:p>
    <w:p w14:paraId="5BECE32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.4本采购文件由采购人或采购代理机构依据相关法律、法规、规章、省市规定及采购文件进行解释。</w:t>
      </w:r>
    </w:p>
    <w:p w14:paraId="29CF0263">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7.</w:t>
      </w:r>
      <w:r>
        <w:rPr>
          <w:rFonts w:hint="eastAsia" w:ascii="宋体" w:hAnsi="宋体" w:eastAsia="宋体" w:cs="宋体"/>
          <w:b/>
          <w:snapToGrid w:val="0"/>
          <w:color w:val="auto"/>
          <w:kern w:val="0"/>
          <w:sz w:val="28"/>
          <w:szCs w:val="28"/>
          <w:highlight w:val="none"/>
        </w:rPr>
        <w:t>采购文件的澄清</w:t>
      </w:r>
    </w:p>
    <w:p w14:paraId="0E19974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在获取采购文件后，若有问题需要澄清或认为有必要与采购人进行技术交流，应于投标截止时间前，将问题发电子邮件至</w:t>
      </w:r>
      <w:r>
        <w:rPr>
          <w:rFonts w:hint="eastAsia" w:ascii="宋体" w:hAnsi="宋体" w:eastAsia="宋体" w:cs="宋体"/>
          <w:snapToGrid w:val="0"/>
          <w:color w:val="auto"/>
          <w:kern w:val="0"/>
          <w:sz w:val="24"/>
          <w:szCs w:val="24"/>
          <w:highlight w:val="none"/>
          <w:u w:val="single"/>
          <w:lang w:val="en-US" w:eastAsia="zh-CN"/>
        </w:rPr>
        <w:t xml:space="preserve"> 915482302@qq.com </w:t>
      </w:r>
      <w:r>
        <w:rPr>
          <w:rFonts w:hint="eastAsia" w:ascii="宋体" w:hAnsi="宋体" w:eastAsia="宋体" w:cs="宋体"/>
          <w:snapToGrid w:val="0"/>
          <w:color w:val="auto"/>
          <w:kern w:val="0"/>
          <w:sz w:val="24"/>
          <w:szCs w:val="24"/>
          <w:highlight w:val="none"/>
        </w:rPr>
        <w:t>（电子邮件与书面文件有不一致的，以书面文件为准）。截止期后的疑问将不予受理、答复。</w:t>
      </w:r>
    </w:p>
    <w:p w14:paraId="4F12A6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要求解释或澄清的问题应以书面形式送达，并加盖公章、写明日期。</w:t>
      </w:r>
    </w:p>
    <w:p w14:paraId="564B77C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.3所有要求解释或澄清的问题都予以解答，答疑内容与补充内容以更正（澄清）公告形式告知所有</w:t>
      </w:r>
      <w:r>
        <w:rPr>
          <w:rFonts w:hint="eastAsia" w:ascii="宋体" w:hAnsi="宋体" w:eastAsia="宋体" w:cs="宋体"/>
          <w:snapToGrid w:val="0"/>
          <w:color w:val="auto"/>
          <w:kern w:val="0"/>
          <w:sz w:val="24"/>
          <w:szCs w:val="24"/>
          <w:highlight w:val="none"/>
          <w:lang w:val="en-US" w:eastAsia="zh-CN"/>
        </w:rPr>
        <w:t>获取</w:t>
      </w:r>
      <w:r>
        <w:rPr>
          <w:rFonts w:hint="eastAsia" w:ascii="宋体" w:hAnsi="宋体" w:eastAsia="宋体" w:cs="宋体"/>
          <w:snapToGrid w:val="0"/>
          <w:color w:val="auto"/>
          <w:kern w:val="0"/>
          <w:sz w:val="24"/>
          <w:szCs w:val="24"/>
          <w:highlight w:val="none"/>
        </w:rPr>
        <w:t>采购文件的供应商。</w:t>
      </w:r>
    </w:p>
    <w:p w14:paraId="0F879FA5">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8.</w:t>
      </w:r>
      <w:r>
        <w:rPr>
          <w:rFonts w:hint="eastAsia" w:ascii="宋体" w:hAnsi="宋体" w:eastAsia="宋体" w:cs="宋体"/>
          <w:b/>
          <w:snapToGrid w:val="0"/>
          <w:color w:val="auto"/>
          <w:kern w:val="0"/>
          <w:sz w:val="28"/>
          <w:szCs w:val="28"/>
          <w:highlight w:val="none"/>
        </w:rPr>
        <w:t>采购文件的修改</w:t>
      </w:r>
    </w:p>
    <w:p w14:paraId="1654853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1采购人或者采购代理机构可以对已发出的采购文件进行必要的澄清或者修改。澄清或者修改的内容可能影响投标文件编制的，采购人或者采购代理机构应当在投标截止时间至少15日前，以更正（澄清）公告形式通知所有获取采购文件的潜在供应商；不足15日的，采购人或者采购代理机构应当顺延提交投标文件的截止时间。</w:t>
      </w:r>
    </w:p>
    <w:p w14:paraId="67F2A92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.2采购文件的修改将以更正（澄清）公告通知所有获取采购文件的供应商，并对其具有约束力。供应商</w:t>
      </w:r>
      <w:r>
        <w:rPr>
          <w:rFonts w:hint="eastAsia" w:ascii="宋体" w:hAnsi="宋体" w:eastAsia="宋体" w:cs="宋体"/>
          <w:color w:val="auto"/>
          <w:sz w:val="24"/>
          <w:szCs w:val="24"/>
          <w:highlight w:val="none"/>
        </w:rPr>
        <w:t>应及时关注浙江政府采购网上该项目的公告信息</w:t>
      </w:r>
      <w:r>
        <w:rPr>
          <w:rFonts w:hint="eastAsia" w:ascii="宋体" w:hAnsi="宋体" w:eastAsia="宋体" w:cs="宋体"/>
          <w:snapToGrid w:val="0"/>
          <w:color w:val="auto"/>
          <w:kern w:val="0"/>
          <w:sz w:val="24"/>
          <w:szCs w:val="24"/>
          <w:highlight w:val="none"/>
        </w:rPr>
        <w:t>。</w:t>
      </w:r>
    </w:p>
    <w:p w14:paraId="3EDA62D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.3在更正（澄清）公告发布后，如果供应商认为编制投标文件的时间不充分的，必须在公告发布之日的24小时内通知采购人和采购代理机构。否则，视同供应商有充足时间编制投标文件。</w:t>
      </w:r>
    </w:p>
    <w:p w14:paraId="5722BBA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.4采购文件澄清、答复、修改、补充的内容为采购文件的组成部分。当采购文件与采购文件的答复、澄清、修改、补充通知就同一内容的表述不一致时，以最后发出的更正（澄清）公告为准。</w:t>
      </w:r>
    </w:p>
    <w:p w14:paraId="4A53CFE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采购文件的澄清、答复、修改或补充都应该通过本代理机构以法定形式发布，除此以外的发布不属于采购文件的组成部分。</w:t>
      </w:r>
    </w:p>
    <w:p w14:paraId="23702E5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bCs/>
          <w:color w:val="auto"/>
          <w:sz w:val="28"/>
          <w:szCs w:val="24"/>
          <w:highlight w:val="none"/>
        </w:rPr>
      </w:pPr>
      <w:bookmarkStart w:id="23" w:name="_Toc251566652"/>
      <w:bookmarkStart w:id="24" w:name="_Toc240450079"/>
      <w:bookmarkStart w:id="25" w:name="_Toc22768"/>
      <w:bookmarkStart w:id="26" w:name="_Toc31368"/>
      <w:bookmarkStart w:id="27" w:name="_Toc15075"/>
      <w:r>
        <w:rPr>
          <w:rFonts w:hint="eastAsia" w:ascii="宋体" w:hAnsi="宋体" w:eastAsia="宋体" w:cs="宋体"/>
          <w:b/>
          <w:bCs/>
          <w:color w:val="auto"/>
          <w:sz w:val="28"/>
          <w:szCs w:val="24"/>
          <w:highlight w:val="none"/>
        </w:rPr>
        <w:t>三、投标文件的编制</w:t>
      </w:r>
      <w:bookmarkEnd w:id="23"/>
      <w:bookmarkEnd w:id="24"/>
      <w:bookmarkEnd w:id="25"/>
      <w:bookmarkEnd w:id="26"/>
      <w:bookmarkEnd w:id="27"/>
    </w:p>
    <w:p w14:paraId="282D2BDA">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供应商应认真阅读采购文件中所有的事项、格式、条款和技术要求等。如果供应商没有按照采购文件要求和规定编制投标文件及提交全部资料，或者投标没有对采购文件中各方面作出实质性响应，其风险应由供应商承担。</w:t>
      </w:r>
    </w:p>
    <w:p w14:paraId="33E70F52">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snapToGrid w:val="0"/>
          <w:color w:val="auto"/>
          <w:kern w:val="0"/>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US" w:eastAsia="zh-CN" w:bidi="ar-SA"/>
        </w:rPr>
        <w:t>投标人应确保所提供投标文件资料的有效性和真实性，所有文件资料必须是针对本次投标的。如发现投标人在投标活动中提供虚假文件资料，其投标无效，并报监管部门查处；中标后发现的，中标人还须按照《中华人民共和国消费者权益保护法》第</w:t>
      </w:r>
      <w:r>
        <w:rPr>
          <w:rFonts w:hint="eastAsia" w:ascii="宋体" w:hAnsi="宋体" w:cs="宋体"/>
          <w:b/>
          <w:snapToGrid w:val="0"/>
          <w:color w:val="auto"/>
          <w:kern w:val="0"/>
          <w:sz w:val="24"/>
          <w:szCs w:val="24"/>
          <w:highlight w:val="none"/>
          <w:lang w:val="en-US" w:eastAsia="zh-CN" w:bidi="ar-SA"/>
        </w:rPr>
        <w:t>55</w:t>
      </w:r>
      <w:r>
        <w:rPr>
          <w:rFonts w:hint="eastAsia" w:ascii="宋体" w:hAnsi="宋体" w:eastAsia="宋体" w:cs="宋体"/>
          <w:b/>
          <w:snapToGrid w:val="0"/>
          <w:color w:val="auto"/>
          <w:kern w:val="0"/>
          <w:sz w:val="24"/>
          <w:szCs w:val="24"/>
          <w:highlight w:val="none"/>
          <w:lang w:val="en-US" w:eastAsia="zh-CN" w:bidi="ar-SA"/>
        </w:rPr>
        <w:t>条之规定双倍赔偿采购人，且民事赔偿并不免除违法投标人的行政与刑事责任。</w:t>
      </w:r>
    </w:p>
    <w:p w14:paraId="5E120001">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9.</w:t>
      </w:r>
      <w:r>
        <w:rPr>
          <w:rFonts w:hint="eastAsia" w:ascii="宋体" w:hAnsi="宋体" w:eastAsia="宋体" w:cs="宋体"/>
          <w:b/>
          <w:snapToGrid w:val="0"/>
          <w:color w:val="auto"/>
          <w:kern w:val="0"/>
          <w:sz w:val="28"/>
          <w:szCs w:val="28"/>
          <w:highlight w:val="none"/>
        </w:rPr>
        <w:t>投标文件的语言、计量单位、形式及效力</w:t>
      </w:r>
    </w:p>
    <w:p w14:paraId="272E48AE">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val="en-US" w:eastAsia="zh-CN"/>
        </w:rPr>
        <w:t>9</w:t>
      </w:r>
      <w:r>
        <w:rPr>
          <w:rFonts w:hint="eastAsia" w:ascii="宋体" w:hAnsi="宋体" w:eastAsia="宋体" w:cs="宋体"/>
          <w:b/>
          <w:snapToGrid w:val="0"/>
          <w:color w:val="auto"/>
          <w:kern w:val="0"/>
          <w:sz w:val="24"/>
          <w:szCs w:val="24"/>
          <w:highlight w:val="none"/>
        </w:rPr>
        <w:t>.1语言及计量单位</w:t>
      </w:r>
    </w:p>
    <w:p w14:paraId="2788011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1.1投标文件及供应商与采购人之间与投标有关的来往通知、函件和文件均应使用简体中文。除签名、盖章、专用名称等特殊情形外，以中文汉语以外的文字表述的投标文件视同未提供。供应商提交的支持文件和印刷的文献可以用另一种语言，但相应内容应附有中文翻译文本，在解释投标文件时以中文翻译文本为准。</w:t>
      </w:r>
    </w:p>
    <w:p w14:paraId="37F4C95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.1.2除采购文件另有规定外，投标文件所使用的计量单位，均须采用中华人民共和国法定计量单位，否则视同未响应。</w:t>
      </w:r>
    </w:p>
    <w:p w14:paraId="44D7A546">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10.</w:t>
      </w:r>
      <w:r>
        <w:rPr>
          <w:rFonts w:hint="eastAsia" w:ascii="宋体" w:hAnsi="宋体" w:eastAsia="宋体" w:cs="宋体"/>
          <w:b/>
          <w:snapToGrid w:val="0"/>
          <w:color w:val="auto"/>
          <w:kern w:val="0"/>
          <w:sz w:val="28"/>
          <w:szCs w:val="28"/>
          <w:highlight w:val="none"/>
        </w:rPr>
        <w:t>投标文件构成</w:t>
      </w:r>
    </w:p>
    <w:p w14:paraId="0C22C358">
      <w:pPr>
        <w:keepNext w:val="0"/>
        <w:keepLines w:val="0"/>
        <w:pageBreakBefore w:val="0"/>
        <w:widowControl w:val="0"/>
        <w:kinsoku/>
        <w:wordWrap/>
        <w:overflowPunct/>
        <w:topLinePunct w:val="0"/>
        <w:autoSpaceDE/>
        <w:autoSpaceDN/>
        <w:bidi w:val="0"/>
        <w:adjustRightInd w:val="0"/>
        <w:snapToGrid w:val="0"/>
        <w:spacing w:before="120" w:beforeLines="50" w:line="48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供应商向采购人递交的投标文件均由</w:t>
      </w:r>
      <w:r>
        <w:rPr>
          <w:rFonts w:hint="eastAsia" w:ascii="宋体" w:hAnsi="宋体" w:eastAsia="宋体" w:cs="宋体"/>
          <w:b/>
          <w:bCs/>
          <w:snapToGrid w:val="0"/>
          <w:color w:val="auto"/>
          <w:kern w:val="0"/>
          <w:sz w:val="24"/>
          <w:szCs w:val="24"/>
          <w:highlight w:val="none"/>
        </w:rPr>
        <w:t>资格审查文件、商务技术文件、报价文件</w:t>
      </w:r>
      <w:r>
        <w:rPr>
          <w:rFonts w:hint="eastAsia" w:ascii="宋体" w:hAnsi="宋体" w:eastAsia="宋体" w:cs="宋体"/>
          <w:snapToGrid w:val="0"/>
          <w:color w:val="auto"/>
          <w:kern w:val="0"/>
          <w:sz w:val="24"/>
          <w:szCs w:val="24"/>
          <w:highlight w:val="none"/>
        </w:rPr>
        <w:t>组成，具体内容如下：</w:t>
      </w:r>
    </w:p>
    <w:p w14:paraId="459DA742">
      <w:pPr>
        <w:pStyle w:val="20"/>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rPr>
        <w:t>1</w:t>
      </w:r>
      <w:r>
        <w:rPr>
          <w:rFonts w:hint="eastAsia" w:ascii="宋体" w:hAnsi="宋体" w:cs="宋体"/>
          <w:b/>
          <w:bCs/>
          <w:snapToGrid w:val="0"/>
          <w:color w:val="auto"/>
          <w:kern w:val="0"/>
          <w:sz w:val="24"/>
          <w:szCs w:val="24"/>
          <w:highlight w:val="none"/>
          <w:lang w:val="en-US" w:eastAsia="zh-CN"/>
        </w:rPr>
        <w:t>0</w:t>
      </w:r>
      <w:r>
        <w:rPr>
          <w:rFonts w:hint="eastAsia" w:ascii="宋体" w:hAnsi="宋体" w:eastAsia="宋体" w:cs="宋体"/>
          <w:b/>
          <w:bCs/>
          <w:snapToGrid w:val="0"/>
          <w:color w:val="auto"/>
          <w:kern w:val="0"/>
          <w:sz w:val="24"/>
          <w:szCs w:val="24"/>
          <w:highlight w:val="none"/>
          <w:lang w:val="en-US" w:eastAsia="zh-CN"/>
        </w:rPr>
        <w:t>.1资格审查文件</w:t>
      </w:r>
    </w:p>
    <w:tbl>
      <w:tblPr>
        <w:tblStyle w:val="21"/>
        <w:tblW w:w="963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369"/>
        <w:gridCol w:w="5533"/>
      </w:tblGrid>
      <w:tr w14:paraId="6B97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top"/>
          </w:tcPr>
          <w:p w14:paraId="6ABA3784">
            <w:pPr>
              <w:keepNext w:val="0"/>
              <w:keepLines w:val="0"/>
              <w:pageBreakBefore w:val="0"/>
              <w:kinsoku/>
              <w:wordWrap/>
              <w:overflowPunct w:val="0"/>
              <w:topLinePunct w:val="0"/>
              <w:bidi w:val="0"/>
              <w:spacing w:before="60" w:after="60" w:line="500" w:lineRule="exact"/>
              <w:jc w:val="center"/>
              <w:textAlignment w:val="auto"/>
              <w:rPr>
                <w:rFonts w:hint="eastAsia" w:ascii="宋体" w:hAnsi="宋体" w:eastAsia="宋体" w:cs="宋体"/>
                <w:b/>
                <w:color w:val="auto"/>
                <w:sz w:val="24"/>
                <w:szCs w:val="24"/>
                <w:highlight w:val="none"/>
              </w:rPr>
            </w:pPr>
            <w:bookmarkStart w:id="28" w:name="_Toc16764"/>
            <w:r>
              <w:rPr>
                <w:rFonts w:hint="eastAsia" w:ascii="宋体" w:hAnsi="宋体" w:eastAsia="宋体" w:cs="宋体"/>
                <w:b/>
                <w:color w:val="auto"/>
                <w:sz w:val="24"/>
                <w:szCs w:val="24"/>
                <w:highlight w:val="none"/>
              </w:rPr>
              <w:t>序号</w:t>
            </w:r>
          </w:p>
        </w:tc>
        <w:tc>
          <w:tcPr>
            <w:tcW w:w="8902" w:type="dxa"/>
            <w:gridSpan w:val="2"/>
            <w:noWrap w:val="0"/>
            <w:vAlign w:val="top"/>
          </w:tcPr>
          <w:p w14:paraId="74F6312A">
            <w:pPr>
              <w:keepNext w:val="0"/>
              <w:keepLines w:val="0"/>
              <w:pageBreakBefore w:val="0"/>
              <w:kinsoku/>
              <w:wordWrap/>
              <w:overflowPunct w:val="0"/>
              <w:topLinePunct w:val="0"/>
              <w:bidi w:val="0"/>
              <w:spacing w:before="60" w:after="60"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6312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noWrap w:val="0"/>
            <w:vAlign w:val="center"/>
          </w:tcPr>
          <w:p w14:paraId="75802520">
            <w:pPr>
              <w:keepNext w:val="0"/>
              <w:keepLines w:val="0"/>
              <w:pageBreakBefore w:val="0"/>
              <w:kinsoku/>
              <w:wordWrap/>
              <w:overflowPunct w:val="0"/>
              <w:topLinePunct w:val="0"/>
              <w:bidi w:val="0"/>
              <w:spacing w:before="60" w:after="60"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▲资格</w:t>
            </w:r>
            <w:r>
              <w:rPr>
                <w:rFonts w:hint="eastAsia" w:ascii="宋体" w:hAnsi="宋体" w:eastAsia="宋体" w:cs="宋体"/>
                <w:b/>
                <w:color w:val="auto"/>
                <w:sz w:val="24"/>
                <w:szCs w:val="24"/>
                <w:highlight w:val="none"/>
                <w:u w:val="single"/>
                <w:lang w:val="en-US" w:eastAsia="zh-CN"/>
              </w:rPr>
              <w:t>审查</w:t>
            </w:r>
            <w:r>
              <w:rPr>
                <w:rFonts w:hint="eastAsia" w:ascii="宋体" w:hAnsi="宋体" w:eastAsia="宋体" w:cs="宋体"/>
                <w:b/>
                <w:color w:val="auto"/>
                <w:sz w:val="24"/>
                <w:szCs w:val="24"/>
                <w:highlight w:val="none"/>
                <w:u w:val="single"/>
              </w:rPr>
              <w:t>文件（强制性要求，供应商</w:t>
            </w:r>
            <w:r>
              <w:rPr>
                <w:rFonts w:hint="eastAsia" w:ascii="宋体" w:hAnsi="宋体" w:eastAsia="宋体" w:cs="宋体"/>
                <w:b/>
                <w:color w:val="auto"/>
                <w:sz w:val="24"/>
                <w:szCs w:val="24"/>
                <w:highlight w:val="none"/>
                <w:u w:val="single"/>
                <w:lang w:val="zh-CN"/>
              </w:rPr>
              <w:t>须按以下要求提供资格</w:t>
            </w:r>
            <w:r>
              <w:rPr>
                <w:rFonts w:hint="eastAsia" w:ascii="宋体" w:hAnsi="宋体" w:eastAsia="宋体" w:cs="宋体"/>
                <w:b/>
                <w:color w:val="auto"/>
                <w:sz w:val="24"/>
                <w:szCs w:val="24"/>
                <w:highlight w:val="none"/>
                <w:u w:val="single"/>
                <w:lang w:val="en-US" w:eastAsia="zh-CN"/>
              </w:rPr>
              <w:t>审查</w:t>
            </w:r>
            <w:r>
              <w:rPr>
                <w:rFonts w:hint="eastAsia" w:ascii="宋体" w:hAnsi="宋体" w:eastAsia="宋体" w:cs="宋体"/>
                <w:b/>
                <w:color w:val="auto"/>
                <w:sz w:val="24"/>
                <w:szCs w:val="24"/>
                <w:highlight w:val="none"/>
                <w:u w:val="single"/>
                <w:lang w:val="zh-CN"/>
              </w:rPr>
              <w:t>文件，否则资格性审查不通过的，责任自负</w:t>
            </w:r>
            <w:r>
              <w:rPr>
                <w:rFonts w:hint="eastAsia" w:ascii="宋体" w:hAnsi="宋体" w:eastAsia="宋体" w:cs="宋体"/>
                <w:b/>
                <w:color w:val="auto"/>
                <w:sz w:val="24"/>
                <w:szCs w:val="24"/>
                <w:highlight w:val="none"/>
                <w:u w:val="single"/>
              </w:rPr>
              <w:t>）</w:t>
            </w:r>
          </w:p>
        </w:tc>
      </w:tr>
      <w:tr w14:paraId="70D8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A6E788E">
            <w:pPr>
              <w:keepNext w:val="0"/>
              <w:keepLines w:val="0"/>
              <w:pageBreakBefore w:val="0"/>
              <w:kinsoku/>
              <w:wordWrap/>
              <w:overflowPunct w:val="0"/>
              <w:topLinePunct w:val="0"/>
              <w:bidi w:val="0"/>
              <w:spacing w:before="60" w:after="60"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69" w:type="dxa"/>
            <w:noWrap w:val="0"/>
            <w:vAlign w:val="center"/>
          </w:tcPr>
          <w:p w14:paraId="0528B736">
            <w:pPr>
              <w:spacing w:before="60" w:after="60" w:line="500" w:lineRule="exact"/>
              <w:ind w:firstLine="482" w:firstLineChars="200"/>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rPr>
              <w:t>符合参加政府采购活动应当具备的一般条件的承诺函</w:t>
            </w:r>
          </w:p>
        </w:tc>
        <w:tc>
          <w:tcPr>
            <w:tcW w:w="5533" w:type="dxa"/>
            <w:noWrap w:val="0"/>
            <w:vAlign w:val="center"/>
          </w:tcPr>
          <w:p w14:paraId="586BB78E">
            <w:pPr>
              <w:spacing w:before="60" w:after="60" w:line="500" w:lineRule="exact"/>
              <w:ind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0"/>
                <w:sz w:val="24"/>
                <w:highlight w:val="none"/>
              </w:rPr>
              <w:t>供应商须在</w:t>
            </w:r>
            <w:r>
              <w:rPr>
                <w:rFonts w:hint="eastAsia" w:ascii="宋体" w:hAnsi="宋体" w:eastAsia="宋体" w:cs="宋体"/>
                <w:color w:val="auto"/>
                <w:kern w:val="0"/>
                <w:sz w:val="24"/>
                <w:highlight w:val="none"/>
                <w:lang w:val="en-US" w:eastAsia="zh-CN"/>
              </w:rPr>
              <w:t>投标文件</w:t>
            </w:r>
            <w:r>
              <w:rPr>
                <w:rFonts w:hint="eastAsia" w:ascii="宋体" w:hAnsi="宋体" w:eastAsia="宋体" w:cs="宋体"/>
                <w:color w:val="auto"/>
                <w:kern w:val="0"/>
                <w:sz w:val="24"/>
                <w:highlight w:val="none"/>
              </w:rPr>
              <w:t>中出具符合参加政府采购活动应当具备的一般条件的承诺函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详见第五章应提交的有关格式范例</w:t>
            </w:r>
            <w:r>
              <w:rPr>
                <w:rFonts w:hint="eastAsia" w:ascii="宋体" w:hAnsi="宋体" w:eastAsia="宋体" w:cs="宋体"/>
                <w:color w:val="auto"/>
                <w:sz w:val="24"/>
                <w:highlight w:val="none"/>
              </w:rPr>
              <w:t>）</w:t>
            </w:r>
          </w:p>
        </w:tc>
      </w:tr>
      <w:tr w14:paraId="48B6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7F997A9">
            <w:pPr>
              <w:keepNext w:val="0"/>
              <w:keepLines w:val="0"/>
              <w:pageBreakBefore w:val="0"/>
              <w:kinsoku/>
              <w:wordWrap/>
              <w:overflowPunct w:val="0"/>
              <w:topLinePunct w:val="0"/>
              <w:bidi w:val="0"/>
              <w:spacing w:before="60" w:after="60" w:line="500" w:lineRule="exact"/>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369" w:type="dxa"/>
            <w:noWrap w:val="0"/>
            <w:vAlign w:val="center"/>
          </w:tcPr>
          <w:p w14:paraId="31C8A9E1">
            <w:pPr>
              <w:keepNext w:val="0"/>
              <w:keepLines w:val="0"/>
              <w:pageBreakBefore w:val="0"/>
              <w:kinsoku/>
              <w:wordWrap/>
              <w:overflowPunct/>
              <w:topLinePunct w:val="0"/>
              <w:bidi w:val="0"/>
              <w:spacing w:before="60" w:after="60" w:line="40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具有独立承担民事责任的能力</w:t>
            </w:r>
            <w:r>
              <w:rPr>
                <w:rFonts w:hint="eastAsia" w:ascii="宋体" w:hAnsi="宋体" w:eastAsia="宋体" w:cs="宋体"/>
                <w:b/>
                <w:bCs/>
                <w:color w:val="auto"/>
                <w:sz w:val="24"/>
                <w:szCs w:val="24"/>
                <w:highlight w:val="none"/>
                <w:lang w:val="en-US" w:eastAsia="zh-CN"/>
              </w:rPr>
              <w:t>证明材料</w:t>
            </w:r>
          </w:p>
        </w:tc>
        <w:tc>
          <w:tcPr>
            <w:tcW w:w="5533" w:type="dxa"/>
            <w:noWrap w:val="0"/>
            <w:vAlign w:val="center"/>
          </w:tcPr>
          <w:p w14:paraId="4E386BC3">
            <w:pPr>
              <w:keepNext w:val="0"/>
              <w:keepLines w:val="0"/>
              <w:pageBreakBefore w:val="0"/>
              <w:widowControl w:val="0"/>
              <w:kinsoku/>
              <w:wordWrap/>
              <w:overflowPunct/>
              <w:topLinePunct w:val="0"/>
              <w:autoSpaceDE/>
              <w:autoSpaceDN/>
              <w:bidi w:val="0"/>
              <w:adjustRightInd/>
              <w:snapToGrid/>
              <w:spacing w:before="60" w:after="6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有效的法人或者其他组织的营业执照等证明文件，自然人的身份证明；</w:t>
            </w:r>
          </w:p>
        </w:tc>
      </w:tr>
      <w:tr w14:paraId="162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2" w:type="dxa"/>
            <w:noWrap w:val="0"/>
            <w:vAlign w:val="center"/>
          </w:tcPr>
          <w:p w14:paraId="424A4F37">
            <w:pPr>
              <w:keepNext w:val="0"/>
              <w:keepLines w:val="0"/>
              <w:pageBreakBefore w:val="0"/>
              <w:kinsoku/>
              <w:wordWrap/>
              <w:overflowPunct w:val="0"/>
              <w:topLinePunct w:val="0"/>
              <w:bidi w:val="0"/>
              <w:spacing w:before="60" w:after="60"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p>
        </w:tc>
        <w:tc>
          <w:tcPr>
            <w:tcW w:w="3369" w:type="dxa"/>
            <w:noWrap w:val="0"/>
            <w:vAlign w:val="center"/>
          </w:tcPr>
          <w:p w14:paraId="18801A42">
            <w:pPr>
              <w:pStyle w:val="11"/>
              <w:keepNext w:val="0"/>
              <w:keepLines w:val="0"/>
              <w:pageBreakBefore w:val="0"/>
              <w:kinsoku/>
              <w:wordWrap/>
              <w:overflowPunct/>
              <w:topLinePunct w:val="0"/>
              <w:bidi w:val="0"/>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根据《关于规范政府采购供应商资格设定及资格审查的通知》（浙财采监[2013]24 号）第6条规定接受金融、保险、通讯等特定行业的全国性企业所设立的区域性分支机构以及个体工商户、个人独资企业、合伙企业（应依法办理了工商、税务和社保登记手续，并且获得总公司（总机构）授权或能够提供房产权证或其他有效财产证明材料（在投标文件中提供相关材料），能证明其具备实际承担责任的能力和法定的缔结合同能力，可以独立参加政府采购活动，由单位负责人签署相关文件材料）</w:t>
            </w:r>
          </w:p>
        </w:tc>
        <w:tc>
          <w:tcPr>
            <w:tcW w:w="5533" w:type="dxa"/>
            <w:noWrap w:val="0"/>
            <w:vAlign w:val="center"/>
          </w:tcPr>
          <w:p w14:paraId="2B6564DB">
            <w:pPr>
              <w:pStyle w:val="11"/>
              <w:keepNext w:val="0"/>
              <w:keepLines w:val="0"/>
              <w:pageBreakBefore w:val="0"/>
              <w:kinsoku/>
              <w:wordWrap/>
              <w:overflowPunct/>
              <w:topLinePunct w:val="0"/>
              <w:bidi w:val="0"/>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1、属于此种情形的</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b w:val="0"/>
                <w:bCs w:val="0"/>
                <w:color w:val="auto"/>
                <w:sz w:val="24"/>
                <w:szCs w:val="24"/>
                <w:highlight w:val="none"/>
                <w:lang w:val="en-US" w:eastAsia="zh-CN"/>
              </w:rPr>
              <w:t>除资格要求应提供资料外。还应提供以下资料：（1）金融、保险、通讯等特定行业的全国性企业所设立的区域性分支机构提供总公司（总机构）授权；（2）个体工商户、个人独资企业、合伙企业应提供房产权证或其他有效财产证明材料。</w:t>
            </w:r>
          </w:p>
          <w:p w14:paraId="5E0D053A">
            <w:pPr>
              <w:pStyle w:val="11"/>
              <w:keepNext w:val="0"/>
              <w:keepLines w:val="0"/>
              <w:pageBreakBefore w:val="0"/>
              <w:kinsoku/>
              <w:wordWrap/>
              <w:overflowPunct/>
              <w:topLinePunct w:val="0"/>
              <w:bidi w:val="0"/>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2、不属于此种情况的</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b w:val="0"/>
                <w:bCs w:val="0"/>
                <w:color w:val="auto"/>
                <w:sz w:val="24"/>
                <w:szCs w:val="24"/>
                <w:highlight w:val="none"/>
                <w:lang w:val="en-US" w:eastAsia="zh-CN"/>
              </w:rPr>
              <w:t>提供以下资料：企业类型的声明函（详见第五章应提交的有关格式范例）。</w:t>
            </w:r>
          </w:p>
        </w:tc>
      </w:tr>
      <w:tr w14:paraId="2EDE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2" w:type="dxa"/>
            <w:noWrap w:val="0"/>
            <w:vAlign w:val="center"/>
          </w:tcPr>
          <w:p w14:paraId="249662EB">
            <w:pPr>
              <w:keepNext w:val="0"/>
              <w:keepLines w:val="0"/>
              <w:pageBreakBefore w:val="0"/>
              <w:kinsoku/>
              <w:wordWrap/>
              <w:overflowPunct w:val="0"/>
              <w:topLinePunct w:val="0"/>
              <w:bidi w:val="0"/>
              <w:spacing w:before="60" w:after="60"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p>
        </w:tc>
        <w:tc>
          <w:tcPr>
            <w:tcW w:w="8902" w:type="dxa"/>
            <w:gridSpan w:val="2"/>
            <w:noWrap w:val="0"/>
            <w:vAlign w:val="center"/>
          </w:tcPr>
          <w:p w14:paraId="15DDA9D8">
            <w:pPr>
              <w:pStyle w:val="11"/>
              <w:keepNext w:val="0"/>
              <w:keepLines w:val="0"/>
              <w:pageBreakBefore w:val="0"/>
              <w:kinsoku/>
              <w:wordWrap/>
              <w:overflowPunct/>
              <w:topLinePunct w:val="0"/>
              <w:bidi w:val="0"/>
              <w:spacing w:line="4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供应商</w:t>
            </w:r>
            <w:r>
              <w:rPr>
                <w:rFonts w:hint="eastAsia" w:ascii="宋体" w:hAnsi="宋体" w:eastAsia="宋体" w:cs="宋体"/>
                <w:b w:val="0"/>
                <w:bCs w:val="0"/>
                <w:color w:val="auto"/>
                <w:sz w:val="24"/>
                <w:szCs w:val="24"/>
                <w:highlight w:val="none"/>
                <w:lang w:val="en-US" w:eastAsia="zh-CN"/>
              </w:rPr>
              <w:t>认为需要在资格审查文件里说明的其他材料（如有）</w:t>
            </w:r>
          </w:p>
        </w:tc>
      </w:tr>
      <w:bookmarkEnd w:id="28"/>
    </w:tbl>
    <w:p w14:paraId="7808167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color w:val="auto"/>
          <w:sz w:val="24"/>
          <w:szCs w:val="24"/>
          <w:highlight w:val="none"/>
        </w:rPr>
        <w:t>注：上述资格条件审查材料有一项不提供的，视为资格审查不通过,不进入后续评审。</w:t>
      </w:r>
    </w:p>
    <w:p w14:paraId="1DFE2F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outlineLvl w:val="2"/>
        <w:rPr>
          <w:rFonts w:hint="eastAsia" w:ascii="宋体" w:hAnsi="宋体" w:eastAsia="宋体" w:cs="宋体"/>
          <w:b/>
          <w:color w:val="auto"/>
          <w:sz w:val="24"/>
          <w:szCs w:val="24"/>
          <w:highlight w:val="none"/>
        </w:rPr>
      </w:pPr>
      <w:bookmarkStart w:id="29" w:name="_Toc11990"/>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商务技术文件</w:t>
      </w:r>
      <w:bookmarkEnd w:id="29"/>
    </w:p>
    <w:tbl>
      <w:tblPr>
        <w:tblStyle w:val="21"/>
        <w:tblW w:w="9634"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8526"/>
      </w:tblGrid>
      <w:tr w14:paraId="1EE5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0AB38FB9">
            <w:pPr>
              <w:keepNext w:val="0"/>
              <w:keepLines w:val="0"/>
              <w:pageBreakBefore w:val="0"/>
              <w:kinsoku/>
              <w:wordWrap/>
              <w:topLinePunct w:val="0"/>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526" w:type="dxa"/>
            <w:noWrap w:val="0"/>
            <w:vAlign w:val="center"/>
          </w:tcPr>
          <w:p w14:paraId="5C73622C">
            <w:pPr>
              <w:keepNext w:val="0"/>
              <w:keepLines w:val="0"/>
              <w:pageBreakBefore w:val="0"/>
              <w:kinsoku/>
              <w:wordWrap/>
              <w:topLinePunct w:val="0"/>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79A1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3C5995A3">
            <w:pPr>
              <w:keepNext w:val="0"/>
              <w:keepLines w:val="0"/>
              <w:pageBreakBefore w:val="0"/>
              <w:kinsoku/>
              <w:wordWrap/>
              <w:topLinePunct w:val="0"/>
              <w:bidi w:val="0"/>
              <w:spacing w:line="50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8526" w:type="dxa"/>
            <w:noWrap w:val="0"/>
            <w:vAlign w:val="center"/>
          </w:tcPr>
          <w:p w14:paraId="2F1DA8D6">
            <w:pPr>
              <w:keepNext w:val="0"/>
              <w:keepLines w:val="0"/>
              <w:pageBreakBefore w:val="0"/>
              <w:kinsoku/>
              <w:wordWrap/>
              <w:topLinePunct w:val="0"/>
              <w:bidi w:val="0"/>
              <w:spacing w:line="5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自评表</w:t>
            </w:r>
            <w:r>
              <w:rPr>
                <w:rFonts w:hint="eastAsia" w:ascii="宋体" w:hAnsi="宋体" w:eastAsia="宋体" w:cs="宋体"/>
                <w:b w:val="0"/>
                <w:bCs w:val="0"/>
                <w:color w:val="auto"/>
                <w:sz w:val="24"/>
                <w:szCs w:val="24"/>
                <w:highlight w:val="none"/>
                <w:u w:val="single"/>
                <w:lang w:val="en-US" w:eastAsia="zh-CN"/>
              </w:rPr>
              <w:t>（详见第五章应提交的有关格式范例）</w:t>
            </w:r>
          </w:p>
        </w:tc>
      </w:tr>
      <w:tr w14:paraId="2D7F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1E384CC7">
            <w:pPr>
              <w:keepNext w:val="0"/>
              <w:keepLines w:val="0"/>
              <w:pageBreakBefore w:val="0"/>
              <w:kinsoku/>
              <w:wordWrap/>
              <w:topLinePunct w:val="0"/>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c>
        <w:tc>
          <w:tcPr>
            <w:tcW w:w="8526" w:type="dxa"/>
            <w:noWrap w:val="0"/>
            <w:vAlign w:val="center"/>
          </w:tcPr>
          <w:p w14:paraId="43DA2A76">
            <w:pPr>
              <w:keepNext w:val="0"/>
              <w:keepLines w:val="0"/>
              <w:pageBreakBefore w:val="0"/>
              <w:kinsoku/>
              <w:wordWrap/>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投标函</w:t>
            </w:r>
            <w:r>
              <w:rPr>
                <w:rFonts w:hint="eastAsia" w:ascii="宋体" w:hAnsi="宋体" w:eastAsia="宋体" w:cs="宋体"/>
                <w:b w:val="0"/>
                <w:bCs w:val="0"/>
                <w:color w:val="auto"/>
                <w:sz w:val="24"/>
                <w:szCs w:val="24"/>
                <w:highlight w:val="none"/>
                <w:u w:val="single"/>
                <w:lang w:val="en-US" w:eastAsia="zh-CN"/>
              </w:rPr>
              <w:t>（详见第五章应提交的有关格式范例）</w:t>
            </w:r>
          </w:p>
        </w:tc>
      </w:tr>
      <w:tr w14:paraId="7C5B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2CC1853B">
            <w:pPr>
              <w:keepNext w:val="0"/>
              <w:keepLines w:val="0"/>
              <w:pageBreakBefore w:val="0"/>
              <w:kinsoku/>
              <w:wordWrap/>
              <w:topLinePunct w:val="0"/>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c>
          <w:tcPr>
            <w:tcW w:w="8526" w:type="dxa"/>
            <w:noWrap w:val="0"/>
            <w:vAlign w:val="center"/>
          </w:tcPr>
          <w:p w14:paraId="07C111ED">
            <w:pPr>
              <w:keepNext w:val="0"/>
              <w:keepLines w:val="0"/>
              <w:pageBreakBefore w:val="0"/>
              <w:kinsoku/>
              <w:wordWrap/>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w:t>
            </w:r>
            <w:r>
              <w:rPr>
                <w:rFonts w:hint="eastAsia" w:ascii="宋体" w:hAnsi="宋体" w:eastAsia="宋体" w:cs="宋体"/>
                <w:b w:val="0"/>
                <w:bCs/>
                <w:color w:val="auto"/>
                <w:sz w:val="24"/>
                <w:szCs w:val="24"/>
                <w:highlight w:val="none"/>
                <w:u w:val="single"/>
              </w:rPr>
              <w:t>法定代表人</w:t>
            </w:r>
            <w:r>
              <w:rPr>
                <w:rFonts w:hint="eastAsia" w:ascii="宋体" w:hAnsi="宋体" w:cs="宋体"/>
                <w:b w:val="0"/>
                <w:bCs/>
                <w:color w:val="auto"/>
                <w:sz w:val="24"/>
                <w:szCs w:val="24"/>
                <w:highlight w:val="none"/>
                <w:u w:val="single"/>
                <w:lang w:eastAsia="zh-CN"/>
              </w:rPr>
              <w:t>（</w:t>
            </w:r>
            <w:r>
              <w:rPr>
                <w:rFonts w:hint="eastAsia" w:ascii="宋体" w:hAnsi="宋体" w:cs="宋体"/>
                <w:b w:val="0"/>
                <w:bCs/>
                <w:color w:val="auto"/>
                <w:sz w:val="24"/>
                <w:szCs w:val="24"/>
                <w:highlight w:val="none"/>
                <w:u w:val="single"/>
                <w:lang w:val="en-US" w:eastAsia="zh-CN"/>
              </w:rPr>
              <w:t>或负责人</w:t>
            </w:r>
            <w:r>
              <w:rPr>
                <w:rFonts w:hint="eastAsia" w:ascii="宋体" w:hAnsi="宋体" w:cs="宋体"/>
                <w:b w:val="0"/>
                <w:bCs/>
                <w:color w:val="auto"/>
                <w:sz w:val="24"/>
                <w:szCs w:val="24"/>
                <w:highlight w:val="none"/>
                <w:u w:val="single"/>
                <w:lang w:eastAsia="zh-CN"/>
              </w:rPr>
              <w:t>）</w:t>
            </w:r>
            <w:r>
              <w:rPr>
                <w:rFonts w:hint="eastAsia" w:ascii="宋体" w:hAnsi="宋体" w:eastAsia="宋体" w:cs="宋体"/>
                <w:b w:val="0"/>
                <w:bCs/>
                <w:color w:val="auto"/>
                <w:sz w:val="24"/>
                <w:szCs w:val="24"/>
                <w:highlight w:val="none"/>
                <w:u w:val="single"/>
              </w:rPr>
              <w:t>资格证明书及法定代表人</w:t>
            </w:r>
            <w:r>
              <w:rPr>
                <w:rFonts w:hint="eastAsia" w:ascii="宋体" w:hAnsi="宋体" w:cs="宋体"/>
                <w:b w:val="0"/>
                <w:bCs/>
                <w:color w:val="auto"/>
                <w:sz w:val="24"/>
                <w:szCs w:val="24"/>
                <w:highlight w:val="none"/>
                <w:u w:val="single"/>
                <w:lang w:eastAsia="zh-CN"/>
              </w:rPr>
              <w:t>（</w:t>
            </w:r>
            <w:r>
              <w:rPr>
                <w:rFonts w:hint="eastAsia" w:ascii="宋体" w:hAnsi="宋体" w:cs="宋体"/>
                <w:b w:val="0"/>
                <w:bCs/>
                <w:color w:val="auto"/>
                <w:sz w:val="24"/>
                <w:szCs w:val="24"/>
                <w:highlight w:val="none"/>
                <w:u w:val="single"/>
                <w:lang w:val="en-US" w:eastAsia="zh-CN"/>
              </w:rPr>
              <w:t>或负责人</w:t>
            </w:r>
            <w:r>
              <w:rPr>
                <w:rFonts w:hint="eastAsia" w:ascii="宋体" w:hAnsi="宋体" w:cs="宋体"/>
                <w:b w:val="0"/>
                <w:bCs/>
                <w:color w:val="auto"/>
                <w:sz w:val="24"/>
                <w:szCs w:val="24"/>
                <w:highlight w:val="none"/>
                <w:u w:val="single"/>
                <w:lang w:eastAsia="zh-CN"/>
              </w:rPr>
              <w:t>）</w:t>
            </w:r>
            <w:r>
              <w:rPr>
                <w:rFonts w:hint="eastAsia" w:ascii="宋体" w:hAnsi="宋体" w:eastAsia="宋体" w:cs="宋体"/>
                <w:b w:val="0"/>
                <w:bCs/>
                <w:color w:val="auto"/>
                <w:sz w:val="24"/>
                <w:szCs w:val="24"/>
                <w:highlight w:val="none"/>
                <w:u w:val="single"/>
              </w:rPr>
              <w:t>授权书</w:t>
            </w:r>
            <w:r>
              <w:rPr>
                <w:rFonts w:hint="eastAsia" w:ascii="宋体" w:hAnsi="宋体" w:eastAsia="宋体" w:cs="宋体"/>
                <w:b/>
                <w:bCs w:val="0"/>
                <w:color w:val="auto"/>
                <w:sz w:val="24"/>
                <w:szCs w:val="24"/>
                <w:highlight w:val="none"/>
                <w:u w:val="single"/>
              </w:rPr>
              <w:t>（法定代表人</w:t>
            </w:r>
            <w:r>
              <w:rPr>
                <w:rFonts w:hint="eastAsia" w:ascii="宋体" w:hAnsi="宋体" w:cs="宋体"/>
                <w:b/>
                <w:bCs w:val="0"/>
                <w:color w:val="auto"/>
                <w:sz w:val="24"/>
                <w:szCs w:val="24"/>
                <w:highlight w:val="none"/>
                <w:u w:val="single"/>
                <w:lang w:eastAsia="zh-CN"/>
              </w:rPr>
              <w:t>（</w:t>
            </w:r>
            <w:r>
              <w:rPr>
                <w:rFonts w:hint="eastAsia" w:ascii="宋体" w:hAnsi="宋体" w:cs="宋体"/>
                <w:b/>
                <w:bCs w:val="0"/>
                <w:color w:val="auto"/>
                <w:sz w:val="24"/>
                <w:szCs w:val="24"/>
                <w:highlight w:val="none"/>
                <w:u w:val="single"/>
                <w:lang w:val="en-US" w:eastAsia="zh-CN"/>
              </w:rPr>
              <w:t>或负责人</w:t>
            </w:r>
            <w:r>
              <w:rPr>
                <w:rFonts w:hint="eastAsia" w:ascii="宋体" w:hAnsi="宋体" w:cs="宋体"/>
                <w:b/>
                <w:bCs w:val="0"/>
                <w:color w:val="auto"/>
                <w:sz w:val="24"/>
                <w:szCs w:val="24"/>
                <w:highlight w:val="none"/>
                <w:u w:val="single"/>
                <w:lang w:eastAsia="zh-CN"/>
              </w:rPr>
              <w:t>）</w:t>
            </w:r>
            <w:r>
              <w:rPr>
                <w:rFonts w:hint="eastAsia" w:ascii="宋体" w:hAnsi="宋体" w:eastAsia="宋体" w:cs="宋体"/>
                <w:b/>
                <w:bCs w:val="0"/>
                <w:color w:val="auto"/>
                <w:sz w:val="24"/>
                <w:szCs w:val="24"/>
                <w:highlight w:val="none"/>
                <w:u w:val="single"/>
              </w:rPr>
              <w:t>直接参加投标并对相应文件签字的，只需提供前者）</w:t>
            </w:r>
            <w:r>
              <w:rPr>
                <w:rFonts w:hint="eastAsia" w:ascii="宋体" w:hAnsi="宋体" w:eastAsia="宋体" w:cs="宋体"/>
                <w:b w:val="0"/>
                <w:bCs/>
                <w:color w:val="auto"/>
                <w:sz w:val="24"/>
                <w:szCs w:val="24"/>
                <w:highlight w:val="none"/>
                <w:u w:val="single"/>
              </w:rPr>
              <w:t>，同时须附法定代表人</w:t>
            </w:r>
            <w:r>
              <w:rPr>
                <w:rFonts w:hint="eastAsia" w:ascii="宋体" w:hAnsi="宋体" w:cs="宋体"/>
                <w:b w:val="0"/>
                <w:bCs/>
                <w:color w:val="auto"/>
                <w:sz w:val="24"/>
                <w:szCs w:val="24"/>
                <w:highlight w:val="none"/>
                <w:u w:val="single"/>
                <w:lang w:eastAsia="zh-CN"/>
              </w:rPr>
              <w:t>（</w:t>
            </w:r>
            <w:r>
              <w:rPr>
                <w:rFonts w:hint="eastAsia" w:ascii="宋体" w:hAnsi="宋体" w:cs="宋体"/>
                <w:b w:val="0"/>
                <w:bCs/>
                <w:color w:val="auto"/>
                <w:sz w:val="24"/>
                <w:szCs w:val="24"/>
                <w:highlight w:val="none"/>
                <w:u w:val="single"/>
                <w:lang w:val="en-US" w:eastAsia="zh-CN"/>
              </w:rPr>
              <w:t>或负责人</w:t>
            </w:r>
            <w:r>
              <w:rPr>
                <w:rFonts w:hint="eastAsia" w:ascii="宋体" w:hAnsi="宋体" w:cs="宋体"/>
                <w:b w:val="0"/>
                <w:bCs/>
                <w:color w:val="auto"/>
                <w:sz w:val="24"/>
                <w:szCs w:val="24"/>
                <w:highlight w:val="none"/>
                <w:u w:val="single"/>
                <w:lang w:eastAsia="zh-CN"/>
              </w:rPr>
              <w:t>）</w:t>
            </w:r>
            <w:r>
              <w:rPr>
                <w:rFonts w:hint="eastAsia" w:ascii="宋体" w:hAnsi="宋体" w:eastAsia="宋体" w:cs="宋体"/>
                <w:b w:val="0"/>
                <w:bCs/>
                <w:color w:val="auto"/>
                <w:sz w:val="24"/>
                <w:szCs w:val="24"/>
                <w:highlight w:val="none"/>
                <w:u w:val="single"/>
              </w:rPr>
              <w:t>和授权委托代表的有效身份证复印件；</w:t>
            </w:r>
            <w:r>
              <w:rPr>
                <w:rFonts w:hint="eastAsia" w:ascii="宋体" w:hAnsi="宋体" w:eastAsia="宋体" w:cs="宋体"/>
                <w:b w:val="0"/>
                <w:bCs w:val="0"/>
                <w:color w:val="auto"/>
                <w:sz w:val="24"/>
                <w:szCs w:val="24"/>
                <w:highlight w:val="none"/>
                <w:u w:val="single"/>
                <w:lang w:val="en-US" w:eastAsia="zh-CN"/>
              </w:rPr>
              <w:t>（详见第五章应提交的有关格式范例）</w:t>
            </w:r>
          </w:p>
        </w:tc>
      </w:tr>
      <w:tr w14:paraId="77B4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3A94E213">
            <w:pPr>
              <w:keepNext w:val="0"/>
              <w:keepLines w:val="0"/>
              <w:pageBreakBefore w:val="0"/>
              <w:kinsoku/>
              <w:wordWrap/>
              <w:topLinePunct w:val="0"/>
              <w:bidi w:val="0"/>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526" w:type="dxa"/>
            <w:noWrap w:val="0"/>
            <w:vAlign w:val="center"/>
          </w:tcPr>
          <w:p w14:paraId="22D5CA24">
            <w:pPr>
              <w:keepNext w:val="0"/>
              <w:keepLines w:val="0"/>
              <w:pageBreakBefore w:val="0"/>
              <w:kinsoku/>
              <w:wordWrap/>
              <w:topLinePunct w:val="0"/>
              <w:bidi w:val="0"/>
              <w:spacing w:line="50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val="0"/>
                <w:bCs/>
                <w:color w:val="auto"/>
                <w:sz w:val="24"/>
                <w:szCs w:val="24"/>
                <w:highlight w:val="none"/>
                <w:u w:val="single"/>
                <w:lang w:val="en-US" w:eastAsia="zh-CN"/>
              </w:rPr>
              <w:t>拟派项目服务团队人员一览表</w:t>
            </w:r>
            <w:r>
              <w:rPr>
                <w:rFonts w:hint="eastAsia" w:ascii="宋体" w:hAnsi="宋体" w:eastAsia="宋体" w:cs="宋体"/>
                <w:b w:val="0"/>
                <w:bCs/>
                <w:color w:val="auto"/>
                <w:sz w:val="24"/>
                <w:szCs w:val="24"/>
                <w:highlight w:val="none"/>
                <w:lang w:val="en-US" w:eastAsia="zh-CN"/>
              </w:rPr>
              <w:t>（详见第五章应提交的有关格式范例）</w:t>
            </w:r>
          </w:p>
        </w:tc>
      </w:tr>
      <w:tr w14:paraId="18AA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2F2669DC">
            <w:pPr>
              <w:keepNext w:val="0"/>
              <w:keepLines w:val="0"/>
              <w:pageBreakBefore w:val="0"/>
              <w:kinsoku/>
              <w:wordWrap/>
              <w:topLinePunct w:val="0"/>
              <w:bidi w:val="0"/>
              <w:spacing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526" w:type="dxa"/>
            <w:noWrap w:val="0"/>
            <w:vAlign w:val="center"/>
          </w:tcPr>
          <w:p w14:paraId="641CDFEE">
            <w:pPr>
              <w:keepNext w:val="0"/>
              <w:keepLines w:val="0"/>
              <w:pageBreakBefore w:val="0"/>
              <w:kinsoku/>
              <w:wordWrap/>
              <w:topLinePunct w:val="0"/>
              <w:bidi w:val="0"/>
              <w:spacing w:line="500" w:lineRule="exact"/>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投标产品参数响应对照表</w:t>
            </w:r>
            <w:r>
              <w:rPr>
                <w:rFonts w:hint="eastAsia" w:ascii="宋体" w:hAnsi="宋体" w:eastAsia="宋体" w:cs="宋体"/>
                <w:b w:val="0"/>
                <w:bCs/>
                <w:color w:val="auto"/>
                <w:sz w:val="24"/>
                <w:szCs w:val="24"/>
                <w:highlight w:val="none"/>
                <w:lang w:val="en-US" w:eastAsia="zh-CN"/>
              </w:rPr>
              <w:t>（详见第五章应提交的有关格式范例）</w:t>
            </w:r>
          </w:p>
        </w:tc>
      </w:tr>
      <w:tr w14:paraId="2DEC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23C18F09">
            <w:pPr>
              <w:keepNext w:val="0"/>
              <w:keepLines w:val="0"/>
              <w:pageBreakBefore w:val="0"/>
              <w:kinsoku/>
              <w:wordWrap/>
              <w:topLinePunct w:val="0"/>
              <w:bidi w:val="0"/>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p>
        </w:tc>
        <w:tc>
          <w:tcPr>
            <w:tcW w:w="8526" w:type="dxa"/>
            <w:noWrap w:val="0"/>
            <w:vAlign w:val="center"/>
          </w:tcPr>
          <w:p w14:paraId="4AD877E0">
            <w:pPr>
              <w:keepNext w:val="0"/>
              <w:keepLines w:val="0"/>
              <w:pageBreakBefore w:val="0"/>
              <w:kinsoku/>
              <w:wordWrap/>
              <w:topLinePunct w:val="0"/>
              <w:bidi w:val="0"/>
              <w:spacing w:line="5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偏离表</w:t>
            </w:r>
            <w:r>
              <w:rPr>
                <w:rFonts w:hint="eastAsia" w:ascii="宋体" w:hAnsi="宋体" w:eastAsia="宋体" w:cs="宋体"/>
                <w:b w:val="0"/>
                <w:bCs w:val="0"/>
                <w:color w:val="auto"/>
                <w:sz w:val="24"/>
                <w:szCs w:val="24"/>
                <w:highlight w:val="none"/>
                <w:lang w:val="en-US" w:eastAsia="zh-CN"/>
              </w:rPr>
              <w:t>（详见第五章应提交的有关格式范例）</w:t>
            </w:r>
          </w:p>
        </w:tc>
      </w:tr>
      <w:tr w14:paraId="5C3E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4" w:type="dxa"/>
            <w:gridSpan w:val="2"/>
            <w:noWrap w:val="0"/>
            <w:vAlign w:val="center"/>
          </w:tcPr>
          <w:p w14:paraId="615FAAD2">
            <w:pPr>
              <w:keepNext w:val="0"/>
              <w:keepLines w:val="0"/>
              <w:pageBreakBefore w:val="0"/>
              <w:kinsoku/>
              <w:wordWrap/>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说明：以下</w:t>
            </w:r>
            <w:r>
              <w:rPr>
                <w:rFonts w:hint="eastAsia" w:ascii="宋体" w:hAnsi="宋体" w:eastAsia="宋体" w:cs="宋体"/>
                <w:b/>
                <w:color w:val="auto"/>
                <w:sz w:val="24"/>
                <w:szCs w:val="24"/>
                <w:highlight w:val="none"/>
                <w:lang w:val="en-US" w:eastAsia="zh-CN"/>
              </w:rPr>
              <w:t>第</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rPr>
              <w:t>）项附件格式仅供</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参考使用，该部分内容为商务技术评分内容，非强质性要求，供应商应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第六章评标办法及开标程序</w:t>
            </w:r>
            <w:r>
              <w:rPr>
                <w:rFonts w:hint="eastAsia" w:ascii="宋体" w:hAnsi="宋体" w:eastAsia="宋体" w:cs="宋体"/>
                <w:color w:val="auto"/>
                <w:sz w:val="24"/>
                <w:szCs w:val="24"/>
                <w:highlight w:val="none"/>
              </w:rPr>
              <w:t>“评分细则”中“评分标准”的相应要求编制或提供，未按要求编制相关内容或未按要求提供相关证明材料可能对供应商产生不利影响。</w:t>
            </w:r>
          </w:p>
        </w:tc>
      </w:tr>
      <w:tr w14:paraId="52A8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8" w:type="dxa"/>
            <w:noWrap w:val="0"/>
            <w:vAlign w:val="center"/>
          </w:tcPr>
          <w:p w14:paraId="74EDFEEE">
            <w:pPr>
              <w:keepNext w:val="0"/>
              <w:keepLines w:val="0"/>
              <w:pageBreakBefore w:val="0"/>
              <w:kinsoku/>
              <w:wordWrap/>
              <w:topLinePunct w:val="0"/>
              <w:bidi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p>
        </w:tc>
        <w:tc>
          <w:tcPr>
            <w:tcW w:w="8526" w:type="dxa"/>
            <w:noWrap w:val="0"/>
            <w:vAlign w:val="center"/>
          </w:tcPr>
          <w:p w14:paraId="395480E5">
            <w:pPr>
              <w:keepNext w:val="0"/>
              <w:keepLines w:val="0"/>
              <w:pageBreakBefore w:val="0"/>
              <w:kinsoku/>
              <w:wordWrap/>
              <w:topLinePunct w:val="0"/>
              <w:bidi w:val="0"/>
              <w:adjustRightInd w:val="0"/>
              <w:snapToGrid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en-US" w:eastAsia="zh-CN"/>
              </w:rPr>
              <w:t>认为需要在商务技术文件里说明的</w:t>
            </w:r>
            <w:r>
              <w:rPr>
                <w:rFonts w:hint="eastAsia" w:ascii="宋体" w:hAnsi="宋体" w:eastAsia="宋体" w:cs="宋体"/>
                <w:snapToGrid w:val="0"/>
                <w:color w:val="auto"/>
                <w:kern w:val="0"/>
                <w:sz w:val="24"/>
                <w:szCs w:val="24"/>
                <w:highlight w:val="none"/>
              </w:rPr>
              <w:t>其他材料</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r>
    </w:tbl>
    <w:p w14:paraId="4C9D30E8">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color w:val="auto"/>
          <w:sz w:val="24"/>
          <w:szCs w:val="24"/>
          <w:highlight w:val="none"/>
        </w:rPr>
      </w:pPr>
      <w:bookmarkStart w:id="30" w:name="_Toc221356886"/>
      <w:r>
        <w:rPr>
          <w:rFonts w:hint="eastAsia" w:ascii="宋体" w:hAnsi="宋体" w:eastAsia="宋体" w:cs="宋体"/>
          <w:b/>
          <w:color w:val="auto"/>
          <w:sz w:val="24"/>
          <w:szCs w:val="24"/>
          <w:highlight w:val="none"/>
        </w:rPr>
        <w:t>说明：</w:t>
      </w:r>
    </w:p>
    <w:p w14:paraId="309444B2">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供应商可根据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文件中的技术规格书以及评分细则，提供供应商认为需要提供的文件和资料。</w:t>
      </w:r>
    </w:p>
    <w:p w14:paraId="0A7AE461">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0" w:firstLine="42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所提供的技术资料的所有权归供应商所有。如若发生第三方侵权事件，其侵权责任与采购人及采购代理机构无关，由供应商承担全部责任。侵权造成的所有相关费用，均由供应商支付，保证不伤害采购人的利益。</w:t>
      </w:r>
    </w:p>
    <w:bookmarkEnd w:id="30"/>
    <w:p w14:paraId="41E05C96">
      <w:pPr>
        <w:keepNext w:val="0"/>
        <w:keepLines w:val="0"/>
        <w:pageBreakBefore w:val="0"/>
        <w:widowControl w:val="0"/>
        <w:kinsoku/>
        <w:wordWrap/>
        <w:overflowPunct/>
        <w:topLinePunct w:val="0"/>
        <w:autoSpaceDE/>
        <w:autoSpaceDN/>
        <w:bidi w:val="0"/>
        <w:adjustRightInd/>
        <w:spacing w:line="500" w:lineRule="exact"/>
        <w:jc w:val="center"/>
        <w:textAlignment w:val="auto"/>
        <w:outlineLvl w:val="2"/>
        <w:rPr>
          <w:rFonts w:hint="eastAsia" w:ascii="宋体" w:hAnsi="宋体" w:eastAsia="宋体" w:cs="宋体"/>
          <w:b/>
          <w:color w:val="auto"/>
          <w:sz w:val="24"/>
          <w:szCs w:val="24"/>
          <w:highlight w:val="none"/>
        </w:rPr>
      </w:pPr>
      <w:bookmarkStart w:id="31" w:name="_Toc7255"/>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报价文件</w:t>
      </w:r>
      <w:bookmarkEnd w:id="31"/>
    </w:p>
    <w:tbl>
      <w:tblPr>
        <w:tblStyle w:val="21"/>
        <w:tblW w:w="9664"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764"/>
      </w:tblGrid>
      <w:tr w14:paraId="0D25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2E0FC790">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764" w:type="dxa"/>
            <w:noWrap w:val="0"/>
            <w:vAlign w:val="center"/>
          </w:tcPr>
          <w:p w14:paraId="5B553FCD">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7B1B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0C7D6252">
            <w:pPr>
              <w:keepNext w:val="0"/>
              <w:keepLines w:val="0"/>
              <w:pageBreakBefore w:val="0"/>
              <w:kinsoku/>
              <w:wordWrap/>
              <w:overflowPunct/>
              <w:topLinePunct w:val="0"/>
              <w:autoSpaceDE/>
              <w:autoSpaceDN/>
              <w:bidi w:val="0"/>
              <w:spacing w:before="60" w:beforeLines="25"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64" w:type="dxa"/>
            <w:noWrap w:val="0"/>
            <w:vAlign w:val="center"/>
          </w:tcPr>
          <w:p w14:paraId="1EB7C6E8">
            <w:pPr>
              <w:keepNext w:val="0"/>
              <w:keepLines w:val="0"/>
              <w:pageBreakBefore w:val="0"/>
              <w:kinsoku/>
              <w:wordWrap/>
              <w:overflowPunct/>
              <w:topLinePunct w:val="0"/>
              <w:autoSpaceDE/>
              <w:autoSpaceDN/>
              <w:bidi w:val="0"/>
              <w:spacing w:before="60" w:beforeLines="25"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报价一览表</w:t>
            </w:r>
            <w:r>
              <w:rPr>
                <w:rFonts w:hint="eastAsia" w:ascii="宋体" w:hAnsi="宋体" w:eastAsia="宋体" w:cs="宋体"/>
                <w:b w:val="0"/>
                <w:bCs w:val="0"/>
                <w:color w:val="auto"/>
                <w:sz w:val="24"/>
                <w:szCs w:val="24"/>
                <w:highlight w:val="none"/>
                <w:u w:val="single"/>
                <w:lang w:val="en-US" w:eastAsia="zh-CN"/>
              </w:rPr>
              <w:t>（详见第五章应提交的有关格式范例）</w:t>
            </w:r>
          </w:p>
        </w:tc>
      </w:tr>
      <w:tr w14:paraId="48E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07E65BFF">
            <w:pPr>
              <w:keepNext w:val="0"/>
              <w:keepLines w:val="0"/>
              <w:pageBreakBefore w:val="0"/>
              <w:kinsoku/>
              <w:wordWrap/>
              <w:overflowPunct/>
              <w:topLinePunct w:val="0"/>
              <w:autoSpaceDE/>
              <w:autoSpaceDN/>
              <w:bidi w:val="0"/>
              <w:spacing w:before="60" w:beforeLines="25"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764" w:type="dxa"/>
            <w:noWrap w:val="0"/>
            <w:vAlign w:val="center"/>
          </w:tcPr>
          <w:p w14:paraId="14CAB0AC">
            <w:pPr>
              <w:keepNext w:val="0"/>
              <w:keepLines w:val="0"/>
              <w:pageBreakBefore w:val="0"/>
              <w:kinsoku/>
              <w:wordWrap/>
              <w:overflowPunct/>
              <w:topLinePunct w:val="0"/>
              <w:autoSpaceDE/>
              <w:autoSpaceDN/>
              <w:bidi w:val="0"/>
              <w:spacing w:before="60" w:beforeLines="25" w:line="500" w:lineRule="exact"/>
              <w:jc w:val="left"/>
              <w:textAlignment w:val="auto"/>
              <w:rPr>
                <w:rFonts w:hint="default"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u w:val="single"/>
              </w:rPr>
              <w:t>▲</w:t>
            </w:r>
            <w:r>
              <w:rPr>
                <w:rFonts w:hint="eastAsia" w:ascii="宋体" w:hAnsi="宋体" w:cs="宋体"/>
                <w:b/>
                <w:color w:val="auto"/>
                <w:sz w:val="24"/>
                <w:szCs w:val="24"/>
                <w:highlight w:val="none"/>
                <w:u w:val="single"/>
                <w:lang w:val="en-US" w:eastAsia="zh-CN"/>
              </w:rPr>
              <w:t>分项报价明细表</w:t>
            </w:r>
            <w:r>
              <w:rPr>
                <w:rFonts w:hint="eastAsia" w:ascii="宋体" w:hAnsi="宋体" w:eastAsia="宋体" w:cs="宋体"/>
                <w:b w:val="0"/>
                <w:bCs w:val="0"/>
                <w:color w:val="auto"/>
                <w:sz w:val="24"/>
                <w:szCs w:val="24"/>
                <w:highlight w:val="none"/>
                <w:u w:val="single"/>
                <w:lang w:val="en-US" w:eastAsia="zh-CN"/>
              </w:rPr>
              <w:t>（详见第五章应提交的有关格式范例）</w:t>
            </w:r>
          </w:p>
        </w:tc>
      </w:tr>
      <w:tr w14:paraId="7077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09FC0CBD">
            <w:pPr>
              <w:keepNext w:val="0"/>
              <w:keepLines w:val="0"/>
              <w:pageBreakBefore w:val="0"/>
              <w:kinsoku/>
              <w:wordWrap/>
              <w:overflowPunct/>
              <w:topLinePunct w:val="0"/>
              <w:autoSpaceDE/>
              <w:autoSpaceDN/>
              <w:bidi w:val="0"/>
              <w:spacing w:before="60" w:beforeLines="25"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8764" w:type="dxa"/>
            <w:noWrap w:val="0"/>
            <w:vAlign w:val="center"/>
          </w:tcPr>
          <w:p w14:paraId="1D38BC05">
            <w:pPr>
              <w:keepNext w:val="0"/>
              <w:keepLines w:val="0"/>
              <w:pageBreakBefore w:val="0"/>
              <w:kinsoku/>
              <w:wordWrap/>
              <w:overflowPunct/>
              <w:topLinePunct w:val="0"/>
              <w:autoSpaceDE/>
              <w:autoSpaceDN/>
              <w:bidi w:val="0"/>
              <w:spacing w:before="60" w:beforeLines="25"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享受政府采购政策需提供的证明材料（如有）：供应商提供</w:t>
            </w: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《中小企业声明函》</w:t>
            </w:r>
            <w:r>
              <w:rPr>
                <w:rFonts w:hint="eastAsia" w:ascii="宋体" w:hAnsi="宋体" w:cs="宋体"/>
                <w:color w:val="auto"/>
                <w:sz w:val="24"/>
                <w:szCs w:val="24"/>
                <w:highlight w:val="none"/>
                <w:lang w:val="en-US" w:eastAsia="zh-CN"/>
              </w:rPr>
              <w:t>或②</w:t>
            </w:r>
            <w:r>
              <w:rPr>
                <w:rFonts w:hint="eastAsia" w:ascii="宋体" w:hAnsi="宋体" w:eastAsia="宋体" w:cs="宋体"/>
                <w:b w:val="0"/>
                <w:bCs w:val="0"/>
                <w:color w:val="auto"/>
                <w:sz w:val="24"/>
                <w:szCs w:val="24"/>
                <w:highlight w:val="none"/>
                <w:u w:val="none"/>
                <w:vertAlign w:val="baseline"/>
                <w:lang w:val="en-US" w:eastAsia="zh-CN"/>
              </w:rPr>
              <w:t>《监狱企业声明函》及由省级以上监狱管理局、戒毒管理局（含新疆生产建设兵团）出具的属于监狱企业的证明文件</w:t>
            </w:r>
            <w:r>
              <w:rPr>
                <w:rFonts w:hint="eastAsia" w:ascii="宋体" w:hAnsi="宋体" w:cs="宋体"/>
                <w:b w:val="0"/>
                <w:bCs w:val="0"/>
                <w:color w:val="auto"/>
                <w:sz w:val="24"/>
                <w:szCs w:val="24"/>
                <w:highlight w:val="none"/>
                <w:u w:val="none"/>
                <w:vertAlign w:val="baseline"/>
                <w:lang w:val="en-US" w:eastAsia="zh-CN"/>
              </w:rPr>
              <w:t>或③</w:t>
            </w:r>
            <w:r>
              <w:rPr>
                <w:rFonts w:hint="eastAsia" w:ascii="宋体" w:hAnsi="宋体" w:eastAsia="宋体" w:cs="宋体"/>
                <w:b w:val="0"/>
                <w:bCs w:val="0"/>
                <w:snapToGrid w:val="0"/>
                <w:color w:val="auto"/>
                <w:kern w:val="0"/>
                <w:sz w:val="24"/>
                <w:szCs w:val="24"/>
                <w:highlight w:val="none"/>
                <w:lang w:val="zh-CN" w:eastAsia="zh-CN" w:bidi="ar-SA"/>
              </w:rPr>
              <w:t>《残疾人福利性单位声明函》</w:t>
            </w:r>
            <w:r>
              <w:rPr>
                <w:rFonts w:hint="eastAsia" w:ascii="宋体" w:hAnsi="宋体" w:eastAsia="宋体" w:cs="宋体"/>
                <w:color w:val="auto"/>
                <w:sz w:val="24"/>
                <w:szCs w:val="24"/>
                <w:highlight w:val="none"/>
                <w:lang w:val="en-US" w:eastAsia="zh-CN"/>
              </w:rPr>
              <w:t>即可享受政府采购政策。</w:t>
            </w:r>
          </w:p>
          <w:p w14:paraId="4C49EADB">
            <w:pPr>
              <w:keepNext w:val="0"/>
              <w:keepLines w:val="0"/>
              <w:pageBreakBefore w:val="0"/>
              <w:kinsoku/>
              <w:wordWrap/>
              <w:overflowPunct/>
              <w:topLinePunct w:val="0"/>
              <w:autoSpaceDE/>
              <w:autoSpaceDN/>
              <w:bidi w:val="0"/>
              <w:spacing w:before="60" w:beforeLines="25" w:line="500" w:lineRule="exact"/>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lang w:val="en-US" w:eastAsia="zh-CN"/>
              </w:rPr>
              <w:t>备注：（1）根据《政府采购促进中小企业发展管理办法》（财库〔2020〕46号）和《财政部关于进一步加大政府采购支持中小企业力度的通知》（财库〔2022〕19号）有关规定，本项目对符合规定的小微企业报价按优惠幅度10%给予扣除，用扣除后的价格参加评审。（2）货物由小微企业制造即货物由小微企业生产且使用该小微企业商号或者注册商标，享受小微企业扶持政策；（3）依据本办法规定享受扶持政策获得政府采购合同的，小微企业不得将合同分包给大中型企业。</w:t>
            </w:r>
          </w:p>
        </w:tc>
      </w:tr>
      <w:tr w14:paraId="047A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5F7C0833">
            <w:pPr>
              <w:keepNext w:val="0"/>
              <w:keepLines w:val="0"/>
              <w:pageBreakBefore w:val="0"/>
              <w:kinsoku/>
              <w:wordWrap/>
              <w:overflowPunct/>
              <w:topLinePunct w:val="0"/>
              <w:autoSpaceDE/>
              <w:autoSpaceDN/>
              <w:bidi w:val="0"/>
              <w:spacing w:before="60" w:beforeLines="25"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764" w:type="dxa"/>
            <w:noWrap w:val="0"/>
            <w:vAlign w:val="center"/>
          </w:tcPr>
          <w:p w14:paraId="25199765">
            <w:pPr>
              <w:keepNext w:val="0"/>
              <w:keepLines w:val="0"/>
              <w:pageBreakBefore w:val="0"/>
              <w:kinsoku/>
              <w:wordWrap/>
              <w:overflowPunct/>
              <w:topLinePunct w:val="0"/>
              <w:autoSpaceDE/>
              <w:autoSpaceDN/>
              <w:bidi w:val="0"/>
              <w:spacing w:before="60" w:beforeLines="25" w:line="500" w:lineRule="exact"/>
              <w:jc w:val="left"/>
              <w:textAlignment w:val="auto"/>
              <w:rPr>
                <w:rFonts w:hint="eastAsia" w:ascii="宋体" w:hAnsi="宋体" w:eastAsia="宋体" w:cs="宋体"/>
                <w:b/>
                <w:color w:val="auto"/>
                <w:sz w:val="24"/>
                <w:szCs w:val="24"/>
                <w:highlight w:val="none"/>
                <w:u w:val="single"/>
              </w:rPr>
            </w:pPr>
            <w:r>
              <w:rPr>
                <w:rFonts w:hint="default" w:ascii="宋体" w:hAnsi="宋体" w:eastAsia="宋体" w:cs="宋体"/>
                <w:b w:val="0"/>
                <w:bCs w:val="0"/>
                <w:color w:val="auto"/>
                <w:sz w:val="24"/>
                <w:szCs w:val="24"/>
                <w:highlight w:val="none"/>
                <w:u w:val="none"/>
                <w:vertAlign w:val="baseline"/>
                <w:lang w:val="en-US" w:eastAsia="zh-CN"/>
              </w:rPr>
              <w:t>享受政策加分需要提供的证明材料</w:t>
            </w:r>
            <w:r>
              <w:rPr>
                <w:rFonts w:hint="eastAsia" w:ascii="宋体" w:hAnsi="宋体" w:cs="宋体"/>
                <w:b w:val="0"/>
                <w:bCs w:val="0"/>
                <w:color w:val="auto"/>
                <w:sz w:val="24"/>
                <w:szCs w:val="24"/>
                <w:highlight w:val="none"/>
                <w:u w:val="none"/>
                <w:vertAlign w:val="baseline"/>
                <w:lang w:val="en-US" w:eastAsia="zh-CN"/>
              </w:rPr>
              <w:t>：《关于符合本国产品标准的声明函》(详见第五章应提交的有关格式范例)或财政部会同有关部门规定的有关证明文件。</w:t>
            </w:r>
          </w:p>
        </w:tc>
      </w:tr>
      <w:tr w14:paraId="4DB6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31F86704">
            <w:pPr>
              <w:keepNext w:val="0"/>
              <w:keepLines w:val="0"/>
              <w:pageBreakBefore w:val="0"/>
              <w:kinsoku/>
              <w:wordWrap/>
              <w:overflowPunct/>
              <w:topLinePunct w:val="0"/>
              <w:autoSpaceDE/>
              <w:autoSpaceDN/>
              <w:bidi w:val="0"/>
              <w:spacing w:before="60" w:beforeLines="25"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764" w:type="dxa"/>
            <w:noWrap w:val="0"/>
            <w:vAlign w:val="center"/>
          </w:tcPr>
          <w:p w14:paraId="3291EC51">
            <w:pPr>
              <w:keepNext w:val="0"/>
              <w:keepLines w:val="0"/>
              <w:pageBreakBefore w:val="0"/>
              <w:kinsoku/>
              <w:wordWrap/>
              <w:overflowPunct/>
              <w:topLinePunct w:val="0"/>
              <w:autoSpaceDE/>
              <w:autoSpaceDN/>
              <w:bidi w:val="0"/>
              <w:spacing w:before="60" w:beforeLines="25" w:line="5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认为需要在报价文件说明的其他材料（如有）</w:t>
            </w:r>
          </w:p>
        </w:tc>
      </w:tr>
    </w:tbl>
    <w:p w14:paraId="1536FA80">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11.</w:t>
      </w:r>
      <w:r>
        <w:rPr>
          <w:rFonts w:hint="eastAsia" w:ascii="宋体" w:hAnsi="宋体" w:eastAsia="宋体" w:cs="宋体"/>
          <w:b/>
          <w:snapToGrid w:val="0"/>
          <w:color w:val="auto"/>
          <w:kern w:val="0"/>
          <w:sz w:val="28"/>
          <w:szCs w:val="28"/>
          <w:highlight w:val="none"/>
        </w:rPr>
        <w:t>陈述和答辩</w:t>
      </w:r>
    </w:p>
    <w:p w14:paraId="7E9D31D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本项目无设陈述和答辩环节。</w:t>
      </w:r>
    </w:p>
    <w:p w14:paraId="49CCE688">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1</w:t>
      </w:r>
      <w:r>
        <w:rPr>
          <w:rFonts w:hint="eastAsia" w:ascii="宋体" w:hAnsi="宋体" w:eastAsia="宋体" w:cs="宋体"/>
          <w:b/>
          <w:snapToGrid w:val="0"/>
          <w:color w:val="auto"/>
          <w:kern w:val="0"/>
          <w:sz w:val="28"/>
          <w:szCs w:val="28"/>
          <w:highlight w:val="none"/>
          <w:lang w:val="en-US" w:eastAsia="zh-CN"/>
        </w:rPr>
        <w:t>2.</w:t>
      </w:r>
      <w:r>
        <w:rPr>
          <w:rFonts w:hint="eastAsia" w:ascii="宋体" w:hAnsi="宋体" w:eastAsia="宋体" w:cs="宋体"/>
          <w:b/>
          <w:snapToGrid w:val="0"/>
          <w:color w:val="auto"/>
          <w:kern w:val="0"/>
          <w:sz w:val="28"/>
          <w:szCs w:val="28"/>
          <w:highlight w:val="none"/>
        </w:rPr>
        <w:t>投标函</w:t>
      </w:r>
    </w:p>
    <w:p w14:paraId="4263F64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.1</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应完整地填写采购文件中提供的投标函和投标相关附件。</w:t>
      </w:r>
    </w:p>
    <w:p w14:paraId="53EB173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.2投标文件应当对采购文件中有关投标有效期、采购需求等实质性内容作出响应。</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在满足采购文件实质性要求的基础上，可以提出比采购文件要求更有利于采购人的承诺。</w:t>
      </w:r>
    </w:p>
    <w:p w14:paraId="12BA062E">
      <w:pPr>
        <w:pStyle w:val="8"/>
        <w:keepNext w:val="0"/>
        <w:keepLines w:val="0"/>
        <w:pageBreakBefore w:val="0"/>
        <w:kinsoku/>
        <w:wordWrap/>
        <w:overflowPunct/>
        <w:topLinePunct w:val="0"/>
        <w:autoSpaceDE/>
        <w:autoSpaceDN/>
        <w:bidi w:val="0"/>
        <w:snapToGrid w:val="0"/>
        <w:spacing w:line="500" w:lineRule="exact"/>
        <w:ind w:firstLine="562" w:firstLineChars="200"/>
        <w:textAlignment w:val="auto"/>
        <w:rPr>
          <w:rFonts w:hint="eastAsia" w:ascii="宋体" w:hAnsi="宋体" w:eastAsia="宋体" w:cs="宋体"/>
          <w:b/>
          <w:bCs/>
          <w:snapToGrid w:val="0"/>
          <w:color w:val="auto"/>
          <w:kern w:val="0"/>
          <w:szCs w:val="28"/>
          <w:highlight w:val="none"/>
        </w:rPr>
      </w:pPr>
      <w:r>
        <w:rPr>
          <w:rFonts w:hint="eastAsia" w:ascii="宋体" w:hAnsi="宋体" w:eastAsia="宋体" w:cs="宋体"/>
          <w:b/>
          <w:bCs/>
          <w:snapToGrid w:val="0"/>
          <w:color w:val="auto"/>
          <w:kern w:val="0"/>
          <w:szCs w:val="28"/>
          <w:highlight w:val="none"/>
          <w:lang w:val="en-US" w:eastAsia="zh-CN"/>
        </w:rPr>
        <w:t>13.</w:t>
      </w:r>
      <w:r>
        <w:rPr>
          <w:rFonts w:hint="eastAsia" w:ascii="宋体" w:hAnsi="宋体" w:eastAsia="宋体" w:cs="宋体"/>
          <w:b/>
          <w:bCs/>
          <w:snapToGrid w:val="0"/>
          <w:color w:val="auto"/>
          <w:kern w:val="0"/>
          <w:szCs w:val="28"/>
          <w:highlight w:val="none"/>
        </w:rPr>
        <w:t>投标报价</w:t>
      </w:r>
    </w:p>
    <w:p w14:paraId="3D3955D1">
      <w:pPr>
        <w:pStyle w:val="8"/>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.1</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应按采购文件中规定填写报价相关表单；</w:t>
      </w:r>
    </w:p>
    <w:p w14:paraId="63FE8615">
      <w:pPr>
        <w:pStyle w:val="8"/>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13</w:t>
      </w:r>
      <w:r>
        <w:rPr>
          <w:rFonts w:hint="eastAsia" w:ascii="宋体" w:hAnsi="宋体" w:eastAsia="宋体" w:cs="宋体"/>
          <w:b/>
          <w:bCs/>
          <w:snapToGrid w:val="0"/>
          <w:color w:val="auto"/>
          <w:kern w:val="0"/>
          <w:sz w:val="24"/>
          <w:szCs w:val="24"/>
          <w:highlight w:val="none"/>
        </w:rPr>
        <w:t>.2本项目采用</w:t>
      </w:r>
      <w:r>
        <w:rPr>
          <w:rFonts w:hint="eastAsia" w:ascii="宋体" w:hAnsi="宋体" w:cs="宋体"/>
          <w:b/>
          <w:bCs/>
          <w:snapToGrid w:val="0"/>
          <w:color w:val="auto"/>
          <w:kern w:val="0"/>
          <w:sz w:val="24"/>
          <w:szCs w:val="24"/>
          <w:highlight w:val="none"/>
          <w:lang w:val="en-US" w:eastAsia="zh-CN"/>
        </w:rPr>
        <w:t>人民币</w:t>
      </w:r>
      <w:r>
        <w:rPr>
          <w:rFonts w:hint="eastAsia" w:ascii="宋体" w:hAnsi="宋体" w:eastAsia="宋体" w:cs="宋体"/>
          <w:b/>
          <w:bCs/>
          <w:snapToGrid w:val="0"/>
          <w:color w:val="auto"/>
          <w:kern w:val="0"/>
          <w:sz w:val="24"/>
          <w:szCs w:val="24"/>
          <w:highlight w:val="none"/>
        </w:rPr>
        <w:t>报价，投标人的报价应</w:t>
      </w:r>
      <w:r>
        <w:rPr>
          <w:rFonts w:hint="eastAsia" w:ascii="宋体" w:hAnsi="宋体" w:eastAsia="宋体" w:cs="宋体"/>
          <w:b/>
          <w:bCs/>
          <w:snapToGrid w:val="0"/>
          <w:color w:val="auto"/>
          <w:kern w:val="0"/>
          <w:sz w:val="24"/>
          <w:szCs w:val="24"/>
          <w:highlight w:val="none"/>
          <w:lang w:val="en-US" w:eastAsia="zh-CN"/>
        </w:rPr>
        <w:t>不超过最高限价</w:t>
      </w:r>
      <w:r>
        <w:rPr>
          <w:rFonts w:hint="eastAsia" w:ascii="宋体" w:hAnsi="宋体" w:eastAsia="宋体" w:cs="宋体"/>
          <w:b/>
          <w:bCs/>
          <w:snapToGrid w:val="0"/>
          <w:color w:val="auto"/>
          <w:kern w:val="0"/>
          <w:sz w:val="24"/>
          <w:szCs w:val="24"/>
          <w:highlight w:val="none"/>
        </w:rPr>
        <w:t>，否则其投标无效。签约合同价包含本项目招标内容及要求及合同约定所有服务内容所需所有货物的货款（含标准附件、备品备件、专用工具、包装、运输、装卸等）、人工工资（含社会保险费、劳保用品、员工住宿交通差旅费用等）、规费、税费、企业管理费、利润、系统软件</w:t>
      </w:r>
      <w:r>
        <w:rPr>
          <w:rFonts w:hint="eastAsia" w:ascii="宋体" w:hAnsi="宋体" w:cs="宋体"/>
          <w:b/>
          <w:bCs/>
          <w:snapToGrid w:val="0"/>
          <w:color w:val="auto"/>
          <w:kern w:val="0"/>
          <w:sz w:val="24"/>
          <w:szCs w:val="24"/>
          <w:highlight w:val="none"/>
          <w:lang w:eastAsia="zh-CN"/>
        </w:rPr>
        <w:t>（</w:t>
      </w:r>
      <w:r>
        <w:rPr>
          <w:rFonts w:hint="eastAsia" w:ascii="宋体" w:hAnsi="宋体" w:cs="宋体"/>
          <w:b/>
          <w:bCs/>
          <w:snapToGrid w:val="0"/>
          <w:color w:val="auto"/>
          <w:kern w:val="0"/>
          <w:sz w:val="24"/>
          <w:szCs w:val="24"/>
          <w:highlight w:val="none"/>
          <w:lang w:val="en-US" w:eastAsia="zh-CN"/>
        </w:rPr>
        <w:t>含</w:t>
      </w:r>
      <w:r>
        <w:rPr>
          <w:rFonts w:hint="eastAsia" w:ascii="宋体" w:hAnsi="宋体" w:eastAsia="宋体" w:cs="宋体"/>
          <w:b/>
          <w:bCs/>
          <w:snapToGrid w:val="0"/>
          <w:color w:val="auto"/>
          <w:kern w:val="0"/>
          <w:sz w:val="24"/>
          <w:szCs w:val="24"/>
          <w:highlight w:val="none"/>
        </w:rPr>
        <w:t>开发</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更新升级</w:t>
      </w:r>
      <w:r>
        <w:rPr>
          <w:rFonts w:hint="eastAsia" w:ascii="宋体" w:hAnsi="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rPr>
        <w:t>、系统集成调试、技术支持与培训、</w:t>
      </w:r>
      <w:r>
        <w:rPr>
          <w:rFonts w:hint="eastAsia" w:ascii="宋体" w:hAnsi="宋体" w:eastAsia="宋体" w:cs="宋体"/>
          <w:b/>
          <w:bCs/>
          <w:snapToGrid w:val="0"/>
          <w:color w:val="auto"/>
          <w:kern w:val="0"/>
          <w:sz w:val="24"/>
          <w:szCs w:val="24"/>
          <w:highlight w:val="none"/>
          <w:lang w:val="en-US" w:eastAsia="zh-CN"/>
        </w:rPr>
        <w:t>相关数据服务（含数据资产梳理、数据安全风险评估、数据安全测评审查支撑等）</w:t>
      </w:r>
      <w:r>
        <w:rPr>
          <w:rFonts w:hint="eastAsia" w:ascii="宋体" w:hAnsi="宋体" w:cs="宋体"/>
          <w:b/>
          <w:bCs/>
          <w:snapToGrid w:val="0"/>
          <w:color w:val="auto"/>
          <w:kern w:val="0"/>
          <w:sz w:val="24"/>
          <w:szCs w:val="24"/>
          <w:highlight w:val="none"/>
          <w:lang w:val="en-US" w:eastAsia="zh-CN"/>
        </w:rPr>
        <w:t>费用</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kern w:val="2"/>
          <w:sz w:val="24"/>
          <w:szCs w:val="24"/>
          <w:highlight w:val="none"/>
          <w:lang w:val="en-US" w:eastAsia="zh-CN" w:bidi="ar-SA"/>
        </w:rPr>
        <w:t>系统接口费</w:t>
      </w:r>
      <w:r>
        <w:rPr>
          <w:rFonts w:hint="eastAsia" w:ascii="宋体" w:hAnsi="宋体" w:cs="宋体"/>
          <w:b/>
          <w:bCs/>
          <w:kern w:val="2"/>
          <w:sz w:val="24"/>
          <w:szCs w:val="24"/>
          <w:highlight w:val="none"/>
          <w:lang w:val="en-US" w:eastAsia="zh-CN" w:bidi="ar-SA"/>
        </w:rPr>
        <w:t>、</w:t>
      </w:r>
      <w:r>
        <w:rPr>
          <w:rFonts w:hint="eastAsia" w:ascii="宋体" w:hAnsi="宋体" w:eastAsia="宋体" w:cs="宋体"/>
          <w:b/>
          <w:bCs/>
          <w:snapToGrid w:val="0"/>
          <w:color w:val="auto"/>
          <w:kern w:val="0"/>
          <w:sz w:val="24"/>
          <w:szCs w:val="24"/>
          <w:highlight w:val="none"/>
        </w:rPr>
        <w:t>试运行、验收费、检测费、保修、售后服务以及合同包含的所有风险、责任等各项应有费用。（说明：如发生不可抗力及突发性事件，中标供应商要无条件听从采购人指挥，配合采购人。费用已包括在投标报价内，采购人不再另行支付其他费用。）本项目采用</w:t>
      </w:r>
      <w:r>
        <w:rPr>
          <w:rFonts w:hint="eastAsia" w:ascii="宋体" w:hAnsi="宋体" w:cs="宋体"/>
          <w:b/>
          <w:bCs/>
          <w:snapToGrid w:val="0"/>
          <w:color w:val="auto"/>
          <w:kern w:val="0"/>
          <w:sz w:val="24"/>
          <w:szCs w:val="24"/>
          <w:highlight w:val="none"/>
          <w:u w:val="none"/>
          <w:lang w:val="en-US" w:eastAsia="zh-CN"/>
        </w:rPr>
        <w:t>固定单价</w:t>
      </w:r>
      <w:r>
        <w:rPr>
          <w:rFonts w:hint="eastAsia" w:ascii="宋体" w:hAnsi="宋体" w:eastAsia="宋体" w:cs="宋体"/>
          <w:b/>
          <w:bCs/>
          <w:snapToGrid w:val="0"/>
          <w:color w:val="auto"/>
          <w:kern w:val="0"/>
          <w:sz w:val="24"/>
          <w:szCs w:val="24"/>
          <w:highlight w:val="none"/>
        </w:rPr>
        <w:t>方式结算</w:t>
      </w:r>
      <w:r>
        <w:rPr>
          <w:rFonts w:hint="eastAsia" w:ascii="宋体" w:hAnsi="宋体" w:eastAsia="宋体" w:cs="宋体"/>
          <w:b/>
          <w:bCs/>
          <w:snapToGrid w:val="0"/>
          <w:color w:val="auto"/>
          <w:kern w:val="0"/>
          <w:sz w:val="24"/>
          <w:szCs w:val="24"/>
          <w:highlight w:val="none"/>
          <w:lang w:eastAsia="zh-CN"/>
        </w:rPr>
        <w:t>。</w:t>
      </w:r>
    </w:p>
    <w:p w14:paraId="0B6F2E80">
      <w:pPr>
        <w:pStyle w:val="8"/>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u w:val="single"/>
        </w:rPr>
        <w:t>有关本项目实施所涉及的一切费用均计入报价，今后不得以任何理由追加或调整</w:t>
      </w:r>
      <w:r>
        <w:rPr>
          <w:rFonts w:hint="eastAsia" w:ascii="宋体" w:hAnsi="宋体" w:eastAsia="宋体" w:cs="宋体"/>
          <w:b/>
          <w:bCs/>
          <w:snapToGrid w:val="0"/>
          <w:color w:val="auto"/>
          <w:kern w:val="0"/>
          <w:sz w:val="24"/>
          <w:szCs w:val="24"/>
          <w:highlight w:val="none"/>
          <w:u w:val="single"/>
          <w:lang w:eastAsia="zh-CN"/>
        </w:rPr>
        <w:t>。</w:t>
      </w:r>
      <w:r>
        <w:rPr>
          <w:rFonts w:hint="eastAsia" w:ascii="宋体" w:hAnsi="宋体" w:eastAsia="宋体" w:cs="宋体"/>
          <w:b/>
          <w:bCs/>
          <w:snapToGrid w:val="0"/>
          <w:color w:val="auto"/>
          <w:kern w:val="0"/>
          <w:sz w:val="24"/>
          <w:szCs w:val="24"/>
          <w:highlight w:val="none"/>
          <w:u w:val="single"/>
          <w:lang w:val="en-US" w:eastAsia="zh-CN"/>
        </w:rPr>
        <w:t>具体结算相关约定详见第三章采购内容及要求</w:t>
      </w:r>
      <w:r>
        <w:rPr>
          <w:rFonts w:hint="eastAsia" w:ascii="宋体" w:hAnsi="宋体" w:eastAsia="宋体" w:cs="宋体"/>
          <w:b/>
          <w:bCs/>
          <w:snapToGrid w:val="0"/>
          <w:color w:val="auto"/>
          <w:kern w:val="0"/>
          <w:sz w:val="24"/>
          <w:szCs w:val="24"/>
          <w:highlight w:val="none"/>
          <w:lang w:val="en-US" w:eastAsia="zh-CN"/>
        </w:rPr>
        <w:t>。</w:t>
      </w:r>
    </w:p>
    <w:p w14:paraId="20622F64">
      <w:pPr>
        <w:pStyle w:val="8"/>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供应商应认真计算可能发生的各相关费用并计入报价内，在项目实施过程中不得藉此要求增加任何费用，并不得出现选择性的报价。</w:t>
      </w:r>
    </w:p>
    <w:p w14:paraId="2E3E0C6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本项目只允许一次报价，不允许以开标后调整的报价作为评标的依据（但按本采购文件投标须知投标文件错误的修正并经评标委员会认定或经供应商确认同意的除外）。</w:t>
      </w:r>
    </w:p>
    <w:p w14:paraId="51359FA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其它需在报价中考虑的因素：</w:t>
      </w:r>
    </w:p>
    <w:p w14:paraId="17E052AE">
      <w:pPr>
        <w:keepNext w:val="0"/>
        <w:keepLines w:val="0"/>
        <w:pageBreakBefore w:val="0"/>
        <w:kinsoku/>
        <w:wordWrap/>
        <w:overflowPunct/>
        <w:topLinePunct w:val="0"/>
        <w:autoSpaceDE/>
        <w:autoSpaceDN/>
        <w:bidi w:val="0"/>
        <w:adjustRightInd w:val="0"/>
        <w:snapToGrid w:val="0"/>
        <w:spacing w:line="500" w:lineRule="exact"/>
        <w:ind w:firstLine="241" w:firstLineChars="100"/>
        <w:jc w:val="left"/>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1</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rPr>
        <w:t>采购内容及要求中明确的需供应商承担的费用均应含在总价报价中；</w:t>
      </w:r>
    </w:p>
    <w:p w14:paraId="179AEC64">
      <w:pPr>
        <w:keepNext w:val="0"/>
        <w:keepLines w:val="0"/>
        <w:pageBreakBefore w:val="0"/>
        <w:numPr>
          <w:ilvl w:val="0"/>
          <w:numId w:val="0"/>
        </w:numPr>
        <w:tabs>
          <w:tab w:val="left" w:pos="993"/>
        </w:tabs>
        <w:kinsoku/>
        <w:wordWrap/>
        <w:overflowPunct/>
        <w:topLinePunct w:val="0"/>
        <w:autoSpaceDE/>
        <w:autoSpaceDN/>
        <w:bidi w:val="0"/>
        <w:adjustRightInd w:val="0"/>
        <w:snapToGrid w:val="0"/>
        <w:spacing w:line="500" w:lineRule="exact"/>
        <w:ind w:firstLine="241" w:firstLineChars="100"/>
        <w:jc w:val="left"/>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采购文件未明示但供应商认为可能产生的潜在费用支出均需自行考虑并计入报价中；</w:t>
      </w:r>
    </w:p>
    <w:p w14:paraId="068D94A3">
      <w:pPr>
        <w:keepNext w:val="0"/>
        <w:keepLines w:val="0"/>
        <w:pageBreakBefore w:val="0"/>
        <w:numPr>
          <w:ilvl w:val="0"/>
          <w:numId w:val="0"/>
        </w:numPr>
        <w:tabs>
          <w:tab w:val="left" w:pos="431"/>
        </w:tabs>
        <w:kinsoku/>
        <w:wordWrap/>
        <w:overflowPunct/>
        <w:topLinePunct w:val="0"/>
        <w:autoSpaceDE/>
        <w:autoSpaceDN/>
        <w:bidi w:val="0"/>
        <w:adjustRightInd w:val="0"/>
        <w:snapToGrid w:val="0"/>
        <w:spacing w:line="500" w:lineRule="exact"/>
        <w:ind w:firstLine="241" w:firstLineChars="100"/>
        <w:jc w:val="left"/>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lang w:val="en-US" w:eastAsia="zh-CN"/>
        </w:rPr>
        <w:t>3</w:t>
      </w: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rPr>
        <w:t>对于没有填报的项目，采购人将不再支付，并均认为已包含在报价内。</w:t>
      </w:r>
    </w:p>
    <w:p w14:paraId="64DD6D93">
      <w:pPr>
        <w:pStyle w:val="8"/>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color w:val="auto"/>
          <w:sz w:val="24"/>
          <w:szCs w:val="22"/>
          <w:highlight w:val="none"/>
        </w:rPr>
        <w:t>投标文件的编制</w:t>
      </w:r>
    </w:p>
    <w:p w14:paraId="1A06859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zh-CN"/>
        </w:rPr>
        <w:t>.1投标文件分为资格审查文件、商务技术文件、报价文件三部分。各供应商在编制投标文件时请按照采购文件第五</w:t>
      </w:r>
      <w:r>
        <w:rPr>
          <w:rFonts w:hint="eastAsia" w:ascii="宋体" w:hAnsi="宋体" w:eastAsia="宋体" w:cs="宋体"/>
          <w:snapToGrid w:val="0"/>
          <w:color w:val="auto"/>
          <w:kern w:val="0"/>
          <w:sz w:val="24"/>
          <w:szCs w:val="24"/>
          <w:highlight w:val="none"/>
          <w:lang w:val="en-US" w:eastAsia="zh-CN"/>
        </w:rPr>
        <w:t>章</w:t>
      </w:r>
      <w:r>
        <w:rPr>
          <w:rFonts w:hint="eastAsia" w:ascii="宋体" w:hAnsi="宋体" w:eastAsia="宋体" w:cs="宋体"/>
          <w:snapToGrid w:val="0"/>
          <w:color w:val="auto"/>
          <w:kern w:val="0"/>
          <w:sz w:val="24"/>
          <w:szCs w:val="24"/>
          <w:highlight w:val="none"/>
          <w:lang w:val="zh-CN"/>
        </w:rPr>
        <w:t>规定的格式进行，混乱的编排导致投标文件被误读或评标委员会查找不到有效文件是</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zh-CN"/>
        </w:rPr>
        <w:t>的风险。</w:t>
      </w:r>
      <w:r>
        <w:rPr>
          <w:rFonts w:hint="eastAsia" w:ascii="宋体" w:hAnsi="宋体" w:eastAsia="宋体" w:cs="宋体"/>
          <w:snapToGrid w:val="0"/>
          <w:color w:val="auto"/>
          <w:kern w:val="0"/>
          <w:sz w:val="24"/>
          <w:szCs w:val="24"/>
          <w:highlight w:val="none"/>
        </w:rPr>
        <w:t>▲投标文件未按规定的格式编制的，投标无效；</w:t>
      </w:r>
    </w:p>
    <w:p w14:paraId="63B3ACD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zh-CN"/>
        </w:rPr>
        <w:t>进行电子投标应安装客户端软件—“政采云电子交易客户端”，并按照招标文件和电子交易平台的要求编制并加密投标文件。</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zh-CN"/>
        </w:rPr>
        <w:t>未按规定加密的投标文件，电子交易平台将拒收并提示。</w:t>
      </w:r>
    </w:p>
    <w:p w14:paraId="5F639FD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1</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zh-CN"/>
        </w:rPr>
        <w:t>.3使用“政采云电子交易客户端”需要提前申领CA数字证书，申领流程请自行前往“浙江政府采购网-下载专区-电子交易客户端-CA驱动和申领流程”进行查阅。</w:t>
      </w:r>
    </w:p>
    <w:p w14:paraId="12555D37">
      <w:pPr>
        <w:pStyle w:val="8"/>
        <w:keepNext w:val="0"/>
        <w:keepLines w:val="0"/>
        <w:pageBreakBefore w:val="0"/>
        <w:numPr>
          <w:ilvl w:val="0"/>
          <w:numId w:val="0"/>
        </w:numPr>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eastAsia="宋体" w:cs="宋体"/>
          <w:b/>
          <w:bCs/>
          <w:snapToGrid w:val="0"/>
          <w:color w:val="auto"/>
          <w:kern w:val="0"/>
          <w:szCs w:val="28"/>
          <w:highlight w:val="none"/>
        </w:rPr>
      </w:pPr>
      <w:r>
        <w:rPr>
          <w:rFonts w:hint="eastAsia" w:ascii="宋体" w:hAnsi="宋体" w:eastAsia="宋体" w:cs="宋体"/>
          <w:b/>
          <w:bCs/>
          <w:snapToGrid w:val="0"/>
          <w:color w:val="auto"/>
          <w:kern w:val="0"/>
          <w:szCs w:val="28"/>
          <w:highlight w:val="none"/>
          <w:lang w:val="en-US" w:eastAsia="zh-CN"/>
        </w:rPr>
        <w:t>15.</w:t>
      </w:r>
      <w:r>
        <w:rPr>
          <w:rFonts w:hint="eastAsia" w:ascii="宋体" w:hAnsi="宋体" w:eastAsia="宋体" w:cs="宋体"/>
          <w:b/>
          <w:bCs/>
          <w:snapToGrid w:val="0"/>
          <w:color w:val="auto"/>
          <w:kern w:val="0"/>
          <w:szCs w:val="28"/>
          <w:highlight w:val="none"/>
        </w:rPr>
        <w:t>投标保证金</w:t>
      </w:r>
    </w:p>
    <w:p w14:paraId="3A32075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.1本项目不收取投标保证金。但违反政府采购相关规定给采购人造成损失的，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应当承担赔偿责任。</w:t>
      </w:r>
    </w:p>
    <w:p w14:paraId="37FB168F">
      <w:pPr>
        <w:pStyle w:val="8"/>
        <w:keepNext w:val="0"/>
        <w:keepLines w:val="0"/>
        <w:pageBreakBefore w:val="0"/>
        <w:kinsoku/>
        <w:wordWrap/>
        <w:overflowPunct/>
        <w:topLinePunct w:val="0"/>
        <w:autoSpaceDE/>
        <w:autoSpaceDN/>
        <w:bidi w:val="0"/>
        <w:snapToGrid w:val="0"/>
        <w:spacing w:line="500" w:lineRule="exact"/>
        <w:ind w:firstLine="562" w:firstLineChars="200"/>
        <w:textAlignment w:val="auto"/>
        <w:rPr>
          <w:rFonts w:hint="eastAsia" w:ascii="宋体" w:hAnsi="宋体" w:eastAsia="宋体" w:cs="宋体"/>
          <w:b/>
          <w:bCs/>
          <w:snapToGrid w:val="0"/>
          <w:color w:val="auto"/>
          <w:kern w:val="0"/>
          <w:szCs w:val="28"/>
          <w:highlight w:val="none"/>
        </w:rPr>
      </w:pPr>
      <w:r>
        <w:rPr>
          <w:rFonts w:hint="eastAsia" w:ascii="宋体" w:hAnsi="宋体" w:eastAsia="宋体" w:cs="宋体"/>
          <w:b/>
          <w:bCs/>
          <w:snapToGrid w:val="0"/>
          <w:color w:val="auto"/>
          <w:kern w:val="0"/>
          <w:szCs w:val="28"/>
          <w:highlight w:val="none"/>
        </w:rPr>
        <w:t>1</w:t>
      </w:r>
      <w:r>
        <w:rPr>
          <w:rFonts w:hint="eastAsia" w:ascii="宋体" w:hAnsi="宋体" w:eastAsia="宋体" w:cs="宋体"/>
          <w:b/>
          <w:bCs/>
          <w:snapToGrid w:val="0"/>
          <w:color w:val="auto"/>
          <w:kern w:val="0"/>
          <w:szCs w:val="28"/>
          <w:highlight w:val="none"/>
          <w:lang w:val="en-US" w:eastAsia="zh-CN"/>
        </w:rPr>
        <w:t>6.</w:t>
      </w:r>
      <w:r>
        <w:rPr>
          <w:rFonts w:hint="eastAsia" w:ascii="宋体" w:hAnsi="宋体" w:eastAsia="宋体" w:cs="宋体"/>
          <w:b/>
          <w:bCs/>
          <w:snapToGrid w:val="0"/>
          <w:color w:val="auto"/>
          <w:kern w:val="0"/>
          <w:szCs w:val="28"/>
          <w:highlight w:val="none"/>
        </w:rPr>
        <w:t>投标有效期</w:t>
      </w:r>
    </w:p>
    <w:p w14:paraId="4E6FA77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.1投标文件在开标之日起90个日历天内有效。</w:t>
      </w:r>
    </w:p>
    <w:p w14:paraId="1901D17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.2在原定投标有效期满之前，如果出现特殊情况，采购人可以以书面形式向</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提出延长投标有效期的要求。这种要求与答复均应采用书面形式如传真或信件等。</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可以拒绝接受采购人的这种要求而放弃投标。接受延长投标有效期的投标人将不会被要求和允许修正其投标。</w:t>
      </w:r>
    </w:p>
    <w:p w14:paraId="449A623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.3中标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的投标文件自开标之日起至合同履行完毕止均应保持有效。</w:t>
      </w:r>
    </w:p>
    <w:p w14:paraId="153DB37A">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17.投标文件的签署、盖章</w:t>
      </w:r>
    </w:p>
    <w:p w14:paraId="03A59A0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.1投标文件按照采购文件第五</w:t>
      </w:r>
      <w:r>
        <w:rPr>
          <w:rFonts w:hint="eastAsia" w:ascii="宋体" w:hAnsi="宋体" w:eastAsia="宋体" w:cs="宋体"/>
          <w:snapToGrid w:val="0"/>
          <w:color w:val="auto"/>
          <w:kern w:val="0"/>
          <w:sz w:val="24"/>
          <w:szCs w:val="24"/>
          <w:highlight w:val="none"/>
          <w:lang w:val="en-US" w:eastAsia="zh-CN"/>
        </w:rPr>
        <w:t>章</w:t>
      </w:r>
      <w:r>
        <w:rPr>
          <w:rFonts w:hint="eastAsia" w:ascii="宋体" w:hAnsi="宋体" w:eastAsia="宋体" w:cs="宋体"/>
          <w:snapToGrid w:val="0"/>
          <w:color w:val="auto"/>
          <w:kern w:val="0"/>
          <w:sz w:val="24"/>
          <w:szCs w:val="24"/>
          <w:highlight w:val="none"/>
        </w:rPr>
        <w:t>格式要求进行签署、盖章。</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的投标文件未按照招标文件要求签署、盖章的，其投标无效。</w:t>
      </w:r>
    </w:p>
    <w:p w14:paraId="7957E0D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.2为确保网上操作合法、有效和安全，</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应当在投标截止时间前完成在“政府采购云平台”的身份认证，确保在电子投标过程中能够对相关数据电文进行加密和使用电子签名。</w:t>
      </w:r>
    </w:p>
    <w:p w14:paraId="04D772B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17.3</w:t>
      </w:r>
      <w:r>
        <w:rPr>
          <w:rFonts w:hint="eastAsia" w:ascii="宋体" w:hAnsi="宋体" w:eastAsia="宋体" w:cs="宋体"/>
          <w:snapToGrid w:val="0"/>
          <w:color w:val="auto"/>
          <w:kern w:val="0"/>
          <w:sz w:val="24"/>
          <w:szCs w:val="24"/>
          <w:highlight w:val="none"/>
        </w:rPr>
        <w:t>投标人应按本招标文件规定的格式和顺序编制、装订投标文件并标注页码，投标文件内容不完整、编排混乱导致投标文件被误读、漏读或者查找不到相关内容的，是投标人的责任。</w:t>
      </w:r>
    </w:p>
    <w:p w14:paraId="7A930A4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17.4</w:t>
      </w:r>
      <w:r>
        <w:rPr>
          <w:rFonts w:hint="eastAsia" w:ascii="宋体" w:hAnsi="宋体" w:eastAsia="宋体" w:cs="宋体"/>
          <w:snapToGrid w:val="0"/>
          <w:color w:val="auto"/>
          <w:kern w:val="0"/>
          <w:sz w:val="24"/>
          <w:szCs w:val="24"/>
          <w:highlight w:val="none"/>
        </w:rPr>
        <w:t>本项目通过“政采云平台（www.zcygov.cn）”实行在线投标响应（电子投标）。供应商应通过“政采云电子交易客户端”，并按照本招标文件和“政采云平台”的要求编制并加密投标文件。</w:t>
      </w:r>
    </w:p>
    <w:p w14:paraId="09AAEA8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17.5</w:t>
      </w:r>
      <w:r>
        <w:rPr>
          <w:rFonts w:hint="eastAsia" w:ascii="宋体" w:hAnsi="宋体" w:eastAsia="宋体" w:cs="宋体"/>
          <w:snapToGrid w:val="0"/>
          <w:color w:val="auto"/>
          <w:kern w:val="0"/>
          <w:sz w:val="24"/>
          <w:szCs w:val="24"/>
          <w:highlight w:val="none"/>
        </w:rPr>
        <w:t>投标人应当按照“投标文件组成”规定的内容及顺序在“政采云电子交易客户端”编制投标文件。其中《</w:t>
      </w:r>
      <w:r>
        <w:rPr>
          <w:rFonts w:hint="eastAsia" w:ascii="宋体" w:hAnsi="宋体" w:eastAsia="宋体" w:cs="宋体"/>
          <w:snapToGrid w:val="0"/>
          <w:color w:val="auto"/>
          <w:kern w:val="0"/>
          <w:sz w:val="24"/>
          <w:szCs w:val="24"/>
          <w:highlight w:val="none"/>
          <w:lang w:val="en-US" w:eastAsia="zh-CN"/>
        </w:rPr>
        <w:t>资格审查文件</w:t>
      </w:r>
      <w:r>
        <w:rPr>
          <w:rFonts w:hint="eastAsia" w:ascii="宋体" w:hAnsi="宋体" w:eastAsia="宋体" w:cs="宋体"/>
          <w:snapToGrid w:val="0"/>
          <w:color w:val="auto"/>
          <w:kern w:val="0"/>
          <w:sz w:val="24"/>
          <w:szCs w:val="24"/>
          <w:highlight w:val="none"/>
        </w:rPr>
        <w:t>》和《</w:t>
      </w:r>
      <w:r>
        <w:rPr>
          <w:rFonts w:hint="eastAsia" w:ascii="宋体" w:hAnsi="宋体" w:eastAsia="宋体" w:cs="宋体"/>
          <w:snapToGrid w:val="0"/>
          <w:color w:val="auto"/>
          <w:kern w:val="0"/>
          <w:sz w:val="24"/>
          <w:szCs w:val="24"/>
          <w:highlight w:val="none"/>
          <w:lang w:val="en-US" w:eastAsia="zh-CN"/>
        </w:rPr>
        <w:t>商务技术文件</w:t>
      </w:r>
      <w:r>
        <w:rPr>
          <w:rFonts w:hint="eastAsia" w:ascii="宋体" w:hAnsi="宋体" w:eastAsia="宋体" w:cs="宋体"/>
          <w:snapToGrid w:val="0"/>
          <w:color w:val="auto"/>
          <w:kern w:val="0"/>
          <w:sz w:val="24"/>
          <w:szCs w:val="24"/>
          <w:highlight w:val="none"/>
        </w:rPr>
        <w:t>》中不得出现本项目投标报价，如因投标人原因提前泄露投标报价，是投标人的责任。</w:t>
      </w:r>
    </w:p>
    <w:p w14:paraId="6A64517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17.6</w:t>
      </w:r>
      <w:r>
        <w:rPr>
          <w:rFonts w:hint="eastAsia" w:ascii="宋体" w:hAnsi="宋体" w:eastAsia="宋体" w:cs="宋体"/>
          <w:snapToGrid w:val="0"/>
          <w:color w:val="auto"/>
          <w:kern w:val="0"/>
          <w:sz w:val="24"/>
          <w:szCs w:val="24"/>
          <w:highlight w:val="none"/>
        </w:rPr>
        <w:t>投标文件需做好“标书关联”（即设置关联点），未设置关联点而导致失分或无效投标处理的风险由投标人承担。</w:t>
      </w:r>
    </w:p>
    <w:p w14:paraId="437AD3E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17.7</w:t>
      </w:r>
      <w:r>
        <w:rPr>
          <w:rFonts w:hint="eastAsia" w:ascii="宋体" w:hAnsi="宋体" w:eastAsia="宋体" w:cs="宋体"/>
          <w:snapToGrid w:val="0"/>
          <w:color w:val="auto"/>
          <w:kern w:val="0"/>
          <w:sz w:val="24"/>
          <w:szCs w:val="24"/>
          <w:highlight w:val="none"/>
        </w:rPr>
        <w:t>投标文件应按招标文件中投标格式文件所示列要求由投标人的法定代表人或其授权的代理人签字、盖单位公章。投标人的法定代表人授权代理人签字的，投标文件应附由法定代表人签署的授权委托书。</w:t>
      </w:r>
    </w:p>
    <w:p w14:paraId="2027162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17.8</w:t>
      </w:r>
      <w:r>
        <w:rPr>
          <w:rFonts w:hint="eastAsia" w:ascii="宋体" w:hAnsi="宋体" w:eastAsia="宋体" w:cs="宋体"/>
          <w:snapToGrid w:val="0"/>
          <w:color w:val="auto"/>
          <w:kern w:val="0"/>
          <w:sz w:val="24"/>
          <w:szCs w:val="24"/>
          <w:highlight w:val="none"/>
        </w:rPr>
        <w:t>投标文件不得涂改，若有修改和增删处，必须加盖单位公章或法定代表人或授权委托人签字或盖章。投标文件字迹模糊、潦草或在关键的技术、商务条款上表述不清所引起的后果由投标人负责。</w:t>
      </w:r>
    </w:p>
    <w:p w14:paraId="5349670E">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4"/>
          <w:highlight w:val="none"/>
        </w:rPr>
        <w:t>四、投标文件的递交</w:t>
      </w:r>
    </w:p>
    <w:p w14:paraId="669B86A4">
      <w:pPr>
        <w:pStyle w:val="8"/>
        <w:keepNext w:val="0"/>
        <w:keepLines w:val="0"/>
        <w:pageBreakBefore w:val="0"/>
        <w:kinsoku/>
        <w:wordWrap/>
        <w:overflowPunct/>
        <w:topLinePunct w:val="0"/>
        <w:autoSpaceDE/>
        <w:autoSpaceDN/>
        <w:bidi w:val="0"/>
        <w:snapToGrid w:val="0"/>
        <w:spacing w:line="500" w:lineRule="exact"/>
        <w:ind w:firstLine="562" w:firstLineChars="200"/>
        <w:textAlignment w:val="auto"/>
        <w:rPr>
          <w:rFonts w:hint="eastAsia" w:ascii="宋体" w:hAnsi="宋体" w:eastAsia="宋体" w:cs="宋体"/>
          <w:b/>
          <w:bCs/>
          <w:snapToGrid w:val="0"/>
          <w:color w:val="auto"/>
          <w:kern w:val="0"/>
          <w:szCs w:val="28"/>
          <w:highlight w:val="none"/>
        </w:rPr>
      </w:pPr>
      <w:r>
        <w:rPr>
          <w:rFonts w:hint="eastAsia" w:ascii="宋体" w:hAnsi="宋体" w:eastAsia="宋体" w:cs="宋体"/>
          <w:b/>
          <w:bCs/>
          <w:snapToGrid w:val="0"/>
          <w:color w:val="auto"/>
          <w:kern w:val="0"/>
          <w:szCs w:val="28"/>
          <w:highlight w:val="none"/>
        </w:rPr>
        <w:t>1</w:t>
      </w:r>
      <w:r>
        <w:rPr>
          <w:rFonts w:hint="eastAsia" w:ascii="宋体" w:hAnsi="宋体" w:eastAsia="宋体" w:cs="宋体"/>
          <w:b/>
          <w:bCs/>
          <w:snapToGrid w:val="0"/>
          <w:color w:val="auto"/>
          <w:kern w:val="0"/>
          <w:szCs w:val="28"/>
          <w:highlight w:val="none"/>
          <w:lang w:val="en-US" w:eastAsia="zh-CN"/>
        </w:rPr>
        <w:t>8.</w:t>
      </w:r>
      <w:r>
        <w:rPr>
          <w:rFonts w:hint="eastAsia" w:ascii="宋体" w:hAnsi="宋体" w:eastAsia="宋体" w:cs="宋体"/>
          <w:b/>
          <w:bCs/>
          <w:snapToGrid w:val="0"/>
          <w:color w:val="auto"/>
          <w:kern w:val="0"/>
          <w:szCs w:val="28"/>
          <w:highlight w:val="none"/>
        </w:rPr>
        <w:t>投标文件的递交</w:t>
      </w:r>
    </w:p>
    <w:p w14:paraId="3EE7CE76">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eastAsia="zh-CN"/>
        </w:rPr>
        <w:t>供应商</w:t>
      </w:r>
      <w:r>
        <w:rPr>
          <w:rFonts w:hint="eastAsia" w:ascii="宋体" w:hAnsi="宋体" w:eastAsia="宋体" w:cs="宋体"/>
          <w:b/>
          <w:bCs/>
          <w:snapToGrid w:val="0"/>
          <w:color w:val="auto"/>
          <w:kern w:val="0"/>
          <w:sz w:val="24"/>
          <w:szCs w:val="24"/>
          <w:highlight w:val="none"/>
        </w:rPr>
        <w:t>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响应文件，将被拒收。</w:t>
      </w:r>
    </w:p>
    <w:p w14:paraId="219B2185">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.2投标截止时间后，供应商登录政采云平台，用“项目采购-开标评标”功能对电子投标文件进行在线解密。在线解密电子投标文件时间为开标时间起30分钟内。</w:t>
      </w:r>
    </w:p>
    <w:p w14:paraId="3E760617">
      <w:pPr>
        <w:keepNext w:val="0"/>
        <w:keepLines w:val="0"/>
        <w:pageBreakBefore w:val="0"/>
        <w:kinsoku/>
        <w:wordWrap/>
        <w:overflowPunct/>
        <w:topLinePunct w:val="0"/>
        <w:autoSpaceDE/>
        <w:autoSpaceDN/>
        <w:bidi w:val="0"/>
        <w:adjustRightInd w:val="0"/>
        <w:snapToGrid w:val="0"/>
        <w:spacing w:line="500" w:lineRule="exact"/>
        <w:ind w:firstLine="422" w:firstLineChars="15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备份投标文件</w:t>
      </w:r>
    </w:p>
    <w:p w14:paraId="3934E90D">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在电子交易平台传输递交投标文件后，还可以按</w:t>
      </w:r>
      <w:r>
        <w:rPr>
          <w:rFonts w:hint="eastAsia" w:ascii="宋体" w:hAnsi="宋体" w:eastAsia="宋体" w:cs="宋体"/>
          <w:snapToGrid w:val="0"/>
          <w:color w:val="auto"/>
          <w:kern w:val="0"/>
          <w:sz w:val="24"/>
          <w:szCs w:val="24"/>
          <w:highlight w:val="none"/>
          <w:lang w:val="en-US" w:eastAsia="zh-CN"/>
        </w:rPr>
        <w:t>投标须知前附表</w:t>
      </w:r>
      <w:r>
        <w:rPr>
          <w:rFonts w:hint="eastAsia" w:ascii="宋体" w:hAnsi="宋体" w:eastAsia="宋体" w:cs="宋体"/>
          <w:snapToGrid w:val="0"/>
          <w:color w:val="auto"/>
          <w:kern w:val="0"/>
          <w:sz w:val="24"/>
          <w:szCs w:val="24"/>
          <w:highlight w:val="none"/>
        </w:rPr>
        <w:t>规定（</w:t>
      </w:r>
      <w:r>
        <w:rPr>
          <w:rFonts w:hint="eastAsia" w:ascii="宋体" w:hAnsi="宋体" w:eastAsia="宋体" w:cs="宋体"/>
          <w:color w:val="auto"/>
          <w:sz w:val="24"/>
          <w:szCs w:val="24"/>
          <w:highlight w:val="none"/>
          <w:lang w:val="en-US" w:eastAsia="zh-CN"/>
        </w:rPr>
        <w:t>非强制性要求，推荐EMS或顺丰邮寄形式</w:t>
      </w:r>
      <w:r>
        <w:rPr>
          <w:rFonts w:hint="eastAsia" w:ascii="宋体" w:hAnsi="宋体" w:eastAsia="宋体" w:cs="宋体"/>
          <w:snapToGrid w:val="0"/>
          <w:color w:val="auto"/>
          <w:kern w:val="0"/>
          <w:sz w:val="24"/>
          <w:szCs w:val="24"/>
          <w:highlight w:val="none"/>
        </w:rPr>
        <w:t>）递交“备份投标文件”1份，但采购人、代理机构不强制或变相强制</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提交</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备份投标文件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w:t>
      </w:r>
    </w:p>
    <w:p w14:paraId="397E3B23">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备份投标文件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须在“政采云投标客户端”制作生成，并储存在U盘中。</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备份投标文件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应当密封包装并在包装上加盖公章并注明投标项目名称，</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名称</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▲不符合上述制作、存储、密封规定的“备份投标文件”将被视为无效或者被拒绝接收。</w:t>
      </w:r>
    </w:p>
    <w:p w14:paraId="1B8E472A">
      <w:pPr>
        <w:pStyle w:val="13"/>
        <w:keepNext w:val="0"/>
        <w:keepLines w:val="0"/>
        <w:pageBreakBefore w:val="0"/>
        <w:kinsoku/>
        <w:wordWrap/>
        <w:overflowPunct/>
        <w:topLinePunct w:val="0"/>
        <w:autoSpaceDE/>
        <w:autoSpaceDN/>
        <w:bidi w:val="0"/>
        <w:spacing w:line="500" w:lineRule="exact"/>
        <w:ind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w:t>
      </w:r>
      <w:r>
        <w:rPr>
          <w:rFonts w:hint="eastAsia" w:ascii="宋体" w:hAnsi="宋体" w:eastAsia="宋体" w:cs="宋体"/>
          <w:b/>
          <w:color w:val="auto"/>
          <w:sz w:val="28"/>
          <w:szCs w:val="28"/>
          <w:highlight w:val="none"/>
        </w:rPr>
        <w:t>投标截止期</w:t>
      </w:r>
    </w:p>
    <w:p w14:paraId="7B39F01D">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.1</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应按前附表规定的日期、时间和方式递交投标文件。</w:t>
      </w:r>
    </w:p>
    <w:p w14:paraId="2238C17D">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.2采购人可以按本须知第7条规定，通过修改采购文件适当延长投标截止日期。在此情况下，采购人与</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受投标截止期制约的所有权利和义务均应延长至新的截止期。</w:t>
      </w:r>
    </w:p>
    <w:p w14:paraId="7B6B9E60">
      <w:pPr>
        <w:pStyle w:val="13"/>
        <w:keepNext w:val="0"/>
        <w:keepLines w:val="0"/>
        <w:pageBreakBefore w:val="0"/>
        <w:kinsoku/>
        <w:wordWrap/>
        <w:overflowPunct/>
        <w:topLinePunct w:val="0"/>
        <w:autoSpaceDE/>
        <w:autoSpaceDN/>
        <w:bidi w:val="0"/>
        <w:spacing w:line="500" w:lineRule="exact"/>
        <w:ind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21.</w:t>
      </w:r>
      <w:r>
        <w:rPr>
          <w:rFonts w:hint="eastAsia" w:ascii="宋体" w:hAnsi="宋体" w:eastAsia="宋体" w:cs="宋体"/>
          <w:b/>
          <w:color w:val="auto"/>
          <w:sz w:val="28"/>
          <w:szCs w:val="28"/>
          <w:highlight w:val="none"/>
        </w:rPr>
        <w:t>迟交的投标文件</w:t>
      </w:r>
    </w:p>
    <w:p w14:paraId="7A02842C">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在本须知第</w:t>
      </w:r>
      <w:r>
        <w:rPr>
          <w:rFonts w:hint="eastAsia" w:ascii="宋体" w:hAnsi="宋体" w:eastAsia="宋体" w:cs="宋体"/>
          <w:snapToGrid w:val="0"/>
          <w:color w:val="auto"/>
          <w:kern w:val="0"/>
          <w:sz w:val="24"/>
          <w:szCs w:val="24"/>
          <w:highlight w:val="none"/>
          <w:lang w:val="en-US" w:eastAsia="zh-CN"/>
        </w:rPr>
        <w:t>18</w:t>
      </w:r>
      <w:r>
        <w:rPr>
          <w:rFonts w:hint="eastAsia" w:ascii="宋体" w:hAnsi="宋体" w:eastAsia="宋体" w:cs="宋体"/>
          <w:snapToGrid w:val="0"/>
          <w:color w:val="auto"/>
          <w:kern w:val="0"/>
          <w:sz w:val="24"/>
          <w:szCs w:val="24"/>
          <w:highlight w:val="none"/>
        </w:rPr>
        <w:t>条规定的截止期后收到的任何投标文件，采购人将不予接收。</w:t>
      </w:r>
    </w:p>
    <w:p w14:paraId="047F550A">
      <w:pPr>
        <w:pStyle w:val="13"/>
        <w:keepNext w:val="0"/>
        <w:keepLines w:val="0"/>
        <w:pageBreakBefore w:val="0"/>
        <w:kinsoku/>
        <w:wordWrap/>
        <w:overflowPunct/>
        <w:topLinePunct w:val="0"/>
        <w:autoSpaceDE/>
        <w:autoSpaceDN/>
        <w:bidi w:val="0"/>
        <w:spacing w:line="500" w:lineRule="exact"/>
        <w:ind w:firstLine="422" w:firstLineChars="150"/>
        <w:jc w:val="center"/>
        <w:textAlignment w:val="auto"/>
        <w:rPr>
          <w:rFonts w:hint="eastAsia" w:ascii="宋体" w:hAnsi="宋体" w:eastAsia="宋体" w:cs="宋体"/>
          <w:b/>
          <w:bCs/>
          <w:color w:val="auto"/>
          <w:kern w:val="2"/>
          <w:sz w:val="28"/>
          <w:szCs w:val="24"/>
          <w:highlight w:val="none"/>
          <w:lang w:val="en-US" w:eastAsia="zh-CN" w:bidi="ar-SA"/>
        </w:rPr>
      </w:pPr>
      <w:bookmarkStart w:id="32" w:name="_Toc251566654"/>
      <w:bookmarkStart w:id="33" w:name="_Toc14566"/>
      <w:bookmarkStart w:id="34" w:name="_Toc240450081"/>
      <w:bookmarkStart w:id="35" w:name="_Toc13578"/>
      <w:bookmarkStart w:id="36" w:name="_Toc22131"/>
      <w:bookmarkStart w:id="37" w:name="_Toc15503"/>
      <w:r>
        <w:rPr>
          <w:rFonts w:hint="eastAsia" w:ascii="宋体" w:hAnsi="宋体" w:eastAsia="宋体" w:cs="宋体"/>
          <w:b/>
          <w:bCs/>
          <w:color w:val="auto"/>
          <w:kern w:val="2"/>
          <w:sz w:val="28"/>
          <w:szCs w:val="24"/>
          <w:highlight w:val="none"/>
          <w:lang w:val="en-US" w:eastAsia="zh-CN" w:bidi="ar-SA"/>
        </w:rPr>
        <w:t>五、开标与评标</w:t>
      </w:r>
      <w:bookmarkEnd w:id="32"/>
      <w:bookmarkEnd w:id="33"/>
      <w:bookmarkEnd w:id="34"/>
      <w:bookmarkEnd w:id="35"/>
      <w:bookmarkEnd w:id="36"/>
      <w:bookmarkEnd w:id="37"/>
    </w:p>
    <w:p w14:paraId="6336E8D4">
      <w:pPr>
        <w:pStyle w:val="13"/>
        <w:keepNext w:val="0"/>
        <w:keepLines w:val="0"/>
        <w:pageBreakBefore w:val="0"/>
        <w:kinsoku/>
        <w:wordWrap/>
        <w:overflowPunct/>
        <w:topLinePunct w:val="0"/>
        <w:autoSpaceDE/>
        <w:autoSpaceDN/>
        <w:bidi w:val="0"/>
        <w:spacing w:line="500" w:lineRule="exact"/>
        <w:ind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22.</w:t>
      </w:r>
      <w:r>
        <w:rPr>
          <w:rFonts w:hint="eastAsia" w:ascii="宋体" w:hAnsi="宋体" w:eastAsia="宋体" w:cs="宋体"/>
          <w:b/>
          <w:color w:val="auto"/>
          <w:sz w:val="28"/>
          <w:szCs w:val="28"/>
          <w:highlight w:val="none"/>
        </w:rPr>
        <w:t>开标</w:t>
      </w:r>
    </w:p>
    <w:p w14:paraId="6B03C3D0">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22</w:t>
      </w:r>
      <w:r>
        <w:rPr>
          <w:rFonts w:hint="eastAsia" w:ascii="宋体" w:hAnsi="宋体" w:eastAsia="宋体" w:cs="宋体"/>
          <w:snapToGrid w:val="0"/>
          <w:color w:val="auto"/>
          <w:kern w:val="0"/>
          <w:sz w:val="24"/>
          <w:szCs w:val="24"/>
          <w:highlight w:val="none"/>
        </w:rPr>
        <w:t>.1采购人将于前附表规定的时间和地点公开开标。若采购人按本须知第7条规定，通过修改采购文件更改了开标时间和地点的，以后者为准，供应商不足3家的，不得开标。</w:t>
      </w:r>
    </w:p>
    <w:p w14:paraId="3AB23C13">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22</w:t>
      </w:r>
      <w:r>
        <w:rPr>
          <w:rFonts w:hint="eastAsia" w:ascii="宋体" w:hAnsi="宋体" w:eastAsia="宋体" w:cs="宋体"/>
          <w:snapToGrid w:val="0"/>
          <w:color w:val="auto"/>
          <w:kern w:val="0"/>
          <w:sz w:val="24"/>
          <w:szCs w:val="24"/>
          <w:highlight w:val="none"/>
        </w:rPr>
        <w:t>.2开标时，电子交易平台按开标时间自动提取所有投标文件。代理机构依托电子交易平台发起开始解密指令，供应商按照平台提示和招标文件的规定在半小时内完成在线解密。</w:t>
      </w:r>
    </w:p>
    <w:p w14:paraId="06E6B7B4">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22</w:t>
      </w:r>
      <w:r>
        <w:rPr>
          <w:rFonts w:hint="eastAsia" w:ascii="宋体" w:hAnsi="宋体" w:eastAsia="宋体" w:cs="宋体"/>
          <w:snapToGrid w:val="0"/>
          <w:color w:val="auto"/>
          <w:kern w:val="0"/>
          <w:sz w:val="24"/>
          <w:szCs w:val="24"/>
          <w:highlight w:val="none"/>
        </w:rPr>
        <w:t>.3投标文件未按时解密，供应商提供了“备份投标文件”的，以“备份投标文件”作为依据，否则视为投标文件撤回。投标文件已按时解密的，“备份投标文件”自动失效。</w:t>
      </w:r>
    </w:p>
    <w:p w14:paraId="1DFD314E">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highlight w:val="none"/>
          <w:lang w:val="en-US" w:eastAsia="zh-CN"/>
        </w:rPr>
      </w:pPr>
      <w:r>
        <w:rPr>
          <w:rFonts w:hint="eastAsia" w:ascii="宋体" w:hAnsi="宋体" w:eastAsia="宋体" w:cs="宋体"/>
          <w:snapToGrid w:val="0"/>
          <w:color w:val="auto"/>
          <w:kern w:val="0"/>
          <w:sz w:val="24"/>
          <w:szCs w:val="24"/>
          <w:highlight w:val="none"/>
          <w:lang w:val="en-US" w:eastAsia="zh-CN"/>
        </w:rPr>
        <w:t>22.4</w:t>
      </w:r>
      <w:r>
        <w:rPr>
          <w:rFonts w:hint="eastAsia" w:ascii="宋体" w:hAnsi="宋体" w:eastAsia="宋体" w:cs="宋体"/>
          <w:snapToGrid w:val="0"/>
          <w:color w:val="auto"/>
          <w:kern w:val="0"/>
          <w:sz w:val="24"/>
          <w:szCs w:val="24"/>
          <w:highlight w:val="none"/>
        </w:rPr>
        <w:t>投标文件</w:t>
      </w:r>
      <w:r>
        <w:rPr>
          <w:rFonts w:hint="eastAsia" w:ascii="宋体" w:hAnsi="宋体" w:eastAsia="宋体" w:cs="宋体"/>
          <w:snapToGrid w:val="0"/>
          <w:color w:val="auto"/>
          <w:kern w:val="0"/>
          <w:sz w:val="24"/>
          <w:szCs w:val="24"/>
          <w:highlight w:val="none"/>
          <w:lang w:val="en-US" w:eastAsia="zh-CN"/>
        </w:rPr>
        <w:t>解密结束，通过邮件形式发送各供应商组织签署《政府采购活动现场确认声明书》。</w:t>
      </w:r>
    </w:p>
    <w:p w14:paraId="74EC291D">
      <w:pPr>
        <w:pStyle w:val="13"/>
        <w:keepNext w:val="0"/>
        <w:keepLines w:val="0"/>
        <w:pageBreakBefore w:val="0"/>
        <w:kinsoku/>
        <w:wordWrap/>
        <w:overflowPunct/>
        <w:topLinePunct w:val="0"/>
        <w:autoSpaceDE/>
        <w:autoSpaceDN/>
        <w:bidi w:val="0"/>
        <w:spacing w:line="500" w:lineRule="exact"/>
        <w:ind w:firstLine="361" w:firstLineChars="15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23.</w:t>
      </w:r>
      <w:r>
        <w:rPr>
          <w:rFonts w:hint="eastAsia" w:ascii="宋体" w:hAnsi="宋体" w:eastAsia="宋体" w:cs="宋体"/>
          <w:b/>
          <w:bCs/>
          <w:snapToGrid w:val="0"/>
          <w:color w:val="auto"/>
          <w:kern w:val="0"/>
          <w:sz w:val="24"/>
          <w:szCs w:val="24"/>
          <w:highlight w:val="none"/>
        </w:rPr>
        <w:t>资格审查</w:t>
      </w:r>
    </w:p>
    <w:p w14:paraId="67369570">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23.1开标后，采购人或代理机构将依法对</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的资格进行审查。</w:t>
      </w:r>
    </w:p>
    <w:p w14:paraId="1549A02C">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23.2采购人或代理机构依据法律法规和采购文件的规定，对</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的基本资格条件、特定资格条件进行审查。</w:t>
      </w:r>
    </w:p>
    <w:p w14:paraId="583894D5">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23.3</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未按照采购文件要求提供与资格条件相应的有效资格证明材料的，视为</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不具备采购文件中规定的资格要求，其投标无效。</w:t>
      </w:r>
    </w:p>
    <w:p w14:paraId="3B9C1DF6">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23.4对未通过资格审查的</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，采购人或代理机构告知其未通过的原因。</w:t>
      </w:r>
    </w:p>
    <w:p w14:paraId="57D9A9AB">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23.5合格</w:t>
      </w:r>
      <w:r>
        <w:rPr>
          <w:rFonts w:hint="eastAsia" w:ascii="宋体" w:hAnsi="宋体" w:eastAsia="宋体" w:cs="宋体"/>
          <w:snapToGrid w:val="0"/>
          <w:color w:val="auto"/>
          <w:kern w:val="0"/>
          <w:sz w:val="24"/>
          <w:szCs w:val="24"/>
          <w:highlight w:val="none"/>
        </w:rPr>
        <w:t>供应商</w:t>
      </w:r>
      <w:r>
        <w:rPr>
          <w:rFonts w:hint="eastAsia" w:ascii="宋体" w:hAnsi="宋体" w:eastAsia="宋体" w:cs="宋体"/>
          <w:snapToGrid w:val="0"/>
          <w:color w:val="auto"/>
          <w:kern w:val="0"/>
          <w:sz w:val="24"/>
          <w:szCs w:val="24"/>
          <w:highlight w:val="none"/>
          <w:lang w:val="en-US" w:eastAsia="zh-CN"/>
        </w:rPr>
        <w:t>不足3家的，不再评标。</w:t>
      </w:r>
    </w:p>
    <w:p w14:paraId="03356754">
      <w:pPr>
        <w:pStyle w:val="31"/>
        <w:keepNext w:val="0"/>
        <w:keepLines w:val="0"/>
        <w:pageBreakBefore w:val="0"/>
        <w:kinsoku/>
        <w:wordWrap/>
        <w:overflowPunct/>
        <w:topLinePunct w:val="0"/>
        <w:autoSpaceDE/>
        <w:autoSpaceDN/>
        <w:bidi w:val="0"/>
        <w:spacing w:before="0" w:line="500" w:lineRule="exact"/>
        <w:ind w:firstLine="562"/>
        <w:textAlignment w:val="auto"/>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lang w:val="en-US" w:eastAsia="zh-CN"/>
        </w:rPr>
        <w:t>24.</w:t>
      </w:r>
      <w:r>
        <w:rPr>
          <w:rFonts w:hint="eastAsia" w:ascii="宋体" w:hAnsi="宋体" w:eastAsia="宋体" w:cs="宋体"/>
          <w:b/>
          <w:bCs/>
          <w:snapToGrid w:val="0"/>
          <w:color w:val="auto"/>
          <w:kern w:val="0"/>
          <w:sz w:val="28"/>
          <w:szCs w:val="28"/>
          <w:highlight w:val="none"/>
        </w:rPr>
        <w:t>信用信息查询</w:t>
      </w:r>
    </w:p>
    <w:p w14:paraId="5967BA59">
      <w:pPr>
        <w:pStyle w:val="31"/>
        <w:keepNext w:val="0"/>
        <w:keepLines w:val="0"/>
        <w:pageBreakBefore w:val="0"/>
        <w:kinsoku/>
        <w:wordWrap/>
        <w:overflowPunct/>
        <w:topLinePunct w:val="0"/>
        <w:autoSpaceDE/>
        <w:autoSpaceDN/>
        <w:bidi w:val="0"/>
        <w:spacing w:before="0"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.1信用信息查询渠道及截止时间：代理机构将通过“信用中国”网站(www.creditchina.gov.cn)、中国政府采购网(www.ccgp.gov.cn)</w:t>
      </w:r>
      <w:r>
        <w:rPr>
          <w:rFonts w:hint="eastAsia" w:ascii="宋体" w:hAnsi="宋体" w:eastAsia="宋体" w:cs="宋体"/>
          <w:snapToGrid w:val="0"/>
          <w:color w:val="auto"/>
          <w:kern w:val="0"/>
          <w:sz w:val="24"/>
          <w:szCs w:val="24"/>
          <w:highlight w:val="none"/>
          <w:lang w:val="en-US" w:eastAsia="zh-CN"/>
        </w:rPr>
        <w:t>等</w:t>
      </w:r>
      <w:r>
        <w:rPr>
          <w:rFonts w:hint="eastAsia" w:ascii="宋体" w:hAnsi="宋体" w:eastAsia="宋体" w:cs="宋体"/>
          <w:snapToGrid w:val="0"/>
          <w:color w:val="auto"/>
          <w:kern w:val="0"/>
          <w:sz w:val="24"/>
          <w:szCs w:val="24"/>
          <w:highlight w:val="none"/>
        </w:rPr>
        <w:t>渠道查询</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投标截止时间当天</w:t>
      </w:r>
      <w:r>
        <w:rPr>
          <w:rFonts w:hint="eastAsia" w:ascii="宋体" w:hAnsi="宋体" w:eastAsia="宋体" w:cs="宋体"/>
          <w:snapToGrid w:val="0"/>
          <w:color w:val="auto"/>
          <w:kern w:val="0"/>
          <w:sz w:val="24"/>
          <w:szCs w:val="24"/>
          <w:highlight w:val="none"/>
          <w:lang w:val="en-US" w:eastAsia="zh-CN"/>
        </w:rPr>
        <w:t>前三年内</w:t>
      </w:r>
      <w:r>
        <w:rPr>
          <w:rFonts w:hint="eastAsia" w:ascii="宋体" w:hAnsi="宋体" w:eastAsia="宋体" w:cs="宋体"/>
          <w:snapToGrid w:val="0"/>
          <w:color w:val="auto"/>
          <w:kern w:val="0"/>
          <w:sz w:val="24"/>
          <w:szCs w:val="24"/>
          <w:highlight w:val="none"/>
        </w:rPr>
        <w:t>的信用记录。</w:t>
      </w:r>
    </w:p>
    <w:p w14:paraId="382C43FB">
      <w:pPr>
        <w:pStyle w:val="31"/>
        <w:keepNext w:val="0"/>
        <w:keepLines w:val="0"/>
        <w:pageBreakBefore w:val="0"/>
        <w:kinsoku/>
        <w:wordWrap/>
        <w:overflowPunct/>
        <w:topLinePunct w:val="0"/>
        <w:autoSpaceDE/>
        <w:autoSpaceDN/>
        <w:bidi w:val="0"/>
        <w:spacing w:before="0"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.2信用信息查询记录和证据留存的具体方式：现场查询的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的信用记录、查询结果经确认后将与采购文件一起存档。</w:t>
      </w:r>
    </w:p>
    <w:p w14:paraId="16C335AE">
      <w:pPr>
        <w:pStyle w:val="31"/>
        <w:keepNext w:val="0"/>
        <w:keepLines w:val="0"/>
        <w:pageBreakBefore w:val="0"/>
        <w:kinsoku/>
        <w:wordWrap/>
        <w:overflowPunct/>
        <w:topLinePunct w:val="0"/>
        <w:autoSpaceDE/>
        <w:autoSpaceDN/>
        <w:bidi w:val="0"/>
        <w:spacing w:before="0"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.3信用信息的使用规则：经查询列入</w:t>
      </w:r>
      <w:r>
        <w:rPr>
          <w:rFonts w:hint="eastAsia" w:ascii="宋体" w:hAnsi="宋体" w:eastAsia="宋体" w:cs="宋体"/>
          <w:color w:val="auto"/>
          <w:sz w:val="24"/>
          <w:szCs w:val="24"/>
          <w:highlight w:val="none"/>
          <w:lang w:val="en-US" w:eastAsia="zh-CN"/>
        </w:rPr>
        <w:t>被列入失信被执行人、重大税收违法案件当事人名单、政府采购严重违法失信行为记录名单及其它不符合《中华人民共和国政府采购法》第二十二条规定条件的情形</w:t>
      </w:r>
      <w:r>
        <w:rPr>
          <w:rFonts w:hint="eastAsia" w:ascii="宋体" w:hAnsi="宋体" w:eastAsia="宋体" w:cs="宋体"/>
          <w:snapToGrid w:val="0"/>
          <w:color w:val="auto"/>
          <w:kern w:val="0"/>
          <w:sz w:val="24"/>
          <w:szCs w:val="24"/>
          <w:highlight w:val="none"/>
        </w:rPr>
        <w:t>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将被拒绝参与政府采购活动。</w:t>
      </w:r>
    </w:p>
    <w:p w14:paraId="7E7493E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.4联合体信用信息查询：两个以上的自然人、法人或者其他组织组成一个联合体，以一个</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的身份共同参加政府采购活动的，应当对所有联合体成员进行信用记录查询，联合体成员存在不良信用记录的，视同联合体存在不良信用记录。</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本项目不适用</w:t>
      </w:r>
      <w:r>
        <w:rPr>
          <w:rFonts w:hint="eastAsia" w:ascii="宋体" w:hAnsi="宋体" w:cs="宋体"/>
          <w:snapToGrid w:val="0"/>
          <w:color w:val="auto"/>
          <w:kern w:val="0"/>
          <w:sz w:val="24"/>
          <w:szCs w:val="24"/>
          <w:highlight w:val="none"/>
          <w:lang w:eastAsia="zh-CN"/>
        </w:rPr>
        <w:t>）</w:t>
      </w:r>
    </w:p>
    <w:p w14:paraId="61245000">
      <w:pPr>
        <w:keepNext w:val="0"/>
        <w:keepLines w:val="0"/>
        <w:pageBreakBefore w:val="0"/>
        <w:kinsoku/>
        <w:wordWrap/>
        <w:overflowPunct/>
        <w:topLinePunct w:val="0"/>
        <w:autoSpaceDE/>
        <w:autoSpaceDN/>
        <w:bidi w:val="0"/>
        <w:adjustRightInd w:val="0"/>
        <w:snapToGrid w:val="0"/>
        <w:spacing w:line="50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25.</w:t>
      </w:r>
      <w:r>
        <w:rPr>
          <w:rFonts w:hint="eastAsia" w:ascii="宋体" w:hAnsi="宋体" w:eastAsia="宋体" w:cs="宋体"/>
          <w:b/>
          <w:bCs/>
          <w:color w:val="auto"/>
          <w:sz w:val="28"/>
          <w:szCs w:val="28"/>
          <w:highlight w:val="none"/>
        </w:rPr>
        <w:t>评标程序</w:t>
      </w:r>
    </w:p>
    <w:p w14:paraId="54DDC75A">
      <w:pPr>
        <w:pStyle w:val="31"/>
        <w:keepNext w:val="0"/>
        <w:keepLines w:val="0"/>
        <w:pageBreakBefore w:val="0"/>
        <w:kinsoku/>
        <w:wordWrap/>
        <w:overflowPunct/>
        <w:topLinePunct w:val="0"/>
        <w:autoSpaceDE/>
        <w:autoSpaceDN/>
        <w:bidi w:val="0"/>
        <w:spacing w:before="0" w:line="500" w:lineRule="exact"/>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.1符合性审查：</w:t>
      </w:r>
      <w:r>
        <w:rPr>
          <w:rFonts w:hint="eastAsia" w:ascii="宋体" w:hAnsi="宋体" w:eastAsia="宋体" w:cs="宋体"/>
          <w:snapToGrid w:val="0"/>
          <w:color w:val="auto"/>
          <w:kern w:val="0"/>
          <w:sz w:val="24"/>
          <w:szCs w:val="24"/>
          <w:highlight w:val="none"/>
        </w:rPr>
        <w:t>评标时，评标委员会将首先评定每份投标文件是否在实质上响应了招标文件要求。所谓实质上的响应，是指投标文件与招标文件的所有实质性条款、条件和要求相符，无显著差异或保留，或者对合同中约定的采购人的权利和</w:t>
      </w:r>
      <w:r>
        <w:rPr>
          <w:rFonts w:hint="eastAsia" w:ascii="宋体" w:hAnsi="宋体" w:eastAsia="宋体" w:cs="宋体"/>
          <w:snapToGrid w:val="0"/>
          <w:color w:val="auto"/>
          <w:kern w:val="0"/>
          <w:sz w:val="24"/>
          <w:szCs w:val="24"/>
          <w:highlight w:val="none"/>
          <w:lang w:val="en-US" w:eastAsia="zh-CN"/>
        </w:rPr>
        <w:t>投标人</w:t>
      </w:r>
      <w:r>
        <w:rPr>
          <w:rFonts w:hint="eastAsia" w:ascii="宋体" w:hAnsi="宋体" w:eastAsia="宋体" w:cs="宋体"/>
          <w:snapToGrid w:val="0"/>
          <w:color w:val="auto"/>
          <w:kern w:val="0"/>
          <w:sz w:val="24"/>
          <w:szCs w:val="24"/>
          <w:highlight w:val="none"/>
        </w:rPr>
        <w:t>的义务方面造成重大的限制，纠正这些显著差异或保留将会对其他实质上响应招标文件要求的投标文件的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的竞争地位产生不公正的影响。评标委员会决定投标文件的响应性只根据投标文件本身的内容，而不寻求外部证据。如果投标文件实质不响应招标文件的各项要求，评标委员会将予以拒绝，并且不允许</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通过修改或撤销其不符合要求的差异或保留，使之成为具有实质性响应的投标。符合投标无效情形的，投标无效。</w:t>
      </w:r>
    </w:p>
    <w:p w14:paraId="6032D778">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在符合性审查时，如发现下列情形之一的，投标文件将被视为无效投标：</w:t>
      </w:r>
    </w:p>
    <w:p w14:paraId="5CE83A3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单位负责人为同一人或者存在直接控股、管理关系的不同供应商参加同一合同项下的政府采购活动的（均无效）；</w:t>
      </w:r>
    </w:p>
    <w:p w14:paraId="0ED065F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snapToGrid w:val="0"/>
          <w:color w:val="auto"/>
          <w:kern w:val="0"/>
          <w:sz w:val="24"/>
          <w:szCs w:val="24"/>
          <w:highlight w:val="none"/>
        </w:rPr>
        <w:t>为采购项目提供整体设计、规范编制或者项目管理、监理、检测等服务的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再参加该采购项目的其他采购活动的；</w:t>
      </w:r>
    </w:p>
    <w:p w14:paraId="68C9F50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snapToGrid w:val="0"/>
          <w:color w:val="auto"/>
          <w:kern w:val="0"/>
          <w:sz w:val="24"/>
          <w:szCs w:val="24"/>
          <w:highlight w:val="none"/>
        </w:rPr>
        <w:t>如以联合体形式参加政府采购活动的，联合体协议不符合采购文件规定的联合体协议要求的；</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本项目不适用</w:t>
      </w:r>
      <w:r>
        <w:rPr>
          <w:rFonts w:hint="eastAsia" w:ascii="宋体" w:hAnsi="宋体" w:cs="宋体"/>
          <w:snapToGrid w:val="0"/>
          <w:color w:val="auto"/>
          <w:kern w:val="0"/>
          <w:sz w:val="24"/>
          <w:szCs w:val="24"/>
          <w:highlight w:val="none"/>
          <w:lang w:eastAsia="zh-CN"/>
        </w:rPr>
        <w:t>）</w:t>
      </w:r>
    </w:p>
    <w:p w14:paraId="02891AB8">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投标文件未按照招标文件要求签署、盖章的；</w:t>
      </w:r>
    </w:p>
    <w:p w14:paraId="0A1ABC2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采购人拟采购的产品属于政府强制采购的节能产品品目清单范围的，投标人相应的投标产品未获得国家确定的认证机构出具的、处于有效期之内的节能产品认证证书的；</w:t>
      </w:r>
      <w:r>
        <w:rPr>
          <w:rFonts w:hint="eastAsia" w:ascii="宋体" w:hAnsi="宋体" w:cs="宋体"/>
          <w:b/>
          <w:bCs/>
          <w:color w:val="auto"/>
          <w:sz w:val="24"/>
          <w:szCs w:val="24"/>
          <w:highlight w:val="none"/>
          <w:lang w:val="en-US" w:eastAsia="zh-CN"/>
        </w:rPr>
        <w:t>【本项目不涉及强制</w:t>
      </w:r>
      <w:r>
        <w:rPr>
          <w:rFonts w:hint="eastAsia" w:ascii="宋体" w:hAnsi="宋体" w:eastAsia="宋体" w:cs="宋体"/>
          <w:b/>
          <w:bCs/>
          <w:color w:val="auto"/>
          <w:sz w:val="24"/>
          <w:szCs w:val="24"/>
          <w:highlight w:val="none"/>
          <w:lang w:val="en-US" w:eastAsia="zh-CN"/>
        </w:rPr>
        <w:t>节能产品</w:t>
      </w:r>
      <w:r>
        <w:rPr>
          <w:rFonts w:hint="eastAsia" w:ascii="宋体" w:hAnsi="宋体" w:cs="宋体"/>
          <w:b/>
          <w:bCs/>
          <w:color w:val="auto"/>
          <w:sz w:val="24"/>
          <w:szCs w:val="24"/>
          <w:highlight w:val="none"/>
          <w:lang w:val="en-US" w:eastAsia="zh-CN"/>
        </w:rPr>
        <w:t>】</w:t>
      </w:r>
    </w:p>
    <w:p w14:paraId="2CE96C61">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投标文件含有采购人不能接受的附加条件的；</w:t>
      </w:r>
    </w:p>
    <w:p w14:paraId="6615057A">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投标文件中承诺的投标有效期少于招标文件中载明的投标有效期的；</w:t>
      </w:r>
    </w:p>
    <w:p w14:paraId="075555D7">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投标文件出现不是唯一的、有选择性投标报价的；</w:t>
      </w:r>
    </w:p>
    <w:p w14:paraId="761F2EC1">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投标报价超过招标文件中规定的预算金额或者最高限价的；</w:t>
      </w:r>
    </w:p>
    <w:p w14:paraId="2488815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投标人对根据修正原则修正后的报价不确认的；</w:t>
      </w:r>
    </w:p>
    <w:p w14:paraId="6847A91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投标人仅提交备份投标文件，未在电子交易平台传输递交投标文件的，投标无效；</w:t>
      </w:r>
    </w:p>
    <w:p w14:paraId="08DCDF2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对一个标项存在一个或一个以上备选（替代）投标方案的；</w:t>
      </w:r>
    </w:p>
    <w:p w14:paraId="55D6CCBF">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2"/>
          <w:highlight w:val="none"/>
          <w:lang w:val="en-US" w:eastAsia="zh-CN" w:bidi="ar-SA"/>
        </w:rPr>
        <w:t>（1</w:t>
      </w:r>
      <w:r>
        <w:rPr>
          <w:rFonts w:hint="eastAsia" w:ascii="宋体" w:hAnsi="宋体" w:cs="宋体"/>
          <w:color w:val="auto"/>
          <w:kern w:val="2"/>
          <w:sz w:val="24"/>
          <w:szCs w:val="22"/>
          <w:highlight w:val="none"/>
          <w:lang w:val="en-US" w:eastAsia="zh-CN" w:bidi="ar-SA"/>
        </w:rPr>
        <w:t>3</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文件没有对本采购文件作出实质性响应的，或不满足（不响应）本采购文件中标注“▲”的实质性要求条款的，或存在采购文件中明确规定的其他无效响应文件情形的</w:t>
      </w:r>
      <w:r>
        <w:rPr>
          <w:rFonts w:hint="eastAsia" w:ascii="宋体" w:hAnsi="宋体" w:eastAsia="宋体" w:cs="宋体"/>
          <w:color w:val="auto"/>
          <w:sz w:val="24"/>
          <w:highlight w:val="none"/>
          <w:lang w:eastAsia="zh-CN"/>
        </w:rPr>
        <w:t>；</w:t>
      </w:r>
    </w:p>
    <w:p w14:paraId="131BFFC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（14）不同供应商的电子投标（响应）文件上传计算机的网卡MAC地址或硬盘序列号等硬件信息相同的，且无合理解释的；</w:t>
      </w:r>
    </w:p>
    <w:p w14:paraId="2104E41A">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（15）上传的电子投标（响应）文件若出现使用本项目其他投标（响应）供应商的数字证书加密的，或者加盖本项目其他投标（响应）供应商的电子印章，且无合理解释的；</w:t>
      </w:r>
    </w:p>
    <w:p w14:paraId="43A60F84">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（16）不同供应商的投标（响应）文件的内容存在3处（含）以上错误一致的，且无合理解释的；</w:t>
      </w:r>
    </w:p>
    <w:p w14:paraId="250CF81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（17）不同供应商联系人为同一人或不同联系人的联系电话一致，且无合理解释的；</w:t>
      </w:r>
    </w:p>
    <w:p w14:paraId="5716009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2"/>
          <w:highlight w:val="none"/>
          <w:lang w:val="en-US" w:eastAsia="zh-CN" w:bidi="ar-SA"/>
        </w:rPr>
        <w:t>（</w:t>
      </w:r>
      <w:r>
        <w:rPr>
          <w:rFonts w:hint="eastAsia" w:ascii="宋体" w:hAnsi="宋体" w:cs="宋体"/>
          <w:color w:val="auto"/>
          <w:kern w:val="2"/>
          <w:sz w:val="24"/>
          <w:szCs w:val="22"/>
          <w:highlight w:val="none"/>
          <w:lang w:val="en-US" w:eastAsia="zh-CN" w:bidi="ar-SA"/>
        </w:rPr>
        <w:t>18</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sz w:val="24"/>
          <w:highlight w:val="none"/>
          <w:lang w:eastAsia="zh-CN"/>
        </w:rPr>
        <w:t>供应商提供虚假材料响应的（包括但不限于以下情节）；</w:t>
      </w:r>
    </w:p>
    <w:p w14:paraId="3DD14DC2">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使用伪造、变造的许可证件；</w:t>
      </w:r>
    </w:p>
    <w:p w14:paraId="3168CC33">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提供虚假的财务状况或者业绩；</w:t>
      </w:r>
    </w:p>
    <w:p w14:paraId="7135A76D">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提供虚假的项目负责人或者主要技术人员简历、劳动关系证明；</w:t>
      </w:r>
    </w:p>
    <w:p w14:paraId="5BADEDE9">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提供虚假的信用状况；</w:t>
      </w:r>
    </w:p>
    <w:p w14:paraId="29BB8F91">
      <w:pPr>
        <w:pStyle w:val="20"/>
        <w:keepNext w:val="0"/>
        <w:keepLines w:val="0"/>
        <w:pageBreakBefore w:val="0"/>
        <w:kinsoku/>
        <w:wordWrap/>
        <w:overflowPunct/>
        <w:topLinePunct w:val="0"/>
        <w:autoSpaceDE/>
        <w:autoSpaceDN/>
        <w:bidi w:val="0"/>
        <w:spacing w:line="500" w:lineRule="exact"/>
        <w:ind w:left="0" w:leftChars="0"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其他弄虚作假的行为。</w:t>
      </w:r>
    </w:p>
    <w:p w14:paraId="0D0281C1">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供应商有恶意串通、妨碍其他供应商的竞争行为、损害采购人或者其他供应商的合法权益情形的，有下列情形之一的，属于或视为恶意串通，其响应无效：</w:t>
      </w:r>
    </w:p>
    <w:p w14:paraId="69E1409A">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供应商直接或者间接从采购人或者采购代理机构处获得其他供应商的相关情况并修改其投标文件；</w:t>
      </w:r>
    </w:p>
    <w:p w14:paraId="1808BA8E">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供应商按照采购人或者采购代理机构的授意撤换、修改投标文件或者响应文件；</w:t>
      </w:r>
    </w:p>
    <w:p w14:paraId="529E14AD">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供应商之间协商报价、技术方案等投标文件或者响应文件的实质性内容；</w:t>
      </w:r>
    </w:p>
    <w:p w14:paraId="4BB71D44">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属于同一集团、协会、商会等组织成员的供应商按照该组织要求协同参加政府采购活动；</w:t>
      </w:r>
    </w:p>
    <w:p w14:paraId="639DD982">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供应商之间事先约定由某一特定供应商中标、成交；</w:t>
      </w:r>
    </w:p>
    <w:p w14:paraId="183B04AF">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供应商之间商定部分供应商放弃参加政府采购活动或者放弃中标、成交；</w:t>
      </w:r>
    </w:p>
    <w:p w14:paraId="6E5A9AF1">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供应商与采购人或者采购代理机构之间、供应商相互之间，为谋求特定供应商中标、成交或者排斥其他供应商的其他串通行为。</w:t>
      </w:r>
    </w:p>
    <w:p w14:paraId="667C69BB">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不同供应商的响应文件由同一单位或者个人编制；</w:t>
      </w:r>
    </w:p>
    <w:p w14:paraId="005ADB8F">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不同供应商委托同一单位或者个人办理响应事宜；</w:t>
      </w:r>
    </w:p>
    <w:p w14:paraId="202A285C">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不同供应商的响应文件载明的项目管理成员或者联系人员为同一人；</w:t>
      </w:r>
    </w:p>
    <w:p w14:paraId="04F59B2C">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不同供应商的响应文件异常一致或者最后报价呈规律性差异；</w:t>
      </w:r>
    </w:p>
    <w:p w14:paraId="63F1AF3F">
      <w:pPr>
        <w:pStyle w:val="20"/>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highlight w:val="none"/>
          <w:lang w:eastAsia="zh-CN"/>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不同供应商的响应文件相互混装</w:t>
      </w:r>
      <w:r>
        <w:rPr>
          <w:rFonts w:hint="eastAsia" w:ascii="宋体" w:hAnsi="宋体" w:eastAsia="宋体" w:cs="宋体"/>
          <w:sz w:val="24"/>
          <w:highlight w:val="none"/>
          <w:lang w:eastAsia="zh-CN"/>
        </w:rPr>
        <w:t>。</w:t>
      </w:r>
    </w:p>
    <w:p w14:paraId="5184FF23">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cs="宋体"/>
          <w:snapToGrid w:val="0"/>
          <w:color w:val="auto"/>
          <w:kern w:val="0"/>
          <w:sz w:val="24"/>
          <w:szCs w:val="24"/>
          <w:highlight w:val="none"/>
          <w:lang w:val="en-US" w:eastAsia="zh-CN"/>
        </w:rPr>
        <w:t>评审委员会启动异常低价投标（响应）审查程序，</w:t>
      </w:r>
      <w:r>
        <w:rPr>
          <w:rFonts w:hint="eastAsia" w:ascii="宋体" w:hAnsi="宋体" w:eastAsia="宋体" w:cs="宋体"/>
          <w:i w:val="0"/>
          <w:iCs w:val="0"/>
          <w:caps w:val="0"/>
          <w:color w:val="000000"/>
          <w:spacing w:val="0"/>
          <w:sz w:val="24"/>
          <w:szCs w:val="24"/>
          <w:highlight w:val="none"/>
          <w:shd w:val="clear" w:fill="FFFFFF"/>
        </w:rPr>
        <w:t>投标（响应）供应商不能提供书面说明、证明材料，或者提供的书面说明、证明材料不能证明其报价合理性的</w:t>
      </w:r>
      <w:r>
        <w:rPr>
          <w:rFonts w:hint="eastAsia" w:ascii="宋体" w:hAnsi="宋体" w:cs="宋体"/>
          <w:i w:val="0"/>
          <w:iCs w:val="0"/>
          <w:caps w:val="0"/>
          <w:color w:val="000000"/>
          <w:spacing w:val="0"/>
          <w:sz w:val="24"/>
          <w:szCs w:val="24"/>
          <w:highlight w:val="none"/>
          <w:shd w:val="clear" w:fill="FFFFFF"/>
          <w:lang w:eastAsia="zh-CN"/>
        </w:rPr>
        <w:t>。</w:t>
      </w:r>
    </w:p>
    <w:p w14:paraId="42A007E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）法律、法规、规章（适用本市的）及省级以上规范性文件（适用本市的）规定的其他无效情形；</w:t>
      </w:r>
    </w:p>
    <w:p w14:paraId="6E755241">
      <w:pPr>
        <w:pStyle w:val="31"/>
        <w:keepNext w:val="0"/>
        <w:keepLines w:val="0"/>
        <w:pageBreakBefore w:val="0"/>
        <w:kinsoku/>
        <w:wordWrap/>
        <w:overflowPunct/>
        <w:topLinePunct w:val="0"/>
        <w:autoSpaceDE/>
        <w:autoSpaceDN/>
        <w:bidi w:val="0"/>
        <w:spacing w:before="0" w:line="500" w:lineRule="exact"/>
        <w:ind w:firstLine="549"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.2投标人澄清、说明或者补正：</w:t>
      </w:r>
      <w:r>
        <w:rPr>
          <w:rFonts w:hint="eastAsia" w:ascii="宋体" w:hAnsi="宋体" w:eastAsia="宋体" w:cs="宋体"/>
          <w:snapToGrid w:val="0"/>
          <w:color w:val="auto"/>
          <w:kern w:val="0"/>
          <w:sz w:val="24"/>
          <w:szCs w:val="24"/>
          <w:highlight w:val="none"/>
        </w:rPr>
        <w:t>对于投标文件中含义不明确、同类问题表述不一致或者有明显文字和计算错误的内容需要投标人作出必要的澄清、说明或者补正的，评标委员会和</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通过电子交易平台交换数据电文，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提交使用电子签名的相关数据电文或通过平台上传加盖公章的扫描件。给予</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提交澄清、说明或补正的时间不得少于半小时，</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已经明确表示澄清说明或补正完毕的除外。</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的澄清、说明或者补正不得超出投标文件的范围或者改变投标文件的实质性内容。</w:t>
      </w:r>
    </w:p>
    <w:p w14:paraId="7FBBA169">
      <w:pPr>
        <w:pStyle w:val="31"/>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宋体" w:hAnsi="宋体" w:eastAsia="宋体" w:cs="宋体"/>
          <w:color w:val="auto"/>
          <w:kern w:val="0"/>
          <w:sz w:val="22"/>
          <w:szCs w:val="22"/>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.3比较与评价：</w:t>
      </w:r>
      <w:r>
        <w:rPr>
          <w:rFonts w:hint="eastAsia" w:ascii="宋体" w:hAnsi="宋体" w:eastAsia="宋体" w:cs="宋体"/>
          <w:snapToGrid w:val="0"/>
          <w:color w:val="auto"/>
          <w:kern w:val="0"/>
          <w:sz w:val="24"/>
          <w:szCs w:val="24"/>
          <w:highlight w:val="none"/>
        </w:rPr>
        <w:t>评标委员会应当按照评标标准，对符合性审查合格的投标文件进行商务和技术评估，综合比较与评价。</w:t>
      </w:r>
    </w:p>
    <w:p w14:paraId="51F06CF3">
      <w:pPr>
        <w:pStyle w:val="31"/>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宋体" w:hAnsi="宋体" w:eastAsia="宋体" w:cs="宋体"/>
          <w:color w:val="auto"/>
          <w:kern w:val="0"/>
          <w:sz w:val="22"/>
          <w:szCs w:val="22"/>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.4汇总（商务技术得分情况）：</w:t>
      </w:r>
      <w:r>
        <w:rPr>
          <w:rFonts w:hint="eastAsia" w:ascii="宋体" w:hAnsi="宋体" w:eastAsia="宋体" w:cs="宋体"/>
          <w:snapToGrid w:val="0"/>
          <w:color w:val="auto"/>
          <w:kern w:val="0"/>
          <w:sz w:val="24"/>
          <w:szCs w:val="24"/>
          <w:highlight w:val="none"/>
        </w:rPr>
        <w:t>评标委员会各成员应当独立对每个</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的商务和技术文件进行评价，并汇总商务技术得分情况。</w:t>
      </w:r>
    </w:p>
    <w:p w14:paraId="208679F1">
      <w:pPr>
        <w:pStyle w:val="31"/>
        <w:keepNext w:val="0"/>
        <w:keepLines w:val="0"/>
        <w:pageBreakBefore w:val="0"/>
        <w:kinsoku/>
        <w:wordWrap/>
        <w:overflowPunct/>
        <w:topLinePunct w:val="0"/>
        <w:autoSpaceDE/>
        <w:autoSpaceDN/>
        <w:bidi w:val="0"/>
        <w:spacing w:before="0" w:line="500" w:lineRule="exact"/>
        <w:ind w:firstLine="602" w:firstLineChars="25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b/>
          <w:bCs/>
          <w:snapToGrid w:val="0"/>
          <w:color w:val="auto"/>
          <w:kern w:val="0"/>
          <w:sz w:val="24"/>
          <w:szCs w:val="24"/>
          <w:highlight w:val="none"/>
        </w:rPr>
        <w:t>.5报价审核：</w:t>
      </w:r>
      <w:r>
        <w:rPr>
          <w:rFonts w:hint="eastAsia" w:ascii="宋体" w:hAnsi="宋体" w:eastAsia="宋体" w:cs="宋体"/>
          <w:snapToGrid w:val="0"/>
          <w:color w:val="auto"/>
          <w:kern w:val="0"/>
          <w:sz w:val="24"/>
          <w:szCs w:val="24"/>
          <w:highlight w:val="none"/>
        </w:rPr>
        <w:t>对经商务和技术评审符合采购需求的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的报价的合理性、准确性等进行审查核实。</w:t>
      </w:r>
    </w:p>
    <w:p w14:paraId="47E1DFF4">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.5.1评标委员会认为</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的报价明显低于其他通过符合性审查</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的报价，有可能影响产品质量或者不能诚信履约的，应当要求其在合理的时间内提供书面说明，必要时提交相关证明材料。</w:t>
      </w:r>
    </w:p>
    <w:p w14:paraId="6FB36B0E">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25.5.2评审中出现下列情形之一的，评审委员会启动异常低价投标（响应）审查程序：</w:t>
      </w:r>
    </w:p>
    <w:p w14:paraId="4F2D517C">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B2A2258">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9ED0993">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（3）投标（响应）报价低于采购项目最高限价45%的，即投标（响应）报价&lt;采购项目最高限价×45%；</w:t>
      </w:r>
    </w:p>
    <w:p w14:paraId="78A10F06">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（4）评审委员会基于专业判断，认为供应商报价过低，有可能影响产品质量或者不能诚信履约的其他情形。</w:t>
      </w:r>
    </w:p>
    <w:p w14:paraId="096C5689">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lang w:val="en-US" w:eastAsia="zh-CN"/>
        </w:rPr>
        <w:t>5</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评审委员会启动异常低价投标（响应）审查后，属于前述第</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lang w:val="en-US" w:eastAsia="zh-CN"/>
        </w:rPr>
        <w:t>1</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项至第</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lang w:val="en-US" w:eastAsia="zh-CN"/>
        </w:rPr>
        <w:t>4</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6CD7ED">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lang w:val="en-US" w:eastAsia="zh-CN"/>
        </w:rPr>
        <w:t>6</w:t>
      </w:r>
      <w:r>
        <w:rPr>
          <w:rFonts w:hint="eastAsia" w:ascii="宋体" w:hAnsi="宋体" w:eastAsia="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投标（响应）供应商不能提供书面说明、证明材料，或者提供的书面说明、证明材料不能证明其报价合理性的，评审委员会应当将其作为无效投标（响应）处理。</w:t>
      </w:r>
    </w:p>
    <w:p w14:paraId="3B96BC39">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投标价格的修正原则。投标文件报价出现前后不一致的，按照下列规定修正：</w:t>
      </w:r>
    </w:p>
    <w:p w14:paraId="2B5E9AB3">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.1投标文件中</w:t>
      </w:r>
      <w:r>
        <w:rPr>
          <w:rFonts w:hint="eastAsia" w:ascii="宋体" w:hAnsi="宋体" w:eastAsia="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一览表内容与投标文件中相应内容不一致的，以</w:t>
      </w:r>
      <w:r>
        <w:rPr>
          <w:rFonts w:hint="eastAsia" w:ascii="宋体" w:hAnsi="宋体" w:eastAsia="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一览表为准;</w:t>
      </w:r>
    </w:p>
    <w:p w14:paraId="4706DEC5">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.2大写金额和小写金额不一致的，以大写金额为准;</w:t>
      </w:r>
    </w:p>
    <w:p w14:paraId="2D60CBA6">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.3单价金额小数点或者百分比有明显错位的，以</w:t>
      </w:r>
      <w:r>
        <w:rPr>
          <w:rFonts w:hint="eastAsia" w:ascii="宋体" w:hAnsi="宋体" w:eastAsia="宋体" w:cs="宋体"/>
          <w:snapToGrid w:val="0"/>
          <w:color w:val="auto"/>
          <w:kern w:val="0"/>
          <w:sz w:val="24"/>
          <w:szCs w:val="24"/>
          <w:highlight w:val="none"/>
          <w:lang w:val="en-US" w:eastAsia="zh-CN"/>
        </w:rPr>
        <w:t>报价</w:t>
      </w:r>
      <w:r>
        <w:rPr>
          <w:rFonts w:hint="eastAsia" w:ascii="宋体" w:hAnsi="宋体" w:eastAsia="宋体" w:cs="宋体"/>
          <w:snapToGrid w:val="0"/>
          <w:color w:val="auto"/>
          <w:kern w:val="0"/>
          <w:sz w:val="24"/>
          <w:szCs w:val="24"/>
          <w:highlight w:val="none"/>
        </w:rPr>
        <w:t>一览表的总价为准，并修改单价;</w:t>
      </w:r>
    </w:p>
    <w:p w14:paraId="07F6115F">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.4总价金额与按单价汇总金额不一致的，以单价金额计算结果为准。</w:t>
      </w:r>
    </w:p>
    <w:p w14:paraId="3C50D79C">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同时出现两种以上不一致的，按照前款规定的顺序修正。修正后的报价按照财政部第87号令《政府采购货物和服务招标投标管理办法》第五十一条第二款的规定经</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确认后产生约束力。</w:t>
      </w:r>
    </w:p>
    <w:p w14:paraId="25E826FD">
      <w:pPr>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rPr>
        <w:t>供应商对根据修正原则修正后的报价不确认的，投标无效。采购人将以合同形式有偿取得货物或服务，不接受供应商给予的赠品、回扣或者与采购无关的其他商品、服务。</w:t>
      </w:r>
    </w:p>
    <w:p w14:paraId="6D6E03C2">
      <w:pPr>
        <w:keepNext w:val="0"/>
        <w:keepLines w:val="0"/>
        <w:pageBreakBefore w:val="0"/>
        <w:kinsoku/>
        <w:wordWrap/>
        <w:overflowPunct/>
        <w:topLinePunct w:val="0"/>
        <w:autoSpaceDE/>
        <w:autoSpaceDN/>
        <w:bidi w:val="0"/>
        <w:spacing w:line="500" w:lineRule="exact"/>
        <w:ind w:firstLine="720" w:firstLineChars="30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25.6汇总得分：评标委员会各成员应当独立对每个</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en-US" w:eastAsia="zh-CN" w:bidi="ar-SA"/>
        </w:rPr>
        <w:t>的投标文件进行评价，并汇总每个</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lang w:val="en-US" w:eastAsia="zh-CN" w:bidi="ar-SA"/>
        </w:rPr>
        <w:t>的得分。</w:t>
      </w:r>
    </w:p>
    <w:p w14:paraId="7B8A1601">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lang w:val="en-US" w:eastAsia="zh-CN"/>
        </w:rPr>
        <w:t>26.</w:t>
      </w:r>
      <w:r>
        <w:rPr>
          <w:rFonts w:hint="eastAsia" w:ascii="宋体" w:hAnsi="宋体" w:eastAsia="宋体" w:cs="宋体"/>
          <w:b/>
          <w:bCs/>
          <w:snapToGrid w:val="0"/>
          <w:color w:val="auto"/>
          <w:kern w:val="0"/>
          <w:sz w:val="28"/>
          <w:szCs w:val="28"/>
          <w:highlight w:val="none"/>
        </w:rPr>
        <w:t>顺序排列与中标候选推荐</w:t>
      </w:r>
    </w:p>
    <w:p w14:paraId="2740FE98">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napToGrid w:val="0"/>
          <w:color w:val="FF0000"/>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26</w:t>
      </w:r>
      <w:r>
        <w:rPr>
          <w:rFonts w:hint="eastAsia" w:ascii="宋体" w:hAnsi="宋体" w:eastAsia="宋体" w:cs="宋体"/>
          <w:snapToGrid w:val="0"/>
          <w:color w:val="auto"/>
          <w:kern w:val="0"/>
          <w:sz w:val="24"/>
          <w:szCs w:val="24"/>
          <w:highlight w:val="none"/>
        </w:rPr>
        <w:t>.1评标结果按评审后得分由高到低顺序排列，确定综合得分最高的供应商为中标</w:t>
      </w:r>
      <w:r>
        <w:rPr>
          <w:rFonts w:hint="eastAsia" w:ascii="宋体" w:hAnsi="宋体" w:cs="宋体"/>
          <w:snapToGrid w:val="0"/>
          <w:color w:val="auto"/>
          <w:kern w:val="0"/>
          <w:sz w:val="24"/>
          <w:szCs w:val="24"/>
          <w:highlight w:val="none"/>
          <w:lang w:val="en-US" w:eastAsia="zh-CN"/>
        </w:rPr>
        <w:t>候选</w:t>
      </w:r>
      <w:r>
        <w:rPr>
          <w:rFonts w:hint="eastAsia" w:ascii="宋体" w:hAnsi="宋体" w:eastAsia="宋体" w:cs="宋体"/>
          <w:snapToGrid w:val="0"/>
          <w:color w:val="auto"/>
          <w:kern w:val="0"/>
          <w:sz w:val="24"/>
          <w:szCs w:val="24"/>
          <w:highlight w:val="none"/>
        </w:rPr>
        <w:t>人，如出现综合得分相同时，投标报价低的优先；如综合得分和投标报价均相同，则现场抽签确定</w:t>
      </w:r>
      <w:r>
        <w:rPr>
          <w:rFonts w:hint="eastAsia" w:ascii="宋体" w:hAnsi="宋体" w:eastAsia="宋体" w:cs="宋体"/>
          <w:snapToGrid w:val="0"/>
          <w:color w:val="auto"/>
          <w:kern w:val="0"/>
          <w:sz w:val="24"/>
          <w:szCs w:val="24"/>
          <w:highlight w:val="none"/>
          <w:lang w:eastAsia="zh-CN"/>
        </w:rPr>
        <w:t>。</w:t>
      </w:r>
    </w:p>
    <w:p w14:paraId="461D9F18">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宋体" w:hAnsi="宋体" w:eastAsia="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u w:val="single"/>
          <w:lang w:eastAsia="zh-CN"/>
        </w:rPr>
        <w:t>【</w:t>
      </w:r>
      <w:r>
        <w:rPr>
          <w:rFonts w:hint="eastAsia" w:ascii="宋体" w:hAnsi="宋体" w:cs="宋体"/>
          <w:b/>
          <w:bCs/>
          <w:snapToGrid w:val="0"/>
          <w:color w:val="auto"/>
          <w:kern w:val="0"/>
          <w:sz w:val="24"/>
          <w:szCs w:val="24"/>
          <w:highlight w:val="none"/>
          <w:u w:val="single"/>
          <w:lang w:val="en-US" w:eastAsia="zh-CN"/>
        </w:rPr>
        <w:t>本项目核心产品为“数据安全管理平台”</w:t>
      </w:r>
      <w:r>
        <w:rPr>
          <w:rFonts w:hint="eastAsia" w:ascii="宋体" w:hAnsi="宋体" w:cs="宋体"/>
          <w:snapToGrid w:val="0"/>
          <w:color w:val="auto"/>
          <w:kern w:val="0"/>
          <w:sz w:val="24"/>
          <w:szCs w:val="24"/>
          <w:highlight w:val="none"/>
          <w:u w:val="single"/>
          <w:lang w:eastAsia="zh-CN"/>
        </w:rPr>
        <w:t>】</w:t>
      </w:r>
    </w:p>
    <w:p w14:paraId="6A880065">
      <w:pPr>
        <w:pStyle w:val="13"/>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27.在招标采购中，出现下列情形之一的，应予废标：</w:t>
      </w:r>
    </w:p>
    <w:p w14:paraId="1538617A">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根据《中华人民共和国政府采购法》第三十六条之规定，在采购中，出现下列情形之一的，应予废标：</w:t>
      </w:r>
    </w:p>
    <w:p w14:paraId="69567524">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eastAsia="zh-CN"/>
        </w:rPr>
        <w:t>.1符合专业条件的供应商或者对招标文件作实质响应的供应商不足3家的；</w:t>
      </w:r>
    </w:p>
    <w:p w14:paraId="31A8EE1B">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eastAsia="zh-CN"/>
        </w:rPr>
        <w:t>.2出现影响采购公正的违法、违规行为的；</w:t>
      </w:r>
    </w:p>
    <w:p w14:paraId="375F3C93">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eastAsia="zh-CN"/>
        </w:rPr>
        <w:t>.3供应商的报价均超过了采购预算，采购人不能支付的；</w:t>
      </w:r>
    </w:p>
    <w:p w14:paraId="3CFE0DCC">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27</w:t>
      </w:r>
      <w:r>
        <w:rPr>
          <w:rFonts w:hint="eastAsia" w:ascii="宋体" w:hAnsi="宋体" w:eastAsia="宋体" w:cs="宋体"/>
          <w:snapToGrid w:val="0"/>
          <w:color w:val="auto"/>
          <w:kern w:val="0"/>
          <w:sz w:val="24"/>
          <w:szCs w:val="24"/>
          <w:highlight w:val="none"/>
          <w:lang w:eastAsia="zh-CN"/>
        </w:rPr>
        <w:t>.4因重大变故，采购任务取消的。</w:t>
      </w:r>
    </w:p>
    <w:p w14:paraId="685EB776">
      <w:pPr>
        <w:pStyle w:val="13"/>
        <w:keepNext w:val="0"/>
        <w:keepLines w:val="0"/>
        <w:pageBreakBefore w:val="0"/>
        <w:kinsoku/>
        <w:wordWrap/>
        <w:overflowPunct/>
        <w:topLinePunct w:val="0"/>
        <w:autoSpaceDE/>
        <w:autoSpaceDN/>
        <w:bidi w:val="0"/>
        <w:spacing w:line="500" w:lineRule="exact"/>
        <w:ind w:firstLine="360" w:firstLineChars="15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废标后，代理机构应当将废标理由通知所有供应商。</w:t>
      </w:r>
    </w:p>
    <w:p w14:paraId="2BE2D5AA">
      <w:pPr>
        <w:keepNext w:val="0"/>
        <w:keepLines w:val="0"/>
        <w:pageBreakBefore w:val="0"/>
        <w:kinsoku/>
        <w:wordWrap/>
        <w:overflowPunct/>
        <w:topLinePunct w:val="0"/>
        <w:autoSpaceDE/>
        <w:autoSpaceDN/>
        <w:bidi w:val="0"/>
        <w:snapToGrid w:val="0"/>
        <w:spacing w:line="500" w:lineRule="exact"/>
        <w:ind w:firstLine="562" w:firstLineChars="200"/>
        <w:textAlignment w:val="auto"/>
        <w:rPr>
          <w:rFonts w:hint="eastAsia" w:ascii="宋体" w:hAnsi="宋体" w:eastAsia="宋体" w:cs="宋体"/>
          <w:b/>
          <w:color w:val="auto"/>
          <w:sz w:val="32"/>
          <w:highlight w:val="none"/>
        </w:rPr>
      </w:pPr>
      <w:r>
        <w:rPr>
          <w:rFonts w:hint="eastAsia" w:ascii="宋体" w:hAnsi="宋体" w:eastAsia="宋体" w:cs="宋体"/>
          <w:b/>
          <w:bCs/>
          <w:color w:val="auto"/>
          <w:sz w:val="28"/>
          <w:szCs w:val="24"/>
          <w:highlight w:val="none"/>
          <w:lang w:val="en-US" w:eastAsia="zh-CN"/>
        </w:rPr>
        <w:t>28.</w:t>
      </w:r>
      <w:r>
        <w:rPr>
          <w:rFonts w:hint="eastAsia" w:ascii="宋体" w:hAnsi="宋体" w:eastAsia="宋体" w:cs="宋体"/>
          <w:b/>
          <w:color w:val="auto"/>
          <w:kern w:val="2"/>
          <w:sz w:val="28"/>
          <w:szCs w:val="24"/>
          <w:highlight w:val="none"/>
          <w:lang w:val="en-US" w:eastAsia="zh-CN" w:bidi="ar-SA"/>
        </w:rPr>
        <w:t>重新组织采购</w:t>
      </w:r>
    </w:p>
    <w:p w14:paraId="7D918259">
      <w:pPr>
        <w:pStyle w:val="8"/>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color w:val="auto"/>
          <w:sz w:val="24"/>
          <w:szCs w:val="22"/>
          <w:highlight w:val="none"/>
        </w:rPr>
      </w:pPr>
      <w:r>
        <w:rPr>
          <w:rFonts w:hint="eastAsia" w:ascii="宋体" w:hAnsi="宋体" w:eastAsia="宋体" w:cs="宋体"/>
          <w:b/>
          <w:color w:val="auto"/>
          <w:sz w:val="24"/>
          <w:szCs w:val="22"/>
          <w:highlight w:val="none"/>
          <w:lang w:val="en-US" w:eastAsia="zh-CN"/>
        </w:rPr>
        <w:t>28</w:t>
      </w:r>
      <w:r>
        <w:rPr>
          <w:rFonts w:hint="eastAsia" w:ascii="宋体" w:hAnsi="宋体" w:eastAsia="宋体" w:cs="宋体"/>
          <w:b/>
          <w:color w:val="auto"/>
          <w:sz w:val="24"/>
          <w:szCs w:val="22"/>
          <w:highlight w:val="none"/>
        </w:rPr>
        <w:t>.1修改招标文件，重新组织采购活动。</w:t>
      </w:r>
      <w:r>
        <w:rPr>
          <w:rFonts w:hint="eastAsia" w:ascii="宋体" w:hAnsi="宋体" w:eastAsia="宋体" w:cs="宋体"/>
          <w:color w:val="auto"/>
          <w:sz w:val="24"/>
          <w:szCs w:val="22"/>
          <w:highlight w:val="none"/>
        </w:rPr>
        <w:t>评标委员会发现采购文件存在歧义、重大缺陷导致评标工作无法进行，或者采购文件内容违反国家有关强制性规定的，将停止评标工作，并与采购人、代理机构沟通并作书面记录。采购人、代理机构确认后，将修改采购文件，重新组织采购活动。</w:t>
      </w:r>
    </w:p>
    <w:p w14:paraId="3135D54D">
      <w:pPr>
        <w:pStyle w:val="8"/>
        <w:keepNext w:val="0"/>
        <w:keepLines w:val="0"/>
        <w:pageBreakBefore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color w:val="auto"/>
          <w:sz w:val="24"/>
          <w:szCs w:val="22"/>
          <w:highlight w:val="none"/>
        </w:rPr>
      </w:pPr>
      <w:r>
        <w:rPr>
          <w:rFonts w:hint="eastAsia" w:ascii="宋体" w:hAnsi="宋体" w:eastAsia="宋体" w:cs="宋体"/>
          <w:b/>
          <w:color w:val="auto"/>
          <w:kern w:val="0"/>
          <w:sz w:val="24"/>
          <w:szCs w:val="22"/>
          <w:highlight w:val="none"/>
          <w:lang w:val="en-US" w:eastAsia="zh-CN"/>
        </w:rPr>
        <w:t>28</w:t>
      </w:r>
      <w:r>
        <w:rPr>
          <w:rFonts w:hint="eastAsia" w:ascii="宋体" w:hAnsi="宋体" w:eastAsia="宋体" w:cs="宋体"/>
          <w:b/>
          <w:color w:val="auto"/>
          <w:kern w:val="0"/>
          <w:sz w:val="24"/>
          <w:szCs w:val="22"/>
          <w:highlight w:val="none"/>
        </w:rPr>
        <w:t>.2重新开展采购。</w:t>
      </w:r>
      <w:r>
        <w:rPr>
          <w:rFonts w:hint="eastAsia" w:ascii="宋体" w:hAnsi="宋体" w:eastAsia="宋体" w:cs="宋体"/>
          <w:color w:val="auto"/>
          <w:sz w:val="24"/>
          <w:szCs w:val="22"/>
          <w:highlight w:val="none"/>
        </w:rPr>
        <w:t>有政府采购法第七十一条、第七十二条规定的违法行为之一，影响或者可能影响中标、成交结果的，依照下列规定处理：</w:t>
      </w:r>
    </w:p>
    <w:p w14:paraId="39DBE4A3">
      <w:pPr>
        <w:pStyle w:val="8"/>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.2.1未确定中标或者</w:t>
      </w:r>
      <w:r>
        <w:rPr>
          <w:rFonts w:hint="eastAsia" w:ascii="宋体" w:hAnsi="宋体" w:eastAsia="宋体" w:cs="宋体"/>
          <w:color w:val="auto"/>
          <w:sz w:val="24"/>
          <w:szCs w:val="22"/>
          <w:highlight w:val="none"/>
          <w:lang w:eastAsia="zh-CN"/>
        </w:rPr>
        <w:t>中标供应商</w:t>
      </w:r>
      <w:r>
        <w:rPr>
          <w:rFonts w:hint="eastAsia" w:ascii="宋体" w:hAnsi="宋体" w:eastAsia="宋体" w:cs="宋体"/>
          <w:color w:val="auto"/>
          <w:sz w:val="24"/>
          <w:szCs w:val="22"/>
          <w:highlight w:val="none"/>
        </w:rPr>
        <w:t>的，终止本次政府采购活动，重新开展政府采购活动。</w:t>
      </w:r>
    </w:p>
    <w:p w14:paraId="7B539E4B">
      <w:pPr>
        <w:pStyle w:val="8"/>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.2.2已确定中标或者</w:t>
      </w:r>
      <w:r>
        <w:rPr>
          <w:rFonts w:hint="eastAsia" w:ascii="宋体" w:hAnsi="宋体" w:eastAsia="宋体" w:cs="宋体"/>
          <w:color w:val="auto"/>
          <w:sz w:val="24"/>
          <w:szCs w:val="22"/>
          <w:highlight w:val="none"/>
          <w:lang w:eastAsia="zh-CN"/>
        </w:rPr>
        <w:t>中标供应商</w:t>
      </w:r>
      <w:r>
        <w:rPr>
          <w:rFonts w:hint="eastAsia" w:ascii="宋体" w:hAnsi="宋体" w:eastAsia="宋体" w:cs="宋体"/>
          <w:color w:val="auto"/>
          <w:sz w:val="24"/>
          <w:szCs w:val="22"/>
          <w:highlight w:val="none"/>
        </w:rPr>
        <w:t>但尚未签订政府采购合同的，中标或者成交结果无效，从合格的中标或者成交候选人中另行确定中标或者</w:t>
      </w:r>
      <w:r>
        <w:rPr>
          <w:rFonts w:hint="eastAsia" w:ascii="宋体" w:hAnsi="宋体" w:eastAsia="宋体" w:cs="宋体"/>
          <w:color w:val="auto"/>
          <w:sz w:val="24"/>
          <w:szCs w:val="22"/>
          <w:highlight w:val="none"/>
          <w:lang w:eastAsia="zh-CN"/>
        </w:rPr>
        <w:t>中标供应商</w:t>
      </w:r>
      <w:r>
        <w:rPr>
          <w:rFonts w:hint="eastAsia" w:ascii="宋体" w:hAnsi="宋体" w:eastAsia="宋体" w:cs="宋体"/>
          <w:color w:val="auto"/>
          <w:sz w:val="24"/>
          <w:szCs w:val="22"/>
          <w:highlight w:val="none"/>
        </w:rPr>
        <w:t>；没有合格的中标或者成交候选人的，重新开展政府采购活动。</w:t>
      </w:r>
    </w:p>
    <w:p w14:paraId="5EA81B04">
      <w:pPr>
        <w:pStyle w:val="8"/>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.2.3政府采购合同已签订但尚未履行的，撤销合同，从合格的中标或者成交候选人中另行确定中标或者</w:t>
      </w:r>
      <w:r>
        <w:rPr>
          <w:rFonts w:hint="eastAsia" w:ascii="宋体" w:hAnsi="宋体" w:eastAsia="宋体" w:cs="宋体"/>
          <w:color w:val="auto"/>
          <w:sz w:val="24"/>
          <w:szCs w:val="22"/>
          <w:highlight w:val="none"/>
          <w:lang w:eastAsia="zh-CN"/>
        </w:rPr>
        <w:t>中标供应商</w:t>
      </w:r>
      <w:r>
        <w:rPr>
          <w:rFonts w:hint="eastAsia" w:ascii="宋体" w:hAnsi="宋体" w:eastAsia="宋体" w:cs="宋体"/>
          <w:color w:val="auto"/>
          <w:sz w:val="24"/>
          <w:szCs w:val="22"/>
          <w:highlight w:val="none"/>
        </w:rPr>
        <w:t>；没有合格的中标或者成交候选人的，重新开展政府采购活动。</w:t>
      </w:r>
    </w:p>
    <w:p w14:paraId="04BCC105">
      <w:pPr>
        <w:pStyle w:val="8"/>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.2.4政府采购合同已经履行，给采购人、供应商造成损失的，由责任人承担赔偿责任。</w:t>
      </w:r>
    </w:p>
    <w:p w14:paraId="3B5C41A2">
      <w:pPr>
        <w:pStyle w:val="8"/>
        <w:keepNext w:val="0"/>
        <w:keepLines w:val="0"/>
        <w:pageBreakBefore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28</w:t>
      </w:r>
      <w:r>
        <w:rPr>
          <w:rFonts w:hint="eastAsia" w:ascii="宋体" w:hAnsi="宋体" w:eastAsia="宋体" w:cs="宋体"/>
          <w:color w:val="auto"/>
          <w:sz w:val="24"/>
          <w:szCs w:val="22"/>
          <w:highlight w:val="none"/>
        </w:rPr>
        <w:t>.2.5政府采购当事人有其他违反政府采购法或者本条例规定的行为，经改正后仍然影响或者可能影响中标、成交结果或者依法被认定为中标、成交无效的，依照2</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.2.1-2</w:t>
      </w:r>
      <w:r>
        <w:rPr>
          <w:rFonts w:hint="eastAsia" w:ascii="宋体" w:hAnsi="宋体" w:eastAsia="宋体" w:cs="宋体"/>
          <w:color w:val="auto"/>
          <w:sz w:val="24"/>
          <w:szCs w:val="22"/>
          <w:highlight w:val="none"/>
          <w:lang w:val="en-US" w:eastAsia="zh-CN"/>
        </w:rPr>
        <w:t>8</w:t>
      </w:r>
      <w:r>
        <w:rPr>
          <w:rFonts w:hint="eastAsia" w:ascii="宋体" w:hAnsi="宋体" w:eastAsia="宋体" w:cs="宋体"/>
          <w:color w:val="auto"/>
          <w:sz w:val="24"/>
          <w:szCs w:val="22"/>
          <w:highlight w:val="none"/>
        </w:rPr>
        <w:t>.2.4规定处理。</w:t>
      </w:r>
    </w:p>
    <w:p w14:paraId="4200ED0F">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8"/>
          <w:szCs w:val="24"/>
          <w:highlight w:val="none"/>
        </w:rPr>
      </w:pPr>
      <w:bookmarkStart w:id="38" w:name="_Toc240450082"/>
      <w:bookmarkStart w:id="39" w:name="_Toc251566655"/>
      <w:bookmarkStart w:id="40" w:name="_Toc16847"/>
      <w:bookmarkStart w:id="41" w:name="_Toc25029"/>
      <w:bookmarkStart w:id="42" w:name="_Toc26186"/>
      <w:r>
        <w:rPr>
          <w:rFonts w:hint="eastAsia" w:ascii="宋体" w:hAnsi="宋体" w:eastAsia="宋体" w:cs="宋体"/>
          <w:b/>
          <w:bCs/>
          <w:color w:val="auto"/>
          <w:sz w:val="28"/>
          <w:szCs w:val="24"/>
          <w:highlight w:val="none"/>
        </w:rPr>
        <w:t>六、确定</w:t>
      </w:r>
      <w:r>
        <w:rPr>
          <w:rFonts w:hint="eastAsia" w:ascii="宋体" w:hAnsi="宋体" w:eastAsia="宋体" w:cs="宋体"/>
          <w:b/>
          <w:bCs/>
          <w:color w:val="auto"/>
          <w:sz w:val="28"/>
          <w:szCs w:val="24"/>
          <w:highlight w:val="none"/>
          <w:lang w:eastAsia="zh-CN"/>
        </w:rPr>
        <w:t>中标供应商</w:t>
      </w:r>
      <w:r>
        <w:rPr>
          <w:rFonts w:hint="eastAsia" w:ascii="宋体" w:hAnsi="宋体" w:eastAsia="宋体" w:cs="宋体"/>
          <w:b/>
          <w:bCs/>
          <w:color w:val="auto"/>
          <w:sz w:val="28"/>
          <w:szCs w:val="24"/>
          <w:highlight w:val="none"/>
        </w:rPr>
        <w:t>及授予合同</w:t>
      </w:r>
      <w:bookmarkEnd w:id="38"/>
      <w:bookmarkEnd w:id="39"/>
      <w:bookmarkEnd w:id="40"/>
      <w:bookmarkEnd w:id="41"/>
      <w:bookmarkEnd w:id="42"/>
    </w:p>
    <w:p w14:paraId="20630409">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29.</w:t>
      </w:r>
      <w:r>
        <w:rPr>
          <w:rFonts w:hint="eastAsia" w:ascii="宋体" w:hAnsi="宋体" w:eastAsia="宋体" w:cs="宋体"/>
          <w:b/>
          <w:color w:val="auto"/>
          <w:sz w:val="28"/>
          <w:szCs w:val="28"/>
          <w:highlight w:val="none"/>
        </w:rPr>
        <w:t>中标供应商的确定</w:t>
      </w:r>
    </w:p>
    <w:p w14:paraId="3A2A7D0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29</w:t>
      </w:r>
      <w:r>
        <w:rPr>
          <w:rFonts w:hint="eastAsia" w:ascii="宋体" w:hAnsi="宋体" w:eastAsia="宋体" w:cs="宋体"/>
          <w:snapToGrid w:val="0"/>
          <w:color w:val="auto"/>
          <w:kern w:val="0"/>
          <w:sz w:val="24"/>
          <w:szCs w:val="24"/>
          <w:highlight w:val="none"/>
        </w:rPr>
        <w:t>.1采购代理机构应当自评审结束之日起2个工作日内将评审报告送交采购人。</w:t>
      </w:r>
    </w:p>
    <w:p w14:paraId="3F12A68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５个工作日内，在评标报告确定的中标候选人名单中按顺序确定中标供应商。采购人在收到评标报告5个工作日内未按评标报告推荐的中标候选人顺序确定中标供应商，又不能说明合法理由的，视同按评标报告推荐的顺序确定排名第一的中标候选人为中标供应商。</w:t>
      </w:r>
    </w:p>
    <w:p w14:paraId="69D54D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采购人或者采购代理机构应当自</w:t>
      </w:r>
      <w:r>
        <w:rPr>
          <w:rFonts w:hint="eastAsia" w:ascii="宋体" w:hAnsi="宋体" w:cs="宋体"/>
          <w:snapToGrid w:val="0"/>
          <w:color w:val="auto"/>
          <w:kern w:val="0"/>
          <w:sz w:val="24"/>
          <w:szCs w:val="24"/>
          <w:highlight w:val="none"/>
          <w:lang w:val="en-US" w:eastAsia="zh-CN"/>
        </w:rPr>
        <w:t>中标供应商</w:t>
      </w:r>
      <w:r>
        <w:rPr>
          <w:rFonts w:hint="eastAsia" w:ascii="宋体" w:hAnsi="宋体" w:eastAsia="宋体" w:cs="宋体"/>
          <w:snapToGrid w:val="0"/>
          <w:color w:val="auto"/>
          <w:kern w:val="0"/>
          <w:sz w:val="24"/>
          <w:szCs w:val="24"/>
          <w:highlight w:val="none"/>
        </w:rPr>
        <w:t>确定之日起2个工作日内，在原招标公告发布媒体上公告中标结果，采购文件应当随中标结果同时公告。公告期限为1个工作日。</w:t>
      </w:r>
    </w:p>
    <w:p w14:paraId="7131694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29</w:t>
      </w:r>
      <w:r>
        <w:rPr>
          <w:rFonts w:hint="eastAsia" w:ascii="宋体" w:hAnsi="宋体" w:eastAsia="宋体" w:cs="宋体"/>
          <w:snapToGrid w:val="0"/>
          <w:color w:val="auto"/>
          <w:kern w:val="0"/>
          <w:sz w:val="24"/>
          <w:szCs w:val="24"/>
          <w:highlight w:val="none"/>
        </w:rPr>
        <w:t>.2除国务院财政部门规定的情形外，采购人、采购代理机构不得以任何理由组织重新评审。采购人、采购代理机构按照国务院财政部门的规定组织重新评审的，应当书面报告本级人民政府财政部门。</w:t>
      </w:r>
    </w:p>
    <w:p w14:paraId="754276B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snapToGrid w:val="0"/>
          <w:color w:val="auto"/>
          <w:kern w:val="0"/>
          <w:sz w:val="24"/>
          <w:szCs w:val="24"/>
          <w:highlight w:val="none"/>
          <w:lang w:val="en-US" w:eastAsia="zh-CN"/>
        </w:rPr>
        <w:t>29</w:t>
      </w:r>
      <w:r>
        <w:rPr>
          <w:rFonts w:hint="eastAsia" w:ascii="宋体" w:hAnsi="宋体" w:eastAsia="宋体" w:cs="宋体"/>
          <w:snapToGrid w:val="0"/>
          <w:color w:val="auto"/>
          <w:kern w:val="0"/>
          <w:sz w:val="24"/>
          <w:szCs w:val="24"/>
          <w:highlight w:val="none"/>
        </w:rPr>
        <w:t>.3中标通知书发出后，采购人不得违法改变中标结果，中标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无正当理由不得放弃中标。</w:t>
      </w:r>
    </w:p>
    <w:p w14:paraId="1D18B5BE">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30.</w:t>
      </w:r>
      <w:r>
        <w:rPr>
          <w:rFonts w:hint="eastAsia" w:ascii="宋体" w:hAnsi="宋体" w:eastAsia="宋体" w:cs="宋体"/>
          <w:b/>
          <w:color w:val="auto"/>
          <w:sz w:val="28"/>
          <w:szCs w:val="28"/>
          <w:highlight w:val="none"/>
        </w:rPr>
        <w:t>合同授予</w:t>
      </w:r>
    </w:p>
    <w:p w14:paraId="0F8A85F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.1本项目的合同将授予按本须知第</w:t>
      </w:r>
      <w:r>
        <w:rPr>
          <w:rFonts w:hint="eastAsia" w:ascii="宋体" w:hAnsi="宋体" w:eastAsia="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.1款所确定的中标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w:t>
      </w:r>
    </w:p>
    <w:p w14:paraId="583E7C9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.2中标或者</w:t>
      </w:r>
      <w:r>
        <w:rPr>
          <w:rFonts w:hint="eastAsia" w:ascii="宋体" w:hAnsi="宋体" w:eastAsia="宋体" w:cs="宋体"/>
          <w:snapToGrid w:val="0"/>
          <w:color w:val="auto"/>
          <w:kern w:val="0"/>
          <w:sz w:val="24"/>
          <w:szCs w:val="24"/>
          <w:highlight w:val="none"/>
          <w:lang w:eastAsia="zh-CN"/>
        </w:rPr>
        <w:t>中标供应商</w:t>
      </w:r>
      <w:r>
        <w:rPr>
          <w:rFonts w:hint="eastAsia" w:ascii="宋体" w:hAnsi="宋体" w:eastAsia="宋体" w:cs="宋体"/>
          <w:snapToGrid w:val="0"/>
          <w:color w:val="auto"/>
          <w:kern w:val="0"/>
          <w:sz w:val="24"/>
          <w:szCs w:val="24"/>
          <w:highlight w:val="none"/>
        </w:rPr>
        <w:t>拒绝与采购人签订合同的，采购人可以重新开展政府采购活动。</w:t>
      </w:r>
    </w:p>
    <w:p w14:paraId="76A36F1E">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31.</w:t>
      </w:r>
      <w:r>
        <w:rPr>
          <w:rFonts w:hint="eastAsia" w:ascii="宋体" w:hAnsi="宋体" w:eastAsia="宋体" w:cs="宋体"/>
          <w:b/>
          <w:color w:val="auto"/>
          <w:sz w:val="28"/>
          <w:szCs w:val="28"/>
          <w:highlight w:val="none"/>
        </w:rPr>
        <w:t>签订合同</w:t>
      </w:r>
    </w:p>
    <w:p w14:paraId="12166AE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31</w:t>
      </w:r>
      <w:r>
        <w:rPr>
          <w:rFonts w:hint="eastAsia" w:ascii="宋体" w:hAnsi="宋体" w:eastAsia="宋体" w:cs="宋体"/>
          <w:snapToGrid w:val="0"/>
          <w:color w:val="auto"/>
          <w:kern w:val="0"/>
          <w:sz w:val="24"/>
          <w:szCs w:val="24"/>
          <w:highlight w:val="none"/>
        </w:rPr>
        <w:t>.1中标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应按中标通知书规定的时间与采购人签订合同。中标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在领取中标通知书时须向采购人提供一份关于本项目在实施过程中的相关人员的通讯录作为合同附件。</w:t>
      </w:r>
    </w:p>
    <w:p w14:paraId="3AF9498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31</w:t>
      </w:r>
      <w:r>
        <w:rPr>
          <w:rFonts w:hint="eastAsia" w:ascii="宋体" w:hAnsi="宋体" w:eastAsia="宋体" w:cs="宋体"/>
          <w:snapToGrid w:val="0"/>
          <w:color w:val="auto"/>
          <w:kern w:val="0"/>
          <w:sz w:val="24"/>
          <w:szCs w:val="24"/>
          <w:highlight w:val="none"/>
        </w:rPr>
        <w:t>.2中标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如不遵守采购文件或投标文件各项条款的邀约与要约，或在接到中标通知书后借故拖延，拒签合同的，采购人将依据国家和采购文件有关规定要求中标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予以赔偿，同时采购人可根据</w:t>
      </w:r>
      <w:r>
        <w:rPr>
          <w:rFonts w:hint="eastAsia" w:ascii="宋体" w:hAnsi="宋体" w:eastAsia="宋体" w:cs="宋体"/>
          <w:snapToGrid w:val="0"/>
          <w:color w:val="auto"/>
          <w:kern w:val="0"/>
          <w:sz w:val="24"/>
          <w:szCs w:val="24"/>
          <w:highlight w:val="none"/>
          <w:lang w:val="en-US" w:eastAsia="zh-CN"/>
        </w:rPr>
        <w:t>28</w:t>
      </w:r>
      <w:r>
        <w:rPr>
          <w:rFonts w:hint="eastAsia" w:ascii="宋体" w:hAnsi="宋体" w:eastAsia="宋体" w:cs="宋体"/>
          <w:snapToGrid w:val="0"/>
          <w:color w:val="auto"/>
          <w:kern w:val="0"/>
          <w:sz w:val="24"/>
          <w:szCs w:val="24"/>
          <w:highlight w:val="none"/>
        </w:rPr>
        <w:t>.2的原则重新开展政府采购活动；</w:t>
      </w:r>
    </w:p>
    <w:p w14:paraId="159BCB0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lang w:val="en-US" w:eastAsia="zh-CN"/>
        </w:rPr>
        <w:t>31</w:t>
      </w:r>
      <w:r>
        <w:rPr>
          <w:rFonts w:hint="eastAsia" w:ascii="宋体" w:hAnsi="宋体" w:eastAsia="宋体" w:cs="宋体"/>
          <w:snapToGrid w:val="0"/>
          <w:color w:val="auto"/>
          <w:kern w:val="0"/>
          <w:sz w:val="24"/>
          <w:szCs w:val="24"/>
          <w:highlight w:val="none"/>
        </w:rPr>
        <w:t>.3采购文件、中标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的投标文件及投标修改文件、评标过程中有关澄清文件及经投标人法定代表人或授权代表签字确认的询标回复和承诺及中标通知书均作为合同组成部分。</w:t>
      </w:r>
    </w:p>
    <w:p w14:paraId="74E3B1F5">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32.</w:t>
      </w:r>
      <w:r>
        <w:rPr>
          <w:rFonts w:hint="eastAsia" w:ascii="宋体" w:hAnsi="宋体" w:eastAsia="宋体" w:cs="宋体"/>
          <w:b/>
          <w:color w:val="auto"/>
          <w:sz w:val="28"/>
          <w:szCs w:val="28"/>
          <w:highlight w:val="none"/>
        </w:rPr>
        <w:t>履约保证金</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具体要求详见第三章采购内容及要求、第四章合同主要条款规定。</w:t>
      </w:r>
    </w:p>
    <w:p w14:paraId="5DBE875D">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33.</w:t>
      </w:r>
      <w:r>
        <w:rPr>
          <w:rFonts w:hint="eastAsia" w:ascii="宋体" w:hAnsi="宋体" w:eastAsia="宋体" w:cs="宋体"/>
          <w:b/>
          <w:color w:val="auto"/>
          <w:sz w:val="28"/>
          <w:szCs w:val="28"/>
          <w:highlight w:val="none"/>
        </w:rPr>
        <w:t>采购代理服务费</w:t>
      </w:r>
    </w:p>
    <w:p w14:paraId="5C22BDDB">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详见投标须知前附表</w:t>
      </w:r>
      <w:r>
        <w:rPr>
          <w:rFonts w:hint="eastAsia" w:ascii="宋体" w:hAnsi="宋体" w:eastAsia="宋体" w:cs="宋体"/>
          <w:b/>
          <w:bCs/>
          <w:color w:val="auto"/>
          <w:sz w:val="24"/>
          <w:szCs w:val="24"/>
          <w:highlight w:val="none"/>
        </w:rPr>
        <w:t>。</w:t>
      </w:r>
    </w:p>
    <w:p w14:paraId="3EF55944">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lang w:val="en-US" w:eastAsia="zh-CN"/>
        </w:rPr>
        <w:t>34.</w:t>
      </w:r>
      <w:r>
        <w:rPr>
          <w:rFonts w:hint="eastAsia" w:ascii="宋体" w:hAnsi="宋体" w:eastAsia="宋体" w:cs="宋体"/>
          <w:b/>
          <w:snapToGrid w:val="0"/>
          <w:color w:val="auto"/>
          <w:kern w:val="0"/>
          <w:sz w:val="28"/>
          <w:szCs w:val="28"/>
          <w:highlight w:val="none"/>
        </w:rPr>
        <w:t>质疑与投诉</w:t>
      </w:r>
    </w:p>
    <w:p w14:paraId="5E1CAF5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中华人民共和国政府采购法》、《财政部关于加强政府采购供应商投诉受理审查工作的通知》(财库〔2007〕1号)和《政府采购质疑和投诉办法》（财政部令第94号）的规定，政府采购供应商（投标人，下同）可以依法提起质疑和投诉。</w:t>
      </w:r>
    </w:p>
    <w:p w14:paraId="229C3B0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质疑函范本、投诉书范本请到浙江政府采购网下载专区下载。</w:t>
      </w:r>
    </w:p>
    <w:p w14:paraId="7DD66092">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.1</w:t>
      </w:r>
      <w:r>
        <w:rPr>
          <w:rFonts w:hint="eastAsia" w:ascii="宋体" w:hAnsi="宋体" w:eastAsia="宋体" w:cs="宋体"/>
          <w:b/>
          <w:snapToGrid w:val="0"/>
          <w:color w:val="auto"/>
          <w:kern w:val="0"/>
          <w:sz w:val="24"/>
          <w:szCs w:val="24"/>
          <w:highlight w:val="none"/>
          <w:lang w:val="en-US" w:eastAsia="zh-CN"/>
        </w:rPr>
        <w:t>投标人</w:t>
      </w:r>
      <w:r>
        <w:rPr>
          <w:rFonts w:hint="eastAsia" w:ascii="宋体" w:hAnsi="宋体" w:eastAsia="宋体" w:cs="宋体"/>
          <w:b/>
          <w:snapToGrid w:val="0"/>
          <w:color w:val="auto"/>
          <w:kern w:val="0"/>
          <w:sz w:val="24"/>
          <w:szCs w:val="24"/>
          <w:highlight w:val="none"/>
        </w:rPr>
        <w:t>询问</w:t>
      </w:r>
    </w:p>
    <w:p w14:paraId="72BA640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对政府采购活动事项有疑问的，可以向采购机构提出询问，采购人或者采购代理机构应当在3个工作日内对</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依法提出的询问作出答复，但答复的内容不得涉及商业秘密。</w:t>
      </w:r>
    </w:p>
    <w:p w14:paraId="7462E9EC">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.2</w:t>
      </w: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lang w:val="en-US" w:eastAsia="zh-CN"/>
        </w:rPr>
        <w:t>投标人</w:t>
      </w:r>
      <w:r>
        <w:rPr>
          <w:rFonts w:hint="eastAsia" w:ascii="宋体" w:hAnsi="宋体" w:eastAsia="宋体" w:cs="宋体"/>
          <w:b/>
          <w:snapToGrid w:val="0"/>
          <w:color w:val="auto"/>
          <w:kern w:val="0"/>
          <w:sz w:val="24"/>
          <w:szCs w:val="24"/>
          <w:highlight w:val="none"/>
        </w:rPr>
        <w:t>质疑</w:t>
      </w:r>
    </w:p>
    <w:p w14:paraId="3B107C1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.2.1</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认为采购文件、采购过程、中标或者成交结果使自己的权益受到损害的，可以在知道或者应知其权益受到损害之日起7个工作日内，以书面形式向采购人、采购代理机构提出质疑。</w:t>
      </w:r>
    </w:p>
    <w:p w14:paraId="11B924FB">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u w:val="single"/>
          <w:lang w:val="en-US" w:eastAsia="zh-CN"/>
        </w:rPr>
        <w:t>本项目要求</w:t>
      </w:r>
      <w:r>
        <w:rPr>
          <w:rFonts w:hint="eastAsia" w:ascii="宋体" w:hAnsi="宋体" w:eastAsia="宋体" w:cs="宋体"/>
          <w:b/>
          <w:bCs/>
          <w:color w:val="auto"/>
          <w:sz w:val="24"/>
          <w:szCs w:val="24"/>
          <w:highlight w:val="none"/>
          <w:u w:val="single"/>
          <w:lang w:val="zh-CN"/>
        </w:rPr>
        <w:t>供应商</w:t>
      </w:r>
      <w:r>
        <w:rPr>
          <w:rFonts w:hint="eastAsia" w:ascii="宋体" w:hAnsi="宋体" w:eastAsia="宋体" w:cs="宋体"/>
          <w:b/>
          <w:bCs/>
          <w:color w:val="auto"/>
          <w:sz w:val="24"/>
          <w:szCs w:val="24"/>
          <w:highlight w:val="none"/>
          <w:u w:val="single"/>
          <w:lang w:val="en-US" w:eastAsia="zh-CN"/>
        </w:rPr>
        <w:t>在法定质疑期内一次性提出针对同一采购程序环节的质疑，针对同一环节二次或多次提出质疑，采购人或采购代理机构将不予受理。</w:t>
      </w:r>
    </w:p>
    <w:p w14:paraId="5961FD9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.2.2提出质疑的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（以下简称质疑人）应当是参与所质疑项目采购活动的</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w:t>
      </w:r>
    </w:p>
    <w:p w14:paraId="249912B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潜在</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已依法获取其可质疑的采购文件的，可以对该文件提出质疑。对采购文件提出质疑的，应当在获取采购文件或者采购文件公告期限届满之日起7个工作日内提出。</w:t>
      </w:r>
    </w:p>
    <w:p w14:paraId="457DB49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.2.3</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提出质疑应当提交质疑函和必要的证明材料。质疑函应当包括下列内容：</w:t>
      </w:r>
    </w:p>
    <w:p w14:paraId="0203246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的姓名或者名称、地址、邮编、联系人及联系电话；</w:t>
      </w:r>
    </w:p>
    <w:p w14:paraId="211B62D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（二）质疑项目的名称、编号；</w:t>
      </w:r>
    </w:p>
    <w:p w14:paraId="09E720C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（三）具体、明确的质疑事项和与质疑事项相关的请求；</w:t>
      </w:r>
    </w:p>
    <w:p w14:paraId="343389F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（四）事实依据；</w:t>
      </w:r>
    </w:p>
    <w:p w14:paraId="719F1BA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（五）必要的法律依据；</w:t>
      </w:r>
    </w:p>
    <w:p w14:paraId="4B31EA0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（六）提出质疑的日期。</w:t>
      </w:r>
    </w:p>
    <w:p w14:paraId="03FCF41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为自然人的，应当由本人签字；</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为法人或者其他组织的，应当由法定代表人、主要负责人，或者其授权代表签字或者盖章，并加盖公章。</w:t>
      </w:r>
    </w:p>
    <w:p w14:paraId="2E1BBB9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.2.4采购人、采购代理机构在收到法定质疑期内发出的质疑函后7个工作日内作出答复，并以书面形式通知质疑人和其他有关</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。质疑答复的内容不得涉及商业秘密。</w:t>
      </w:r>
    </w:p>
    <w:p w14:paraId="5286C501">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4</w:t>
      </w: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投标人</w:t>
      </w:r>
      <w:r>
        <w:rPr>
          <w:rFonts w:hint="eastAsia" w:ascii="宋体" w:hAnsi="宋体" w:eastAsia="宋体" w:cs="宋体"/>
          <w:b/>
          <w:snapToGrid w:val="0"/>
          <w:color w:val="auto"/>
          <w:kern w:val="0"/>
          <w:sz w:val="24"/>
          <w:szCs w:val="24"/>
          <w:highlight w:val="none"/>
        </w:rPr>
        <w:t>投诉</w:t>
      </w:r>
    </w:p>
    <w:p w14:paraId="025F746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质疑</w:t>
      </w:r>
      <w:r>
        <w:rPr>
          <w:rFonts w:hint="eastAsia" w:ascii="宋体" w:hAnsi="宋体" w:eastAsia="宋体" w:cs="宋体"/>
          <w:snapToGrid w:val="0"/>
          <w:color w:val="auto"/>
          <w:kern w:val="0"/>
          <w:sz w:val="24"/>
          <w:szCs w:val="24"/>
          <w:highlight w:val="none"/>
          <w:lang w:val="en-US" w:eastAsia="zh-CN"/>
        </w:rPr>
        <w:t>人</w:t>
      </w:r>
      <w:r>
        <w:rPr>
          <w:rFonts w:hint="eastAsia" w:ascii="宋体" w:hAnsi="宋体" w:eastAsia="宋体" w:cs="宋体"/>
          <w:snapToGrid w:val="0"/>
          <w:color w:val="auto"/>
          <w:kern w:val="0"/>
          <w:sz w:val="24"/>
          <w:szCs w:val="24"/>
          <w:highlight w:val="none"/>
        </w:rPr>
        <w:t>对采购机构的答复不满意或者采购机构未在规定的时间内作出答复的，可以在答复期满后十五个工作日内向同级政府采购监督管理部门提出投诉。</w:t>
      </w:r>
    </w:p>
    <w:p w14:paraId="5249FD61">
      <w:pPr>
        <w:keepNext w:val="0"/>
        <w:keepLines w:val="0"/>
        <w:pageBreakBefore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snapToGrid w:val="0"/>
          <w:color w:val="auto"/>
          <w:kern w:val="0"/>
          <w:sz w:val="24"/>
          <w:szCs w:val="24"/>
          <w:highlight w:val="none"/>
          <w:lang w:val="en-US" w:eastAsia="zh-CN"/>
        </w:rPr>
        <w:t>5.</w:t>
      </w:r>
      <w:r>
        <w:rPr>
          <w:rFonts w:hint="eastAsia" w:ascii="宋体" w:hAnsi="宋体" w:eastAsia="宋体" w:cs="宋体"/>
          <w:b/>
          <w:snapToGrid w:val="0"/>
          <w:color w:val="auto"/>
          <w:kern w:val="0"/>
          <w:sz w:val="24"/>
          <w:szCs w:val="24"/>
          <w:highlight w:val="none"/>
        </w:rPr>
        <w:t>采购结束</w:t>
      </w:r>
    </w:p>
    <w:p w14:paraId="113B244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.1中标</w:t>
      </w:r>
      <w:r>
        <w:rPr>
          <w:rFonts w:hint="eastAsia" w:ascii="宋体" w:hAnsi="宋体" w:eastAsia="宋体" w:cs="宋体"/>
          <w:color w:val="auto"/>
          <w:sz w:val="24"/>
          <w:szCs w:val="24"/>
          <w:highlight w:val="none"/>
        </w:rPr>
        <w:t>供应商</w:t>
      </w:r>
      <w:r>
        <w:rPr>
          <w:rFonts w:hint="eastAsia" w:ascii="宋体" w:hAnsi="宋体" w:eastAsia="宋体" w:cs="宋体"/>
          <w:snapToGrid w:val="0"/>
          <w:color w:val="auto"/>
          <w:kern w:val="0"/>
          <w:sz w:val="24"/>
          <w:szCs w:val="24"/>
          <w:highlight w:val="none"/>
        </w:rPr>
        <w:t>与采购人签订合同生效后即为采购结束。</w:t>
      </w:r>
    </w:p>
    <w:p w14:paraId="2D36C72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.2本项目的投标文件（包括</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备份投标文件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）不予退回。</w:t>
      </w:r>
    </w:p>
    <w:p w14:paraId="1775B684">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8"/>
          <w:szCs w:val="24"/>
          <w:highlight w:val="none"/>
        </w:rPr>
      </w:pPr>
      <w:bookmarkStart w:id="43" w:name="_Toc21366"/>
      <w:r>
        <w:rPr>
          <w:rFonts w:hint="eastAsia" w:ascii="宋体" w:hAnsi="宋体" w:eastAsia="宋体" w:cs="宋体"/>
          <w:b/>
          <w:bCs/>
          <w:color w:val="auto"/>
          <w:sz w:val="28"/>
          <w:szCs w:val="24"/>
          <w:highlight w:val="none"/>
        </w:rPr>
        <w:t>七、其他</w:t>
      </w:r>
      <w:bookmarkEnd w:id="43"/>
    </w:p>
    <w:p w14:paraId="56958602">
      <w:pPr>
        <w:pStyle w:val="7"/>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解释权：本招标文件是参照《中华人民共和国政府采购法》、《中华人民共和国政府采购法实施条例》（中华人民共和国国务院令第658号）、《政府采购货物和服务招标投标管理办法》（中华人民共和国财政部令第87号）及有关规定编制的，解释权属</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14:paraId="6F4F866A">
      <w:pPr>
        <w:pStyle w:val="7"/>
        <w:keepNext w:val="0"/>
        <w:keepLines w:val="0"/>
        <w:pageBreakBefore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37.可中止电子交易活动的情形：</w:t>
      </w:r>
      <w:r>
        <w:rPr>
          <w:rFonts w:hint="eastAsia" w:ascii="宋体" w:hAnsi="宋体" w:eastAsia="宋体" w:cs="宋体"/>
          <w:snapToGrid w:val="0"/>
          <w:color w:val="auto"/>
          <w:kern w:val="28"/>
          <w:sz w:val="24"/>
          <w:szCs w:val="24"/>
          <w:highlight w:val="none"/>
          <w:lang w:val="en-US" w:eastAsia="zh-CN" w:bidi="ar-SA"/>
        </w:rPr>
        <w:t>采购过程中出现以下情形，导致电子交易平台无法正常运行，或者无法保证电子交易的公平、公正和安全时，采购代理机构可中止电子交易活动：</w:t>
      </w:r>
    </w:p>
    <w:p w14:paraId="34FF2330">
      <w:pPr>
        <w:pStyle w:val="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37.1电子交易平台发生故障而无法登录访问的；</w:t>
      </w:r>
    </w:p>
    <w:p w14:paraId="03A34720">
      <w:pPr>
        <w:pStyle w:val="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37.2电子交易平台应用或数据库出现错误，不能进行正常操作的；</w:t>
      </w:r>
    </w:p>
    <w:p w14:paraId="0D046229">
      <w:pPr>
        <w:pStyle w:val="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37.3电子交易平台发现严重安全漏洞，有潜在泄密危险的；</w:t>
      </w:r>
    </w:p>
    <w:p w14:paraId="1253E14B">
      <w:pPr>
        <w:pStyle w:val="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37.4病毒发作导致不能进行正常操作的；</w:t>
      </w:r>
    </w:p>
    <w:p w14:paraId="260C47CF">
      <w:pPr>
        <w:pStyle w:val="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37.5其他无法保证电子交易的公平、公正和安全的情况。</w:t>
      </w:r>
    </w:p>
    <w:p w14:paraId="509C8BE4">
      <w:pPr>
        <w:pStyle w:val="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出现前款规定情形，不影响采购公平、公正性的，采购代理机构可以待上述情形消除后继续组织电子交易活动；影响或可能影响采购公平、公正性的，应当重新采购。</w:t>
      </w:r>
    </w:p>
    <w:p w14:paraId="77C8330C">
      <w:pPr>
        <w:rPr>
          <w:rFonts w:hint="eastAsia" w:ascii="宋体" w:hAnsi="宋体" w:eastAsia="宋体" w:cs="宋体"/>
          <w:snapToGrid w:val="0"/>
          <w:color w:val="auto"/>
          <w:kern w:val="28"/>
          <w:sz w:val="24"/>
          <w:szCs w:val="24"/>
          <w:highlight w:val="none"/>
          <w:lang w:val="en-US" w:eastAsia="zh-CN" w:bidi="ar-SA"/>
        </w:rPr>
        <w:sectPr>
          <w:footerReference r:id="rId3" w:type="default"/>
          <w:pgSz w:w="11906" w:h="16838"/>
          <w:pgMar w:top="1134" w:right="1134" w:bottom="1134" w:left="1134" w:header="851" w:footer="850" w:gutter="0"/>
          <w:pgNumType w:fmt="decimal"/>
          <w:cols w:space="425" w:num="1"/>
          <w:docGrid w:type="lines" w:linePitch="312" w:charSpace="0"/>
        </w:sectPr>
      </w:pPr>
    </w:p>
    <w:p w14:paraId="1CC04F10">
      <w:pPr>
        <w:pStyle w:val="3"/>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color w:val="auto"/>
          <w:sz w:val="28"/>
          <w:szCs w:val="28"/>
          <w:highlight w:val="none"/>
        </w:rPr>
      </w:pPr>
      <w:bookmarkStart w:id="44" w:name="_Toc27298"/>
      <w:bookmarkStart w:id="45" w:name="_Toc24091"/>
      <w:r>
        <w:rPr>
          <w:rFonts w:hint="eastAsia" w:ascii="宋体" w:hAnsi="宋体" w:eastAsia="宋体" w:cs="宋体"/>
          <w:b/>
          <w:bCs/>
          <w:color w:val="auto"/>
          <w:kern w:val="44"/>
          <w:sz w:val="28"/>
          <w:szCs w:val="28"/>
          <w:highlight w:val="none"/>
          <w:lang w:val="en-US" w:eastAsia="zh-CN" w:bidi="ar-SA"/>
        </w:rPr>
        <w:t>第三章</w:t>
      </w:r>
      <w:r>
        <w:rPr>
          <w:rFonts w:hint="eastAsia" w:ascii="宋体" w:hAnsi="宋体" w:eastAsia="宋体" w:cs="宋体"/>
          <w:color w:val="auto"/>
          <w:sz w:val="28"/>
          <w:szCs w:val="28"/>
          <w:highlight w:val="none"/>
        </w:rPr>
        <w:t>采购内容及要求</w:t>
      </w:r>
      <w:bookmarkEnd w:id="44"/>
      <w:bookmarkEnd w:id="45"/>
    </w:p>
    <w:p w14:paraId="313454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一、政府采购要求说明</w:t>
      </w:r>
    </w:p>
    <w:tbl>
      <w:tblPr>
        <w:tblStyle w:val="22"/>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0"/>
        <w:gridCol w:w="7691"/>
        <w:gridCol w:w="3950"/>
      </w:tblGrid>
      <w:tr w14:paraId="1B36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17842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序号</w:t>
            </w:r>
          </w:p>
        </w:tc>
        <w:tc>
          <w:tcPr>
            <w:tcW w:w="2470" w:type="dxa"/>
            <w:vAlign w:val="center"/>
          </w:tcPr>
          <w:p w14:paraId="60ACB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rPr>
              <w:t>需要落实的政府采购政策</w:t>
            </w:r>
          </w:p>
        </w:tc>
        <w:tc>
          <w:tcPr>
            <w:tcW w:w="7691" w:type="dxa"/>
            <w:vAlign w:val="center"/>
          </w:tcPr>
          <w:p w14:paraId="1CA69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lang w:val="en-US" w:eastAsia="zh-CN"/>
              </w:rPr>
              <w:t>本项目落实</w:t>
            </w:r>
            <w:r>
              <w:rPr>
                <w:rFonts w:hint="eastAsia" w:ascii="宋体" w:hAnsi="宋体" w:eastAsia="宋体" w:cs="宋体"/>
                <w:b w:val="0"/>
                <w:bCs w:val="0"/>
                <w:color w:val="auto"/>
                <w:sz w:val="21"/>
                <w:szCs w:val="21"/>
                <w:highlight w:val="none"/>
              </w:rPr>
              <w:t>政府采购政策</w:t>
            </w:r>
            <w:r>
              <w:rPr>
                <w:rFonts w:hint="eastAsia" w:ascii="宋体" w:hAnsi="宋体" w:eastAsia="宋体" w:cs="宋体"/>
                <w:b w:val="0"/>
                <w:bCs w:val="0"/>
                <w:color w:val="auto"/>
                <w:sz w:val="21"/>
                <w:szCs w:val="21"/>
                <w:highlight w:val="none"/>
                <w:lang w:val="en-US" w:eastAsia="zh-CN"/>
              </w:rPr>
              <w:t>说明</w:t>
            </w:r>
          </w:p>
        </w:tc>
        <w:tc>
          <w:tcPr>
            <w:tcW w:w="3950" w:type="dxa"/>
            <w:vAlign w:val="center"/>
          </w:tcPr>
          <w:p w14:paraId="74533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享受</w:t>
            </w:r>
            <w:r>
              <w:rPr>
                <w:rFonts w:hint="eastAsia" w:ascii="宋体" w:hAnsi="宋体" w:eastAsia="宋体" w:cs="宋体"/>
                <w:b w:val="0"/>
                <w:bCs w:val="0"/>
                <w:color w:val="auto"/>
                <w:sz w:val="21"/>
                <w:szCs w:val="21"/>
                <w:highlight w:val="none"/>
              </w:rPr>
              <w:t>政府采购政策</w:t>
            </w:r>
            <w:r>
              <w:rPr>
                <w:rFonts w:hint="eastAsia" w:ascii="宋体" w:hAnsi="宋体" w:eastAsia="宋体" w:cs="宋体"/>
                <w:b w:val="0"/>
                <w:bCs w:val="0"/>
                <w:color w:val="auto"/>
                <w:sz w:val="21"/>
                <w:szCs w:val="21"/>
                <w:highlight w:val="none"/>
                <w:lang w:val="en-US" w:eastAsia="zh-CN"/>
              </w:rPr>
              <w:t>所需提供的证明材料</w:t>
            </w:r>
          </w:p>
        </w:tc>
      </w:tr>
      <w:tr w14:paraId="5CED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5F245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w:t>
            </w:r>
          </w:p>
        </w:tc>
        <w:tc>
          <w:tcPr>
            <w:tcW w:w="2470" w:type="dxa"/>
            <w:vAlign w:val="center"/>
          </w:tcPr>
          <w:p w14:paraId="7B172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b w:val="0"/>
                <w:bCs w:val="0"/>
                <w:color w:val="auto"/>
                <w:sz w:val="21"/>
                <w:szCs w:val="21"/>
                <w:highlight w:val="none"/>
                <w:u w:val="single"/>
                <w:vertAlign w:val="baseline"/>
                <w:lang w:val="en-US" w:eastAsia="zh-CN"/>
              </w:rPr>
              <w:t>▲支持本国产品</w:t>
            </w:r>
          </w:p>
        </w:tc>
        <w:tc>
          <w:tcPr>
            <w:tcW w:w="7691" w:type="dxa"/>
            <w:vAlign w:val="center"/>
          </w:tcPr>
          <w:p w14:paraId="61814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本项目采购本国生产的货物、工程和服务，不允许采购进口产品</w:t>
            </w:r>
          </w:p>
        </w:tc>
        <w:tc>
          <w:tcPr>
            <w:tcW w:w="3950" w:type="dxa"/>
            <w:vAlign w:val="center"/>
          </w:tcPr>
          <w:p w14:paraId="75B65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无须提供证明材料</w:t>
            </w:r>
          </w:p>
        </w:tc>
      </w:tr>
      <w:tr w14:paraId="53D5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0B9EE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w:t>
            </w:r>
          </w:p>
        </w:tc>
        <w:tc>
          <w:tcPr>
            <w:tcW w:w="2470" w:type="dxa"/>
            <w:shd w:val="clear" w:color="auto" w:fill="auto"/>
            <w:vAlign w:val="center"/>
          </w:tcPr>
          <w:p w14:paraId="643D7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支持绿色发展</w:t>
            </w:r>
          </w:p>
          <w:p w14:paraId="66FEB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（强制采购节能产品）</w:t>
            </w:r>
          </w:p>
        </w:tc>
        <w:tc>
          <w:tcPr>
            <w:tcW w:w="7691" w:type="dxa"/>
            <w:vAlign w:val="center"/>
          </w:tcPr>
          <w:p w14:paraId="7A6AB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lang w:val="en-US" w:eastAsia="zh-CN" w:bidi="ar-SA"/>
              </w:rPr>
              <w:t>本项目不涉及强制节能产品</w:t>
            </w:r>
          </w:p>
        </w:tc>
        <w:tc>
          <w:tcPr>
            <w:tcW w:w="3950" w:type="dxa"/>
            <w:vAlign w:val="center"/>
          </w:tcPr>
          <w:p w14:paraId="49CFF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无须提供证明材料</w:t>
            </w:r>
          </w:p>
        </w:tc>
      </w:tr>
      <w:tr w14:paraId="33C7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150D8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3</w:t>
            </w:r>
          </w:p>
        </w:tc>
        <w:tc>
          <w:tcPr>
            <w:tcW w:w="2470" w:type="dxa"/>
            <w:shd w:val="clear" w:color="auto" w:fill="auto"/>
            <w:vAlign w:val="center"/>
          </w:tcPr>
          <w:p w14:paraId="25B9E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支持绿色发展</w:t>
            </w:r>
          </w:p>
          <w:p w14:paraId="16D98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（优先采购节能）</w:t>
            </w:r>
          </w:p>
        </w:tc>
        <w:tc>
          <w:tcPr>
            <w:tcW w:w="7691" w:type="dxa"/>
            <w:vAlign w:val="center"/>
          </w:tcPr>
          <w:p w14:paraId="14C9D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snapToGrid w:val="0"/>
                <w:color w:val="auto"/>
                <w:kern w:val="0"/>
                <w:sz w:val="21"/>
                <w:szCs w:val="21"/>
                <w:highlight w:val="none"/>
                <w:lang w:val="zh-CN" w:eastAsia="zh-CN" w:bidi="ar-SA"/>
              </w:rPr>
              <w:t>本项目不涉及节能产品</w:t>
            </w:r>
          </w:p>
        </w:tc>
        <w:tc>
          <w:tcPr>
            <w:tcW w:w="3950" w:type="dxa"/>
            <w:vAlign w:val="center"/>
          </w:tcPr>
          <w:p w14:paraId="05945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无须提供证明材料</w:t>
            </w:r>
          </w:p>
        </w:tc>
      </w:tr>
      <w:tr w14:paraId="3374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5D160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w:t>
            </w:r>
          </w:p>
        </w:tc>
        <w:tc>
          <w:tcPr>
            <w:tcW w:w="2470" w:type="dxa"/>
            <w:shd w:val="clear" w:color="auto" w:fill="auto"/>
            <w:vAlign w:val="center"/>
          </w:tcPr>
          <w:p w14:paraId="5F6F4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支持绿色发展</w:t>
            </w:r>
          </w:p>
          <w:p w14:paraId="42439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（优先采购环保产品）</w:t>
            </w:r>
          </w:p>
        </w:tc>
        <w:tc>
          <w:tcPr>
            <w:tcW w:w="7691" w:type="dxa"/>
            <w:vAlign w:val="center"/>
          </w:tcPr>
          <w:p w14:paraId="61DEC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snapToGrid w:val="0"/>
                <w:color w:val="auto"/>
                <w:kern w:val="0"/>
                <w:sz w:val="21"/>
                <w:szCs w:val="21"/>
                <w:highlight w:val="none"/>
                <w:lang w:val="zh-CN" w:eastAsia="zh-CN" w:bidi="ar-SA"/>
              </w:rPr>
              <w:t>本项目不涉及环境标志产品</w:t>
            </w:r>
          </w:p>
        </w:tc>
        <w:tc>
          <w:tcPr>
            <w:tcW w:w="3950" w:type="dxa"/>
            <w:vAlign w:val="center"/>
          </w:tcPr>
          <w:p w14:paraId="7DFE8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无须提供证明材料</w:t>
            </w:r>
          </w:p>
        </w:tc>
      </w:tr>
      <w:tr w14:paraId="262D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0E9CC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5</w:t>
            </w:r>
          </w:p>
        </w:tc>
        <w:tc>
          <w:tcPr>
            <w:tcW w:w="2470" w:type="dxa"/>
            <w:shd w:val="clear" w:color="auto" w:fill="auto"/>
            <w:vAlign w:val="center"/>
          </w:tcPr>
          <w:p w14:paraId="29BEF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政府采购支持绿色建材，促进建筑品质提升政策</w:t>
            </w:r>
          </w:p>
        </w:tc>
        <w:tc>
          <w:tcPr>
            <w:tcW w:w="7691" w:type="dxa"/>
            <w:vAlign w:val="center"/>
          </w:tcPr>
          <w:p w14:paraId="73501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lang w:val="zh-CN" w:eastAsia="zh-CN" w:bidi="ar-SA"/>
              </w:rPr>
            </w:pPr>
            <w:r>
              <w:rPr>
                <w:rFonts w:hint="eastAsia" w:ascii="宋体" w:hAnsi="宋体" w:eastAsia="宋体" w:cs="宋体"/>
                <w:b w:val="0"/>
                <w:bCs w:val="0"/>
                <w:snapToGrid w:val="0"/>
                <w:color w:val="auto"/>
                <w:kern w:val="0"/>
                <w:sz w:val="21"/>
                <w:szCs w:val="21"/>
                <w:highlight w:val="none"/>
                <w:lang w:val="zh-CN" w:eastAsia="zh-CN" w:bidi="ar-SA"/>
              </w:rPr>
              <w:t>本项目</w:t>
            </w:r>
            <w:r>
              <w:rPr>
                <w:rFonts w:hint="eastAsia" w:ascii="宋体" w:hAnsi="宋体" w:eastAsia="宋体" w:cs="宋体"/>
                <w:b w:val="0"/>
                <w:bCs w:val="0"/>
                <w:snapToGrid w:val="0"/>
                <w:color w:val="auto"/>
                <w:kern w:val="0"/>
                <w:sz w:val="21"/>
                <w:szCs w:val="21"/>
                <w:highlight w:val="none"/>
                <w:lang w:val="en-US" w:eastAsia="zh-CN" w:bidi="ar-SA"/>
              </w:rPr>
              <w:t>不属于政府采购工程项目</w:t>
            </w:r>
          </w:p>
        </w:tc>
        <w:tc>
          <w:tcPr>
            <w:tcW w:w="3950" w:type="dxa"/>
            <w:vAlign w:val="center"/>
          </w:tcPr>
          <w:p w14:paraId="10B99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lang w:val="zh-CN" w:eastAsia="zh-CN" w:bidi="ar-SA"/>
              </w:rPr>
            </w:pPr>
            <w:r>
              <w:rPr>
                <w:rFonts w:hint="eastAsia" w:ascii="宋体" w:hAnsi="宋体" w:eastAsia="宋体" w:cs="宋体"/>
                <w:b w:val="0"/>
                <w:bCs w:val="0"/>
                <w:color w:val="auto"/>
                <w:sz w:val="21"/>
                <w:szCs w:val="21"/>
                <w:highlight w:val="none"/>
                <w:u w:val="none"/>
                <w:vertAlign w:val="baseline"/>
                <w:lang w:val="en-US" w:eastAsia="zh-CN"/>
              </w:rPr>
              <w:t>无须提供证明材料</w:t>
            </w:r>
          </w:p>
        </w:tc>
      </w:tr>
      <w:tr w14:paraId="5D5F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7473E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6</w:t>
            </w:r>
          </w:p>
        </w:tc>
        <w:tc>
          <w:tcPr>
            <w:tcW w:w="2470" w:type="dxa"/>
            <w:shd w:val="clear" w:color="auto" w:fill="auto"/>
            <w:vAlign w:val="center"/>
          </w:tcPr>
          <w:p w14:paraId="719C2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落实《商品包装政府采购需求标准（试行）》、《快递包装政府采购需求标准（试行）》</w:t>
            </w:r>
          </w:p>
        </w:tc>
        <w:tc>
          <w:tcPr>
            <w:tcW w:w="7691" w:type="dxa"/>
            <w:vAlign w:val="center"/>
          </w:tcPr>
          <w:p w14:paraId="32085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napToGrid w:val="0"/>
                <w:color w:val="auto"/>
                <w:kern w:val="0"/>
                <w:sz w:val="21"/>
                <w:szCs w:val="21"/>
                <w:highlight w:val="none"/>
                <w:lang w:val="zh-CN" w:eastAsia="zh-CN" w:bidi="ar-SA"/>
              </w:rPr>
            </w:pPr>
            <w:r>
              <w:rPr>
                <w:rFonts w:hint="eastAsia" w:ascii="宋体" w:hAnsi="宋体" w:eastAsia="宋体" w:cs="宋体"/>
                <w:b w:val="0"/>
                <w:bCs w:val="0"/>
                <w:snapToGrid w:val="0"/>
                <w:color w:val="auto"/>
                <w:kern w:val="0"/>
                <w:sz w:val="21"/>
                <w:szCs w:val="21"/>
                <w:highlight w:val="none"/>
                <w:lang w:val="zh-CN" w:eastAsia="zh-CN" w:bidi="ar-SA"/>
              </w:rPr>
              <w:t>本项目不涉及商品包装和快递包装</w:t>
            </w:r>
          </w:p>
        </w:tc>
        <w:tc>
          <w:tcPr>
            <w:tcW w:w="3950" w:type="dxa"/>
            <w:vAlign w:val="center"/>
          </w:tcPr>
          <w:p w14:paraId="25224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无须提供证明材料</w:t>
            </w:r>
          </w:p>
        </w:tc>
      </w:tr>
      <w:tr w14:paraId="149F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10965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7</w:t>
            </w:r>
          </w:p>
        </w:tc>
        <w:tc>
          <w:tcPr>
            <w:tcW w:w="2470" w:type="dxa"/>
            <w:shd w:val="clear" w:color="auto" w:fill="auto"/>
            <w:vAlign w:val="center"/>
          </w:tcPr>
          <w:p w14:paraId="573FD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支持创新</w:t>
            </w:r>
          </w:p>
        </w:tc>
        <w:tc>
          <w:tcPr>
            <w:tcW w:w="7691" w:type="dxa"/>
            <w:vAlign w:val="center"/>
          </w:tcPr>
          <w:p w14:paraId="71A90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本项目落实</w:t>
            </w:r>
            <w:r>
              <w:rPr>
                <w:rFonts w:hint="eastAsia" w:ascii="宋体" w:hAnsi="宋体" w:cs="宋体"/>
                <w:b w:val="0"/>
                <w:bCs w:val="0"/>
                <w:color w:val="auto"/>
                <w:sz w:val="21"/>
                <w:szCs w:val="21"/>
                <w:highlight w:val="none"/>
                <w:u w:val="none"/>
                <w:vertAlign w:val="baseline"/>
                <w:lang w:val="en-US" w:eastAsia="zh-CN"/>
              </w:rPr>
              <w:t>《</w:t>
            </w:r>
            <w:r>
              <w:rPr>
                <w:rFonts w:hint="eastAsia" w:ascii="宋体" w:hAnsi="宋体" w:eastAsia="宋体" w:cs="宋体"/>
                <w:b w:val="0"/>
                <w:bCs w:val="0"/>
                <w:color w:val="auto"/>
                <w:sz w:val="21"/>
                <w:szCs w:val="21"/>
                <w:highlight w:val="none"/>
                <w:u w:val="none"/>
                <w:vertAlign w:val="baseline"/>
                <w:lang w:val="en-US" w:eastAsia="zh-CN"/>
              </w:rPr>
              <w:t>浙江省财政厅关于进一步加大政府采购支持中小企业力度助力扎实稳住经济的通知</w:t>
            </w:r>
            <w:r>
              <w:rPr>
                <w:rFonts w:hint="eastAsia" w:ascii="宋体" w:hAnsi="宋体" w:cs="宋体"/>
                <w:b w:val="0"/>
                <w:bCs w:val="0"/>
                <w:color w:val="auto"/>
                <w:sz w:val="21"/>
                <w:szCs w:val="21"/>
                <w:highlight w:val="none"/>
                <w:u w:val="none"/>
                <w:vertAlign w:val="baseline"/>
                <w:lang w:val="en-US" w:eastAsia="zh-CN"/>
              </w:rPr>
              <w:t>》浙财采监[2022]8号</w:t>
            </w:r>
            <w:r>
              <w:rPr>
                <w:rFonts w:hint="eastAsia" w:ascii="宋体" w:hAnsi="宋体" w:eastAsia="宋体" w:cs="宋体"/>
                <w:b w:val="0"/>
                <w:bCs w:val="0"/>
                <w:color w:val="auto"/>
                <w:sz w:val="21"/>
                <w:szCs w:val="21"/>
                <w:highlight w:val="none"/>
                <w:u w:val="none"/>
                <w:vertAlign w:val="baseline"/>
                <w:lang w:val="en-US" w:eastAsia="zh-CN"/>
              </w:rPr>
              <w:t>。对省级以上主管部门认定的首台套产品，自纳入《省推广应用指导目录》起三年内视同已具备相应销售业绩，参加政府采购活动时业绩分值为满分。</w:t>
            </w:r>
          </w:p>
        </w:tc>
        <w:tc>
          <w:tcPr>
            <w:tcW w:w="3950" w:type="dxa"/>
            <w:vAlign w:val="center"/>
          </w:tcPr>
          <w:p w14:paraId="4A720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提供所投</w:t>
            </w:r>
            <w:r>
              <w:rPr>
                <w:rFonts w:hint="eastAsia" w:ascii="宋体" w:hAnsi="宋体" w:cs="宋体"/>
                <w:b w:val="0"/>
                <w:bCs w:val="0"/>
                <w:color w:val="auto"/>
                <w:sz w:val="21"/>
                <w:szCs w:val="21"/>
                <w:highlight w:val="none"/>
                <w:u w:val="none"/>
                <w:vertAlign w:val="baseline"/>
                <w:lang w:val="en-US" w:eastAsia="zh-CN"/>
              </w:rPr>
              <w:t>产品</w:t>
            </w:r>
            <w:r>
              <w:rPr>
                <w:rFonts w:hint="eastAsia" w:ascii="宋体" w:hAnsi="宋体" w:eastAsia="宋体" w:cs="宋体"/>
                <w:b w:val="0"/>
                <w:bCs w:val="0"/>
                <w:color w:val="auto"/>
                <w:sz w:val="21"/>
                <w:szCs w:val="21"/>
                <w:highlight w:val="none"/>
                <w:u w:val="none"/>
                <w:vertAlign w:val="baseline"/>
                <w:lang w:val="en-US" w:eastAsia="zh-CN"/>
              </w:rPr>
              <w:t>纳入《省推广应用指导目录》的证明材料</w:t>
            </w:r>
          </w:p>
        </w:tc>
      </w:tr>
      <w:tr w14:paraId="013A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1A444E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8</w:t>
            </w:r>
          </w:p>
        </w:tc>
        <w:tc>
          <w:tcPr>
            <w:tcW w:w="2470" w:type="dxa"/>
            <w:shd w:val="clear" w:color="auto" w:fill="auto"/>
            <w:vAlign w:val="center"/>
          </w:tcPr>
          <w:p w14:paraId="53EF3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b w:val="0"/>
                <w:bCs w:val="0"/>
                <w:color w:val="auto"/>
                <w:sz w:val="21"/>
                <w:szCs w:val="21"/>
                <w:highlight w:val="none"/>
                <w:u w:val="single"/>
                <w:vertAlign w:val="baseline"/>
                <w:lang w:val="en-US" w:eastAsia="zh-CN"/>
              </w:rPr>
              <w:t>★促进中小企业发展</w:t>
            </w:r>
          </w:p>
        </w:tc>
        <w:tc>
          <w:tcPr>
            <w:tcW w:w="7691" w:type="dxa"/>
            <w:vAlign w:val="center"/>
          </w:tcPr>
          <w:p w14:paraId="0FA93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本项目</w:t>
            </w:r>
            <w:r>
              <w:rPr>
                <w:rFonts w:hint="eastAsia" w:ascii="宋体" w:hAnsi="宋体" w:cs="宋体"/>
                <w:b w:val="0"/>
                <w:bCs w:val="0"/>
                <w:color w:val="auto"/>
                <w:sz w:val="21"/>
                <w:szCs w:val="21"/>
                <w:highlight w:val="none"/>
                <w:u w:val="none"/>
                <w:vertAlign w:val="baseline"/>
                <w:lang w:val="en-US" w:eastAsia="zh-CN"/>
              </w:rPr>
              <w:t>不属于</w:t>
            </w:r>
            <w:r>
              <w:rPr>
                <w:rFonts w:hint="eastAsia" w:ascii="宋体" w:hAnsi="宋体" w:eastAsia="宋体" w:cs="宋体"/>
                <w:b w:val="0"/>
                <w:bCs w:val="0"/>
                <w:color w:val="auto"/>
                <w:sz w:val="21"/>
                <w:szCs w:val="21"/>
                <w:highlight w:val="none"/>
                <w:u w:val="none"/>
                <w:vertAlign w:val="baseline"/>
                <w:lang w:val="en-US" w:eastAsia="zh-CN"/>
              </w:rPr>
              <w:t>预留份额专门面向中小企业采购项目，【根据《政府采购促进中小企业发展管理办法》（财库〔2020〕46号）和《财政部关于进一步加大政府采购支持中小企业力度的通知》（财库〔2022〕19号）有关规定，本项目对符合规定的小微企业报价按优惠幅度10%给予扣除，用扣除后的价格参加评审】。</w:t>
            </w:r>
          </w:p>
        </w:tc>
        <w:tc>
          <w:tcPr>
            <w:tcW w:w="3950" w:type="dxa"/>
            <w:vAlign w:val="center"/>
          </w:tcPr>
          <w:p w14:paraId="1E81B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snapToGrid w:val="0"/>
                <w:sz w:val="21"/>
                <w:szCs w:val="21"/>
                <w:highlight w:val="none"/>
              </w:rPr>
              <w:t>供应商</w:t>
            </w:r>
            <w:r>
              <w:rPr>
                <w:rFonts w:hint="eastAsia" w:ascii="宋体" w:hAnsi="宋体" w:eastAsia="宋体" w:cs="宋体"/>
                <w:b w:val="0"/>
                <w:bCs w:val="0"/>
                <w:sz w:val="21"/>
                <w:szCs w:val="21"/>
                <w:highlight w:val="none"/>
                <w:lang w:val="zh-CN"/>
              </w:rPr>
              <w:t>须在</w:t>
            </w:r>
            <w:r>
              <w:rPr>
                <w:rFonts w:hint="eastAsia" w:ascii="宋体" w:hAnsi="宋体" w:eastAsia="宋体" w:cs="宋体"/>
                <w:b w:val="0"/>
                <w:bCs w:val="0"/>
                <w:kern w:val="0"/>
                <w:sz w:val="21"/>
                <w:szCs w:val="21"/>
                <w:highlight w:val="none"/>
              </w:rPr>
              <w:t>投标文件</w:t>
            </w:r>
            <w:r>
              <w:rPr>
                <w:rFonts w:hint="eastAsia" w:ascii="宋体" w:hAnsi="宋体" w:cs="宋体"/>
                <w:b/>
                <w:bCs/>
                <w:kern w:val="0"/>
                <w:sz w:val="21"/>
                <w:szCs w:val="21"/>
                <w:highlight w:val="none"/>
                <w:u w:val="single"/>
                <w:lang w:val="en-US" w:eastAsia="zh-CN"/>
              </w:rPr>
              <w:t>报价</w:t>
            </w:r>
            <w:r>
              <w:rPr>
                <w:rFonts w:hint="eastAsia" w:ascii="宋体" w:hAnsi="宋体" w:eastAsia="宋体" w:cs="宋体"/>
                <w:b/>
                <w:bCs/>
                <w:kern w:val="0"/>
                <w:sz w:val="21"/>
                <w:szCs w:val="21"/>
                <w:highlight w:val="none"/>
                <w:u w:val="single"/>
                <w:lang w:val="en-US" w:eastAsia="zh-CN"/>
              </w:rPr>
              <w:t>文件</w:t>
            </w:r>
            <w:r>
              <w:rPr>
                <w:rFonts w:hint="eastAsia" w:ascii="宋体" w:hAnsi="宋体" w:eastAsia="宋体" w:cs="宋体"/>
                <w:b w:val="0"/>
                <w:bCs w:val="0"/>
                <w:kern w:val="0"/>
                <w:sz w:val="21"/>
                <w:szCs w:val="21"/>
                <w:highlight w:val="none"/>
              </w:rPr>
              <w:t>中</w:t>
            </w:r>
            <w:r>
              <w:rPr>
                <w:rFonts w:hint="eastAsia" w:ascii="宋体" w:hAnsi="宋体" w:eastAsia="宋体" w:cs="宋体"/>
                <w:b w:val="0"/>
                <w:bCs w:val="0"/>
                <w:sz w:val="21"/>
                <w:szCs w:val="21"/>
                <w:highlight w:val="none"/>
                <w:lang w:val="zh-CN"/>
              </w:rPr>
              <w:t>出具中小企业声明函</w:t>
            </w:r>
            <w:r>
              <w:rPr>
                <w:rFonts w:hint="eastAsia" w:ascii="宋体" w:hAnsi="宋体" w:eastAsia="宋体" w:cs="宋体"/>
                <w:b w:val="0"/>
                <w:bCs w:val="0"/>
                <w:sz w:val="21"/>
                <w:szCs w:val="21"/>
                <w:highlight w:val="none"/>
              </w:rPr>
              <w:t>（详见第五章应提交的有关格式范例）</w:t>
            </w:r>
          </w:p>
        </w:tc>
      </w:tr>
      <w:tr w14:paraId="22D3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60E37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9</w:t>
            </w:r>
          </w:p>
        </w:tc>
        <w:tc>
          <w:tcPr>
            <w:tcW w:w="2470" w:type="dxa"/>
            <w:shd w:val="clear" w:color="auto" w:fill="auto"/>
            <w:vAlign w:val="center"/>
          </w:tcPr>
          <w:p w14:paraId="6E88C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b w:val="0"/>
                <w:bCs w:val="0"/>
                <w:color w:val="auto"/>
                <w:sz w:val="21"/>
                <w:szCs w:val="21"/>
                <w:highlight w:val="none"/>
                <w:u w:val="single"/>
                <w:vertAlign w:val="baseline"/>
                <w:lang w:val="en-US" w:eastAsia="zh-CN"/>
              </w:rPr>
              <w:t>★支持监狱企业发展</w:t>
            </w:r>
          </w:p>
        </w:tc>
        <w:tc>
          <w:tcPr>
            <w:tcW w:w="7691" w:type="dxa"/>
            <w:vAlign w:val="center"/>
          </w:tcPr>
          <w:p w14:paraId="625C5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根据财政部、司法部关于政府采购支持监狱企业发展有关问题的通知（财库〔2014〕68号）的规定，监狱企业【提供《监狱企业声明函》（格式详见第五章“应提交的有关格式范例”）及由省级以上监狱管理局、戒毒管理局（含新疆生产建设兵团）出具的属于监狱企业的证明文件】视同小型、微型企业</w:t>
            </w:r>
          </w:p>
        </w:tc>
        <w:tc>
          <w:tcPr>
            <w:tcW w:w="3950" w:type="dxa"/>
            <w:vAlign w:val="center"/>
          </w:tcPr>
          <w:p w14:paraId="3D9CD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提供《监狱企业声明函》（格式详见第五章“应提交的有关格式范例”）及由省级以上监狱管理局、戒毒管理局（含新疆生产建设兵团）出具的属于监狱企业的证明文件</w:t>
            </w:r>
          </w:p>
        </w:tc>
      </w:tr>
      <w:tr w14:paraId="3655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2D90A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10</w:t>
            </w:r>
          </w:p>
        </w:tc>
        <w:tc>
          <w:tcPr>
            <w:tcW w:w="2470" w:type="dxa"/>
            <w:shd w:val="clear" w:color="auto" w:fill="auto"/>
            <w:vAlign w:val="center"/>
          </w:tcPr>
          <w:p w14:paraId="02F1D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b w:val="0"/>
                <w:bCs w:val="0"/>
                <w:color w:val="auto"/>
                <w:sz w:val="21"/>
                <w:szCs w:val="21"/>
                <w:highlight w:val="none"/>
                <w:u w:val="single"/>
                <w:vertAlign w:val="baseline"/>
                <w:lang w:val="en-US" w:eastAsia="zh-CN"/>
              </w:rPr>
              <w:t>★促进残疾人就业</w:t>
            </w:r>
          </w:p>
        </w:tc>
        <w:tc>
          <w:tcPr>
            <w:tcW w:w="7691" w:type="dxa"/>
            <w:vAlign w:val="center"/>
          </w:tcPr>
          <w:p w14:paraId="50CD6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lang w:val="zh-CN" w:eastAsia="zh-CN" w:bidi="ar-SA"/>
              </w:rPr>
              <w:t>根据财政部、民政部、中国残疾人联合会关于促进残疾人就业政府采购政策的通知（财库〔2017〕141号）的规定，残疾人福利性单位【提供《残疾人福利性单位声明函》（格式详见第五章“应提交的有关格式范例”）】视同小型、微型企业</w:t>
            </w:r>
          </w:p>
        </w:tc>
        <w:tc>
          <w:tcPr>
            <w:tcW w:w="3950" w:type="dxa"/>
            <w:vAlign w:val="center"/>
          </w:tcPr>
          <w:p w14:paraId="68F1E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lang w:val="zh-CN" w:eastAsia="zh-CN" w:bidi="ar-SA"/>
              </w:rPr>
              <w:t>提供《残疾人福利性单位声明函》（格式详见第五章“应提交的有关格式范例”）</w:t>
            </w:r>
          </w:p>
        </w:tc>
      </w:tr>
      <w:tr w14:paraId="5A8C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228E2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11</w:t>
            </w:r>
          </w:p>
        </w:tc>
        <w:tc>
          <w:tcPr>
            <w:tcW w:w="2470" w:type="dxa"/>
            <w:shd w:val="clear" w:color="auto" w:fill="auto"/>
            <w:vAlign w:val="center"/>
          </w:tcPr>
          <w:p w14:paraId="6699B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b w:val="0"/>
                <w:bCs w:val="0"/>
                <w:color w:val="auto"/>
                <w:sz w:val="21"/>
                <w:szCs w:val="21"/>
                <w:highlight w:val="none"/>
                <w:u w:val="single"/>
                <w:vertAlign w:val="baseline"/>
                <w:lang w:val="en-US" w:eastAsia="zh-CN"/>
              </w:rPr>
              <w:t>★</w:t>
            </w:r>
            <w:r>
              <w:rPr>
                <w:rFonts w:hint="eastAsia" w:ascii="宋体" w:hAnsi="宋体" w:eastAsia="宋体" w:cs="宋体"/>
                <w:b w:val="0"/>
                <w:bCs w:val="0"/>
                <w:snapToGrid w:val="0"/>
                <w:color w:val="auto"/>
                <w:kern w:val="0"/>
                <w:sz w:val="21"/>
                <w:szCs w:val="21"/>
                <w:highlight w:val="none"/>
                <w:u w:val="single"/>
                <w:lang w:val="en-US" w:eastAsia="zh-CN" w:bidi="ar-SA"/>
              </w:rPr>
              <w:t>政府采购本国产品标准及相关政策</w:t>
            </w:r>
          </w:p>
        </w:tc>
        <w:tc>
          <w:tcPr>
            <w:tcW w:w="7691" w:type="dxa"/>
            <w:vAlign w:val="center"/>
          </w:tcPr>
          <w:p w14:paraId="3FD91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政府采购活动中既有本国产品又有非本国产品参与竞争的，依法对本国产品的报价给予20%的价格扣除，用扣除后的价格参与评审。</w:t>
            </w:r>
          </w:p>
        </w:tc>
        <w:tc>
          <w:tcPr>
            <w:tcW w:w="3950" w:type="dxa"/>
            <w:vAlign w:val="center"/>
          </w:tcPr>
          <w:p w14:paraId="680F3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供应商为享受政策加分需要提供的证明材料为《关于符合本国产品标准的声明函》(详见第五章应提交的有关格式范例)或财政部会同有关部门规定的有关证明文件。</w:t>
            </w:r>
          </w:p>
        </w:tc>
      </w:tr>
    </w:tbl>
    <w:p w14:paraId="0C865A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sz w:val="24"/>
          <w:szCs w:val="24"/>
          <w:highlight w:val="none"/>
          <w:u w:val="none"/>
          <w:lang w:val="en-US" w:eastAsia="zh-CN"/>
        </w:rPr>
        <w:sectPr>
          <w:pgSz w:w="16838" w:h="11906" w:orient="landscape"/>
          <w:pgMar w:top="1134" w:right="1134" w:bottom="1134" w:left="1134" w:header="851" w:footer="850" w:gutter="0"/>
          <w:pgNumType w:fmt="decimal"/>
          <w:cols w:space="425" w:num="1"/>
          <w:docGrid w:type="lines" w:linePitch="312" w:charSpace="0"/>
        </w:sectPr>
      </w:pPr>
    </w:p>
    <w:p w14:paraId="771FC11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二、采购标的及所属行业</w:t>
      </w:r>
    </w:p>
    <w:p w14:paraId="0B4571E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本项目采购内容、采购标的及所属行业详见下表：</w:t>
      </w:r>
    </w:p>
    <w:tbl>
      <w:tblPr>
        <w:tblStyle w:val="2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383"/>
        <w:gridCol w:w="825"/>
        <w:gridCol w:w="851"/>
        <w:gridCol w:w="2850"/>
      </w:tblGrid>
      <w:tr w14:paraId="2953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79DA88C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4383" w:type="dxa"/>
            <w:noWrap w:val="0"/>
            <w:vAlign w:val="center"/>
          </w:tcPr>
          <w:p w14:paraId="2B4F810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采购标的</w:t>
            </w:r>
          </w:p>
        </w:tc>
        <w:tc>
          <w:tcPr>
            <w:tcW w:w="825" w:type="dxa"/>
            <w:noWrap w:val="0"/>
            <w:vAlign w:val="center"/>
          </w:tcPr>
          <w:p w14:paraId="188A762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数量</w:t>
            </w:r>
          </w:p>
        </w:tc>
        <w:tc>
          <w:tcPr>
            <w:tcW w:w="851" w:type="dxa"/>
            <w:noWrap w:val="0"/>
            <w:vAlign w:val="center"/>
          </w:tcPr>
          <w:p w14:paraId="2F7A465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w:t>
            </w:r>
          </w:p>
        </w:tc>
        <w:tc>
          <w:tcPr>
            <w:tcW w:w="2850" w:type="dxa"/>
            <w:noWrap w:val="0"/>
            <w:vAlign w:val="center"/>
          </w:tcPr>
          <w:p w14:paraId="0FDE66BE">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采购标的所属行业</w:t>
            </w:r>
          </w:p>
        </w:tc>
      </w:tr>
      <w:tr w14:paraId="63D2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633D91B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4383" w:type="dxa"/>
            <w:noWrap w:val="0"/>
            <w:vAlign w:val="top"/>
          </w:tcPr>
          <w:p w14:paraId="256CCC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互联网防火墙</w:t>
            </w:r>
          </w:p>
        </w:tc>
        <w:tc>
          <w:tcPr>
            <w:tcW w:w="825" w:type="dxa"/>
            <w:noWrap w:val="0"/>
            <w:vAlign w:val="top"/>
          </w:tcPr>
          <w:p w14:paraId="454DC6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1</w:t>
            </w:r>
          </w:p>
        </w:tc>
        <w:tc>
          <w:tcPr>
            <w:tcW w:w="851" w:type="dxa"/>
            <w:noWrap w:val="0"/>
            <w:vAlign w:val="top"/>
          </w:tcPr>
          <w:p w14:paraId="377949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162F4B4E">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bidi="ar-SA"/>
              </w:rPr>
              <w:t>工业</w:t>
            </w:r>
          </w:p>
        </w:tc>
      </w:tr>
      <w:tr w14:paraId="1D3F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02A8B91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4383" w:type="dxa"/>
            <w:noWrap w:val="0"/>
            <w:vAlign w:val="center"/>
          </w:tcPr>
          <w:p w14:paraId="37AE0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APT</w:t>
            </w:r>
          </w:p>
        </w:tc>
        <w:tc>
          <w:tcPr>
            <w:tcW w:w="825" w:type="dxa"/>
            <w:noWrap w:val="0"/>
            <w:vAlign w:val="top"/>
          </w:tcPr>
          <w:p w14:paraId="663835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1</w:t>
            </w:r>
          </w:p>
        </w:tc>
        <w:tc>
          <w:tcPr>
            <w:tcW w:w="851" w:type="dxa"/>
            <w:noWrap w:val="0"/>
            <w:vAlign w:val="top"/>
          </w:tcPr>
          <w:p w14:paraId="1529F9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2C5141C3">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6055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03A34AD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4383" w:type="dxa"/>
            <w:noWrap w:val="0"/>
            <w:vAlign w:val="center"/>
          </w:tcPr>
          <w:p w14:paraId="694748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日志审计</w:t>
            </w:r>
          </w:p>
        </w:tc>
        <w:tc>
          <w:tcPr>
            <w:tcW w:w="825" w:type="dxa"/>
            <w:noWrap w:val="0"/>
            <w:vAlign w:val="top"/>
          </w:tcPr>
          <w:p w14:paraId="4A79BF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1</w:t>
            </w:r>
          </w:p>
        </w:tc>
        <w:tc>
          <w:tcPr>
            <w:tcW w:w="851" w:type="dxa"/>
            <w:noWrap w:val="0"/>
            <w:vAlign w:val="top"/>
          </w:tcPr>
          <w:p w14:paraId="6E4B5A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1FA9301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78B4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20D3D8E1">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4383" w:type="dxa"/>
            <w:noWrap w:val="0"/>
            <w:vAlign w:val="center"/>
          </w:tcPr>
          <w:p w14:paraId="66CE1A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网闸</w:t>
            </w:r>
          </w:p>
        </w:tc>
        <w:tc>
          <w:tcPr>
            <w:tcW w:w="825" w:type="dxa"/>
            <w:noWrap w:val="0"/>
            <w:vAlign w:val="top"/>
          </w:tcPr>
          <w:p w14:paraId="47CA9E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1</w:t>
            </w:r>
          </w:p>
        </w:tc>
        <w:tc>
          <w:tcPr>
            <w:tcW w:w="851" w:type="dxa"/>
            <w:noWrap w:val="0"/>
            <w:vAlign w:val="top"/>
          </w:tcPr>
          <w:p w14:paraId="3B8817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7B3A654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1355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2891F51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383" w:type="dxa"/>
            <w:noWrap w:val="0"/>
            <w:vAlign w:val="center"/>
          </w:tcPr>
          <w:p w14:paraId="5AEBF5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汇聚交换机</w:t>
            </w:r>
          </w:p>
        </w:tc>
        <w:tc>
          <w:tcPr>
            <w:tcW w:w="825" w:type="dxa"/>
            <w:noWrap w:val="0"/>
            <w:vAlign w:val="top"/>
          </w:tcPr>
          <w:p w14:paraId="0E4B5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1</w:t>
            </w:r>
          </w:p>
        </w:tc>
        <w:tc>
          <w:tcPr>
            <w:tcW w:w="851" w:type="dxa"/>
            <w:noWrap w:val="0"/>
            <w:vAlign w:val="top"/>
          </w:tcPr>
          <w:p w14:paraId="4FAF3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0F053D4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617C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517A5B7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4383" w:type="dxa"/>
            <w:noWrap w:val="0"/>
            <w:vAlign w:val="center"/>
          </w:tcPr>
          <w:p w14:paraId="0A4BAE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数据库审计系统</w:t>
            </w:r>
          </w:p>
        </w:tc>
        <w:tc>
          <w:tcPr>
            <w:tcW w:w="825" w:type="dxa"/>
            <w:noWrap w:val="0"/>
            <w:vAlign w:val="top"/>
          </w:tcPr>
          <w:p w14:paraId="4EB1C5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1</w:t>
            </w:r>
          </w:p>
        </w:tc>
        <w:tc>
          <w:tcPr>
            <w:tcW w:w="851" w:type="dxa"/>
            <w:noWrap w:val="0"/>
            <w:vAlign w:val="top"/>
          </w:tcPr>
          <w:p w14:paraId="5B0ADE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0A81350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0EF8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3DF7EC9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4383" w:type="dxa"/>
            <w:noWrap w:val="0"/>
            <w:vAlign w:val="center"/>
          </w:tcPr>
          <w:p w14:paraId="2E2B12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卫生专网防火墙</w:t>
            </w:r>
          </w:p>
        </w:tc>
        <w:tc>
          <w:tcPr>
            <w:tcW w:w="825" w:type="dxa"/>
            <w:noWrap w:val="0"/>
            <w:vAlign w:val="top"/>
          </w:tcPr>
          <w:p w14:paraId="399055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1</w:t>
            </w:r>
          </w:p>
        </w:tc>
        <w:tc>
          <w:tcPr>
            <w:tcW w:w="851" w:type="dxa"/>
            <w:noWrap w:val="0"/>
            <w:vAlign w:val="top"/>
          </w:tcPr>
          <w:p w14:paraId="270F99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72BB9CC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5323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4F8301A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w:t>
            </w:r>
          </w:p>
        </w:tc>
        <w:tc>
          <w:tcPr>
            <w:tcW w:w="4383" w:type="dxa"/>
            <w:noWrap w:val="0"/>
            <w:vAlign w:val="center"/>
          </w:tcPr>
          <w:p w14:paraId="46CF87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API风险监测</w:t>
            </w:r>
          </w:p>
        </w:tc>
        <w:tc>
          <w:tcPr>
            <w:tcW w:w="825" w:type="dxa"/>
            <w:noWrap w:val="0"/>
            <w:vAlign w:val="top"/>
          </w:tcPr>
          <w:p w14:paraId="7589B1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2</w:t>
            </w:r>
          </w:p>
        </w:tc>
        <w:tc>
          <w:tcPr>
            <w:tcW w:w="851" w:type="dxa"/>
            <w:noWrap w:val="0"/>
            <w:vAlign w:val="top"/>
          </w:tcPr>
          <w:p w14:paraId="518408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2B83304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6D52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4FC450D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c>
          <w:tcPr>
            <w:tcW w:w="4383" w:type="dxa"/>
            <w:noWrap w:val="0"/>
            <w:vAlign w:val="center"/>
          </w:tcPr>
          <w:p w14:paraId="375E53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DLP数据防泄漏</w:t>
            </w:r>
          </w:p>
        </w:tc>
        <w:tc>
          <w:tcPr>
            <w:tcW w:w="825" w:type="dxa"/>
            <w:noWrap w:val="0"/>
            <w:vAlign w:val="top"/>
          </w:tcPr>
          <w:p w14:paraId="7F67CA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2</w:t>
            </w:r>
          </w:p>
        </w:tc>
        <w:tc>
          <w:tcPr>
            <w:tcW w:w="851" w:type="dxa"/>
            <w:noWrap w:val="0"/>
            <w:vAlign w:val="top"/>
          </w:tcPr>
          <w:p w14:paraId="25B727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04B32DB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35D0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0C65F25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w:t>
            </w:r>
          </w:p>
        </w:tc>
        <w:tc>
          <w:tcPr>
            <w:tcW w:w="4383" w:type="dxa"/>
            <w:noWrap w:val="0"/>
            <w:vAlign w:val="center"/>
          </w:tcPr>
          <w:p w14:paraId="17C4B7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跨网数据交互</w:t>
            </w:r>
          </w:p>
        </w:tc>
        <w:tc>
          <w:tcPr>
            <w:tcW w:w="825" w:type="dxa"/>
            <w:noWrap w:val="0"/>
            <w:vAlign w:val="top"/>
          </w:tcPr>
          <w:p w14:paraId="5B67F0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2</w:t>
            </w:r>
          </w:p>
        </w:tc>
        <w:tc>
          <w:tcPr>
            <w:tcW w:w="851" w:type="dxa"/>
            <w:noWrap w:val="0"/>
            <w:vAlign w:val="top"/>
          </w:tcPr>
          <w:p w14:paraId="656948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套</w:t>
            </w:r>
          </w:p>
        </w:tc>
        <w:tc>
          <w:tcPr>
            <w:tcW w:w="2850" w:type="dxa"/>
            <w:noWrap w:val="0"/>
            <w:vAlign w:val="center"/>
          </w:tcPr>
          <w:p w14:paraId="72F9561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6914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72B7AA5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w:t>
            </w:r>
          </w:p>
        </w:tc>
        <w:tc>
          <w:tcPr>
            <w:tcW w:w="4383" w:type="dxa"/>
            <w:noWrap w:val="0"/>
            <w:vAlign w:val="center"/>
          </w:tcPr>
          <w:p w14:paraId="11EAA9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数据库管控平台</w:t>
            </w:r>
          </w:p>
        </w:tc>
        <w:tc>
          <w:tcPr>
            <w:tcW w:w="825" w:type="dxa"/>
            <w:noWrap w:val="0"/>
            <w:vAlign w:val="top"/>
          </w:tcPr>
          <w:p w14:paraId="06D741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2</w:t>
            </w:r>
          </w:p>
        </w:tc>
        <w:tc>
          <w:tcPr>
            <w:tcW w:w="851" w:type="dxa"/>
            <w:noWrap w:val="0"/>
            <w:vAlign w:val="top"/>
          </w:tcPr>
          <w:p w14:paraId="5052E6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6C72E9E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676A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02212E1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12</w:t>
            </w:r>
          </w:p>
        </w:tc>
        <w:tc>
          <w:tcPr>
            <w:tcW w:w="4383" w:type="dxa"/>
            <w:noWrap w:val="0"/>
            <w:vAlign w:val="center"/>
          </w:tcPr>
          <w:p w14:paraId="2A3999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API风险管控平台</w:t>
            </w:r>
          </w:p>
        </w:tc>
        <w:tc>
          <w:tcPr>
            <w:tcW w:w="825" w:type="dxa"/>
            <w:noWrap w:val="0"/>
            <w:vAlign w:val="top"/>
          </w:tcPr>
          <w:p w14:paraId="06DB3B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2</w:t>
            </w:r>
          </w:p>
        </w:tc>
        <w:tc>
          <w:tcPr>
            <w:tcW w:w="851" w:type="dxa"/>
            <w:noWrap w:val="0"/>
            <w:vAlign w:val="top"/>
          </w:tcPr>
          <w:p w14:paraId="6393F1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6A1036E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r w14:paraId="15C0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noWrap w:val="0"/>
            <w:vAlign w:val="center"/>
          </w:tcPr>
          <w:p w14:paraId="7317C51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13</w:t>
            </w:r>
          </w:p>
        </w:tc>
        <w:tc>
          <w:tcPr>
            <w:tcW w:w="4383" w:type="dxa"/>
            <w:noWrap w:val="0"/>
            <w:vAlign w:val="center"/>
          </w:tcPr>
          <w:p w14:paraId="7AA2BD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数据安全管理平台</w:t>
            </w:r>
          </w:p>
        </w:tc>
        <w:tc>
          <w:tcPr>
            <w:tcW w:w="825" w:type="dxa"/>
            <w:noWrap w:val="0"/>
            <w:vAlign w:val="top"/>
          </w:tcPr>
          <w:p w14:paraId="3724E7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1</w:t>
            </w:r>
          </w:p>
        </w:tc>
        <w:tc>
          <w:tcPr>
            <w:tcW w:w="851" w:type="dxa"/>
            <w:noWrap w:val="0"/>
            <w:vAlign w:val="top"/>
          </w:tcPr>
          <w:p w14:paraId="5290D7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Theme="minorEastAsia" w:hAnsiTheme="minorEastAsia" w:cstheme="minorEastAsia"/>
                <w:b w:val="0"/>
                <w:bCs/>
                <w:sz w:val="24"/>
                <w:szCs w:val="24"/>
                <w:highlight w:val="none"/>
                <w:vertAlign w:val="baseline"/>
                <w:lang w:val="en-US" w:eastAsia="zh-CN"/>
              </w:rPr>
              <w:t>台</w:t>
            </w:r>
          </w:p>
        </w:tc>
        <w:tc>
          <w:tcPr>
            <w:tcW w:w="2850" w:type="dxa"/>
            <w:noWrap w:val="0"/>
            <w:vAlign w:val="center"/>
          </w:tcPr>
          <w:p w14:paraId="46B98AF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工业</w:t>
            </w:r>
          </w:p>
        </w:tc>
      </w:tr>
    </w:tbl>
    <w:p w14:paraId="307673C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备注：</w:t>
      </w:r>
    </w:p>
    <w:p w14:paraId="6CBE490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b w:val="0"/>
          <w:bCs w:val="0"/>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1.</w:t>
      </w:r>
      <w:r>
        <w:rPr>
          <w:rFonts w:hint="eastAsia" w:ascii="宋体" w:hAnsi="宋体" w:cs="宋体"/>
          <w:b w:val="0"/>
          <w:bCs w:val="0"/>
          <w:sz w:val="21"/>
          <w:szCs w:val="21"/>
          <w:highlight w:val="none"/>
          <w:u w:val="none"/>
          <w:lang w:val="en-US" w:eastAsia="zh-CN"/>
        </w:rPr>
        <w:t>中小企业划型标准:根据《关于印发中小企业划型标准规定的通知》工信部联企业〔2011〕300号执行，其中：</w:t>
      </w:r>
      <w:r>
        <w:rPr>
          <w:rFonts w:hint="eastAsia" w:ascii="宋体" w:hAnsi="宋体" w:cs="宋体"/>
          <w:b w:val="0"/>
          <w:bCs w:val="0"/>
          <w:sz w:val="21"/>
          <w:szCs w:val="21"/>
          <w:highlight w:val="none"/>
          <w:u w:val="single"/>
          <w:lang w:val="en-US" w:eastAsia="zh-CN"/>
        </w:rPr>
        <w:t>工业</w:t>
      </w:r>
      <w:r>
        <w:rPr>
          <w:rFonts w:hint="eastAsia" w:ascii="宋体" w:hAnsi="宋体" w:cs="宋体"/>
          <w:b w:val="0"/>
          <w:bCs w:val="0"/>
          <w:sz w:val="21"/>
          <w:szCs w:val="21"/>
          <w:highlight w:val="none"/>
          <w:u w:val="none"/>
          <w:lang w:val="en-US" w:eastAsia="zh-CN"/>
        </w:rPr>
        <w:t>行业划分标准为：</w:t>
      </w:r>
      <w:r>
        <w:rPr>
          <w:rFonts w:hint="eastAsia" w:ascii="宋体" w:hAnsi="宋体" w:cs="宋体"/>
          <w:b w:val="0"/>
          <w:bCs w:val="0"/>
          <w:sz w:val="21"/>
          <w:szCs w:val="21"/>
          <w:highlight w:val="none"/>
          <w:u w:val="singl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567D1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cs="宋体"/>
          <w:b w:val="0"/>
          <w:bCs w:val="0"/>
          <w:color w:val="auto"/>
          <w:sz w:val="21"/>
          <w:szCs w:val="21"/>
          <w:highlight w:val="none"/>
          <w:u w:val="none"/>
          <w:lang w:val="en-US" w:eastAsia="zh-CN"/>
        </w:rPr>
      </w:pPr>
      <w:r>
        <w:rPr>
          <w:rFonts w:hint="eastAsia" w:ascii="宋体" w:hAnsi="宋体" w:cs="宋体"/>
          <w:b w:val="0"/>
          <w:bCs w:val="0"/>
          <w:sz w:val="21"/>
          <w:szCs w:val="21"/>
          <w:highlight w:val="none"/>
          <w:u w:val="none"/>
          <w:lang w:val="en-US" w:eastAsia="zh-CN"/>
        </w:rPr>
        <w:t>2.根据《政府采购促进中小企业发展管理办法》的通知 财库〔2020〕46号规定，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第四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在政府采购活动中视同中小企业。</w:t>
      </w:r>
    </w:p>
    <w:p w14:paraId="191778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三、采购技术要求</w:t>
      </w:r>
    </w:p>
    <w:p w14:paraId="5257DC90">
      <w:pPr>
        <w:pStyle w:val="4"/>
        <w:keepNext/>
        <w:keepLines/>
        <w:pageBreakBefore w:val="0"/>
        <w:widowControl w:val="0"/>
        <w:kinsoku/>
        <w:wordWrap/>
        <w:overflowPunct/>
        <w:topLinePunct w:val="0"/>
        <w:autoSpaceDE/>
        <w:autoSpaceDN/>
        <w:bidi w:val="0"/>
        <w:adjustRightInd/>
        <w:snapToGrid/>
        <w:spacing w:before="120" w:after="120" w:line="360" w:lineRule="auto"/>
        <w:ind w:left="0" w:firstLine="0"/>
        <w:jc w:val="left"/>
        <w:textAlignment w:val="auto"/>
        <w:rPr>
          <w:rFonts w:hint="eastAsia" w:ascii="宋体" w:hAnsi="宋体" w:eastAsia="宋体" w:cs="宋体"/>
          <w:b/>
          <w:bCs w:val="0"/>
          <w:kern w:val="44"/>
          <w:sz w:val="24"/>
          <w:szCs w:val="24"/>
          <w:highlight w:val="none"/>
          <w:lang w:val="en-US" w:eastAsia="zh-CN" w:bidi="ar-SA"/>
        </w:rPr>
      </w:pPr>
      <w:r>
        <w:rPr>
          <w:rFonts w:hint="eastAsia" w:ascii="宋体" w:hAnsi="宋体" w:eastAsia="宋体" w:cs="宋体"/>
          <w:b/>
          <w:bCs/>
          <w:color w:val="auto"/>
          <w:sz w:val="24"/>
          <w:szCs w:val="24"/>
          <w:highlight w:val="none"/>
          <w:u w:val="none"/>
          <w:lang w:val="en-US" w:eastAsia="zh-CN"/>
        </w:rPr>
        <w:t>（一）、</w:t>
      </w:r>
      <w:r>
        <w:rPr>
          <w:rFonts w:hint="eastAsia" w:ascii="宋体" w:hAnsi="宋体" w:eastAsia="宋体" w:cs="宋体"/>
          <w:b/>
          <w:bCs w:val="0"/>
          <w:kern w:val="44"/>
          <w:sz w:val="24"/>
          <w:szCs w:val="24"/>
          <w:highlight w:val="none"/>
          <w:lang w:val="en-US" w:eastAsia="zh-CN" w:bidi="ar-SA"/>
        </w:rPr>
        <w:t>互联网防火墙</w:t>
      </w:r>
    </w:p>
    <w:tbl>
      <w:tblPr>
        <w:tblStyle w:val="21"/>
        <w:tblW w:w="963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30"/>
        <w:gridCol w:w="7769"/>
      </w:tblGrid>
      <w:tr w14:paraId="3D3B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38AB22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rPr>
            </w:pPr>
            <w:bookmarkStart w:id="46" w:name="_Hlk53644236"/>
            <w:r>
              <w:rPr>
                <w:rFonts w:hint="eastAsia" w:ascii="宋体" w:hAnsi="宋体" w:eastAsia="宋体" w:cs="宋体"/>
                <w:b/>
                <w:sz w:val="24"/>
                <w:szCs w:val="24"/>
                <w:highlight w:val="none"/>
                <w:lang w:val="en-US" w:eastAsia="zh-CN"/>
              </w:rPr>
              <w:t>序号</w:t>
            </w:r>
          </w:p>
        </w:tc>
        <w:tc>
          <w:tcPr>
            <w:tcW w:w="1230" w:type="dxa"/>
            <w:vAlign w:val="center"/>
          </w:tcPr>
          <w:p w14:paraId="672007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指标项</w:t>
            </w:r>
          </w:p>
        </w:tc>
        <w:tc>
          <w:tcPr>
            <w:tcW w:w="7769" w:type="dxa"/>
            <w:vAlign w:val="center"/>
          </w:tcPr>
          <w:p w14:paraId="160D29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2F1F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278FF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230" w:type="dxa"/>
            <w:vAlign w:val="center"/>
          </w:tcPr>
          <w:p w14:paraId="67ECA98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系统结构</w:t>
            </w:r>
          </w:p>
        </w:tc>
        <w:tc>
          <w:tcPr>
            <w:tcW w:w="7769" w:type="dxa"/>
            <w:vAlign w:val="center"/>
          </w:tcPr>
          <w:p w14:paraId="13BDCB6C">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为使保证安全产品做到安全自主可控，要求为国产品牌。为保证系统软件设计全面性、保密性、完整性，要求招标产品系统遵从行业标准和政府法规，产品具备自主原创证明，提供证书证明材料。</w:t>
            </w:r>
          </w:p>
        </w:tc>
      </w:tr>
      <w:tr w14:paraId="6CFB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735D6E0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230" w:type="dxa"/>
            <w:vAlign w:val="center"/>
          </w:tcPr>
          <w:p w14:paraId="70FF29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硬件指标</w:t>
            </w:r>
          </w:p>
        </w:tc>
        <w:tc>
          <w:tcPr>
            <w:tcW w:w="7769" w:type="dxa"/>
            <w:vAlign w:val="center"/>
          </w:tcPr>
          <w:p w14:paraId="2DE9ED73">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国产化</w:t>
            </w:r>
            <w:r>
              <w:rPr>
                <w:rFonts w:hint="eastAsia" w:ascii="宋体" w:hAnsi="宋体" w:eastAsia="宋体" w:cs="宋体"/>
                <w:color w:val="000000" w:themeColor="text1"/>
                <w:sz w:val="24"/>
                <w:szCs w:val="24"/>
                <w:highlight w:val="none"/>
                <w:lang w:val="en-US" w:eastAsia="zh-CN"/>
                <w14:textFill>
                  <w14:solidFill>
                    <w14:schemeClr w14:val="tx1"/>
                  </w14:solidFill>
                </w14:textFill>
              </w:rPr>
              <w:t>芯片及操作系统</w:t>
            </w:r>
            <w:r>
              <w:rPr>
                <w:rFonts w:hint="eastAsia" w:ascii="宋体" w:hAnsi="宋体" w:eastAsia="宋体" w:cs="宋体"/>
                <w:color w:val="000000" w:themeColor="text1"/>
                <w:sz w:val="24"/>
                <w:szCs w:val="24"/>
                <w:highlight w:val="none"/>
                <w14:textFill>
                  <w14:solidFill>
                    <w14:schemeClr w14:val="tx1"/>
                  </w14:solidFill>
                </w14:textFill>
              </w:rPr>
              <w:t>，网络层吞吐量≥10G，并发连接≥300万，每秒新建连接数≥9万;冗余电源;≥6个千兆电口，≥4个千兆光口;≥200个SSLVPN并发数授权。含应用识别特征库、URL分类特征库、病毒防护特征库、入侵防御特征库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含三年质保服务</w:t>
            </w:r>
            <w:r>
              <w:rPr>
                <w:rFonts w:hint="eastAsia" w:ascii="宋体" w:hAnsi="宋体" w:eastAsia="宋体" w:cs="宋体"/>
                <w:color w:val="000000" w:themeColor="text1"/>
                <w:sz w:val="24"/>
                <w:szCs w:val="24"/>
                <w:highlight w:val="none"/>
                <w14:textFill>
                  <w14:solidFill>
                    <w14:schemeClr w14:val="tx1"/>
                  </w14:solidFill>
                </w14:textFill>
              </w:rPr>
              <w:t>及威胁特征库升级服务。</w:t>
            </w:r>
          </w:p>
        </w:tc>
      </w:tr>
      <w:tr w14:paraId="4368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F8031F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30" w:type="dxa"/>
            <w:vAlign w:val="center"/>
          </w:tcPr>
          <w:p w14:paraId="570082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操作系统</w:t>
            </w:r>
          </w:p>
        </w:tc>
        <w:tc>
          <w:tcPr>
            <w:tcW w:w="7769" w:type="dxa"/>
            <w:vAlign w:val="center"/>
          </w:tcPr>
          <w:p w14:paraId="086D20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安全操作系统采用冗余设计，出于安全性考虑，多系统需在设备启动过程中进行选择不得在WEB维护界面中设置系统切换选项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可在发生系统故障时，实现系统自动修复</w:t>
            </w:r>
            <w:r>
              <w:rPr>
                <w:rFonts w:hint="eastAsia" w:ascii="宋体" w:hAnsi="宋体" w:eastAsia="宋体" w:cs="宋体"/>
                <w:sz w:val="24"/>
                <w:szCs w:val="24"/>
                <w:highlight w:val="none"/>
                <w:lang w:eastAsia="zh-CN"/>
              </w:rPr>
              <w:t>。</w:t>
            </w:r>
          </w:p>
        </w:tc>
      </w:tr>
      <w:tr w14:paraId="4D02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265EFA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30" w:type="dxa"/>
            <w:vAlign w:val="center"/>
          </w:tcPr>
          <w:p w14:paraId="4158109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工作模式</w:t>
            </w:r>
          </w:p>
        </w:tc>
        <w:tc>
          <w:tcPr>
            <w:tcW w:w="7769" w:type="dxa"/>
            <w:vAlign w:val="center"/>
          </w:tcPr>
          <w:p w14:paraId="1E554B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支持路由、交换、虚拟线、Listening、混合工作模式；系统支持安全扩展模块功能，保证产品在进行功能模块扩展时保障系统稳定性，提供产品软件著作权证书；</w:t>
            </w:r>
          </w:p>
        </w:tc>
      </w:tr>
      <w:tr w14:paraId="4FD1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F8002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30" w:type="dxa"/>
            <w:vAlign w:val="center"/>
          </w:tcPr>
          <w:p w14:paraId="32624D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路由交换</w:t>
            </w:r>
          </w:p>
        </w:tc>
        <w:tc>
          <w:tcPr>
            <w:tcW w:w="7769" w:type="dxa"/>
            <w:vAlign w:val="center"/>
          </w:tcPr>
          <w:p w14:paraId="12D42DC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支持根据入接口、源/目的IP地址/地址对象、源/目的端口、协议、用户、应用、选路算法、探测、度量值、权重等多种条件设置策略路由； </w:t>
            </w:r>
          </w:p>
        </w:tc>
      </w:tr>
      <w:tr w14:paraId="0217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4BA86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30" w:type="dxa"/>
            <w:vAlign w:val="center"/>
          </w:tcPr>
          <w:p w14:paraId="0FD78B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链路聚合</w:t>
            </w:r>
          </w:p>
        </w:tc>
        <w:tc>
          <w:tcPr>
            <w:tcW w:w="7769" w:type="dxa"/>
            <w:vAlign w:val="center"/>
          </w:tcPr>
          <w:p w14:paraId="425D4A9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支持链路聚合，支持手工链路聚合及LACP链路聚合，可根据源/目的mac、源/目的IP、源/目的端口、五元组、端口轮询等条件提供不少于10种链路负载算法；</w:t>
            </w:r>
          </w:p>
        </w:tc>
      </w:tr>
      <w:tr w14:paraId="4EF6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D7DDD2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230" w:type="dxa"/>
            <w:vAlign w:val="center"/>
          </w:tcPr>
          <w:p w14:paraId="45D5D8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DNS安全</w:t>
            </w:r>
          </w:p>
        </w:tc>
        <w:tc>
          <w:tcPr>
            <w:tcW w:w="7769" w:type="dxa"/>
            <w:vAlign w:val="center"/>
          </w:tcPr>
          <w:p w14:paraId="26CE0D1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支持独立的DNS安全模块，可对用户端进行DNS报文检查、DGA检测、DNS反射放大检测，可对服务端进行DNS报文检查、NX防御，DNS安全模块能自动生成动态非法地址表和动态非法域名表；（提供第三方检测机构出具的</w:t>
            </w:r>
            <w:r>
              <w:rPr>
                <w:rFonts w:hint="eastAsia" w:ascii="宋体" w:hAnsi="宋体" w:eastAsia="宋体" w:cs="宋体"/>
                <w:sz w:val="24"/>
                <w:szCs w:val="24"/>
                <w:highlight w:val="none"/>
                <w:u w:val="single"/>
                <w:lang w:val="en-US" w:eastAsia="zh-CN"/>
              </w:rPr>
              <w:t>有效的</w:t>
            </w:r>
            <w:r>
              <w:rPr>
                <w:rFonts w:hint="eastAsia" w:ascii="宋体" w:hAnsi="宋体" w:eastAsia="宋体" w:cs="宋体"/>
                <w:sz w:val="24"/>
                <w:szCs w:val="24"/>
                <w:highlight w:val="none"/>
                <w:u w:val="single"/>
              </w:rPr>
              <w:t>检测报告）</w:t>
            </w:r>
          </w:p>
        </w:tc>
      </w:tr>
      <w:tr w14:paraId="3353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CDC23D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230" w:type="dxa"/>
            <w:vMerge w:val="restart"/>
            <w:vAlign w:val="center"/>
          </w:tcPr>
          <w:p w14:paraId="223361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访问控制</w:t>
            </w:r>
          </w:p>
        </w:tc>
        <w:tc>
          <w:tcPr>
            <w:tcW w:w="7769" w:type="dxa"/>
            <w:vAlign w:val="center"/>
          </w:tcPr>
          <w:p w14:paraId="340E89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支持一体化安全策略配置，通过一条策略实现五元组、源MAC、域名、地理区域、应用、服务、时间、长连接、并发会话、WEB认证、IPS、AV、WAF、URL过滤、邮件安全、数据过滤、文件过滤、审计、APT等功能配置，简化用户管理； </w:t>
            </w:r>
          </w:p>
        </w:tc>
      </w:tr>
      <w:tr w14:paraId="5744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3A8883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230" w:type="dxa"/>
            <w:vMerge w:val="continue"/>
            <w:vAlign w:val="center"/>
          </w:tcPr>
          <w:p w14:paraId="041CCD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7769" w:type="dxa"/>
            <w:vAlign w:val="center"/>
          </w:tcPr>
          <w:p w14:paraId="30A7D09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提供策略命中、冗余、冲突、包含检查及策略查询功能，支持五元组快速查询以及针对策略名、源/目的区域、源/目的地址、服务、对象、未命中时间等条件进行细粒度查询；</w:t>
            </w:r>
          </w:p>
        </w:tc>
      </w:tr>
      <w:tr w14:paraId="4DC8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7B092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30" w:type="dxa"/>
            <w:vAlign w:val="center"/>
          </w:tcPr>
          <w:p w14:paraId="2FE0CE0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应用控制</w:t>
            </w:r>
          </w:p>
        </w:tc>
        <w:tc>
          <w:tcPr>
            <w:tcW w:w="7769" w:type="dxa"/>
            <w:vAlign w:val="center"/>
          </w:tcPr>
          <w:p w14:paraId="7474FB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支持对达梦、人大金仓等数据库应用、P2P、移动应用、迅雷加密流量、向日葵/Teamview等远程控制软件、Modbus/IEC/OPC等工控物联网协议进行识别控制，支持自定义应用特征；</w:t>
            </w:r>
          </w:p>
        </w:tc>
      </w:tr>
      <w:tr w14:paraId="6C67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7E8D24A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230" w:type="dxa"/>
            <w:vAlign w:val="center"/>
          </w:tcPr>
          <w:p w14:paraId="63A6DAD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文件过滤</w:t>
            </w:r>
          </w:p>
        </w:tc>
        <w:tc>
          <w:tcPr>
            <w:tcW w:w="7769" w:type="dxa"/>
            <w:vAlign w:val="center"/>
          </w:tcPr>
          <w:p w14:paraId="386E29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内置文件过滤引擎，支持对即时通讯、社交网络、网络硬盘、网页邮箱、IM文件传输等应用类型以及HTTP/FTP/SMTP/POP3等标准协议进行检测，识别可执行文件、office文件、视频文件、图片文件、帮助文件、压缩文件、数据文件等超过50种文档类型的文件过滤； </w:t>
            </w:r>
          </w:p>
        </w:tc>
      </w:tr>
      <w:tr w14:paraId="2799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9782DB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230" w:type="dxa"/>
            <w:vAlign w:val="center"/>
          </w:tcPr>
          <w:p w14:paraId="35FD92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入侵防御</w:t>
            </w:r>
          </w:p>
        </w:tc>
        <w:tc>
          <w:tcPr>
            <w:tcW w:w="7769" w:type="dxa"/>
            <w:vAlign w:val="center"/>
          </w:tcPr>
          <w:p w14:paraId="04A5791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支持针对地址、应用设置入侵防御白名单，支持攻击规则搜索以及自定义，可对自定义规则导入导出； </w:t>
            </w:r>
          </w:p>
        </w:tc>
      </w:tr>
      <w:tr w14:paraId="1E61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E46DF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230" w:type="dxa"/>
            <w:vAlign w:val="center"/>
          </w:tcPr>
          <w:p w14:paraId="3B3CBB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内容过滤</w:t>
            </w:r>
          </w:p>
        </w:tc>
        <w:tc>
          <w:tcPr>
            <w:tcW w:w="7769" w:type="dxa"/>
            <w:vAlign w:val="center"/>
          </w:tcPr>
          <w:p w14:paraId="23A03DA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内置内容过滤功能，可对FTP上传文件、下载文件、删除文件、重命名文件、创建目录、删除目录、列出目录等信令以及邮件发件人、收件人、主题、内容、附件等进行过滤；</w:t>
            </w:r>
          </w:p>
        </w:tc>
      </w:tr>
      <w:tr w14:paraId="5537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1F0C9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230" w:type="dxa"/>
            <w:vAlign w:val="center"/>
          </w:tcPr>
          <w:p w14:paraId="0B067DF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黑名单</w:t>
            </w:r>
          </w:p>
        </w:tc>
        <w:tc>
          <w:tcPr>
            <w:tcW w:w="7769" w:type="dxa"/>
            <w:vAlign w:val="center"/>
          </w:tcPr>
          <w:p w14:paraId="03F3FE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支持将五元组、源MAC、地址范围、应用、用户等加入静态黑名单，可与URL过滤、病毒过滤、防代理功能进行联动实现动态黑名单封锁，支持静态和动态黑名单命中统计和监控；</w:t>
            </w:r>
          </w:p>
        </w:tc>
      </w:tr>
      <w:tr w14:paraId="782A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DA6FB3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1230" w:type="dxa"/>
            <w:vAlign w:val="center"/>
          </w:tcPr>
          <w:p w14:paraId="1731C2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邮件安全</w:t>
            </w:r>
          </w:p>
        </w:tc>
        <w:tc>
          <w:tcPr>
            <w:tcW w:w="7769" w:type="dxa"/>
            <w:vAlign w:val="center"/>
          </w:tcPr>
          <w:p w14:paraId="36680BA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内置邮件安全防护功能，可进行匿名发件人、收发件人同名、非标客户端、收/发件人频率、收/发件IP频率、邮件长度、附件名称、附件数量检测，支持黑、白名单检测；</w:t>
            </w:r>
          </w:p>
        </w:tc>
      </w:tr>
      <w:tr w14:paraId="2A51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CD77D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1230" w:type="dxa"/>
            <w:vAlign w:val="center"/>
          </w:tcPr>
          <w:p w14:paraId="66D725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连接控制</w:t>
            </w:r>
          </w:p>
        </w:tc>
        <w:tc>
          <w:tcPr>
            <w:tcW w:w="7769" w:type="dxa"/>
            <w:vAlign w:val="center"/>
          </w:tcPr>
          <w:p w14:paraId="178851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支持连接控制和监控，可对源/目的地理对象、应用制定连接限制策略，可展示被拦截的IP、地址对象、应用的限制条件、被拒次数、最近被拒时间等信息；</w:t>
            </w:r>
          </w:p>
        </w:tc>
      </w:tr>
      <w:tr w14:paraId="5007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31B8A0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230" w:type="dxa"/>
            <w:vAlign w:val="center"/>
          </w:tcPr>
          <w:p w14:paraId="53258A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行为分析</w:t>
            </w:r>
          </w:p>
        </w:tc>
        <w:tc>
          <w:tcPr>
            <w:tcW w:w="7769" w:type="dxa"/>
            <w:vAlign w:val="center"/>
          </w:tcPr>
          <w:p w14:paraId="5DCB5E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内置行为分析功能，对会话、流量等数据进行统计分析，建立业务行为基线，对异常行为进行告警；支持行为分析监控展示，可展示不同行为分析策略的实时数据和基线数据趋势；</w:t>
            </w:r>
          </w:p>
        </w:tc>
      </w:tr>
      <w:tr w14:paraId="3A91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E44CD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230" w:type="dxa"/>
            <w:vMerge w:val="restart"/>
            <w:vAlign w:val="center"/>
          </w:tcPr>
          <w:p w14:paraId="0504F17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DDOS防御</w:t>
            </w:r>
          </w:p>
        </w:tc>
        <w:tc>
          <w:tcPr>
            <w:tcW w:w="7769" w:type="dxa"/>
            <w:vAlign w:val="center"/>
          </w:tcPr>
          <w:p w14:paraId="52DF4A8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支持针对IP、ICMP、TCP、UDP、DNS、HTTP、NTP等协议进行DDOS防护；</w:t>
            </w:r>
          </w:p>
        </w:tc>
      </w:tr>
      <w:tr w14:paraId="536B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70C2A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1230" w:type="dxa"/>
            <w:vMerge w:val="continue"/>
            <w:vAlign w:val="center"/>
          </w:tcPr>
          <w:p w14:paraId="17A25D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7769" w:type="dxa"/>
            <w:vAlign w:val="center"/>
          </w:tcPr>
          <w:p w14:paraId="6AE859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支持基于UDP协议的检测清洗，包括对源、目的限速，对UDP最大及最小报文限制；支持UDP关联认证，对源地址进行合法性认证；</w:t>
            </w:r>
          </w:p>
        </w:tc>
      </w:tr>
      <w:tr w14:paraId="5161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F0952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1230" w:type="dxa"/>
            <w:vMerge w:val="continue"/>
            <w:vAlign w:val="center"/>
          </w:tcPr>
          <w:p w14:paraId="38A053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7769" w:type="dxa"/>
            <w:vAlign w:val="center"/>
          </w:tcPr>
          <w:p w14:paraId="008A55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支持DNS FLOOD防护，能对DNS QUERY FLOOD、DNS REPLY FLOOD、DNS投毒、DNS格式等攻击提供DNS REPLY源认证、源限速、目的限速、域名限速等综合防护手段；</w:t>
            </w:r>
          </w:p>
        </w:tc>
      </w:tr>
      <w:tr w14:paraId="2C63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6150B0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1230" w:type="dxa"/>
            <w:vMerge w:val="continue"/>
            <w:vAlign w:val="center"/>
          </w:tcPr>
          <w:p w14:paraId="4F857B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7769" w:type="dxa"/>
            <w:vAlign w:val="center"/>
          </w:tcPr>
          <w:p w14:paraId="3C68086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支持NTP流量检测清洗，能对NTP REQUEST FLOOD、NTP REPLY FLOOD等攻击进行检测并提供基于NTP请求限速、NTP响应限速、源认证、会话认证的防御策略；</w:t>
            </w:r>
          </w:p>
        </w:tc>
      </w:tr>
      <w:tr w14:paraId="27ED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BA749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1230" w:type="dxa"/>
            <w:vAlign w:val="center"/>
          </w:tcPr>
          <w:p w14:paraId="021E62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配置维护</w:t>
            </w:r>
          </w:p>
        </w:tc>
        <w:tc>
          <w:tcPr>
            <w:tcW w:w="7769" w:type="dxa"/>
            <w:vAlign w:val="center"/>
          </w:tcPr>
          <w:p w14:paraId="118837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支持配置文件本地备份和回滚，支持</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3个配置文件备份，支持对访问控制策略、NAT策略等关键配置进行单独及加密备份和恢复；支持对配置命令及配置文件的操作行为进行审计；</w:t>
            </w:r>
          </w:p>
        </w:tc>
      </w:tr>
      <w:tr w14:paraId="252B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02E9F4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3</w:t>
            </w:r>
          </w:p>
        </w:tc>
        <w:tc>
          <w:tcPr>
            <w:tcW w:w="1230" w:type="dxa"/>
            <w:vAlign w:val="center"/>
          </w:tcPr>
          <w:p w14:paraId="2B1E1C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安全联动</w:t>
            </w:r>
          </w:p>
        </w:tc>
        <w:tc>
          <w:tcPr>
            <w:tcW w:w="7769" w:type="dxa"/>
            <w:vAlign w:val="center"/>
          </w:tcPr>
          <w:p w14:paraId="0FA5BA5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支持与现有安全管理平台联动，通过将威胁IP自动生成安全策略下发至防火墙，实现联防联控的效果</w:t>
            </w:r>
            <w:r>
              <w:rPr>
                <w:rFonts w:hint="eastAsia" w:ascii="宋体" w:hAnsi="宋体" w:eastAsia="宋体" w:cs="宋体"/>
                <w:color w:val="auto"/>
                <w:sz w:val="24"/>
                <w:szCs w:val="24"/>
                <w:highlight w:val="none"/>
                <w:u w:val="single"/>
                <w:lang w:val="en-US" w:eastAsia="zh-CN"/>
              </w:rPr>
              <w:t>（提供可联动的证明材料）</w:t>
            </w:r>
          </w:p>
        </w:tc>
      </w:tr>
      <w:bookmarkEnd w:id="46"/>
    </w:tbl>
    <w:p w14:paraId="731DE4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（二）、APT</w:t>
      </w:r>
    </w:p>
    <w:tbl>
      <w:tblPr>
        <w:tblStyle w:val="21"/>
        <w:tblW w:w="963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8"/>
        <w:gridCol w:w="7699"/>
      </w:tblGrid>
      <w:tr w14:paraId="5FBD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5333C8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color w:val="000000" w:themeColor="text1"/>
                <w:sz w:val="24"/>
                <w:szCs w:val="24"/>
                <w:highlight w:val="none"/>
                <w:lang w:val="en-US" w:eastAsia="zh-CN"/>
                <w14:textFill>
                  <w14:solidFill>
                    <w14:schemeClr w14:val="tx1"/>
                  </w14:solidFill>
                </w14:textFill>
              </w:rPr>
              <w:t>序号</w:t>
            </w:r>
          </w:p>
        </w:tc>
        <w:tc>
          <w:tcPr>
            <w:tcW w:w="1228" w:type="dxa"/>
            <w:vAlign w:val="center"/>
          </w:tcPr>
          <w:p w14:paraId="7C42C6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指标项</w:t>
            </w:r>
          </w:p>
        </w:tc>
        <w:tc>
          <w:tcPr>
            <w:tcW w:w="7699" w:type="dxa"/>
            <w:vAlign w:val="center"/>
          </w:tcPr>
          <w:p w14:paraId="6597FD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指标要求</w:t>
            </w:r>
          </w:p>
        </w:tc>
      </w:tr>
      <w:tr w14:paraId="62A5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1119D6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p>
        </w:tc>
        <w:tc>
          <w:tcPr>
            <w:tcW w:w="1228" w:type="dxa"/>
            <w:vAlign w:val="center"/>
          </w:tcPr>
          <w:p w14:paraId="28299B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硬件指标</w:t>
            </w:r>
          </w:p>
        </w:tc>
        <w:tc>
          <w:tcPr>
            <w:tcW w:w="7699" w:type="dxa"/>
            <w:vAlign w:val="center"/>
          </w:tcPr>
          <w:p w14:paraId="016B31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国产化</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芯片及操作系统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，整机吞吐量≥1Gbps，内存</w:t>
            </w:r>
            <w:bookmarkStart w:id="47" w:name="OLE_LINK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bookmarkEnd w:id="4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16G，硬盘≥2T，≥6个千兆电口，</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含三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年质保服务及威胁特征库升级服务。</w:t>
            </w:r>
          </w:p>
        </w:tc>
      </w:tr>
      <w:tr w14:paraId="2CBE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66378BA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1228" w:type="dxa"/>
            <w:vAlign w:val="center"/>
          </w:tcPr>
          <w:p w14:paraId="77D606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威胁监测</w:t>
            </w:r>
          </w:p>
        </w:tc>
        <w:tc>
          <w:tcPr>
            <w:tcW w:w="7699" w:type="dxa"/>
            <w:vAlign w:val="center"/>
          </w:tcPr>
          <w:p w14:paraId="472B45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支持威胁监测功能，包括：威胁事件总数（攻击事件、僵尸主机事件、恶意文件事件）、APT事件、挖矿事件、失陷主机、攻击趋势图、攻击者分布地图等信息</w:t>
            </w:r>
          </w:p>
        </w:tc>
      </w:tr>
      <w:tr w14:paraId="365F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3D3D6D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1228" w:type="dxa"/>
            <w:vMerge w:val="restart"/>
            <w:vAlign w:val="center"/>
          </w:tcPr>
          <w:p w14:paraId="5A8E4D8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大屏展示</w:t>
            </w:r>
          </w:p>
        </w:tc>
        <w:tc>
          <w:tcPr>
            <w:tcW w:w="7699" w:type="dxa"/>
            <w:vAlign w:val="center"/>
          </w:tcPr>
          <w:p w14:paraId="19B3C4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支持综合安全态势分析大屏功能，包括：总攻击次数、攻击结果、风险等级、恶意文件类型、恶意文件排名、实时攻击事件、攻击事件类型分布、攻击趋势、流量趋势等信息</w:t>
            </w:r>
          </w:p>
        </w:tc>
      </w:tr>
      <w:tr w14:paraId="3C2D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0C753E2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228" w:type="dxa"/>
            <w:vMerge w:val="continue"/>
            <w:vAlign w:val="center"/>
          </w:tcPr>
          <w:p w14:paraId="567CA8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99" w:type="dxa"/>
            <w:vAlign w:val="center"/>
          </w:tcPr>
          <w:p w14:paraId="029560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支持僵尸网络态势大屏展示功能，包括：全球控制主机、境内控制主机、木马行为排行、木马文件传播等信息</w:t>
            </w:r>
          </w:p>
        </w:tc>
      </w:tr>
      <w:tr w14:paraId="5CB0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6592E6E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1228" w:type="dxa"/>
            <w:vAlign w:val="center"/>
          </w:tcPr>
          <w:p w14:paraId="11D4F5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攻击者视角分析</w:t>
            </w:r>
          </w:p>
        </w:tc>
        <w:tc>
          <w:tcPr>
            <w:tcW w:w="7699" w:type="dxa"/>
            <w:vAlign w:val="center"/>
          </w:tcPr>
          <w:p w14:paraId="2BF48D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支持攻击者视角分析，按照攻击者、归属地、首次攻击时间、最近攻击时间、事件类型、受害者数量、攻击次数等条件综合分析攻击者信息。</w:t>
            </w:r>
          </w:p>
        </w:tc>
      </w:tr>
      <w:tr w14:paraId="4706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7CDE006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1228" w:type="dxa"/>
            <w:vAlign w:val="center"/>
          </w:tcPr>
          <w:p w14:paraId="70BC76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攻击者画像分析</w:t>
            </w:r>
          </w:p>
        </w:tc>
        <w:tc>
          <w:tcPr>
            <w:tcW w:w="7699" w:type="dxa"/>
            <w:vAlign w:val="center"/>
          </w:tcPr>
          <w:p w14:paraId="4F311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支持攻击者画像分析，包括：受害者、恶意文件、安全事件、横向攻击、攻击阶段（侦查跟踪、载荷投递、漏洞利用、命令与控制、目标达成）、热点事件、受害者TOP5等条件综合分析攻击者画像分析信息。</w:t>
            </w:r>
          </w:p>
        </w:tc>
      </w:tr>
      <w:tr w14:paraId="7C6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785DCC8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p>
        </w:tc>
        <w:tc>
          <w:tcPr>
            <w:tcW w:w="1228" w:type="dxa"/>
            <w:vAlign w:val="center"/>
          </w:tcPr>
          <w:p w14:paraId="20014E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受害者视角分析</w:t>
            </w:r>
          </w:p>
        </w:tc>
        <w:tc>
          <w:tcPr>
            <w:tcW w:w="7699" w:type="dxa"/>
            <w:vAlign w:val="center"/>
          </w:tcPr>
          <w:p w14:paraId="13AA19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支持受害者视角分析，按照受害者、归属地、首次被攻击时间、最近被攻击时间、事件类型、攻击者数量、被攻击次数、资产等条件综合分析受害者信息。</w:t>
            </w:r>
          </w:p>
        </w:tc>
      </w:tr>
      <w:tr w14:paraId="55F6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712FFCA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p>
        </w:tc>
        <w:tc>
          <w:tcPr>
            <w:tcW w:w="1228" w:type="dxa"/>
            <w:vAlign w:val="center"/>
          </w:tcPr>
          <w:p w14:paraId="43A9B3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受害者画像分析</w:t>
            </w:r>
          </w:p>
        </w:tc>
        <w:tc>
          <w:tcPr>
            <w:tcW w:w="7699" w:type="dxa"/>
            <w:vAlign w:val="center"/>
          </w:tcPr>
          <w:p w14:paraId="6E5A1B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支持受害者画像分析，包括：攻击者、恶意文件、安全事件、攻击阶段（侦查跟踪、载荷投递、漏洞利用、命令与控制、目标达成）、热点事件、攻击者TOP5等条件综合分析受害者画像分析信息。</w:t>
            </w:r>
          </w:p>
        </w:tc>
      </w:tr>
      <w:tr w14:paraId="2F9B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2E65ACD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p>
        </w:tc>
        <w:tc>
          <w:tcPr>
            <w:tcW w:w="1228" w:type="dxa"/>
            <w:vAlign w:val="center"/>
          </w:tcPr>
          <w:p w14:paraId="27A04FE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研判处置</w:t>
            </w:r>
          </w:p>
        </w:tc>
        <w:tc>
          <w:tcPr>
            <w:tcW w:w="7699" w:type="dxa"/>
            <w:vAlign w:val="center"/>
          </w:tcPr>
          <w:p w14:paraId="07A179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恶意文件研判，能够按照恶意文件分类、恶意文件趋势进行统计分析。记录被检测文件信息，包括：文件名、文件哈希、文件类型、事件类型、风险等级、应用层协议、检测引擎、首次发生时间、最近发生时间、事件描述等，支持下钻查看文件详情信息。</w:t>
            </w:r>
          </w:p>
        </w:tc>
      </w:tr>
      <w:tr w14:paraId="031C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0DA946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w:t>
            </w:r>
          </w:p>
        </w:tc>
        <w:tc>
          <w:tcPr>
            <w:tcW w:w="1228" w:type="dxa"/>
            <w:vMerge w:val="restart"/>
            <w:vAlign w:val="center"/>
          </w:tcPr>
          <w:p w14:paraId="7A85E7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攻击检测</w:t>
            </w:r>
          </w:p>
        </w:tc>
        <w:tc>
          <w:tcPr>
            <w:tcW w:w="7699" w:type="dxa"/>
            <w:vAlign w:val="center"/>
          </w:tcPr>
          <w:p w14:paraId="269A695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8" w:name="_Hlk4019986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支持独立的攻击检测引擎，涵盖</w:t>
            </w:r>
            <w:bookmarkEnd w:id="4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10000种以上的攻击检测规则库。规则库支持按照攻击类型、风险等级、操作系统、应用类型等方式进行分类</w:t>
            </w:r>
          </w:p>
        </w:tc>
      </w:tr>
      <w:tr w14:paraId="388F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2374D7D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p>
        </w:tc>
        <w:tc>
          <w:tcPr>
            <w:tcW w:w="1228" w:type="dxa"/>
            <w:vMerge w:val="continue"/>
            <w:vAlign w:val="center"/>
          </w:tcPr>
          <w:p w14:paraId="237D88B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99" w:type="dxa"/>
            <w:vAlign w:val="center"/>
          </w:tcPr>
          <w:p w14:paraId="0E7542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检测多种攻击类型，包括：扫描探测、暴力猜解、拒绝服务攻击、后门控制、溢出攻击、代码执行、非授权访问、注入攻击、URL跳转、跨站攻击、WebShell、浏览器劫持、文件漏洞攻击、工控漏洞攻击、车联网漏洞攻击、物联网漏洞攻击、凭据异常等在内的17大类超过10000种以上网络攻击事件</w:t>
            </w:r>
          </w:p>
        </w:tc>
      </w:tr>
      <w:tr w14:paraId="24C1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48603FC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12</w:t>
            </w:r>
          </w:p>
        </w:tc>
        <w:tc>
          <w:tcPr>
            <w:tcW w:w="1228" w:type="dxa"/>
            <w:vAlign w:val="center"/>
          </w:tcPr>
          <w:p w14:paraId="7D5743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账号安全检测</w:t>
            </w:r>
          </w:p>
        </w:tc>
        <w:tc>
          <w:tcPr>
            <w:tcW w:w="7699" w:type="dxa"/>
            <w:vAlign w:val="center"/>
          </w:tcPr>
          <w:p w14:paraId="25BE1D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暴力破解检测，包括：邮件（SMTP、IMAP、POP3）、文件（FTP、SMB）、远程访问（TELNET、VNC、SPICE）、数据库（LDAP、SQLServer、DB2、REDIS、POSTGRESQL、ORACLE、MYSQL、MONGODB、DAMENG、KINGBASE、SYBASE）、WEB应用（HTTP）等20种协议类型进行暴力破解检测</w:t>
            </w:r>
          </w:p>
        </w:tc>
      </w:tr>
      <w:tr w14:paraId="5B6D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71B9B0E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13</w:t>
            </w:r>
          </w:p>
        </w:tc>
        <w:tc>
          <w:tcPr>
            <w:tcW w:w="1228" w:type="dxa"/>
            <w:vMerge w:val="restart"/>
            <w:vAlign w:val="center"/>
          </w:tcPr>
          <w:p w14:paraId="2F1F6E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僵尸主机检测</w:t>
            </w:r>
          </w:p>
        </w:tc>
        <w:tc>
          <w:tcPr>
            <w:tcW w:w="7699" w:type="dxa"/>
            <w:vAlign w:val="center"/>
          </w:tcPr>
          <w:p w14:paraId="42404F1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支持独立的僵尸主机检测引擎，涵盖11000种以上的僵尸主机规则库。规则库支持按照攻击类型、操作系统、风险等级等方式进行分类。</w:t>
            </w:r>
          </w:p>
        </w:tc>
      </w:tr>
      <w:tr w14:paraId="367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2BE8EB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14</w:t>
            </w:r>
          </w:p>
        </w:tc>
        <w:tc>
          <w:tcPr>
            <w:tcW w:w="1228" w:type="dxa"/>
            <w:vMerge w:val="continue"/>
            <w:vAlign w:val="center"/>
          </w:tcPr>
          <w:p w14:paraId="2C7FBB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99" w:type="dxa"/>
            <w:vAlign w:val="center"/>
          </w:tcPr>
          <w:p w14:paraId="1489732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支持检测多种僵尸主机类型，包括：僵尸网络、木马控制、蠕虫、挖矿、勒索、移动端木马控制、APT等。</w:t>
            </w:r>
          </w:p>
        </w:tc>
      </w:tr>
      <w:tr w14:paraId="0A71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08" w:type="dxa"/>
            <w:vAlign w:val="center"/>
          </w:tcPr>
          <w:p w14:paraId="285EF47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w:t>
            </w:r>
          </w:p>
        </w:tc>
        <w:tc>
          <w:tcPr>
            <w:tcW w:w="1228" w:type="dxa"/>
            <w:vMerge w:val="restart"/>
            <w:vAlign w:val="center"/>
          </w:tcPr>
          <w:p w14:paraId="444C19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高级威胁检测</w:t>
            </w:r>
          </w:p>
        </w:tc>
        <w:tc>
          <w:tcPr>
            <w:tcW w:w="7699" w:type="dxa"/>
            <w:vAlign w:val="center"/>
          </w:tcPr>
          <w:p w14:paraId="1C7164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9" w:name="_Hlk165295282"/>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支持DGA</w:t>
            </w:r>
            <w:bookmarkEnd w:id="4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恶意域名检测，采用DGA恶意域名检测智慧引擎检测（提供截图证明）</w:t>
            </w:r>
          </w:p>
        </w:tc>
      </w:tr>
      <w:tr w14:paraId="13C5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0B820D3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16</w:t>
            </w:r>
          </w:p>
        </w:tc>
        <w:tc>
          <w:tcPr>
            <w:tcW w:w="1228" w:type="dxa"/>
            <w:vMerge w:val="continue"/>
            <w:vAlign w:val="center"/>
          </w:tcPr>
          <w:p w14:paraId="257DA2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99" w:type="dxa"/>
            <w:vAlign w:val="center"/>
          </w:tcPr>
          <w:p w14:paraId="616C9B0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支持非标端口通信检测，对HTTP、FTP、SMTP、IMAP、POP3、TELNET等服务的非标端口通信检测</w:t>
            </w:r>
          </w:p>
        </w:tc>
      </w:tr>
      <w:tr w14:paraId="5553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72E865B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17</w:t>
            </w:r>
          </w:p>
        </w:tc>
        <w:tc>
          <w:tcPr>
            <w:tcW w:w="1228" w:type="dxa"/>
            <w:vMerge w:val="restart"/>
            <w:vAlign w:val="center"/>
          </w:tcPr>
          <w:p w14:paraId="7186E4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恶意文件检测</w:t>
            </w:r>
          </w:p>
        </w:tc>
        <w:tc>
          <w:tcPr>
            <w:tcW w:w="7699" w:type="dxa"/>
            <w:vAlign w:val="center"/>
          </w:tcPr>
          <w:p w14:paraId="36706BD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 w:name="_Hlk4020092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支持恶意</w:t>
            </w:r>
            <w:bookmarkEnd w:id="5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文件检测，采用固网恶意程序检测智慧引擎、移动恶意程序检测智慧引擎、沙箱、YARA、文件类威胁情报等多种检测方式。</w:t>
            </w:r>
          </w:p>
        </w:tc>
      </w:tr>
      <w:tr w14:paraId="141E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4F79094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18</w:t>
            </w:r>
          </w:p>
        </w:tc>
        <w:tc>
          <w:tcPr>
            <w:tcW w:w="1228" w:type="dxa"/>
            <w:vMerge w:val="continue"/>
            <w:vAlign w:val="center"/>
          </w:tcPr>
          <w:p w14:paraId="52DFDA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99" w:type="dxa"/>
            <w:vAlign w:val="center"/>
          </w:tcPr>
          <w:p w14:paraId="5286E4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采用固网恶意程序检测智慧引擎、移动恶意程序检测智慧引擎，不依赖规则库即可实现对未知恶意程序检测。</w:t>
            </w:r>
          </w:p>
        </w:tc>
      </w:tr>
      <w:tr w14:paraId="5363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08" w:type="dxa"/>
            <w:vAlign w:val="center"/>
          </w:tcPr>
          <w:p w14:paraId="52F41F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19</w:t>
            </w:r>
          </w:p>
        </w:tc>
        <w:tc>
          <w:tcPr>
            <w:tcW w:w="1228" w:type="dxa"/>
            <w:vAlign w:val="center"/>
          </w:tcPr>
          <w:p w14:paraId="5C0C47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APT检测</w:t>
            </w:r>
          </w:p>
        </w:tc>
        <w:tc>
          <w:tcPr>
            <w:tcW w:w="7699" w:type="dxa"/>
            <w:vAlign w:val="center"/>
          </w:tcPr>
          <w:p w14:paraId="0EA332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支持通过智慧引擎检测未知威胁，发现已知APT攻击行为和已知APT组织。</w:t>
            </w:r>
          </w:p>
        </w:tc>
      </w:tr>
      <w:tr w14:paraId="2D96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663F499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20</w:t>
            </w:r>
          </w:p>
        </w:tc>
        <w:tc>
          <w:tcPr>
            <w:tcW w:w="1228" w:type="dxa"/>
            <w:vAlign w:val="center"/>
          </w:tcPr>
          <w:p w14:paraId="2719A0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威胁情报</w:t>
            </w:r>
          </w:p>
        </w:tc>
        <w:tc>
          <w:tcPr>
            <w:tcW w:w="7699" w:type="dxa"/>
            <w:vAlign w:val="center"/>
          </w:tcPr>
          <w:p w14:paraId="0A6A05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1" w:name="_Hlk4020119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支持威胁情报检测，</w:t>
            </w:r>
            <w:bookmarkEnd w:id="5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本地嵌入独立的威胁情报库，不依赖其他设备或情报平台，即可独立实现威胁情报检测能力，包括：IP、域名、URL、邮箱地址。</w:t>
            </w:r>
          </w:p>
        </w:tc>
      </w:tr>
      <w:tr w14:paraId="7FFC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8" w:type="dxa"/>
            <w:vMerge w:val="restart"/>
            <w:vAlign w:val="center"/>
          </w:tcPr>
          <w:p w14:paraId="5C1E6E2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21</w:t>
            </w:r>
          </w:p>
        </w:tc>
        <w:tc>
          <w:tcPr>
            <w:tcW w:w="1228" w:type="dxa"/>
            <w:vMerge w:val="restart"/>
            <w:vAlign w:val="center"/>
          </w:tcPr>
          <w:p w14:paraId="660FEF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多维联动</w:t>
            </w:r>
          </w:p>
        </w:tc>
        <w:tc>
          <w:tcPr>
            <w:tcW w:w="7699" w:type="dxa"/>
            <w:vAlign w:val="center"/>
          </w:tcPr>
          <w:p w14:paraId="55B721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支持与本次采购防火墙联动处置，发现威胁事件联动防火墙阻断。</w:t>
            </w:r>
          </w:p>
        </w:tc>
      </w:tr>
      <w:tr w14:paraId="5EAC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8" w:type="dxa"/>
            <w:vMerge w:val="continue"/>
            <w:vAlign w:val="center"/>
          </w:tcPr>
          <w:p w14:paraId="592252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p>
        </w:tc>
        <w:tc>
          <w:tcPr>
            <w:tcW w:w="1228" w:type="dxa"/>
            <w:vMerge w:val="continue"/>
            <w:vAlign w:val="center"/>
          </w:tcPr>
          <w:p w14:paraId="5F3008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99" w:type="dxa"/>
            <w:vAlign w:val="center"/>
          </w:tcPr>
          <w:p w14:paraId="6843B8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u w:val="single"/>
                <w:lang w:val="en-US" w:eastAsia="zh-CN"/>
              </w:rPr>
              <w:t>支持与现有安全管理平台联动，实现威胁威胁日志的集中收集、清洗，减少信息干扰及误报率，提高安全事件处置效率</w:t>
            </w:r>
            <w:r>
              <w:rPr>
                <w:rFonts w:hint="eastAsia" w:ascii="宋体" w:hAnsi="宋体" w:eastAsia="宋体" w:cs="宋体"/>
                <w:color w:val="auto"/>
                <w:sz w:val="24"/>
                <w:szCs w:val="24"/>
                <w:highlight w:val="none"/>
                <w:u w:val="single"/>
                <w:lang w:val="en-US" w:eastAsia="zh-CN"/>
              </w:rPr>
              <w:t>（提供可联动的证明材料）。</w:t>
            </w:r>
          </w:p>
        </w:tc>
      </w:tr>
      <w:tr w14:paraId="3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5F4916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22</w:t>
            </w:r>
          </w:p>
        </w:tc>
        <w:tc>
          <w:tcPr>
            <w:tcW w:w="1228" w:type="dxa"/>
            <w:vMerge w:val="restart"/>
            <w:vAlign w:val="center"/>
          </w:tcPr>
          <w:p w14:paraId="5D5EB5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流量控制</w:t>
            </w:r>
          </w:p>
        </w:tc>
        <w:tc>
          <w:tcPr>
            <w:tcW w:w="7699" w:type="dxa"/>
            <w:vAlign w:val="center"/>
          </w:tcPr>
          <w:p w14:paraId="1485FFA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要求支持基于IP地址、IP地址范围监控网络带宽，可设定包括上行带宽、下行带宽、双向带宽等阈值，单位包括Kbps、Mbps、Gbps</w:t>
            </w:r>
          </w:p>
        </w:tc>
      </w:tr>
      <w:tr w14:paraId="2F5E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0A151C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23</w:t>
            </w:r>
          </w:p>
        </w:tc>
        <w:tc>
          <w:tcPr>
            <w:tcW w:w="1228" w:type="dxa"/>
            <w:vMerge w:val="continue"/>
            <w:vAlign w:val="center"/>
          </w:tcPr>
          <w:p w14:paraId="5520CA8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99" w:type="dxa"/>
            <w:vAlign w:val="center"/>
          </w:tcPr>
          <w:p w14:paraId="1A3C4F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要求支持协议、端口监控网络带宽，可设定包括上行带宽、下行带宽、双向带宽等阈值，单位包括Kbps、Mbps、Gbps</w:t>
            </w:r>
          </w:p>
        </w:tc>
      </w:tr>
      <w:tr w14:paraId="14D3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5CD6C34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24</w:t>
            </w:r>
          </w:p>
        </w:tc>
        <w:tc>
          <w:tcPr>
            <w:tcW w:w="1228" w:type="dxa"/>
            <w:vMerge w:val="restart"/>
            <w:vAlign w:val="center"/>
          </w:tcPr>
          <w:p w14:paraId="33A426C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APT检测</w:t>
            </w:r>
          </w:p>
        </w:tc>
        <w:tc>
          <w:tcPr>
            <w:tcW w:w="7699" w:type="dxa"/>
            <w:vAlign w:val="center"/>
          </w:tcPr>
          <w:p w14:paraId="12655B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支持通过威胁情报检测已知APT事件，通过恶意程序检测未知APT事件，通过僵尸主机规则库检测已知的APT组织</w:t>
            </w:r>
          </w:p>
        </w:tc>
      </w:tr>
      <w:tr w14:paraId="03D9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23233F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25</w:t>
            </w:r>
          </w:p>
        </w:tc>
        <w:tc>
          <w:tcPr>
            <w:tcW w:w="1228" w:type="dxa"/>
            <w:vMerge w:val="continue"/>
            <w:vAlign w:val="center"/>
          </w:tcPr>
          <w:p w14:paraId="271551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99" w:type="dxa"/>
            <w:vAlign w:val="center"/>
          </w:tcPr>
          <w:p w14:paraId="433F187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支持识别摩诃草APT组织、隐士(Hermit) APT组织、DarkHydrus APT组织、APT 28组织、APT29(Cozy Bear)组织、APT33组织、APT34组织、Donot (APT-C-35)组织、OceanLotus APT组织、朝鲜STOLENPENCIL APT组织、Windshift APT组织、TransparentTribe APT组织等全球多个APT攻击组织</w:t>
            </w:r>
          </w:p>
        </w:tc>
      </w:tr>
      <w:tr w14:paraId="2C56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040A60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26</w:t>
            </w:r>
          </w:p>
        </w:tc>
        <w:tc>
          <w:tcPr>
            <w:tcW w:w="1228" w:type="dxa"/>
            <w:vAlign w:val="center"/>
          </w:tcPr>
          <w:p w14:paraId="1D117F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实时事件监控</w:t>
            </w:r>
          </w:p>
        </w:tc>
        <w:tc>
          <w:tcPr>
            <w:tcW w:w="7699" w:type="dxa"/>
            <w:vAlign w:val="center"/>
          </w:tcPr>
          <w:p w14:paraId="0B8459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支持实时事件监控，可展示实时事件发生时间、协议、源IP地址及所属国家、源端口、目的IP地址及所属国家、目的端口、级别、动作、规则编号、事件类型、描述等信息，能够设置实时事件监控的事件类型、级别、滚动比例，并支持根据事件类型、规则编号、级别、事件描述等内容进行检索</w:t>
            </w:r>
          </w:p>
        </w:tc>
      </w:tr>
      <w:tr w14:paraId="0CD7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486C120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w:t>
            </w:r>
          </w:p>
        </w:tc>
        <w:tc>
          <w:tcPr>
            <w:tcW w:w="1228" w:type="dxa"/>
            <w:vAlign w:val="center"/>
          </w:tcPr>
          <w:p w14:paraId="0D548A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攻击检测监控</w:t>
            </w:r>
          </w:p>
        </w:tc>
        <w:tc>
          <w:tcPr>
            <w:tcW w:w="7699" w:type="dxa"/>
            <w:vAlign w:val="center"/>
          </w:tcPr>
          <w:p w14:paraId="3E4D1D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支持攻击检测事件监控，可按照当天、昨天、本周、自定义等方式展示攻击事件、联动阻断、被攻击主机、攻击源等数量，具备Top10攻击事件、Top10被攻击主机、受影响业务分布、攻击类型分布、攻击趋势等内容监控能力</w:t>
            </w:r>
          </w:p>
        </w:tc>
      </w:tr>
      <w:tr w14:paraId="4BD2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8" w:type="dxa"/>
            <w:vAlign w:val="center"/>
          </w:tcPr>
          <w:p w14:paraId="1B6C25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28</w:t>
            </w:r>
          </w:p>
        </w:tc>
        <w:tc>
          <w:tcPr>
            <w:tcW w:w="1228" w:type="dxa"/>
            <w:vAlign w:val="center"/>
          </w:tcPr>
          <w:p w14:paraId="08A7E5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内核软件</w:t>
            </w:r>
          </w:p>
        </w:tc>
        <w:tc>
          <w:tcPr>
            <w:tcW w:w="7699" w:type="dxa"/>
            <w:vAlign w:val="center"/>
          </w:tcPr>
          <w:p w14:paraId="73B378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为保证设备在应对高流量入侵防御、高并发攻击流量时，保证设备自身具备较高的性能，要求设备内核采用多核并行的机制，具备多核运行能力。</w:t>
            </w:r>
            <w:r>
              <w:rPr>
                <w:rFonts w:hint="eastAsia" w:asciiTheme="minorEastAsia" w:hAnsiTheme="minorEastAsia" w:cstheme="minorEastAsia"/>
                <w:color w:val="000000" w:themeColor="text1"/>
                <w:sz w:val="24"/>
                <w:szCs w:val="24"/>
                <w:highlight w:val="none"/>
                <w:u w:val="single"/>
                <w:lang w:eastAsia="zh-CN"/>
                <w14:textFill>
                  <w14:solidFill>
                    <w14:schemeClr w14:val="tx1"/>
                  </w14:solidFill>
                </w14:textFill>
              </w:rPr>
              <w:t>（提供第三方检测机构出具的</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有效的</w:t>
            </w:r>
            <w:r>
              <w:rPr>
                <w:rFonts w:hint="eastAsia" w:asciiTheme="minorEastAsia" w:hAnsiTheme="minorEastAsia" w:cstheme="minorEastAsia"/>
                <w:color w:val="000000" w:themeColor="text1"/>
                <w:sz w:val="24"/>
                <w:szCs w:val="24"/>
                <w:highlight w:val="none"/>
                <w:u w:val="single"/>
                <w:lang w:eastAsia="zh-CN"/>
                <w14:textFill>
                  <w14:solidFill>
                    <w14:schemeClr w14:val="tx1"/>
                  </w14:solidFill>
                </w14:textFill>
              </w:rPr>
              <w:t>检测报告）</w:t>
            </w:r>
          </w:p>
        </w:tc>
      </w:tr>
    </w:tbl>
    <w:p w14:paraId="521F74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（三）、日志审计</w:t>
      </w:r>
    </w:p>
    <w:tbl>
      <w:tblPr>
        <w:tblStyle w:val="21"/>
        <w:tblW w:w="9623"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15"/>
        <w:gridCol w:w="7682"/>
      </w:tblGrid>
      <w:tr w14:paraId="09A6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vAlign w:val="center"/>
          </w:tcPr>
          <w:p w14:paraId="0919975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highlight w:val="none"/>
                <w:lang w:val="en-US" w:eastAsia="zh-CN"/>
                <w14:textFill>
                  <w14:solidFill>
                    <w14:schemeClr w14:val="tx1"/>
                  </w14:solidFill>
                </w14:textFill>
              </w:rPr>
              <w:t>序号</w:t>
            </w:r>
          </w:p>
        </w:tc>
        <w:tc>
          <w:tcPr>
            <w:tcW w:w="1215" w:type="dxa"/>
            <w:tcBorders>
              <w:top w:val="single" w:color="auto" w:sz="4" w:space="0"/>
              <w:left w:val="single" w:color="auto" w:sz="4" w:space="0"/>
              <w:bottom w:val="single" w:color="auto" w:sz="4" w:space="0"/>
              <w:right w:val="single" w:color="auto" w:sz="4" w:space="0"/>
            </w:tcBorders>
            <w:vAlign w:val="center"/>
          </w:tcPr>
          <w:p w14:paraId="5E079FA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指标项</w:t>
            </w:r>
          </w:p>
        </w:tc>
        <w:tc>
          <w:tcPr>
            <w:tcW w:w="7682" w:type="dxa"/>
            <w:tcBorders>
              <w:top w:val="single" w:color="auto" w:sz="4" w:space="0"/>
              <w:left w:val="single" w:color="auto" w:sz="4" w:space="0"/>
              <w:bottom w:val="single" w:color="auto" w:sz="4" w:space="0"/>
              <w:right w:val="single" w:color="auto" w:sz="4" w:space="0"/>
            </w:tcBorders>
            <w:vAlign w:val="center"/>
          </w:tcPr>
          <w:p w14:paraId="55E84C2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指标要求</w:t>
            </w:r>
          </w:p>
        </w:tc>
      </w:tr>
      <w:tr w14:paraId="521F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30C94B9E">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w:t>
            </w:r>
          </w:p>
        </w:tc>
        <w:tc>
          <w:tcPr>
            <w:tcW w:w="1215" w:type="dxa"/>
            <w:tcBorders>
              <w:left w:val="single" w:color="auto" w:sz="4" w:space="0"/>
              <w:right w:val="single" w:color="auto" w:sz="4" w:space="0"/>
            </w:tcBorders>
            <w:vAlign w:val="center"/>
          </w:tcPr>
          <w:p w14:paraId="60A537CF">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硬件要求</w:t>
            </w:r>
          </w:p>
        </w:tc>
        <w:tc>
          <w:tcPr>
            <w:tcW w:w="7682" w:type="dxa"/>
            <w:tcBorders>
              <w:top w:val="single" w:color="auto" w:sz="4" w:space="0"/>
              <w:left w:val="single" w:color="auto" w:sz="4" w:space="0"/>
              <w:bottom w:val="single" w:color="auto" w:sz="4" w:space="0"/>
              <w:right w:val="single" w:color="auto" w:sz="4" w:space="0"/>
            </w:tcBorders>
          </w:tcPr>
          <w:p w14:paraId="22A181FF">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国产化</w:t>
            </w: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芯片及操作系统</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，综合日志处理性能≥5000EPS，日志采集处理均值≥10000EPS，≥6个千兆电口，4个千兆光口。包含不少于150个日志源授权支持收集网络设备、服务器、安全设备等多源日志;三年质保服务。</w:t>
            </w:r>
          </w:p>
        </w:tc>
      </w:tr>
      <w:tr w14:paraId="1A66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090902A1">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2</w:t>
            </w:r>
          </w:p>
        </w:tc>
        <w:tc>
          <w:tcPr>
            <w:tcW w:w="1215" w:type="dxa"/>
            <w:tcBorders>
              <w:left w:val="single" w:color="auto" w:sz="4" w:space="0"/>
              <w:right w:val="single" w:color="auto" w:sz="4" w:space="0"/>
            </w:tcBorders>
            <w:vAlign w:val="center"/>
          </w:tcPr>
          <w:p w14:paraId="367D226C">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系统架构</w:t>
            </w:r>
          </w:p>
        </w:tc>
        <w:tc>
          <w:tcPr>
            <w:tcW w:w="7682" w:type="dxa"/>
            <w:tcBorders>
              <w:top w:val="single" w:color="auto" w:sz="4" w:space="0"/>
              <w:left w:val="single" w:color="auto" w:sz="4" w:space="0"/>
              <w:bottom w:val="single" w:color="auto" w:sz="4" w:space="0"/>
              <w:right w:val="single" w:color="auto" w:sz="4" w:space="0"/>
            </w:tcBorders>
            <w:vAlign w:val="center"/>
          </w:tcPr>
          <w:p w14:paraId="54F7ACC2">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为保障系统运行的可靠性与稳定性，要求信息安全设备、系统软件的开发、生产符合TL9000-HSV标准</w:t>
            </w:r>
            <w:r>
              <w:rPr>
                <w:rFonts w:hint="eastAsia" w:asciiTheme="minorEastAsia" w:hAnsiTheme="minorEastAsia" w:cstheme="minorEastAsia"/>
                <w:bCs/>
                <w:color w:val="000000" w:themeColor="text1"/>
                <w:sz w:val="24"/>
                <w:szCs w:val="24"/>
                <w:highlight w:val="none"/>
                <w:lang w:eastAsia="zh-CN"/>
                <w14:textFill>
                  <w14:solidFill>
                    <w14:schemeClr w14:val="tx1"/>
                  </w14:solidFill>
                </w14:textFill>
              </w:rPr>
              <w:t>。</w:t>
            </w:r>
          </w:p>
        </w:tc>
      </w:tr>
      <w:tr w14:paraId="0595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472A9E8E">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3</w:t>
            </w:r>
          </w:p>
        </w:tc>
        <w:tc>
          <w:tcPr>
            <w:tcW w:w="1215" w:type="dxa"/>
            <w:vMerge w:val="restart"/>
            <w:tcBorders>
              <w:left w:val="single" w:color="auto" w:sz="4" w:space="0"/>
              <w:right w:val="single" w:color="auto" w:sz="4" w:space="0"/>
            </w:tcBorders>
            <w:vAlign w:val="center"/>
          </w:tcPr>
          <w:p w14:paraId="00FA6DE1">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数据采集</w:t>
            </w:r>
          </w:p>
        </w:tc>
        <w:tc>
          <w:tcPr>
            <w:tcW w:w="7682" w:type="dxa"/>
            <w:tcBorders>
              <w:top w:val="single" w:color="auto" w:sz="4" w:space="0"/>
              <w:left w:val="single" w:color="auto" w:sz="4" w:space="0"/>
              <w:bottom w:val="single" w:color="auto" w:sz="4" w:space="0"/>
              <w:right w:val="single" w:color="auto" w:sz="4" w:space="0"/>
            </w:tcBorders>
            <w:vAlign w:val="center"/>
          </w:tcPr>
          <w:p w14:paraId="5076EE00">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支持日志归一化处理，将不同设备所产生的不同格式的难以理解的日志数据进行统一格式化处理，提炼出有用信息清晰、明确的展示给管理者；系统内置已支持设备种类清单，提供设备日志外发配置建议指导；</w:t>
            </w:r>
          </w:p>
        </w:tc>
      </w:tr>
      <w:tr w14:paraId="61EA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6AA45376">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4</w:t>
            </w:r>
          </w:p>
        </w:tc>
        <w:tc>
          <w:tcPr>
            <w:tcW w:w="1215" w:type="dxa"/>
            <w:vMerge w:val="continue"/>
            <w:tcBorders>
              <w:left w:val="single" w:color="auto" w:sz="4" w:space="0"/>
              <w:right w:val="single" w:color="auto" w:sz="4" w:space="0"/>
            </w:tcBorders>
            <w:vAlign w:val="center"/>
          </w:tcPr>
          <w:p w14:paraId="1D2B4919">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5BC9B622">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支持独立展示每个被采集源最近24小时的日志数量趋势，便于掌握设备的安全事件情况，支持独立展示每个设备日志的最新采集时间，便于了解设备日志的采集状态；</w:t>
            </w:r>
          </w:p>
        </w:tc>
      </w:tr>
      <w:tr w14:paraId="50E2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5157C7BE">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5</w:t>
            </w:r>
          </w:p>
        </w:tc>
        <w:tc>
          <w:tcPr>
            <w:tcW w:w="1215" w:type="dxa"/>
            <w:vMerge w:val="continue"/>
            <w:tcBorders>
              <w:left w:val="single" w:color="auto" w:sz="4" w:space="0"/>
              <w:right w:val="single" w:color="auto" w:sz="4" w:space="0"/>
            </w:tcBorders>
            <w:vAlign w:val="center"/>
          </w:tcPr>
          <w:p w14:paraId="5D639A6A">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77D8D632">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支持按照日志源名称、IP地址、日志源类型、接受时间及状态等维度对日志源列表进行排序；</w:t>
            </w:r>
          </w:p>
        </w:tc>
      </w:tr>
      <w:tr w14:paraId="4435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20D316C4">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6</w:t>
            </w:r>
          </w:p>
        </w:tc>
        <w:tc>
          <w:tcPr>
            <w:tcW w:w="1215" w:type="dxa"/>
            <w:vMerge w:val="continue"/>
            <w:tcBorders>
              <w:left w:val="single" w:color="auto" w:sz="4" w:space="0"/>
              <w:right w:val="single" w:color="auto" w:sz="4" w:space="0"/>
            </w:tcBorders>
            <w:vAlign w:val="center"/>
          </w:tcPr>
          <w:p w14:paraId="584A96AA">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0E2A88C2">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支持对日志流量非常大但是日志重要程度低的syslog类型日志源进行限制接收速率，降低对系统资源的占用，保障重要日志的收集；</w:t>
            </w:r>
          </w:p>
        </w:tc>
      </w:tr>
      <w:tr w14:paraId="772D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70FB130C">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7</w:t>
            </w:r>
          </w:p>
        </w:tc>
        <w:tc>
          <w:tcPr>
            <w:tcW w:w="1215" w:type="dxa"/>
            <w:vMerge w:val="continue"/>
            <w:tcBorders>
              <w:left w:val="single" w:color="auto" w:sz="4" w:space="0"/>
              <w:right w:val="single" w:color="auto" w:sz="4" w:space="0"/>
            </w:tcBorders>
            <w:vAlign w:val="center"/>
          </w:tcPr>
          <w:p w14:paraId="3D9C5853">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1AFF1438">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支持Syslog、SNMP Trap、Netflow、JDBC、WMI、FTP、SFTP、SCP、文件等方式进行数据采集；支持通过Agent采集日志数据。</w:t>
            </w:r>
          </w:p>
        </w:tc>
      </w:tr>
      <w:tr w14:paraId="42E3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bottom w:val="single" w:color="auto" w:sz="4" w:space="0"/>
              <w:right w:val="single" w:color="auto" w:sz="4" w:space="0"/>
            </w:tcBorders>
            <w:vAlign w:val="center"/>
          </w:tcPr>
          <w:p w14:paraId="4C108E1A">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8</w:t>
            </w:r>
          </w:p>
        </w:tc>
        <w:tc>
          <w:tcPr>
            <w:tcW w:w="1215" w:type="dxa"/>
            <w:vMerge w:val="continue"/>
            <w:tcBorders>
              <w:left w:val="single" w:color="auto" w:sz="4" w:space="0"/>
              <w:bottom w:val="single" w:color="auto" w:sz="4" w:space="0"/>
              <w:right w:val="single" w:color="auto" w:sz="4" w:space="0"/>
            </w:tcBorders>
            <w:vAlign w:val="center"/>
          </w:tcPr>
          <w:p w14:paraId="2597D25E">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113CFA30">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支持对文本类型日志源进行限速采集，匀速采集日志，防止对系统资源产生突发冲击；</w:t>
            </w:r>
          </w:p>
        </w:tc>
      </w:tr>
      <w:tr w14:paraId="35DB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right w:val="single" w:color="auto" w:sz="4" w:space="0"/>
            </w:tcBorders>
            <w:vAlign w:val="center"/>
          </w:tcPr>
          <w:p w14:paraId="1125AD75">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9</w:t>
            </w:r>
          </w:p>
        </w:tc>
        <w:tc>
          <w:tcPr>
            <w:tcW w:w="1215" w:type="dxa"/>
            <w:vMerge w:val="restart"/>
            <w:tcBorders>
              <w:top w:val="single" w:color="auto" w:sz="4" w:space="0"/>
              <w:left w:val="single" w:color="auto" w:sz="4" w:space="0"/>
              <w:right w:val="single" w:color="auto" w:sz="4" w:space="0"/>
            </w:tcBorders>
            <w:vAlign w:val="center"/>
          </w:tcPr>
          <w:p w14:paraId="234F1297">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数据存储</w:t>
            </w:r>
          </w:p>
        </w:tc>
        <w:tc>
          <w:tcPr>
            <w:tcW w:w="7682" w:type="dxa"/>
            <w:tcBorders>
              <w:top w:val="single" w:color="auto" w:sz="4" w:space="0"/>
              <w:left w:val="single" w:color="auto" w:sz="4" w:space="0"/>
              <w:bottom w:val="single" w:color="auto" w:sz="4" w:space="0"/>
              <w:right w:val="single" w:color="auto" w:sz="4" w:space="0"/>
            </w:tcBorders>
            <w:vAlign w:val="center"/>
          </w:tcPr>
          <w:p w14:paraId="12A06555">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支持根据设备重要程度设置独立设置每个被采集源的日志、报表数据存储时间为1个月、3个月、6个月和永久保存等参数；</w:t>
            </w:r>
          </w:p>
        </w:tc>
      </w:tr>
      <w:tr w14:paraId="72AD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01DAACE6">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10</w:t>
            </w:r>
          </w:p>
        </w:tc>
        <w:tc>
          <w:tcPr>
            <w:tcW w:w="1215" w:type="dxa"/>
            <w:vMerge w:val="continue"/>
            <w:tcBorders>
              <w:left w:val="single" w:color="auto" w:sz="4" w:space="0"/>
              <w:right w:val="single" w:color="auto" w:sz="4" w:space="0"/>
            </w:tcBorders>
            <w:vAlign w:val="center"/>
          </w:tcPr>
          <w:p w14:paraId="75D8D146">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6BE2B810">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支持日志备份功能，支持本地备份和FTP备份方式，支持自动备份和手动备份。</w:t>
            </w:r>
          </w:p>
        </w:tc>
      </w:tr>
      <w:tr w14:paraId="540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right w:val="single" w:color="auto" w:sz="4" w:space="0"/>
            </w:tcBorders>
            <w:vAlign w:val="center"/>
          </w:tcPr>
          <w:p w14:paraId="6F9705A5">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11</w:t>
            </w:r>
          </w:p>
        </w:tc>
        <w:tc>
          <w:tcPr>
            <w:tcW w:w="1215" w:type="dxa"/>
            <w:vMerge w:val="restart"/>
            <w:tcBorders>
              <w:top w:val="single" w:color="auto" w:sz="4" w:space="0"/>
              <w:left w:val="single" w:color="auto" w:sz="4" w:space="0"/>
              <w:right w:val="single" w:color="auto" w:sz="4" w:space="0"/>
            </w:tcBorders>
            <w:vAlign w:val="center"/>
          </w:tcPr>
          <w:p w14:paraId="074315F9">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数据查询</w:t>
            </w:r>
          </w:p>
        </w:tc>
        <w:tc>
          <w:tcPr>
            <w:tcW w:w="7682" w:type="dxa"/>
            <w:tcBorders>
              <w:top w:val="single" w:color="auto" w:sz="4" w:space="0"/>
              <w:left w:val="single" w:color="auto" w:sz="4" w:space="0"/>
              <w:bottom w:val="single" w:color="auto" w:sz="4" w:space="0"/>
              <w:right w:val="single" w:color="auto" w:sz="4" w:space="0"/>
            </w:tcBorders>
            <w:vAlign w:val="center"/>
          </w:tcPr>
          <w:p w14:paraId="05CEEA80">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 xml:space="preserve">支持在日志查询结果上针对源IP、目的IP、操作、源端口、目的端口等字段一键快速统计，以饼图方式展示，对于源IP和目的IP（公网地址）还支持以中国地图、世界地图方式展示，在统计图上能够进行点击下钻查询对应条件的日志结果； </w:t>
            </w:r>
          </w:p>
        </w:tc>
      </w:tr>
      <w:tr w14:paraId="3108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308AC929">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12</w:t>
            </w:r>
          </w:p>
        </w:tc>
        <w:tc>
          <w:tcPr>
            <w:tcW w:w="1215" w:type="dxa"/>
            <w:vMerge w:val="continue"/>
            <w:tcBorders>
              <w:left w:val="single" w:color="auto" w:sz="4" w:space="0"/>
              <w:right w:val="single" w:color="auto" w:sz="4" w:space="0"/>
            </w:tcBorders>
            <w:vAlign w:val="center"/>
          </w:tcPr>
          <w:p w14:paraId="5E61C7B0">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391C93B1">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支持等于、不等于、大于、小于、正则表达式等查询条件；支持多条件组合查询；支持原始日志全文检索；</w:t>
            </w:r>
          </w:p>
        </w:tc>
      </w:tr>
      <w:tr w14:paraId="120B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0EDF0287">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13</w:t>
            </w:r>
          </w:p>
        </w:tc>
        <w:tc>
          <w:tcPr>
            <w:tcW w:w="1215" w:type="dxa"/>
            <w:vMerge w:val="continue"/>
            <w:tcBorders>
              <w:left w:val="single" w:color="auto" w:sz="4" w:space="0"/>
              <w:right w:val="single" w:color="auto" w:sz="4" w:space="0"/>
            </w:tcBorders>
            <w:vAlign w:val="center"/>
          </w:tcPr>
          <w:p w14:paraId="7419CED5">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1A7AE2F9">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支持查询结果快速统计，可自定义统计主题规则，支持将多个主题添加为一个统计任务，以分、时、周、月、年定时执行自动统计，将统计结果报表发送到指定邮箱；</w:t>
            </w:r>
          </w:p>
        </w:tc>
      </w:tr>
      <w:tr w14:paraId="260F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bottom w:val="single" w:color="auto" w:sz="4" w:space="0"/>
              <w:right w:val="single" w:color="auto" w:sz="4" w:space="0"/>
            </w:tcBorders>
            <w:vAlign w:val="center"/>
          </w:tcPr>
          <w:p w14:paraId="1CCA37DF">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14</w:t>
            </w:r>
          </w:p>
        </w:tc>
        <w:tc>
          <w:tcPr>
            <w:tcW w:w="1215" w:type="dxa"/>
            <w:tcBorders>
              <w:left w:val="single" w:color="auto" w:sz="4" w:space="0"/>
              <w:bottom w:val="single" w:color="auto" w:sz="4" w:space="0"/>
              <w:right w:val="single" w:color="auto" w:sz="4" w:space="0"/>
            </w:tcBorders>
            <w:vAlign w:val="center"/>
          </w:tcPr>
          <w:p w14:paraId="2F0B3F5F">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日志分析</w:t>
            </w:r>
          </w:p>
        </w:tc>
        <w:tc>
          <w:tcPr>
            <w:tcW w:w="7682" w:type="dxa"/>
            <w:tcBorders>
              <w:top w:val="single" w:color="auto" w:sz="4" w:space="0"/>
              <w:left w:val="single" w:color="auto" w:sz="4" w:space="0"/>
              <w:bottom w:val="single" w:color="auto" w:sz="4" w:space="0"/>
              <w:right w:val="single" w:color="auto" w:sz="4" w:space="0"/>
            </w:tcBorders>
            <w:vAlign w:val="center"/>
          </w:tcPr>
          <w:p w14:paraId="41A46702">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系统内置多种维度的数据在线分析模型，在数据查询结果界面直接对查询结果数据进行多维度在线数据分析，分析结果实时展示，分析模型包括但不限于树图、散点图、关系图、折线图、时序图、柱状图等</w:t>
            </w:r>
          </w:p>
        </w:tc>
      </w:tr>
      <w:tr w14:paraId="63E5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right w:val="single" w:color="auto" w:sz="4" w:space="0"/>
            </w:tcBorders>
            <w:vAlign w:val="center"/>
          </w:tcPr>
          <w:p w14:paraId="211DC024">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15</w:t>
            </w:r>
          </w:p>
        </w:tc>
        <w:tc>
          <w:tcPr>
            <w:tcW w:w="1215" w:type="dxa"/>
            <w:vMerge w:val="restart"/>
            <w:tcBorders>
              <w:top w:val="single" w:color="auto" w:sz="4" w:space="0"/>
              <w:left w:val="single" w:color="auto" w:sz="4" w:space="0"/>
              <w:right w:val="single" w:color="auto" w:sz="4" w:space="0"/>
            </w:tcBorders>
            <w:vAlign w:val="center"/>
          </w:tcPr>
          <w:p w14:paraId="3B7C95C4">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告警管理</w:t>
            </w:r>
          </w:p>
        </w:tc>
        <w:tc>
          <w:tcPr>
            <w:tcW w:w="7682" w:type="dxa"/>
            <w:tcBorders>
              <w:top w:val="single" w:color="auto" w:sz="4" w:space="0"/>
              <w:left w:val="single" w:color="auto" w:sz="4" w:space="0"/>
              <w:bottom w:val="single" w:color="auto" w:sz="4" w:space="0"/>
              <w:right w:val="single" w:color="auto" w:sz="4" w:space="0"/>
            </w:tcBorders>
            <w:vAlign w:val="center"/>
          </w:tcPr>
          <w:p w14:paraId="5FA71E48">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支持首页展示当日告警情况统计；支持展示当日最新告警TOP10、TOP30和TOP50；</w:t>
            </w:r>
          </w:p>
        </w:tc>
      </w:tr>
      <w:tr w14:paraId="7F3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68F5A189">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16</w:t>
            </w:r>
          </w:p>
        </w:tc>
        <w:tc>
          <w:tcPr>
            <w:tcW w:w="1215" w:type="dxa"/>
            <w:vMerge w:val="continue"/>
            <w:tcBorders>
              <w:left w:val="single" w:color="auto" w:sz="4" w:space="0"/>
              <w:right w:val="single" w:color="auto" w:sz="4" w:space="0"/>
            </w:tcBorders>
            <w:vAlign w:val="center"/>
          </w:tcPr>
          <w:p w14:paraId="1648CB3A">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6103241A">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内置系统运行相关告警规则，包括检测到新日志源、节点掉线、主动日志源长期不外发日志、存储上限告警、主机认证失败等，可启用/禁用规则；</w:t>
            </w:r>
          </w:p>
        </w:tc>
      </w:tr>
      <w:tr w14:paraId="5B5B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bottom w:val="single" w:color="auto" w:sz="4" w:space="0"/>
              <w:right w:val="single" w:color="auto" w:sz="4" w:space="0"/>
            </w:tcBorders>
            <w:vAlign w:val="center"/>
          </w:tcPr>
          <w:p w14:paraId="564B8CEF">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17</w:t>
            </w:r>
          </w:p>
        </w:tc>
        <w:tc>
          <w:tcPr>
            <w:tcW w:w="1215" w:type="dxa"/>
            <w:vMerge w:val="continue"/>
            <w:tcBorders>
              <w:left w:val="single" w:color="auto" w:sz="4" w:space="0"/>
              <w:bottom w:val="single" w:color="auto" w:sz="4" w:space="0"/>
              <w:right w:val="single" w:color="auto" w:sz="4" w:space="0"/>
            </w:tcBorders>
            <w:vAlign w:val="center"/>
          </w:tcPr>
          <w:p w14:paraId="4616F974">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59E596FD">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支持实时告警展示，可根据告警规则、告警级别两个维度进行实时告警监视，并可对刷新事件间隔进行设定；</w:t>
            </w:r>
          </w:p>
        </w:tc>
      </w:tr>
      <w:tr w14:paraId="3706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right w:val="single" w:color="auto" w:sz="4" w:space="0"/>
            </w:tcBorders>
            <w:vAlign w:val="center"/>
          </w:tcPr>
          <w:p w14:paraId="41354E28">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18</w:t>
            </w:r>
          </w:p>
        </w:tc>
        <w:tc>
          <w:tcPr>
            <w:tcW w:w="1215" w:type="dxa"/>
            <w:vMerge w:val="restart"/>
            <w:tcBorders>
              <w:top w:val="single" w:color="auto" w:sz="4" w:space="0"/>
              <w:left w:val="single" w:color="auto" w:sz="4" w:space="0"/>
              <w:right w:val="single" w:color="auto" w:sz="4" w:space="0"/>
            </w:tcBorders>
            <w:vAlign w:val="center"/>
          </w:tcPr>
          <w:p w14:paraId="2C229513">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统计报表管理</w:t>
            </w:r>
          </w:p>
        </w:tc>
        <w:tc>
          <w:tcPr>
            <w:tcW w:w="7682" w:type="dxa"/>
            <w:tcBorders>
              <w:top w:val="single" w:color="auto" w:sz="4" w:space="0"/>
              <w:left w:val="single" w:color="auto" w:sz="4" w:space="0"/>
              <w:bottom w:val="single" w:color="auto" w:sz="4" w:space="0"/>
              <w:right w:val="single" w:color="auto" w:sz="4" w:space="0"/>
            </w:tcBorders>
            <w:vAlign w:val="center"/>
          </w:tcPr>
          <w:p w14:paraId="45BE7FE0">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系统内置上百种报表模版，支持自动实现智能报表创建，每添加一个日志源，系统自动分析日志源类型进行相应报表创建，无需人工干预，报表和资产一一对应；</w:t>
            </w:r>
          </w:p>
        </w:tc>
      </w:tr>
      <w:tr w14:paraId="401B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right w:val="single" w:color="auto" w:sz="4" w:space="0"/>
            </w:tcBorders>
            <w:vAlign w:val="center"/>
          </w:tcPr>
          <w:p w14:paraId="6D49F572">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19</w:t>
            </w:r>
          </w:p>
        </w:tc>
        <w:tc>
          <w:tcPr>
            <w:tcW w:w="1215" w:type="dxa"/>
            <w:vMerge w:val="continue"/>
            <w:tcBorders>
              <w:left w:val="single" w:color="auto" w:sz="4" w:space="0"/>
              <w:right w:val="single" w:color="auto" w:sz="4" w:space="0"/>
            </w:tcBorders>
            <w:vAlign w:val="center"/>
          </w:tcPr>
          <w:p w14:paraId="5D57B3D1">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0492AC7A">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报表支持基于全国地图、全球地图进行访问源、访问目的追踪。</w:t>
            </w:r>
          </w:p>
        </w:tc>
      </w:tr>
      <w:tr w14:paraId="22FC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left w:val="single" w:color="auto" w:sz="4" w:space="0"/>
              <w:bottom w:val="single" w:color="auto" w:sz="4" w:space="0"/>
              <w:right w:val="single" w:color="auto" w:sz="4" w:space="0"/>
            </w:tcBorders>
            <w:vAlign w:val="center"/>
          </w:tcPr>
          <w:p w14:paraId="0B92F069">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20</w:t>
            </w:r>
          </w:p>
        </w:tc>
        <w:tc>
          <w:tcPr>
            <w:tcW w:w="1215" w:type="dxa"/>
            <w:vMerge w:val="continue"/>
            <w:tcBorders>
              <w:left w:val="single" w:color="auto" w:sz="4" w:space="0"/>
              <w:bottom w:val="single" w:color="auto" w:sz="4" w:space="0"/>
              <w:right w:val="single" w:color="auto" w:sz="4" w:space="0"/>
            </w:tcBorders>
            <w:vAlign w:val="center"/>
          </w:tcPr>
          <w:p w14:paraId="6E81D96A">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tc>
        <w:tc>
          <w:tcPr>
            <w:tcW w:w="7682" w:type="dxa"/>
            <w:tcBorders>
              <w:top w:val="single" w:color="auto" w:sz="4" w:space="0"/>
              <w:left w:val="single" w:color="auto" w:sz="4" w:space="0"/>
              <w:bottom w:val="single" w:color="auto" w:sz="4" w:space="0"/>
              <w:right w:val="single" w:color="auto" w:sz="4" w:space="0"/>
            </w:tcBorders>
            <w:vAlign w:val="center"/>
          </w:tcPr>
          <w:p w14:paraId="38968D53">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支持自定义统计日志数据形成报表，支持统计分析报表以PDF、word、execl、html等方式导出；支持实时报表、计划报表。</w:t>
            </w:r>
          </w:p>
        </w:tc>
      </w:tr>
      <w:tr w14:paraId="1489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right w:val="single" w:color="auto" w:sz="4" w:space="0"/>
            </w:tcBorders>
            <w:vAlign w:val="center"/>
          </w:tcPr>
          <w:p w14:paraId="54AE93B7">
            <w:pPr>
              <w:keepNext w:val="0"/>
              <w:keepLines w:val="0"/>
              <w:pageBreakBefore w:val="0"/>
              <w:kinsoku/>
              <w:wordWrap/>
              <w:overflowPunct/>
              <w:topLinePunct w:val="0"/>
              <w:autoSpaceDE/>
              <w:autoSpaceDN/>
              <w:bidi w:val="0"/>
              <w:snapToGrid/>
              <w:spacing w:line="360" w:lineRule="auto"/>
              <w:jc w:val="center"/>
              <w:textAlignment w:val="auto"/>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21</w:t>
            </w:r>
          </w:p>
        </w:tc>
        <w:tc>
          <w:tcPr>
            <w:tcW w:w="1215" w:type="dxa"/>
            <w:tcBorders>
              <w:top w:val="single" w:color="auto" w:sz="4" w:space="0"/>
              <w:left w:val="single" w:color="auto" w:sz="4" w:space="0"/>
              <w:right w:val="single" w:color="auto" w:sz="4" w:space="0"/>
            </w:tcBorders>
            <w:vAlign w:val="center"/>
          </w:tcPr>
          <w:p w14:paraId="1C1443ED">
            <w:pPr>
              <w:keepNext w:val="0"/>
              <w:keepLines w:val="0"/>
              <w:pageBreakBefore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日志源管理</w:t>
            </w:r>
          </w:p>
        </w:tc>
        <w:tc>
          <w:tcPr>
            <w:tcW w:w="7682" w:type="dxa"/>
            <w:tcBorders>
              <w:top w:val="single" w:color="auto" w:sz="4" w:space="0"/>
              <w:left w:val="single" w:color="auto" w:sz="4" w:space="0"/>
              <w:bottom w:val="single" w:color="auto" w:sz="4" w:space="0"/>
              <w:right w:val="single" w:color="auto" w:sz="4" w:space="0"/>
            </w:tcBorders>
            <w:vAlign w:val="center"/>
          </w:tcPr>
          <w:p w14:paraId="4E5A3F6A">
            <w:pPr>
              <w:keepNext w:val="0"/>
              <w:keepLines w:val="0"/>
              <w:pageBreakBefore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支持对重点日志源的关注设置，并可通过关注列表快速查看重点日志源的状态、当日日志量、采集日志总量、最近接收时间、业务组等基础信息；</w:t>
            </w:r>
          </w:p>
        </w:tc>
      </w:tr>
    </w:tbl>
    <w:p w14:paraId="61158362">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HAnsi" w:hAnsiTheme="minorHAnsi" w:eastAsiaTheme="minorEastAsia" w:cstheme="minorBidi"/>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（四）、</w:t>
      </w:r>
      <w:r>
        <w:rPr>
          <w:rFonts w:hint="eastAsia" w:asciiTheme="minorHAnsi" w:hAnsiTheme="minorHAnsi" w:eastAsiaTheme="minorEastAsia" w:cstheme="minorBidi"/>
          <w:b/>
          <w:bCs w:val="0"/>
          <w:kern w:val="44"/>
          <w:sz w:val="24"/>
          <w:szCs w:val="24"/>
          <w:highlight w:val="none"/>
          <w:lang w:val="en-US" w:eastAsia="zh-CN" w:bidi="ar-SA"/>
        </w:rPr>
        <w:t>网闸</w:t>
      </w:r>
    </w:p>
    <w:tbl>
      <w:tblPr>
        <w:tblStyle w:val="21"/>
        <w:tblW w:w="9646"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45"/>
        <w:gridCol w:w="7630"/>
      </w:tblGrid>
      <w:tr w14:paraId="794B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71" w:type="dxa"/>
            <w:vAlign w:val="center"/>
          </w:tcPr>
          <w:p w14:paraId="2ADD8E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序号</w:t>
            </w:r>
          </w:p>
        </w:tc>
        <w:tc>
          <w:tcPr>
            <w:tcW w:w="1245" w:type="dxa"/>
            <w:vAlign w:val="center"/>
          </w:tcPr>
          <w:p w14:paraId="3805E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指标项</w:t>
            </w:r>
          </w:p>
        </w:tc>
        <w:tc>
          <w:tcPr>
            <w:tcW w:w="7630" w:type="dxa"/>
            <w:vAlign w:val="center"/>
          </w:tcPr>
          <w:p w14:paraId="045E13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招标要求</w:t>
            </w:r>
          </w:p>
        </w:tc>
      </w:tr>
      <w:tr w14:paraId="233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1" w:type="dxa"/>
            <w:vAlign w:val="center"/>
          </w:tcPr>
          <w:p w14:paraId="249B35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45" w:type="dxa"/>
            <w:vAlign w:val="center"/>
          </w:tcPr>
          <w:p w14:paraId="494F6F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硬件规格</w:t>
            </w:r>
          </w:p>
        </w:tc>
        <w:tc>
          <w:tcPr>
            <w:tcW w:w="7630" w:type="dxa"/>
            <w:vAlign w:val="center"/>
          </w:tcPr>
          <w:p w14:paraId="69EBF0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国产化CPU和国产化操作系统，符合安全可靠测评结果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标准2U设备，冗余电源；内端机配置：千兆电口≥6个，千兆光口≥2个，扩展插槽≥1个，配置液晶屏；外端机接口规格：千兆电口≥6个，千兆光口≥2个，扩展插槽≥1个，配置液晶屏；吞吐率≥800Mbps,系统延时&lt;3ms,并发连接数≥30万；配置文件交换、FTP访问、数据库交换、邮件传输、安全浏览、安全传输、消息传输模块、视频传输和工控模块等功能模块；设备具备健康指示灯、HA工作状态监控灯，能通过指示灯判断，当前主备机的工作状态。</w:t>
            </w:r>
          </w:p>
        </w:tc>
      </w:tr>
      <w:tr w14:paraId="4AC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vAlign w:val="center"/>
          </w:tcPr>
          <w:p w14:paraId="43AEFF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45" w:type="dxa"/>
            <w:vAlign w:val="center"/>
          </w:tcPr>
          <w:p w14:paraId="649EDE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系统架构</w:t>
            </w:r>
          </w:p>
        </w:tc>
        <w:tc>
          <w:tcPr>
            <w:tcW w:w="7630" w:type="dxa"/>
            <w:vAlign w:val="center"/>
          </w:tcPr>
          <w:p w14:paraId="388F0A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采用“2+1”系统架构，即由两个主机系统和一个隔离交换专用硬件组成；隔离交换矩阵基于专用芯片实现，保证数据在搬移的时间内，内、外网隔离卡与内、外网系统为断开状态。</w:t>
            </w:r>
          </w:p>
        </w:tc>
      </w:tr>
      <w:tr w14:paraId="6DD8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771" w:type="dxa"/>
            <w:vAlign w:val="center"/>
          </w:tcPr>
          <w:p w14:paraId="3DC57F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45" w:type="dxa"/>
            <w:vAlign w:val="center"/>
          </w:tcPr>
          <w:p w14:paraId="7AB813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双系统引导</w:t>
            </w:r>
          </w:p>
        </w:tc>
        <w:tc>
          <w:tcPr>
            <w:tcW w:w="7630" w:type="dxa"/>
            <w:vAlign w:val="center"/>
          </w:tcPr>
          <w:p w14:paraId="44A0B7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内外网主机系统分别支持双系统引导可在WEB界面上直接配置启动顺序，在A系统发生故障时，可以切换到B系统；且支持系统(包括配置)备份；</w:t>
            </w:r>
          </w:p>
        </w:tc>
      </w:tr>
      <w:tr w14:paraId="2C65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1" w:type="dxa"/>
            <w:vAlign w:val="center"/>
          </w:tcPr>
          <w:p w14:paraId="1B7B05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45" w:type="dxa"/>
            <w:vAlign w:val="center"/>
          </w:tcPr>
          <w:p w14:paraId="3226C2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双因子认证</w:t>
            </w:r>
          </w:p>
        </w:tc>
        <w:tc>
          <w:tcPr>
            <w:tcW w:w="7630" w:type="dxa"/>
            <w:vAlign w:val="center"/>
          </w:tcPr>
          <w:p w14:paraId="5AF0204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支持基于动态令牌的双因子认证方式。客户端与安全隔离与信息交换系统间采用数字证书方式的身份认证，可以WEB认证方式和专用客户端认证。</w:t>
            </w:r>
          </w:p>
        </w:tc>
      </w:tr>
      <w:tr w14:paraId="6EBE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1" w:type="dxa"/>
            <w:vAlign w:val="center"/>
          </w:tcPr>
          <w:p w14:paraId="5A5F25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45" w:type="dxa"/>
            <w:vAlign w:val="center"/>
          </w:tcPr>
          <w:p w14:paraId="56D6B8E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应用代理访问</w:t>
            </w:r>
          </w:p>
        </w:tc>
        <w:tc>
          <w:tcPr>
            <w:tcW w:w="7630" w:type="dxa"/>
            <w:vAlign w:val="center"/>
          </w:tcPr>
          <w:p w14:paraId="3C2F4EC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设备支持HTTP、FTP、SMTP、POP3、数据库等应用层协议从内端到外端或者从外端到内端的应用代理访问，应用包括网页浏览、数据库访问、FTP文件传输、邮件收发</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w:t>
            </w:r>
          </w:p>
        </w:tc>
      </w:tr>
      <w:tr w14:paraId="2E43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71" w:type="dxa"/>
            <w:vAlign w:val="center"/>
          </w:tcPr>
          <w:p w14:paraId="28CBD3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45" w:type="dxa"/>
            <w:vAlign w:val="center"/>
          </w:tcPr>
          <w:p w14:paraId="0A201C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文件格式</w:t>
            </w:r>
          </w:p>
        </w:tc>
        <w:tc>
          <w:tcPr>
            <w:tcW w:w="7630" w:type="dxa"/>
            <w:vAlign w:val="center"/>
          </w:tcPr>
          <w:p w14:paraId="037BE49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支持文件格式特征过滤；并能提供具备图形化界面的文件类型判断工具以帮助用户识别不常见文件类型。</w:t>
            </w:r>
          </w:p>
        </w:tc>
      </w:tr>
      <w:tr w14:paraId="3B04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1" w:type="dxa"/>
            <w:vAlign w:val="center"/>
          </w:tcPr>
          <w:p w14:paraId="3DB727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245" w:type="dxa"/>
            <w:vAlign w:val="center"/>
          </w:tcPr>
          <w:p w14:paraId="1409F0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SQL语句</w:t>
            </w:r>
          </w:p>
        </w:tc>
        <w:tc>
          <w:tcPr>
            <w:tcW w:w="7630" w:type="dxa"/>
            <w:vAlign w:val="center"/>
          </w:tcPr>
          <w:p w14:paraId="36A0C4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可以以白名单、黑名单方式过滤SQL语句，白名单表示仅能转发指定SQL语句，黑名单表示不能转发指定SQL语句。</w:t>
            </w:r>
          </w:p>
        </w:tc>
      </w:tr>
      <w:tr w14:paraId="62CA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71" w:type="dxa"/>
            <w:vMerge w:val="restart"/>
            <w:vAlign w:val="center"/>
          </w:tcPr>
          <w:p w14:paraId="0189E6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245" w:type="dxa"/>
            <w:vMerge w:val="restart"/>
            <w:vAlign w:val="center"/>
          </w:tcPr>
          <w:p w14:paraId="440E13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安全传输策略</w:t>
            </w:r>
          </w:p>
        </w:tc>
        <w:tc>
          <w:tcPr>
            <w:tcW w:w="7630" w:type="dxa"/>
            <w:vAlign w:val="center"/>
          </w:tcPr>
          <w:p w14:paraId="1AED69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支持文件断点续传、增量传输、发送后删除、改名传输、延时传输等策略；支持文件传输长度及MD5校验，校验失败后可自动重传；支持文件格式特征过滤。（提供第三方检测机构出具的</w:t>
            </w:r>
            <w:r>
              <w:rPr>
                <w:rFonts w:hint="eastAsia" w:ascii="宋体" w:hAnsi="宋体" w:eastAsia="宋体" w:cs="宋体"/>
                <w:sz w:val="24"/>
                <w:szCs w:val="24"/>
                <w:highlight w:val="none"/>
                <w:u w:val="single"/>
                <w:lang w:val="en-US" w:eastAsia="zh-CN"/>
              </w:rPr>
              <w:t>有效的</w:t>
            </w:r>
            <w:r>
              <w:rPr>
                <w:rFonts w:hint="eastAsia" w:ascii="宋体" w:hAnsi="宋体" w:eastAsia="宋体" w:cs="宋体"/>
                <w:sz w:val="24"/>
                <w:szCs w:val="24"/>
                <w:highlight w:val="none"/>
                <w:u w:val="single"/>
              </w:rPr>
              <w:t>检测报告）</w:t>
            </w:r>
          </w:p>
        </w:tc>
      </w:tr>
      <w:tr w14:paraId="2787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71" w:type="dxa"/>
            <w:vMerge w:val="continue"/>
            <w:vAlign w:val="center"/>
          </w:tcPr>
          <w:p w14:paraId="1016EE3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1245" w:type="dxa"/>
            <w:vMerge w:val="continue"/>
            <w:vAlign w:val="center"/>
          </w:tcPr>
          <w:p w14:paraId="13DBF44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630" w:type="dxa"/>
            <w:vAlign w:val="center"/>
          </w:tcPr>
          <w:p w14:paraId="72E0A2C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具备网络攻击流量过滤技术，可防护网络攻击行为</w:t>
            </w:r>
            <w:r>
              <w:rPr>
                <w:rFonts w:hint="eastAsia" w:ascii="宋体" w:hAnsi="宋体" w:eastAsia="宋体" w:cs="宋体"/>
                <w:sz w:val="24"/>
                <w:szCs w:val="24"/>
                <w:highlight w:val="none"/>
                <w:lang w:eastAsia="zh-CN"/>
              </w:rPr>
              <w:t>。</w:t>
            </w:r>
          </w:p>
        </w:tc>
      </w:tr>
      <w:tr w14:paraId="26EE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771" w:type="dxa"/>
            <w:vAlign w:val="center"/>
          </w:tcPr>
          <w:p w14:paraId="4ACF14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245" w:type="dxa"/>
            <w:vAlign w:val="center"/>
          </w:tcPr>
          <w:p w14:paraId="05AEA69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通用协议</w:t>
            </w:r>
          </w:p>
        </w:tc>
        <w:tc>
          <w:tcPr>
            <w:tcW w:w="7630" w:type="dxa"/>
            <w:vAlign w:val="center"/>
          </w:tcPr>
          <w:p w14:paraId="7C54862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支持SIP、GB35114、GB/T28181、DB33、H.323、ONVIF、RTSP、国电B类接口等通用协议。</w:t>
            </w:r>
          </w:p>
        </w:tc>
      </w:tr>
      <w:tr w14:paraId="4F3B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1" w:type="dxa"/>
            <w:vAlign w:val="center"/>
          </w:tcPr>
          <w:p w14:paraId="6E51E9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45" w:type="dxa"/>
            <w:vAlign w:val="center"/>
          </w:tcPr>
          <w:p w14:paraId="31F54B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双机部署</w:t>
            </w:r>
          </w:p>
        </w:tc>
        <w:tc>
          <w:tcPr>
            <w:tcW w:w="7630" w:type="dxa"/>
            <w:vAlign w:val="center"/>
          </w:tcPr>
          <w:p w14:paraId="5875B18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支持主、备状态实时展示；支持双机热备模式、集群模式部署；并具有动态集群自主知识产权；支持主、备状态实时展示。</w:t>
            </w:r>
          </w:p>
        </w:tc>
      </w:tr>
      <w:tr w14:paraId="61DF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71" w:type="dxa"/>
            <w:vAlign w:val="center"/>
          </w:tcPr>
          <w:p w14:paraId="769637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245" w:type="dxa"/>
            <w:vAlign w:val="center"/>
          </w:tcPr>
          <w:p w14:paraId="649016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Web服务</w:t>
            </w:r>
          </w:p>
        </w:tc>
        <w:tc>
          <w:tcPr>
            <w:tcW w:w="7630" w:type="dxa"/>
            <w:vAlign w:val="center"/>
          </w:tcPr>
          <w:p w14:paraId="2FA188C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支持对外开启WEB服务，供用户登录进行文件上传/下载操作；</w:t>
            </w:r>
          </w:p>
        </w:tc>
      </w:tr>
      <w:tr w14:paraId="7EFB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1" w:type="dxa"/>
            <w:vAlign w:val="center"/>
          </w:tcPr>
          <w:p w14:paraId="52A4470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245" w:type="dxa"/>
            <w:vAlign w:val="center"/>
          </w:tcPr>
          <w:p w14:paraId="3FE864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日志显示</w:t>
            </w:r>
          </w:p>
        </w:tc>
        <w:tc>
          <w:tcPr>
            <w:tcW w:w="7630" w:type="dxa"/>
            <w:vAlign w:val="center"/>
          </w:tcPr>
          <w:p w14:paraId="2E701A9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支持中文日志显示，内外网主机日志同步，图表实时显示网口流量、CPU状态、内存状态信息及告警；</w:t>
            </w:r>
          </w:p>
        </w:tc>
      </w:tr>
    </w:tbl>
    <w:p w14:paraId="1D99939F">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HAnsi" w:hAnsiTheme="minorHAnsi" w:eastAsiaTheme="minorEastAsia" w:cstheme="minorBidi"/>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（五）、</w:t>
      </w:r>
      <w:r>
        <w:rPr>
          <w:rFonts w:hint="eastAsia" w:asciiTheme="minorHAnsi" w:hAnsiTheme="minorHAnsi" w:eastAsiaTheme="minorEastAsia" w:cstheme="minorBidi"/>
          <w:b/>
          <w:bCs w:val="0"/>
          <w:kern w:val="44"/>
          <w:sz w:val="24"/>
          <w:szCs w:val="24"/>
          <w:highlight w:val="none"/>
          <w:lang w:val="en-US" w:eastAsia="zh-CN" w:bidi="ar-SA"/>
        </w:rPr>
        <w:t>汇聚交换机</w:t>
      </w:r>
    </w:p>
    <w:tbl>
      <w:tblPr>
        <w:tblStyle w:val="21"/>
        <w:tblW w:w="9646"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57"/>
        <w:gridCol w:w="7627"/>
      </w:tblGrid>
      <w:tr w14:paraId="22DA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14:paraId="2AFCFD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cstheme="minorEastAsia"/>
                <w:b/>
                <w:sz w:val="24"/>
                <w:szCs w:val="24"/>
                <w:highlight w:val="none"/>
                <w:lang w:val="en-US" w:eastAsia="zh-CN"/>
              </w:rPr>
              <w:t>序号</w:t>
            </w:r>
          </w:p>
        </w:tc>
        <w:tc>
          <w:tcPr>
            <w:tcW w:w="1257" w:type="dxa"/>
            <w:vAlign w:val="center"/>
          </w:tcPr>
          <w:p w14:paraId="3F8C8C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7627" w:type="dxa"/>
            <w:vAlign w:val="center"/>
          </w:tcPr>
          <w:p w14:paraId="166FBC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指标要求</w:t>
            </w:r>
          </w:p>
        </w:tc>
      </w:tr>
      <w:tr w14:paraId="3E73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692EA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p>
        </w:tc>
        <w:tc>
          <w:tcPr>
            <w:tcW w:w="1257" w:type="dxa"/>
            <w:vAlign w:val="center"/>
          </w:tcPr>
          <w:p w14:paraId="6A794A8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性能规格</w:t>
            </w:r>
          </w:p>
        </w:tc>
        <w:tc>
          <w:tcPr>
            <w:tcW w:w="7627" w:type="dxa"/>
            <w:vAlign w:val="center"/>
          </w:tcPr>
          <w:p w14:paraId="785EDB96">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交换容量≥600Gbps；包转发率≥200Mpps，以官网最小值为准。</w:t>
            </w:r>
          </w:p>
        </w:tc>
      </w:tr>
      <w:tr w14:paraId="45DB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dxa"/>
            <w:vAlign w:val="center"/>
          </w:tcPr>
          <w:p w14:paraId="77E50D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2</w:t>
            </w:r>
          </w:p>
        </w:tc>
        <w:tc>
          <w:tcPr>
            <w:tcW w:w="1257" w:type="dxa"/>
            <w:vAlign w:val="center"/>
          </w:tcPr>
          <w:p w14:paraId="705D712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接口</w:t>
            </w:r>
          </w:p>
        </w:tc>
        <w:tc>
          <w:tcPr>
            <w:tcW w:w="7627" w:type="dxa"/>
            <w:vAlign w:val="center"/>
          </w:tcPr>
          <w:p w14:paraId="593F4A7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≥48千兆电口，≥4个万兆光口（含光模块），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冗余电源。</w:t>
            </w:r>
          </w:p>
        </w:tc>
      </w:tr>
      <w:tr w14:paraId="037A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14:paraId="7FFA65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257" w:type="dxa"/>
            <w:vAlign w:val="center"/>
          </w:tcPr>
          <w:p w14:paraId="1D32CF0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质保服务</w:t>
            </w:r>
          </w:p>
        </w:tc>
        <w:tc>
          <w:tcPr>
            <w:tcW w:w="7627" w:type="dxa"/>
            <w:vAlign w:val="center"/>
          </w:tcPr>
          <w:p w14:paraId="1F9DF2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三年质保服务。</w:t>
            </w:r>
          </w:p>
        </w:tc>
      </w:tr>
    </w:tbl>
    <w:p w14:paraId="076A597B">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HAnsi" w:hAnsiTheme="minorHAnsi" w:eastAsiaTheme="minorEastAsia" w:cstheme="minorBidi"/>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（六）、</w:t>
      </w:r>
      <w:r>
        <w:rPr>
          <w:rFonts w:hint="eastAsia" w:asciiTheme="minorHAnsi" w:hAnsiTheme="minorHAnsi" w:eastAsiaTheme="minorEastAsia" w:cstheme="minorBidi"/>
          <w:b/>
          <w:bCs w:val="0"/>
          <w:kern w:val="44"/>
          <w:sz w:val="24"/>
          <w:szCs w:val="24"/>
          <w:highlight w:val="none"/>
          <w:lang w:val="en-US" w:eastAsia="zh-CN" w:bidi="ar-SA"/>
        </w:rPr>
        <w:t>数据库审计</w:t>
      </w:r>
    </w:p>
    <w:tbl>
      <w:tblPr>
        <w:tblStyle w:val="21"/>
        <w:tblW w:w="965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45"/>
        <w:gridCol w:w="7642"/>
      </w:tblGrid>
      <w:tr w14:paraId="7CBC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71" w:type="dxa"/>
            <w:vAlign w:val="center"/>
          </w:tcPr>
          <w:p w14:paraId="5090B3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cstheme="minorEastAsia"/>
                <w:b/>
                <w:sz w:val="24"/>
                <w:szCs w:val="24"/>
                <w:highlight w:val="none"/>
                <w:lang w:val="en-US" w:eastAsia="zh-CN"/>
              </w:rPr>
              <w:t>序号</w:t>
            </w:r>
          </w:p>
        </w:tc>
        <w:tc>
          <w:tcPr>
            <w:tcW w:w="1245" w:type="dxa"/>
            <w:vAlign w:val="center"/>
          </w:tcPr>
          <w:p w14:paraId="611255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7642" w:type="dxa"/>
            <w:vAlign w:val="center"/>
          </w:tcPr>
          <w:p w14:paraId="65E890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招标要求</w:t>
            </w:r>
          </w:p>
        </w:tc>
      </w:tr>
      <w:tr w14:paraId="4970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71" w:type="dxa"/>
            <w:vAlign w:val="center"/>
          </w:tcPr>
          <w:p w14:paraId="3CCE08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p>
        </w:tc>
        <w:tc>
          <w:tcPr>
            <w:tcW w:w="1245" w:type="dxa"/>
            <w:vAlign w:val="center"/>
          </w:tcPr>
          <w:p w14:paraId="762BE9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硬件指标</w:t>
            </w:r>
          </w:p>
        </w:tc>
        <w:tc>
          <w:tcPr>
            <w:tcW w:w="7642" w:type="dxa"/>
            <w:vAlign w:val="center"/>
          </w:tcPr>
          <w:p w14:paraId="0A50F5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国产化</w:t>
            </w:r>
            <w:r>
              <w:rPr>
                <w:rFonts w:hint="eastAsia" w:asciiTheme="minorEastAsia" w:hAnsiTheme="minorEastAsia" w:cstheme="minorEastAsia"/>
                <w:sz w:val="24"/>
                <w:szCs w:val="24"/>
                <w:highlight w:val="none"/>
                <w:lang w:val="en-US" w:eastAsia="zh-CN"/>
              </w:rPr>
              <w:t>芯片及操作系统</w:t>
            </w:r>
            <w:r>
              <w:rPr>
                <w:rFonts w:hint="eastAsia" w:asciiTheme="minorEastAsia" w:hAnsiTheme="minorEastAsia" w:eastAsiaTheme="minorEastAsia" w:cstheme="minorEastAsia"/>
                <w:sz w:val="24"/>
                <w:szCs w:val="24"/>
                <w:highlight w:val="none"/>
              </w:rPr>
              <w:t xml:space="preserve">，1U,内存≥32G，机械硬盘≥4T，≥6个千兆电口，≥4个千兆光口(光口均自带光模块)，冗余电源, ≥2个扩展槽位,吞吐: ≥1Gbps，可审计流量: ≥200Mbps,SQL处理能力:≥10000条/s，无数据实例限制; </w:t>
            </w:r>
            <w:r>
              <w:rPr>
                <w:rFonts w:hint="eastAsia" w:asciiTheme="minorEastAsia" w:hAnsiTheme="minorEastAsia" w:cstheme="minorEastAsia"/>
                <w:sz w:val="24"/>
                <w:szCs w:val="24"/>
                <w:highlight w:val="none"/>
                <w:lang w:val="en-US" w:eastAsia="zh-CN"/>
              </w:rPr>
              <w:t>含三</w:t>
            </w:r>
            <w:r>
              <w:rPr>
                <w:rFonts w:hint="eastAsia" w:asciiTheme="minorEastAsia" w:hAnsiTheme="minorEastAsia" w:eastAsiaTheme="minorEastAsia" w:cstheme="minorEastAsia"/>
                <w:sz w:val="24"/>
                <w:szCs w:val="24"/>
                <w:highlight w:val="none"/>
              </w:rPr>
              <w:t>年质保服务。</w:t>
            </w:r>
          </w:p>
        </w:tc>
      </w:tr>
      <w:tr w14:paraId="225D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71" w:type="dxa"/>
            <w:vAlign w:val="center"/>
          </w:tcPr>
          <w:p w14:paraId="5D1E2D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245" w:type="dxa"/>
            <w:vAlign w:val="center"/>
          </w:tcPr>
          <w:p w14:paraId="5860C60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审计查询</w:t>
            </w:r>
          </w:p>
        </w:tc>
        <w:tc>
          <w:tcPr>
            <w:tcW w:w="7642" w:type="dxa"/>
            <w:vAlign w:val="center"/>
          </w:tcPr>
          <w:p w14:paraId="45D87C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按数据库实例、数据库名、用户名、数据库表名、表字段名、操作类别、SQL语句、响应时间、连接时长、会话ID、关联规则ID、操作结果、SQL返回结果集、数据库客户端程序、数据库服务器端程序等作为查询和统计条件</w:t>
            </w:r>
          </w:p>
        </w:tc>
      </w:tr>
      <w:tr w14:paraId="2B2B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771" w:type="dxa"/>
            <w:vAlign w:val="center"/>
          </w:tcPr>
          <w:p w14:paraId="119D49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245" w:type="dxa"/>
            <w:vAlign w:val="center"/>
          </w:tcPr>
          <w:p w14:paraId="2BB2C5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数据库类型</w:t>
            </w:r>
          </w:p>
        </w:tc>
        <w:tc>
          <w:tcPr>
            <w:tcW w:w="7642" w:type="dxa"/>
            <w:vAlign w:val="center"/>
          </w:tcPr>
          <w:p w14:paraId="5CD197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支持Oracle、SQLServer、MySQL、DB2、Sybase、Informix、PostgreSQL、Teradata等数据库系统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支持Cache、Hive、Hana、clickhouse、Tibero、Solr、MongoDB、HBase、ElasticSearch、Redis等国际主流数据库系统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支持KingBase、DaMeng、Oscar、GBase、Inspur_KDB、Highgo、GaussDB等国内主流数据库系统</w:t>
            </w:r>
          </w:p>
        </w:tc>
      </w:tr>
      <w:tr w14:paraId="0D3C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1" w:type="dxa"/>
            <w:vAlign w:val="center"/>
          </w:tcPr>
          <w:p w14:paraId="7D5166B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245" w:type="dxa"/>
            <w:vAlign w:val="center"/>
          </w:tcPr>
          <w:p w14:paraId="591C3D4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主流业务协议审计</w:t>
            </w:r>
          </w:p>
        </w:tc>
        <w:tc>
          <w:tcPr>
            <w:tcW w:w="7642" w:type="dxa"/>
            <w:vAlign w:val="center"/>
          </w:tcPr>
          <w:p w14:paraId="72FA5D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支持HTTP、Telnet、FTP、SMTP、IMAP、POP3的审计，</w:t>
            </w:r>
            <w:bookmarkStart w:id="52" w:name="_Hlk112068875"/>
            <w:r>
              <w:rPr>
                <w:rFonts w:hint="eastAsia" w:asciiTheme="minorEastAsia" w:hAnsiTheme="minorEastAsia" w:eastAsiaTheme="minorEastAsia" w:cstheme="minorEastAsia"/>
                <w:sz w:val="24"/>
                <w:szCs w:val="24"/>
                <w:highlight w:val="none"/>
              </w:rPr>
              <w:t>支持工控协议Modbus的审计</w:t>
            </w:r>
            <w:bookmarkEnd w:id="52"/>
          </w:p>
        </w:tc>
      </w:tr>
      <w:tr w14:paraId="788F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1" w:type="dxa"/>
            <w:vAlign w:val="center"/>
          </w:tcPr>
          <w:p w14:paraId="016D7D0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245" w:type="dxa"/>
            <w:vAlign w:val="center"/>
          </w:tcPr>
          <w:p w14:paraId="348D8E8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数据库协议审计查询</w:t>
            </w:r>
          </w:p>
        </w:tc>
        <w:tc>
          <w:tcPr>
            <w:tcW w:w="7642" w:type="dxa"/>
            <w:vAlign w:val="center"/>
          </w:tcPr>
          <w:p w14:paraId="546634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按五元组、数据库实例、数据库名、用户名、数据库表名、表字段名、告警级别、VLANID、操作类别、SQL语句、响应时间、连接时长、会话ID、关联规则ID、操作结果、SQL返回结果集、数据库客户端程序、数据库服务器端程序等57个分项作为查询和统计条件</w:t>
            </w:r>
          </w:p>
        </w:tc>
      </w:tr>
      <w:tr w14:paraId="4B17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71" w:type="dxa"/>
            <w:vAlign w:val="center"/>
          </w:tcPr>
          <w:p w14:paraId="48AF897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245" w:type="dxa"/>
            <w:vMerge w:val="restart"/>
            <w:vAlign w:val="center"/>
          </w:tcPr>
          <w:p w14:paraId="597EA5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双向审计</w:t>
            </w:r>
          </w:p>
        </w:tc>
        <w:tc>
          <w:tcPr>
            <w:tcW w:w="7642" w:type="dxa"/>
            <w:vAlign w:val="center"/>
          </w:tcPr>
          <w:p w14:paraId="770990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支持数据库请求和返回的双向审计，特别是返回字段和结果集、返回码、SQL错误信息、返回行数、执行时长等内容</w:t>
            </w:r>
          </w:p>
        </w:tc>
      </w:tr>
      <w:tr w14:paraId="6971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771" w:type="dxa"/>
            <w:vAlign w:val="center"/>
          </w:tcPr>
          <w:p w14:paraId="76C1F71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1245" w:type="dxa"/>
            <w:vMerge w:val="continue"/>
            <w:vAlign w:val="center"/>
          </w:tcPr>
          <w:p w14:paraId="0AB381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p>
        </w:tc>
        <w:tc>
          <w:tcPr>
            <w:tcW w:w="7642" w:type="dxa"/>
            <w:vAlign w:val="center"/>
          </w:tcPr>
          <w:p w14:paraId="5B9C31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支持通过返回行数控制返回结果集审计大小，降低系统开销。可配置返回行数，不低于10万行</w:t>
            </w:r>
          </w:p>
        </w:tc>
      </w:tr>
      <w:tr w14:paraId="6AD1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771" w:type="dxa"/>
            <w:vAlign w:val="center"/>
          </w:tcPr>
          <w:p w14:paraId="13D150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1245" w:type="dxa"/>
            <w:vAlign w:val="center"/>
          </w:tcPr>
          <w:p w14:paraId="5EB4FF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SQL错误统计</w:t>
            </w:r>
          </w:p>
        </w:tc>
        <w:tc>
          <w:tcPr>
            <w:tcW w:w="7642" w:type="dxa"/>
            <w:vAlign w:val="center"/>
          </w:tcPr>
          <w:p w14:paraId="659963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多个维度展示错误占比及趋势，从源IP维度以柱状图展示SQL错误数（TOP10）</w:t>
            </w:r>
          </w:p>
        </w:tc>
      </w:tr>
      <w:tr w14:paraId="357E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1" w:type="dxa"/>
            <w:vAlign w:val="center"/>
          </w:tcPr>
          <w:p w14:paraId="600195F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1245" w:type="dxa"/>
            <w:vAlign w:val="center"/>
          </w:tcPr>
          <w:p w14:paraId="5A477B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数据库自动发现</w:t>
            </w:r>
          </w:p>
        </w:tc>
        <w:tc>
          <w:tcPr>
            <w:tcW w:w="7642" w:type="dxa"/>
            <w:vAlign w:val="center"/>
          </w:tcPr>
          <w:p w14:paraId="31A6CA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从数据库流量中自动识别数据库，从流量分析结果中自动判别包含的数据库类型、版本、地址、端口、发现时间、会话时长、总事件数等信息，并且自动添加到待监控审计列表，无需用户提供网段、数据库地址等信息</w:t>
            </w:r>
          </w:p>
        </w:tc>
      </w:tr>
      <w:tr w14:paraId="6A51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71" w:type="dxa"/>
            <w:vAlign w:val="center"/>
          </w:tcPr>
          <w:p w14:paraId="03BA5B0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w:t>
            </w:r>
          </w:p>
        </w:tc>
        <w:tc>
          <w:tcPr>
            <w:tcW w:w="1245" w:type="dxa"/>
            <w:vAlign w:val="center"/>
          </w:tcPr>
          <w:p w14:paraId="769824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SQL分析</w:t>
            </w:r>
          </w:p>
        </w:tc>
        <w:tc>
          <w:tcPr>
            <w:tcW w:w="7642" w:type="dxa"/>
            <w:vAlign w:val="center"/>
          </w:tcPr>
          <w:p w14:paraId="1A0E73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持20000条以上数据库协议的SQL错误码，知识库至少体现SQL错误码、SQL错误信息、出错原因、解决办法等内容</w:t>
            </w:r>
          </w:p>
        </w:tc>
      </w:tr>
      <w:tr w14:paraId="0EA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771" w:type="dxa"/>
            <w:vAlign w:val="center"/>
          </w:tcPr>
          <w:p w14:paraId="04473A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11</w:t>
            </w:r>
          </w:p>
        </w:tc>
        <w:tc>
          <w:tcPr>
            <w:tcW w:w="1245" w:type="dxa"/>
            <w:vAlign w:val="center"/>
          </w:tcPr>
          <w:p w14:paraId="1D9B40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弱口令扫描</w:t>
            </w:r>
          </w:p>
        </w:tc>
        <w:tc>
          <w:tcPr>
            <w:tcW w:w="7642" w:type="dxa"/>
            <w:vAlign w:val="center"/>
          </w:tcPr>
          <w:p w14:paraId="57486E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支持数据库服务器弱口令扫描，扫描出的弱密码支持脱敏显示</w:t>
            </w:r>
          </w:p>
        </w:tc>
      </w:tr>
      <w:tr w14:paraId="0B87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1" w:type="dxa"/>
            <w:vAlign w:val="center"/>
          </w:tcPr>
          <w:p w14:paraId="1ED381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w:t>
            </w:r>
          </w:p>
        </w:tc>
        <w:tc>
          <w:tcPr>
            <w:tcW w:w="1245" w:type="dxa"/>
            <w:vAlign w:val="center"/>
          </w:tcPr>
          <w:p w14:paraId="50A532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会话回放</w:t>
            </w:r>
          </w:p>
        </w:tc>
        <w:tc>
          <w:tcPr>
            <w:tcW w:w="7642" w:type="dxa"/>
            <w:vAlign w:val="center"/>
          </w:tcPr>
          <w:p w14:paraId="3E1B6A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支持会话回放功能,并至少支持0.5倍速、1倍速、1.5倍速、2倍速、4倍速五级播放速度调节</w:t>
            </w:r>
          </w:p>
        </w:tc>
      </w:tr>
      <w:tr w14:paraId="1DCD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71" w:type="dxa"/>
            <w:vAlign w:val="center"/>
          </w:tcPr>
          <w:p w14:paraId="640E085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13</w:t>
            </w:r>
          </w:p>
        </w:tc>
        <w:tc>
          <w:tcPr>
            <w:tcW w:w="1245" w:type="dxa"/>
            <w:vAlign w:val="center"/>
          </w:tcPr>
          <w:p w14:paraId="150C39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敏感防护</w:t>
            </w:r>
          </w:p>
        </w:tc>
        <w:tc>
          <w:tcPr>
            <w:tcW w:w="7642" w:type="dxa"/>
            <w:vAlign w:val="center"/>
          </w:tcPr>
          <w:p w14:paraId="3BF799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支持对审计日志中敏感数据（身份证号、手机号、银行卡号等）进行掩码处理，进行隐私保护，敏感保护规则可自定义</w:t>
            </w:r>
          </w:p>
        </w:tc>
      </w:tr>
      <w:tr w14:paraId="6B67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1" w:type="dxa"/>
            <w:vAlign w:val="center"/>
          </w:tcPr>
          <w:p w14:paraId="33C4B0E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14</w:t>
            </w:r>
          </w:p>
        </w:tc>
        <w:tc>
          <w:tcPr>
            <w:tcW w:w="1245" w:type="dxa"/>
            <w:vAlign w:val="center"/>
          </w:tcPr>
          <w:p w14:paraId="4CC5CC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数据查询</w:t>
            </w:r>
          </w:p>
        </w:tc>
        <w:tc>
          <w:tcPr>
            <w:tcW w:w="7642" w:type="dxa"/>
            <w:vAlign w:val="center"/>
          </w:tcPr>
          <w:p w14:paraId="0485417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支持基于数据库时间、源/目的IP、数据库名、应用协议、数据库表名、字段值、预处理SQL、SQL关键词、数据库返回码、SQL响应时间、数据库操作类型、影响行数等条件的审计查询</w:t>
            </w:r>
          </w:p>
        </w:tc>
      </w:tr>
      <w:tr w14:paraId="358D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71" w:type="dxa"/>
            <w:vAlign w:val="center"/>
          </w:tcPr>
          <w:p w14:paraId="1772A21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245" w:type="dxa"/>
            <w:vAlign w:val="center"/>
          </w:tcPr>
          <w:p w14:paraId="0D0F91D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系统抓包</w:t>
            </w:r>
          </w:p>
        </w:tc>
        <w:tc>
          <w:tcPr>
            <w:tcW w:w="7642" w:type="dxa"/>
            <w:vAlign w:val="center"/>
          </w:tcPr>
          <w:p w14:paraId="4AA4D3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支持抓包工具（可配置抓包个数、源和目的IP、协议等）、系统巡检、网络诊断、规则库升级</w:t>
            </w:r>
          </w:p>
        </w:tc>
      </w:tr>
      <w:tr w14:paraId="4340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771" w:type="dxa"/>
            <w:vAlign w:val="center"/>
          </w:tcPr>
          <w:p w14:paraId="5C993E2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w:t>
            </w:r>
          </w:p>
        </w:tc>
        <w:tc>
          <w:tcPr>
            <w:tcW w:w="1245" w:type="dxa"/>
            <w:vAlign w:val="center"/>
          </w:tcPr>
          <w:p w14:paraId="3FBBA2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业务关联审计</w:t>
            </w:r>
          </w:p>
        </w:tc>
        <w:tc>
          <w:tcPr>
            <w:tcW w:w="7642" w:type="dxa"/>
            <w:vAlign w:val="center"/>
          </w:tcPr>
          <w:p w14:paraId="645EF01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支持插件方式和非插件方式的业务关联审计，支持B/S业务系统三层关联审计，实现java web环境100%准确关联，包括但不限于Tomcat、Weblogic、Jboss服务器</w:t>
            </w:r>
          </w:p>
        </w:tc>
      </w:tr>
      <w:tr w14:paraId="3499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1" w:type="dxa"/>
            <w:vAlign w:val="center"/>
          </w:tcPr>
          <w:p w14:paraId="0E603CE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w:t>
            </w:r>
          </w:p>
        </w:tc>
        <w:tc>
          <w:tcPr>
            <w:tcW w:w="1245" w:type="dxa"/>
            <w:vAlign w:val="center"/>
          </w:tcPr>
          <w:p w14:paraId="41386A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僵尸主机</w:t>
            </w:r>
          </w:p>
        </w:tc>
        <w:tc>
          <w:tcPr>
            <w:tcW w:w="7642" w:type="dxa"/>
            <w:vAlign w:val="center"/>
          </w:tcPr>
          <w:p w14:paraId="623AF6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支持根据相似关系构建僵尸群落，进行分析，发现僵尸网络间的内在关系，更有效的跟踪和研究僵尸网络背后的黑客组织的行为模式</w:t>
            </w:r>
            <w:r>
              <w:rPr>
                <w:rFonts w:hint="eastAsia" w:asciiTheme="minorEastAsia" w:hAnsiTheme="minorEastAsia" w:cstheme="minorEastAsia"/>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sz w:val="24"/>
                <w:szCs w:val="24"/>
                <w:highlight w:val="none"/>
                <w:u w:val="single"/>
              </w:rPr>
              <w:t>（提供第三方检测机构出具的</w:t>
            </w:r>
            <w:r>
              <w:rPr>
                <w:rFonts w:hint="eastAsia" w:ascii="宋体" w:hAnsi="宋体" w:eastAsia="宋体" w:cs="宋体"/>
                <w:sz w:val="24"/>
                <w:szCs w:val="24"/>
                <w:highlight w:val="none"/>
                <w:u w:val="single"/>
                <w:lang w:val="en-US" w:eastAsia="zh-CN"/>
              </w:rPr>
              <w:t>有效的</w:t>
            </w:r>
            <w:r>
              <w:rPr>
                <w:rFonts w:hint="eastAsia" w:ascii="宋体" w:hAnsi="宋体" w:eastAsia="宋体" w:cs="宋体"/>
                <w:sz w:val="24"/>
                <w:szCs w:val="24"/>
                <w:highlight w:val="none"/>
                <w:u w:val="single"/>
              </w:rPr>
              <w:t>检测报告）</w:t>
            </w:r>
          </w:p>
        </w:tc>
      </w:tr>
      <w:tr w14:paraId="3C1C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771" w:type="dxa"/>
            <w:vAlign w:val="center"/>
          </w:tcPr>
          <w:p w14:paraId="20E383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w:t>
            </w:r>
          </w:p>
        </w:tc>
        <w:tc>
          <w:tcPr>
            <w:tcW w:w="1245" w:type="dxa"/>
            <w:vAlign w:val="center"/>
          </w:tcPr>
          <w:p w14:paraId="66EE82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版本回滚</w:t>
            </w:r>
          </w:p>
        </w:tc>
        <w:tc>
          <w:tcPr>
            <w:tcW w:w="7642" w:type="dxa"/>
            <w:vAlign w:val="center"/>
          </w:tcPr>
          <w:p w14:paraId="0B81EB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支持历史版本回退功能，系统内建历史版本库不少于3个</w:t>
            </w:r>
          </w:p>
        </w:tc>
      </w:tr>
      <w:tr w14:paraId="512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71" w:type="dxa"/>
            <w:vAlign w:val="center"/>
          </w:tcPr>
          <w:p w14:paraId="24B86DA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w:t>
            </w:r>
          </w:p>
        </w:tc>
        <w:tc>
          <w:tcPr>
            <w:tcW w:w="1245" w:type="dxa"/>
            <w:vAlign w:val="center"/>
          </w:tcPr>
          <w:p w14:paraId="61850AC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操作系统</w:t>
            </w:r>
          </w:p>
        </w:tc>
        <w:tc>
          <w:tcPr>
            <w:tcW w:w="7642" w:type="dxa"/>
            <w:vAlign w:val="center"/>
          </w:tcPr>
          <w:p w14:paraId="7F1017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安全操作系统采用冗余设计，可在设备命令行启动过程中选择主备系统</w:t>
            </w:r>
          </w:p>
        </w:tc>
      </w:tr>
      <w:tr w14:paraId="00EE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71" w:type="dxa"/>
            <w:vAlign w:val="center"/>
          </w:tcPr>
          <w:p w14:paraId="0C5903B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w:t>
            </w:r>
          </w:p>
        </w:tc>
        <w:tc>
          <w:tcPr>
            <w:tcW w:w="1245" w:type="dxa"/>
            <w:vAlign w:val="center"/>
          </w:tcPr>
          <w:p w14:paraId="03CE8C5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AI智能问答</w:t>
            </w:r>
          </w:p>
        </w:tc>
        <w:tc>
          <w:tcPr>
            <w:tcW w:w="7642" w:type="dxa"/>
            <w:vAlign w:val="center"/>
          </w:tcPr>
          <w:p w14:paraId="3447B1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基于NLP算法和嵌入模型技术对用户问题进行语义理解，以交互式对话方式，支持智能分析用户意图、快速图文响应用户需求。内置数据检索分析、高危操作检索、数据泄漏事件查询、攻击事件分析等问题，可直接点击问题获取答案。支持按自然语言形式输入自定义问题，即可快速获取用户关心的数据，数据可以饼图、柱图、表格、文字等形式提供</w:t>
            </w:r>
          </w:p>
        </w:tc>
      </w:tr>
    </w:tbl>
    <w:p w14:paraId="549DFF1E">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HAnsi" w:hAnsiTheme="minorHAnsi" w:eastAsiaTheme="minorEastAsia" w:cstheme="minorBidi"/>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（七）、</w:t>
      </w:r>
      <w:r>
        <w:rPr>
          <w:rFonts w:hint="eastAsia" w:asciiTheme="minorHAnsi" w:hAnsiTheme="minorHAnsi" w:eastAsiaTheme="minorEastAsia" w:cstheme="minorBidi"/>
          <w:b/>
          <w:bCs w:val="0"/>
          <w:kern w:val="44"/>
          <w:sz w:val="24"/>
          <w:szCs w:val="24"/>
          <w:highlight w:val="none"/>
          <w:lang w:val="en-US" w:eastAsia="zh-CN" w:bidi="ar-SA"/>
        </w:rPr>
        <w:t>卫生专网防火墙</w:t>
      </w:r>
    </w:p>
    <w:tbl>
      <w:tblPr>
        <w:tblStyle w:val="21"/>
        <w:tblW w:w="965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92"/>
        <w:gridCol w:w="7605"/>
      </w:tblGrid>
      <w:tr w14:paraId="56A0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61" w:type="dxa"/>
            <w:vAlign w:val="center"/>
          </w:tcPr>
          <w:p w14:paraId="1C32D1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序号</w:t>
            </w:r>
          </w:p>
        </w:tc>
        <w:tc>
          <w:tcPr>
            <w:tcW w:w="1292" w:type="dxa"/>
            <w:vAlign w:val="center"/>
          </w:tcPr>
          <w:p w14:paraId="78ABEC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指标项</w:t>
            </w:r>
          </w:p>
        </w:tc>
        <w:tc>
          <w:tcPr>
            <w:tcW w:w="7605" w:type="dxa"/>
            <w:vAlign w:val="center"/>
          </w:tcPr>
          <w:p w14:paraId="0B8E40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技术要求</w:t>
            </w:r>
          </w:p>
        </w:tc>
      </w:tr>
      <w:tr w14:paraId="27F8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2C8BC2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p>
        </w:tc>
        <w:tc>
          <w:tcPr>
            <w:tcW w:w="1292" w:type="dxa"/>
            <w:vMerge w:val="restart"/>
            <w:vAlign w:val="center"/>
          </w:tcPr>
          <w:p w14:paraId="546ED6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基础要求</w:t>
            </w:r>
          </w:p>
        </w:tc>
        <w:tc>
          <w:tcPr>
            <w:tcW w:w="7605" w:type="dxa"/>
            <w:vAlign w:val="center"/>
          </w:tcPr>
          <w:p w14:paraId="446472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安全操作系统采用冗余设计，出于安全性考虑，多系统需在设备启动过程中进行选择不得在WEB维护界面中设置系统切换选项。</w:t>
            </w:r>
          </w:p>
        </w:tc>
      </w:tr>
      <w:tr w14:paraId="5DE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063B94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p>
        </w:tc>
        <w:tc>
          <w:tcPr>
            <w:tcW w:w="1292" w:type="dxa"/>
            <w:vMerge w:val="continue"/>
            <w:vAlign w:val="center"/>
          </w:tcPr>
          <w:p w14:paraId="2B91E8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05" w:type="dxa"/>
            <w:vAlign w:val="center"/>
          </w:tcPr>
          <w:p w14:paraId="401F77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国产化</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芯片及操作系统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，千兆光口≥4个，千兆电口≥6个，万兆光口≥2个;吞吐量≥12Gb，并发连接数≥800万;含病毒防护特征库、入侵防御模块及特征库升级，</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含三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年质保服务。</w:t>
            </w:r>
          </w:p>
        </w:tc>
      </w:tr>
      <w:tr w14:paraId="72EF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590D46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1292" w:type="dxa"/>
            <w:vAlign w:val="center"/>
          </w:tcPr>
          <w:p w14:paraId="4D0F65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链路聚合</w:t>
            </w:r>
          </w:p>
        </w:tc>
        <w:tc>
          <w:tcPr>
            <w:tcW w:w="7605" w:type="dxa"/>
            <w:vAlign w:val="center"/>
          </w:tcPr>
          <w:p w14:paraId="3D26FA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支持手动和LACP链路聚合，可根据源/目的MAC、源/目的IP、源/目的端口、五元组、端口轮询等条件提供不少于10种链路负载算法。</w:t>
            </w:r>
          </w:p>
        </w:tc>
      </w:tr>
      <w:tr w14:paraId="417A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42231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292" w:type="dxa"/>
            <w:vAlign w:val="center"/>
          </w:tcPr>
          <w:p w14:paraId="734438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地址转换</w:t>
            </w:r>
          </w:p>
        </w:tc>
        <w:tc>
          <w:tcPr>
            <w:tcW w:w="7605" w:type="dxa"/>
            <w:vAlign w:val="center"/>
          </w:tcPr>
          <w:p w14:paraId="0C3E66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支持多种地址转换，支持源/目的NAT、双向NAT、NoNAT转换方式；支持源IP转换同一性；支持端口块地址转换和EIM地址转换。</w:t>
            </w:r>
          </w:p>
        </w:tc>
      </w:tr>
      <w:tr w14:paraId="41A9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5EE99C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1292" w:type="dxa"/>
            <w:vAlign w:val="center"/>
          </w:tcPr>
          <w:p w14:paraId="2CC783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智能DNS</w:t>
            </w:r>
          </w:p>
        </w:tc>
        <w:tc>
          <w:tcPr>
            <w:tcW w:w="7605" w:type="dxa"/>
            <w:vAlign w:val="center"/>
          </w:tcPr>
          <w:p w14:paraId="2D3C39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支持智能DNS及DNS Docting功能，能够将来自内部网络的域名解析请求定向到真实内网资源，提高访问效率，同时支持通过配置多条 DNS Doctoring，实现内网资源服务器的负载均衡。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提供截图证明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tc>
      </w:tr>
      <w:tr w14:paraId="27F3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5516DA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1292" w:type="dxa"/>
            <w:vMerge w:val="restart"/>
            <w:vAlign w:val="center"/>
          </w:tcPr>
          <w:p w14:paraId="024C08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访问控制</w:t>
            </w:r>
          </w:p>
        </w:tc>
        <w:tc>
          <w:tcPr>
            <w:tcW w:w="7605" w:type="dxa"/>
            <w:vAlign w:val="center"/>
          </w:tcPr>
          <w:p w14:paraId="5FAACF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一体化安全策略配置，可以通过一条策略实现五元组信息源MAC、域名、地理区域、应用、服务、时间、长连接、并发会话、WEB认证、IPS、AV、URL过滤、WAF、邮件安全、数据过滤、文件过滤、审计、防代理、APT等功能配置,简化用户管理</w:t>
            </w:r>
          </w:p>
        </w:tc>
      </w:tr>
      <w:tr w14:paraId="622F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2A60E8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p>
        </w:tc>
        <w:tc>
          <w:tcPr>
            <w:tcW w:w="1292" w:type="dxa"/>
            <w:vMerge w:val="continue"/>
            <w:vAlign w:val="center"/>
          </w:tcPr>
          <w:p w14:paraId="46DE24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05" w:type="dxa"/>
            <w:vAlign w:val="center"/>
          </w:tcPr>
          <w:p w14:paraId="0EB2E4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访问控制策略执行动作支持允许、禁止及认证，对符合条件的流量进行Web认证，在策略中可设置用户 Web 认证的门户地址；</w:t>
            </w:r>
          </w:p>
        </w:tc>
      </w:tr>
      <w:tr w14:paraId="3756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6EAD1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p>
        </w:tc>
        <w:tc>
          <w:tcPr>
            <w:tcW w:w="1292" w:type="dxa"/>
            <w:vAlign w:val="center"/>
          </w:tcPr>
          <w:p w14:paraId="771EBA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可靠性</w:t>
            </w:r>
          </w:p>
        </w:tc>
        <w:tc>
          <w:tcPr>
            <w:tcW w:w="7605" w:type="dxa"/>
            <w:vAlign w:val="center"/>
          </w:tcPr>
          <w:p w14:paraId="7DB9C2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系统出现崩溃之后，可下载救援修复程序进行扫描，获得设备软件系统被破坏的情况以及当前硬件设备的诊断信息。根据信息，如果防火墙系统能够被修复，崩溃设备上的救援修复程序可自动执行修复方法。</w:t>
            </w:r>
            <w:r>
              <w:rPr>
                <w:rFonts w:hint="eastAsia" w:ascii="宋体" w:hAnsi="宋体" w:eastAsia="宋体" w:cs="宋体"/>
                <w:sz w:val="24"/>
                <w:szCs w:val="24"/>
                <w:highlight w:val="none"/>
                <w:u w:val="single"/>
              </w:rPr>
              <w:t>（提供第三方检测机构出具的</w:t>
            </w:r>
            <w:r>
              <w:rPr>
                <w:rFonts w:hint="eastAsia" w:ascii="宋体" w:hAnsi="宋体" w:eastAsia="宋体" w:cs="宋体"/>
                <w:sz w:val="24"/>
                <w:szCs w:val="24"/>
                <w:highlight w:val="none"/>
                <w:u w:val="single"/>
                <w:lang w:val="en-US" w:eastAsia="zh-CN"/>
              </w:rPr>
              <w:t>有效的</w:t>
            </w:r>
            <w:r>
              <w:rPr>
                <w:rFonts w:hint="eastAsia" w:ascii="宋体" w:hAnsi="宋体" w:eastAsia="宋体" w:cs="宋体"/>
                <w:sz w:val="24"/>
                <w:szCs w:val="24"/>
                <w:highlight w:val="none"/>
                <w:u w:val="single"/>
              </w:rPr>
              <w:t>检测报告）</w:t>
            </w:r>
          </w:p>
        </w:tc>
      </w:tr>
      <w:tr w14:paraId="5F67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0D88F3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p>
        </w:tc>
        <w:tc>
          <w:tcPr>
            <w:tcW w:w="1292" w:type="dxa"/>
            <w:vAlign w:val="center"/>
          </w:tcPr>
          <w:p w14:paraId="5FADE0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认证方式</w:t>
            </w:r>
          </w:p>
        </w:tc>
        <w:tc>
          <w:tcPr>
            <w:tcW w:w="7605" w:type="dxa"/>
            <w:vAlign w:val="center"/>
          </w:tcPr>
          <w:p w14:paraId="4394F6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内置强大的用户身份管理系统，支持本地认证、证书认证及免认证等方式，同时支持RADIUS、LDAP、TACACS等多种第三方外部认证设置； </w:t>
            </w:r>
          </w:p>
        </w:tc>
      </w:tr>
      <w:tr w14:paraId="6948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0B31AE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w:t>
            </w:r>
          </w:p>
        </w:tc>
        <w:tc>
          <w:tcPr>
            <w:tcW w:w="1292" w:type="dxa"/>
            <w:vAlign w:val="center"/>
          </w:tcPr>
          <w:p w14:paraId="50D999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行为分析</w:t>
            </w:r>
          </w:p>
        </w:tc>
        <w:tc>
          <w:tcPr>
            <w:tcW w:w="7605" w:type="dxa"/>
            <w:vAlign w:val="center"/>
          </w:tcPr>
          <w:p w14:paraId="663C83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内置行为分析功能，对会话、流量等数据进行统计分析，建立业务行为基线，对异常行为进行告警；支持行为分析监控展示，可展示不同行为分析策略的实时数据和基线数据趋势； </w:t>
            </w:r>
          </w:p>
        </w:tc>
      </w:tr>
      <w:tr w14:paraId="631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7515C3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p>
        </w:tc>
        <w:tc>
          <w:tcPr>
            <w:tcW w:w="1292" w:type="dxa"/>
            <w:vMerge w:val="restart"/>
            <w:vAlign w:val="center"/>
          </w:tcPr>
          <w:p w14:paraId="18B5CD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DDOS防御</w:t>
            </w:r>
          </w:p>
        </w:tc>
        <w:tc>
          <w:tcPr>
            <w:tcW w:w="7605" w:type="dxa"/>
            <w:vAlign w:val="center"/>
          </w:tcPr>
          <w:p w14:paraId="3010DA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支持针对IP、ICMP、TCP、UDP、DNS、HTTP、NTP等协议进行DDOS防护；支持预定义和自定义策略模板； </w:t>
            </w:r>
          </w:p>
        </w:tc>
      </w:tr>
      <w:tr w14:paraId="1371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54199F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12</w:t>
            </w:r>
          </w:p>
        </w:tc>
        <w:tc>
          <w:tcPr>
            <w:tcW w:w="1292" w:type="dxa"/>
            <w:vMerge w:val="continue"/>
            <w:vAlign w:val="center"/>
          </w:tcPr>
          <w:p w14:paraId="226CBA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05" w:type="dxa"/>
            <w:vAlign w:val="center"/>
          </w:tcPr>
          <w:p w14:paraId="322702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支持IP DDOS防护，可对IP Flood、IP Frag Flood、端口扫描、IP 地址扫描，以及Fraggle、icmp redirect、icmp unreachable、land、ping of death、smurf、route record、source route、tcp flag、tracert、winnuke等异常报文攻击； </w:t>
            </w:r>
          </w:p>
        </w:tc>
      </w:tr>
      <w:tr w14:paraId="74EF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256CF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13</w:t>
            </w:r>
          </w:p>
        </w:tc>
        <w:tc>
          <w:tcPr>
            <w:tcW w:w="1292" w:type="dxa"/>
            <w:vMerge w:val="continue"/>
            <w:vAlign w:val="center"/>
          </w:tcPr>
          <w:p w14:paraId="43FF9B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05" w:type="dxa"/>
            <w:vAlign w:val="center"/>
          </w:tcPr>
          <w:p w14:paraId="614A4B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支持TCP DDOS防护，可对TCP Flood、SYN Flood、FIN Flood、RST Flood、新建SESSION Flood、SESSION Flood等；支持SYN源认证技术，认证模式可设置为基本模式或者高级模式，以防止虚假源攻击；</w:t>
            </w:r>
          </w:p>
        </w:tc>
      </w:tr>
      <w:tr w14:paraId="07D0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1938BE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14</w:t>
            </w:r>
          </w:p>
        </w:tc>
        <w:tc>
          <w:tcPr>
            <w:tcW w:w="1292" w:type="dxa"/>
            <w:vAlign w:val="center"/>
          </w:tcPr>
          <w:p w14:paraId="7FD486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文件过滤</w:t>
            </w:r>
          </w:p>
        </w:tc>
        <w:tc>
          <w:tcPr>
            <w:tcW w:w="7605" w:type="dxa"/>
            <w:vAlign w:val="center"/>
          </w:tcPr>
          <w:p w14:paraId="0233A4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置文件过滤引擎，支持对即时通讯、社交网络、网络硬盘、网页邮箱、IM文件传输等应用类型以及HTTP/FTP/SMTP/POP3等标准协议进行检测，识别可执行文件、office文件、视频文件、图片文件、帮助文件、压缩文件、数据文件等超过50种文档类型的文件过滤；</w:t>
            </w:r>
          </w:p>
        </w:tc>
      </w:tr>
      <w:tr w14:paraId="5E75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3A40DB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292" w:type="dxa"/>
            <w:vMerge w:val="restart"/>
            <w:vAlign w:val="center"/>
          </w:tcPr>
          <w:p w14:paraId="2377E5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黑名单</w:t>
            </w:r>
          </w:p>
        </w:tc>
        <w:tc>
          <w:tcPr>
            <w:tcW w:w="7605" w:type="dxa"/>
            <w:vAlign w:val="center"/>
          </w:tcPr>
          <w:p w14:paraId="09CE0A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内置静态黑名单功能，可设置多个对象条件，如：五元组信息、源MAC、地址范围、应用、用户，实现对特定报文进行快速过滤；</w:t>
            </w:r>
          </w:p>
        </w:tc>
      </w:tr>
      <w:tr w14:paraId="56D5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0637C7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16</w:t>
            </w:r>
          </w:p>
        </w:tc>
        <w:tc>
          <w:tcPr>
            <w:tcW w:w="1292" w:type="dxa"/>
            <w:vMerge w:val="continue"/>
            <w:vAlign w:val="center"/>
          </w:tcPr>
          <w:p w14:paraId="678929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05" w:type="dxa"/>
            <w:vAlign w:val="center"/>
          </w:tcPr>
          <w:p w14:paraId="2FC108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内置动态黑名单功能，可与URL过滤、病毒过滤功能实现联动封锁；支持静态和动态黑名单命中统计、监控和查询； </w:t>
            </w:r>
          </w:p>
        </w:tc>
      </w:tr>
      <w:tr w14:paraId="37BB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7E4FF9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17</w:t>
            </w:r>
          </w:p>
        </w:tc>
        <w:tc>
          <w:tcPr>
            <w:tcW w:w="1292" w:type="dxa"/>
            <w:vAlign w:val="center"/>
          </w:tcPr>
          <w:p w14:paraId="4D019F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白名单</w:t>
            </w:r>
          </w:p>
        </w:tc>
        <w:tc>
          <w:tcPr>
            <w:tcW w:w="7605" w:type="dxa"/>
            <w:vAlign w:val="center"/>
          </w:tcPr>
          <w:p w14:paraId="62FF7A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内置白名单功能，支持针对入侵防御、抗DDOS、审计、流量管理等功能自定义IP、应用白名单；</w:t>
            </w:r>
          </w:p>
        </w:tc>
      </w:tr>
      <w:tr w14:paraId="621D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12311A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18</w:t>
            </w:r>
          </w:p>
        </w:tc>
        <w:tc>
          <w:tcPr>
            <w:tcW w:w="1292" w:type="dxa"/>
            <w:vAlign w:val="center"/>
          </w:tcPr>
          <w:p w14:paraId="041BFA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sz w:val="24"/>
                <w:szCs w:val="24"/>
                <w:highlight w:val="none"/>
                <w:lang w:val="en-US" w:eastAsia="zh-CN"/>
              </w:rPr>
              <w:t>安全联动</w:t>
            </w:r>
          </w:p>
        </w:tc>
        <w:tc>
          <w:tcPr>
            <w:tcW w:w="7605" w:type="dxa"/>
            <w:vAlign w:val="center"/>
          </w:tcPr>
          <w:p w14:paraId="7B83A8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u w:val="single"/>
                <w:lang w:val="en-US" w:eastAsia="zh-CN"/>
              </w:rPr>
              <w:t>支持与现有安全管理平台联动，通过将威胁IP自动生成安全策略下发至防火墙，实现联防联控的效果</w:t>
            </w:r>
            <w:r>
              <w:rPr>
                <w:rFonts w:hint="eastAsia" w:ascii="宋体" w:hAnsi="宋体" w:eastAsia="宋体" w:cs="宋体"/>
                <w:sz w:val="24"/>
                <w:szCs w:val="24"/>
                <w:highlight w:val="none"/>
                <w:u w:val="single"/>
                <w:lang w:val="en-US" w:eastAsia="zh-CN"/>
              </w:rPr>
              <w:t>（提供可联动的证明材料）</w:t>
            </w:r>
          </w:p>
        </w:tc>
      </w:tr>
    </w:tbl>
    <w:p w14:paraId="3B9C4A05">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（八）、</w:t>
      </w:r>
      <w:r>
        <w:rPr>
          <w:rFonts w:hint="eastAsia" w:asciiTheme="minorEastAsia" w:hAnsiTheme="minorEastAsia" w:eastAsiaTheme="minorEastAsia" w:cstheme="minorEastAsia"/>
          <w:b/>
          <w:bCs w:val="0"/>
          <w:kern w:val="44"/>
          <w:sz w:val="24"/>
          <w:szCs w:val="24"/>
          <w:highlight w:val="none"/>
          <w:lang w:val="en-US" w:eastAsia="zh-CN" w:bidi="ar-SA"/>
        </w:rPr>
        <w:t>API风险监测</w:t>
      </w:r>
    </w:p>
    <w:tbl>
      <w:tblPr>
        <w:tblStyle w:val="21"/>
        <w:tblW w:w="963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62"/>
        <w:gridCol w:w="7769"/>
      </w:tblGrid>
      <w:tr w14:paraId="5973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31FE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序号</w:t>
            </w:r>
          </w:p>
        </w:tc>
        <w:tc>
          <w:tcPr>
            <w:tcW w:w="1162" w:type="dxa"/>
            <w:vAlign w:val="center"/>
          </w:tcPr>
          <w:p w14:paraId="223234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7769" w:type="dxa"/>
            <w:vAlign w:val="center"/>
          </w:tcPr>
          <w:p w14:paraId="33E1DD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指标要求</w:t>
            </w:r>
          </w:p>
        </w:tc>
      </w:tr>
      <w:tr w14:paraId="468A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A148C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162" w:type="dxa"/>
            <w:vAlign w:val="center"/>
          </w:tcPr>
          <w:p w14:paraId="6F2746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硬件指标</w:t>
            </w:r>
          </w:p>
        </w:tc>
        <w:tc>
          <w:tcPr>
            <w:tcW w:w="7769" w:type="dxa"/>
            <w:vAlign w:val="center"/>
          </w:tcPr>
          <w:p w14:paraId="62864A8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国产化</w:t>
            </w:r>
            <w:r>
              <w:rPr>
                <w:rFonts w:hint="eastAsia" w:asciiTheme="minorEastAsia" w:hAnsiTheme="minorEastAsia" w:cstheme="minorEastAsia"/>
                <w:i w:val="0"/>
                <w:iCs w:val="0"/>
                <w:color w:val="000000"/>
                <w:kern w:val="0"/>
                <w:sz w:val="24"/>
                <w:szCs w:val="24"/>
                <w:highlight w:val="none"/>
                <w:u w:val="none"/>
                <w:lang w:val="en-US" w:eastAsia="zh-CN" w:bidi="ar"/>
              </w:rPr>
              <w:t>芯片及操作系统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CPU</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w:t>
            </w:r>
            <w:r>
              <w:rPr>
                <w:rFonts w:hint="eastAsia" w:asciiTheme="minorEastAsia" w:hAnsiTheme="minorEastAsia" w:cstheme="minorEastAsia"/>
                <w:i w:val="0"/>
                <w:iCs w:val="0"/>
                <w:color w:val="000000"/>
                <w:kern w:val="0"/>
                <w:sz w:val="24"/>
                <w:szCs w:val="24"/>
                <w:highlight w:val="none"/>
                <w:u w:val="none"/>
                <w:lang w:val="en-US" w:eastAsia="zh-CN" w:bidi="ar"/>
              </w:rPr>
              <w:t>C，</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内存</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≥128</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GB</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，硬盘≥1*480G SSD+1*960G SSD，≥5*4TB机械硬盘，</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配置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4个千兆电口，</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4个千兆光口(</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含</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光模块)</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，混杂流量处理能力：≥5Gbps，纯HTTP流量峰值：≥2Gbps，</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冗余电源</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，三年质保服务。</w:t>
            </w:r>
          </w:p>
        </w:tc>
      </w:tr>
      <w:tr w14:paraId="4B96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CBEA86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162" w:type="dxa"/>
            <w:vMerge w:val="restart"/>
            <w:vAlign w:val="center"/>
          </w:tcPr>
          <w:p w14:paraId="6B2517E3">
            <w:pPr>
              <w:keepNext w:val="0"/>
              <w:keepLines w:val="0"/>
              <w:pageBreakBefore w:val="0"/>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流量采集解析</w:t>
            </w:r>
          </w:p>
        </w:tc>
        <w:tc>
          <w:tcPr>
            <w:tcW w:w="7769" w:type="dxa"/>
            <w:vAlign w:val="center"/>
          </w:tcPr>
          <w:p w14:paraId="3D9B139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支持对http1.1版本，http2.0版本的协议解析；支持还原完整的http日志的请求和响应内容；支持返回格式为gzip的流量解析。</w:t>
            </w:r>
          </w:p>
        </w:tc>
      </w:tr>
      <w:tr w14:paraId="3DDF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6CE30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162" w:type="dxa"/>
            <w:vMerge w:val="continue"/>
            <w:vAlign w:val="center"/>
          </w:tcPr>
          <w:p w14:paraId="1AA79584">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675723F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支持通过IP、域名、URL、请求方法过滤；支持自动识别扫描流量并通过智能学习对扫描流量进行持续过滤，支持添加扫描特征实现扫描流量的过滤。</w:t>
            </w:r>
          </w:p>
        </w:tc>
      </w:tr>
      <w:tr w14:paraId="134B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30673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162" w:type="dxa"/>
            <w:vMerge w:val="restart"/>
            <w:vAlign w:val="center"/>
          </w:tcPr>
          <w:p w14:paraId="7A16FC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应用、API资产梳理</w:t>
            </w:r>
          </w:p>
        </w:tc>
        <w:tc>
          <w:tcPr>
            <w:tcW w:w="7769" w:type="dxa"/>
            <w:vAlign w:val="center"/>
          </w:tcPr>
          <w:p w14:paraId="7D105B7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识别常见的API格式，包括REST、SOAP、GraphQL、gRPC、Dubbo3.0；支持自动识别常见API的请求和响应类型，支持识别的请求和响应内容包含JSON、XML、JSONP等；支持自动页面&amp;文件接口的识别功能，支持识别的请求/响应类型（Response body）包含HTML，XLS/XLSX，DOC/DOCX，PPT/PPTX，TXT，CSV，PDF，TAR，BZ2，XZ，JAR，GZ，DOT，RAR，ZIP；支持对API进数据打标。</w:t>
            </w:r>
          </w:p>
        </w:tc>
      </w:tr>
      <w:tr w14:paraId="29D1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0DF6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162" w:type="dxa"/>
            <w:vMerge w:val="continue"/>
            <w:vAlign w:val="center"/>
          </w:tcPr>
          <w:p w14:paraId="7B1A6918">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219460D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API拆分功能，需支持根据请求方法、请求Header中的参数、Get请求中的参数、Post请求中的参数对API进行拆分；支持API定义合并，可通过HTTP请求方法、请求参数值定义API，参数值的位置可在：URL参数、URL路径中、请求Body、Header中等；支持识别RestfulAPI并进行自动合并。</w:t>
            </w:r>
          </w:p>
        </w:tc>
      </w:tr>
      <w:tr w14:paraId="56A8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1CA6E6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162" w:type="dxa"/>
            <w:vMerge w:val="continue"/>
            <w:vAlign w:val="center"/>
          </w:tcPr>
          <w:p w14:paraId="5978E1FB">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3AF88FE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支持对API接口按照请求方法、请求参数、请求数据标签组合、响应数据标签组合等进行采样留存；支持对API样例进行格式化还原</w:t>
            </w:r>
            <w:r>
              <w:rPr>
                <w:rFonts w:hint="eastAsia" w:asciiTheme="minorEastAsia" w:hAnsiTheme="minorEastAsia" w:cstheme="minorEastAsia"/>
                <w:i w:val="0"/>
                <w:iCs w:val="0"/>
                <w:color w:val="000000"/>
                <w:kern w:val="0"/>
                <w:sz w:val="24"/>
                <w:szCs w:val="24"/>
                <w:highlight w:val="none"/>
                <w:u w:val="none"/>
                <w:lang w:val="en-US" w:eastAsia="zh-CN" w:bidi="ar"/>
              </w:rPr>
              <w:t>。</w:t>
            </w:r>
          </w:p>
        </w:tc>
      </w:tr>
      <w:tr w14:paraId="52B1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B979C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1162" w:type="dxa"/>
            <w:vMerge w:val="continue"/>
            <w:vAlign w:val="center"/>
          </w:tcPr>
          <w:p w14:paraId="1E4480FE">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782B880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还原API参数结构，可根据流量信息自动更新API参数结构；提供API打标功能，支持对API的请求和响应进行访问域、访问终端、请求方法、请求类型、请求数据、响应类型、响应数据进行打标；支持自动对API进行分类管理，支持按照API功能、数据暴露面、API类型等进行API的分类</w:t>
            </w:r>
          </w:p>
        </w:tc>
      </w:tr>
      <w:tr w14:paraId="68C7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B6747A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1162" w:type="dxa"/>
            <w:vMerge w:val="continue"/>
            <w:vAlign w:val="center"/>
          </w:tcPr>
          <w:p w14:paraId="63E420AE">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2BC10F3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支持按照路径还原应用结构，根据流量信息自动更新应用结构；支持对应用进行生命周期管理，支持新增、活跃、失活、复活状态的自定义配置和学习</w:t>
            </w:r>
          </w:p>
        </w:tc>
      </w:tr>
      <w:tr w14:paraId="17A6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5BB29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1162" w:type="dxa"/>
            <w:vMerge w:val="continue"/>
            <w:vAlign w:val="center"/>
          </w:tcPr>
          <w:p w14:paraId="2D5B680D">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5C55EDA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single"/>
                <w:lang w:val="en-US" w:eastAsia="zh-CN" w:bidi="ar"/>
              </w:rPr>
              <w:t>支持与数据安全管控平台进行API分类分级结果同步，并单独展示分类分级结果。（提供系统证明截图）</w:t>
            </w:r>
          </w:p>
        </w:tc>
      </w:tr>
      <w:tr w14:paraId="74D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2DFCA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1162" w:type="dxa"/>
            <w:vMerge w:val="restart"/>
            <w:vAlign w:val="center"/>
          </w:tcPr>
          <w:p w14:paraId="110B3B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弱点漏洞管理</w:t>
            </w:r>
          </w:p>
        </w:tc>
        <w:tc>
          <w:tcPr>
            <w:tcW w:w="7769" w:type="dxa"/>
            <w:vAlign w:val="center"/>
          </w:tcPr>
          <w:p w14:paraId="7871A2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支持自动识别API的疑似弱点，覆盖Owasp API Security Top10，内置弱点识别至少包括未鉴权、API参数可遍历、明文传输密码、明文密码透出、数据库查询API、登录弱密码等。</w:t>
            </w:r>
          </w:p>
        </w:tc>
      </w:tr>
      <w:tr w14:paraId="501D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1F2EF8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1162" w:type="dxa"/>
            <w:vMerge w:val="continue"/>
            <w:vAlign w:val="center"/>
          </w:tcPr>
          <w:p w14:paraId="5448FC5B">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77F483A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提供弱点证据的展示，支持呈现弱点的描述、整改建议、弱点证据；支持对弱点状态进行人工复核调整，至少包括待确认、已忽略、待修复、已修复等；支持根据新进入流量自动学习弱点当前的修复状态。</w:t>
            </w:r>
          </w:p>
        </w:tc>
      </w:tr>
      <w:tr w14:paraId="7E12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2DFF1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1162" w:type="dxa"/>
            <w:vAlign w:val="center"/>
          </w:tcPr>
          <w:p w14:paraId="2924D9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风险管理</w:t>
            </w:r>
          </w:p>
        </w:tc>
        <w:tc>
          <w:tcPr>
            <w:tcW w:w="7769" w:type="dxa"/>
            <w:vAlign w:val="center"/>
          </w:tcPr>
          <w:p w14:paraId="74BFD05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自动识别流量中的风险行为，覆盖常见的数据泄露类、账号安全类、web攻击类的风险，内置的风险行为至少包括：账号暴力破解、验证码暴力破解、IP高频撞库、IP执行参数遍历、异常请求查询敏感数据、弱密码登录、SSRF攻击、SQL注入、路径试探等；支持基于基线识别API风险；支持计算风险事件中涉及到的去重数据量，帮助进行风险的整体影响评估。</w:t>
            </w:r>
          </w:p>
        </w:tc>
      </w:tr>
      <w:tr w14:paraId="3C77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FC33CB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1162" w:type="dxa"/>
            <w:vAlign w:val="center"/>
          </w:tcPr>
          <w:p w14:paraId="69B909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自定义风险规则管理</w:t>
            </w:r>
          </w:p>
        </w:tc>
        <w:tc>
          <w:tcPr>
            <w:tcW w:w="7769" w:type="dxa"/>
            <w:vAlign w:val="center"/>
          </w:tcPr>
          <w:p w14:paraId="4B46AB4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i w:val="0"/>
                <w:iCs w:val="0"/>
                <w:color w:val="000000"/>
                <w:kern w:val="0"/>
                <w:sz w:val="24"/>
                <w:szCs w:val="24"/>
                <w:highlight w:val="none"/>
                <w:u w:val="single"/>
                <w:lang w:val="en-US" w:eastAsia="zh-CN" w:bidi="ar"/>
              </w:rPr>
              <w:t>支持自定义配置各类风险规则，基于各类逻辑表达式进行配置，包括但不限于URL、请求方法、请求头、请求提、请求参数路径、响应头、响应体、相应参数路径、五元组等，单独展示自定义风险规则的匹配结果，并单独进行管理展示（提供系统证明截图）</w:t>
            </w:r>
          </w:p>
        </w:tc>
      </w:tr>
      <w:tr w14:paraId="375F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3F6ADD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1162" w:type="dxa"/>
            <w:vMerge w:val="restart"/>
            <w:vAlign w:val="center"/>
          </w:tcPr>
          <w:p w14:paraId="165C08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业务配置</w:t>
            </w:r>
          </w:p>
        </w:tc>
        <w:tc>
          <w:tcPr>
            <w:tcW w:w="7769" w:type="dxa"/>
            <w:vAlign w:val="center"/>
          </w:tcPr>
          <w:p w14:paraId="00EB65A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支持通过正则、词组、算法等多种组合条件进行敏感数据的识别规则设置；支持手动配置敏感数据规则的启用状态。</w:t>
            </w:r>
          </w:p>
        </w:tc>
      </w:tr>
      <w:tr w14:paraId="1181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78A42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w:t>
            </w:r>
          </w:p>
        </w:tc>
        <w:tc>
          <w:tcPr>
            <w:tcW w:w="1162" w:type="dxa"/>
            <w:vMerge w:val="continue"/>
            <w:vAlign w:val="center"/>
          </w:tcPr>
          <w:p w14:paraId="6B42D3E2">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11D29CF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支持调整API类型的识别开关、API状态设定的参数配置，应用状态设定的参数配置，应用账号状态设定的参数配置，客户端状态设定的参数配置。</w:t>
            </w:r>
          </w:p>
        </w:tc>
      </w:tr>
      <w:tr w14:paraId="23EA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D2B83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w:t>
            </w:r>
          </w:p>
        </w:tc>
        <w:tc>
          <w:tcPr>
            <w:tcW w:w="1162" w:type="dxa"/>
            <w:vMerge w:val="continue"/>
            <w:vAlign w:val="center"/>
          </w:tcPr>
          <w:p w14:paraId="6A6EA75C">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79EF6C2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支持资产过滤的策略配置，通过策略设定审计的黑白名单；支持过滤状态的开关设定；支持IP规则的范围设定，配置内网、外网、局域网等；</w:t>
            </w:r>
          </w:p>
        </w:tc>
      </w:tr>
      <w:tr w14:paraId="7597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5FCBA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w:t>
            </w:r>
          </w:p>
        </w:tc>
        <w:tc>
          <w:tcPr>
            <w:tcW w:w="1162" w:type="dxa"/>
            <w:vMerge w:val="continue"/>
            <w:vAlign w:val="center"/>
          </w:tcPr>
          <w:p w14:paraId="0D34014E">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160D596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支持对弱点规则的管理，可对弱点的识别逻辑进行更改、可对弱点的白名单进行管理；支持对风险规则的管理，可对风险阈值、风险指标、风险白名单等进行管理；</w:t>
            </w:r>
          </w:p>
        </w:tc>
      </w:tr>
      <w:tr w14:paraId="2202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DDEE6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w:t>
            </w:r>
          </w:p>
        </w:tc>
        <w:tc>
          <w:tcPr>
            <w:tcW w:w="1162" w:type="dxa"/>
            <w:vMerge w:val="restart"/>
            <w:vAlign w:val="center"/>
          </w:tcPr>
          <w:p w14:paraId="35176D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数据处理</w:t>
            </w:r>
          </w:p>
        </w:tc>
        <w:tc>
          <w:tcPr>
            <w:tcW w:w="7769" w:type="dxa"/>
            <w:vAlign w:val="center"/>
          </w:tcPr>
          <w:p w14:paraId="27CC5B4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支持对指定数据标签、API分类、API等级、API标签、应用标签、弱点、访问域、部署域、IP地域的清理；</w:t>
            </w:r>
          </w:p>
        </w:tc>
      </w:tr>
      <w:tr w14:paraId="0B5B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BDE1FC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w:t>
            </w:r>
          </w:p>
        </w:tc>
        <w:tc>
          <w:tcPr>
            <w:tcW w:w="1162" w:type="dxa"/>
            <w:vMerge w:val="continue"/>
            <w:vAlign w:val="center"/>
          </w:tcPr>
          <w:p w14:paraId="522E1554">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val="0"/>
                <w:bCs w:val="0"/>
                <w:sz w:val="24"/>
                <w:szCs w:val="24"/>
                <w:highlight w:val="none"/>
              </w:rPr>
            </w:pPr>
          </w:p>
        </w:tc>
        <w:tc>
          <w:tcPr>
            <w:tcW w:w="7769" w:type="dxa"/>
            <w:vAlign w:val="center"/>
          </w:tcPr>
          <w:p w14:paraId="1BCAAF4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支持对产品中的核心功能进行导出，导出内容包括应用清单、API清单、API样例、弱点清单/报告、风险清单；</w:t>
            </w:r>
          </w:p>
        </w:tc>
      </w:tr>
    </w:tbl>
    <w:p w14:paraId="2F1BF8B6">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（九）、</w:t>
      </w:r>
      <w:r>
        <w:rPr>
          <w:rFonts w:hint="eastAsia" w:asciiTheme="minorEastAsia" w:hAnsiTheme="minorEastAsia" w:eastAsiaTheme="minorEastAsia" w:cstheme="minorEastAsia"/>
          <w:b/>
          <w:bCs w:val="0"/>
          <w:kern w:val="44"/>
          <w:sz w:val="24"/>
          <w:szCs w:val="24"/>
          <w:highlight w:val="none"/>
          <w:lang w:val="en-US" w:eastAsia="zh-CN" w:bidi="ar-SA"/>
        </w:rPr>
        <w:t>DLP数据防泄漏</w:t>
      </w:r>
    </w:p>
    <w:tbl>
      <w:tblPr>
        <w:tblStyle w:val="21"/>
        <w:tblW w:w="9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18"/>
        <w:gridCol w:w="7781"/>
      </w:tblGrid>
      <w:tr w14:paraId="3E00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14:paraId="1545CD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cstheme="minorEastAsia"/>
                <w:b/>
                <w:sz w:val="24"/>
                <w:szCs w:val="24"/>
                <w:highlight w:val="none"/>
                <w:lang w:val="en-US" w:eastAsia="zh-CN"/>
              </w:rPr>
              <w:t>序号</w:t>
            </w:r>
          </w:p>
        </w:tc>
        <w:tc>
          <w:tcPr>
            <w:tcW w:w="1218" w:type="dxa"/>
            <w:vAlign w:val="center"/>
          </w:tcPr>
          <w:p w14:paraId="1159C2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7781" w:type="dxa"/>
            <w:vAlign w:val="center"/>
          </w:tcPr>
          <w:p w14:paraId="2FF9F3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指标要求</w:t>
            </w:r>
          </w:p>
        </w:tc>
      </w:tr>
      <w:tr w14:paraId="13B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85A26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p>
        </w:tc>
        <w:tc>
          <w:tcPr>
            <w:tcW w:w="1218" w:type="dxa"/>
            <w:vAlign w:val="center"/>
          </w:tcPr>
          <w:p w14:paraId="28FA3DD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硬件指标</w:t>
            </w:r>
          </w:p>
        </w:tc>
        <w:tc>
          <w:tcPr>
            <w:tcW w:w="7781" w:type="dxa"/>
            <w:vAlign w:val="center"/>
          </w:tcPr>
          <w:p w14:paraId="3AF7CE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国产化</w:t>
            </w:r>
            <w:r>
              <w:rPr>
                <w:rFonts w:hint="eastAsia" w:asciiTheme="minorEastAsia" w:hAnsiTheme="minorEastAsia" w:cstheme="minorEastAsia"/>
                <w:i w:val="0"/>
                <w:iCs w:val="0"/>
                <w:color w:val="000000"/>
                <w:kern w:val="0"/>
                <w:sz w:val="24"/>
                <w:szCs w:val="24"/>
                <w:highlight w:val="none"/>
                <w:u w:val="none"/>
                <w:lang w:val="en-US" w:eastAsia="zh-CN" w:bidi="ar"/>
              </w:rPr>
              <w:t>芯片及操作系统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内存</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≥64</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GB</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DDR4</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，硬盘≥1*480G SSD+1*960G SSD，≥</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3*4T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机械硬盘，</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配置≥4个千兆电口，≥2个千兆光口(</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含</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单模光模块)</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冗余电源</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，三年质保服务。</w:t>
            </w:r>
          </w:p>
        </w:tc>
      </w:tr>
      <w:tr w14:paraId="2F08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D9421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2</w:t>
            </w:r>
          </w:p>
        </w:tc>
        <w:tc>
          <w:tcPr>
            <w:tcW w:w="1218" w:type="dxa"/>
            <w:vAlign w:val="center"/>
          </w:tcPr>
          <w:p w14:paraId="4C9162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资产准入</w:t>
            </w:r>
          </w:p>
        </w:tc>
        <w:tc>
          <w:tcPr>
            <w:tcW w:w="7781" w:type="dxa"/>
            <w:vAlign w:val="center"/>
          </w:tcPr>
          <w:p w14:paraId="668C2F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客户端模式下自动发现管理域内的设备接入行为，主动上报接入设备的IP/MAC地址，支持录入资产部门及使用人信息。</w:t>
            </w:r>
          </w:p>
        </w:tc>
      </w:tr>
      <w:tr w14:paraId="1BD4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70328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218" w:type="dxa"/>
            <w:vAlign w:val="center"/>
          </w:tcPr>
          <w:p w14:paraId="67FB57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资产信息</w:t>
            </w:r>
          </w:p>
        </w:tc>
        <w:tc>
          <w:tcPr>
            <w:tcW w:w="7781" w:type="dxa"/>
            <w:vAlign w:val="top"/>
          </w:tcPr>
          <w:p w14:paraId="743E085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支持对资产进行信息录入，包括但不限于采购日期、入库日期、采购价格、品牌、厂商、维保期限、维保人信息、资产类型、操作系统、位置等信息。</w:t>
            </w:r>
          </w:p>
        </w:tc>
      </w:tr>
      <w:tr w14:paraId="2A41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582E0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218" w:type="dxa"/>
            <w:vAlign w:val="center"/>
          </w:tcPr>
          <w:p w14:paraId="7BA00A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资产管理</w:t>
            </w:r>
          </w:p>
        </w:tc>
        <w:tc>
          <w:tcPr>
            <w:tcW w:w="7781" w:type="dxa"/>
            <w:vAlign w:val="center"/>
          </w:tcPr>
          <w:p w14:paraId="603D57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支持列表形式展示网段内资产信息，展示内容包括但不限于IP、MAC地址、机构、位置、品牌、资产类型等。资产类型涵盖服务器、PC计算机、网络设备、IPC、NVR、其他类型等。</w:t>
            </w:r>
          </w:p>
        </w:tc>
      </w:tr>
      <w:tr w14:paraId="7512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E230C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218" w:type="dxa"/>
            <w:vAlign w:val="center"/>
          </w:tcPr>
          <w:p w14:paraId="363EDF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网段划分</w:t>
            </w:r>
          </w:p>
        </w:tc>
        <w:tc>
          <w:tcPr>
            <w:tcW w:w="7781" w:type="dxa"/>
            <w:vAlign w:val="top"/>
          </w:tcPr>
          <w:p w14:paraId="0086B66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划分网段管理，支持对网段添加自定义备注信息，默认展示网段内所有IP及其在线状态。终端状态包括设备在线、客户端在线、设备离线、客户端异常，4种状态，分别按照不同样式区分；支持对资产状态进行全局和分段的展示。</w:t>
            </w:r>
          </w:p>
        </w:tc>
      </w:tr>
      <w:tr w14:paraId="56A0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B8E02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p>
        </w:tc>
        <w:tc>
          <w:tcPr>
            <w:tcW w:w="1218" w:type="dxa"/>
            <w:vAlign w:val="center"/>
          </w:tcPr>
          <w:p w14:paraId="6E0691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资产统计</w:t>
            </w:r>
          </w:p>
        </w:tc>
        <w:tc>
          <w:tcPr>
            <w:tcW w:w="7781" w:type="dxa"/>
            <w:vAlign w:val="center"/>
          </w:tcPr>
          <w:p w14:paraId="1E4585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支持统计网段内资产详情，展示网段内总设备在线，客户端总数、在线数、异常数等数据。</w:t>
            </w:r>
          </w:p>
        </w:tc>
      </w:tr>
      <w:tr w14:paraId="7AB8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9511F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1218" w:type="dxa"/>
            <w:vAlign w:val="center"/>
          </w:tcPr>
          <w:p w14:paraId="7EF1A1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敏感词管理</w:t>
            </w:r>
          </w:p>
        </w:tc>
        <w:tc>
          <w:tcPr>
            <w:tcW w:w="7781" w:type="dxa"/>
            <w:vAlign w:val="center"/>
          </w:tcPr>
          <w:p w14:paraId="24D23B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对平台内的敏感词进行管理操作，其包括查询、增加、编辑功能。敏感词信息包括：敏感词内容、启用/禁用状态、启用时间、失效时间、创建时间。</w:t>
            </w:r>
          </w:p>
        </w:tc>
      </w:tr>
      <w:tr w14:paraId="7A78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995FA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1218" w:type="dxa"/>
            <w:vAlign w:val="center"/>
          </w:tcPr>
          <w:p w14:paraId="03FB85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敏感词日志</w:t>
            </w:r>
          </w:p>
        </w:tc>
        <w:tc>
          <w:tcPr>
            <w:tcW w:w="7781" w:type="dxa"/>
            <w:vAlign w:val="top"/>
          </w:tcPr>
          <w:p w14:paraId="29256E6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针对涉及敏感词的终端录入日志进行捕捉和分析，展示涉及敏感词的用户信息、录入内容、所涉及敏感词汇、是否查处状态等；</w:t>
            </w:r>
          </w:p>
        </w:tc>
      </w:tr>
      <w:tr w14:paraId="61DB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C244D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w:t>
            </w:r>
          </w:p>
        </w:tc>
        <w:tc>
          <w:tcPr>
            <w:tcW w:w="1218" w:type="dxa"/>
            <w:vAlign w:val="center"/>
          </w:tcPr>
          <w:p w14:paraId="628792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快照管理</w:t>
            </w:r>
          </w:p>
        </w:tc>
        <w:tc>
          <w:tcPr>
            <w:tcW w:w="7781" w:type="dxa"/>
            <w:vAlign w:val="top"/>
          </w:tcPr>
          <w:p w14:paraId="2864356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支持自定义屏幕快照截取的范围大小，对终端操作行为进行快照溯源。</w:t>
            </w:r>
          </w:p>
        </w:tc>
      </w:tr>
      <w:tr w14:paraId="2AE6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3F9E47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w:t>
            </w:r>
          </w:p>
        </w:tc>
        <w:tc>
          <w:tcPr>
            <w:tcW w:w="1218" w:type="dxa"/>
            <w:vAlign w:val="center"/>
          </w:tcPr>
          <w:p w14:paraId="76569F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快照日志</w:t>
            </w:r>
          </w:p>
        </w:tc>
        <w:tc>
          <w:tcPr>
            <w:tcW w:w="7781" w:type="dxa"/>
            <w:vAlign w:val="center"/>
          </w:tcPr>
          <w:p w14:paraId="3F80C6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对于用户在终端的操作行为，以快照形式进行记录终端所有操作，支持根据IP、操作日期、快照时间创建存放目录。可通过时间范围搜索想要的结果。</w:t>
            </w:r>
          </w:p>
        </w:tc>
      </w:tr>
      <w:tr w14:paraId="643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25F396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11</w:t>
            </w:r>
          </w:p>
        </w:tc>
        <w:tc>
          <w:tcPr>
            <w:tcW w:w="1218" w:type="dxa"/>
            <w:vAlign w:val="center"/>
          </w:tcPr>
          <w:p w14:paraId="73E4A5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文字日志</w:t>
            </w:r>
          </w:p>
        </w:tc>
        <w:tc>
          <w:tcPr>
            <w:tcW w:w="7781" w:type="dxa"/>
            <w:vAlign w:val="center"/>
          </w:tcPr>
          <w:p w14:paraId="5CC5DD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对于键盘输入的文字信息或操作行为进行记录。提取行为包括：手动输入、快捷键操作等；展示信息包括用户IP、文本内容、创建时间等。</w:t>
            </w:r>
          </w:p>
        </w:tc>
      </w:tr>
      <w:tr w14:paraId="01F6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D0F50B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w:t>
            </w:r>
          </w:p>
        </w:tc>
        <w:tc>
          <w:tcPr>
            <w:tcW w:w="1218" w:type="dxa"/>
            <w:vAlign w:val="center"/>
          </w:tcPr>
          <w:p w14:paraId="5212BD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锁屏检测</w:t>
            </w:r>
          </w:p>
        </w:tc>
        <w:tc>
          <w:tcPr>
            <w:tcW w:w="7781" w:type="dxa"/>
            <w:vAlign w:val="center"/>
          </w:tcPr>
          <w:p w14:paraId="5ABBD0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Style w:val="36"/>
                <w:rFonts w:hint="eastAsia" w:asciiTheme="minorEastAsia" w:hAnsiTheme="minorEastAsia" w:eastAsiaTheme="minorEastAsia" w:cstheme="minorEastAsia"/>
                <w:sz w:val="24"/>
                <w:szCs w:val="24"/>
                <w:highlight w:val="none"/>
                <w:lang w:val="en-US" w:eastAsia="zh-CN" w:bidi="ar"/>
              </w:rPr>
              <w:t>★</w:t>
            </w:r>
            <w:r>
              <w:rPr>
                <w:rStyle w:val="36"/>
                <w:rFonts w:hint="eastAsia" w:asciiTheme="minorEastAsia" w:hAnsiTheme="minorEastAsia" w:eastAsiaTheme="minorEastAsia" w:cstheme="minorEastAsia"/>
                <w:sz w:val="24"/>
                <w:szCs w:val="24"/>
                <w:highlight w:val="none"/>
                <w:u w:val="single"/>
                <w:lang w:val="en-US" w:eastAsia="zh-CN" w:bidi="ar"/>
              </w:rPr>
              <w:t>支持配置多种屏幕解锁方式，包括密码解锁、心跳控制、警综等方式的解锁终端设备，支持自定义锁屏页面标题内容。</w:t>
            </w:r>
            <w:r>
              <w:rPr>
                <w:rFonts w:hint="eastAsia" w:ascii="宋体" w:hAnsi="宋体" w:eastAsia="宋体" w:cs="宋体"/>
                <w:sz w:val="24"/>
                <w:szCs w:val="24"/>
                <w:highlight w:val="none"/>
                <w:u w:val="single"/>
                <w:lang w:val="en-US" w:eastAsia="zh-CN"/>
              </w:rPr>
              <w:t>（提供系统功能截图）</w:t>
            </w:r>
          </w:p>
        </w:tc>
      </w:tr>
      <w:tr w14:paraId="67F0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E59D90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13</w:t>
            </w:r>
          </w:p>
        </w:tc>
        <w:tc>
          <w:tcPr>
            <w:tcW w:w="1218" w:type="dxa"/>
            <w:vAlign w:val="center"/>
          </w:tcPr>
          <w:p w14:paraId="59849C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异常增量检测</w:t>
            </w:r>
          </w:p>
        </w:tc>
        <w:tc>
          <w:tcPr>
            <w:tcW w:w="7781" w:type="dxa"/>
            <w:vAlign w:val="center"/>
          </w:tcPr>
          <w:p w14:paraId="030151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针对异常查询或操作的行为进行检测和预警，自动对该终端进行预警处理。提供增量的检测内容包括但不限于车牌号、手机号、身份证等信息，且支持自定义所需判定的正则规则。</w:t>
            </w:r>
          </w:p>
        </w:tc>
      </w:tr>
      <w:tr w14:paraId="1D10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C07999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14</w:t>
            </w:r>
          </w:p>
        </w:tc>
        <w:tc>
          <w:tcPr>
            <w:tcW w:w="1218" w:type="dxa"/>
            <w:vAlign w:val="center"/>
          </w:tcPr>
          <w:p w14:paraId="2129E5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增量日志</w:t>
            </w:r>
          </w:p>
        </w:tc>
        <w:tc>
          <w:tcPr>
            <w:tcW w:w="7781" w:type="dxa"/>
            <w:vAlign w:val="top"/>
          </w:tcPr>
          <w:p w14:paraId="28BFBB3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涉及异常操作增量的终端主动预警，并针对异常行为进行分析统计，溯源终端用户出现异常行为操作，提前做到防范措施。</w:t>
            </w:r>
          </w:p>
        </w:tc>
      </w:tr>
      <w:tr w14:paraId="1E13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343D52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15</w:t>
            </w:r>
          </w:p>
        </w:tc>
        <w:tc>
          <w:tcPr>
            <w:tcW w:w="1218" w:type="dxa"/>
            <w:vAlign w:val="center"/>
          </w:tcPr>
          <w:p w14:paraId="0A03C1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打印机检测</w:t>
            </w:r>
          </w:p>
        </w:tc>
        <w:tc>
          <w:tcPr>
            <w:tcW w:w="7781" w:type="dxa"/>
            <w:vAlign w:val="top"/>
          </w:tcPr>
          <w:p w14:paraId="0B84ACA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支持针对终端调用打印机行为进行识别、记录、统计，展示内容包括终端IP、打印机名称、终端关联的人员姓名和部门、调用次数、调用时间等。</w:t>
            </w:r>
          </w:p>
        </w:tc>
      </w:tr>
      <w:tr w14:paraId="54CF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BC715E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16</w:t>
            </w:r>
          </w:p>
        </w:tc>
        <w:tc>
          <w:tcPr>
            <w:tcW w:w="1218" w:type="dxa"/>
            <w:vAlign w:val="center"/>
          </w:tcPr>
          <w:p w14:paraId="084A45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USB检测</w:t>
            </w:r>
          </w:p>
        </w:tc>
        <w:tc>
          <w:tcPr>
            <w:tcW w:w="7781" w:type="dxa"/>
            <w:vAlign w:val="center"/>
          </w:tcPr>
          <w:p w14:paraId="302BD0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支持识别部分手机等外接设备接入终端的行为，发现接入设备的盘符立即开启拦截，断开USB连接。</w:t>
            </w:r>
          </w:p>
        </w:tc>
      </w:tr>
      <w:tr w14:paraId="01CF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F80808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17</w:t>
            </w:r>
          </w:p>
        </w:tc>
        <w:tc>
          <w:tcPr>
            <w:tcW w:w="1218" w:type="dxa"/>
            <w:vAlign w:val="center"/>
          </w:tcPr>
          <w:p w14:paraId="70A0D5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水印管理</w:t>
            </w:r>
          </w:p>
        </w:tc>
        <w:tc>
          <w:tcPr>
            <w:tcW w:w="7781" w:type="dxa"/>
            <w:vAlign w:val="top"/>
          </w:tcPr>
          <w:p w14:paraId="70F68FE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开启/关闭全屏水印信息，自定义水印展示内容、颜色、透明度等参数。</w:t>
            </w:r>
          </w:p>
        </w:tc>
      </w:tr>
      <w:tr w14:paraId="22AA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713E88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18</w:t>
            </w:r>
          </w:p>
        </w:tc>
        <w:tc>
          <w:tcPr>
            <w:tcW w:w="1218" w:type="dxa"/>
            <w:vAlign w:val="center"/>
          </w:tcPr>
          <w:p w14:paraId="66E787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客户端异常探测</w:t>
            </w:r>
          </w:p>
        </w:tc>
        <w:tc>
          <w:tcPr>
            <w:tcW w:w="7781" w:type="dxa"/>
            <w:vAlign w:val="center"/>
          </w:tcPr>
          <w:p w14:paraId="50C2D5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客户端失效、客户端被恶意卸载、无法探测到客户端时，系统自动触发预警并记录。</w:t>
            </w:r>
          </w:p>
        </w:tc>
      </w:tr>
    </w:tbl>
    <w:p w14:paraId="025673AA">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（十）、</w:t>
      </w:r>
      <w:r>
        <w:rPr>
          <w:rFonts w:hint="eastAsia" w:asciiTheme="minorEastAsia" w:hAnsiTheme="minorEastAsia" w:eastAsiaTheme="minorEastAsia" w:cstheme="minorEastAsia"/>
          <w:b/>
          <w:bCs w:val="0"/>
          <w:kern w:val="44"/>
          <w:sz w:val="24"/>
          <w:szCs w:val="24"/>
          <w:highlight w:val="none"/>
          <w:lang w:val="en-US" w:eastAsia="zh-CN" w:bidi="ar-SA"/>
        </w:rPr>
        <w:t>跨网数据交互</w:t>
      </w:r>
    </w:p>
    <w:tbl>
      <w:tblPr>
        <w:tblStyle w:val="21"/>
        <w:tblW w:w="9623"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39"/>
        <w:gridCol w:w="7769"/>
      </w:tblGrid>
      <w:tr w14:paraId="4E45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04AF22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cstheme="minorEastAsia"/>
                <w:b/>
                <w:sz w:val="24"/>
                <w:szCs w:val="24"/>
                <w:highlight w:val="none"/>
                <w:lang w:val="en-US" w:eastAsia="zh-CN"/>
              </w:rPr>
              <w:t>序号</w:t>
            </w:r>
          </w:p>
        </w:tc>
        <w:tc>
          <w:tcPr>
            <w:tcW w:w="1139" w:type="dxa"/>
            <w:vAlign w:val="center"/>
          </w:tcPr>
          <w:p w14:paraId="0EF59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7769" w:type="dxa"/>
            <w:vAlign w:val="center"/>
          </w:tcPr>
          <w:p w14:paraId="55B1EB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指标要求</w:t>
            </w:r>
          </w:p>
        </w:tc>
      </w:tr>
      <w:tr w14:paraId="5C0A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3493763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p>
        </w:tc>
        <w:tc>
          <w:tcPr>
            <w:tcW w:w="1139" w:type="dxa"/>
            <w:vAlign w:val="center"/>
          </w:tcPr>
          <w:p w14:paraId="03255EB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硬件指标</w:t>
            </w:r>
          </w:p>
        </w:tc>
        <w:tc>
          <w:tcPr>
            <w:tcW w:w="7769" w:type="dxa"/>
            <w:vAlign w:val="center"/>
          </w:tcPr>
          <w:p w14:paraId="115BC04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国产化</w:t>
            </w:r>
            <w:r>
              <w:rPr>
                <w:rFonts w:hint="eastAsia" w:asciiTheme="minorEastAsia" w:hAnsiTheme="minorEastAsia" w:cstheme="minorEastAsia"/>
                <w:i w:val="0"/>
                <w:iCs w:val="0"/>
                <w:color w:val="000000"/>
                <w:kern w:val="0"/>
                <w:sz w:val="24"/>
                <w:szCs w:val="24"/>
                <w:highlight w:val="none"/>
                <w:u w:val="none"/>
                <w:lang w:val="en-US" w:eastAsia="zh-CN" w:bidi="ar"/>
              </w:rPr>
              <w:t>芯片及操作系统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含软件全功能模块，</w:t>
            </w:r>
            <w:r>
              <w:rPr>
                <w:rFonts w:hint="eastAsia" w:asciiTheme="minorEastAsia" w:hAnsiTheme="minorEastAsia" w:cstheme="minorEastAsia"/>
                <w:i w:val="0"/>
                <w:iCs w:val="0"/>
                <w:color w:val="000000"/>
                <w:kern w:val="0"/>
                <w:sz w:val="24"/>
                <w:szCs w:val="24"/>
                <w:highlight w:val="none"/>
                <w:u w:val="none"/>
                <w:lang w:val="en-US" w:eastAsia="zh-CN" w:bidi="ar"/>
              </w:rPr>
              <w:t>每套包含</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2节点</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部署</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（内外网各一个节点</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,每节点2U机架式；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CPU≥</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16核</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2.</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Ghz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内存≥</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128G；</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硬盘容量≥</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20T；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4千兆电；</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2万兆光口</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（含模块），不限制</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license客户端数量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，三年质保服务。</w:t>
            </w:r>
          </w:p>
        </w:tc>
      </w:tr>
      <w:tr w14:paraId="3EE4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731529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2</w:t>
            </w:r>
          </w:p>
        </w:tc>
        <w:tc>
          <w:tcPr>
            <w:tcW w:w="1139" w:type="dxa"/>
            <w:vAlign w:val="center"/>
          </w:tcPr>
          <w:p w14:paraId="2D4BBEB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系统兼容</w:t>
            </w:r>
          </w:p>
        </w:tc>
        <w:tc>
          <w:tcPr>
            <w:tcW w:w="7769" w:type="dxa"/>
            <w:vAlign w:val="center"/>
          </w:tcPr>
          <w:p w14:paraId="3D410BF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不受电脑系统或版本限制，支持多种操作系统和设备类型的访问，包括PC(Windows、Mac、国产信创)、平板、智慧屏等。用户可以在不同设备上登录云盘账号，实现文件的多端同步和共享。这样，用户可以随时随地访问自己的文件，提高工作效率和便利性。</w:t>
            </w:r>
          </w:p>
        </w:tc>
      </w:tr>
      <w:tr w14:paraId="732C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240CBC5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139" w:type="dxa"/>
            <w:vAlign w:val="center"/>
          </w:tcPr>
          <w:p w14:paraId="5AD3268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跨网交互</w:t>
            </w:r>
          </w:p>
        </w:tc>
        <w:tc>
          <w:tcPr>
            <w:tcW w:w="7769" w:type="dxa"/>
            <w:vAlign w:val="center"/>
          </w:tcPr>
          <w:p w14:paraId="5AFD877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在不同网络之间的文件传输，包括内网和外网。用户通过平台将文件从一个网络环境传输到另一个网络环境，实现文件的同步和共享。系统同时支持实时同步功能，确保文件在不同网络环境下的实时更新和一致性。</w:t>
            </w:r>
          </w:p>
        </w:tc>
      </w:tr>
      <w:tr w14:paraId="1935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1A7710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1139" w:type="dxa"/>
            <w:vAlign w:val="center"/>
          </w:tcPr>
          <w:p w14:paraId="1CDCFA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群组管理</w:t>
            </w:r>
          </w:p>
        </w:tc>
        <w:tc>
          <w:tcPr>
            <w:tcW w:w="7769" w:type="dxa"/>
            <w:vAlign w:val="center"/>
          </w:tcPr>
          <w:p w14:paraId="7538FFE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展现账号所在的群组列表信息，根据管理权限群组。可创建群组并设置/更改群组有效期限，失效群组将进入归档空间不在此页面显示。</w:t>
            </w:r>
          </w:p>
        </w:tc>
      </w:tr>
      <w:tr w14:paraId="686A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2AF1BED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139" w:type="dxa"/>
            <w:vAlign w:val="center"/>
          </w:tcPr>
          <w:p w14:paraId="539452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成员管理</w:t>
            </w:r>
          </w:p>
        </w:tc>
        <w:tc>
          <w:tcPr>
            <w:tcW w:w="7769" w:type="dxa"/>
            <w:vAlign w:val="center"/>
          </w:tcPr>
          <w:p w14:paraId="51D5FE4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群组成员角色包括管理员(即为创建者)、子管理员(代管人)、普通成员。管理员拥有所有权限。子管理员权限包括文件版本管理、编辑文件权限、增删回收站、增删成员、成员权限编辑。文件版本管理表示能够恢复某文件的历史版本；编辑文件权限表示能够针对文件进行增删改操作权限设定；成员权限编辑表示对普通成员进行权限设定划分。普通成员根据管理员赋予的权限进行操作。</w:t>
            </w:r>
          </w:p>
        </w:tc>
      </w:tr>
      <w:tr w14:paraId="5AD2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C59C2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139" w:type="dxa"/>
            <w:vAlign w:val="center"/>
          </w:tcPr>
          <w:p w14:paraId="29A4AE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群操作日志</w:t>
            </w:r>
          </w:p>
        </w:tc>
        <w:tc>
          <w:tcPr>
            <w:tcW w:w="7769" w:type="dxa"/>
            <w:vAlign w:val="center"/>
          </w:tcPr>
          <w:p w14:paraId="39A2A0F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支持针对某群组内的所有用户操作生成详细行为记录，记录包括昵称、IP、操作详情、时间等痕迹。</w:t>
            </w:r>
          </w:p>
        </w:tc>
      </w:tr>
      <w:tr w14:paraId="0061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248CBC0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1139" w:type="dxa"/>
            <w:vAlign w:val="center"/>
          </w:tcPr>
          <w:p w14:paraId="4ABB89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rPr>
            </w:pPr>
            <w:r>
              <w:rPr>
                <w:rFonts w:hint="default" w:asciiTheme="minorEastAsia" w:hAnsiTheme="minorEastAsia" w:eastAsiaTheme="minorEastAsia" w:cstheme="minorEastAsia"/>
                <w:sz w:val="24"/>
                <w:szCs w:val="24"/>
                <w:highlight w:val="none"/>
                <w:lang w:val="en-US" w:eastAsia="zh-CN"/>
              </w:rPr>
              <w:t>在线预览</w:t>
            </w:r>
            <w:r>
              <w:rPr>
                <w:rFonts w:hint="eastAsia" w:asciiTheme="minorEastAsia" w:hAnsiTheme="minorEastAsia" w:eastAsiaTheme="minorEastAsia" w:cstheme="minorEastAsia"/>
                <w:sz w:val="24"/>
                <w:szCs w:val="24"/>
                <w:highlight w:val="none"/>
                <w:lang w:val="en-US" w:eastAsia="zh-CN"/>
              </w:rPr>
              <w:t>、编辑</w:t>
            </w:r>
          </w:p>
        </w:tc>
        <w:tc>
          <w:tcPr>
            <w:tcW w:w="7769" w:type="dxa"/>
            <w:vAlign w:val="center"/>
          </w:tcPr>
          <w:p w14:paraId="62A6D76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支持基础办公文件类型在线预览功能，例如pdf、office类、一般图片类在线预览。支持视频预览，包括mp4、avi、等视频格式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p>
          <w:p w14:paraId="16DC595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支持多人同时在线协作编辑和使用同一个文件。</w:t>
            </w:r>
          </w:p>
        </w:tc>
      </w:tr>
      <w:tr w14:paraId="0C6E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5E0E170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1139" w:type="dxa"/>
            <w:vAlign w:val="center"/>
          </w:tcPr>
          <w:p w14:paraId="368E28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定向锁定</w:t>
            </w:r>
          </w:p>
        </w:tc>
        <w:tc>
          <w:tcPr>
            <w:tcW w:w="7769" w:type="dxa"/>
            <w:vAlign w:val="center"/>
          </w:tcPr>
          <w:p w14:paraId="0227E79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支持定向锁定某个用户正在编辑的单元格，实现单元格操作独享权；被锁定单元格编辑完成后可实现解锁由其他人编辑。</w:t>
            </w:r>
          </w:p>
        </w:tc>
      </w:tr>
      <w:tr w14:paraId="6752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23699EF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w:t>
            </w:r>
          </w:p>
        </w:tc>
        <w:tc>
          <w:tcPr>
            <w:tcW w:w="1139" w:type="dxa"/>
            <w:vAlign w:val="center"/>
          </w:tcPr>
          <w:p w14:paraId="613F24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版本管理</w:t>
            </w:r>
          </w:p>
        </w:tc>
        <w:tc>
          <w:tcPr>
            <w:tcW w:w="7769" w:type="dxa"/>
            <w:vAlign w:val="center"/>
          </w:tcPr>
          <w:p w14:paraId="5C9D0DF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针对文件的编辑会保存多个版本，用户可以根据情况恢复到历史某个版本。</w:t>
            </w:r>
          </w:p>
        </w:tc>
      </w:tr>
      <w:tr w14:paraId="126C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3F3ED87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w:t>
            </w:r>
          </w:p>
        </w:tc>
        <w:tc>
          <w:tcPr>
            <w:tcW w:w="1139" w:type="dxa"/>
            <w:vAlign w:val="center"/>
          </w:tcPr>
          <w:p w14:paraId="39AED8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文件上传</w:t>
            </w:r>
          </w:p>
        </w:tc>
        <w:tc>
          <w:tcPr>
            <w:tcW w:w="7769" w:type="dxa"/>
            <w:vAlign w:val="center"/>
          </w:tcPr>
          <w:p w14:paraId="4CE8425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支持文件/文件夹拖移上传，可实现文件秒传。文件上传大小不限制，采用切片上传形式保障文件传输稳定和高速。</w:t>
            </w:r>
          </w:p>
        </w:tc>
      </w:tr>
      <w:tr w14:paraId="42D4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70121C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11</w:t>
            </w:r>
          </w:p>
        </w:tc>
        <w:tc>
          <w:tcPr>
            <w:tcW w:w="1139" w:type="dxa"/>
            <w:vAlign w:val="center"/>
          </w:tcPr>
          <w:p w14:paraId="56B405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传输加密</w:t>
            </w:r>
          </w:p>
        </w:tc>
        <w:tc>
          <w:tcPr>
            <w:tcW w:w="7769" w:type="dxa"/>
            <w:vAlign w:val="center"/>
          </w:tcPr>
          <w:p w14:paraId="2D1DEBF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采用先进的加密技术，对传输和存储的文件进行加密保护，确保文件在传输和存储过程中的机密性和完整性。</w:t>
            </w:r>
          </w:p>
        </w:tc>
      </w:tr>
      <w:tr w14:paraId="02CE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C3355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w:t>
            </w:r>
          </w:p>
        </w:tc>
        <w:tc>
          <w:tcPr>
            <w:tcW w:w="1139" w:type="dxa"/>
            <w:vAlign w:val="center"/>
          </w:tcPr>
          <w:p w14:paraId="6E7BC9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多线程传输</w:t>
            </w:r>
          </w:p>
        </w:tc>
        <w:tc>
          <w:tcPr>
            <w:tcW w:w="7769" w:type="dxa"/>
            <w:vAlign w:val="center"/>
          </w:tcPr>
          <w:p w14:paraId="62A52D1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支持在文件传输过程中，同时通过多个线程并发传输将多个文件，以提高数据传输的效率和速度。</w:t>
            </w:r>
          </w:p>
        </w:tc>
      </w:tr>
      <w:tr w14:paraId="5923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1EAC250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13</w:t>
            </w:r>
          </w:p>
        </w:tc>
        <w:tc>
          <w:tcPr>
            <w:tcW w:w="1139" w:type="dxa"/>
            <w:vAlign w:val="center"/>
          </w:tcPr>
          <w:p w14:paraId="589F2A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文件覆盖</w:t>
            </w:r>
          </w:p>
        </w:tc>
        <w:tc>
          <w:tcPr>
            <w:tcW w:w="7769" w:type="dxa"/>
            <w:vAlign w:val="center"/>
          </w:tcPr>
          <w:p w14:paraId="50BFE4C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系统具备智能识别功能，支持在文件上传时自动检测重复文件，并在检测到相同文件时自动为其生成一个或多个副本文件，以确保数据冗余和备份。</w:t>
            </w:r>
          </w:p>
        </w:tc>
      </w:tr>
      <w:tr w14:paraId="429F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E38F09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14</w:t>
            </w:r>
          </w:p>
        </w:tc>
        <w:tc>
          <w:tcPr>
            <w:tcW w:w="1139" w:type="dxa"/>
            <w:vAlign w:val="center"/>
          </w:tcPr>
          <w:p w14:paraId="332929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可视化运维</w:t>
            </w:r>
          </w:p>
        </w:tc>
        <w:tc>
          <w:tcPr>
            <w:tcW w:w="7769" w:type="dxa"/>
            <w:vAlign w:val="center"/>
          </w:tcPr>
          <w:p w14:paraId="2E723D7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采用图文形式直观展示重要数据。支持在管理端查看云盘CPU、内存、存储资源使用情况；支持查看在线、离线人数；支持查看当天、当月、总上传文件数量；支持查个人/群组总存储资源利用率，根据Top10排列；支持查看个人、群组空间饱和程度，便于管理员分配。</w:t>
            </w:r>
          </w:p>
        </w:tc>
      </w:tr>
      <w:tr w14:paraId="2F1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3CD0FBF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15</w:t>
            </w:r>
          </w:p>
        </w:tc>
        <w:tc>
          <w:tcPr>
            <w:tcW w:w="1139" w:type="dxa"/>
            <w:vAlign w:val="center"/>
          </w:tcPr>
          <w:p w14:paraId="4782D0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格式限制</w:t>
            </w:r>
          </w:p>
        </w:tc>
        <w:tc>
          <w:tcPr>
            <w:tcW w:w="7769" w:type="dxa"/>
            <w:vAlign w:val="center"/>
          </w:tcPr>
          <w:p w14:paraId="2E45956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系统支持通过文件上传格式限制对云盘进行安全管控，可自定义策略对云盘进行安全管理，默认不限制文件上传格式。</w:t>
            </w:r>
          </w:p>
        </w:tc>
      </w:tr>
      <w:tr w14:paraId="1AF0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D1418A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16</w:t>
            </w:r>
          </w:p>
        </w:tc>
        <w:tc>
          <w:tcPr>
            <w:tcW w:w="1139" w:type="dxa"/>
            <w:vAlign w:val="center"/>
          </w:tcPr>
          <w:p w14:paraId="710B6D1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病毒检测</w:t>
            </w:r>
          </w:p>
        </w:tc>
        <w:tc>
          <w:tcPr>
            <w:tcW w:w="7769" w:type="dxa"/>
            <w:vAlign w:val="center"/>
          </w:tcPr>
          <w:p w14:paraId="0A3F9ED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所有文件上传均会进行文件格式及内容的病毒扫描，支持双重扫描过程。第一阶段包括对文件的轻量级基础扫描，能够保证文件快速上传的同时同步进行文件简单病毒扫描；第二阶段包括对云盘内已存在的文件进行深度病毒扫描，会根据扫描结果进行文件区分和展示。</w:t>
            </w:r>
          </w:p>
        </w:tc>
      </w:tr>
      <w:tr w14:paraId="054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73E14A6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17</w:t>
            </w:r>
          </w:p>
        </w:tc>
        <w:tc>
          <w:tcPr>
            <w:tcW w:w="1139" w:type="dxa"/>
            <w:vAlign w:val="center"/>
          </w:tcPr>
          <w:p w14:paraId="308289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敏感词管理</w:t>
            </w:r>
          </w:p>
        </w:tc>
        <w:tc>
          <w:tcPr>
            <w:tcW w:w="7769" w:type="dxa"/>
            <w:vAlign w:val="center"/>
          </w:tcPr>
          <w:p w14:paraId="1D6BCC5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显示管理员所设置的敏感词字眼，系统经检测，将阻止文件名涉及该敏感词的文件上传。</w:t>
            </w:r>
          </w:p>
        </w:tc>
      </w:tr>
      <w:tr w14:paraId="35E8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364FBCE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18</w:t>
            </w:r>
          </w:p>
        </w:tc>
        <w:tc>
          <w:tcPr>
            <w:tcW w:w="1139" w:type="dxa"/>
            <w:vAlign w:val="center"/>
          </w:tcPr>
          <w:p w14:paraId="47941B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群组归档</w:t>
            </w:r>
          </w:p>
        </w:tc>
        <w:tc>
          <w:tcPr>
            <w:tcW w:w="7769" w:type="dxa"/>
            <w:vAlign w:val="center"/>
          </w:tcPr>
          <w:p w14:paraId="07E405D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群组创建支持设定有效期限，到期群组自动归档存放入管理端第二空间，被删除群组内的文件会全部在管理端进行备份留档，防止群组\文件误删问题。</w:t>
            </w:r>
          </w:p>
        </w:tc>
      </w:tr>
    </w:tbl>
    <w:p w14:paraId="5BE41615">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HAnsi" w:hAnsiTheme="minorHAnsi" w:eastAsiaTheme="minorEastAsia" w:cstheme="minorBidi"/>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（十一）、</w:t>
      </w:r>
      <w:r>
        <w:rPr>
          <w:rFonts w:hint="eastAsia" w:asciiTheme="minorHAnsi" w:hAnsiTheme="minorHAnsi" w:eastAsiaTheme="minorEastAsia" w:cstheme="minorBidi"/>
          <w:b/>
          <w:bCs w:val="0"/>
          <w:kern w:val="44"/>
          <w:sz w:val="24"/>
          <w:szCs w:val="24"/>
          <w:highlight w:val="none"/>
          <w:lang w:val="en-US" w:eastAsia="zh-CN" w:bidi="ar-SA"/>
        </w:rPr>
        <w:t>数据库管控平台</w:t>
      </w:r>
    </w:p>
    <w:tbl>
      <w:tblPr>
        <w:tblStyle w:val="21"/>
        <w:tblW w:w="9611"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12"/>
        <w:gridCol w:w="7673"/>
      </w:tblGrid>
      <w:tr w14:paraId="5B94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EB60C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序号</w:t>
            </w:r>
          </w:p>
        </w:tc>
        <w:tc>
          <w:tcPr>
            <w:tcW w:w="1212" w:type="dxa"/>
            <w:vAlign w:val="center"/>
          </w:tcPr>
          <w:p w14:paraId="7395AD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指标项</w:t>
            </w:r>
          </w:p>
        </w:tc>
        <w:tc>
          <w:tcPr>
            <w:tcW w:w="7673" w:type="dxa"/>
            <w:vAlign w:val="center"/>
          </w:tcPr>
          <w:p w14:paraId="6048A6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446E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DED69C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212" w:type="dxa"/>
            <w:vAlign w:val="center"/>
          </w:tcPr>
          <w:p w14:paraId="0D458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硬件指标</w:t>
            </w:r>
          </w:p>
        </w:tc>
        <w:tc>
          <w:tcPr>
            <w:tcW w:w="7673" w:type="dxa"/>
            <w:vAlign w:val="center"/>
          </w:tcPr>
          <w:p w14:paraId="750B5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eastAsia="zh-CN"/>
              </w:rPr>
              <w:t>国产化</w:t>
            </w:r>
            <w:r>
              <w:rPr>
                <w:rFonts w:hint="eastAsia" w:ascii="宋体" w:hAnsi="宋体" w:eastAsia="宋体" w:cs="宋体"/>
                <w:sz w:val="24"/>
                <w:szCs w:val="24"/>
                <w:highlight w:val="none"/>
                <w:lang w:val="en-US" w:eastAsia="zh-CN"/>
              </w:rPr>
              <w:t>芯片及操作系统</w:t>
            </w:r>
            <w:r>
              <w:rPr>
                <w:rFonts w:hint="eastAsia" w:ascii="宋体" w:hAnsi="宋体" w:eastAsia="宋体" w:cs="宋体"/>
                <w:sz w:val="24"/>
                <w:szCs w:val="24"/>
                <w:highlight w:val="none"/>
                <w:lang w:eastAsia="zh-CN"/>
              </w:rPr>
              <w:t>，内存≥128 GB DDR4，硬盘≥1*480G SSD+1*960G SSD，</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eastAsia="zh-CN"/>
              </w:rPr>
              <w:t>5*4T机械硬盘，配置≥4个千兆电口，≥4个千兆光口(含单模光模块），冗余电源，三年质保服务。</w:t>
            </w:r>
          </w:p>
        </w:tc>
      </w:tr>
      <w:tr w14:paraId="299A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953684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12" w:type="dxa"/>
            <w:vMerge w:val="restart"/>
            <w:vAlign w:val="center"/>
          </w:tcPr>
          <w:p w14:paraId="36B63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数据库</w:t>
            </w:r>
            <w:r>
              <w:rPr>
                <w:rFonts w:hint="eastAsia" w:ascii="宋体" w:hAnsi="宋体" w:eastAsia="宋体" w:cs="宋体"/>
                <w:color w:val="000000" w:themeColor="text1"/>
                <w:sz w:val="24"/>
                <w:szCs w:val="24"/>
                <w:highlight w:val="none"/>
                <w:lang w:val="en-US" w:eastAsia="zh-CN"/>
                <w14:textFill>
                  <w14:solidFill>
                    <w14:schemeClr w14:val="tx1"/>
                  </w14:solidFill>
                </w14:textFill>
              </w:rPr>
              <w:t>协议</w:t>
            </w:r>
            <w:r>
              <w:rPr>
                <w:rFonts w:hint="eastAsia" w:ascii="宋体" w:hAnsi="宋体" w:eastAsia="宋体" w:cs="宋体"/>
                <w:color w:val="000000" w:themeColor="text1"/>
                <w:sz w:val="24"/>
                <w:szCs w:val="24"/>
                <w:highlight w:val="none"/>
                <w14:textFill>
                  <w14:solidFill>
                    <w14:schemeClr w14:val="tx1"/>
                  </w14:solidFill>
                </w14:textFill>
              </w:rPr>
              <w:t>类型</w:t>
            </w:r>
          </w:p>
        </w:tc>
        <w:tc>
          <w:tcPr>
            <w:tcW w:w="7673" w:type="dxa"/>
            <w:vAlign w:val="center"/>
          </w:tcPr>
          <w:p w14:paraId="665D5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支持国内外</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余种</w:t>
            </w:r>
            <w:r>
              <w:rPr>
                <w:rFonts w:hint="eastAsia" w:ascii="宋体" w:hAnsi="宋体" w:eastAsia="宋体" w:cs="宋体"/>
                <w:sz w:val="24"/>
                <w:szCs w:val="24"/>
                <w:highlight w:val="none"/>
                <w:lang w:eastAsia="zh-CN"/>
              </w:rPr>
              <w:t>主流数据库协议，包括国产化/非国产化的关系型数据库、非关系型数据库等；</w:t>
            </w:r>
          </w:p>
        </w:tc>
      </w:tr>
      <w:tr w14:paraId="7802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09CC83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12" w:type="dxa"/>
            <w:vMerge w:val="continue"/>
            <w:vAlign w:val="center"/>
          </w:tcPr>
          <w:p w14:paraId="25ED3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p>
        </w:tc>
        <w:tc>
          <w:tcPr>
            <w:tcW w:w="7673" w:type="dxa"/>
            <w:vAlign w:val="center"/>
          </w:tcPr>
          <w:p w14:paraId="34208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支持Oracle、SQLServer、MySQL、DB2、Sybase、Informix、PostgreSQ</w:t>
            </w:r>
            <w:r>
              <w:rPr>
                <w:rFonts w:hint="eastAsia" w:ascii="宋体" w:hAnsi="宋体" w:eastAsia="宋体" w:cs="宋体"/>
                <w:color w:val="auto"/>
                <w:sz w:val="24"/>
                <w:szCs w:val="24"/>
                <w:highlight w:val="none"/>
              </w:rPr>
              <w:t>L、Teradata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Neo4j、PolarDB</w:t>
            </w:r>
            <w:r>
              <w:rPr>
                <w:rFonts w:hint="eastAsia" w:ascii="宋体" w:hAnsi="宋体" w:eastAsia="宋体" w:cs="宋体"/>
                <w:color w:val="auto"/>
                <w:sz w:val="24"/>
                <w:szCs w:val="24"/>
                <w:highlight w:val="none"/>
              </w:rPr>
              <w:t>等数据库系统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w:t>
            </w:r>
            <w:r>
              <w:rPr>
                <w:rFonts w:hint="eastAsia" w:ascii="宋体" w:hAnsi="宋体" w:eastAsia="宋体" w:cs="宋体"/>
                <w:color w:val="auto"/>
                <w:sz w:val="24"/>
                <w:szCs w:val="24"/>
                <w:highlight w:val="none"/>
                <w:lang w:val="en-US" w:eastAsia="zh-CN"/>
              </w:rPr>
              <w:t>人大金仓</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达梦</w:t>
            </w:r>
            <w:r>
              <w:rPr>
                <w:rFonts w:hint="eastAsia" w:ascii="宋体" w:hAnsi="宋体" w:eastAsia="宋体" w:cs="宋体"/>
                <w:color w:val="auto"/>
                <w:sz w:val="24"/>
                <w:szCs w:val="24"/>
                <w:highlight w:val="none"/>
              </w:rPr>
              <w:t>、Oscar、GBase、</w:t>
            </w:r>
            <w:r>
              <w:rPr>
                <w:rFonts w:hint="eastAsia" w:ascii="宋体" w:hAnsi="宋体" w:eastAsia="宋体" w:cs="宋体"/>
                <w:color w:val="auto"/>
                <w:sz w:val="24"/>
                <w:szCs w:val="24"/>
                <w:highlight w:val="none"/>
                <w:lang w:val="en-US" w:eastAsia="zh-CN"/>
              </w:rPr>
              <w:t>GreatDB、Oceanbase、SinoDB、虚谷、Vastbase、</w:t>
            </w:r>
            <w:r>
              <w:rPr>
                <w:rFonts w:hint="eastAsia" w:ascii="宋体" w:hAnsi="宋体" w:eastAsia="宋体" w:cs="宋体"/>
                <w:color w:val="auto"/>
                <w:sz w:val="24"/>
                <w:szCs w:val="24"/>
                <w:highlight w:val="none"/>
                <w:lang w:eastAsia="zh-CN"/>
              </w:rPr>
              <w:t>浪潮</w:t>
            </w:r>
            <w:r>
              <w:rPr>
                <w:rFonts w:hint="eastAsia" w:ascii="宋体" w:hAnsi="宋体" w:eastAsia="宋体" w:cs="宋体"/>
                <w:color w:val="auto"/>
                <w:sz w:val="24"/>
                <w:szCs w:val="24"/>
                <w:highlight w:val="none"/>
              </w:rPr>
              <w:t>_KDB、Highgo、GaussDB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GoldenDB、移动磐维</w:t>
            </w:r>
            <w:r>
              <w:rPr>
                <w:rFonts w:hint="eastAsia" w:ascii="宋体" w:hAnsi="宋体" w:eastAsia="宋体" w:cs="宋体"/>
                <w:color w:val="auto"/>
                <w:sz w:val="24"/>
                <w:szCs w:val="24"/>
                <w:highlight w:val="none"/>
              </w:rPr>
              <w:t>等国内主流数据库系统</w:t>
            </w:r>
            <w:r>
              <w:rPr>
                <w:rFonts w:hint="eastAsia" w:ascii="宋体" w:hAnsi="宋体" w:eastAsia="宋体" w:cs="宋体"/>
                <w:color w:val="auto"/>
                <w:sz w:val="24"/>
                <w:szCs w:val="24"/>
                <w:highlight w:val="none"/>
                <w:lang w:eastAsia="zh-CN"/>
              </w:rPr>
              <w:t>；</w:t>
            </w:r>
          </w:p>
        </w:tc>
      </w:tr>
      <w:tr w14:paraId="7187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8D9E50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12" w:type="dxa"/>
            <w:vAlign w:val="center"/>
          </w:tcPr>
          <w:p w14:paraId="3EDC9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审计策略</w:t>
            </w:r>
          </w:p>
        </w:tc>
        <w:tc>
          <w:tcPr>
            <w:tcW w:w="7673" w:type="dxa"/>
            <w:vAlign w:val="center"/>
          </w:tcPr>
          <w:p w14:paraId="163B2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审计策略，包括无风险、低、中、高、超危风险操作对于匹配策略的流量可以选择报文取证；</w:t>
            </w:r>
          </w:p>
          <w:p w14:paraId="28AE6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内置默认控制规则，包括高风险操作、探测攻击、拖库行为、疑似SQL注入等。可自动识别</w:t>
            </w:r>
            <w:r>
              <w:rPr>
                <w:rFonts w:hint="eastAsia" w:ascii="宋体" w:hAnsi="宋体" w:eastAsia="宋体" w:cs="宋体"/>
                <w:color w:val="000000"/>
                <w:sz w:val="24"/>
                <w:szCs w:val="24"/>
                <w:highlight w:val="none"/>
                <w:lang w:val="en-US" w:eastAsia="zh-CN" w:bidi="ar"/>
              </w:rPr>
              <w:t>数据库DML、DCL、DDL、DQL等操作语句。</w:t>
            </w:r>
            <w:r>
              <w:rPr>
                <w:rFonts w:hint="eastAsia" w:ascii="宋体" w:hAnsi="宋体" w:eastAsia="宋体" w:cs="宋体"/>
                <w:sz w:val="24"/>
                <w:szCs w:val="24"/>
                <w:highlight w:val="none"/>
                <w:lang w:eastAsia="zh-CN"/>
              </w:rPr>
              <w:t xml:space="preserve"> </w:t>
            </w:r>
          </w:p>
        </w:tc>
      </w:tr>
      <w:tr w14:paraId="4A96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225CF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212" w:type="dxa"/>
            <w:vAlign w:val="center"/>
          </w:tcPr>
          <w:p w14:paraId="5E90D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SQL审计长度</w:t>
            </w:r>
          </w:p>
        </w:tc>
        <w:tc>
          <w:tcPr>
            <w:tcW w:w="7673" w:type="dxa"/>
            <w:vAlign w:val="center"/>
          </w:tcPr>
          <w:p w14:paraId="7DB37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可审计SQL长度最高支持配置10MB</w:t>
            </w:r>
            <w:r>
              <w:rPr>
                <w:rFonts w:hint="eastAsia" w:ascii="宋体" w:hAnsi="宋体" w:eastAsia="宋体" w:cs="宋体"/>
                <w:sz w:val="24"/>
                <w:szCs w:val="24"/>
                <w:highlight w:val="none"/>
                <w:u w:val="single"/>
                <w:lang w:val="en-US" w:eastAsia="zh-CN"/>
              </w:rPr>
              <w:t>（提供系统功能截图）</w:t>
            </w:r>
          </w:p>
        </w:tc>
      </w:tr>
      <w:tr w14:paraId="2A9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D0621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1212" w:type="dxa"/>
            <w:vAlign w:val="center"/>
          </w:tcPr>
          <w:p w14:paraId="0FFE9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日志查询</w:t>
            </w:r>
          </w:p>
        </w:tc>
        <w:tc>
          <w:tcPr>
            <w:tcW w:w="7673" w:type="dxa"/>
            <w:vAlign w:val="center"/>
          </w:tcPr>
          <w:p w14:paraId="2C921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支持</w:t>
            </w:r>
            <w:r>
              <w:rPr>
                <w:rFonts w:hint="eastAsia" w:ascii="宋体" w:hAnsi="宋体" w:eastAsia="宋体" w:cs="宋体"/>
                <w:color w:val="auto"/>
                <w:sz w:val="24"/>
                <w:szCs w:val="24"/>
                <w:highlight w:val="none"/>
                <w:lang w:val="en-US" w:eastAsia="zh-CN" w:bidi="ar-SA"/>
              </w:rPr>
              <w:t>标准查询、经典查询、专家查询模式，支持关键字查询</w:t>
            </w:r>
            <w:r>
              <w:rPr>
                <w:rFonts w:hint="eastAsia" w:ascii="宋体" w:hAnsi="宋体" w:eastAsia="宋体" w:cs="宋体"/>
                <w:color w:val="auto"/>
                <w:sz w:val="24"/>
                <w:szCs w:val="24"/>
                <w:highlight w:val="none"/>
                <w:lang w:val="en-US" w:eastAsia="zh-CN"/>
              </w:rPr>
              <w:t>查询字段数不少于80个</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支持以数据资产和时间维度为条件过滤筛选，支持以用户变更事件、存储结构变更事件、身份认证事件、数据操作事件、错误和异常事件等条件的快速过滤同时可自定义快速过滤条件</w:t>
            </w:r>
          </w:p>
        </w:tc>
      </w:tr>
      <w:tr w14:paraId="73BA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75EC8B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1212" w:type="dxa"/>
            <w:vAlign w:val="center"/>
          </w:tcPr>
          <w:p w14:paraId="5A4F5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审计统计</w:t>
            </w:r>
          </w:p>
        </w:tc>
        <w:tc>
          <w:tcPr>
            <w:tcW w:w="7673" w:type="dxa"/>
            <w:vAlign w:val="center"/>
          </w:tcPr>
          <w:p w14:paraId="33DE4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none"/>
                <w:lang w:val="en-US" w:eastAsia="zh-CN" w:bidi="ar"/>
              </w:rPr>
              <w:t>支持审计字段统计功能，可按照所选审计字段查看统计数据和占比</w:t>
            </w:r>
            <w:r>
              <w:rPr>
                <w:rFonts w:hint="eastAsia" w:ascii="宋体" w:hAnsi="宋体" w:eastAsia="宋体" w:cs="宋体"/>
                <w:color w:val="auto"/>
                <w:sz w:val="24"/>
                <w:szCs w:val="24"/>
                <w:highlight w:val="none"/>
                <w:u w:val="none"/>
                <w:lang w:val="en-US" w:eastAsia="zh-CN" w:bidi="ar"/>
              </w:rPr>
              <w:t>情况支持升降序排列，</w:t>
            </w:r>
            <w:r>
              <w:rPr>
                <w:rFonts w:hint="eastAsia" w:ascii="宋体" w:hAnsi="宋体" w:eastAsia="宋体" w:cs="宋体"/>
                <w:color w:val="000000"/>
                <w:sz w:val="24"/>
                <w:szCs w:val="24"/>
                <w:highlight w:val="none"/>
                <w:u w:val="none"/>
                <w:lang w:val="en-US" w:eastAsia="zh-CN" w:bidi="ar"/>
              </w:rPr>
              <w:t>默认显示Top100统计数据；</w:t>
            </w:r>
          </w:p>
        </w:tc>
      </w:tr>
      <w:tr w14:paraId="1E4A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8A0938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212" w:type="dxa"/>
            <w:vAlign w:val="center"/>
          </w:tcPr>
          <w:p w14:paraId="50355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二次分析</w:t>
            </w:r>
          </w:p>
        </w:tc>
        <w:tc>
          <w:tcPr>
            <w:tcW w:w="7673" w:type="dxa"/>
            <w:vAlign w:val="center"/>
          </w:tcPr>
          <w:p w14:paraId="127B2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支持匹配查询条件后的查询结果分析</w:t>
            </w:r>
            <w:r>
              <w:rPr>
                <w:rFonts w:hint="eastAsia" w:ascii="宋体" w:hAnsi="宋体" w:eastAsia="宋体" w:cs="宋体"/>
                <w:color w:val="auto"/>
                <w:kern w:val="0"/>
                <w:sz w:val="24"/>
                <w:szCs w:val="24"/>
                <w:highlight w:val="none"/>
                <w:lang w:val="en-US" w:eastAsia="zh-CN" w:bidi="ar"/>
              </w:rPr>
              <w:t>，包含概述、数据库用户名频次占比、数据库操作类型频次占比、用户操作具体分析；分析结果支持在线查看报表导出</w:t>
            </w:r>
            <w:r>
              <w:rPr>
                <w:rFonts w:hint="eastAsia" w:ascii="宋体" w:hAnsi="宋体" w:eastAsia="宋体" w:cs="宋体"/>
                <w:color w:val="000000"/>
                <w:kern w:val="0"/>
                <w:sz w:val="24"/>
                <w:szCs w:val="24"/>
                <w:highlight w:val="none"/>
                <w:lang w:val="en-US" w:eastAsia="zh-CN" w:bidi="ar"/>
              </w:rPr>
              <w:t>；</w:t>
            </w:r>
          </w:p>
        </w:tc>
      </w:tr>
      <w:tr w14:paraId="73A6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13F494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212" w:type="dxa"/>
            <w:vAlign w:val="center"/>
          </w:tcPr>
          <w:p w14:paraId="7699F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SQL错误码知识库</w:t>
            </w:r>
          </w:p>
        </w:tc>
        <w:tc>
          <w:tcPr>
            <w:tcW w:w="7673" w:type="dxa"/>
            <w:vAlign w:val="center"/>
          </w:tcPr>
          <w:p w14:paraId="62FAA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支持不</w:t>
            </w:r>
            <w:r>
              <w:rPr>
                <w:rFonts w:hint="eastAsia" w:ascii="宋体" w:hAnsi="宋体" w:eastAsia="宋体" w:cs="宋体"/>
                <w:color w:val="auto"/>
                <w:sz w:val="24"/>
                <w:szCs w:val="24"/>
                <w:highlight w:val="none"/>
                <w:lang w:val="en-US" w:eastAsia="zh-CN" w:bidi="ar"/>
              </w:rPr>
              <w:t>少于40000条数据库协议的</w:t>
            </w:r>
            <w:r>
              <w:rPr>
                <w:rFonts w:hint="eastAsia" w:ascii="宋体" w:hAnsi="宋体" w:eastAsia="宋体" w:cs="宋体"/>
                <w:color w:val="000000"/>
                <w:sz w:val="24"/>
                <w:szCs w:val="24"/>
                <w:highlight w:val="none"/>
                <w:lang w:val="en-US" w:eastAsia="zh-CN" w:bidi="ar"/>
              </w:rPr>
              <w:t>SQL错误码，知识库至少体现SQL错误码、SQL错误信息、出错原因、解决办法等内容；</w:t>
            </w:r>
          </w:p>
        </w:tc>
      </w:tr>
      <w:tr w14:paraId="67A5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2A81B5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p>
        </w:tc>
        <w:tc>
          <w:tcPr>
            <w:tcW w:w="1212" w:type="dxa"/>
            <w:vAlign w:val="center"/>
          </w:tcPr>
          <w:p w14:paraId="7F070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登录异常分析</w:t>
            </w:r>
          </w:p>
        </w:tc>
        <w:tc>
          <w:tcPr>
            <w:tcW w:w="7673" w:type="dxa"/>
            <w:vAlign w:val="center"/>
          </w:tcPr>
          <w:p w14:paraId="307F2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依据时间维度（展示5分钟、1小时、今天、近7天、近一月、及自定义时间段）统计查询，以曲线图的形式展示一段时间登录成功和登录失败次数；</w:t>
            </w:r>
          </w:p>
          <w:p w14:paraId="471DC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以柱状图的形式展示一段时间登录数据库行为数量top5的源ip；当天被登录次数最多的数据库排行top5；</w:t>
            </w:r>
          </w:p>
          <w:p w14:paraId="208FB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val="en-US" w:eastAsia="zh-CN" w:bidi="ar"/>
              </w:rPr>
              <w:t>展示非工作时间登录行为排名、同账号不同地址登录排名，详情包含账号、登录次数、登录成功次数、登录失败次数。</w:t>
            </w:r>
          </w:p>
        </w:tc>
      </w:tr>
      <w:tr w14:paraId="6878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12C622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p>
        </w:tc>
        <w:tc>
          <w:tcPr>
            <w:tcW w:w="1212" w:type="dxa"/>
            <w:vMerge w:val="restart"/>
            <w:vAlign w:val="center"/>
          </w:tcPr>
          <w:p w14:paraId="27095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敏感访问分析</w:t>
            </w:r>
          </w:p>
        </w:tc>
        <w:tc>
          <w:tcPr>
            <w:tcW w:w="7673" w:type="dxa"/>
            <w:vAlign w:val="center"/>
          </w:tcPr>
          <w:p w14:paraId="5D3B8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val="en-US" w:eastAsia="zh-CN" w:bidi="ar"/>
              </w:rPr>
              <w:t>支持用户数据库中敏感信息的自动发现和敏感规则手动添加，可定位敏感数据所在数据库名、实例名、表名、列名，并形成针对敏感信息的检测规则；</w:t>
            </w:r>
          </w:p>
        </w:tc>
      </w:tr>
      <w:tr w14:paraId="1849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4EE75A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p>
        </w:tc>
        <w:tc>
          <w:tcPr>
            <w:tcW w:w="1212" w:type="dxa"/>
            <w:vMerge w:val="continue"/>
            <w:vAlign w:val="center"/>
          </w:tcPr>
          <w:p w14:paraId="23510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p>
        </w:tc>
        <w:tc>
          <w:tcPr>
            <w:tcW w:w="7673" w:type="dxa"/>
            <w:vAlign w:val="center"/>
          </w:tcPr>
          <w:p w14:paraId="76085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val="en-US" w:eastAsia="zh-CN" w:bidi="ar"/>
              </w:rPr>
              <w:t>支持依据时间（展示5分钟、1小时、今天、近7天、近一月、及自定义时间段）、关注资产维度统计查询，以统计图的形式展示各敏感数据类型分布、敏感数据操作事件统计、敏感数据访问源/目的统计、敏感操作类型分布等内容；详情展现源IP、目的IP、协议名、用户名、实例名、操作类型、登录时间、是否成功、敏感数据访问情况。</w:t>
            </w:r>
          </w:p>
        </w:tc>
      </w:tr>
      <w:tr w14:paraId="1D85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0EBDF7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3</w:t>
            </w:r>
          </w:p>
        </w:tc>
        <w:tc>
          <w:tcPr>
            <w:tcW w:w="1212" w:type="dxa"/>
            <w:vMerge w:val="restart"/>
            <w:vAlign w:val="center"/>
          </w:tcPr>
          <w:p w14:paraId="3188D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攻击行为分析</w:t>
            </w:r>
          </w:p>
        </w:tc>
        <w:tc>
          <w:tcPr>
            <w:tcW w:w="7673" w:type="dxa"/>
            <w:vAlign w:val="center"/>
          </w:tcPr>
          <w:p w14:paraId="23736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bidi="ar"/>
              </w:rPr>
              <w:t>支持选择时间维度（展示5分钟、1小时、今天、近7天、近一月、及自定义时间段）并以图表展示攻击类型、攻击详情TOP5、风险等级、受害目标TOP5等信息。</w:t>
            </w:r>
          </w:p>
        </w:tc>
      </w:tr>
      <w:tr w14:paraId="708D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23B759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4</w:t>
            </w:r>
          </w:p>
        </w:tc>
        <w:tc>
          <w:tcPr>
            <w:tcW w:w="1212" w:type="dxa"/>
            <w:vMerge w:val="continue"/>
            <w:vAlign w:val="center"/>
          </w:tcPr>
          <w:p w14:paraId="18ED2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p>
        </w:tc>
        <w:tc>
          <w:tcPr>
            <w:tcW w:w="7673" w:type="dxa"/>
            <w:vAlign w:val="center"/>
          </w:tcPr>
          <w:p w14:paraId="657F9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bidi="ar"/>
              </w:rPr>
              <w:t>以图表的形式展示一段时间被攻击主机IP、被攻击端口TOP5统计，可切换源/目的视角展示攻击流转路径涵盖源IP、目的IP、攻击规则等信息。</w:t>
            </w:r>
          </w:p>
        </w:tc>
      </w:tr>
      <w:tr w14:paraId="0B8F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91DAF6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p>
        </w:tc>
        <w:tc>
          <w:tcPr>
            <w:tcW w:w="1212" w:type="dxa"/>
            <w:vAlign w:val="center"/>
          </w:tcPr>
          <w:p w14:paraId="09B8B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告警日志</w:t>
            </w:r>
          </w:p>
        </w:tc>
        <w:tc>
          <w:tcPr>
            <w:tcW w:w="7673" w:type="dxa"/>
            <w:vAlign w:val="center"/>
          </w:tcPr>
          <w:p w14:paraId="166D0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bidi="ar"/>
              </w:rPr>
              <w:t>告警日志支持</w:t>
            </w:r>
            <w:r>
              <w:rPr>
                <w:rFonts w:hint="eastAsia" w:ascii="宋体" w:hAnsi="宋体" w:eastAsia="宋体" w:cs="宋体"/>
                <w:color w:val="auto"/>
                <w:sz w:val="24"/>
                <w:szCs w:val="24"/>
                <w:highlight w:val="none"/>
                <w:lang w:val="en-US" w:eastAsia="zh-CN" w:bidi="ar"/>
              </w:rPr>
              <w:t>数据库告警、</w:t>
            </w:r>
            <w:r>
              <w:rPr>
                <w:rFonts w:hint="eastAsia" w:ascii="宋体" w:hAnsi="宋体" w:eastAsia="宋体" w:cs="宋体"/>
                <w:color w:val="000000"/>
                <w:sz w:val="24"/>
                <w:szCs w:val="24"/>
                <w:highlight w:val="none"/>
                <w:lang w:val="en-US" w:eastAsia="zh-CN" w:bidi="ar"/>
              </w:rPr>
              <w:t>WEB访问告警、运维操作告警、文件共享告警、工控物联告警、SQL基线、SQL注入、敏感访问、疑似暴力破解、疑似撞库攻击、批量数据泄漏、批量数据修改、攻击检测告警、僵尸木马告警、泛洪攻击告警、接口流速异常告警、扫描攻击告警、异常包攻击告警、ICMP管控异常告警、邮件异常告警、危害分析、关联分析、系统日志告警等并生成告警日志；（提供截图证明）</w:t>
            </w:r>
          </w:p>
        </w:tc>
      </w:tr>
      <w:tr w14:paraId="1501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AA2211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1212" w:type="dxa"/>
            <w:vAlign w:val="center"/>
          </w:tcPr>
          <w:p w14:paraId="4F180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操作系统</w:t>
            </w:r>
          </w:p>
        </w:tc>
        <w:tc>
          <w:tcPr>
            <w:tcW w:w="7673" w:type="dxa"/>
            <w:vAlign w:val="center"/>
          </w:tcPr>
          <w:p w14:paraId="65440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bidi="ar"/>
              </w:rPr>
              <w:t>安全操作系统采用</w:t>
            </w:r>
            <w:r>
              <w:rPr>
                <w:rFonts w:hint="eastAsia" w:ascii="宋体" w:hAnsi="宋体" w:eastAsia="宋体" w:cs="宋体"/>
                <w:color w:val="000000"/>
                <w:sz w:val="24"/>
                <w:szCs w:val="24"/>
                <w:highlight w:val="none"/>
                <w:u w:val="single"/>
                <w:lang w:val="en-US" w:eastAsia="zh-CN" w:bidi="ar"/>
              </w:rPr>
              <w:t>冗余设计，可在设备命令行启动过程中选择主备系统</w:t>
            </w:r>
            <w:r>
              <w:rPr>
                <w:rFonts w:hint="eastAsia" w:ascii="宋体" w:hAnsi="宋体" w:eastAsia="宋体" w:cs="宋体"/>
                <w:sz w:val="24"/>
                <w:szCs w:val="24"/>
                <w:highlight w:val="none"/>
                <w:u w:val="single"/>
                <w:lang w:val="en-US" w:eastAsia="zh-CN"/>
              </w:rPr>
              <w:t>（提供系统功能截图）</w:t>
            </w:r>
            <w:r>
              <w:rPr>
                <w:rFonts w:hint="eastAsia" w:ascii="宋体" w:hAnsi="宋体" w:eastAsia="宋体" w:cs="宋体"/>
                <w:color w:val="000000"/>
                <w:sz w:val="24"/>
                <w:szCs w:val="24"/>
                <w:highlight w:val="none"/>
                <w:lang w:val="en-US" w:eastAsia="zh-CN" w:bidi="ar"/>
              </w:rPr>
              <w:t>；</w:t>
            </w:r>
          </w:p>
        </w:tc>
      </w:tr>
      <w:tr w14:paraId="522B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E7E9D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212" w:type="dxa"/>
            <w:vAlign w:val="center"/>
          </w:tcPr>
          <w:p w14:paraId="0BCF8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系统抓包</w:t>
            </w:r>
          </w:p>
        </w:tc>
        <w:tc>
          <w:tcPr>
            <w:tcW w:w="7673" w:type="dxa"/>
            <w:vAlign w:val="center"/>
          </w:tcPr>
          <w:p w14:paraId="1EE42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支持抓包工具</w:t>
            </w:r>
            <w:r>
              <w:rPr>
                <w:rFonts w:hint="eastAsia" w:ascii="宋体" w:hAnsi="宋体" w:eastAsia="宋体" w:cs="宋体"/>
                <w:color w:val="000000"/>
                <w:sz w:val="24"/>
                <w:szCs w:val="24"/>
                <w:highlight w:val="none"/>
                <w:lang w:val="en-US" w:eastAsia="zh-CN" w:bidi="ar"/>
              </w:rPr>
              <w:t>（可配置抓包数量、协议类型、源/目的IP、源/</w:t>
            </w:r>
            <w:r>
              <w:rPr>
                <w:rFonts w:hint="eastAsia" w:ascii="宋体" w:hAnsi="宋体" w:eastAsia="宋体" w:cs="宋体"/>
                <w:color w:val="auto"/>
                <w:sz w:val="24"/>
                <w:szCs w:val="24"/>
                <w:highlight w:val="none"/>
                <w:lang w:val="en-US" w:eastAsia="zh-CN" w:bidi="ar"/>
              </w:rPr>
              <w:t>目端口等）支持数据包预览</w:t>
            </w:r>
          </w:p>
        </w:tc>
      </w:tr>
    </w:tbl>
    <w:p w14:paraId="1BDE6765">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HAnsi" w:hAnsiTheme="minorHAnsi" w:eastAsiaTheme="minorEastAsia" w:cstheme="minorBidi"/>
          <w:b/>
          <w:bCs w:val="0"/>
          <w:kern w:val="44"/>
          <w:sz w:val="24"/>
          <w:szCs w:val="24"/>
          <w:highlight w:val="none"/>
          <w:lang w:val="en-US" w:eastAsia="zh-CN" w:bidi="ar-SA"/>
        </w:rPr>
      </w:pPr>
      <w:r>
        <w:rPr>
          <w:rFonts w:hint="eastAsia" w:ascii="宋体" w:hAnsi="宋体" w:eastAsia="宋体" w:cs="宋体"/>
          <w:b/>
          <w:bCs w:val="0"/>
          <w:kern w:val="44"/>
          <w:sz w:val="24"/>
          <w:szCs w:val="24"/>
          <w:highlight w:val="none"/>
          <w:lang w:val="en-US" w:eastAsia="zh-CN" w:bidi="ar-SA"/>
        </w:rPr>
        <w:t>（十二）、</w:t>
      </w:r>
      <w:r>
        <w:rPr>
          <w:rFonts w:hint="eastAsia" w:asciiTheme="minorEastAsia" w:hAnsiTheme="minorEastAsia" w:eastAsiaTheme="minorEastAsia" w:cstheme="minorEastAsia"/>
          <w:b/>
          <w:bCs w:val="0"/>
          <w:kern w:val="44"/>
          <w:sz w:val="24"/>
          <w:szCs w:val="24"/>
          <w:highlight w:val="none"/>
          <w:lang w:val="en-US" w:eastAsia="zh-CN" w:bidi="ar-SA"/>
        </w:rPr>
        <w:t>API</w:t>
      </w:r>
      <w:r>
        <w:rPr>
          <w:rFonts w:hint="eastAsia" w:asciiTheme="minorHAnsi" w:hAnsiTheme="minorHAnsi" w:eastAsiaTheme="minorEastAsia" w:cstheme="minorBidi"/>
          <w:b/>
          <w:bCs w:val="0"/>
          <w:kern w:val="44"/>
          <w:sz w:val="24"/>
          <w:szCs w:val="24"/>
          <w:highlight w:val="none"/>
          <w:lang w:val="en-US" w:eastAsia="zh-CN" w:bidi="ar-SA"/>
        </w:rPr>
        <w:t>风险管控平台</w:t>
      </w:r>
    </w:p>
    <w:tbl>
      <w:tblPr>
        <w:tblStyle w:val="21"/>
        <w:tblW w:w="9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51"/>
        <w:gridCol w:w="7769"/>
      </w:tblGrid>
      <w:tr w14:paraId="292A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C624A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序号</w:t>
            </w:r>
          </w:p>
        </w:tc>
        <w:tc>
          <w:tcPr>
            <w:tcW w:w="1151" w:type="dxa"/>
            <w:vAlign w:val="center"/>
          </w:tcPr>
          <w:p w14:paraId="52AD8D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指标项</w:t>
            </w:r>
          </w:p>
        </w:tc>
        <w:tc>
          <w:tcPr>
            <w:tcW w:w="7769" w:type="dxa"/>
            <w:vAlign w:val="center"/>
          </w:tcPr>
          <w:p w14:paraId="18D6D6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指标要求</w:t>
            </w:r>
          </w:p>
        </w:tc>
      </w:tr>
      <w:tr w14:paraId="739B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27579A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151" w:type="dxa"/>
            <w:vAlign w:val="center"/>
          </w:tcPr>
          <w:p w14:paraId="73C246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硬件要求</w:t>
            </w:r>
          </w:p>
        </w:tc>
        <w:tc>
          <w:tcPr>
            <w:tcW w:w="7769" w:type="dxa"/>
            <w:vAlign w:val="center"/>
          </w:tcPr>
          <w:p w14:paraId="5D4174A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国产化</w:t>
            </w:r>
            <w:r>
              <w:rPr>
                <w:rFonts w:hint="eastAsia" w:asciiTheme="minorEastAsia" w:hAnsiTheme="minorEastAsia" w:cstheme="minorEastAsia"/>
                <w:i w:val="0"/>
                <w:iCs w:val="0"/>
                <w:color w:val="000000"/>
                <w:kern w:val="0"/>
                <w:sz w:val="24"/>
                <w:szCs w:val="24"/>
                <w:highlight w:val="none"/>
                <w:u w:val="none"/>
                <w:lang w:val="en-US" w:eastAsia="zh-CN" w:bidi="ar"/>
              </w:rPr>
              <w:t>芯片及操作系统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，2U机架式，内存≥128GB，固态硬盘≥960G+480G，机械硬盘容量≥20T，配置≥4个千兆电口，≥2个千兆光口(含光模块)，冗余电源，三年质保服务。</w:t>
            </w:r>
          </w:p>
          <w:p w14:paraId="6F90B72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接口转发延迟 ≤1.5ms，请求并发支持≥2000Qps。</w:t>
            </w:r>
          </w:p>
        </w:tc>
      </w:tr>
      <w:tr w14:paraId="6938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4AC2CB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p>
        </w:tc>
        <w:tc>
          <w:tcPr>
            <w:tcW w:w="1151" w:type="dxa"/>
            <w:vAlign w:val="center"/>
          </w:tcPr>
          <w:p w14:paraId="4F32A4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API 生命周期管理</w:t>
            </w:r>
          </w:p>
        </w:tc>
        <w:tc>
          <w:tcPr>
            <w:tcW w:w="7769" w:type="dxa"/>
            <w:vAlign w:val="top"/>
          </w:tcPr>
          <w:p w14:paraId="6D4857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u w:val="single"/>
              </w:rPr>
              <w:t>支持完整 API 生命周期管理：包括 API 资产发现（自动发现未纳管 API、在线 / 离线 Swagger 导入、手动注册）、发布（集群发布、版本控制）、订阅（在线订阅、可视化审批流程）、授权（按组授权、URL 方法级授权）、下线管理；支持 APIDoc 自动生成与在线调试</w:t>
            </w:r>
            <w:r>
              <w:rPr>
                <w:rFonts w:hint="eastAsia" w:ascii="宋体" w:hAnsi="宋体" w:eastAsia="宋体" w:cs="宋体"/>
                <w:sz w:val="24"/>
                <w:szCs w:val="24"/>
                <w:highlight w:val="none"/>
                <w:u w:val="single"/>
                <w:lang w:val="en-US" w:eastAsia="zh-CN"/>
              </w:rPr>
              <w:t>（提供系统功能截图）</w:t>
            </w:r>
          </w:p>
        </w:tc>
      </w:tr>
      <w:tr w14:paraId="10AC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069FA5F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p>
        </w:tc>
        <w:tc>
          <w:tcPr>
            <w:tcW w:w="1151" w:type="dxa"/>
            <w:vAlign w:val="center"/>
          </w:tcPr>
          <w:p w14:paraId="78CA4AB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安全防护</w:t>
            </w:r>
          </w:p>
        </w:tc>
        <w:tc>
          <w:tcPr>
            <w:tcW w:w="7769" w:type="dxa"/>
            <w:vAlign w:val="top"/>
          </w:tcPr>
          <w:p w14:paraId="43334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default"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u w:val="single"/>
              </w:rPr>
              <w:t>具备全面安全防护能力：包括 SQL 注入防护、XSS 跨站攻击防护、CSRF 跨站请求伪造防护（Double Submit Cookie 机制）、IP 黑白名单限制、Referer 请求头控制、URI 自定义拦截、API 熔断（基于错误率 / 响应时间阈值）、敏感数据脱敏（身份证、邮箱等，支持自定义脱敏规则）</w:t>
            </w:r>
            <w:r>
              <w:rPr>
                <w:rFonts w:hint="eastAsia" w:asciiTheme="minorEastAsia" w:hAnsiTheme="minorEastAsia" w:cstheme="minorEastAsia"/>
                <w:sz w:val="24"/>
                <w:szCs w:val="24"/>
                <w:highlight w:val="none"/>
                <w:u w:val="single"/>
                <w:lang w:eastAsia="zh-CN"/>
              </w:rPr>
              <w:t>。</w:t>
            </w:r>
            <w:r>
              <w:rPr>
                <w:rFonts w:hint="eastAsia" w:ascii="宋体" w:hAnsi="宋体" w:eastAsia="宋体" w:cs="宋体"/>
                <w:sz w:val="24"/>
                <w:szCs w:val="24"/>
                <w:highlight w:val="none"/>
                <w:u w:val="single"/>
                <w:lang w:val="en-US" w:eastAsia="zh-CN"/>
              </w:rPr>
              <w:t>（提供系统功能截图）</w:t>
            </w:r>
          </w:p>
        </w:tc>
      </w:tr>
      <w:tr w14:paraId="11AE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46AC3CF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1151" w:type="dxa"/>
            <w:vAlign w:val="center"/>
          </w:tcPr>
          <w:p w14:paraId="05C62B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数据加解密</w:t>
            </w:r>
          </w:p>
        </w:tc>
        <w:tc>
          <w:tcPr>
            <w:tcW w:w="7769" w:type="dxa"/>
            <w:vAlign w:val="top"/>
          </w:tcPr>
          <w:p w14:paraId="11EB150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支持API请求 / 响应数据加解密，可对接第三方密码安全设备，同时支持软密码法；可灵活定义需加解密的元数据及对应算法，确保敏感数据传输与存储安全</w:t>
            </w:r>
            <w:r>
              <w:rPr>
                <w:rFonts w:hint="eastAsia" w:asciiTheme="minorEastAsia" w:hAnsiTheme="minorEastAsia" w:cstheme="minorEastAsia"/>
                <w:sz w:val="24"/>
                <w:szCs w:val="24"/>
                <w:highlight w:val="none"/>
                <w:lang w:eastAsia="zh-CN"/>
              </w:rPr>
              <w:t>。</w:t>
            </w:r>
          </w:p>
        </w:tc>
      </w:tr>
      <w:tr w14:paraId="3F46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7EC55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1151" w:type="dxa"/>
            <w:vAlign w:val="center"/>
          </w:tcPr>
          <w:p w14:paraId="6796DCC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协议转换</w:t>
            </w:r>
          </w:p>
        </w:tc>
        <w:tc>
          <w:tcPr>
            <w:tcW w:w="7769" w:type="dxa"/>
            <w:vAlign w:val="top"/>
          </w:tcPr>
          <w:p w14:paraId="3F3080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支持多协议转换：包括 HTTP 到数据库协议（MySQL、Oracle、达梦、人大金仓、南大通用）、HTTP 到 LDAP 协议转换；可将 WebService、Socket、JCO 等非 Restful 接口转换为 Restful API 对外统一提供服务</w:t>
            </w:r>
          </w:p>
        </w:tc>
      </w:tr>
      <w:tr w14:paraId="452C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99283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151" w:type="dxa"/>
            <w:vAlign w:val="center"/>
          </w:tcPr>
          <w:p w14:paraId="5A0952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API权限管理</w:t>
            </w:r>
          </w:p>
        </w:tc>
        <w:tc>
          <w:tcPr>
            <w:tcW w:w="7769" w:type="dxa"/>
            <w:vAlign w:val="top"/>
          </w:tcPr>
          <w:p w14:paraId="3C6336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支持API按URL以及分组进行权限分配。提供权限视图，可以通过思维导图的方式按层级展开查看API调用权限情况。</w:t>
            </w:r>
          </w:p>
        </w:tc>
      </w:tr>
      <w:tr w14:paraId="0BA6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5DA77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1151" w:type="dxa"/>
            <w:vAlign w:val="center"/>
          </w:tcPr>
          <w:p w14:paraId="4A47AC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插件扩展</w:t>
            </w:r>
          </w:p>
        </w:tc>
        <w:tc>
          <w:tcPr>
            <w:tcW w:w="7769" w:type="dxa"/>
            <w:vAlign w:val="top"/>
          </w:tcPr>
          <w:p w14:paraId="3597A1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支持插件化架构：内置不少于 20 种功能插件（如 basic-auth、jwt-auth、cors、limit-req、ip-restriction、log-rotate、traffic-split 等）；支持自定义插件开发及热插拔，可按需扩展系统功能，无需重启服务</w:t>
            </w:r>
          </w:p>
        </w:tc>
      </w:tr>
      <w:tr w14:paraId="5D9F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D4353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1151" w:type="dxa"/>
            <w:vMerge w:val="restart"/>
            <w:vAlign w:val="center"/>
          </w:tcPr>
          <w:p w14:paraId="2558DC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资产发现与管理</w:t>
            </w:r>
          </w:p>
        </w:tc>
        <w:tc>
          <w:tcPr>
            <w:tcW w:w="7769" w:type="dxa"/>
            <w:vAlign w:val="top"/>
          </w:tcPr>
          <w:p w14:paraId="63523A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支持应用资产双模式创建：自动发现、手动创建。可区分“活动”“排除”资产状态；支持 API 清单精细化管理：按应用资产树节点展示 API 列表</w:t>
            </w:r>
          </w:p>
        </w:tc>
      </w:tr>
      <w:tr w14:paraId="681D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B0BF60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1151" w:type="dxa"/>
            <w:vMerge w:val="continue"/>
            <w:vAlign w:val="center"/>
          </w:tcPr>
          <w:p w14:paraId="338D9F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p>
        </w:tc>
        <w:tc>
          <w:tcPr>
            <w:tcW w:w="7769" w:type="dxa"/>
            <w:vAlign w:val="top"/>
          </w:tcPr>
          <w:p w14:paraId="5043A3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支持多维度资产过滤规则：可按 Content-Type、URL 后置、目标 IP</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源 IP、域名（支持通配符）、响应码过滤资产</w:t>
            </w:r>
            <w:r>
              <w:rPr>
                <w:rFonts w:hint="eastAsia" w:asciiTheme="minorEastAsia" w:hAnsiTheme="minorEastAsia" w:cstheme="minorEastAsia"/>
                <w:sz w:val="24"/>
                <w:szCs w:val="24"/>
                <w:highlight w:val="none"/>
                <w:lang w:eastAsia="zh-CN"/>
              </w:rPr>
              <w:t>。</w:t>
            </w:r>
          </w:p>
        </w:tc>
      </w:tr>
      <w:tr w14:paraId="35E0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0AD46C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w:t>
            </w:r>
          </w:p>
        </w:tc>
        <w:tc>
          <w:tcPr>
            <w:tcW w:w="1151" w:type="dxa"/>
            <w:vAlign w:val="center"/>
          </w:tcPr>
          <w:p w14:paraId="46C9607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数据脱敏与涉敏管理</w:t>
            </w:r>
          </w:p>
        </w:tc>
        <w:tc>
          <w:tcPr>
            <w:tcW w:w="7769" w:type="dxa"/>
            <w:vAlign w:val="top"/>
          </w:tcPr>
          <w:p w14:paraId="2A8BF0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u w:val="none"/>
              </w:rPr>
              <w:t>支持涉敏 API 分级管理</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u w:val="none"/>
              </w:rPr>
              <w:t>支持自定义脱敏规则，可指定匹配位置、规则级别（一至四级），支持脱敏模板自定义；内置常用脱敏规则：含手机号、身份证号、邮箱、银行卡号、工商注册号等≥8 类内置规则，支持启用 / 关闭配置</w:t>
            </w:r>
            <w:r>
              <w:rPr>
                <w:rFonts w:hint="eastAsia" w:asciiTheme="minorEastAsia" w:hAnsiTheme="minorEastAsia" w:cstheme="minorEastAsia"/>
                <w:sz w:val="24"/>
                <w:szCs w:val="24"/>
                <w:highlight w:val="none"/>
                <w:u w:val="none"/>
                <w:lang w:eastAsia="zh-CN"/>
              </w:rPr>
              <w:t>。</w:t>
            </w:r>
          </w:p>
        </w:tc>
      </w:tr>
      <w:tr w14:paraId="7BB5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68448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11</w:t>
            </w:r>
          </w:p>
        </w:tc>
        <w:tc>
          <w:tcPr>
            <w:tcW w:w="1151" w:type="dxa"/>
            <w:vMerge w:val="restart"/>
            <w:vAlign w:val="center"/>
          </w:tcPr>
          <w:p w14:paraId="7D99D1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网关门户与自助服务</w:t>
            </w:r>
          </w:p>
        </w:tc>
        <w:tc>
          <w:tcPr>
            <w:tcW w:w="7769" w:type="dxa"/>
            <w:vAlign w:val="top"/>
          </w:tcPr>
          <w:p w14:paraId="54DDF2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支持开发者自助操作：开发者可查看数据报表，自助订阅服务，查看订阅审批进度，已订阅服务支持在线调试、调用凭证获取、调用统计；</w:t>
            </w:r>
          </w:p>
        </w:tc>
      </w:tr>
      <w:tr w14:paraId="06CA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4DB57B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12</w:t>
            </w:r>
          </w:p>
        </w:tc>
        <w:tc>
          <w:tcPr>
            <w:tcW w:w="1151" w:type="dxa"/>
            <w:vMerge w:val="continue"/>
            <w:vAlign w:val="center"/>
          </w:tcPr>
          <w:p w14:paraId="7011630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p>
        </w:tc>
        <w:tc>
          <w:tcPr>
            <w:tcW w:w="7769" w:type="dxa"/>
            <w:vAlign w:val="top"/>
          </w:tcPr>
          <w:p w14:paraId="20DFE9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支持管理员与开发者权限区分：管理员可管理开发者账号，开发者仅可操作自身订阅的服务与数据</w:t>
            </w:r>
          </w:p>
        </w:tc>
      </w:tr>
    </w:tbl>
    <w:p w14:paraId="7F3720CB">
      <w:pPr>
        <w:pStyle w:val="4"/>
        <w:keepNext/>
        <w:keepLines/>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b w:val="0"/>
          <w:bCs/>
          <w:sz w:val="28"/>
          <w:szCs w:val="28"/>
          <w:highlight w:val="none"/>
          <w:lang w:val="en-US" w:eastAsia="zh-CN"/>
        </w:rPr>
      </w:pPr>
      <w:r>
        <w:rPr>
          <w:rFonts w:hint="eastAsia" w:asciiTheme="minorHAnsi" w:hAnsiTheme="minorHAnsi" w:eastAsiaTheme="minorEastAsia" w:cstheme="minorBidi"/>
          <w:b/>
          <w:bCs w:val="0"/>
          <w:kern w:val="44"/>
          <w:sz w:val="24"/>
          <w:szCs w:val="24"/>
          <w:highlight w:val="none"/>
          <w:lang w:val="en-US" w:eastAsia="zh-CN" w:bidi="ar-SA"/>
        </w:rPr>
        <w:t>（十三）、数据安全管控平台</w:t>
      </w:r>
    </w:p>
    <w:tbl>
      <w:tblPr>
        <w:tblStyle w:val="21"/>
        <w:tblW w:w="9658"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46"/>
        <w:gridCol w:w="7753"/>
      </w:tblGrid>
      <w:tr w14:paraId="6C6D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0285F3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1246" w:type="dxa"/>
            <w:noWrap w:val="0"/>
            <w:vAlign w:val="center"/>
          </w:tcPr>
          <w:p w14:paraId="5EBBD0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指标项</w:t>
            </w:r>
          </w:p>
        </w:tc>
        <w:tc>
          <w:tcPr>
            <w:tcW w:w="7753" w:type="dxa"/>
            <w:noWrap w:val="0"/>
            <w:vAlign w:val="center"/>
          </w:tcPr>
          <w:p w14:paraId="213BE1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技术参数</w:t>
            </w:r>
          </w:p>
        </w:tc>
      </w:tr>
      <w:tr w14:paraId="3F97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210C99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246" w:type="dxa"/>
            <w:noWrap w:val="0"/>
            <w:vAlign w:val="center"/>
          </w:tcPr>
          <w:p w14:paraId="66ABFC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硬件规格</w:t>
            </w:r>
          </w:p>
        </w:tc>
        <w:tc>
          <w:tcPr>
            <w:tcW w:w="7753" w:type="dxa"/>
            <w:noWrap w:val="0"/>
            <w:vAlign w:val="center"/>
          </w:tcPr>
          <w:p w14:paraId="55AE37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国产化</w:t>
            </w:r>
            <w:r>
              <w:rPr>
                <w:rFonts w:hint="eastAsia" w:asciiTheme="minorEastAsia" w:hAnsiTheme="minorEastAsia" w:cstheme="minorEastAsia"/>
                <w:i w:val="0"/>
                <w:iCs w:val="0"/>
                <w:color w:val="000000"/>
                <w:kern w:val="0"/>
                <w:sz w:val="24"/>
                <w:szCs w:val="24"/>
                <w:highlight w:val="none"/>
                <w:u w:val="none"/>
                <w:lang w:val="en-US" w:eastAsia="zh-CN" w:bidi="ar"/>
              </w:rPr>
              <w:t>芯片及操作系统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，2U机架式设备，内存≥128GB，固态硬盘≥960G+480G，机械硬盘容量≥20T，配置≥4个千兆电口，≥4个千兆光口(含光模块)，冗余电源，三年质保服务。</w:t>
            </w:r>
          </w:p>
        </w:tc>
      </w:tr>
      <w:tr w14:paraId="3789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749D06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p>
        </w:tc>
        <w:tc>
          <w:tcPr>
            <w:tcW w:w="1246" w:type="dxa"/>
            <w:noWrap w:val="0"/>
            <w:vAlign w:val="center"/>
          </w:tcPr>
          <w:p w14:paraId="0339D9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业务系统</w:t>
            </w:r>
          </w:p>
        </w:tc>
        <w:tc>
          <w:tcPr>
            <w:tcW w:w="7753" w:type="dxa"/>
            <w:noWrap w:val="0"/>
            <w:vAlign w:val="center"/>
          </w:tcPr>
          <w:p w14:paraId="7514B2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支持关联数据库资产和应用资产，展示业务系统详情和数据库资产概率、应用资产概览。</w:t>
            </w:r>
          </w:p>
        </w:tc>
      </w:tr>
      <w:tr w14:paraId="0E95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3FF356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w:t>
            </w:r>
          </w:p>
        </w:tc>
        <w:tc>
          <w:tcPr>
            <w:tcW w:w="1246" w:type="dxa"/>
            <w:noWrap w:val="0"/>
            <w:vAlign w:val="center"/>
          </w:tcPr>
          <w:p w14:paraId="48964B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数据库资产</w:t>
            </w:r>
          </w:p>
        </w:tc>
        <w:tc>
          <w:tcPr>
            <w:tcW w:w="7753" w:type="dxa"/>
            <w:noWrap w:val="0"/>
            <w:vAlign w:val="center"/>
          </w:tcPr>
          <w:p w14:paraId="4AAEB1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支持数据库资产的管理，展示表信息，列表展示下属的字段，展示字段信息包括字段名、描述、样例数据；支持按厂商名称、库名、表名、字段名、字段样例排序检索</w:t>
            </w:r>
          </w:p>
        </w:tc>
      </w:tr>
      <w:tr w14:paraId="719A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53167C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p>
        </w:tc>
        <w:tc>
          <w:tcPr>
            <w:tcW w:w="1246" w:type="dxa"/>
            <w:noWrap w:val="0"/>
            <w:vAlign w:val="center"/>
          </w:tcPr>
          <w:p w14:paraId="5F355E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应用资产</w:t>
            </w:r>
          </w:p>
        </w:tc>
        <w:tc>
          <w:tcPr>
            <w:tcW w:w="7753" w:type="dxa"/>
            <w:noWrap w:val="0"/>
            <w:vAlign w:val="center"/>
          </w:tcPr>
          <w:p w14:paraId="0E6177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支持展开显示api详情及其api的参数结构；支持按厂商名称、服务名、api名、结构内容排序检索</w:t>
            </w:r>
          </w:p>
        </w:tc>
      </w:tr>
      <w:tr w14:paraId="278A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756CED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p>
        </w:tc>
        <w:tc>
          <w:tcPr>
            <w:tcW w:w="1246" w:type="dxa"/>
            <w:noWrap w:val="0"/>
            <w:vAlign w:val="center"/>
          </w:tcPr>
          <w:p w14:paraId="25346A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API资产</w:t>
            </w:r>
          </w:p>
        </w:tc>
        <w:tc>
          <w:tcPr>
            <w:tcW w:w="7753" w:type="dxa"/>
            <w:noWrap w:val="0"/>
            <w:vAlign w:val="center"/>
          </w:tcPr>
          <w:p w14:paraId="40DA4E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支持按API的标签、状态等进行筛选查询；支持展开显示api详情及其api的参数结构；支持按厂商名称、服务名、api名、结构内容排序检索</w:t>
            </w:r>
          </w:p>
        </w:tc>
      </w:tr>
      <w:tr w14:paraId="2E28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37FE08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6</w:t>
            </w:r>
          </w:p>
        </w:tc>
        <w:tc>
          <w:tcPr>
            <w:tcW w:w="1246" w:type="dxa"/>
            <w:noWrap w:val="0"/>
            <w:vAlign w:val="center"/>
          </w:tcPr>
          <w:p w14:paraId="51F7CF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资产血缘</w:t>
            </w:r>
          </w:p>
        </w:tc>
        <w:tc>
          <w:tcPr>
            <w:tcW w:w="7753" w:type="dxa"/>
            <w:noWrap w:val="0"/>
            <w:vAlign w:val="center"/>
          </w:tcPr>
          <w:p w14:paraId="58A6647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u w:val="single"/>
                <w:lang w:val="en-US" w:eastAsia="zh-CN"/>
              </w:rPr>
              <w:t>支持展示从应用资产维度的数据血缘关系：支持展开显示api参数和关联的数据库资产数据，包括数据表和字段；关联展示相关字段的分类分级结果。（提供系统功能截图）</w:t>
            </w:r>
          </w:p>
        </w:tc>
      </w:tr>
      <w:tr w14:paraId="319B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332528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7</w:t>
            </w:r>
          </w:p>
        </w:tc>
        <w:tc>
          <w:tcPr>
            <w:tcW w:w="1246" w:type="dxa"/>
            <w:noWrap w:val="0"/>
            <w:vAlign w:val="center"/>
          </w:tcPr>
          <w:p w14:paraId="196C84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数据库审计日志</w:t>
            </w:r>
          </w:p>
        </w:tc>
        <w:tc>
          <w:tcPr>
            <w:tcW w:w="7753" w:type="dxa"/>
            <w:noWrap w:val="0"/>
            <w:vAlign w:val="center"/>
          </w:tcPr>
          <w:p w14:paraId="0DACDF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支持通过syslog或其他ETL工具，获取日志数据(保存)，或对接相关能力的接口。支支持按会话路径展示审计结果。</w:t>
            </w:r>
          </w:p>
          <w:p w14:paraId="3DEE07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支持基于时间、厂商、业务系统、库名、表名、字段名、命令类型、SQL关键字、返回结果集内容进行模糊查询；</w:t>
            </w:r>
          </w:p>
          <w:p w14:paraId="0C0DA3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支持基于会话的时间轴展示会话周期的审计数据。</w:t>
            </w:r>
          </w:p>
        </w:tc>
      </w:tr>
      <w:tr w14:paraId="62EE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4E0D3D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8</w:t>
            </w:r>
          </w:p>
        </w:tc>
        <w:tc>
          <w:tcPr>
            <w:tcW w:w="1246" w:type="dxa"/>
            <w:noWrap w:val="0"/>
            <w:vAlign w:val="center"/>
          </w:tcPr>
          <w:p w14:paraId="115D59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API监测日志</w:t>
            </w:r>
          </w:p>
        </w:tc>
        <w:tc>
          <w:tcPr>
            <w:tcW w:w="7753" w:type="dxa"/>
            <w:noWrap w:val="0"/>
            <w:vAlign w:val="center"/>
          </w:tcPr>
          <w:p w14:paraId="1018C2E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支持通过syslog、消息中间件或其他方式，接收日志数据并保存。</w:t>
            </w:r>
          </w:p>
          <w:p w14:paraId="478321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支持审计结果按时间倒序展示。</w:t>
            </w:r>
          </w:p>
          <w:p w14:paraId="5BA71B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支持基于时间、厂商、业务系统、服务名、API、请求关键字、响应内容进行模糊查询；</w:t>
            </w:r>
          </w:p>
          <w:p w14:paraId="3302525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支持基于会话的时间轴展示会话周期的审计数据；</w:t>
            </w:r>
          </w:p>
        </w:tc>
      </w:tr>
      <w:tr w14:paraId="177C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1583A3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9</w:t>
            </w:r>
          </w:p>
        </w:tc>
        <w:tc>
          <w:tcPr>
            <w:tcW w:w="1246" w:type="dxa"/>
            <w:noWrap w:val="0"/>
            <w:vAlign w:val="center"/>
          </w:tcPr>
          <w:p w14:paraId="7D7C26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应用访问态势</w:t>
            </w:r>
          </w:p>
        </w:tc>
        <w:tc>
          <w:tcPr>
            <w:tcW w:w="7753" w:type="dxa"/>
            <w:noWrap w:val="0"/>
            <w:vAlign w:val="center"/>
          </w:tcPr>
          <w:p w14:paraId="285415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支持应用访问量统计按时间统计（按日、按月、按年细分呈现）、按应用统计、按厂商统计维度统计访问量。</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支持应用访问量按应用名称、厂商简称维度支持单维度或多维度组合检索</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支持应用访问量导出功能，供其他维度分析和使用</w:t>
            </w:r>
          </w:p>
        </w:tc>
      </w:tr>
      <w:tr w14:paraId="60F2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24D9D1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10</w:t>
            </w:r>
          </w:p>
        </w:tc>
        <w:tc>
          <w:tcPr>
            <w:tcW w:w="1246" w:type="dxa"/>
            <w:noWrap w:val="0"/>
            <w:vAlign w:val="center"/>
          </w:tcPr>
          <w:p w14:paraId="546943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API访问态势</w:t>
            </w:r>
          </w:p>
        </w:tc>
        <w:tc>
          <w:tcPr>
            <w:tcW w:w="7753" w:type="dxa"/>
            <w:noWrap w:val="0"/>
            <w:vAlign w:val="center"/>
          </w:tcPr>
          <w:p w14:paraId="58E585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支持API服务访问量统计按时间统计（按日、按月、按年细分呈现）、按系统统计、按API服务统计、按API接口统计、按厂商统计维度统计访问量。</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支持API访问量按时间范围、系统名称、API服务、API接口、厂商简称维度支持单维度或多维度组合检索。</w:t>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default" w:asciiTheme="minorEastAsia" w:hAnsiTheme="minorEastAsia" w:eastAsiaTheme="minorEastAsia" w:cstheme="minorEastAsia"/>
                <w:i w:val="0"/>
                <w:iCs w:val="0"/>
                <w:color w:val="000000"/>
                <w:kern w:val="0"/>
                <w:sz w:val="24"/>
                <w:szCs w:val="24"/>
                <w:highlight w:val="none"/>
                <w:u w:val="none"/>
                <w:lang w:val="en-US" w:eastAsia="zh-CN" w:bidi="ar"/>
              </w:rPr>
              <w:t>支持API访问量导出功能，供其他维度分析和使用</w:t>
            </w:r>
          </w:p>
        </w:tc>
      </w:tr>
      <w:tr w14:paraId="1ECA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4E6C1E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11</w:t>
            </w:r>
          </w:p>
        </w:tc>
        <w:tc>
          <w:tcPr>
            <w:tcW w:w="1246" w:type="dxa"/>
            <w:noWrap w:val="0"/>
            <w:vAlign w:val="center"/>
          </w:tcPr>
          <w:p w14:paraId="6272AE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数据集管理</w:t>
            </w:r>
          </w:p>
        </w:tc>
        <w:tc>
          <w:tcPr>
            <w:tcW w:w="7753" w:type="dxa"/>
            <w:noWrap w:val="0"/>
            <w:vAlign w:val="center"/>
          </w:tcPr>
          <w:p w14:paraId="3D4A29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sz w:val="24"/>
                <w:szCs w:val="24"/>
                <w:highlight w:val="none"/>
                <w:u w:val="single"/>
                <w:lang w:val="en-US" w:eastAsia="zh-CN"/>
              </w:rPr>
              <w:t>支持数据集定义和管理，按相关标准确定数据集(如病理分析、诊疗过程)；支持动态展示数据集的价值分布、质量评分、价值变化趋势。支持多种数据数据集类型管理，包括数据库资产、应用接口开放资产、用户上传数据资产等类别。（提供系统功能截图）</w:t>
            </w:r>
          </w:p>
        </w:tc>
      </w:tr>
      <w:tr w14:paraId="424B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3BA1DC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12</w:t>
            </w:r>
          </w:p>
        </w:tc>
        <w:tc>
          <w:tcPr>
            <w:tcW w:w="1246" w:type="dxa"/>
            <w:noWrap w:val="0"/>
            <w:vAlign w:val="center"/>
          </w:tcPr>
          <w:p w14:paraId="3BA808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数据自检</w:t>
            </w:r>
          </w:p>
        </w:tc>
        <w:tc>
          <w:tcPr>
            <w:tcW w:w="7753" w:type="dxa"/>
            <w:noWrap w:val="0"/>
            <w:vAlign w:val="center"/>
          </w:tcPr>
          <w:p w14:paraId="3151CB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sz w:val="24"/>
                <w:szCs w:val="24"/>
                <w:highlight w:val="none"/>
                <w:u w:val="single"/>
                <w:lang w:val="en-US" w:eastAsia="zh-CN"/>
              </w:rPr>
              <w:t>支持按输入的文件和数据源进行数据自检。支持检测数据的脱敏有效性；级别、类别；并给出数据是否可外发建议。（提供系统功能截图）</w:t>
            </w:r>
          </w:p>
        </w:tc>
      </w:tr>
      <w:tr w14:paraId="5A87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34CFBC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13</w:t>
            </w:r>
          </w:p>
        </w:tc>
        <w:tc>
          <w:tcPr>
            <w:tcW w:w="1246" w:type="dxa"/>
            <w:noWrap w:val="0"/>
            <w:vAlign w:val="center"/>
          </w:tcPr>
          <w:p w14:paraId="596528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数据价值评估</w:t>
            </w:r>
          </w:p>
        </w:tc>
        <w:tc>
          <w:tcPr>
            <w:tcW w:w="7753" w:type="dxa"/>
            <w:noWrap w:val="0"/>
            <w:vAlign w:val="center"/>
          </w:tcPr>
          <w:p w14:paraId="4A1302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支持从数据生成投入、生命周期管理、等方面进行综合分析数据资产的价值影响因素，进行价值量化；同时支持人工调整价值数值。</w:t>
            </w:r>
          </w:p>
          <w:p w14:paraId="745884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支持价值评估操作支持任务化执行，同时支持定时配置执行。</w:t>
            </w:r>
          </w:p>
        </w:tc>
      </w:tr>
      <w:tr w14:paraId="70AC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9" w:type="dxa"/>
            <w:noWrap w:val="0"/>
            <w:vAlign w:val="center"/>
          </w:tcPr>
          <w:p w14:paraId="289C2B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14</w:t>
            </w:r>
          </w:p>
        </w:tc>
        <w:tc>
          <w:tcPr>
            <w:tcW w:w="1246" w:type="dxa"/>
            <w:noWrap w:val="0"/>
            <w:vAlign w:val="center"/>
          </w:tcPr>
          <w:p w14:paraId="3F4D3E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知识库</w:t>
            </w:r>
          </w:p>
        </w:tc>
        <w:tc>
          <w:tcPr>
            <w:tcW w:w="7753" w:type="dxa"/>
            <w:noWrap w:val="0"/>
            <w:vAlign w:val="center"/>
          </w:tcPr>
          <w:p w14:paraId="32446A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支持展示分类分级、API监测相关法规和标准及其他数据安全风险相关内容</w:t>
            </w:r>
          </w:p>
        </w:tc>
      </w:tr>
    </w:tbl>
    <w:p w14:paraId="7C4E7E80">
      <w:pPr>
        <w:numPr>
          <w:ilvl w:val="0"/>
          <w:numId w:val="0"/>
        </w:num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kern w:val="0"/>
          <w:sz w:val="24"/>
          <w:highlight w:val="none"/>
          <w:lang w:val="en-US" w:eastAsia="zh-CN" w:bidi="ar"/>
        </w:rPr>
        <w:t>四</w:t>
      </w:r>
      <w:r>
        <w:rPr>
          <w:rFonts w:hint="eastAsia" w:ascii="宋体" w:hAnsi="宋体" w:eastAsia="宋体" w:cs="宋体"/>
          <w:b/>
          <w:bCs/>
          <w:kern w:val="0"/>
          <w:sz w:val="24"/>
          <w:highlight w:val="none"/>
          <w:lang w:val="en-US" w:eastAsia="zh-CN" w:bidi="ar"/>
        </w:rPr>
        <w:t>、</w:t>
      </w:r>
      <w:r>
        <w:rPr>
          <w:rFonts w:hint="eastAsia" w:ascii="宋体" w:hAnsi="宋体" w:eastAsia="宋体" w:cs="宋体"/>
          <w:b/>
          <w:bCs/>
          <w:sz w:val="24"/>
          <w:szCs w:val="24"/>
          <w:highlight w:val="none"/>
          <w:lang w:val="en-US" w:eastAsia="zh-CN"/>
        </w:rPr>
        <w:t>其他要求</w:t>
      </w:r>
    </w:p>
    <w:tbl>
      <w:tblPr>
        <w:tblStyle w:val="22"/>
        <w:tblW w:w="965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353"/>
        <w:gridCol w:w="7725"/>
      </w:tblGrid>
      <w:tr w14:paraId="5262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0970B099">
            <w:pPr>
              <w:keepNext w:val="0"/>
              <w:keepLines w:val="0"/>
              <w:pageBreakBefore w:val="0"/>
              <w:widowControl w:val="0"/>
              <w:kinsoku/>
              <w:wordWrap/>
              <w:overflowPunct/>
              <w:topLinePunct w:val="0"/>
              <w:bidi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53" w:type="dxa"/>
            <w:vAlign w:val="center"/>
          </w:tcPr>
          <w:p w14:paraId="5744BEC2">
            <w:pPr>
              <w:keepNext w:val="0"/>
              <w:keepLines w:val="0"/>
              <w:pageBreakBefore w:val="0"/>
              <w:widowControl w:val="0"/>
              <w:kinsoku/>
              <w:wordWrap/>
              <w:overflowPunct/>
              <w:topLinePunct w:val="0"/>
              <w:bidi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内容名称</w:t>
            </w:r>
          </w:p>
        </w:tc>
        <w:tc>
          <w:tcPr>
            <w:tcW w:w="7725" w:type="dxa"/>
            <w:vAlign w:val="center"/>
          </w:tcPr>
          <w:p w14:paraId="6147D850">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tc>
      </w:tr>
      <w:tr w14:paraId="15D1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3EA4B9B3">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53" w:type="dxa"/>
            <w:vAlign w:val="center"/>
          </w:tcPr>
          <w:p w14:paraId="0D4DD2C5">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u w:val="single"/>
              </w:rPr>
              <w:t>报价要求</w:t>
            </w:r>
          </w:p>
        </w:tc>
        <w:tc>
          <w:tcPr>
            <w:tcW w:w="7725" w:type="dxa"/>
            <w:vAlign w:val="center"/>
          </w:tcPr>
          <w:p w14:paraId="5BE094C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1、</w:t>
            </w:r>
            <w:r>
              <w:rPr>
                <w:rFonts w:hint="eastAsia" w:ascii="宋体" w:hAnsi="宋体" w:eastAsia="宋体" w:cs="宋体"/>
                <w:b w:val="0"/>
                <w:bCs w:val="0"/>
                <w:sz w:val="24"/>
                <w:szCs w:val="24"/>
                <w:highlight w:val="none"/>
                <w:lang w:val="en-US" w:eastAsia="zh-CN"/>
              </w:rPr>
              <w:t>供应商投标报价</w:t>
            </w:r>
            <w:r>
              <w:rPr>
                <w:rFonts w:hint="eastAsia" w:ascii="宋体" w:hAnsi="宋体" w:eastAsia="宋体" w:cs="宋体"/>
                <w:b w:val="0"/>
                <w:bCs w:val="0"/>
                <w:kern w:val="2"/>
                <w:sz w:val="24"/>
                <w:szCs w:val="24"/>
                <w:highlight w:val="none"/>
                <w:lang w:val="en-US" w:eastAsia="zh-CN" w:bidi="ar-SA"/>
              </w:rPr>
              <w:t>包含本项目招标内容及要求及合同约定所有服务内容所需所有货物的货款（含标准附件、备品备件、专用工具、包装、运输、装卸等）、人工工资（含社会保险费、劳保用品、员工住宿交通差旅费用等）、规费、税费、企业管理费、利润、系统软件（含开发、更新升级）、系统集成调试、技术支持与培训、</w:t>
            </w:r>
            <w:r>
              <w:rPr>
                <w:rFonts w:hint="eastAsia" w:ascii="宋体" w:hAnsi="宋体" w:cs="宋体"/>
                <w:b w:val="0"/>
                <w:bCs w:val="0"/>
                <w:kern w:val="2"/>
                <w:sz w:val="24"/>
                <w:szCs w:val="24"/>
                <w:highlight w:val="none"/>
                <w:lang w:val="en-US" w:eastAsia="zh-CN" w:bidi="ar-SA"/>
              </w:rPr>
              <w:t>相关</w:t>
            </w:r>
            <w:r>
              <w:rPr>
                <w:rFonts w:hint="eastAsia" w:ascii="宋体" w:hAnsi="宋体" w:eastAsia="宋体" w:cs="宋体"/>
                <w:b w:val="0"/>
                <w:bCs w:val="0"/>
                <w:kern w:val="2"/>
                <w:sz w:val="24"/>
                <w:szCs w:val="24"/>
                <w:highlight w:val="none"/>
                <w:lang w:val="en-US" w:eastAsia="zh-CN" w:bidi="ar-SA"/>
              </w:rPr>
              <w:t>数据</w:t>
            </w:r>
            <w:r>
              <w:rPr>
                <w:rFonts w:hint="eastAsia" w:ascii="宋体" w:hAnsi="宋体" w:cs="宋体"/>
                <w:b w:val="0"/>
                <w:bCs w:val="0"/>
                <w:kern w:val="2"/>
                <w:sz w:val="24"/>
                <w:szCs w:val="24"/>
                <w:highlight w:val="none"/>
                <w:lang w:val="en-US" w:eastAsia="zh-CN" w:bidi="ar-SA"/>
              </w:rPr>
              <w:t>服务</w:t>
            </w:r>
            <w:r>
              <w:rPr>
                <w:rFonts w:hint="eastAsia" w:ascii="宋体" w:hAnsi="宋体" w:eastAsia="宋体" w:cs="宋体"/>
                <w:b w:val="0"/>
                <w:bCs w:val="0"/>
                <w:kern w:val="2"/>
                <w:sz w:val="24"/>
                <w:szCs w:val="24"/>
                <w:highlight w:val="none"/>
                <w:lang w:val="en-US" w:eastAsia="zh-CN" w:bidi="ar-SA"/>
              </w:rPr>
              <w:t>（含数据资产梳理、数据安全风险评估</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0"/>
                <w:sz w:val="24"/>
                <w:szCs w:val="24"/>
                <w:highlight w:val="none"/>
                <w:lang w:val="en-US" w:eastAsia="zh-CN" w:bidi="ar-SA"/>
              </w:rPr>
              <w:t>数据安全测评审查支撑</w:t>
            </w:r>
            <w:r>
              <w:rPr>
                <w:rFonts w:hint="eastAsia" w:ascii="宋体" w:hAnsi="宋体" w:eastAsia="宋体" w:cs="宋体"/>
                <w:b w:val="0"/>
                <w:bCs w:val="0"/>
                <w:kern w:val="2"/>
                <w:sz w:val="24"/>
                <w:szCs w:val="24"/>
                <w:highlight w:val="none"/>
                <w:lang w:val="en-US" w:eastAsia="zh-CN" w:bidi="ar-SA"/>
              </w:rPr>
              <w:t>等）费用、系统接口费</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试运行、验收费、检测费、保修、售后服务以及合同包含的所有风险、责任等各项应有费用。（说明：如发生不可抗力及突发性事件，中标供应商要无条件听从采购人指挥，配合采购人。费用已包括在投标报价内，采购人不再另行支付其他费用。）</w:t>
            </w:r>
          </w:p>
          <w:p w14:paraId="205A774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color w:val="000000"/>
                <w:sz w:val="24"/>
                <w:szCs w:val="24"/>
                <w:highlight w:val="none"/>
                <w:u w:val="single"/>
              </w:rPr>
            </w:pPr>
            <w:r>
              <w:rPr>
                <w:rFonts w:hint="eastAsia" w:ascii="宋体" w:hAnsi="宋体" w:eastAsia="宋体" w:cs="宋体"/>
                <w:sz w:val="24"/>
                <w:szCs w:val="24"/>
                <w:highlight w:val="none"/>
                <w:lang w:val="en-US" w:eastAsia="zh-CN"/>
              </w:rPr>
              <w:t>2.</w:t>
            </w:r>
            <w:r>
              <w:rPr>
                <w:rFonts w:hint="eastAsia" w:ascii="宋体" w:hAnsi="宋体" w:eastAsia="宋体" w:cs="宋体"/>
                <w:b w:val="0"/>
                <w:bCs w:val="0"/>
                <w:color w:val="000000"/>
                <w:sz w:val="24"/>
                <w:szCs w:val="24"/>
                <w:highlight w:val="none"/>
                <w:u w:val="none"/>
              </w:rPr>
              <w:t>本次报价</w:t>
            </w:r>
            <w:r>
              <w:rPr>
                <w:rFonts w:hint="eastAsia" w:ascii="宋体" w:hAnsi="宋体" w:eastAsia="宋体" w:cs="宋体"/>
                <w:b w:val="0"/>
                <w:bCs w:val="0"/>
                <w:color w:val="000000"/>
                <w:sz w:val="24"/>
                <w:szCs w:val="24"/>
                <w:highlight w:val="none"/>
                <w:u w:val="none"/>
                <w:lang w:val="en-US" w:eastAsia="zh-CN"/>
              </w:rPr>
              <w:t>以</w:t>
            </w:r>
            <w:r>
              <w:rPr>
                <w:rFonts w:hint="eastAsia" w:ascii="宋体" w:hAnsi="宋体" w:eastAsia="宋体" w:cs="宋体"/>
                <w:b w:val="0"/>
                <w:bCs w:val="0"/>
                <w:color w:val="000000"/>
                <w:sz w:val="24"/>
                <w:szCs w:val="24"/>
                <w:highlight w:val="none"/>
                <w:u w:val="none"/>
              </w:rPr>
              <w:t>人民币</w:t>
            </w:r>
            <w:r>
              <w:rPr>
                <w:rFonts w:hint="eastAsia" w:ascii="宋体" w:hAnsi="宋体" w:eastAsia="宋体" w:cs="宋体"/>
                <w:b w:val="0"/>
                <w:bCs w:val="0"/>
                <w:color w:val="000000"/>
                <w:sz w:val="24"/>
                <w:szCs w:val="24"/>
                <w:highlight w:val="none"/>
                <w:u w:val="none"/>
                <w:lang w:val="en-US" w:eastAsia="zh-CN"/>
              </w:rPr>
              <w:t>报</w:t>
            </w:r>
            <w:r>
              <w:rPr>
                <w:rFonts w:hint="eastAsia" w:ascii="宋体" w:hAnsi="宋体" w:eastAsia="宋体" w:cs="宋体"/>
                <w:b w:val="0"/>
                <w:bCs w:val="0"/>
                <w:color w:val="000000"/>
                <w:sz w:val="24"/>
                <w:szCs w:val="24"/>
                <w:highlight w:val="none"/>
                <w:u w:val="none"/>
              </w:rPr>
              <w:t>价。</w:t>
            </w:r>
          </w:p>
          <w:p w14:paraId="655CF82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3.本项目采用固定</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lang w:val="en-US" w:eastAsia="zh-CN"/>
              </w:rPr>
              <w:t>模式结算</w:t>
            </w:r>
            <w:r>
              <w:rPr>
                <w:rFonts w:hint="eastAsia" w:ascii="宋体" w:hAnsi="宋体" w:cs="宋体"/>
                <w:sz w:val="24"/>
                <w:szCs w:val="24"/>
                <w:highlight w:val="none"/>
                <w:lang w:val="en-US" w:eastAsia="zh-CN"/>
              </w:rPr>
              <w:t>。</w:t>
            </w:r>
          </w:p>
        </w:tc>
      </w:tr>
      <w:tr w14:paraId="3191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0CCA8074">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353" w:type="dxa"/>
            <w:vAlign w:val="center"/>
          </w:tcPr>
          <w:p w14:paraId="722CBF72">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u w:val="single"/>
              </w:rPr>
              <w:t>转包或分包</w:t>
            </w:r>
          </w:p>
        </w:tc>
        <w:tc>
          <w:tcPr>
            <w:tcW w:w="7725" w:type="dxa"/>
            <w:vAlign w:val="center"/>
          </w:tcPr>
          <w:p w14:paraId="6A7F791D">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bCs/>
                <w:sz w:val="24"/>
                <w:szCs w:val="24"/>
                <w:highlight w:val="none"/>
                <w:u w:val="single"/>
                <w:lang w:val="en-US" w:eastAsia="zh-CN"/>
              </w:rPr>
            </w:pPr>
            <w:r>
              <w:rPr>
                <w:rFonts w:hint="eastAsia" w:ascii="宋体" w:hAnsi="宋体" w:eastAsia="宋体" w:cs="宋体"/>
                <w:b w:val="0"/>
                <w:bCs/>
                <w:kern w:val="0"/>
                <w:sz w:val="24"/>
                <w:szCs w:val="24"/>
                <w:highlight w:val="none"/>
                <w:lang w:val="en-US" w:eastAsia="zh-CN" w:bidi="ar-SA"/>
              </w:rPr>
              <w:t>本项目不允许转包、分包。一经发现有转包、分包现象，采购人可无条件中止合同，并追究中标供应商的违约责任。</w:t>
            </w:r>
          </w:p>
        </w:tc>
      </w:tr>
      <w:tr w14:paraId="14DC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419F9F65">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1353" w:type="dxa"/>
            <w:vAlign w:val="center"/>
          </w:tcPr>
          <w:p w14:paraId="34725C38">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质量保证</w:t>
            </w:r>
          </w:p>
        </w:tc>
        <w:tc>
          <w:tcPr>
            <w:tcW w:w="7725" w:type="dxa"/>
            <w:vAlign w:val="center"/>
          </w:tcPr>
          <w:p w14:paraId="249581DB">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hAnsi="宋体" w:cs="宋体"/>
                <w:b w:val="0"/>
                <w:bCs/>
                <w:kern w:val="0"/>
                <w:sz w:val="24"/>
                <w:szCs w:val="24"/>
                <w:highlight w:val="none"/>
                <w:lang w:val="en-US" w:eastAsia="zh-CN" w:bidi="ar-SA"/>
              </w:rPr>
            </w:pPr>
            <w:r>
              <w:rPr>
                <w:rFonts w:hint="eastAsia" w:hAnsi="宋体" w:cs="宋体"/>
                <w:b w:val="0"/>
                <w:bCs/>
                <w:kern w:val="0"/>
                <w:sz w:val="24"/>
                <w:szCs w:val="24"/>
                <w:highlight w:val="none"/>
                <w:lang w:val="en-US" w:eastAsia="zh-CN" w:bidi="ar-SA"/>
              </w:rPr>
              <w:t>（1）中标供应商提供的所有货物在运抵现场前均应是全新的。</w:t>
            </w:r>
          </w:p>
          <w:p w14:paraId="13AC36CE">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hAnsi="宋体" w:cs="宋体"/>
                <w:b w:val="0"/>
                <w:bCs/>
                <w:kern w:val="0"/>
                <w:sz w:val="24"/>
                <w:szCs w:val="24"/>
                <w:highlight w:val="none"/>
                <w:lang w:val="en-US" w:eastAsia="zh-CN" w:bidi="ar-SA"/>
              </w:rPr>
            </w:pPr>
            <w:r>
              <w:rPr>
                <w:rFonts w:hint="eastAsia" w:hAnsi="宋体" w:cs="宋体"/>
                <w:b w:val="0"/>
                <w:bCs/>
                <w:kern w:val="0"/>
                <w:sz w:val="24"/>
                <w:szCs w:val="24"/>
                <w:highlight w:val="none"/>
                <w:lang w:val="en-US" w:eastAsia="zh-CN" w:bidi="ar-SA"/>
              </w:rPr>
              <w:t>（2）投标产品必须是符合国家技术规范和质量标准的合格产品，满足采购人的使用需求，并具有可靠的售后服务体系，质量可靠、使用安全。</w:t>
            </w:r>
          </w:p>
          <w:p w14:paraId="6602A236">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hAnsi="宋体" w:cs="宋体"/>
                <w:b w:val="0"/>
                <w:bCs/>
                <w:kern w:val="0"/>
                <w:sz w:val="24"/>
                <w:szCs w:val="24"/>
                <w:highlight w:val="none"/>
                <w:lang w:val="en-US" w:eastAsia="zh-CN" w:bidi="ar-SA"/>
              </w:rPr>
            </w:pPr>
            <w:r>
              <w:rPr>
                <w:rFonts w:hint="eastAsia" w:hAnsi="宋体" w:cs="宋体"/>
                <w:b w:val="0"/>
                <w:bCs/>
                <w:kern w:val="0"/>
                <w:sz w:val="24"/>
                <w:szCs w:val="24"/>
                <w:highlight w:val="none"/>
                <w:lang w:val="en-US" w:eastAsia="zh-CN" w:bidi="ar-SA"/>
              </w:rPr>
              <w:t>（3）符合国际规范和标准，具有开放性、可靠性、安全性、可互连性、可互操作性和可扩充性，并考虑未来系统的发展与变迁，易于扩展、升级和维护。</w:t>
            </w:r>
          </w:p>
          <w:p w14:paraId="0604BD7D">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hAnsi="宋体" w:cs="宋体"/>
                <w:b w:val="0"/>
                <w:bCs/>
                <w:kern w:val="0"/>
                <w:sz w:val="24"/>
                <w:szCs w:val="24"/>
                <w:highlight w:val="none"/>
                <w:lang w:val="en-US" w:eastAsia="zh-CN" w:bidi="ar-SA"/>
              </w:rPr>
            </w:pPr>
            <w:r>
              <w:rPr>
                <w:rFonts w:hint="eastAsia" w:hAnsi="宋体" w:cs="宋体"/>
                <w:b w:val="0"/>
                <w:bCs/>
                <w:kern w:val="0"/>
                <w:sz w:val="24"/>
                <w:szCs w:val="24"/>
                <w:highlight w:val="none"/>
                <w:lang w:val="en-US" w:eastAsia="zh-CN" w:bidi="ar-SA"/>
              </w:rPr>
              <w:t>（4）在运维服务期内，如遇软件产品升级、改版，应免费提供更新、升级服务。</w:t>
            </w:r>
          </w:p>
          <w:p w14:paraId="5BBE6F7E">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default"/>
                <w:highlight w:val="none"/>
                <w:lang w:val="en-US" w:eastAsia="zh-CN"/>
              </w:rPr>
            </w:pPr>
            <w:r>
              <w:rPr>
                <w:rFonts w:hint="eastAsia" w:ascii="宋体" w:hAnsi="宋体" w:eastAsia="宋体" w:cs="宋体"/>
                <w:b w:val="0"/>
                <w:bCs/>
                <w:kern w:val="0"/>
                <w:sz w:val="24"/>
                <w:szCs w:val="24"/>
                <w:highlight w:val="none"/>
                <w:lang w:val="en-US" w:eastAsia="zh-CN" w:bidi="ar-SA"/>
              </w:rPr>
              <w:t>（5）中标供应商须保证所提供产品具有合法的版权或使用权，本项目采购的产品，如在本项目范围内使用过程中出现版权或使用权纠纷，应由中标供应商负责，采购人不承担任何责任。</w:t>
            </w:r>
          </w:p>
        </w:tc>
      </w:tr>
      <w:tr w14:paraId="3B9C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6E03BD00">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1353" w:type="dxa"/>
            <w:vAlign w:val="center"/>
          </w:tcPr>
          <w:p w14:paraId="2C9B5576">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系统集成服务</w:t>
            </w:r>
          </w:p>
        </w:tc>
        <w:tc>
          <w:tcPr>
            <w:tcW w:w="7725" w:type="dxa"/>
            <w:vAlign w:val="center"/>
          </w:tcPr>
          <w:p w14:paraId="3ED91B6A">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kern w:val="0"/>
                <w:sz w:val="24"/>
                <w:szCs w:val="24"/>
                <w:highlight w:val="none"/>
                <w:lang w:val="en-US" w:eastAsia="zh-CN" w:bidi="ar-SA"/>
              </w:rPr>
            </w:pPr>
            <w:r>
              <w:rPr>
                <w:rFonts w:hint="eastAsia" w:hAnsi="宋体" w:cs="宋体"/>
                <w:b w:val="0"/>
                <w:bCs/>
                <w:kern w:val="0"/>
                <w:sz w:val="24"/>
                <w:szCs w:val="24"/>
                <w:highlight w:val="none"/>
                <w:lang w:val="en-US" w:eastAsia="zh-CN" w:bidi="ar-SA"/>
              </w:rPr>
              <w:t>1.</w:t>
            </w:r>
            <w:r>
              <w:rPr>
                <w:rFonts w:hint="eastAsia" w:ascii="宋体" w:hAnsi="宋体" w:eastAsia="宋体" w:cs="宋体"/>
                <w:b w:val="0"/>
                <w:bCs/>
                <w:kern w:val="0"/>
                <w:sz w:val="24"/>
                <w:szCs w:val="24"/>
                <w:highlight w:val="none"/>
                <w:lang w:val="en-US" w:eastAsia="zh-CN" w:bidi="ar-SA"/>
              </w:rPr>
              <w:t>本项目要求对采购</w:t>
            </w:r>
            <w:r>
              <w:rPr>
                <w:rFonts w:hint="eastAsia" w:ascii="宋体" w:hAnsi="宋体" w:eastAsia="宋体" w:cs="宋体"/>
                <w:sz w:val="24"/>
                <w:szCs w:val="24"/>
                <w:highlight w:val="none"/>
                <w:lang w:val="en-US" w:eastAsia="zh-CN"/>
              </w:rPr>
              <w:t>货物</w:t>
            </w:r>
            <w:r>
              <w:rPr>
                <w:rFonts w:hint="eastAsia" w:ascii="宋体" w:hAnsi="宋体" w:cs="宋体"/>
                <w:sz w:val="24"/>
                <w:szCs w:val="24"/>
                <w:highlight w:val="none"/>
                <w:lang w:val="en-US" w:eastAsia="zh-CN"/>
              </w:rPr>
              <w:t>、软件系统</w:t>
            </w:r>
            <w:r>
              <w:rPr>
                <w:rFonts w:hint="eastAsia" w:ascii="宋体" w:hAnsi="宋体" w:eastAsia="宋体" w:cs="宋体"/>
                <w:b w:val="0"/>
                <w:bCs/>
                <w:kern w:val="0"/>
                <w:sz w:val="24"/>
                <w:szCs w:val="24"/>
                <w:highlight w:val="none"/>
                <w:lang w:val="en-US" w:eastAsia="zh-CN" w:bidi="ar-SA"/>
              </w:rPr>
              <w:t>进行安装部署，并按招标要求及合同提供相关服务，包括：</w:t>
            </w:r>
          </w:p>
          <w:p w14:paraId="4FF412BB">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kern w:val="0"/>
                <w:sz w:val="24"/>
                <w:szCs w:val="24"/>
                <w:highlight w:val="none"/>
                <w:lang w:val="en-US" w:eastAsia="zh-CN" w:bidi="ar-SA"/>
              </w:rPr>
            </w:pPr>
            <w:r>
              <w:rPr>
                <w:rFonts w:hint="eastAsia" w:hAnsi="宋体" w:cs="宋体"/>
                <w:b w:val="0"/>
                <w:bCs/>
                <w:kern w:val="0"/>
                <w:sz w:val="24"/>
                <w:szCs w:val="24"/>
                <w:highlight w:val="none"/>
                <w:lang w:val="en-US" w:eastAsia="zh-CN" w:bidi="ar-SA"/>
              </w:rPr>
              <w:t>（1）</w:t>
            </w:r>
            <w:r>
              <w:rPr>
                <w:rFonts w:hint="eastAsia" w:ascii="宋体" w:hAnsi="宋体" w:eastAsia="宋体" w:cs="宋体"/>
                <w:b w:val="0"/>
                <w:bCs/>
                <w:kern w:val="0"/>
                <w:sz w:val="24"/>
                <w:szCs w:val="24"/>
                <w:highlight w:val="none"/>
                <w:lang w:val="en-US" w:eastAsia="zh-CN" w:bidi="ar-SA"/>
              </w:rPr>
              <w:t>新采购硬件设备的安装、配置、调试；</w:t>
            </w:r>
          </w:p>
          <w:p w14:paraId="60A2FDBB">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kern w:val="0"/>
                <w:sz w:val="24"/>
                <w:szCs w:val="24"/>
                <w:highlight w:val="none"/>
                <w:lang w:val="en-US" w:eastAsia="zh-CN" w:bidi="ar-SA"/>
              </w:rPr>
            </w:pPr>
            <w:r>
              <w:rPr>
                <w:rFonts w:hint="eastAsia" w:hAnsi="宋体" w:cs="宋体"/>
                <w:b w:val="0"/>
                <w:bCs/>
                <w:kern w:val="0"/>
                <w:sz w:val="24"/>
                <w:szCs w:val="24"/>
                <w:highlight w:val="none"/>
                <w:lang w:val="en-US" w:eastAsia="zh-CN" w:bidi="ar-SA"/>
              </w:rPr>
              <w:t>（2）</w:t>
            </w:r>
            <w:r>
              <w:rPr>
                <w:rFonts w:hint="eastAsia" w:ascii="宋体" w:hAnsi="宋体" w:eastAsia="宋体" w:cs="宋体"/>
                <w:b w:val="0"/>
                <w:bCs/>
                <w:kern w:val="0"/>
                <w:sz w:val="24"/>
                <w:szCs w:val="24"/>
                <w:highlight w:val="none"/>
                <w:lang w:val="en-US" w:eastAsia="zh-CN" w:bidi="ar-SA"/>
              </w:rPr>
              <w:t>统一协调已有系统与新系统之间的关系，提升基础支撑系统的整体集成；</w:t>
            </w:r>
          </w:p>
          <w:p w14:paraId="0BCE51D4">
            <w:pPr>
              <w:pStyle w:val="13"/>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kern w:val="0"/>
                <w:sz w:val="24"/>
                <w:szCs w:val="24"/>
                <w:highlight w:val="none"/>
                <w:lang w:val="en-US" w:eastAsia="zh-CN" w:bidi="ar-SA"/>
              </w:rPr>
            </w:pPr>
            <w:r>
              <w:rPr>
                <w:rFonts w:hint="eastAsia" w:hAnsi="宋体" w:cs="宋体"/>
                <w:b w:val="0"/>
                <w:bCs/>
                <w:kern w:val="0"/>
                <w:sz w:val="24"/>
                <w:szCs w:val="24"/>
                <w:highlight w:val="none"/>
                <w:lang w:val="en-US" w:eastAsia="zh-CN" w:bidi="ar-SA"/>
              </w:rPr>
              <w:t>（3）</w:t>
            </w:r>
            <w:r>
              <w:rPr>
                <w:rFonts w:hint="eastAsia" w:ascii="宋体" w:hAnsi="宋体" w:eastAsia="宋体" w:cs="宋体"/>
                <w:b w:val="0"/>
                <w:bCs/>
                <w:kern w:val="0"/>
                <w:sz w:val="24"/>
                <w:szCs w:val="24"/>
                <w:highlight w:val="none"/>
                <w:lang w:val="en-US" w:eastAsia="zh-CN" w:bidi="ar-SA"/>
              </w:rPr>
              <w:t>项目实施期间要求确保业务不中断或将影响有计划性的降低到最低。</w:t>
            </w:r>
          </w:p>
        </w:tc>
      </w:tr>
      <w:tr w14:paraId="4996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038FDA8E">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5</w:t>
            </w:r>
          </w:p>
        </w:tc>
        <w:tc>
          <w:tcPr>
            <w:tcW w:w="1353" w:type="dxa"/>
            <w:vAlign w:val="center"/>
          </w:tcPr>
          <w:p w14:paraId="42C76082">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验收要求</w:t>
            </w:r>
          </w:p>
        </w:tc>
        <w:tc>
          <w:tcPr>
            <w:tcW w:w="7725" w:type="dxa"/>
            <w:vAlign w:val="center"/>
          </w:tcPr>
          <w:p w14:paraId="44799E3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1.出厂检验</w:t>
            </w:r>
          </w:p>
          <w:p w14:paraId="24C32B8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中标供应商应提供各种货物</w:t>
            </w:r>
            <w:r>
              <w:rPr>
                <w:rFonts w:hint="eastAsia" w:ascii="宋体" w:hAnsi="宋体" w:cs="宋体"/>
                <w:sz w:val="24"/>
                <w:szCs w:val="24"/>
                <w:highlight w:val="none"/>
                <w:lang w:val="en-US" w:eastAsia="zh-CN"/>
              </w:rPr>
              <w:t>、软件系统</w:t>
            </w:r>
            <w:r>
              <w:rPr>
                <w:rFonts w:hint="eastAsia" w:ascii="宋体" w:hAnsi="宋体" w:eastAsia="宋体" w:cs="宋体"/>
                <w:sz w:val="24"/>
                <w:szCs w:val="24"/>
                <w:highlight w:val="none"/>
                <w:lang w:val="en-US" w:eastAsia="zh-CN"/>
              </w:rPr>
              <w:t>的出厂检验项目、指标、测试程序和测试方法，供采购人参考，采购人根据需要进行补充和修改。</w:t>
            </w:r>
          </w:p>
          <w:p w14:paraId="09BD375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中标供应商提供的货物</w:t>
            </w:r>
            <w:r>
              <w:rPr>
                <w:rFonts w:hint="eastAsia" w:ascii="宋体" w:hAnsi="宋体" w:cs="宋体"/>
                <w:sz w:val="24"/>
                <w:szCs w:val="24"/>
                <w:highlight w:val="none"/>
                <w:lang w:val="en-US" w:eastAsia="zh-CN"/>
              </w:rPr>
              <w:t>、软件系统</w:t>
            </w:r>
            <w:r>
              <w:rPr>
                <w:rFonts w:hint="eastAsia" w:ascii="宋体" w:hAnsi="宋体" w:eastAsia="宋体" w:cs="宋体"/>
                <w:sz w:val="24"/>
                <w:szCs w:val="24"/>
                <w:highlight w:val="none"/>
                <w:lang w:val="en-US" w:eastAsia="zh-CN"/>
              </w:rPr>
              <w:t>在工厂内应通过完善的、严格的测试检验，采购人有权派技术人员到中标供应商的工厂检验货物</w:t>
            </w:r>
            <w:r>
              <w:rPr>
                <w:rFonts w:hint="eastAsia" w:ascii="宋体" w:hAnsi="宋体" w:cs="宋体"/>
                <w:sz w:val="24"/>
                <w:szCs w:val="24"/>
                <w:highlight w:val="none"/>
                <w:lang w:val="en-US" w:eastAsia="zh-CN"/>
              </w:rPr>
              <w:t>、软件系统</w:t>
            </w:r>
            <w:r>
              <w:rPr>
                <w:rFonts w:hint="eastAsia" w:ascii="宋体" w:hAnsi="宋体" w:eastAsia="宋体" w:cs="宋体"/>
                <w:sz w:val="24"/>
                <w:szCs w:val="24"/>
                <w:highlight w:val="none"/>
                <w:lang w:val="en-US" w:eastAsia="zh-CN"/>
              </w:rPr>
              <w:t>的性能指标。</w:t>
            </w:r>
          </w:p>
          <w:p w14:paraId="6F734D6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2.初步验收</w:t>
            </w:r>
          </w:p>
          <w:p w14:paraId="0B389F1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中标供应商所有设备到货并按照要求上架安装、调试实施完成后进行初验。</w:t>
            </w:r>
          </w:p>
          <w:p w14:paraId="29E3661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当货物运抵实施地点现场发现有缺陷，或当货物</w:t>
            </w:r>
            <w:r>
              <w:rPr>
                <w:rFonts w:hint="eastAsia" w:ascii="宋体" w:hAnsi="宋体" w:cs="宋体"/>
                <w:sz w:val="24"/>
                <w:szCs w:val="24"/>
                <w:highlight w:val="none"/>
                <w:lang w:val="en-US" w:eastAsia="zh-CN"/>
              </w:rPr>
              <w:t>、软件系统</w:t>
            </w:r>
            <w:r>
              <w:rPr>
                <w:rFonts w:hint="eastAsia" w:ascii="宋体" w:hAnsi="宋体" w:eastAsia="宋体" w:cs="宋体"/>
                <w:sz w:val="24"/>
                <w:szCs w:val="24"/>
                <w:highlight w:val="none"/>
                <w:lang w:val="en-US" w:eastAsia="zh-CN"/>
              </w:rPr>
              <w:t>安装</w:t>
            </w:r>
            <w:r>
              <w:rPr>
                <w:rFonts w:hint="eastAsia" w:ascii="宋体" w:hAnsi="宋体" w:cs="宋体"/>
                <w:sz w:val="24"/>
                <w:szCs w:val="24"/>
                <w:highlight w:val="none"/>
                <w:lang w:val="en-US" w:eastAsia="zh-CN"/>
              </w:rPr>
              <w:t>、调试</w:t>
            </w:r>
            <w:r>
              <w:rPr>
                <w:rFonts w:hint="eastAsia" w:ascii="宋体" w:hAnsi="宋体" w:eastAsia="宋体" w:cs="宋体"/>
                <w:sz w:val="24"/>
                <w:szCs w:val="24"/>
                <w:highlight w:val="none"/>
                <w:lang w:val="en-US" w:eastAsia="zh-CN"/>
              </w:rPr>
              <w:t>后发现有故障或指标达不到招标文件、合同、投标承诺所规定的技术性能，中标供应商须免费为采购人更换或赔偿。</w:t>
            </w:r>
          </w:p>
          <w:p w14:paraId="2CCF131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3.试运行</w:t>
            </w:r>
          </w:p>
          <w:p w14:paraId="21EF3E6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中标供应商完成所有货物</w:t>
            </w:r>
            <w:r>
              <w:rPr>
                <w:rFonts w:hint="eastAsia" w:ascii="宋体" w:hAnsi="宋体" w:eastAsia="宋体" w:cs="宋体"/>
                <w:kern w:val="2"/>
                <w:sz w:val="24"/>
                <w:szCs w:val="24"/>
                <w:highlight w:val="none"/>
                <w:lang w:val="en-US" w:eastAsia="zh-CN" w:bidi="ar-SA"/>
              </w:rPr>
              <w:t>、软件系统</w:t>
            </w:r>
            <w:r>
              <w:rPr>
                <w:rFonts w:hint="default" w:ascii="宋体" w:hAnsi="宋体" w:eastAsia="宋体" w:cs="宋体"/>
                <w:kern w:val="2"/>
                <w:sz w:val="24"/>
                <w:szCs w:val="24"/>
                <w:highlight w:val="none"/>
                <w:lang w:val="en-US" w:eastAsia="zh-CN" w:bidi="ar-SA"/>
              </w:rPr>
              <w:t>安装，调试后，经采购人同意，项目进入试运行（</w:t>
            </w:r>
            <w:r>
              <w:rPr>
                <w:rFonts w:hint="eastAsia" w:ascii="宋体" w:hAnsi="宋体" w:eastAsia="宋体" w:cs="宋体"/>
                <w:kern w:val="2"/>
                <w:sz w:val="24"/>
                <w:szCs w:val="24"/>
                <w:highlight w:val="none"/>
                <w:lang w:val="en-US" w:eastAsia="zh-CN" w:bidi="ar-SA"/>
              </w:rPr>
              <w:t>3个月</w:t>
            </w:r>
            <w:r>
              <w:rPr>
                <w:rFonts w:hint="default" w:ascii="宋体" w:hAnsi="宋体" w:eastAsia="宋体" w:cs="宋体"/>
                <w:kern w:val="2"/>
                <w:sz w:val="24"/>
                <w:szCs w:val="24"/>
                <w:highlight w:val="none"/>
                <w:lang w:val="en-US" w:eastAsia="zh-CN" w:bidi="ar-SA"/>
              </w:rPr>
              <w:t>）。试运行期间，中标供应商需派驻技术人员负责运行。试运行期间所有货物</w:t>
            </w:r>
            <w:r>
              <w:rPr>
                <w:rFonts w:hint="eastAsia" w:ascii="宋体" w:hAnsi="宋体" w:eastAsia="宋体" w:cs="宋体"/>
                <w:kern w:val="2"/>
                <w:sz w:val="24"/>
                <w:szCs w:val="24"/>
                <w:highlight w:val="none"/>
                <w:lang w:val="en-US" w:eastAsia="zh-CN" w:bidi="ar-SA"/>
              </w:rPr>
              <w:t>、软件系统</w:t>
            </w:r>
            <w:r>
              <w:rPr>
                <w:rFonts w:hint="default" w:ascii="宋体" w:hAnsi="宋体" w:eastAsia="宋体" w:cs="宋体"/>
                <w:kern w:val="2"/>
                <w:sz w:val="24"/>
                <w:szCs w:val="24"/>
                <w:highlight w:val="none"/>
                <w:lang w:val="en-US" w:eastAsia="zh-CN" w:bidi="ar-SA"/>
              </w:rPr>
              <w:t>运行无故障的，试运行期满后中标供应商可向采购人申请最终验收；期间如发生故障，试运行期中断，自故障排除之日起重新计算。</w:t>
            </w:r>
          </w:p>
          <w:p w14:paraId="76B84DC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.最终验收合格条件：中标供应商按合同约定及采购人要求完成</w:t>
            </w:r>
            <w:r>
              <w:rPr>
                <w:rFonts w:hint="default" w:ascii="宋体" w:hAnsi="宋体" w:eastAsia="宋体" w:cs="宋体"/>
                <w:kern w:val="2"/>
                <w:sz w:val="24"/>
                <w:szCs w:val="24"/>
                <w:highlight w:val="none"/>
                <w:lang w:val="en-US" w:eastAsia="zh-CN" w:bidi="ar-SA"/>
              </w:rPr>
              <w:t>所有货物</w:t>
            </w:r>
            <w:r>
              <w:rPr>
                <w:rFonts w:hint="eastAsia" w:ascii="宋体" w:hAnsi="宋体" w:eastAsia="宋体" w:cs="宋体"/>
                <w:kern w:val="2"/>
                <w:sz w:val="24"/>
                <w:szCs w:val="24"/>
                <w:highlight w:val="none"/>
                <w:lang w:val="en-US" w:eastAsia="zh-CN" w:bidi="ar-SA"/>
              </w:rPr>
              <w:t>、软件系统</w:t>
            </w:r>
            <w:r>
              <w:rPr>
                <w:rFonts w:hint="eastAsia" w:ascii="宋体" w:hAnsi="宋体" w:eastAsia="宋体" w:cs="宋体"/>
                <w:sz w:val="24"/>
                <w:szCs w:val="24"/>
                <w:highlight w:val="none"/>
                <w:lang w:val="en-US" w:eastAsia="zh-CN"/>
              </w:rPr>
              <w:t>的供货、安装及调试；产品规格、材质、品牌、质量及环保指标等符合采购文件、合同约定、投标承诺、国家规范标准，外观完好、结构稳固、使用功能正常；全套资料齐全完备且经采购人核实无误，无质量缺陷与遗留问题。</w:t>
            </w:r>
          </w:p>
          <w:p w14:paraId="4D8F3AA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.最终验收合格后，中标供应商向采购人提供</w:t>
            </w:r>
            <w:r>
              <w:rPr>
                <w:rFonts w:hint="default" w:ascii="宋体" w:hAnsi="宋体" w:eastAsia="宋体" w:cs="宋体"/>
                <w:kern w:val="2"/>
                <w:sz w:val="24"/>
                <w:szCs w:val="24"/>
                <w:highlight w:val="none"/>
                <w:lang w:val="en-US" w:eastAsia="zh-CN" w:bidi="ar-SA"/>
              </w:rPr>
              <w:t>货物</w:t>
            </w:r>
            <w:r>
              <w:rPr>
                <w:rFonts w:hint="eastAsia" w:ascii="宋体" w:hAnsi="宋体" w:eastAsia="宋体" w:cs="宋体"/>
                <w:kern w:val="2"/>
                <w:sz w:val="24"/>
                <w:szCs w:val="24"/>
                <w:highlight w:val="none"/>
                <w:lang w:val="en-US" w:eastAsia="zh-CN" w:bidi="ar-SA"/>
              </w:rPr>
              <w:t>、软件系统</w:t>
            </w:r>
            <w:r>
              <w:rPr>
                <w:rFonts w:hint="eastAsia" w:ascii="宋体" w:hAnsi="宋体" w:eastAsia="宋体" w:cs="宋体"/>
                <w:sz w:val="24"/>
                <w:szCs w:val="24"/>
                <w:highlight w:val="none"/>
                <w:lang w:val="en-US" w:eastAsia="zh-CN"/>
              </w:rPr>
              <w:t>的有效检验文件及供货清单，与合同的性能指标一起作为验收标准。采购人对</w:t>
            </w:r>
            <w:r>
              <w:rPr>
                <w:rFonts w:hint="default" w:ascii="宋体" w:hAnsi="宋体" w:eastAsia="宋体" w:cs="宋体"/>
                <w:kern w:val="2"/>
                <w:sz w:val="24"/>
                <w:szCs w:val="24"/>
                <w:highlight w:val="none"/>
                <w:lang w:val="en-US" w:eastAsia="zh-CN" w:bidi="ar-SA"/>
              </w:rPr>
              <w:t>货物</w:t>
            </w:r>
            <w:r>
              <w:rPr>
                <w:rFonts w:hint="eastAsia" w:ascii="宋体" w:hAnsi="宋体" w:eastAsia="宋体" w:cs="宋体"/>
                <w:kern w:val="2"/>
                <w:sz w:val="24"/>
                <w:szCs w:val="24"/>
                <w:highlight w:val="none"/>
                <w:lang w:val="en-US" w:eastAsia="zh-CN" w:bidi="ar-SA"/>
              </w:rPr>
              <w:t>、软件系统</w:t>
            </w:r>
            <w:r>
              <w:rPr>
                <w:rFonts w:hint="eastAsia" w:ascii="宋体" w:hAnsi="宋体" w:eastAsia="宋体" w:cs="宋体"/>
                <w:sz w:val="24"/>
                <w:szCs w:val="24"/>
                <w:highlight w:val="none"/>
                <w:lang w:val="en-US" w:eastAsia="zh-CN"/>
              </w:rPr>
              <w:t>最终验收合格后，双方共同签署验收合格证书。</w:t>
            </w:r>
          </w:p>
          <w:p w14:paraId="41466F8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snapToGrid w:val="0"/>
                <w:kern w:val="0"/>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b/>
                <w:bCs/>
                <w:sz w:val="24"/>
                <w:szCs w:val="24"/>
                <w:highlight w:val="none"/>
                <w:u w:val="single"/>
              </w:rPr>
              <w:t>▲</w:t>
            </w:r>
            <w:r>
              <w:rPr>
                <w:rFonts w:hint="eastAsia" w:ascii="宋体" w:hAnsi="宋体" w:cs="宋体"/>
                <w:b/>
                <w:bCs/>
                <w:color w:val="auto"/>
                <w:sz w:val="24"/>
                <w:szCs w:val="24"/>
                <w:highlight w:val="none"/>
                <w:u w:val="single"/>
                <w:lang w:val="en-US" w:eastAsia="zh-CN"/>
              </w:rPr>
              <w:t>采购人验收时，如相关货物或系统软件功能、参数等不符合采购文件要求或中标供应商投标承诺，采购人有权有权要求中标供应商将中标产品提交采购人所在地市级以上具有合法资质的检测、鉴定机构，对中标产品技术指标要求的功能进行逐项测试验证，测试所产生的相关费用由中标供应商先行支付，若中标产品未通过测试，视同中标供应商虚假应标，采购人有权单方面终止合同，中标供应商承担违约责任，并承担由此造成采购人的所有损失，且采购人</w:t>
            </w:r>
            <w:r>
              <w:rPr>
                <w:rFonts w:hint="eastAsia" w:ascii="宋体" w:hAnsi="宋体" w:eastAsia="宋体" w:cs="宋体"/>
                <w:b/>
                <w:bCs/>
                <w:color w:val="auto"/>
                <w:sz w:val="24"/>
                <w:szCs w:val="24"/>
                <w:highlight w:val="none"/>
                <w:u w:val="single"/>
                <w:lang w:val="en-US" w:eastAsia="zh-CN"/>
              </w:rPr>
              <w:t>将汇报监管部门。</w:t>
            </w:r>
          </w:p>
        </w:tc>
      </w:tr>
      <w:tr w14:paraId="6AB4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107AA25F">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6</w:t>
            </w:r>
          </w:p>
        </w:tc>
        <w:tc>
          <w:tcPr>
            <w:tcW w:w="1353" w:type="dxa"/>
            <w:vAlign w:val="center"/>
          </w:tcPr>
          <w:p w14:paraId="62D9904B">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sz w:val="24"/>
                <w:szCs w:val="24"/>
                <w:highlight w:val="none"/>
                <w:lang w:val="en-US" w:eastAsia="zh-CN"/>
              </w:rPr>
            </w:pPr>
            <w:bookmarkStart w:id="53" w:name="_Toc32198"/>
            <w:bookmarkStart w:id="54" w:name="_Toc29290"/>
            <w:bookmarkStart w:id="55" w:name="_Toc20884"/>
            <w:r>
              <w:rPr>
                <w:rFonts w:hint="eastAsia" w:ascii="宋体" w:hAnsi="宋体" w:eastAsia="宋体" w:cs="宋体"/>
                <w:sz w:val="24"/>
                <w:szCs w:val="24"/>
                <w:highlight w:val="none"/>
                <w:lang w:val="en-US" w:eastAsia="zh-CN"/>
              </w:rPr>
              <w:t>培训要求</w:t>
            </w:r>
            <w:bookmarkEnd w:id="53"/>
            <w:bookmarkEnd w:id="54"/>
            <w:bookmarkEnd w:id="55"/>
          </w:p>
        </w:tc>
        <w:tc>
          <w:tcPr>
            <w:tcW w:w="7725" w:type="dxa"/>
            <w:vAlign w:val="center"/>
          </w:tcPr>
          <w:p w14:paraId="1B2D897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中标供应商需要准备一份完整的培训计划，对采购人</w:t>
            </w:r>
            <w:r>
              <w:rPr>
                <w:rFonts w:hint="eastAsia" w:ascii="宋体" w:hAnsi="宋体" w:cs="宋体"/>
                <w:sz w:val="24"/>
                <w:szCs w:val="24"/>
                <w:highlight w:val="none"/>
                <w:lang w:val="en-US" w:eastAsia="zh-CN"/>
              </w:rPr>
              <w:t>相关货物、</w:t>
            </w:r>
            <w:r>
              <w:rPr>
                <w:rFonts w:hint="eastAsia" w:ascii="宋体" w:hAnsi="宋体" w:eastAsia="宋体" w:cs="宋体"/>
                <w:kern w:val="2"/>
                <w:sz w:val="24"/>
                <w:szCs w:val="24"/>
                <w:highlight w:val="none"/>
                <w:lang w:val="en-US" w:eastAsia="zh-CN" w:bidi="ar-SA"/>
              </w:rPr>
              <w:t>软件系统</w:t>
            </w:r>
            <w:r>
              <w:rPr>
                <w:rFonts w:hint="eastAsia" w:ascii="宋体" w:hAnsi="宋体" w:cs="宋体"/>
                <w:sz w:val="24"/>
                <w:szCs w:val="24"/>
                <w:highlight w:val="none"/>
                <w:lang w:val="en-US" w:eastAsia="zh-CN"/>
              </w:rPr>
              <w:t>使用人员</w:t>
            </w:r>
            <w:r>
              <w:rPr>
                <w:rFonts w:hint="eastAsia" w:ascii="宋体" w:hAnsi="宋体" w:eastAsia="宋体" w:cs="宋体"/>
                <w:sz w:val="24"/>
                <w:szCs w:val="24"/>
                <w:highlight w:val="none"/>
                <w:lang w:val="en-US" w:eastAsia="zh-CN"/>
              </w:rPr>
              <w:t>进行相关的培训，包括现场培训、集中培训、视频教程等多种方式</w:t>
            </w:r>
            <w:r>
              <w:rPr>
                <w:rFonts w:hint="eastAsia" w:ascii="宋体" w:hAnsi="宋体" w:cs="宋体"/>
                <w:sz w:val="24"/>
                <w:szCs w:val="24"/>
                <w:highlight w:val="none"/>
                <w:lang w:val="en-US" w:eastAsia="zh-CN"/>
              </w:rPr>
              <w:t>。采购人仅负责提供培训场地、培训电脑和培训人员的召集。培训环境的搭建、培训文档的准备、培训的实施、培训人员的考核等由中标供应商负责。</w:t>
            </w:r>
          </w:p>
        </w:tc>
      </w:tr>
      <w:tr w14:paraId="717C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03DB6089">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7</w:t>
            </w:r>
          </w:p>
        </w:tc>
        <w:tc>
          <w:tcPr>
            <w:tcW w:w="1353" w:type="dxa"/>
            <w:vAlign w:val="center"/>
          </w:tcPr>
          <w:p w14:paraId="177A1C39">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售后服务</w:t>
            </w:r>
          </w:p>
        </w:tc>
        <w:tc>
          <w:tcPr>
            <w:tcW w:w="7725" w:type="dxa"/>
            <w:vAlign w:val="center"/>
          </w:tcPr>
          <w:p w14:paraId="37B93FC0">
            <w:pPr>
              <w:keepNext w:val="0"/>
              <w:keepLines w:val="0"/>
              <w:pageBreakBefore w:val="0"/>
              <w:widowControl w:val="0"/>
              <w:kinsoku/>
              <w:wordWrap/>
              <w:overflowPunct/>
              <w:topLinePunct w:val="0"/>
              <w:autoSpaceDE w:val="0"/>
              <w:autoSpaceDN w:val="0"/>
              <w:bidi w:val="0"/>
              <w:adjustRightInd w:val="0"/>
              <w:snapToGrid w:val="0"/>
              <w:spacing w:line="500" w:lineRule="exact"/>
              <w:ind w:firstLine="241" w:firstLineChars="100"/>
              <w:textAlignment w:val="bottom"/>
              <w:rPr>
                <w:rFonts w:hint="eastAsia"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u w:val="single"/>
                <w:lang w:val="en-US" w:eastAsia="zh-CN"/>
              </w:rPr>
              <w:t>1.</w:t>
            </w:r>
            <w:r>
              <w:rPr>
                <w:rFonts w:hint="eastAsia" w:ascii="宋体" w:hAnsi="宋体" w:eastAsia="宋体" w:cs="宋体"/>
                <w:b/>
                <w:bCs/>
                <w:sz w:val="24"/>
                <w:szCs w:val="24"/>
                <w:highlight w:val="none"/>
                <w:u w:val="single"/>
              </w:rPr>
              <w:t>▲</w:t>
            </w:r>
            <w:r>
              <w:rPr>
                <w:rFonts w:hint="eastAsia" w:ascii="宋体" w:hAnsi="宋体" w:cs="宋体"/>
                <w:b/>
                <w:bCs/>
                <w:sz w:val="24"/>
                <w:szCs w:val="24"/>
                <w:highlight w:val="none"/>
                <w:u w:val="single"/>
                <w:lang w:val="en-US" w:eastAsia="zh-CN"/>
              </w:rPr>
              <w:t>运维服务期</w:t>
            </w:r>
            <w:r>
              <w:rPr>
                <w:rFonts w:hint="eastAsia" w:ascii="宋体" w:hAnsi="宋体" w:eastAsia="宋体" w:cs="宋体"/>
                <w:b/>
                <w:bCs/>
                <w:sz w:val="24"/>
                <w:szCs w:val="24"/>
                <w:highlight w:val="none"/>
                <w:u w:val="single"/>
                <w:lang w:val="en-US" w:eastAsia="zh-CN"/>
              </w:rPr>
              <w:t>不少于3年，自采购人最终验收合格之日起计算</w:t>
            </w:r>
            <w:r>
              <w:rPr>
                <w:rFonts w:hint="eastAsia" w:ascii="宋体" w:hAnsi="宋体" w:cs="宋体"/>
                <w:b/>
                <w:bCs w:val="0"/>
                <w:color w:val="auto"/>
                <w:sz w:val="24"/>
                <w:szCs w:val="24"/>
                <w:highlight w:val="none"/>
                <w:u w:val="single"/>
                <w:lang w:val="en-US" w:eastAsia="zh-CN"/>
              </w:rPr>
              <w:t>。</w:t>
            </w:r>
          </w:p>
          <w:p w14:paraId="1A363394">
            <w:pPr>
              <w:keepNext w:val="0"/>
              <w:keepLines w:val="0"/>
              <w:pageBreakBefore w:val="0"/>
              <w:widowControl w:val="0"/>
              <w:kinsoku/>
              <w:wordWrap/>
              <w:overflowPunct/>
              <w:topLinePunct w:val="0"/>
              <w:autoSpaceDE w:val="0"/>
              <w:autoSpaceDN w:val="0"/>
              <w:bidi w:val="0"/>
              <w:adjustRightInd w:val="0"/>
              <w:snapToGrid w:val="0"/>
              <w:spacing w:line="500" w:lineRule="exact"/>
              <w:ind w:firstLine="240" w:firstLineChars="100"/>
              <w:textAlignment w:val="bottom"/>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2.在</w:t>
            </w:r>
            <w:r>
              <w:rPr>
                <w:rFonts w:hint="eastAsia" w:ascii="宋体" w:hAnsi="宋体" w:cs="宋体"/>
                <w:color w:val="auto"/>
                <w:sz w:val="24"/>
                <w:szCs w:val="24"/>
                <w:highlight w:val="none"/>
                <w:lang w:val="en-US" w:eastAsia="zh-CN"/>
              </w:rPr>
              <w:t>运维服务期内</w:t>
            </w:r>
            <w:r>
              <w:rPr>
                <w:rFonts w:hint="eastAsia" w:ascii="宋体" w:hAnsi="宋体" w:eastAsia="宋体" w:cs="宋体"/>
                <w:color w:val="auto"/>
                <w:sz w:val="24"/>
                <w:szCs w:val="24"/>
                <w:highlight w:val="none"/>
                <w:lang w:val="en-US" w:eastAsia="zh-CN"/>
              </w:rPr>
              <w:t>，供应商需提供7*24小时响应服务，在接到</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维修要求后应立即作出回应，当</w:t>
            </w:r>
            <w:r>
              <w:rPr>
                <w:rFonts w:hint="eastAsia" w:ascii="宋体" w:hAnsi="宋体" w:cs="宋体"/>
                <w:sz w:val="24"/>
                <w:szCs w:val="24"/>
                <w:highlight w:val="none"/>
                <w:lang w:val="en-US" w:eastAsia="zh-CN"/>
              </w:rPr>
              <w:t>货物、</w:t>
            </w:r>
            <w:r>
              <w:rPr>
                <w:rFonts w:hint="eastAsia" w:ascii="宋体" w:hAnsi="宋体" w:eastAsia="宋体" w:cs="宋体"/>
                <w:kern w:val="2"/>
                <w:sz w:val="24"/>
                <w:szCs w:val="24"/>
                <w:highlight w:val="none"/>
                <w:lang w:val="en-US" w:eastAsia="zh-CN" w:bidi="ar-SA"/>
              </w:rPr>
              <w:t>软件系统</w:t>
            </w:r>
            <w:r>
              <w:rPr>
                <w:rFonts w:hint="eastAsia" w:ascii="宋体" w:hAnsi="宋体" w:eastAsia="宋体" w:cs="宋体"/>
                <w:color w:val="auto"/>
                <w:sz w:val="24"/>
                <w:szCs w:val="24"/>
                <w:highlight w:val="none"/>
                <w:lang w:val="en-US" w:eastAsia="zh-CN"/>
              </w:rPr>
              <w:t>出现故障时，中标供应商应</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在30分钟内响应并提出解决方案，2小时之内到现场对故障进行处理，若短时间内无法修复的，应及时提供相应的备用</w:t>
            </w:r>
            <w:r>
              <w:rPr>
                <w:rFonts w:hint="eastAsia" w:ascii="宋体" w:hAnsi="宋体" w:cs="宋体"/>
                <w:sz w:val="24"/>
                <w:szCs w:val="24"/>
                <w:highlight w:val="none"/>
                <w:lang w:val="en-US" w:eastAsia="zh-CN"/>
              </w:rPr>
              <w:t>货物、</w:t>
            </w:r>
            <w:r>
              <w:rPr>
                <w:rFonts w:hint="eastAsia" w:ascii="宋体" w:hAnsi="宋体" w:eastAsia="宋体" w:cs="宋体"/>
                <w:kern w:val="2"/>
                <w:sz w:val="24"/>
                <w:szCs w:val="24"/>
                <w:highlight w:val="none"/>
                <w:lang w:val="en-US" w:eastAsia="zh-CN" w:bidi="ar-SA"/>
              </w:rPr>
              <w:t>软件系统</w:t>
            </w:r>
            <w:r>
              <w:rPr>
                <w:rFonts w:hint="eastAsia" w:ascii="宋体" w:hAnsi="宋体" w:eastAsia="宋体" w:cs="宋体"/>
                <w:color w:val="auto"/>
                <w:sz w:val="24"/>
                <w:szCs w:val="24"/>
                <w:highlight w:val="none"/>
                <w:lang w:val="en-US" w:eastAsia="zh-CN"/>
              </w:rPr>
              <w:t>并负责安装调试。</w:t>
            </w:r>
            <w:r>
              <w:rPr>
                <w:rFonts w:hint="eastAsia" w:ascii="宋体" w:hAnsi="宋体" w:cs="宋体"/>
                <w:color w:val="auto"/>
                <w:sz w:val="24"/>
                <w:szCs w:val="24"/>
                <w:highlight w:val="none"/>
                <w:lang w:val="en-US" w:eastAsia="zh-CN"/>
              </w:rPr>
              <w:t>若中标供应商拒不检修、换新或经检修后仍不符合要求的，采购人有权自行委托其他第三方进行检修或换新，相应费用由中标供应商承担。</w:t>
            </w:r>
          </w:p>
        </w:tc>
      </w:tr>
      <w:tr w14:paraId="051B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0446F3F9">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p>
        </w:tc>
        <w:tc>
          <w:tcPr>
            <w:tcW w:w="1353" w:type="dxa"/>
            <w:vAlign w:val="center"/>
          </w:tcPr>
          <w:p w14:paraId="722A9063">
            <w:pPr>
              <w:keepNext w:val="0"/>
              <w:keepLines w:val="0"/>
              <w:pageBreakBefore w:val="0"/>
              <w:widowControl w:val="0"/>
              <w:kinsoku/>
              <w:wordWrap/>
              <w:overflowPunct/>
              <w:topLinePunct w:val="0"/>
              <w:bidi w:val="0"/>
              <w:snapToGrid w:val="0"/>
              <w:spacing w:line="500" w:lineRule="exact"/>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系统数据及内部资料保密服务要求</w:t>
            </w:r>
          </w:p>
        </w:tc>
        <w:tc>
          <w:tcPr>
            <w:tcW w:w="7725" w:type="dxa"/>
            <w:vAlign w:val="center"/>
          </w:tcPr>
          <w:p w14:paraId="153D4CFF">
            <w:pPr>
              <w:keepNext w:val="0"/>
              <w:keepLines w:val="0"/>
              <w:pageBreakBefore w:val="0"/>
              <w:widowControl w:val="0"/>
              <w:kinsoku/>
              <w:wordWrap/>
              <w:overflowPunct/>
              <w:topLinePunct w:val="0"/>
              <w:autoSpaceDE w:val="0"/>
              <w:autoSpaceDN w:val="0"/>
              <w:bidi w:val="0"/>
              <w:adjustRightInd w:val="0"/>
              <w:snapToGrid w:val="0"/>
              <w:spacing w:line="500" w:lineRule="exact"/>
              <w:ind w:firstLine="240" w:firstLineChars="1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供应商须对项目实施、运行及维护期间接触、存储、处理的系统所有数据、内部资料承担严格保密责任，未经采购方书面许可，不得泄露、复制、传播、转让或用于本项目以外用途，项目终止后按要求移交全部资料并销毁相关备份，因泄密造成的损失由供应商全额承担。</w:t>
            </w:r>
          </w:p>
        </w:tc>
      </w:tr>
      <w:tr w14:paraId="5A25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66717A62">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9</w:t>
            </w:r>
          </w:p>
        </w:tc>
        <w:tc>
          <w:tcPr>
            <w:tcW w:w="1353" w:type="dxa"/>
            <w:vAlign w:val="center"/>
          </w:tcPr>
          <w:p w14:paraId="6E485240">
            <w:pPr>
              <w:keepNext w:val="0"/>
              <w:keepLines w:val="0"/>
              <w:pageBreakBefore w:val="0"/>
              <w:widowControl w:val="0"/>
              <w:kinsoku/>
              <w:wordWrap/>
              <w:overflowPunct/>
              <w:topLinePunct w:val="0"/>
              <w:bidi w:val="0"/>
              <w:snapToGrid w:val="0"/>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u w:val="none"/>
                <w:lang w:val="en-US" w:eastAsia="zh-CN"/>
              </w:rPr>
              <w:t>▲</w:t>
            </w:r>
            <w:r>
              <w:rPr>
                <w:rFonts w:hint="eastAsia" w:ascii="宋体" w:hAnsi="宋体" w:cs="宋体"/>
                <w:sz w:val="24"/>
                <w:szCs w:val="24"/>
                <w:highlight w:val="none"/>
                <w:u w:val="single"/>
                <w:lang w:val="en-US" w:eastAsia="zh-CN"/>
              </w:rPr>
              <w:t>相关数据服务</w:t>
            </w:r>
            <w:r>
              <w:rPr>
                <w:rFonts w:hint="eastAsia" w:ascii="宋体" w:hAnsi="宋体" w:cs="宋体"/>
                <w:b/>
                <w:bCs/>
                <w:sz w:val="24"/>
                <w:szCs w:val="24"/>
                <w:highlight w:val="none"/>
                <w:u w:val="single"/>
                <w:lang w:val="en-US" w:eastAsia="zh-CN"/>
              </w:rPr>
              <w:t>（费用包含在投标总价中，采购人不再另行支付）</w:t>
            </w:r>
          </w:p>
        </w:tc>
        <w:tc>
          <w:tcPr>
            <w:tcW w:w="7725" w:type="dxa"/>
            <w:vAlign w:val="center"/>
          </w:tcPr>
          <w:p w14:paraId="69A1296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（一）、数据资产梳理服务</w:t>
            </w:r>
          </w:p>
          <w:p w14:paraId="2F3E893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1.服务期限、频次：三年，2次/年，首年全量，后续每年2次对增量数量进行梳理。</w:t>
            </w:r>
          </w:p>
          <w:p w14:paraId="5C2B0AD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2.覆盖范围：衢江区卫生健康局、衢州市第二人民医院、衢江区中医院、衢江区妇幼保健院、两家医共体分院</w:t>
            </w:r>
          </w:p>
          <w:p w14:paraId="57A6236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3.服务内容：数据分类分级系统接口配置与资产同步、已发现数据库资产的过滤和校验、新增数据库资产的实时校验与同步、数据库资产全面管理与可视化展示。</w:t>
            </w:r>
          </w:p>
          <w:p w14:paraId="0E08DDF1">
            <w:pPr>
              <w:pStyle w:val="2"/>
              <w:pageBreakBefore w:val="0"/>
              <w:numPr>
                <w:ilvl w:val="3"/>
                <w:numId w:val="0"/>
              </w:numPr>
              <w:kinsoku/>
              <w:wordWrap/>
              <w:overflowPunct/>
              <w:topLinePunct w:val="0"/>
              <w:autoSpaceDE/>
              <w:autoSpaceDN/>
              <w:bidi w:val="0"/>
              <w:adjustRightInd/>
              <w:snapToGrid/>
              <w:spacing w:before="0" w:beforeLines="0" w:after="0" w:afterLines="0" w:line="500" w:lineRule="exact"/>
              <w:ind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（二）、数据安全风险评估服务</w:t>
            </w:r>
          </w:p>
          <w:p w14:paraId="34BFA61D">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1.服务期限、频次：三年，2次/年。</w:t>
            </w:r>
          </w:p>
          <w:p w14:paraId="7E00AEAB">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2.覆盖范围：衢江区卫生健康局、衢州市第二人民医院、衢江区中医院、衢江区妇幼保健院、两家医共体分院</w:t>
            </w:r>
          </w:p>
          <w:p w14:paraId="0B576864">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服务内容：从单位、管理、技术、运行等维度，采集数据库、操作系统、各种安全设备的日志数据，输入风险分析模型，结合当前安全防护措施对医院整体数据安全风险进行评估，找出弱点和风险点，进行重点防御；通过全面测绘数据资产、识别敏感数据、检测数据库漏洞、监测网络流量、漏洞挖掘等服务，帮助发现潜在的安全风险，从而及时采取加固措施，降低数据泄露和攻击的风险。</w:t>
            </w:r>
          </w:p>
          <w:p w14:paraId="3041A7B5">
            <w:pPr>
              <w:pStyle w:val="2"/>
              <w:pageBreakBefore w:val="0"/>
              <w:numPr>
                <w:ilvl w:val="3"/>
                <w:numId w:val="0"/>
              </w:numPr>
              <w:kinsoku/>
              <w:wordWrap/>
              <w:overflowPunct/>
              <w:topLinePunct w:val="0"/>
              <w:autoSpaceDE/>
              <w:autoSpaceDN/>
              <w:bidi w:val="0"/>
              <w:adjustRightInd/>
              <w:snapToGrid/>
              <w:spacing w:before="0" w:beforeLines="0" w:after="0" w:afterLines="0" w:line="500" w:lineRule="exact"/>
              <w:ind w:leftChars="0" w:firstLine="480" w:firstLineChars="200"/>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kern w:val="0"/>
                <w:sz w:val="24"/>
                <w:szCs w:val="24"/>
                <w:highlight w:val="none"/>
                <w:lang w:val="en-US" w:eastAsia="zh-CN" w:bidi="ar-SA"/>
              </w:rPr>
              <w:t>数据安全测评审查支撑服务</w:t>
            </w:r>
          </w:p>
          <w:p w14:paraId="6A8E7250">
            <w:pPr>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1.服务期限、频次：三年，按需不限次数</w:t>
            </w:r>
          </w:p>
          <w:p w14:paraId="62BAE652">
            <w:pPr>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2.覆盖范围：衢江区卫生健康局、衢州市第二人民医院、衢江</w:t>
            </w:r>
            <w:r>
              <w:rPr>
                <w:rFonts w:hint="eastAsia" w:ascii="宋体" w:hAnsi="宋体" w:eastAsia="宋体" w:cs="宋体"/>
                <w:b w:val="0"/>
                <w:bCs w:val="0"/>
                <w:color w:val="auto"/>
                <w:kern w:val="0"/>
                <w:sz w:val="24"/>
                <w:szCs w:val="24"/>
                <w:highlight w:val="none"/>
                <w:lang w:val="en-US" w:eastAsia="zh-CN" w:bidi="ar-SA"/>
              </w:rPr>
              <w:t>区中医院、衢江区妇幼保健院、两家医共体分院</w:t>
            </w:r>
          </w:p>
          <w:p w14:paraId="1000AD62">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服务内容：在医院迎接上级对其数据安全的通过性审查时，提供全面技术支撑，将测评对应项进行罗列整理，准备审查所需的文档资料，包括但不限于数据安全管理政策、操作流程、技术防护措施等，确保材料齐全、规范，符合审查要求。</w:t>
            </w:r>
          </w:p>
          <w:p w14:paraId="5668AA20">
            <w:pPr>
              <w:pStyle w:val="2"/>
              <w:pageBreakBefore w:val="0"/>
              <w:numPr>
                <w:ilvl w:val="3"/>
                <w:numId w:val="0"/>
              </w:numPr>
              <w:kinsoku/>
              <w:wordWrap/>
              <w:overflowPunct/>
              <w:topLinePunct w:val="0"/>
              <w:autoSpaceDE/>
              <w:autoSpaceDN/>
              <w:bidi w:val="0"/>
              <w:adjustRightInd/>
              <w:snapToGrid/>
              <w:spacing w:before="0" w:beforeLines="0" w:after="0" w:afterLines="0" w:line="500" w:lineRule="exact"/>
              <w:ind w:leftChars="0" w:firstLine="480" w:firstLineChars="200"/>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kern w:val="0"/>
                <w:sz w:val="24"/>
                <w:szCs w:val="24"/>
                <w:highlight w:val="none"/>
                <w:lang w:val="en-US" w:eastAsia="zh-CN" w:bidi="ar-SA"/>
              </w:rPr>
              <w:t>数据安全应急响应服务</w:t>
            </w:r>
          </w:p>
          <w:p w14:paraId="6B74F86B">
            <w:pPr>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1.服务期限、频次：三年，按需不限次数</w:t>
            </w:r>
          </w:p>
          <w:p w14:paraId="6255CD3A">
            <w:pPr>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2.覆盖范围：衢江区卫生健康局、衢州市第二人民医院、衢</w:t>
            </w:r>
            <w:r>
              <w:rPr>
                <w:rFonts w:hint="eastAsia" w:ascii="宋体" w:hAnsi="宋体" w:eastAsia="宋体" w:cs="宋体"/>
                <w:b w:val="0"/>
                <w:bCs w:val="0"/>
                <w:color w:val="auto"/>
                <w:kern w:val="0"/>
                <w:sz w:val="24"/>
                <w:szCs w:val="24"/>
                <w:highlight w:val="none"/>
                <w:lang w:val="en-US" w:eastAsia="zh-CN" w:bidi="ar-SA"/>
              </w:rPr>
              <w:t>江区中医院、衢江区妇幼保健院、两家医共体分院</w:t>
            </w:r>
          </w:p>
          <w:p w14:paraId="67FA7260">
            <w:pPr>
              <w:pageBreakBefore w:val="0"/>
              <w:kinsoku/>
              <w:wordWrap/>
              <w:overflowPunct/>
              <w:topLinePunct w:val="0"/>
              <w:autoSpaceDE/>
              <w:autoSpaceDN/>
              <w:bidi w:val="0"/>
              <w:adjustRightInd/>
              <w:snapToGrid/>
              <w:spacing w:line="500" w:lineRule="exact"/>
              <w:ind w:firstLine="480" w:firstLineChars="200"/>
              <w:textAlignment w:val="auto"/>
              <w:rPr>
                <w:rFonts w:hint="eastAsia"/>
                <w:highlight w:val="none"/>
                <w:lang w:val="en-US" w:eastAsia="zh-CN"/>
              </w:rPr>
            </w:pPr>
            <w:r>
              <w:rPr>
                <w:rFonts w:hint="eastAsia" w:ascii="宋体" w:hAnsi="宋体" w:eastAsia="宋体" w:cs="宋体"/>
                <w:b w:val="0"/>
                <w:bCs w:val="0"/>
                <w:kern w:val="0"/>
                <w:sz w:val="24"/>
                <w:szCs w:val="24"/>
                <w:highlight w:val="none"/>
                <w:lang w:val="en-US" w:eastAsia="zh-CN" w:bidi="ar-SA"/>
              </w:rPr>
              <w:t>3.服务内容：当发生数据篡改、泄露、滥用等突发网络及数据安全事件时，提供包括事件检测与分析、风险抑制、问题根除、协助恢复的服务，能够协助用户快速止损，最大化降低事件带来的影响</w:t>
            </w:r>
          </w:p>
        </w:tc>
      </w:tr>
      <w:tr w14:paraId="4A23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dxa"/>
            <w:vAlign w:val="center"/>
          </w:tcPr>
          <w:p w14:paraId="481D720C">
            <w:pPr>
              <w:keepNext w:val="0"/>
              <w:keepLines w:val="0"/>
              <w:pageBreakBefore w:val="0"/>
              <w:widowControl w:val="0"/>
              <w:numPr>
                <w:ilvl w:val="0"/>
                <w:numId w:val="0"/>
              </w:numPr>
              <w:kinsoku/>
              <w:wordWrap/>
              <w:overflowPunct/>
              <w:topLinePunct w:val="0"/>
              <w:bidi w:val="0"/>
              <w:adjustRightInd/>
              <w:snapToGrid w:val="0"/>
              <w:spacing w:line="500" w:lineRule="exact"/>
              <w:ind w:left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353" w:type="dxa"/>
            <w:vAlign w:val="center"/>
          </w:tcPr>
          <w:p w14:paraId="021FEE57">
            <w:pPr>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其他内容</w:t>
            </w:r>
          </w:p>
        </w:tc>
        <w:tc>
          <w:tcPr>
            <w:tcW w:w="7725" w:type="dxa"/>
            <w:vAlign w:val="center"/>
          </w:tcPr>
          <w:p w14:paraId="6EC5E117">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第四章 合同主要条款</w:t>
            </w:r>
            <w:r>
              <w:rPr>
                <w:rFonts w:hint="eastAsia" w:ascii="宋体" w:hAnsi="宋体" w:eastAsia="宋体" w:cs="宋体"/>
                <w:sz w:val="24"/>
                <w:szCs w:val="24"/>
                <w:highlight w:val="none"/>
              </w:rPr>
              <w:t>”。</w:t>
            </w:r>
          </w:p>
        </w:tc>
      </w:tr>
    </w:tbl>
    <w:p w14:paraId="53885A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sz w:val="24"/>
          <w:szCs w:val="24"/>
          <w:highlight w:val="none"/>
          <w:u w:val="none"/>
          <w:lang w:val="en-US" w:eastAsia="zh-CN"/>
        </w:rPr>
        <w:t>五</w:t>
      </w: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b/>
          <w:bCs/>
          <w:color w:val="auto"/>
          <w:sz w:val="24"/>
          <w:szCs w:val="24"/>
          <w:highlight w:val="none"/>
        </w:rPr>
        <w:t>商务要求</w:t>
      </w:r>
      <w:r>
        <w:rPr>
          <w:rFonts w:hint="eastAsia" w:ascii="宋体" w:hAnsi="宋体" w:eastAsia="宋体" w:cs="宋体"/>
          <w:b/>
          <w:bCs/>
          <w:color w:val="auto"/>
          <w:kern w:val="0"/>
          <w:sz w:val="24"/>
          <w:szCs w:val="24"/>
          <w:highlight w:val="none"/>
          <w:lang w:val="en-US" w:eastAsia="zh-CN" w:bidi="ar"/>
        </w:rPr>
        <w:t xml:space="preserve">： </w:t>
      </w:r>
    </w:p>
    <w:p w14:paraId="2633C763">
      <w:pPr>
        <w:pStyle w:val="13"/>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sz w:val="24"/>
          <w:szCs w:val="24"/>
          <w:highlight w:val="none"/>
          <w:lang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kern w:val="0"/>
          <w:sz w:val="24"/>
          <w:szCs w:val="24"/>
          <w:highlight w:val="none"/>
        </w:rPr>
        <w:t>履约保证金：</w:t>
      </w:r>
      <w:r>
        <w:rPr>
          <w:rFonts w:hint="eastAsia" w:hAnsi="宋体" w:cs="宋体"/>
          <w:color w:val="auto"/>
          <w:kern w:val="2"/>
          <w:sz w:val="24"/>
          <w:szCs w:val="24"/>
          <w:highlight w:val="none"/>
          <w:lang w:val="en-US" w:eastAsia="zh-CN"/>
        </w:rPr>
        <w:t>本项目无需履约保证金</w:t>
      </w:r>
      <w:r>
        <w:rPr>
          <w:rFonts w:hint="default" w:ascii="宋体" w:hAnsi="宋体" w:eastAsia="宋体" w:cs="宋体"/>
          <w:color w:val="auto"/>
          <w:kern w:val="2"/>
          <w:sz w:val="24"/>
          <w:szCs w:val="24"/>
          <w:highlight w:val="none"/>
          <w:lang w:val="en-US" w:eastAsia="zh-CN"/>
        </w:rPr>
        <w:t>。</w:t>
      </w:r>
    </w:p>
    <w:p w14:paraId="3962A02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sz w:val="24"/>
          <w:szCs w:val="24"/>
          <w:highlight w:val="none"/>
        </w:rPr>
        <w:t>合同履行期限：</w:t>
      </w:r>
    </w:p>
    <w:p w14:paraId="3CA46D0D">
      <w:pPr>
        <w:keepNext w:val="0"/>
        <w:keepLines w:val="0"/>
        <w:pageBreakBefore w:val="0"/>
        <w:widowControl w:val="0"/>
        <w:numPr>
          <w:ilvl w:val="0"/>
          <w:numId w:val="0"/>
        </w:numPr>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b/>
          <w:bCs/>
          <w:sz w:val="24"/>
          <w:szCs w:val="24"/>
          <w:highlight w:val="none"/>
          <w:lang w:val="en-US"/>
        </w:rPr>
      </w:pPr>
      <w:r>
        <w:rPr>
          <w:rFonts w:hint="eastAsia" w:ascii="宋体" w:hAnsi="宋体" w:cs="宋体"/>
          <w:b w:val="0"/>
          <w:bCs/>
          <w:color w:val="auto"/>
          <w:sz w:val="24"/>
          <w:szCs w:val="24"/>
          <w:highlight w:val="none"/>
          <w:lang w:val="en-US" w:eastAsia="zh-CN"/>
        </w:rPr>
        <w:t>合同签订生效之日起60日历天内完成采购需求范围内所有货物及软件系统</w:t>
      </w:r>
      <w:r>
        <w:rPr>
          <w:rFonts w:hint="eastAsia" w:ascii="宋体" w:hAnsi="宋体" w:eastAsia="宋体" w:cs="宋体"/>
          <w:b w:val="0"/>
          <w:bCs/>
          <w:color w:val="auto"/>
          <w:sz w:val="24"/>
          <w:szCs w:val="24"/>
          <w:highlight w:val="none"/>
        </w:rPr>
        <w:t>的采购（或生产</w:t>
      </w:r>
      <w:r>
        <w:rPr>
          <w:rFonts w:hint="eastAsia" w:ascii="宋体" w:hAnsi="宋体" w:cs="宋体"/>
          <w:b w:val="0"/>
          <w:bCs/>
          <w:color w:val="auto"/>
          <w:sz w:val="24"/>
          <w:szCs w:val="24"/>
          <w:highlight w:val="none"/>
          <w:lang w:val="en-US" w:eastAsia="zh-CN"/>
        </w:rPr>
        <w:t>制造</w:t>
      </w:r>
      <w:r>
        <w:rPr>
          <w:rFonts w:hint="eastAsia" w:ascii="宋体" w:hAnsi="宋体" w:eastAsia="宋体" w:cs="宋体"/>
          <w:b w:val="0"/>
          <w:bCs/>
          <w:color w:val="auto"/>
          <w:sz w:val="24"/>
          <w:szCs w:val="24"/>
          <w:highlight w:val="none"/>
        </w:rPr>
        <w:t>）、包装、运输、到货、安装</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集成、调试，</w:t>
      </w:r>
      <w:r>
        <w:rPr>
          <w:rFonts w:hint="eastAsia" w:ascii="宋体" w:hAnsi="宋体" w:cs="宋体"/>
          <w:b w:val="0"/>
          <w:bCs/>
          <w:color w:val="auto"/>
          <w:sz w:val="24"/>
          <w:szCs w:val="24"/>
          <w:highlight w:val="none"/>
          <w:lang w:val="en-US" w:eastAsia="zh-CN"/>
        </w:rPr>
        <w:t>并提交采购人初步验收，试运行不少于3个月，运维服务期不少于3年，自采购人最终验收合格之日起计算</w:t>
      </w:r>
      <w:r>
        <w:rPr>
          <w:rFonts w:hint="eastAsia" w:ascii="宋体" w:hAnsi="宋体" w:eastAsia="宋体" w:cs="宋体"/>
          <w:sz w:val="24"/>
          <w:szCs w:val="24"/>
          <w:highlight w:val="none"/>
          <w:lang w:val="en-US" w:eastAsia="zh-CN"/>
        </w:rPr>
        <w:t>。</w:t>
      </w:r>
    </w:p>
    <w:p w14:paraId="06C5F393">
      <w:pPr>
        <w:keepNext w:val="0"/>
        <w:keepLines w:val="0"/>
        <w:pageBreakBefore w:val="0"/>
        <w:widowControl w:val="0"/>
        <w:kinsoku/>
        <w:wordWrap/>
        <w:overflowPunct/>
        <w:topLinePunct w:val="0"/>
        <w:autoSpaceDE/>
        <w:autoSpaceDN/>
        <w:bidi w:val="0"/>
        <w:adjustRightIn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付款方式：</w:t>
      </w:r>
    </w:p>
    <w:p w14:paraId="40FF0D50">
      <w:pPr>
        <w:pStyle w:val="13"/>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（1）合同签订后，支付</w:t>
      </w:r>
      <w:r>
        <w:rPr>
          <w:rFonts w:hint="eastAsia" w:hAnsi="宋体" w:cs="宋体"/>
          <w:bCs/>
          <w:color w:val="auto"/>
          <w:kern w:val="2"/>
          <w:sz w:val="24"/>
          <w:szCs w:val="24"/>
          <w:highlight w:val="none"/>
          <w:lang w:val="en-US" w:eastAsia="zh-CN" w:bidi="ar-SA"/>
        </w:rPr>
        <w:t>中标价（签约合同价）的</w:t>
      </w:r>
      <w:r>
        <w:rPr>
          <w:rFonts w:hint="eastAsia" w:ascii="宋体" w:hAnsi="宋体" w:eastAsia="宋体" w:cs="宋体"/>
          <w:bCs/>
          <w:color w:val="auto"/>
          <w:kern w:val="2"/>
          <w:sz w:val="24"/>
          <w:szCs w:val="24"/>
          <w:highlight w:val="none"/>
          <w:lang w:val="en-US" w:eastAsia="zh-CN" w:bidi="ar-SA"/>
        </w:rPr>
        <w:t>40%作为预付款；</w:t>
      </w:r>
    </w:p>
    <w:p w14:paraId="07385D14">
      <w:pPr>
        <w:pStyle w:val="13"/>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hint="eastAsia" w:hAnsi="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r>
        <w:rPr>
          <w:rFonts w:hint="eastAsia" w:hAnsi="宋体" w:cs="宋体"/>
          <w:bCs/>
          <w:color w:val="auto"/>
          <w:kern w:val="2"/>
          <w:sz w:val="24"/>
          <w:szCs w:val="24"/>
          <w:highlight w:val="none"/>
          <w:lang w:val="en-US" w:eastAsia="zh-CN" w:bidi="ar-SA"/>
        </w:rPr>
        <w:t>中标供应商</w:t>
      </w:r>
      <w:r>
        <w:rPr>
          <w:rFonts w:hint="eastAsia" w:ascii="宋体" w:hAnsi="宋体" w:eastAsia="宋体" w:cs="宋体"/>
          <w:bCs/>
          <w:color w:val="auto"/>
          <w:kern w:val="2"/>
          <w:sz w:val="24"/>
          <w:szCs w:val="24"/>
          <w:highlight w:val="none"/>
          <w:lang w:val="en-US" w:eastAsia="zh-CN" w:bidi="ar-SA"/>
        </w:rPr>
        <w:t>所有设备到货并按照要求上架安装、调试实施完成后进行初验，初验通过后支付</w:t>
      </w:r>
      <w:r>
        <w:rPr>
          <w:rFonts w:hint="eastAsia" w:hAnsi="宋体" w:cs="宋体"/>
          <w:bCs/>
          <w:color w:val="auto"/>
          <w:kern w:val="2"/>
          <w:sz w:val="24"/>
          <w:szCs w:val="24"/>
          <w:highlight w:val="none"/>
          <w:lang w:val="en-US" w:eastAsia="zh-CN" w:bidi="ar-SA"/>
        </w:rPr>
        <w:t>至实际结算价的70</w:t>
      </w:r>
      <w:r>
        <w:rPr>
          <w:rFonts w:hint="eastAsia" w:ascii="宋体" w:hAnsi="宋体" w:eastAsia="宋体" w:cs="宋体"/>
          <w:bCs/>
          <w:color w:val="auto"/>
          <w:kern w:val="2"/>
          <w:sz w:val="24"/>
          <w:szCs w:val="24"/>
          <w:highlight w:val="none"/>
          <w:lang w:val="en-US" w:eastAsia="zh-CN" w:bidi="ar-SA"/>
        </w:rPr>
        <w:t>%</w:t>
      </w:r>
      <w:r>
        <w:rPr>
          <w:rFonts w:hint="eastAsia" w:hAnsi="宋体" w:cs="宋体"/>
          <w:bCs/>
          <w:color w:val="auto"/>
          <w:kern w:val="2"/>
          <w:sz w:val="24"/>
          <w:szCs w:val="24"/>
          <w:highlight w:val="none"/>
          <w:lang w:val="en-US" w:eastAsia="zh-CN" w:bidi="ar-SA"/>
        </w:rPr>
        <w:t>；</w:t>
      </w:r>
    </w:p>
    <w:p w14:paraId="4526F876">
      <w:pPr>
        <w:pStyle w:val="13"/>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（3）所有设备进行不少于三个月的试运行，运行期间保障所有设备稳定运行并满足终验条件，方可发起终验，通过终验后支付</w:t>
      </w:r>
      <w:r>
        <w:rPr>
          <w:rFonts w:hint="eastAsia" w:hAnsi="宋体" w:cs="宋体"/>
          <w:bCs/>
          <w:color w:val="auto"/>
          <w:kern w:val="2"/>
          <w:sz w:val="24"/>
          <w:szCs w:val="24"/>
          <w:highlight w:val="none"/>
          <w:lang w:val="en-US" w:eastAsia="zh-CN" w:bidi="ar-SA"/>
        </w:rPr>
        <w:t>至实际结算价的95</w:t>
      </w:r>
      <w:r>
        <w:rPr>
          <w:rFonts w:hint="eastAsia" w:ascii="宋体" w:hAnsi="宋体" w:eastAsia="宋体" w:cs="宋体"/>
          <w:bCs/>
          <w:color w:val="auto"/>
          <w:kern w:val="2"/>
          <w:sz w:val="24"/>
          <w:szCs w:val="24"/>
          <w:highlight w:val="none"/>
          <w:lang w:val="en-US" w:eastAsia="zh-CN" w:bidi="ar-SA"/>
        </w:rPr>
        <w:t>%；</w:t>
      </w:r>
    </w:p>
    <w:p w14:paraId="1C02AECA">
      <w:pPr>
        <w:pStyle w:val="13"/>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（4）在运维服务期满后，对整体运维服务进行考核打分（打分细则详见</w:t>
      </w:r>
      <w:r>
        <w:rPr>
          <w:rFonts w:hint="eastAsia" w:hAnsi="宋体" w:cs="宋体"/>
          <w:bCs/>
          <w:color w:val="auto"/>
          <w:kern w:val="2"/>
          <w:sz w:val="24"/>
          <w:szCs w:val="24"/>
          <w:highlight w:val="none"/>
          <w:lang w:val="en-US" w:eastAsia="zh-CN" w:bidi="ar-SA"/>
        </w:rPr>
        <w:t>合同约定</w:t>
      </w:r>
      <w:r>
        <w:rPr>
          <w:rFonts w:hint="eastAsia" w:ascii="宋体" w:hAnsi="宋体" w:eastAsia="宋体" w:cs="宋体"/>
          <w:bCs/>
          <w:color w:val="auto"/>
          <w:kern w:val="2"/>
          <w:sz w:val="24"/>
          <w:szCs w:val="24"/>
          <w:highlight w:val="none"/>
          <w:lang w:val="en-US" w:eastAsia="zh-CN" w:bidi="ar-SA"/>
        </w:rPr>
        <w:t>），根据考评结果支付合同尾款。如有扣款，则在剩余合同总金额5%中扣除。</w:t>
      </w:r>
    </w:p>
    <w:p w14:paraId="0C65892B">
      <w:pPr>
        <w:pStyle w:val="13"/>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hAnsi="宋体" w:cs="宋体"/>
          <w:bCs/>
          <w:color w:val="auto"/>
          <w:kern w:val="2"/>
          <w:sz w:val="24"/>
          <w:szCs w:val="24"/>
          <w:highlight w:val="none"/>
          <w:lang w:val="en-US" w:eastAsia="zh-CN" w:bidi="ar-SA"/>
        </w:rPr>
        <w:t>（5）</w:t>
      </w:r>
      <w:r>
        <w:rPr>
          <w:rFonts w:hint="eastAsia" w:ascii="宋体" w:hAnsi="宋体" w:eastAsia="宋体" w:cs="宋体"/>
          <w:bCs/>
          <w:color w:val="auto"/>
          <w:kern w:val="2"/>
          <w:sz w:val="24"/>
          <w:szCs w:val="24"/>
          <w:highlight w:val="none"/>
          <w:lang w:val="en-US" w:eastAsia="zh-CN" w:bidi="ar-SA"/>
        </w:rPr>
        <w:t>每笔款项需在区财政项目专项资金到位且</w:t>
      </w:r>
      <w:r>
        <w:rPr>
          <w:rFonts w:hint="eastAsia" w:hAnsi="宋体" w:cs="宋体"/>
          <w:bCs/>
          <w:color w:val="auto"/>
          <w:kern w:val="2"/>
          <w:sz w:val="24"/>
          <w:szCs w:val="24"/>
          <w:highlight w:val="none"/>
          <w:lang w:val="en-US" w:eastAsia="zh-CN" w:bidi="ar-SA"/>
        </w:rPr>
        <w:t>采购人</w:t>
      </w:r>
      <w:r>
        <w:rPr>
          <w:rFonts w:hint="eastAsia" w:ascii="宋体" w:hAnsi="宋体" w:eastAsia="宋体" w:cs="宋体"/>
          <w:bCs/>
          <w:color w:val="auto"/>
          <w:kern w:val="2"/>
          <w:sz w:val="24"/>
          <w:szCs w:val="24"/>
          <w:highlight w:val="none"/>
          <w:lang w:val="en-US" w:eastAsia="zh-CN" w:bidi="ar-SA"/>
        </w:rPr>
        <w:t>收到</w:t>
      </w:r>
      <w:r>
        <w:rPr>
          <w:rFonts w:hint="eastAsia" w:hAnsi="宋体" w:cs="宋体"/>
          <w:bCs/>
          <w:color w:val="auto"/>
          <w:kern w:val="2"/>
          <w:sz w:val="24"/>
          <w:szCs w:val="24"/>
          <w:highlight w:val="none"/>
          <w:lang w:val="en-US" w:eastAsia="zh-CN" w:bidi="ar-SA"/>
        </w:rPr>
        <w:t>中标供应商</w:t>
      </w:r>
      <w:r>
        <w:rPr>
          <w:rFonts w:hint="eastAsia" w:ascii="宋体" w:hAnsi="宋体" w:eastAsia="宋体" w:cs="宋体"/>
          <w:bCs/>
          <w:color w:val="auto"/>
          <w:kern w:val="2"/>
          <w:sz w:val="24"/>
          <w:szCs w:val="24"/>
          <w:highlight w:val="none"/>
          <w:lang w:val="en-US" w:eastAsia="zh-CN" w:bidi="ar-SA"/>
        </w:rPr>
        <w:t>开具的相应足额发票后再支付。</w:t>
      </w:r>
    </w:p>
    <w:p w14:paraId="64791B54">
      <w:pPr>
        <w:rPr>
          <w:rFonts w:hint="eastAsia" w:ascii="宋体" w:hAnsi="宋体" w:eastAsia="宋体" w:cs="宋体"/>
          <w:bCs/>
          <w:color w:val="auto"/>
          <w:kern w:val="2"/>
          <w:sz w:val="24"/>
          <w:szCs w:val="24"/>
          <w:highlight w:val="none"/>
          <w:lang w:val="en-US" w:eastAsia="zh-CN" w:bidi="ar-SA"/>
        </w:rPr>
      </w:pPr>
    </w:p>
    <w:p w14:paraId="21ACAC5D">
      <w:pPr>
        <w:pStyle w:val="10"/>
        <w:rPr>
          <w:rFonts w:hint="eastAsia" w:ascii="宋体" w:hAnsi="宋体" w:eastAsia="宋体" w:cs="宋体"/>
          <w:bCs/>
          <w:color w:val="auto"/>
          <w:kern w:val="2"/>
          <w:sz w:val="24"/>
          <w:szCs w:val="24"/>
          <w:highlight w:val="none"/>
          <w:lang w:val="en-US" w:eastAsia="zh-CN" w:bidi="ar-SA"/>
        </w:rPr>
      </w:pPr>
    </w:p>
    <w:p w14:paraId="09A44596">
      <w:pPr>
        <w:bidi w:val="0"/>
        <w:rPr>
          <w:rFonts w:hint="eastAsia"/>
          <w:highlight w:val="none"/>
          <w:lang w:val="en-US" w:eastAsia="zh-CN"/>
        </w:rPr>
      </w:pPr>
    </w:p>
    <w:p w14:paraId="1706F2A4">
      <w:pPr>
        <w:bidi w:val="0"/>
        <w:rPr>
          <w:rFonts w:hint="eastAsia"/>
          <w:highlight w:val="none"/>
          <w:lang w:val="en-US" w:eastAsia="zh-CN"/>
        </w:rPr>
      </w:pPr>
    </w:p>
    <w:p w14:paraId="0D56F503">
      <w:pPr>
        <w:bidi w:val="0"/>
        <w:rPr>
          <w:rFonts w:hint="eastAsia"/>
          <w:highlight w:val="none"/>
          <w:lang w:val="en-US" w:eastAsia="zh-CN"/>
        </w:rPr>
      </w:pPr>
    </w:p>
    <w:p w14:paraId="1C69D470">
      <w:pPr>
        <w:bidi w:val="0"/>
        <w:rPr>
          <w:rFonts w:hint="eastAsia"/>
          <w:highlight w:val="none"/>
          <w:lang w:val="en-US" w:eastAsia="zh-CN"/>
        </w:rPr>
      </w:pPr>
    </w:p>
    <w:p w14:paraId="07AFC994">
      <w:pPr>
        <w:bidi w:val="0"/>
        <w:rPr>
          <w:rFonts w:hint="eastAsia"/>
          <w:highlight w:val="none"/>
          <w:lang w:val="en-US" w:eastAsia="zh-CN"/>
        </w:rPr>
      </w:pPr>
    </w:p>
    <w:p w14:paraId="5C1440B9">
      <w:pPr>
        <w:bidi w:val="0"/>
        <w:rPr>
          <w:rFonts w:hint="eastAsia"/>
          <w:highlight w:val="none"/>
          <w:lang w:val="en-US" w:eastAsia="zh-CN"/>
        </w:rPr>
      </w:pPr>
    </w:p>
    <w:p w14:paraId="00B2E688">
      <w:pPr>
        <w:bidi w:val="0"/>
        <w:rPr>
          <w:rFonts w:hint="eastAsia"/>
          <w:highlight w:val="none"/>
          <w:lang w:val="en-US" w:eastAsia="zh-CN"/>
        </w:rPr>
      </w:pPr>
    </w:p>
    <w:p w14:paraId="4813F0FC">
      <w:pPr>
        <w:bidi w:val="0"/>
        <w:rPr>
          <w:rFonts w:hint="eastAsia"/>
          <w:highlight w:val="none"/>
          <w:lang w:val="en-US" w:eastAsia="zh-CN"/>
        </w:rPr>
      </w:pPr>
    </w:p>
    <w:p w14:paraId="0CA0D97C">
      <w:pPr>
        <w:bidi w:val="0"/>
        <w:rPr>
          <w:rFonts w:hint="eastAsia"/>
          <w:highlight w:val="none"/>
          <w:lang w:val="en-US" w:eastAsia="zh-CN"/>
        </w:rPr>
      </w:pPr>
    </w:p>
    <w:p w14:paraId="1D91B140">
      <w:pPr>
        <w:bidi w:val="0"/>
        <w:rPr>
          <w:rFonts w:hint="eastAsia"/>
          <w:highlight w:val="none"/>
          <w:lang w:val="en-US" w:eastAsia="zh-CN"/>
        </w:rPr>
      </w:pPr>
    </w:p>
    <w:p w14:paraId="4FFC8E02">
      <w:pPr>
        <w:bidi w:val="0"/>
        <w:rPr>
          <w:rFonts w:hint="eastAsia"/>
          <w:highlight w:val="none"/>
          <w:lang w:val="en-US" w:eastAsia="zh-CN"/>
        </w:rPr>
      </w:pPr>
    </w:p>
    <w:p w14:paraId="243B3966">
      <w:pPr>
        <w:bidi w:val="0"/>
        <w:rPr>
          <w:rFonts w:hint="eastAsia"/>
          <w:highlight w:val="none"/>
          <w:lang w:val="en-US" w:eastAsia="zh-CN"/>
        </w:rPr>
      </w:pPr>
    </w:p>
    <w:p w14:paraId="272231CC">
      <w:pPr>
        <w:bidi w:val="0"/>
        <w:rPr>
          <w:rFonts w:hint="eastAsia"/>
          <w:highlight w:val="none"/>
          <w:lang w:val="en-US" w:eastAsia="zh-CN"/>
        </w:rPr>
      </w:pPr>
    </w:p>
    <w:p w14:paraId="109333DB">
      <w:pPr>
        <w:bidi w:val="0"/>
        <w:rPr>
          <w:rFonts w:hint="eastAsia"/>
          <w:highlight w:val="none"/>
          <w:lang w:val="en-US" w:eastAsia="zh-CN"/>
        </w:rPr>
      </w:pPr>
    </w:p>
    <w:p w14:paraId="12D25530">
      <w:pPr>
        <w:bidi w:val="0"/>
        <w:rPr>
          <w:rFonts w:hint="eastAsia"/>
          <w:highlight w:val="none"/>
          <w:lang w:val="en-US" w:eastAsia="zh-CN"/>
        </w:rPr>
      </w:pPr>
    </w:p>
    <w:p w14:paraId="5AACA05B">
      <w:pPr>
        <w:bidi w:val="0"/>
        <w:rPr>
          <w:rFonts w:hint="eastAsia"/>
          <w:highlight w:val="none"/>
          <w:lang w:val="en-US" w:eastAsia="zh-CN"/>
        </w:rPr>
      </w:pPr>
    </w:p>
    <w:p w14:paraId="7F2C476D">
      <w:pPr>
        <w:bidi w:val="0"/>
        <w:rPr>
          <w:rFonts w:hint="eastAsia"/>
          <w:highlight w:val="none"/>
          <w:lang w:val="en-US" w:eastAsia="zh-CN"/>
        </w:rPr>
      </w:pPr>
    </w:p>
    <w:p w14:paraId="590B6EA2">
      <w:pPr>
        <w:bidi w:val="0"/>
        <w:rPr>
          <w:rFonts w:hint="eastAsia"/>
          <w:highlight w:val="none"/>
          <w:lang w:val="en-US" w:eastAsia="zh-CN"/>
        </w:rPr>
      </w:pPr>
    </w:p>
    <w:p w14:paraId="09F970CC">
      <w:pPr>
        <w:bidi w:val="0"/>
        <w:rPr>
          <w:rFonts w:hint="eastAsia"/>
          <w:highlight w:val="none"/>
          <w:lang w:val="en-US" w:eastAsia="zh-CN"/>
        </w:rPr>
      </w:pPr>
    </w:p>
    <w:p w14:paraId="41567528">
      <w:pPr>
        <w:bidi w:val="0"/>
        <w:rPr>
          <w:rFonts w:hint="eastAsia"/>
          <w:highlight w:val="none"/>
          <w:lang w:val="en-US" w:eastAsia="zh-CN"/>
        </w:rPr>
      </w:pPr>
    </w:p>
    <w:p w14:paraId="4D91240A">
      <w:pPr>
        <w:bidi w:val="0"/>
        <w:rPr>
          <w:rFonts w:hint="eastAsia"/>
          <w:highlight w:val="none"/>
          <w:lang w:val="en-US" w:eastAsia="zh-CN"/>
        </w:rPr>
      </w:pPr>
    </w:p>
    <w:p w14:paraId="09F68685">
      <w:pPr>
        <w:bidi w:val="0"/>
        <w:rPr>
          <w:rFonts w:hint="eastAsia"/>
          <w:highlight w:val="none"/>
          <w:lang w:val="en-US" w:eastAsia="zh-CN"/>
        </w:rPr>
      </w:pPr>
    </w:p>
    <w:p w14:paraId="201487F7">
      <w:pPr>
        <w:bidi w:val="0"/>
        <w:rPr>
          <w:rFonts w:hint="eastAsia"/>
          <w:highlight w:val="none"/>
          <w:lang w:val="en-US" w:eastAsia="zh-CN"/>
        </w:rPr>
      </w:pPr>
    </w:p>
    <w:p w14:paraId="6093BC6D">
      <w:pPr>
        <w:bidi w:val="0"/>
        <w:rPr>
          <w:rFonts w:hint="eastAsia"/>
          <w:highlight w:val="none"/>
          <w:lang w:val="en-US" w:eastAsia="zh-CN"/>
        </w:rPr>
      </w:pPr>
    </w:p>
    <w:p w14:paraId="5474892A">
      <w:pPr>
        <w:bidi w:val="0"/>
        <w:rPr>
          <w:rFonts w:hint="eastAsia"/>
          <w:highlight w:val="none"/>
          <w:lang w:val="en-US" w:eastAsia="zh-CN"/>
        </w:rPr>
      </w:pPr>
    </w:p>
    <w:p w14:paraId="1F0E93AC">
      <w:pPr>
        <w:bidi w:val="0"/>
        <w:rPr>
          <w:rFonts w:hint="eastAsia"/>
          <w:highlight w:val="none"/>
          <w:lang w:val="en-US" w:eastAsia="zh-CN"/>
        </w:rPr>
      </w:pPr>
    </w:p>
    <w:p w14:paraId="46D74EA9">
      <w:pPr>
        <w:bidi w:val="0"/>
        <w:rPr>
          <w:rFonts w:hint="eastAsia"/>
          <w:highlight w:val="none"/>
          <w:lang w:val="en-US" w:eastAsia="zh-CN"/>
        </w:rPr>
      </w:pPr>
    </w:p>
    <w:p w14:paraId="621E0C44">
      <w:pPr>
        <w:bidi w:val="0"/>
        <w:rPr>
          <w:rFonts w:hint="eastAsia"/>
          <w:highlight w:val="none"/>
          <w:lang w:val="en-US" w:eastAsia="zh-CN"/>
        </w:rPr>
      </w:pPr>
    </w:p>
    <w:p w14:paraId="6A5BD4AA">
      <w:pPr>
        <w:bidi w:val="0"/>
        <w:rPr>
          <w:rFonts w:hint="eastAsia"/>
          <w:highlight w:val="none"/>
          <w:lang w:val="en-US" w:eastAsia="zh-CN"/>
        </w:rPr>
      </w:pPr>
    </w:p>
    <w:p w14:paraId="400597EB">
      <w:pPr>
        <w:rPr>
          <w:rFonts w:hint="eastAsia"/>
          <w:highlight w:val="none"/>
          <w:lang w:val="en-US" w:eastAsia="zh-CN"/>
        </w:rPr>
      </w:pPr>
    </w:p>
    <w:p w14:paraId="61D8326C">
      <w:pPr>
        <w:bidi w:val="0"/>
        <w:rPr>
          <w:rFonts w:hint="eastAsia"/>
          <w:highlight w:val="none"/>
          <w:lang w:val="en-US" w:eastAsia="zh-CN"/>
        </w:rPr>
      </w:pPr>
    </w:p>
    <w:p w14:paraId="3C66E8D9">
      <w:pPr>
        <w:bidi w:val="0"/>
        <w:rPr>
          <w:rFonts w:hint="eastAsia"/>
          <w:lang w:val="en-US" w:eastAsia="zh-CN"/>
        </w:rPr>
      </w:pPr>
    </w:p>
    <w:p w14:paraId="40E74285">
      <w:pPr>
        <w:bidi w:val="0"/>
        <w:rPr>
          <w:rFonts w:hint="eastAsia"/>
          <w:lang w:val="en-US" w:eastAsia="zh-CN"/>
        </w:rPr>
      </w:pPr>
    </w:p>
    <w:p w14:paraId="7C4803CB">
      <w:pPr>
        <w:bidi w:val="0"/>
        <w:rPr>
          <w:rFonts w:hint="eastAsia"/>
          <w:lang w:val="en-US" w:eastAsia="zh-CN"/>
        </w:rPr>
      </w:pPr>
      <w:bookmarkStart w:id="90" w:name="_GoBack"/>
      <w:bookmarkEnd w:id="90"/>
    </w:p>
    <w:p w14:paraId="2F82C2E3">
      <w:pPr>
        <w:bidi w:val="0"/>
        <w:rPr>
          <w:rFonts w:hint="eastAsia"/>
          <w:lang w:val="en-US" w:eastAsia="zh-CN"/>
        </w:rPr>
      </w:pPr>
    </w:p>
    <w:p w14:paraId="15BEC37E">
      <w:pPr>
        <w:bidi w:val="0"/>
        <w:rPr>
          <w:rFonts w:hint="eastAsia"/>
          <w:lang w:val="en-US" w:eastAsia="zh-CN"/>
        </w:rPr>
      </w:pPr>
    </w:p>
    <w:p w14:paraId="3853DB57">
      <w:pPr>
        <w:bidi w:val="0"/>
        <w:rPr>
          <w:rFonts w:hint="eastAsia"/>
          <w:lang w:val="en-US" w:eastAsia="zh-CN"/>
        </w:rPr>
      </w:pPr>
    </w:p>
    <w:p w14:paraId="7A568C83">
      <w:pPr>
        <w:pStyle w:val="3"/>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color w:val="auto"/>
          <w:sz w:val="28"/>
          <w:szCs w:val="28"/>
          <w:highlight w:val="none"/>
          <w:lang w:val="en-US" w:eastAsia="zh-CN"/>
        </w:rPr>
      </w:pPr>
      <w:bookmarkStart w:id="56" w:name="_Toc9656"/>
      <w:bookmarkStart w:id="57" w:name="_Toc17072"/>
      <w:r>
        <w:rPr>
          <w:rFonts w:hint="eastAsia" w:ascii="宋体" w:hAnsi="宋体" w:eastAsia="宋体" w:cs="宋体"/>
          <w:color w:val="auto"/>
          <w:sz w:val="28"/>
          <w:szCs w:val="28"/>
          <w:highlight w:val="none"/>
          <w:lang w:val="en-US" w:eastAsia="zh-CN"/>
        </w:rPr>
        <w:t>第四章 合同主要条款</w:t>
      </w:r>
      <w:bookmarkEnd w:id="56"/>
      <w:bookmarkEnd w:id="57"/>
    </w:p>
    <w:p w14:paraId="5E402AA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注：本合同作为示范文本，具体以</w:t>
      </w:r>
      <w:r>
        <w:rPr>
          <w:rFonts w:hint="eastAsia" w:ascii="宋体" w:hAnsi="宋体" w:cs="宋体"/>
          <w:b/>
          <w:sz w:val="24"/>
          <w:szCs w:val="24"/>
          <w:highlight w:val="none"/>
          <w:lang w:val="en-US" w:eastAsia="zh-CN"/>
        </w:rPr>
        <w:t>中标</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与采购人所签订正式合同为准。</w:t>
      </w:r>
    </w:p>
    <w:p w14:paraId="3CD33BBF">
      <w:pPr>
        <w:pageBreakBefore w:val="0"/>
        <w:widowControl w:val="0"/>
        <w:kinsoku/>
        <w:wordWrap/>
        <w:overflowPunct/>
        <w:topLinePunct w:val="0"/>
        <w:autoSpaceDE/>
        <w:autoSpaceDN/>
        <w:bidi w:val="0"/>
        <w:adjustRightInd/>
        <w:snapToGrid w:val="0"/>
        <w:spacing w:line="500" w:lineRule="exact"/>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签订合同时填入对应内容</w:t>
      </w:r>
      <w:r>
        <w:rPr>
          <w:rFonts w:hint="eastAsia" w:ascii="宋体" w:hAnsi="宋体" w:eastAsia="宋体" w:cs="宋体"/>
          <w:sz w:val="24"/>
          <w:szCs w:val="24"/>
          <w:highlight w:val="none"/>
          <w:u w:val="single"/>
        </w:rPr>
        <w:t>】</w:t>
      </w:r>
    </w:p>
    <w:p w14:paraId="1F856052">
      <w:pPr>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甲方（买方）：</w:t>
      </w:r>
    </w:p>
    <w:p w14:paraId="314AE9AE">
      <w:pPr>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地址</w:t>
      </w:r>
      <w:r>
        <w:rPr>
          <w:rFonts w:hint="eastAsia" w:ascii="宋体" w:hAnsi="宋体" w:eastAsia="宋体" w:cs="宋体"/>
          <w:sz w:val="24"/>
          <w:szCs w:val="24"/>
          <w:highlight w:val="none"/>
        </w:rPr>
        <w:t>：</w:t>
      </w:r>
    </w:p>
    <w:p w14:paraId="2500111B">
      <w:pPr>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乙方（卖方）：</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签订合同时填入对应内容</w:t>
      </w:r>
      <w:r>
        <w:rPr>
          <w:rFonts w:hint="eastAsia" w:ascii="宋体" w:hAnsi="宋体" w:eastAsia="宋体" w:cs="宋体"/>
          <w:sz w:val="24"/>
          <w:szCs w:val="24"/>
          <w:highlight w:val="none"/>
          <w:u w:val="single"/>
        </w:rPr>
        <w:t>】</w:t>
      </w:r>
    </w:p>
    <w:p w14:paraId="69424853">
      <w:pPr>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地址</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签订合同时填入对应内容</w:t>
      </w:r>
      <w:r>
        <w:rPr>
          <w:rFonts w:hint="eastAsia" w:ascii="宋体" w:hAnsi="宋体" w:eastAsia="宋体" w:cs="宋体"/>
          <w:sz w:val="24"/>
          <w:szCs w:val="24"/>
          <w:highlight w:val="none"/>
          <w:u w:val="single"/>
        </w:rPr>
        <w:t>】</w:t>
      </w:r>
    </w:p>
    <w:p w14:paraId="78B7C7E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u w:val="single"/>
        </w:rPr>
        <w:t>2026年衢江区卫生健康局机房改造建设项目</w:t>
      </w:r>
      <w:r>
        <w:rPr>
          <w:rFonts w:hint="eastAsia" w:ascii="宋体" w:hAnsi="宋体" w:eastAsia="宋体" w:cs="宋体"/>
          <w:sz w:val="24"/>
          <w:szCs w:val="24"/>
          <w:highlight w:val="none"/>
        </w:rPr>
        <w:t>，经充分协商，签署本合同。</w:t>
      </w:r>
    </w:p>
    <w:p w14:paraId="502E111E">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一、说明</w:t>
      </w:r>
    </w:p>
    <w:p w14:paraId="01261F75">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1．合同基本条款是指采购人（以下简称甲方）和成交供应商（以下简称乙方）应共同遵守的基本原则，并作为双方签约的依据。对于合同的其他条款，双方应本着互谅互让的精神协商解决。</w:t>
      </w:r>
    </w:p>
    <w:p w14:paraId="1B58AFE6">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2．制定“合同主要条款”的依据是《中华人民共和国民法典》及其它有关法律、法规。</w:t>
      </w:r>
    </w:p>
    <w:p w14:paraId="77B667E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二、货物内容</w:t>
      </w:r>
    </w:p>
    <w:tbl>
      <w:tblPr>
        <w:tblStyle w:val="22"/>
        <w:tblW w:w="96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128"/>
        <w:gridCol w:w="2167"/>
        <w:gridCol w:w="792"/>
        <w:gridCol w:w="831"/>
        <w:gridCol w:w="1159"/>
        <w:gridCol w:w="1160"/>
        <w:gridCol w:w="668"/>
      </w:tblGrid>
      <w:tr w14:paraId="22B8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79147E7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128" w:type="dxa"/>
            <w:vAlign w:val="center"/>
          </w:tcPr>
          <w:p w14:paraId="1938A27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2167" w:type="dxa"/>
            <w:vAlign w:val="center"/>
          </w:tcPr>
          <w:p w14:paraId="72B2360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792" w:type="dxa"/>
            <w:vAlign w:val="center"/>
          </w:tcPr>
          <w:p w14:paraId="68CE6D2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31" w:type="dxa"/>
            <w:vAlign w:val="center"/>
          </w:tcPr>
          <w:p w14:paraId="6487419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159" w:type="dxa"/>
            <w:vAlign w:val="center"/>
          </w:tcPr>
          <w:p w14:paraId="34920C7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单价（元）</w:t>
            </w:r>
          </w:p>
        </w:tc>
        <w:tc>
          <w:tcPr>
            <w:tcW w:w="1160" w:type="dxa"/>
            <w:vAlign w:val="center"/>
          </w:tcPr>
          <w:p w14:paraId="73620AA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合价（元）</w:t>
            </w:r>
          </w:p>
        </w:tc>
        <w:tc>
          <w:tcPr>
            <w:tcW w:w="668" w:type="dxa"/>
            <w:vAlign w:val="center"/>
          </w:tcPr>
          <w:p w14:paraId="4019882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21D5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12AD379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28" w:type="dxa"/>
            <w:vAlign w:val="center"/>
          </w:tcPr>
          <w:p w14:paraId="69537FE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互联网防火墙</w:t>
            </w:r>
          </w:p>
        </w:tc>
        <w:tc>
          <w:tcPr>
            <w:tcW w:w="2167" w:type="dxa"/>
          </w:tcPr>
          <w:p w14:paraId="3BA58C2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sz w:val="24"/>
                <w:szCs w:val="24"/>
                <w:highlight w:val="none"/>
              </w:rPr>
            </w:pPr>
          </w:p>
        </w:tc>
        <w:tc>
          <w:tcPr>
            <w:tcW w:w="792" w:type="dxa"/>
            <w:vAlign w:val="center"/>
          </w:tcPr>
          <w:p w14:paraId="2E7DEE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1" w:type="dxa"/>
            <w:vAlign w:val="center"/>
          </w:tcPr>
          <w:p w14:paraId="19AD86A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05B9635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2A2C62D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1D0DD49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2C73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5705860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128" w:type="dxa"/>
            <w:vAlign w:val="center"/>
          </w:tcPr>
          <w:p w14:paraId="2EEFF5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APT</w:t>
            </w:r>
          </w:p>
        </w:tc>
        <w:tc>
          <w:tcPr>
            <w:tcW w:w="2167" w:type="dxa"/>
          </w:tcPr>
          <w:p w14:paraId="7643ECB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sz w:val="24"/>
                <w:szCs w:val="24"/>
                <w:highlight w:val="none"/>
              </w:rPr>
            </w:pPr>
          </w:p>
        </w:tc>
        <w:tc>
          <w:tcPr>
            <w:tcW w:w="792" w:type="dxa"/>
            <w:vAlign w:val="center"/>
          </w:tcPr>
          <w:p w14:paraId="53BACC3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1" w:type="dxa"/>
            <w:vAlign w:val="center"/>
          </w:tcPr>
          <w:p w14:paraId="6A799C2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4E7D4D3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725D7F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710D08F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398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13E8A71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128" w:type="dxa"/>
            <w:vAlign w:val="center"/>
          </w:tcPr>
          <w:p w14:paraId="72AAAC7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日志审计</w:t>
            </w:r>
          </w:p>
        </w:tc>
        <w:tc>
          <w:tcPr>
            <w:tcW w:w="2167" w:type="dxa"/>
          </w:tcPr>
          <w:p w14:paraId="4D3B97D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sz w:val="24"/>
                <w:szCs w:val="24"/>
                <w:highlight w:val="none"/>
              </w:rPr>
            </w:pPr>
          </w:p>
        </w:tc>
        <w:tc>
          <w:tcPr>
            <w:tcW w:w="792" w:type="dxa"/>
            <w:vAlign w:val="center"/>
          </w:tcPr>
          <w:p w14:paraId="6024312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1" w:type="dxa"/>
            <w:vAlign w:val="center"/>
          </w:tcPr>
          <w:p w14:paraId="32F8E05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3492F4F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43151D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13D3354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7895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42BDEF2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128" w:type="dxa"/>
            <w:vAlign w:val="center"/>
          </w:tcPr>
          <w:p w14:paraId="1BFC295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网闸</w:t>
            </w:r>
          </w:p>
        </w:tc>
        <w:tc>
          <w:tcPr>
            <w:tcW w:w="2167" w:type="dxa"/>
          </w:tcPr>
          <w:p w14:paraId="6284B377">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sz w:val="24"/>
                <w:szCs w:val="24"/>
                <w:highlight w:val="none"/>
              </w:rPr>
            </w:pPr>
          </w:p>
        </w:tc>
        <w:tc>
          <w:tcPr>
            <w:tcW w:w="792" w:type="dxa"/>
            <w:vAlign w:val="center"/>
          </w:tcPr>
          <w:p w14:paraId="009F015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1" w:type="dxa"/>
            <w:vAlign w:val="center"/>
          </w:tcPr>
          <w:p w14:paraId="6B50687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1DA3C90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33B8BC5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76BF7AF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297B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2912191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128" w:type="dxa"/>
            <w:vAlign w:val="center"/>
          </w:tcPr>
          <w:p w14:paraId="38DE0BA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汇聚交换机</w:t>
            </w:r>
          </w:p>
        </w:tc>
        <w:tc>
          <w:tcPr>
            <w:tcW w:w="2167" w:type="dxa"/>
          </w:tcPr>
          <w:p w14:paraId="5267BE9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sz w:val="24"/>
                <w:szCs w:val="24"/>
                <w:highlight w:val="none"/>
              </w:rPr>
            </w:pPr>
          </w:p>
        </w:tc>
        <w:tc>
          <w:tcPr>
            <w:tcW w:w="792" w:type="dxa"/>
            <w:vAlign w:val="center"/>
          </w:tcPr>
          <w:p w14:paraId="27EA599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1" w:type="dxa"/>
            <w:vAlign w:val="center"/>
          </w:tcPr>
          <w:p w14:paraId="4469EF5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6E1360B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1D7395F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3F64642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1648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3944EA0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128" w:type="dxa"/>
            <w:vAlign w:val="center"/>
          </w:tcPr>
          <w:p w14:paraId="37C0181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数据库审计系统</w:t>
            </w:r>
          </w:p>
        </w:tc>
        <w:tc>
          <w:tcPr>
            <w:tcW w:w="2167" w:type="dxa"/>
          </w:tcPr>
          <w:p w14:paraId="3B44D98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sz w:val="24"/>
                <w:szCs w:val="24"/>
                <w:highlight w:val="none"/>
              </w:rPr>
            </w:pPr>
          </w:p>
        </w:tc>
        <w:tc>
          <w:tcPr>
            <w:tcW w:w="792" w:type="dxa"/>
            <w:vAlign w:val="center"/>
          </w:tcPr>
          <w:p w14:paraId="05AB7C9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1" w:type="dxa"/>
            <w:vAlign w:val="center"/>
          </w:tcPr>
          <w:p w14:paraId="3053DD3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5628F29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lang w:val="en-US" w:eastAsia="zh-CN"/>
              </w:rPr>
            </w:pPr>
          </w:p>
        </w:tc>
        <w:tc>
          <w:tcPr>
            <w:tcW w:w="1160" w:type="dxa"/>
            <w:vAlign w:val="center"/>
          </w:tcPr>
          <w:p w14:paraId="647273E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3B2F7C6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59F5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3746225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128" w:type="dxa"/>
            <w:vAlign w:val="center"/>
          </w:tcPr>
          <w:p w14:paraId="4C2EABB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卫生专网防火墙</w:t>
            </w:r>
          </w:p>
        </w:tc>
        <w:tc>
          <w:tcPr>
            <w:tcW w:w="2167" w:type="dxa"/>
          </w:tcPr>
          <w:p w14:paraId="5129EA9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sz w:val="24"/>
                <w:szCs w:val="24"/>
                <w:highlight w:val="none"/>
              </w:rPr>
            </w:pPr>
          </w:p>
        </w:tc>
        <w:tc>
          <w:tcPr>
            <w:tcW w:w="792" w:type="dxa"/>
            <w:vAlign w:val="center"/>
          </w:tcPr>
          <w:p w14:paraId="42B488C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1" w:type="dxa"/>
            <w:vAlign w:val="center"/>
          </w:tcPr>
          <w:p w14:paraId="005EC9E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0CDCDA6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077AF34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5EBE6D8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26FC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30049F0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128" w:type="dxa"/>
            <w:vAlign w:val="center"/>
          </w:tcPr>
          <w:p w14:paraId="3125553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API风险监测</w:t>
            </w:r>
          </w:p>
        </w:tc>
        <w:tc>
          <w:tcPr>
            <w:tcW w:w="2167" w:type="dxa"/>
          </w:tcPr>
          <w:p w14:paraId="4D514F0D">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p>
        </w:tc>
        <w:tc>
          <w:tcPr>
            <w:tcW w:w="792" w:type="dxa"/>
            <w:vAlign w:val="center"/>
          </w:tcPr>
          <w:p w14:paraId="4AA75E2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31" w:type="dxa"/>
            <w:vAlign w:val="center"/>
          </w:tcPr>
          <w:p w14:paraId="78158A9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2D1FDCC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0D88156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25C059F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49AE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7F33787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128" w:type="dxa"/>
            <w:vAlign w:val="center"/>
          </w:tcPr>
          <w:p w14:paraId="4B7CA11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DLP数据防泄漏</w:t>
            </w:r>
          </w:p>
        </w:tc>
        <w:tc>
          <w:tcPr>
            <w:tcW w:w="2167" w:type="dxa"/>
          </w:tcPr>
          <w:p w14:paraId="4354A12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p>
        </w:tc>
        <w:tc>
          <w:tcPr>
            <w:tcW w:w="792" w:type="dxa"/>
            <w:vAlign w:val="center"/>
          </w:tcPr>
          <w:p w14:paraId="5CE49D4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31" w:type="dxa"/>
            <w:vAlign w:val="center"/>
          </w:tcPr>
          <w:p w14:paraId="18E74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3C44DE8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252732A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0D78836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0044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793DBB6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128" w:type="dxa"/>
            <w:vAlign w:val="center"/>
          </w:tcPr>
          <w:p w14:paraId="24FC905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跨网数据交互</w:t>
            </w:r>
          </w:p>
        </w:tc>
        <w:tc>
          <w:tcPr>
            <w:tcW w:w="2167" w:type="dxa"/>
          </w:tcPr>
          <w:p w14:paraId="46C62AF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p>
        </w:tc>
        <w:tc>
          <w:tcPr>
            <w:tcW w:w="792" w:type="dxa"/>
            <w:vAlign w:val="center"/>
          </w:tcPr>
          <w:p w14:paraId="6F580A6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31" w:type="dxa"/>
            <w:vAlign w:val="center"/>
          </w:tcPr>
          <w:p w14:paraId="54A406B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1159" w:type="dxa"/>
            <w:vAlign w:val="center"/>
          </w:tcPr>
          <w:p w14:paraId="7F65134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246722C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2C73E70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2D67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5700C7A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128" w:type="dxa"/>
            <w:vAlign w:val="center"/>
          </w:tcPr>
          <w:p w14:paraId="68DFAB73">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数据库管控平台</w:t>
            </w:r>
          </w:p>
        </w:tc>
        <w:tc>
          <w:tcPr>
            <w:tcW w:w="2167" w:type="dxa"/>
          </w:tcPr>
          <w:p w14:paraId="01F9E1C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p>
        </w:tc>
        <w:tc>
          <w:tcPr>
            <w:tcW w:w="792" w:type="dxa"/>
            <w:vAlign w:val="center"/>
          </w:tcPr>
          <w:p w14:paraId="6DF5F07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31" w:type="dxa"/>
            <w:vAlign w:val="center"/>
          </w:tcPr>
          <w:p w14:paraId="1474C49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6E144B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6400990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7552A6D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5D12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519DCC3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128" w:type="dxa"/>
            <w:vAlign w:val="center"/>
          </w:tcPr>
          <w:p w14:paraId="7A44B97C">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API风险管控平台</w:t>
            </w:r>
          </w:p>
        </w:tc>
        <w:tc>
          <w:tcPr>
            <w:tcW w:w="2167" w:type="dxa"/>
          </w:tcPr>
          <w:p w14:paraId="08A2721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p>
        </w:tc>
        <w:tc>
          <w:tcPr>
            <w:tcW w:w="792" w:type="dxa"/>
            <w:vAlign w:val="center"/>
          </w:tcPr>
          <w:p w14:paraId="33DD867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31" w:type="dxa"/>
            <w:vAlign w:val="center"/>
          </w:tcPr>
          <w:p w14:paraId="0194104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38DAFFA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4025FB2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1BC292D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5CB4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3" w:type="dxa"/>
            <w:vAlign w:val="center"/>
          </w:tcPr>
          <w:p w14:paraId="1B0414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2128" w:type="dxa"/>
            <w:vAlign w:val="center"/>
          </w:tcPr>
          <w:p w14:paraId="2EC16D4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数据安全管理平台</w:t>
            </w:r>
          </w:p>
        </w:tc>
        <w:tc>
          <w:tcPr>
            <w:tcW w:w="2167" w:type="dxa"/>
          </w:tcPr>
          <w:p w14:paraId="3FFF5FB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sz w:val="24"/>
                <w:szCs w:val="24"/>
                <w:highlight w:val="none"/>
              </w:rPr>
            </w:pPr>
          </w:p>
        </w:tc>
        <w:tc>
          <w:tcPr>
            <w:tcW w:w="792" w:type="dxa"/>
            <w:vAlign w:val="center"/>
          </w:tcPr>
          <w:p w14:paraId="08CFEA5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1" w:type="dxa"/>
            <w:vAlign w:val="center"/>
          </w:tcPr>
          <w:p w14:paraId="154C532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159" w:type="dxa"/>
            <w:vAlign w:val="center"/>
          </w:tcPr>
          <w:p w14:paraId="7DCAAA0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1160" w:type="dxa"/>
            <w:vAlign w:val="center"/>
          </w:tcPr>
          <w:p w14:paraId="15418C5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c>
          <w:tcPr>
            <w:tcW w:w="668" w:type="dxa"/>
            <w:vAlign w:val="center"/>
          </w:tcPr>
          <w:p w14:paraId="15FC296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sz w:val="24"/>
                <w:szCs w:val="24"/>
                <w:highlight w:val="none"/>
              </w:rPr>
            </w:pPr>
          </w:p>
        </w:tc>
      </w:tr>
      <w:tr w14:paraId="4245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68" w:type="dxa"/>
            <w:gridSpan w:val="8"/>
            <w:vAlign w:val="center"/>
          </w:tcPr>
          <w:p w14:paraId="3A5031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宋体" w:hAnsi="宋体" w:eastAsia="宋体" w:cs="宋体"/>
                <w:sz w:val="24"/>
                <w:szCs w:val="24"/>
                <w:highlight w:val="none"/>
                <w:lang w:val="en-US" w:eastAsia="zh-CN"/>
              </w:rPr>
              <w:t>签约合同价</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含税）（</w:t>
            </w: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签订合同时填入对应内容</w:t>
            </w:r>
            <w:r>
              <w:rPr>
                <w:rFonts w:hint="eastAsia" w:ascii="宋体" w:hAnsi="宋体" w:eastAsia="宋体" w:cs="宋体"/>
                <w:sz w:val="24"/>
                <w:szCs w:val="24"/>
                <w:highlight w:val="none"/>
                <w:u w:val="single"/>
              </w:rPr>
              <w:t>】，小写：【</w:t>
            </w:r>
            <w:r>
              <w:rPr>
                <w:rFonts w:hint="eastAsia" w:ascii="宋体" w:hAnsi="宋体" w:eastAsia="宋体" w:cs="宋体"/>
                <w:sz w:val="24"/>
                <w:szCs w:val="24"/>
                <w:highlight w:val="none"/>
                <w:u w:val="single"/>
                <w:lang w:val="en-US" w:eastAsia="zh-CN"/>
              </w:rPr>
              <w:t>签订合同时填入对应内容</w:t>
            </w:r>
            <w:r>
              <w:rPr>
                <w:rFonts w:hint="eastAsia" w:ascii="宋体" w:hAnsi="宋体" w:eastAsia="宋体" w:cs="宋体"/>
                <w:sz w:val="24"/>
                <w:szCs w:val="24"/>
                <w:highlight w:val="none"/>
                <w:u w:val="single"/>
              </w:rPr>
              <w:t>】</w:t>
            </w:r>
          </w:p>
        </w:tc>
      </w:tr>
    </w:tbl>
    <w:p w14:paraId="121D31D2">
      <w:pPr>
        <w:widowControl w:val="0"/>
        <w:adjustRightInd/>
        <w:spacing w:after="0" w:line="480" w:lineRule="exact"/>
        <w:rPr>
          <w:rFonts w:hint="eastAsia" w:eastAsia="微软雅黑"/>
          <w:sz w:val="24"/>
          <w:szCs w:val="28"/>
          <w:highlight w:val="none"/>
          <w:lang w:eastAsia="zh-CN"/>
        </w:rPr>
      </w:pPr>
      <w:r>
        <w:rPr>
          <w:rFonts w:hint="eastAsia"/>
          <w:sz w:val="24"/>
          <w:szCs w:val="28"/>
          <w:highlight w:val="none"/>
          <w:lang w:eastAsia="zh-CN"/>
        </w:rPr>
        <w:t>本合同包含的</w:t>
      </w:r>
      <w:r>
        <w:rPr>
          <w:rFonts w:hint="eastAsia"/>
          <w:sz w:val="24"/>
          <w:szCs w:val="28"/>
          <w:highlight w:val="none"/>
        </w:rPr>
        <w:t>服务内容</w:t>
      </w:r>
      <w:r>
        <w:rPr>
          <w:rFonts w:hint="eastAsia"/>
          <w:sz w:val="24"/>
          <w:szCs w:val="28"/>
          <w:highlight w:val="none"/>
          <w:lang w:eastAsia="zh-CN"/>
        </w:rPr>
        <w:t>如下</w:t>
      </w:r>
    </w:p>
    <w:tbl>
      <w:tblPr>
        <w:tblStyle w:val="22"/>
        <w:tblW w:w="96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82"/>
        <w:gridCol w:w="7964"/>
      </w:tblGrid>
      <w:tr w14:paraId="6346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2" w:type="dxa"/>
          </w:tcPr>
          <w:p w14:paraId="6CDA7B0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序号</w:t>
            </w:r>
          </w:p>
        </w:tc>
        <w:tc>
          <w:tcPr>
            <w:tcW w:w="982" w:type="dxa"/>
          </w:tcPr>
          <w:p w14:paraId="72CB48C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服务项</w:t>
            </w:r>
          </w:p>
        </w:tc>
        <w:tc>
          <w:tcPr>
            <w:tcW w:w="7964" w:type="dxa"/>
          </w:tcPr>
          <w:p w14:paraId="2DB2467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服务内容</w:t>
            </w:r>
          </w:p>
        </w:tc>
      </w:tr>
      <w:tr w14:paraId="3B1B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2" w:type="dxa"/>
            <w:vAlign w:val="center"/>
          </w:tcPr>
          <w:p w14:paraId="16954B9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w:t>
            </w:r>
          </w:p>
        </w:tc>
        <w:tc>
          <w:tcPr>
            <w:tcW w:w="982" w:type="dxa"/>
            <w:vAlign w:val="center"/>
          </w:tcPr>
          <w:p w14:paraId="3754937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数据资产梳理服务</w:t>
            </w:r>
          </w:p>
        </w:tc>
        <w:tc>
          <w:tcPr>
            <w:tcW w:w="7964" w:type="dxa"/>
          </w:tcPr>
          <w:p w14:paraId="66EC68E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服务期限、频次：三年，</w:t>
            </w:r>
            <w:r>
              <w:rPr>
                <w:rFonts w:hint="default" w:ascii="宋体" w:hAnsi="宋体" w:eastAsia="宋体" w:cs="宋体"/>
                <w:b w:val="0"/>
                <w:bCs w:val="0"/>
                <w:kern w:val="0"/>
                <w:sz w:val="24"/>
                <w:szCs w:val="24"/>
                <w:highlight w:val="none"/>
                <w:lang w:eastAsia="zh-CN" w:bidi="ar-SA"/>
                <w:woUserID w:val="2"/>
              </w:rPr>
              <w:t>2</w:t>
            </w:r>
            <w:r>
              <w:rPr>
                <w:rFonts w:hint="eastAsia" w:ascii="宋体" w:hAnsi="宋体" w:eastAsia="宋体" w:cs="宋体"/>
                <w:b w:val="0"/>
                <w:bCs w:val="0"/>
                <w:kern w:val="0"/>
                <w:sz w:val="24"/>
                <w:szCs w:val="24"/>
                <w:highlight w:val="none"/>
                <w:lang w:val="en-US" w:eastAsia="zh-CN" w:bidi="ar-SA"/>
              </w:rPr>
              <w:t>次/年，首年全量，后续每年2次对增量数量进行梳理。</w:t>
            </w:r>
          </w:p>
          <w:p w14:paraId="6B8B8BEF">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宋体" w:hAnsi="宋体" w:eastAsia="宋体" w:cs="宋体"/>
                <w:b w:val="0"/>
                <w:bCs w:val="0"/>
                <w:color w:val="FF000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覆盖范围：衢江区卫生健康局、衢州市第二人民医院、衢</w:t>
            </w:r>
            <w:r>
              <w:rPr>
                <w:rFonts w:hint="eastAsia" w:ascii="宋体" w:hAnsi="宋体" w:eastAsia="宋体" w:cs="宋体"/>
                <w:b w:val="0"/>
                <w:bCs w:val="0"/>
                <w:color w:val="auto"/>
                <w:kern w:val="0"/>
                <w:sz w:val="24"/>
                <w:szCs w:val="24"/>
                <w:highlight w:val="none"/>
                <w:lang w:val="en-US" w:eastAsia="zh-CN" w:bidi="ar-SA"/>
              </w:rPr>
              <w:t>江区中医院、衢江区妇幼保健院、两家医共体分院</w:t>
            </w:r>
          </w:p>
          <w:p w14:paraId="27FFE20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服务内容：数据分类分级系统接口配置与资产同步、已发现数据库资产的过滤和校验、新增数据库资产的实时校验与同步、数据库资产全面管理与可视化展示。</w:t>
            </w:r>
          </w:p>
        </w:tc>
      </w:tr>
      <w:tr w14:paraId="6114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2" w:type="dxa"/>
            <w:vAlign w:val="center"/>
          </w:tcPr>
          <w:p w14:paraId="5A0E8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w:t>
            </w:r>
          </w:p>
        </w:tc>
        <w:tc>
          <w:tcPr>
            <w:tcW w:w="982" w:type="dxa"/>
            <w:vAlign w:val="center"/>
          </w:tcPr>
          <w:p w14:paraId="40B582CD">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数据安全风险评估服务</w:t>
            </w:r>
          </w:p>
        </w:tc>
        <w:tc>
          <w:tcPr>
            <w:tcW w:w="7964" w:type="dxa"/>
          </w:tcPr>
          <w:p w14:paraId="257EA2B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服务期限、频次：三年，2次/年。</w:t>
            </w:r>
          </w:p>
          <w:p w14:paraId="610A0DF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覆盖范围：衢江区卫生健康局、衢州市第二人民医院、衢</w:t>
            </w:r>
            <w:r>
              <w:rPr>
                <w:rFonts w:hint="eastAsia" w:ascii="宋体" w:hAnsi="宋体" w:eastAsia="宋体" w:cs="宋体"/>
                <w:b w:val="0"/>
                <w:bCs w:val="0"/>
                <w:color w:val="auto"/>
                <w:kern w:val="0"/>
                <w:sz w:val="24"/>
                <w:szCs w:val="24"/>
                <w:highlight w:val="none"/>
                <w:lang w:val="en-US" w:eastAsia="zh-CN" w:bidi="ar-SA"/>
              </w:rPr>
              <w:t>江区中医院、衢江区妇幼保健院、两家医共体分院</w:t>
            </w:r>
          </w:p>
          <w:p w14:paraId="5DB8378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eastAsia="仿宋_GB2312"/>
                <w:sz w:val="24"/>
                <w:szCs w:val="24"/>
                <w:highlight w:val="none"/>
                <w:lang w:val="en-US" w:eastAsia="zh-CN"/>
              </w:rPr>
            </w:pPr>
            <w:r>
              <w:rPr>
                <w:rFonts w:hint="eastAsia" w:ascii="宋体" w:hAnsi="宋体" w:eastAsia="宋体" w:cs="宋体"/>
                <w:b w:val="0"/>
                <w:bCs w:val="0"/>
                <w:kern w:val="0"/>
                <w:sz w:val="24"/>
                <w:szCs w:val="24"/>
                <w:highlight w:val="none"/>
                <w:lang w:val="en-US" w:eastAsia="zh-CN" w:bidi="ar-SA"/>
              </w:rPr>
              <w:t>服务内容：从单位、管理、技术、运行等维度，采集数据库、操作系统、各种安全设备的日志数据，输入风险分析模型，结合当前安全防护措施对医院整体数据安全风险进行评估，找出弱点和风险点，进行重点防御；通过全面测绘数据资产、识别敏感数据、检测数据库漏洞、监测网络流量、漏洞挖掘等服务，帮助发现潜在的安全风险，从而及时采取加固措施，降低数据泄露和攻击的风险。</w:t>
            </w:r>
          </w:p>
        </w:tc>
      </w:tr>
      <w:tr w14:paraId="1D3E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2" w:type="dxa"/>
            <w:vAlign w:val="center"/>
          </w:tcPr>
          <w:p w14:paraId="7FB66B2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w:t>
            </w:r>
          </w:p>
        </w:tc>
        <w:tc>
          <w:tcPr>
            <w:tcW w:w="982" w:type="dxa"/>
            <w:vAlign w:val="center"/>
          </w:tcPr>
          <w:p w14:paraId="4ACD9159">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数据安全测评审查支撑服务</w:t>
            </w:r>
          </w:p>
        </w:tc>
        <w:tc>
          <w:tcPr>
            <w:tcW w:w="7964" w:type="dxa"/>
          </w:tcPr>
          <w:p w14:paraId="7C6CC7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服务期限、频次：三年，按需不限次数</w:t>
            </w:r>
          </w:p>
          <w:p w14:paraId="450A790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覆盖范围：衢江区卫生健康局、衢州市第二人民医院、衢江</w:t>
            </w:r>
            <w:r>
              <w:rPr>
                <w:rFonts w:hint="eastAsia" w:ascii="宋体" w:hAnsi="宋体" w:eastAsia="宋体" w:cs="宋体"/>
                <w:b w:val="0"/>
                <w:bCs w:val="0"/>
                <w:color w:val="auto"/>
                <w:kern w:val="0"/>
                <w:sz w:val="24"/>
                <w:szCs w:val="24"/>
                <w:highlight w:val="none"/>
                <w:lang w:val="en-US" w:eastAsia="zh-CN" w:bidi="ar-SA"/>
              </w:rPr>
              <w:t>区中医院、衢江区妇幼保健院、两家医共体分院</w:t>
            </w:r>
          </w:p>
          <w:p w14:paraId="096491C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sz w:val="24"/>
                <w:szCs w:val="24"/>
                <w:highlight w:val="none"/>
              </w:rPr>
            </w:pPr>
            <w:r>
              <w:rPr>
                <w:rFonts w:hint="eastAsia" w:ascii="宋体" w:hAnsi="宋体" w:eastAsia="宋体" w:cs="宋体"/>
                <w:b w:val="0"/>
                <w:bCs w:val="0"/>
                <w:kern w:val="0"/>
                <w:sz w:val="24"/>
                <w:szCs w:val="24"/>
                <w:highlight w:val="none"/>
                <w:lang w:val="en-US" w:eastAsia="zh-CN" w:bidi="ar-SA"/>
              </w:rPr>
              <w:t>服务内容：在医院迎接上级对其数据安全的通过性审查时，提供全面技术支撑，将测评对应项进行罗列整理，准备审查所需的文档资料，包括但不限于数据安全管理政策、操作流程、技术防护措施等，确保材料齐全、规范，符合审查要求。</w:t>
            </w:r>
          </w:p>
        </w:tc>
      </w:tr>
      <w:tr w14:paraId="12F9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2" w:type="dxa"/>
            <w:vAlign w:val="center"/>
          </w:tcPr>
          <w:p w14:paraId="17E08C0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w:t>
            </w:r>
          </w:p>
        </w:tc>
        <w:tc>
          <w:tcPr>
            <w:tcW w:w="982" w:type="dxa"/>
            <w:vAlign w:val="center"/>
          </w:tcPr>
          <w:p w14:paraId="51FAF1E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数据安全应急响应服务</w:t>
            </w:r>
          </w:p>
        </w:tc>
        <w:tc>
          <w:tcPr>
            <w:tcW w:w="7964" w:type="dxa"/>
          </w:tcPr>
          <w:p w14:paraId="03D391B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服务期限、频次：三年，按需不限次数</w:t>
            </w:r>
          </w:p>
          <w:p w14:paraId="4E0FC77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覆盖范围：衢江区卫生健康局、衢州市第二人民医院、衢</w:t>
            </w:r>
            <w:r>
              <w:rPr>
                <w:rFonts w:hint="eastAsia" w:ascii="宋体" w:hAnsi="宋体" w:eastAsia="宋体" w:cs="宋体"/>
                <w:b w:val="0"/>
                <w:bCs w:val="0"/>
                <w:color w:val="auto"/>
                <w:kern w:val="0"/>
                <w:sz w:val="24"/>
                <w:szCs w:val="24"/>
                <w:highlight w:val="none"/>
                <w:lang w:val="en-US" w:eastAsia="zh-CN" w:bidi="ar-SA"/>
              </w:rPr>
              <w:t>江区中医院、衢江区妇幼保健院、两家医共体分院</w:t>
            </w:r>
          </w:p>
          <w:p w14:paraId="42A35FC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sz w:val="24"/>
                <w:szCs w:val="24"/>
                <w:highlight w:val="none"/>
              </w:rPr>
            </w:pPr>
            <w:r>
              <w:rPr>
                <w:rFonts w:hint="eastAsia" w:ascii="宋体" w:hAnsi="宋体" w:eastAsia="宋体" w:cs="宋体"/>
                <w:b w:val="0"/>
                <w:bCs w:val="0"/>
                <w:kern w:val="0"/>
                <w:sz w:val="24"/>
                <w:szCs w:val="24"/>
                <w:highlight w:val="none"/>
                <w:lang w:val="en-US" w:eastAsia="zh-CN" w:bidi="ar-SA"/>
              </w:rPr>
              <w:t>服务内容：当发生数据篡改、泄露、滥用等突发网络及数据安全事件时，提供包括事件检测与分析、风险抑制、问题根除、协助恢复的服务，能够协助用户快速止损，最大化降低事件带来的影响</w:t>
            </w:r>
          </w:p>
        </w:tc>
      </w:tr>
    </w:tbl>
    <w:p w14:paraId="689682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sz w:val="24"/>
          <w:szCs w:val="24"/>
          <w:highlight w:val="none"/>
          <w:lang w:val="en-US" w:eastAsia="zh-CN"/>
        </w:rPr>
        <w:t>备注：1.签约</w:t>
      </w:r>
      <w:r>
        <w:rPr>
          <w:rFonts w:hint="eastAsia" w:ascii="宋体" w:hAnsi="宋体" w:eastAsia="宋体" w:cs="宋体"/>
          <w:sz w:val="24"/>
          <w:szCs w:val="24"/>
          <w:highlight w:val="none"/>
          <w:lang w:val="en-US" w:eastAsia="zh-CN"/>
        </w:rPr>
        <w:t>合同价</w:t>
      </w:r>
      <w:r>
        <w:rPr>
          <w:rFonts w:hint="eastAsia" w:ascii="宋体" w:hAnsi="宋体" w:eastAsia="宋体" w:cs="宋体"/>
          <w:b w:val="0"/>
          <w:bCs w:val="0"/>
          <w:kern w:val="2"/>
          <w:sz w:val="24"/>
          <w:szCs w:val="24"/>
          <w:highlight w:val="none"/>
          <w:lang w:val="en-US" w:eastAsia="zh-CN" w:bidi="ar-SA"/>
        </w:rPr>
        <w:t>包含本项目招标内容及要求及合同约定所有服务内容所需所有货物的货款（含标准附件、备品备件、专用工具、包装、运输、装卸等）、人工工资（含社会保险费、劳保用品、员工住宿交通差旅费用等）、规费、税费、企业管理费、利润、系统软件（含开发、更新升级）、系统集成调试、技术支持与培训、</w:t>
      </w:r>
      <w:r>
        <w:rPr>
          <w:rFonts w:hint="eastAsia" w:ascii="宋体" w:hAnsi="宋体" w:cs="宋体"/>
          <w:b w:val="0"/>
          <w:bCs w:val="0"/>
          <w:kern w:val="2"/>
          <w:sz w:val="24"/>
          <w:szCs w:val="24"/>
          <w:highlight w:val="none"/>
          <w:lang w:val="en-US" w:eastAsia="zh-CN" w:bidi="ar-SA"/>
        </w:rPr>
        <w:t>相关</w:t>
      </w:r>
      <w:r>
        <w:rPr>
          <w:rFonts w:hint="eastAsia" w:ascii="宋体" w:hAnsi="宋体" w:eastAsia="宋体" w:cs="宋体"/>
          <w:b w:val="0"/>
          <w:bCs w:val="0"/>
          <w:kern w:val="2"/>
          <w:sz w:val="24"/>
          <w:szCs w:val="24"/>
          <w:highlight w:val="none"/>
          <w:lang w:val="en-US" w:eastAsia="zh-CN" w:bidi="ar-SA"/>
        </w:rPr>
        <w:t>数据</w:t>
      </w:r>
      <w:r>
        <w:rPr>
          <w:rFonts w:hint="eastAsia" w:ascii="宋体" w:hAnsi="宋体" w:cs="宋体"/>
          <w:b w:val="0"/>
          <w:bCs w:val="0"/>
          <w:kern w:val="2"/>
          <w:sz w:val="24"/>
          <w:szCs w:val="24"/>
          <w:highlight w:val="none"/>
          <w:lang w:val="en-US" w:eastAsia="zh-CN" w:bidi="ar-SA"/>
        </w:rPr>
        <w:t>服务</w:t>
      </w:r>
      <w:r>
        <w:rPr>
          <w:rFonts w:hint="eastAsia" w:ascii="宋体" w:hAnsi="宋体" w:eastAsia="宋体" w:cs="宋体"/>
          <w:b w:val="0"/>
          <w:bCs w:val="0"/>
          <w:kern w:val="2"/>
          <w:sz w:val="24"/>
          <w:szCs w:val="24"/>
          <w:highlight w:val="none"/>
          <w:lang w:val="en-US" w:eastAsia="zh-CN" w:bidi="ar-SA"/>
        </w:rPr>
        <w:t>（含数据资产梳理、数据安全风险评估</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0"/>
          <w:sz w:val="24"/>
          <w:szCs w:val="24"/>
          <w:highlight w:val="none"/>
          <w:lang w:val="en-US" w:eastAsia="zh-CN" w:bidi="ar-SA"/>
        </w:rPr>
        <w:t>数据安全测评审查支撑</w:t>
      </w:r>
      <w:r>
        <w:rPr>
          <w:rFonts w:hint="eastAsia" w:ascii="宋体" w:hAnsi="宋体" w:eastAsia="宋体" w:cs="宋体"/>
          <w:b w:val="0"/>
          <w:bCs w:val="0"/>
          <w:kern w:val="2"/>
          <w:sz w:val="24"/>
          <w:szCs w:val="24"/>
          <w:highlight w:val="none"/>
          <w:lang w:val="en-US" w:eastAsia="zh-CN" w:bidi="ar-SA"/>
        </w:rPr>
        <w:t>等）费用、系统接口费</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试运行、验收费、检测费、保修、售后服务以及合同包含的所有风险、责任等各项应有费用。（说明：如发生不可抗力及突发性事件，乙方要无条件听从甲方指挥，配合甲方。费用已包括在签约合同价内，甲方不再另行支付其他费用。）</w:t>
      </w:r>
    </w:p>
    <w:p w14:paraId="11692E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r>
        <w:rPr>
          <w:rFonts w:hint="eastAsia" w:ascii="宋体" w:hAnsi="宋体" w:cs="宋体"/>
          <w:b w:val="0"/>
          <w:bCs w:val="0"/>
          <w:kern w:val="2"/>
          <w:sz w:val="24"/>
          <w:szCs w:val="24"/>
          <w:highlight w:val="none"/>
          <w:lang w:val="en-US" w:eastAsia="zh-CN" w:bidi="ar-SA"/>
        </w:rPr>
        <w:t>本合同采用固定单价方式结算，签约合同价为暂定合同价，合同实际结算价款依据合同单价和甲方实际所需供货数量计算。</w:t>
      </w:r>
    </w:p>
    <w:p w14:paraId="45BA16E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三、技术资料</w:t>
      </w:r>
    </w:p>
    <w:p w14:paraId="56B67F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1.乙方应按甲方要求的时间向甲方提供使用货物的有关技术资料。</w:t>
      </w:r>
    </w:p>
    <w:p w14:paraId="0A1339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EEFE2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四、知识产权</w:t>
      </w:r>
    </w:p>
    <w:p w14:paraId="3F562C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乙方应保证所提供的货物或其任何一部分均不会侵犯任何第三方的知识产权。</w:t>
      </w:r>
    </w:p>
    <w:p w14:paraId="1D762C0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五、产权担保</w:t>
      </w:r>
    </w:p>
    <w:p w14:paraId="290B52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乙方保证所交付的货物的所有权完全属于乙方所有，且无任何抵押、查封等产权瑕疵。</w:t>
      </w:r>
    </w:p>
    <w:p w14:paraId="10C8F1D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六、转包或分包</w:t>
      </w:r>
    </w:p>
    <w:p w14:paraId="194AC4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1.本合同范围的货物，应由乙方直接供应，不得转让他人供应；</w:t>
      </w:r>
    </w:p>
    <w:p w14:paraId="5A567E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2.除非得到甲方的书面同意，乙方不得将本合同范围的货物全部或部分分包给他人供应；</w:t>
      </w:r>
    </w:p>
    <w:p w14:paraId="376F539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七、交货期、运维服务期</w:t>
      </w:r>
    </w:p>
    <w:p w14:paraId="7D02E4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1.交货期：</w:t>
      </w:r>
      <w:r>
        <w:rPr>
          <w:rFonts w:hint="eastAsia" w:ascii="宋体" w:hAnsi="宋体" w:cs="宋体"/>
          <w:b w:val="0"/>
          <w:bCs/>
          <w:color w:val="auto"/>
          <w:sz w:val="24"/>
          <w:szCs w:val="24"/>
          <w:highlight w:val="none"/>
          <w:lang w:val="en-US" w:eastAsia="zh-CN"/>
        </w:rPr>
        <w:t>合同签订生效之日起60日历天内完成采购需求范围内所有货物及软件系统</w:t>
      </w:r>
      <w:r>
        <w:rPr>
          <w:rFonts w:hint="eastAsia" w:ascii="宋体" w:hAnsi="宋体" w:eastAsia="宋体" w:cs="宋体"/>
          <w:b w:val="0"/>
          <w:bCs/>
          <w:color w:val="auto"/>
          <w:sz w:val="24"/>
          <w:szCs w:val="24"/>
          <w:highlight w:val="none"/>
        </w:rPr>
        <w:t>的采购（或生产</w:t>
      </w:r>
      <w:r>
        <w:rPr>
          <w:rFonts w:hint="eastAsia" w:ascii="宋体" w:hAnsi="宋体" w:cs="宋体"/>
          <w:b w:val="0"/>
          <w:bCs/>
          <w:color w:val="auto"/>
          <w:sz w:val="24"/>
          <w:szCs w:val="24"/>
          <w:highlight w:val="none"/>
          <w:lang w:val="en-US" w:eastAsia="zh-CN"/>
        </w:rPr>
        <w:t>制造</w:t>
      </w:r>
      <w:r>
        <w:rPr>
          <w:rFonts w:hint="eastAsia" w:ascii="宋体" w:hAnsi="宋体" w:eastAsia="宋体" w:cs="宋体"/>
          <w:b w:val="0"/>
          <w:bCs/>
          <w:color w:val="auto"/>
          <w:sz w:val="24"/>
          <w:szCs w:val="24"/>
          <w:highlight w:val="none"/>
        </w:rPr>
        <w:t>）、包装、运输、到货、安装</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集成、调试，</w:t>
      </w:r>
      <w:r>
        <w:rPr>
          <w:rFonts w:hint="eastAsia" w:ascii="宋体" w:hAnsi="宋体" w:cs="宋体"/>
          <w:b w:val="0"/>
          <w:bCs/>
          <w:color w:val="auto"/>
          <w:sz w:val="24"/>
          <w:szCs w:val="24"/>
          <w:highlight w:val="none"/>
          <w:lang w:val="en-US" w:eastAsia="zh-CN"/>
        </w:rPr>
        <w:t>并提交甲方初步验收</w:t>
      </w:r>
      <w:r>
        <w:rPr>
          <w:rFonts w:hint="eastAsia" w:ascii="宋体" w:hAnsi="宋体" w:eastAsia="宋体" w:cs="宋体"/>
          <w:sz w:val="24"/>
          <w:szCs w:val="24"/>
          <w:highlight w:val="none"/>
          <w:lang w:val="en-US" w:eastAsia="zh-CN"/>
        </w:rPr>
        <w:t>。</w:t>
      </w:r>
    </w:p>
    <w:p w14:paraId="02D780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2.运维服务期：本合同运维服务期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年，自终验合格之日计算。</w:t>
      </w:r>
    </w:p>
    <w:p w14:paraId="54009F3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八、合同款支付</w:t>
      </w:r>
    </w:p>
    <w:p w14:paraId="341868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合同签订后，支付签约合同价的40%作为预付款；</w:t>
      </w:r>
    </w:p>
    <w:p w14:paraId="17A7BC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2.乙方</w:t>
      </w:r>
      <w:r>
        <w:rPr>
          <w:rFonts w:hint="eastAsia" w:ascii="宋体" w:hAnsi="宋体" w:eastAsia="宋体" w:cs="宋体"/>
          <w:b w:val="0"/>
          <w:bCs/>
          <w:color w:val="auto"/>
          <w:sz w:val="24"/>
          <w:szCs w:val="24"/>
          <w:highlight w:val="none"/>
          <w:lang w:val="en-US" w:eastAsia="zh-CN"/>
        </w:rPr>
        <w:t>所有设备到货并按照要求上架安装、调试实施完成后进行初验，初验通过后支付至实际结算价的70%；</w:t>
      </w:r>
    </w:p>
    <w:p w14:paraId="4BD052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所有设备进行不少于三个月的试运行，运行期间保障所有设备稳定运行并满足终验条件，方可发起终验，通过终验后支付至实际结算价的95%；</w:t>
      </w:r>
    </w:p>
    <w:p w14:paraId="4E74C0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在运维服务期满后，对整体运维服务进行考核打分（打分细则详见合同约定），根据考评结果支付合同尾款。如有扣款，则在剩余合同总金额5%中扣除。</w:t>
      </w:r>
    </w:p>
    <w:p w14:paraId="506FEA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每笔款项需在区财政项目专项资金到位且</w:t>
      </w:r>
      <w:r>
        <w:rPr>
          <w:rFonts w:hint="eastAsia" w:ascii="宋体" w:hAnsi="宋体" w:cs="宋体"/>
          <w:b w:val="0"/>
          <w:bCs/>
          <w:color w:val="auto"/>
          <w:sz w:val="24"/>
          <w:szCs w:val="24"/>
          <w:highlight w:val="none"/>
          <w:lang w:val="en-US" w:eastAsia="zh-CN"/>
        </w:rPr>
        <w:t>甲方</w:t>
      </w:r>
      <w:r>
        <w:rPr>
          <w:rFonts w:hint="eastAsia" w:ascii="宋体" w:hAnsi="宋体" w:eastAsia="宋体" w:cs="宋体"/>
          <w:b w:val="0"/>
          <w:bCs/>
          <w:color w:val="auto"/>
          <w:sz w:val="24"/>
          <w:szCs w:val="24"/>
          <w:highlight w:val="none"/>
          <w:lang w:val="en-US" w:eastAsia="zh-CN"/>
        </w:rPr>
        <w:t>收到</w:t>
      </w:r>
      <w:r>
        <w:rPr>
          <w:rFonts w:hint="eastAsia" w:ascii="宋体" w:hAnsi="宋体" w:cs="宋体"/>
          <w:b w:val="0"/>
          <w:bCs/>
          <w:color w:val="auto"/>
          <w:sz w:val="24"/>
          <w:szCs w:val="24"/>
          <w:highlight w:val="none"/>
          <w:lang w:val="en-US" w:eastAsia="zh-CN"/>
        </w:rPr>
        <w:t>乙方</w:t>
      </w:r>
      <w:r>
        <w:rPr>
          <w:rFonts w:hint="eastAsia" w:ascii="宋体" w:hAnsi="宋体" w:eastAsia="宋体" w:cs="宋体"/>
          <w:b w:val="0"/>
          <w:bCs/>
          <w:color w:val="auto"/>
          <w:sz w:val="24"/>
          <w:szCs w:val="24"/>
          <w:highlight w:val="none"/>
          <w:lang w:val="en-US" w:eastAsia="zh-CN"/>
        </w:rPr>
        <w:t>开具的相应足额发票后再支付。</w:t>
      </w:r>
    </w:p>
    <w:p w14:paraId="12C55A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val="en-US" w:eastAsia="zh-CN"/>
        </w:rPr>
        <w:t>乙方</w:t>
      </w:r>
      <w:r>
        <w:rPr>
          <w:rFonts w:hint="eastAsia" w:ascii="宋体" w:hAnsi="宋体" w:eastAsia="宋体" w:cs="宋体"/>
          <w:b w:val="0"/>
          <w:bCs/>
          <w:color w:val="auto"/>
          <w:sz w:val="24"/>
          <w:szCs w:val="24"/>
          <w:highlight w:val="none"/>
          <w:lang w:val="en-US" w:eastAsia="zh-CN"/>
        </w:rPr>
        <w:t>开票信息：</w:t>
      </w:r>
    </w:p>
    <w:p w14:paraId="2096EE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cs="宋体"/>
          <w:b w:val="0"/>
          <w:bCs/>
          <w:color w:val="auto"/>
          <w:sz w:val="24"/>
          <w:szCs w:val="24"/>
          <w:highlight w:val="none"/>
          <w:u w:val="single"/>
          <w:lang w:val="en-US" w:eastAsia="zh-CN"/>
        </w:rPr>
        <w:t xml:space="preserve">                       </w:t>
      </w:r>
    </w:p>
    <w:p w14:paraId="2DF75A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税号:</w:t>
      </w:r>
      <w:r>
        <w:rPr>
          <w:rFonts w:hint="eastAsia" w:ascii="宋体" w:hAnsi="宋体" w:cs="宋体"/>
          <w:b w:val="0"/>
          <w:bCs/>
          <w:color w:val="auto"/>
          <w:sz w:val="24"/>
          <w:szCs w:val="24"/>
          <w:highlight w:val="none"/>
          <w:u w:val="single"/>
          <w:lang w:val="en-US" w:eastAsia="zh-CN"/>
        </w:rPr>
        <w:t xml:space="preserve">                     </w:t>
      </w:r>
    </w:p>
    <w:p w14:paraId="489A2C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单位地址:</w:t>
      </w:r>
      <w:r>
        <w:rPr>
          <w:rFonts w:hint="eastAsia" w:ascii="宋体" w:hAnsi="宋体" w:cs="宋体"/>
          <w:b w:val="0"/>
          <w:bCs/>
          <w:color w:val="auto"/>
          <w:sz w:val="24"/>
          <w:szCs w:val="24"/>
          <w:highlight w:val="none"/>
          <w:u w:val="single"/>
          <w:lang w:val="en-US" w:eastAsia="zh-CN"/>
        </w:rPr>
        <w:t xml:space="preserve">                     </w:t>
      </w:r>
    </w:p>
    <w:p w14:paraId="620F39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电话号码:</w:t>
      </w:r>
      <w:r>
        <w:rPr>
          <w:rFonts w:hint="eastAsia" w:ascii="宋体" w:hAnsi="宋体" w:cs="宋体"/>
          <w:b w:val="0"/>
          <w:bCs/>
          <w:color w:val="auto"/>
          <w:sz w:val="24"/>
          <w:szCs w:val="24"/>
          <w:highlight w:val="none"/>
          <w:u w:val="single"/>
          <w:lang w:val="en-US" w:eastAsia="zh-CN"/>
        </w:rPr>
        <w:t xml:space="preserve">                     </w:t>
      </w:r>
    </w:p>
    <w:p w14:paraId="4E7EEB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开户银行:</w:t>
      </w:r>
      <w:r>
        <w:rPr>
          <w:rFonts w:hint="eastAsia" w:ascii="宋体" w:hAnsi="宋体" w:cs="宋体"/>
          <w:b w:val="0"/>
          <w:bCs/>
          <w:color w:val="auto"/>
          <w:sz w:val="24"/>
          <w:szCs w:val="24"/>
          <w:highlight w:val="none"/>
          <w:u w:val="single"/>
          <w:lang w:val="en-US" w:eastAsia="zh-CN"/>
        </w:rPr>
        <w:t xml:space="preserve">                      </w:t>
      </w:r>
    </w:p>
    <w:p w14:paraId="01B66C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银行账号:</w:t>
      </w:r>
      <w:r>
        <w:rPr>
          <w:rFonts w:hint="eastAsia" w:ascii="宋体" w:hAnsi="宋体" w:cs="宋体"/>
          <w:b w:val="0"/>
          <w:bCs/>
          <w:color w:val="auto"/>
          <w:sz w:val="24"/>
          <w:szCs w:val="24"/>
          <w:highlight w:val="none"/>
          <w:u w:val="single"/>
          <w:lang w:val="en-US" w:eastAsia="zh-CN"/>
        </w:rPr>
        <w:t xml:space="preserve">                        </w:t>
      </w:r>
    </w:p>
    <w:p w14:paraId="3B2381D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九、货物包装、发运及运输</w:t>
      </w:r>
    </w:p>
    <w:p w14:paraId="77106A03">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1.乙方应在货物发运前对其进行满足运输距离、防潮、防震、防锈和防破损装卸等要求包装，以保证货物安全运达甲方指定地点。</w:t>
      </w:r>
    </w:p>
    <w:p w14:paraId="6C95940B">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2.使用说明书、质量检验证明书、随配附件和工具以及清单一并附于货物内。</w:t>
      </w:r>
    </w:p>
    <w:p w14:paraId="64581564">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3.乙方在货物发运手续办理完毕后24小时内或货到甲方48小时前通知甲方，以准备接货。</w:t>
      </w:r>
    </w:p>
    <w:p w14:paraId="3EF56D90">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4.货物在交付甲方前发生的风险均由乙方负责。</w:t>
      </w:r>
    </w:p>
    <w:p w14:paraId="611E7C95">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5.货物在规定的交付期限内由乙方送达甲方指定的地点视为交付，乙方同时需通知甲方货物已送达。</w:t>
      </w:r>
    </w:p>
    <w:p w14:paraId="4DF2116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十、调试和验收</w:t>
      </w:r>
    </w:p>
    <w:p w14:paraId="433FA40D">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1.甲方对乙方提交的货物依据招标文件上的技术规格要求和国家有关质量标准进行现场验收，外观、说明书符合招标文件技术要求的，给予签收。</w:t>
      </w:r>
    </w:p>
    <w:p w14:paraId="70BDDC4E">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2.乙方交货前应对产品作出全面检查和对验收文件进行整理，并列出清单，作为甲方收货验收和使用的技术条件依据，检验的结果应随货物交甲方。</w:t>
      </w:r>
    </w:p>
    <w:p w14:paraId="0C10B966">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3.甲方对乙方提供的货物在使用前进行调试时，乙方需负责安装并培训甲方的使用操作人员，并协助甲方一起调试，直到符合技术要求，甲方才做最终验收。</w:t>
      </w:r>
    </w:p>
    <w:p w14:paraId="702AB6DB">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4.对技术复杂的货物，甲方应请国家认可的专业检测机构参与初步验收及最终验收，并由其出具质量检测报告。</w:t>
      </w:r>
    </w:p>
    <w:p w14:paraId="5DB5FE2A">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5.验收时乙方必须在现场，验收完毕后作出验收结果报告；验收费用均由乙方承担。</w:t>
      </w:r>
    </w:p>
    <w:p w14:paraId="5162F481">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6.验收时，甲方可以委托第三方对所交付的设备参数进行审查检测，检测费用均由乙方承担</w:t>
      </w:r>
    </w:p>
    <w:p w14:paraId="575EE24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snapToGrid w:val="0"/>
          <w:kern w:val="44"/>
          <w:sz w:val="24"/>
          <w:szCs w:val="24"/>
          <w:highlight w:val="none"/>
        </w:rPr>
      </w:pPr>
      <w:r>
        <w:rPr>
          <w:rFonts w:hint="eastAsia" w:ascii="宋体" w:hAnsi="宋体" w:eastAsia="宋体" w:cs="宋体"/>
          <w:b/>
          <w:bCs/>
          <w:snapToGrid w:val="0"/>
          <w:kern w:val="44"/>
          <w:sz w:val="24"/>
          <w:szCs w:val="24"/>
          <w:highlight w:val="none"/>
        </w:rPr>
        <w:t>十</w:t>
      </w:r>
      <w:r>
        <w:rPr>
          <w:rFonts w:hint="eastAsia" w:ascii="宋体" w:hAnsi="宋体" w:eastAsia="宋体" w:cs="宋体"/>
          <w:b/>
          <w:bCs/>
          <w:snapToGrid w:val="0"/>
          <w:kern w:val="44"/>
          <w:sz w:val="24"/>
          <w:szCs w:val="24"/>
          <w:highlight w:val="none"/>
          <w:lang w:eastAsia="zh-CN"/>
        </w:rPr>
        <w:t>一</w:t>
      </w:r>
      <w:r>
        <w:rPr>
          <w:rFonts w:hint="eastAsia" w:ascii="宋体" w:hAnsi="宋体" w:eastAsia="宋体" w:cs="宋体"/>
          <w:b/>
          <w:bCs/>
          <w:snapToGrid w:val="0"/>
          <w:kern w:val="44"/>
          <w:sz w:val="24"/>
          <w:szCs w:val="24"/>
          <w:highlight w:val="none"/>
        </w:rPr>
        <w:t>、质量保证及售后服务</w:t>
      </w:r>
    </w:p>
    <w:p w14:paraId="0B6811E0">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1.乙方应按甲方要求的货物性能、技术要求、质量标准向甲方提供未经使用的全新产品。</w:t>
      </w:r>
    </w:p>
    <w:p w14:paraId="7BFE39E9">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.如在使用过程中发生质量问题，乙方在接到甲方通知后在</w:t>
      </w:r>
      <w:r>
        <w:rPr>
          <w:rFonts w:hint="eastAsia" w:ascii="宋体" w:hAnsi="宋体" w:eastAsia="宋体" w:cs="宋体"/>
          <w:sz w:val="24"/>
          <w:szCs w:val="24"/>
          <w:highlight w:val="none"/>
          <w:woUserID w:val="2"/>
        </w:rPr>
        <w:t>24</w:t>
      </w:r>
      <w:r>
        <w:rPr>
          <w:rFonts w:hint="eastAsia" w:ascii="宋体" w:hAnsi="宋体" w:eastAsia="宋体" w:cs="宋体"/>
          <w:sz w:val="24"/>
          <w:szCs w:val="24"/>
          <w:highlight w:val="none"/>
          <w:lang w:val="zh-CN"/>
        </w:rPr>
        <w:t>小时内到达甲方现场。如遇恶劣天气、气象灾害等特殊情况，乙方在12小时内远程响应，在特殊情况解除后的24小时内到达现场。</w:t>
      </w:r>
    </w:p>
    <w:p w14:paraId="546CF223">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.在运维服务期内，乙方应对货物出现的质量及安全问题负责处理解决并承担一切费用。</w:t>
      </w:r>
    </w:p>
    <w:p w14:paraId="65F51BEA">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.上述的项目运维服务期内，因人为因素出现的故障不在运维服务范围内。超过运维服务期的机器设备，终生维修，维修时收取成本费。</w:t>
      </w:r>
    </w:p>
    <w:p w14:paraId="64443CF9">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snapToGrid w:val="0"/>
          <w:kern w:val="44"/>
          <w:sz w:val="24"/>
          <w:szCs w:val="24"/>
          <w:highlight w:val="none"/>
        </w:rPr>
      </w:pPr>
      <w:r>
        <w:rPr>
          <w:rFonts w:hint="eastAsia" w:ascii="宋体" w:hAnsi="宋体" w:eastAsia="宋体" w:cs="宋体"/>
          <w:b/>
          <w:bCs/>
          <w:snapToGrid w:val="0"/>
          <w:kern w:val="44"/>
          <w:sz w:val="24"/>
          <w:szCs w:val="24"/>
          <w:highlight w:val="none"/>
        </w:rPr>
        <w:t>十</w:t>
      </w:r>
      <w:r>
        <w:rPr>
          <w:rFonts w:hint="eastAsia" w:ascii="宋体" w:hAnsi="宋体" w:eastAsia="宋体" w:cs="宋体"/>
          <w:b/>
          <w:bCs/>
          <w:snapToGrid w:val="0"/>
          <w:kern w:val="44"/>
          <w:sz w:val="24"/>
          <w:szCs w:val="24"/>
          <w:highlight w:val="none"/>
          <w:lang w:eastAsia="zh-CN"/>
        </w:rPr>
        <w:t>二</w:t>
      </w:r>
      <w:r>
        <w:rPr>
          <w:rFonts w:hint="eastAsia" w:ascii="宋体" w:hAnsi="宋体" w:eastAsia="宋体" w:cs="宋体"/>
          <w:b/>
          <w:bCs/>
          <w:snapToGrid w:val="0"/>
          <w:kern w:val="44"/>
          <w:sz w:val="24"/>
          <w:szCs w:val="24"/>
          <w:highlight w:val="none"/>
        </w:rPr>
        <w:t>、违约责任</w:t>
      </w:r>
    </w:p>
    <w:p w14:paraId="6722A5C7">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1.甲方无正当理由拒收货物的，甲方向乙方偿付拒收货款总值的百分之五违约金。</w:t>
      </w:r>
    </w:p>
    <w:p w14:paraId="6DD9ABD5">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2.甲方无故逾期验收和办理货款支付手续的,甲方应按逾期付款总额每日万分之五向乙方支付违约金。</w:t>
      </w:r>
    </w:p>
    <w:p w14:paraId="3938E565">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3.乙方逾期交付货物的，乙方应按逾期交货总额每日千分之一向甲方支付违约金，由甲方从初验款中扣除。逾期超过约定日期10个工作日不能交货的，甲方可解除本合同。乙方因逾期交货或因其他违约行为导致甲方解除合同的，并退回预付款，乙方应向甲方支付合同总值5%的违约金，如造成甲方损失超过违约金的，超出部分由乙方继续承担赔偿责任。 </w:t>
      </w:r>
    </w:p>
    <w:p w14:paraId="4A5BF5CF">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乙方所交的货物品种、型号、规格、技术参数、质量不符合合同规定及甲方要求标准的，甲方有权拒收该货物，乙方愿意更换货物但逾期交货的，按乙方逾期交货处理。乙方拒绝更换货物的，甲方可单方面解除合同。</w:t>
      </w:r>
    </w:p>
    <w:p w14:paraId="11DA3254">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snapToGrid w:val="0"/>
          <w:kern w:val="44"/>
          <w:sz w:val="24"/>
          <w:szCs w:val="24"/>
          <w:highlight w:val="none"/>
        </w:rPr>
      </w:pPr>
      <w:r>
        <w:rPr>
          <w:rFonts w:hint="eastAsia" w:ascii="宋体" w:hAnsi="宋体" w:eastAsia="宋体" w:cs="宋体"/>
          <w:b/>
          <w:bCs/>
          <w:snapToGrid w:val="0"/>
          <w:kern w:val="44"/>
          <w:sz w:val="24"/>
          <w:szCs w:val="24"/>
          <w:highlight w:val="none"/>
        </w:rPr>
        <w:t>十</w:t>
      </w:r>
      <w:r>
        <w:rPr>
          <w:rFonts w:hint="eastAsia" w:ascii="宋体" w:hAnsi="宋体" w:eastAsia="宋体" w:cs="宋体"/>
          <w:b/>
          <w:bCs/>
          <w:snapToGrid w:val="0"/>
          <w:kern w:val="44"/>
          <w:sz w:val="24"/>
          <w:szCs w:val="24"/>
          <w:highlight w:val="none"/>
          <w:lang w:eastAsia="zh-CN"/>
        </w:rPr>
        <w:t>三</w:t>
      </w:r>
      <w:r>
        <w:rPr>
          <w:rFonts w:hint="eastAsia" w:ascii="宋体" w:hAnsi="宋体" w:eastAsia="宋体" w:cs="宋体"/>
          <w:b/>
          <w:bCs/>
          <w:snapToGrid w:val="0"/>
          <w:kern w:val="44"/>
          <w:sz w:val="24"/>
          <w:szCs w:val="24"/>
          <w:highlight w:val="none"/>
        </w:rPr>
        <w:t>、不可抗力事件处理</w:t>
      </w:r>
    </w:p>
    <w:p w14:paraId="03E1FDC1">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1.不可抗力指下列事件：战争、动乱、瘟疫、严重火灾、洪水、地震、风暴或其他自然灾害，以及本合同各方不可预见、不可防止并不能避免或克服的一切其他事件。</w:t>
      </w:r>
    </w:p>
    <w:p w14:paraId="14393935">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2.任何一方因不可抗力不能履行本合同规定的全部或部分义务，该方应尽快通知对方，并须在不可抗力发生后3日内以书面形式向对方提供详细情况报告及不可抗力对履行本合同的影响程度的说明。</w:t>
      </w:r>
    </w:p>
    <w:p w14:paraId="1003A7CD">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发生不可抗力事件，任何一方均不对因不可抗力无法履行或迟延履行本合同义务而使另外一方蒙受的任何损失承担责任。但遭受不可抗力影响的一方有责任尽可能及时采取适当或必要措施减少或消除不可抗力的影响。遭受不可抗力影响的一方对因未尽本项责任而造成的相关损失承担责任。</w:t>
      </w:r>
    </w:p>
    <w:p w14:paraId="06F238C5">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4.合同双方应根据不可抗力对本合同履行的影响程度，协商确定是否终止本合同，或是继续履行本合同。</w:t>
      </w:r>
    </w:p>
    <w:p w14:paraId="6DA72BC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snapToGrid w:val="0"/>
          <w:kern w:val="44"/>
          <w:sz w:val="24"/>
          <w:szCs w:val="24"/>
          <w:highlight w:val="none"/>
        </w:rPr>
      </w:pPr>
      <w:r>
        <w:rPr>
          <w:rFonts w:hint="eastAsia" w:ascii="宋体" w:hAnsi="宋体" w:eastAsia="宋体" w:cs="宋体"/>
          <w:b/>
          <w:bCs/>
          <w:snapToGrid w:val="0"/>
          <w:kern w:val="44"/>
          <w:sz w:val="24"/>
          <w:szCs w:val="24"/>
          <w:highlight w:val="none"/>
        </w:rPr>
        <w:t>十</w:t>
      </w:r>
      <w:r>
        <w:rPr>
          <w:rFonts w:hint="eastAsia" w:ascii="宋体" w:hAnsi="宋体" w:eastAsia="宋体" w:cs="宋体"/>
          <w:b/>
          <w:bCs/>
          <w:snapToGrid w:val="0"/>
          <w:kern w:val="44"/>
          <w:sz w:val="24"/>
          <w:szCs w:val="24"/>
          <w:highlight w:val="none"/>
          <w:lang w:eastAsia="zh-CN"/>
        </w:rPr>
        <w:t>四</w:t>
      </w:r>
      <w:r>
        <w:rPr>
          <w:rFonts w:hint="eastAsia" w:ascii="宋体" w:hAnsi="宋体" w:eastAsia="宋体" w:cs="宋体"/>
          <w:b/>
          <w:bCs/>
          <w:snapToGrid w:val="0"/>
          <w:kern w:val="44"/>
          <w:sz w:val="24"/>
          <w:szCs w:val="24"/>
          <w:highlight w:val="none"/>
        </w:rPr>
        <w:t>、合同的终止</w:t>
      </w:r>
    </w:p>
    <w:p w14:paraId="2655B79C">
      <w:pPr>
        <w:keepNext/>
        <w:keepLines/>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宋体" w:hAnsi="宋体" w:eastAsia="宋体" w:cs="宋体"/>
          <w:b w:val="0"/>
          <w:bCs w:val="0"/>
          <w:snapToGrid w:val="0"/>
          <w:kern w:val="44"/>
          <w:sz w:val="24"/>
          <w:szCs w:val="24"/>
          <w:highlight w:val="none"/>
        </w:rPr>
      </w:pPr>
      <w:r>
        <w:rPr>
          <w:rFonts w:hint="eastAsia" w:ascii="宋体" w:hAnsi="宋体" w:eastAsia="宋体" w:cs="宋体"/>
          <w:b w:val="0"/>
          <w:bCs w:val="0"/>
          <w:snapToGrid w:val="0"/>
          <w:kern w:val="44"/>
          <w:sz w:val="24"/>
          <w:szCs w:val="24"/>
          <w:highlight w:val="none"/>
        </w:rPr>
        <w:t>本合同因下列原因而终止：</w:t>
      </w:r>
    </w:p>
    <w:p w14:paraId="07534437">
      <w:pPr>
        <w:keepNext/>
        <w:keepLines/>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宋体" w:hAnsi="宋体" w:eastAsia="宋体" w:cs="宋体"/>
          <w:b w:val="0"/>
          <w:bCs w:val="0"/>
          <w:snapToGrid w:val="0"/>
          <w:kern w:val="44"/>
          <w:sz w:val="24"/>
          <w:szCs w:val="24"/>
          <w:highlight w:val="none"/>
        </w:rPr>
      </w:pPr>
      <w:r>
        <w:rPr>
          <w:rFonts w:hint="eastAsia" w:ascii="宋体" w:hAnsi="宋体" w:eastAsia="宋体" w:cs="宋体"/>
          <w:b w:val="0"/>
          <w:bCs w:val="0"/>
          <w:snapToGrid w:val="0"/>
          <w:kern w:val="44"/>
          <w:sz w:val="24"/>
          <w:szCs w:val="24"/>
          <w:highlight w:val="none"/>
        </w:rPr>
        <w:t>（1）本合同正常履行完毕；</w:t>
      </w:r>
    </w:p>
    <w:p w14:paraId="5B74828C">
      <w:pPr>
        <w:keepNext/>
        <w:keepLines/>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宋体" w:hAnsi="宋体" w:eastAsia="宋体" w:cs="宋体"/>
          <w:b w:val="0"/>
          <w:bCs w:val="0"/>
          <w:snapToGrid w:val="0"/>
          <w:kern w:val="44"/>
          <w:sz w:val="24"/>
          <w:szCs w:val="24"/>
          <w:highlight w:val="none"/>
        </w:rPr>
      </w:pPr>
      <w:r>
        <w:rPr>
          <w:rFonts w:hint="eastAsia" w:ascii="宋体" w:hAnsi="宋体" w:eastAsia="宋体" w:cs="宋体"/>
          <w:b w:val="0"/>
          <w:bCs w:val="0"/>
          <w:snapToGrid w:val="0"/>
          <w:kern w:val="44"/>
          <w:sz w:val="24"/>
          <w:szCs w:val="24"/>
          <w:highlight w:val="none"/>
        </w:rPr>
        <w:t>（2）合同双方协议终止本合同的履行；</w:t>
      </w:r>
    </w:p>
    <w:p w14:paraId="681702C2">
      <w:pPr>
        <w:keepNext/>
        <w:keepLines/>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宋体" w:hAnsi="宋体" w:eastAsia="宋体" w:cs="宋体"/>
          <w:b w:val="0"/>
          <w:bCs w:val="0"/>
          <w:snapToGrid w:val="0"/>
          <w:kern w:val="44"/>
          <w:sz w:val="24"/>
          <w:szCs w:val="24"/>
          <w:highlight w:val="none"/>
        </w:rPr>
      </w:pPr>
      <w:r>
        <w:rPr>
          <w:rFonts w:hint="eastAsia" w:ascii="宋体" w:hAnsi="宋体" w:eastAsia="宋体" w:cs="宋体"/>
          <w:b w:val="0"/>
          <w:bCs w:val="0"/>
          <w:snapToGrid w:val="0"/>
          <w:kern w:val="44"/>
          <w:sz w:val="24"/>
          <w:szCs w:val="24"/>
          <w:highlight w:val="none"/>
        </w:rPr>
        <w:t>（3）不可抗力事件导致本合同无法履行；</w:t>
      </w:r>
    </w:p>
    <w:p w14:paraId="68A5914C">
      <w:pPr>
        <w:keepNext/>
        <w:keepLines/>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宋体" w:hAnsi="宋体" w:eastAsia="宋体" w:cs="宋体"/>
          <w:b w:val="0"/>
          <w:bCs w:val="0"/>
          <w:snapToGrid w:val="0"/>
          <w:kern w:val="44"/>
          <w:sz w:val="24"/>
          <w:szCs w:val="24"/>
          <w:highlight w:val="none"/>
        </w:rPr>
      </w:pPr>
      <w:r>
        <w:rPr>
          <w:rFonts w:hint="eastAsia" w:ascii="宋体" w:hAnsi="宋体" w:eastAsia="宋体" w:cs="宋体"/>
          <w:b w:val="0"/>
          <w:bCs w:val="0"/>
          <w:snapToGrid w:val="0"/>
          <w:kern w:val="44"/>
          <w:sz w:val="24"/>
          <w:szCs w:val="24"/>
          <w:highlight w:val="none"/>
        </w:rPr>
        <w:t>（4）任何一方依据法律规定或本合同约定行使解除权，解除本合同。</w:t>
      </w:r>
    </w:p>
    <w:p w14:paraId="63F93C6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snapToGrid w:val="0"/>
          <w:kern w:val="44"/>
          <w:sz w:val="24"/>
          <w:szCs w:val="24"/>
          <w:highlight w:val="none"/>
        </w:rPr>
      </w:pPr>
      <w:r>
        <w:rPr>
          <w:rFonts w:hint="eastAsia" w:ascii="宋体" w:hAnsi="宋体" w:eastAsia="宋体" w:cs="宋体"/>
          <w:b/>
          <w:bCs/>
          <w:snapToGrid w:val="0"/>
          <w:kern w:val="44"/>
          <w:sz w:val="24"/>
          <w:szCs w:val="24"/>
          <w:highlight w:val="none"/>
          <w:lang w:eastAsia="zh-CN"/>
        </w:rPr>
        <w:t>十五、</w:t>
      </w:r>
      <w:r>
        <w:rPr>
          <w:rFonts w:hint="eastAsia" w:ascii="宋体" w:hAnsi="宋体" w:eastAsia="宋体" w:cs="宋体"/>
          <w:b/>
          <w:bCs/>
          <w:snapToGrid w:val="0"/>
          <w:kern w:val="44"/>
          <w:sz w:val="24"/>
          <w:szCs w:val="24"/>
          <w:highlight w:val="none"/>
        </w:rPr>
        <w:t>争议的解决</w:t>
      </w:r>
    </w:p>
    <w:p w14:paraId="5374EB55">
      <w:pPr>
        <w:keepNext/>
        <w:keepLines/>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宋体" w:hAnsi="宋体" w:eastAsia="宋体" w:cs="宋体"/>
          <w:b w:val="0"/>
          <w:bCs w:val="0"/>
          <w:snapToGrid w:val="0"/>
          <w:kern w:val="44"/>
          <w:sz w:val="24"/>
          <w:szCs w:val="24"/>
          <w:highlight w:val="none"/>
        </w:rPr>
      </w:pPr>
      <w:r>
        <w:rPr>
          <w:rFonts w:hint="eastAsia" w:ascii="宋体" w:hAnsi="宋体" w:eastAsia="宋体" w:cs="宋体"/>
          <w:b w:val="0"/>
          <w:bCs w:val="0"/>
          <w:snapToGrid w:val="0"/>
          <w:kern w:val="44"/>
          <w:sz w:val="24"/>
          <w:szCs w:val="24"/>
          <w:highlight w:val="none"/>
        </w:rPr>
        <w:t>1.合同双方应通过友好协商解决因解释、执行本合同所发生的和本合同有关的一切争议。如果经协商不能达成协议，则双方同意在甲方住所地有管辖权的人民法院提起诉讼。</w:t>
      </w:r>
    </w:p>
    <w:p w14:paraId="20C6068B">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snapToGrid w:val="0"/>
          <w:kern w:val="44"/>
          <w:sz w:val="24"/>
          <w:szCs w:val="24"/>
          <w:highlight w:val="none"/>
          <w:lang w:val="zh-CN"/>
        </w:rPr>
      </w:pPr>
      <w:r>
        <w:rPr>
          <w:rFonts w:hint="eastAsia" w:ascii="宋体" w:hAnsi="宋体" w:eastAsia="宋体" w:cs="宋体"/>
          <w:b w:val="0"/>
          <w:bCs w:val="0"/>
          <w:snapToGrid w:val="0"/>
          <w:kern w:val="44"/>
          <w:sz w:val="24"/>
          <w:szCs w:val="24"/>
          <w:highlight w:val="none"/>
        </w:rPr>
        <w:t>2.在诉讼期间，除了必须在诉讼过程中进行解决的那部分问题外，合同其余部分应继续履行。</w:t>
      </w:r>
    </w:p>
    <w:p w14:paraId="7D5BD11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宋体" w:hAnsi="宋体" w:eastAsia="宋体" w:cs="宋体"/>
          <w:b/>
          <w:bCs/>
          <w:snapToGrid w:val="0"/>
          <w:kern w:val="44"/>
          <w:sz w:val="24"/>
          <w:szCs w:val="24"/>
          <w:highlight w:val="none"/>
          <w:lang w:eastAsia="zh-CN"/>
        </w:rPr>
      </w:pPr>
      <w:r>
        <w:rPr>
          <w:rFonts w:hint="eastAsia" w:ascii="宋体" w:hAnsi="宋体" w:eastAsia="宋体" w:cs="宋体"/>
          <w:b/>
          <w:bCs/>
          <w:snapToGrid w:val="0"/>
          <w:kern w:val="44"/>
          <w:sz w:val="24"/>
          <w:szCs w:val="24"/>
          <w:highlight w:val="none"/>
          <w:lang w:eastAsia="zh-CN"/>
        </w:rPr>
        <w:t>十六、合同生效及其它</w:t>
      </w:r>
    </w:p>
    <w:p w14:paraId="07A9E39B">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1.合同经双方法定代表人或授权代表签字并加盖单位公章（或合同专用章）后生效。</w:t>
      </w:r>
    </w:p>
    <w:p w14:paraId="7F2D6BBE">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合同执行中涉及采购资金和采购内容修改或补充的，双方协商一致，可以对本合同进行补充、修改或变更。对本合同的任何补充、修改或变更必须以书面形式进行。双方签订的补充协议以及修改或变更的条款与本合同具有同等法律效力。</w:t>
      </w:r>
    </w:p>
    <w:p w14:paraId="5F9DF84B">
      <w:pPr>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3.本合同未尽事宜，遵照《民法典》有关条文执行。</w:t>
      </w:r>
    </w:p>
    <w:p w14:paraId="4DE4F20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4.本合同正本一式</w:t>
      </w:r>
      <w:r>
        <w:rPr>
          <w:rFonts w:hint="eastAsia" w:ascii="宋体" w:hAnsi="宋体" w:eastAsia="宋体" w:cs="宋体"/>
          <w:sz w:val="24"/>
          <w:szCs w:val="24"/>
          <w:highlight w:val="none"/>
        </w:rPr>
        <w:t>肆</w:t>
      </w:r>
      <w:r>
        <w:rPr>
          <w:rFonts w:hint="eastAsia" w:ascii="宋体" w:hAnsi="宋体" w:eastAsia="宋体" w:cs="宋体"/>
          <w:sz w:val="24"/>
          <w:szCs w:val="24"/>
          <w:highlight w:val="none"/>
          <w:lang w:val="zh-CN"/>
        </w:rPr>
        <w:t>份，甲、乙双方各执</w:t>
      </w:r>
      <w:r>
        <w:rPr>
          <w:rFonts w:hint="eastAsia" w:ascii="宋体" w:hAnsi="宋体" w:eastAsia="宋体" w:cs="宋体"/>
          <w:sz w:val="24"/>
          <w:szCs w:val="24"/>
          <w:highlight w:val="none"/>
        </w:rPr>
        <w:t>贰</w:t>
      </w:r>
      <w:r>
        <w:rPr>
          <w:rFonts w:hint="eastAsia" w:ascii="宋体" w:hAnsi="宋体" w:eastAsia="宋体" w:cs="宋体"/>
          <w:sz w:val="24"/>
          <w:szCs w:val="24"/>
          <w:highlight w:val="none"/>
          <w:lang w:val="zh-CN"/>
        </w:rPr>
        <w:t>份，具有同等法律效力。</w:t>
      </w:r>
    </w:p>
    <w:p w14:paraId="188DE19D">
      <w:pPr>
        <w:bidi w:val="0"/>
        <w:rPr>
          <w:rFonts w:hint="eastAsia"/>
          <w:highlight w:val="none"/>
        </w:rPr>
      </w:pPr>
    </w:p>
    <w:tbl>
      <w:tblPr>
        <w:tblStyle w:val="21"/>
        <w:tblW w:w="9628" w:type="dxa"/>
        <w:tblInd w:w="106" w:type="dxa"/>
        <w:tblLayout w:type="fixed"/>
        <w:tblCellMar>
          <w:top w:w="0" w:type="dxa"/>
          <w:left w:w="108" w:type="dxa"/>
          <w:bottom w:w="0" w:type="dxa"/>
          <w:right w:w="108" w:type="dxa"/>
        </w:tblCellMar>
      </w:tblPr>
      <w:tblGrid>
        <w:gridCol w:w="4732"/>
        <w:gridCol w:w="4896"/>
      </w:tblGrid>
      <w:tr w14:paraId="173CFBB2">
        <w:tblPrEx>
          <w:tblCellMar>
            <w:top w:w="0" w:type="dxa"/>
            <w:left w:w="108" w:type="dxa"/>
            <w:bottom w:w="0" w:type="dxa"/>
            <w:right w:w="108" w:type="dxa"/>
          </w:tblCellMar>
        </w:tblPrEx>
        <w:trPr>
          <w:trHeight w:val="1071" w:hRule="atLeast"/>
        </w:trPr>
        <w:tc>
          <w:tcPr>
            <w:tcW w:w="4732" w:type="dxa"/>
          </w:tcPr>
          <w:p w14:paraId="69D85C19">
            <w:pPr>
              <w:widowControl w:val="0"/>
              <w:adjustRightInd/>
              <w:snapToGrid/>
              <w:spacing w:after="0" w:line="360" w:lineRule="auto"/>
              <w:ind w:left="1960" w:hanging="1680" w:hangingChars="7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甲方（盖章）：</w:t>
            </w:r>
          </w:p>
        </w:tc>
        <w:tc>
          <w:tcPr>
            <w:tcW w:w="4896" w:type="dxa"/>
          </w:tcPr>
          <w:p w14:paraId="0D065768">
            <w:pPr>
              <w:widowControl w:val="0"/>
              <w:adjustRightInd/>
              <w:snapToGrid/>
              <w:spacing w:after="0" w:line="360" w:lineRule="auto"/>
              <w:ind w:left="1960" w:hanging="1680" w:hangingChars="7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乙方（盖章）：</w:t>
            </w:r>
          </w:p>
        </w:tc>
      </w:tr>
      <w:tr w14:paraId="72BC9CB4">
        <w:tblPrEx>
          <w:tblCellMar>
            <w:top w:w="0" w:type="dxa"/>
            <w:left w:w="108" w:type="dxa"/>
            <w:bottom w:w="0" w:type="dxa"/>
            <w:right w:w="108" w:type="dxa"/>
          </w:tblCellMar>
        </w:tblPrEx>
        <w:trPr>
          <w:trHeight w:val="1224" w:hRule="atLeast"/>
        </w:trPr>
        <w:tc>
          <w:tcPr>
            <w:tcW w:w="4732" w:type="dxa"/>
          </w:tcPr>
          <w:p w14:paraId="2DA5B5EE">
            <w:pPr>
              <w:widowControl w:val="0"/>
              <w:adjustRightInd/>
              <w:snapToGrid/>
              <w:spacing w:after="0"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p>
          <w:p w14:paraId="0C646286">
            <w:pPr>
              <w:widowControl w:val="0"/>
              <w:adjustRightInd/>
              <w:snapToGrid/>
              <w:spacing w:after="0"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或授权委托人（签字）：</w:t>
            </w:r>
          </w:p>
        </w:tc>
        <w:tc>
          <w:tcPr>
            <w:tcW w:w="4896" w:type="dxa"/>
          </w:tcPr>
          <w:p w14:paraId="57FD0A29">
            <w:pPr>
              <w:widowControl w:val="0"/>
              <w:adjustRightInd/>
              <w:snapToGrid/>
              <w:spacing w:after="0"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p>
          <w:p w14:paraId="061D1FDE">
            <w:pPr>
              <w:widowControl w:val="0"/>
              <w:adjustRightInd/>
              <w:snapToGrid/>
              <w:spacing w:after="0"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或授权委托人（签字）：</w:t>
            </w:r>
          </w:p>
        </w:tc>
      </w:tr>
      <w:tr w14:paraId="29914E1A">
        <w:tblPrEx>
          <w:tblCellMar>
            <w:top w:w="0" w:type="dxa"/>
            <w:left w:w="108" w:type="dxa"/>
            <w:bottom w:w="0" w:type="dxa"/>
            <w:right w:w="108" w:type="dxa"/>
          </w:tblCellMar>
        </w:tblPrEx>
        <w:trPr>
          <w:trHeight w:val="730" w:hRule="atLeast"/>
        </w:trPr>
        <w:tc>
          <w:tcPr>
            <w:tcW w:w="4732" w:type="dxa"/>
          </w:tcPr>
          <w:p w14:paraId="112286B9">
            <w:pPr>
              <w:widowControl w:val="0"/>
              <w:adjustRightInd/>
              <w:snapToGrid/>
              <w:spacing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4896" w:type="dxa"/>
            <w:vAlign w:val="bottom"/>
          </w:tcPr>
          <w:p w14:paraId="5049261F">
            <w:pPr>
              <w:pStyle w:val="7"/>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bl>
    <w:p w14:paraId="0D5357C4">
      <w:pPr>
        <w:bidi w:val="0"/>
        <w:rPr>
          <w:rFonts w:hint="eastAsia"/>
          <w:highlight w:val="none"/>
        </w:rPr>
      </w:pPr>
    </w:p>
    <w:p w14:paraId="21B09385">
      <w:pPr>
        <w:bidi w:val="0"/>
        <w:rPr>
          <w:rFonts w:hint="eastAsia"/>
          <w:highlight w:val="none"/>
        </w:rPr>
      </w:pPr>
    </w:p>
    <w:p w14:paraId="686E906E">
      <w:pPr>
        <w:bidi w:val="0"/>
        <w:rPr>
          <w:rFonts w:hint="eastAsia" w:eastAsia="宋体"/>
          <w:highlight w:val="none"/>
          <w:lang w:val="en-US" w:eastAsia="zh-CN"/>
        </w:rPr>
      </w:pPr>
      <w:r>
        <w:rPr>
          <w:rFonts w:hint="eastAsia"/>
          <w:highlight w:val="none"/>
          <w:lang w:val="en-US" w:eastAsia="zh-CN"/>
        </w:rPr>
        <w:t>附件：</w:t>
      </w:r>
    </w:p>
    <w:p w14:paraId="7188FDF9">
      <w:pPr>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运维服务</w:t>
      </w:r>
      <w:r>
        <w:rPr>
          <w:rFonts w:hint="eastAsia" w:ascii="宋体" w:hAnsi="宋体" w:eastAsia="宋体" w:cs="宋体"/>
          <w:sz w:val="24"/>
          <w:szCs w:val="24"/>
          <w:highlight w:val="none"/>
        </w:rPr>
        <w:t>考核打分细则</w:t>
      </w:r>
    </w:p>
    <w:tbl>
      <w:tblPr>
        <w:tblStyle w:val="2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4486"/>
        <w:gridCol w:w="4050"/>
      </w:tblGrid>
      <w:tr w14:paraId="11AF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Align w:val="top"/>
          </w:tcPr>
          <w:p w14:paraId="4D52D7E4">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考核项</w:t>
            </w:r>
          </w:p>
        </w:tc>
        <w:tc>
          <w:tcPr>
            <w:tcW w:w="4486" w:type="dxa"/>
            <w:vAlign w:val="top"/>
          </w:tcPr>
          <w:p w14:paraId="4133DC8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考核内容</w:t>
            </w:r>
          </w:p>
        </w:tc>
        <w:tc>
          <w:tcPr>
            <w:tcW w:w="4050" w:type="dxa"/>
            <w:vAlign w:val="top"/>
          </w:tcPr>
          <w:p w14:paraId="709D51C4">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打分细则</w:t>
            </w:r>
          </w:p>
        </w:tc>
      </w:tr>
      <w:tr w14:paraId="518F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Merge w:val="restart"/>
            <w:vAlign w:val="center"/>
          </w:tcPr>
          <w:p w14:paraId="35C4A3E0">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服务响应及时性</w:t>
            </w:r>
          </w:p>
          <w:p w14:paraId="16C14A8E">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（40分）</w:t>
            </w:r>
          </w:p>
        </w:tc>
        <w:tc>
          <w:tcPr>
            <w:tcW w:w="4486" w:type="dxa"/>
            <w:vAlign w:val="center"/>
          </w:tcPr>
          <w:p w14:paraId="57553EF1">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紧急故障（指本合同内设备宕机等影响业务正常运行的故障），乙方需在最短时间内恢复业务。因演练等正常业务维护或不可抗原因导致的业务中断不纳入考核。因特殊不可抗力原因无法解决的需与用户沟通延迟处置时间，但需提供临时解决方案，确保业务不受影响。</w:t>
            </w:r>
          </w:p>
        </w:tc>
        <w:tc>
          <w:tcPr>
            <w:tcW w:w="4050" w:type="dxa"/>
          </w:tcPr>
          <w:p w14:paraId="52833CC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业务中断1小时以内的每次扣3分；业务中断1-2小时的每次扣</w:t>
            </w:r>
            <w:r>
              <w:rPr>
                <w:rFonts w:hint="eastAsia" w:ascii="宋体" w:hAnsi="宋体" w:eastAsia="宋体" w:cs="宋体"/>
                <w:sz w:val="24"/>
                <w:szCs w:val="24"/>
                <w:highlight w:val="none"/>
                <w:lang w:eastAsia="zh-CN"/>
                <w:woUserID w:val="2"/>
              </w:rPr>
              <w:t>6</w:t>
            </w:r>
            <w:r>
              <w:rPr>
                <w:rFonts w:hint="eastAsia" w:ascii="宋体" w:hAnsi="宋体" w:eastAsia="宋体" w:cs="宋体"/>
                <w:sz w:val="24"/>
                <w:szCs w:val="24"/>
                <w:highlight w:val="none"/>
                <w:lang w:val="en-US" w:eastAsia="zh-CN"/>
              </w:rPr>
              <w:t>分；业务中断2-3小时的每次扣</w:t>
            </w:r>
            <w:r>
              <w:rPr>
                <w:rFonts w:hint="eastAsia" w:ascii="宋体" w:hAnsi="宋体" w:eastAsia="宋体" w:cs="宋体"/>
                <w:sz w:val="24"/>
                <w:szCs w:val="24"/>
                <w:highlight w:val="none"/>
                <w:lang w:val="en-US" w:eastAsia="zh-CN"/>
                <w:woUserID w:val="2"/>
              </w:rPr>
              <w:t>10</w:t>
            </w:r>
            <w:r>
              <w:rPr>
                <w:rFonts w:hint="eastAsia" w:ascii="宋体" w:hAnsi="宋体" w:eastAsia="宋体" w:cs="宋体"/>
                <w:sz w:val="24"/>
                <w:szCs w:val="24"/>
                <w:highlight w:val="none"/>
                <w:lang w:val="en-US" w:eastAsia="zh-CN"/>
              </w:rPr>
              <w:t>分。业务中断超过3小时的每次扣</w:t>
            </w:r>
            <w:r>
              <w:rPr>
                <w:rFonts w:hint="eastAsia" w:ascii="宋体" w:hAnsi="宋体" w:eastAsia="宋体" w:cs="宋体"/>
                <w:sz w:val="24"/>
                <w:szCs w:val="24"/>
                <w:highlight w:val="none"/>
                <w:lang w:val="en-US" w:eastAsia="zh-CN"/>
                <w:woUserID w:val="2"/>
              </w:rPr>
              <w:t>15</w:t>
            </w:r>
            <w:r>
              <w:rPr>
                <w:rFonts w:hint="eastAsia" w:ascii="宋体" w:hAnsi="宋体" w:eastAsia="宋体" w:cs="宋体"/>
                <w:sz w:val="24"/>
                <w:szCs w:val="24"/>
                <w:highlight w:val="none"/>
                <w:lang w:val="en-US" w:eastAsia="zh-CN"/>
              </w:rPr>
              <w:t>分。总分30分。</w:t>
            </w:r>
          </w:p>
        </w:tc>
      </w:tr>
      <w:tr w14:paraId="06C6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Merge w:val="continue"/>
          </w:tcPr>
          <w:p w14:paraId="64222F35">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p>
        </w:tc>
        <w:tc>
          <w:tcPr>
            <w:tcW w:w="4486" w:type="dxa"/>
          </w:tcPr>
          <w:p w14:paraId="60D3F280">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一般运维需求（策略优化、技术咨询、不影响业务运行的非紧急故障排查等），乙方需在30分钟内响应，4小时内给出处理方案或明确回复；需现场处理的，2日内安排人员到场。</w:t>
            </w:r>
          </w:p>
        </w:tc>
        <w:tc>
          <w:tcPr>
            <w:tcW w:w="4050" w:type="dxa"/>
            <w:vAlign w:val="center"/>
          </w:tcPr>
          <w:p w14:paraId="7D8D1F1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未按规定时间响应每次扣1分。总分5分。</w:t>
            </w:r>
          </w:p>
        </w:tc>
      </w:tr>
      <w:tr w14:paraId="41F4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Merge w:val="continue"/>
          </w:tcPr>
          <w:p w14:paraId="7C19A122">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p>
        </w:tc>
        <w:tc>
          <w:tcPr>
            <w:tcW w:w="4486" w:type="dxa"/>
          </w:tcPr>
          <w:p w14:paraId="62F4410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及时响应国家、省、市开展的综合应急演练。检验应急响应速度与处置能力。演练结束后5个工作日内提交演练总结报告</w:t>
            </w:r>
          </w:p>
        </w:tc>
        <w:tc>
          <w:tcPr>
            <w:tcW w:w="4050" w:type="dxa"/>
            <w:vAlign w:val="center"/>
          </w:tcPr>
          <w:p w14:paraId="6B659886">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未提交演练总结报告每次扣1分，扣完为止。总分5分。</w:t>
            </w:r>
          </w:p>
        </w:tc>
      </w:tr>
      <w:tr w14:paraId="3382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Merge w:val="restart"/>
            <w:vAlign w:val="center"/>
          </w:tcPr>
          <w:p w14:paraId="64FF20B2">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服务质量</w:t>
            </w:r>
          </w:p>
          <w:p w14:paraId="1B079ECC">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（50分）</w:t>
            </w:r>
          </w:p>
        </w:tc>
        <w:tc>
          <w:tcPr>
            <w:tcW w:w="4486" w:type="dxa"/>
          </w:tcPr>
          <w:p w14:paraId="6B53860D">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trike/>
                <w:sz w:val="24"/>
                <w:szCs w:val="24"/>
                <w:highlight w:val="none"/>
                <w:lang w:val="en-US"/>
              </w:rPr>
            </w:pPr>
            <w:r>
              <w:rPr>
                <w:rFonts w:hint="eastAsia" w:ascii="宋体" w:hAnsi="宋体" w:eastAsia="宋体" w:cs="宋体"/>
                <w:sz w:val="24"/>
                <w:szCs w:val="24"/>
                <w:highlight w:val="none"/>
                <w:lang w:val="en-US" w:eastAsia="zh-CN"/>
              </w:rPr>
              <w:t>运维服务期内按服务要求内容提供规定频次的数据资产梳理、数据安全风险评估、数据安全测评审查支撑、应急响应服务等相关报告</w:t>
            </w:r>
          </w:p>
        </w:tc>
        <w:tc>
          <w:tcPr>
            <w:tcW w:w="4050" w:type="dxa"/>
            <w:vAlign w:val="center"/>
          </w:tcPr>
          <w:p w14:paraId="397B405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trike/>
                <w:sz w:val="24"/>
                <w:szCs w:val="24"/>
                <w:highlight w:val="none"/>
              </w:rPr>
            </w:pPr>
            <w:r>
              <w:rPr>
                <w:rFonts w:hint="eastAsia" w:ascii="宋体" w:hAnsi="宋体" w:eastAsia="宋体" w:cs="宋体"/>
                <w:sz w:val="24"/>
                <w:szCs w:val="24"/>
                <w:highlight w:val="none"/>
                <w:lang w:val="en-US" w:eastAsia="zh-CN"/>
              </w:rPr>
              <w:t>每缺少一次扣1分。总分5分。</w:t>
            </w:r>
          </w:p>
        </w:tc>
      </w:tr>
      <w:tr w14:paraId="414E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Merge w:val="continue"/>
          </w:tcPr>
          <w:p w14:paraId="7BD307C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p>
        </w:tc>
        <w:tc>
          <w:tcPr>
            <w:tcW w:w="4486" w:type="dxa"/>
          </w:tcPr>
          <w:p w14:paraId="09493FA7">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针对重大活动、节假日等重保场景，确保重保期间系统稳定。</w:t>
            </w:r>
          </w:p>
        </w:tc>
        <w:tc>
          <w:tcPr>
            <w:tcW w:w="4050" w:type="dxa"/>
            <w:vAlign w:val="center"/>
          </w:tcPr>
          <w:p w14:paraId="2B0B40D8">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重保期间出现系统故障未按重保要求完成问题响应、处置的每次扣1分，扣完为止。总分5分。</w:t>
            </w:r>
          </w:p>
        </w:tc>
      </w:tr>
      <w:tr w14:paraId="4588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Merge w:val="continue"/>
          </w:tcPr>
          <w:p w14:paraId="7A772EEC">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p>
        </w:tc>
        <w:tc>
          <w:tcPr>
            <w:tcW w:w="4486" w:type="dxa"/>
          </w:tcPr>
          <w:p w14:paraId="53B6D1F8">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评估本合同服务内容在运维服务期内的安全防护情况。</w:t>
            </w:r>
          </w:p>
        </w:tc>
        <w:tc>
          <w:tcPr>
            <w:tcW w:w="4050" w:type="dxa"/>
            <w:vAlign w:val="center"/>
          </w:tcPr>
          <w:p w14:paraId="3E367100">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国家层面下发相关隐患，扣4分；</w:t>
            </w:r>
          </w:p>
          <w:p w14:paraId="31E2266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省级层面下发相关隐患，每次扣3分；</w:t>
            </w:r>
          </w:p>
          <w:p w14:paraId="0A05498C">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市级层面下发相关隐患，每次扣2分；</w:t>
            </w:r>
          </w:p>
          <w:p w14:paraId="6A42F979">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区级层面下发相关隐患，每次扣1分。</w:t>
            </w:r>
          </w:p>
          <w:p w14:paraId="08E535FA">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相同隐患就高扣分，不重复扣分。</w:t>
            </w:r>
          </w:p>
          <w:p w14:paraId="4A716AEC">
            <w:pPr>
              <w:pStyle w:val="2"/>
              <w:pageBreakBefore w:val="0"/>
              <w:widowControl w:val="0"/>
              <w:numPr>
                <w:ilvl w:val="-1"/>
                <w:numId w:val="0"/>
              </w:numPr>
              <w:kinsoku/>
              <w:wordWrap/>
              <w:overflowPunct/>
              <w:topLinePunct w:val="0"/>
              <w:autoSpaceDE/>
              <w:autoSpaceDN/>
              <w:bidi w:val="0"/>
              <w:adjustRightInd/>
              <w:snapToGrid/>
              <w:spacing w:before="0" w:beforeLines="0" w:after="0" w:afterLines="0" w:line="500" w:lineRule="exact"/>
              <w:ind w:left="0" w:firstLine="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总分20分。</w:t>
            </w:r>
          </w:p>
        </w:tc>
      </w:tr>
      <w:tr w14:paraId="09C4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Merge w:val="continue"/>
          </w:tcPr>
          <w:p w14:paraId="51F3E1F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p>
        </w:tc>
        <w:tc>
          <w:tcPr>
            <w:tcW w:w="4486" w:type="dxa"/>
          </w:tcPr>
          <w:p w14:paraId="54638559">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因运维失职导致安全事故（因本合同内容运维不到位，导致发生数据泄露、窃取、系统失陷相关安全事故）</w:t>
            </w:r>
          </w:p>
        </w:tc>
        <w:tc>
          <w:tcPr>
            <w:tcW w:w="4050" w:type="dxa"/>
            <w:vAlign w:val="center"/>
          </w:tcPr>
          <w:p w14:paraId="5A4E7604">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每次扣10分。</w:t>
            </w:r>
          </w:p>
          <w:p w14:paraId="60C05132">
            <w:pPr>
              <w:pStyle w:val="2"/>
              <w:pageBreakBefore w:val="0"/>
              <w:widowControl w:val="0"/>
              <w:numPr>
                <w:ilvl w:val="-1"/>
                <w:numId w:val="0"/>
              </w:numPr>
              <w:kinsoku/>
              <w:wordWrap/>
              <w:overflowPunct/>
              <w:topLinePunct w:val="0"/>
              <w:autoSpaceDE/>
              <w:autoSpaceDN/>
              <w:bidi w:val="0"/>
              <w:adjustRightInd/>
              <w:snapToGrid/>
              <w:spacing w:before="0" w:beforeLines="0" w:after="0" w:afterLines="0" w:line="500" w:lineRule="exact"/>
              <w:ind w:left="0" w:firstLine="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总分20分。</w:t>
            </w:r>
          </w:p>
        </w:tc>
      </w:tr>
      <w:tr w14:paraId="4D0C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Align w:val="center"/>
          </w:tcPr>
          <w:p w14:paraId="01D2A6B0">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服务态度</w:t>
            </w:r>
          </w:p>
          <w:p w14:paraId="6AEAAE56">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4486" w:type="dxa"/>
            <w:vAlign w:val="center"/>
          </w:tcPr>
          <w:p w14:paraId="6BD457FF">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因服务态度消极、恶劣、拒不处理故障或提供虚假资料等被投诉</w:t>
            </w:r>
          </w:p>
        </w:tc>
        <w:tc>
          <w:tcPr>
            <w:tcW w:w="4050" w:type="dxa"/>
            <w:vAlign w:val="center"/>
          </w:tcPr>
          <w:p w14:paraId="448AFE9E">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每次扣2分。总分10分。</w:t>
            </w:r>
          </w:p>
        </w:tc>
      </w:tr>
      <w:tr w14:paraId="603A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1" w:type="dxa"/>
            <w:vAlign w:val="center"/>
          </w:tcPr>
          <w:p w14:paraId="21FBE84E">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加分项</w:t>
            </w:r>
          </w:p>
        </w:tc>
        <w:tc>
          <w:tcPr>
            <w:tcW w:w="4486" w:type="dxa"/>
            <w:vAlign w:val="center"/>
          </w:tcPr>
          <w:p w14:paraId="3F46EDCC">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主动处置重大安全风险、高效完成特殊需求并获取用户认可</w:t>
            </w:r>
          </w:p>
        </w:tc>
        <w:tc>
          <w:tcPr>
            <w:tcW w:w="4050" w:type="dxa"/>
            <w:vAlign w:val="center"/>
          </w:tcPr>
          <w:p w14:paraId="27E88B60">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每次加1-2分</w:t>
            </w:r>
          </w:p>
        </w:tc>
      </w:tr>
      <w:tr w14:paraId="0939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47" w:type="dxa"/>
            <w:gridSpan w:val="3"/>
          </w:tcPr>
          <w:p w14:paraId="71F4CC13">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尾款支付和扣除标准：</w:t>
            </w:r>
          </w:p>
          <w:p w14:paraId="19350198">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1、考核评分≥90分，全额支付所有剩余合同尾款；</w:t>
            </w:r>
          </w:p>
          <w:p w14:paraId="0DDC71F0">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2、90分＞考核评分≥85分，从尾款中扣除1%实际结算价款；</w:t>
            </w:r>
          </w:p>
          <w:p w14:paraId="2F0C6799">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3、85＞考核评分≥80分，从尾款中扣除2%实际结算价款；</w:t>
            </w:r>
          </w:p>
          <w:p w14:paraId="65283636">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4、80＞考核评分≥75分，从尾款中扣除3%实际结算价款；</w:t>
            </w:r>
          </w:p>
          <w:p w14:paraId="4ABAE91A">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woUserID w:val="1"/>
              </w:rPr>
              <w:t>5</w:t>
            </w:r>
            <w:r>
              <w:rPr>
                <w:rFonts w:hint="eastAsia" w:ascii="宋体" w:hAnsi="宋体" w:eastAsia="宋体" w:cs="宋体"/>
                <w:sz w:val="24"/>
                <w:szCs w:val="24"/>
                <w:highlight w:val="none"/>
                <w:lang w:val="en-US" w:eastAsia="zh-CN"/>
              </w:rPr>
              <w:t>、75＞考核评分≥70分，从尾款中扣除4%实际结算价款；</w:t>
            </w:r>
          </w:p>
          <w:p w14:paraId="1AE6619B">
            <w:pPr>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woUserID w:val="1"/>
              </w:rPr>
              <w:t>6</w:t>
            </w:r>
            <w:r>
              <w:rPr>
                <w:rFonts w:hint="eastAsia" w:ascii="宋体" w:hAnsi="宋体" w:eastAsia="宋体" w:cs="宋体"/>
                <w:sz w:val="24"/>
                <w:szCs w:val="24"/>
                <w:highlight w:val="none"/>
                <w:lang w:val="en-US" w:eastAsia="zh-CN"/>
              </w:rPr>
              <w:t>、考核评分＜70分，扣除剩余所有尾款。</w:t>
            </w:r>
          </w:p>
        </w:tc>
      </w:tr>
    </w:tbl>
    <w:p w14:paraId="3C032E5B">
      <w:pPr>
        <w:bidi w:val="0"/>
        <w:rPr>
          <w:rFonts w:hint="eastAsia"/>
          <w:highlight w:val="none"/>
        </w:rPr>
      </w:pPr>
    </w:p>
    <w:p w14:paraId="3D6A052D">
      <w:pPr>
        <w:bidi w:val="0"/>
        <w:rPr>
          <w:rFonts w:hint="eastAsia"/>
          <w:highlight w:val="none"/>
        </w:rPr>
      </w:pPr>
    </w:p>
    <w:p w14:paraId="4D6B669C">
      <w:pPr>
        <w:bidi w:val="0"/>
        <w:rPr>
          <w:rFonts w:hint="eastAsia"/>
          <w:highlight w:val="none"/>
        </w:rPr>
      </w:pPr>
    </w:p>
    <w:p w14:paraId="3DCA4D62">
      <w:pPr>
        <w:bidi w:val="0"/>
        <w:rPr>
          <w:rFonts w:hint="eastAsia"/>
          <w:highlight w:val="none"/>
        </w:rPr>
      </w:pPr>
    </w:p>
    <w:p w14:paraId="1931481B">
      <w:pPr>
        <w:bidi w:val="0"/>
        <w:rPr>
          <w:rFonts w:hint="eastAsia"/>
          <w:highlight w:val="none"/>
        </w:rPr>
      </w:pPr>
    </w:p>
    <w:p w14:paraId="109E4739">
      <w:pPr>
        <w:bidi w:val="0"/>
        <w:rPr>
          <w:rFonts w:hint="eastAsia"/>
          <w:highlight w:val="none"/>
        </w:rPr>
      </w:pPr>
    </w:p>
    <w:p w14:paraId="06C8A7E0">
      <w:pPr>
        <w:bidi w:val="0"/>
        <w:rPr>
          <w:rFonts w:hint="eastAsia"/>
          <w:highlight w:val="none"/>
        </w:rPr>
      </w:pPr>
    </w:p>
    <w:p w14:paraId="17A2A7ED">
      <w:pPr>
        <w:bidi w:val="0"/>
        <w:rPr>
          <w:rFonts w:hint="eastAsia"/>
          <w:highlight w:val="none"/>
        </w:rPr>
      </w:pPr>
    </w:p>
    <w:p w14:paraId="2C207F80">
      <w:pPr>
        <w:bidi w:val="0"/>
        <w:rPr>
          <w:rFonts w:hint="eastAsia"/>
          <w:highlight w:val="none"/>
        </w:rPr>
      </w:pPr>
    </w:p>
    <w:p w14:paraId="12C5A0A3">
      <w:pPr>
        <w:bidi w:val="0"/>
        <w:rPr>
          <w:rFonts w:hint="eastAsia"/>
          <w:highlight w:val="none"/>
        </w:rPr>
      </w:pPr>
    </w:p>
    <w:p w14:paraId="7E5289FC">
      <w:pPr>
        <w:bidi w:val="0"/>
        <w:rPr>
          <w:rFonts w:hint="eastAsia"/>
          <w:highlight w:val="none"/>
        </w:rPr>
      </w:pPr>
    </w:p>
    <w:p w14:paraId="17BE8203">
      <w:pPr>
        <w:bidi w:val="0"/>
        <w:rPr>
          <w:rFonts w:hint="eastAsia"/>
          <w:highlight w:val="none"/>
        </w:rPr>
      </w:pPr>
    </w:p>
    <w:p w14:paraId="50265298">
      <w:pPr>
        <w:bidi w:val="0"/>
        <w:rPr>
          <w:rFonts w:hint="eastAsia"/>
          <w:highlight w:val="none"/>
        </w:rPr>
      </w:pPr>
    </w:p>
    <w:p w14:paraId="1893C783">
      <w:pPr>
        <w:bidi w:val="0"/>
        <w:rPr>
          <w:rFonts w:hint="eastAsia"/>
          <w:highlight w:val="none"/>
        </w:rPr>
      </w:pPr>
    </w:p>
    <w:p w14:paraId="6C725EC1">
      <w:pPr>
        <w:bidi w:val="0"/>
        <w:rPr>
          <w:rFonts w:hint="eastAsia"/>
          <w:highlight w:val="none"/>
        </w:rPr>
      </w:pPr>
    </w:p>
    <w:p w14:paraId="3507D1A8">
      <w:pPr>
        <w:bidi w:val="0"/>
        <w:rPr>
          <w:rFonts w:hint="eastAsia"/>
          <w:highlight w:val="none"/>
        </w:rPr>
      </w:pPr>
    </w:p>
    <w:p w14:paraId="526FE17A">
      <w:pPr>
        <w:bidi w:val="0"/>
        <w:rPr>
          <w:rFonts w:hint="eastAsia"/>
          <w:highlight w:val="none"/>
        </w:rPr>
      </w:pPr>
    </w:p>
    <w:p w14:paraId="4888AD9A">
      <w:pPr>
        <w:bidi w:val="0"/>
        <w:rPr>
          <w:rFonts w:hint="eastAsia"/>
          <w:highlight w:val="none"/>
        </w:rPr>
      </w:pPr>
    </w:p>
    <w:p w14:paraId="7886606A">
      <w:pPr>
        <w:bidi w:val="0"/>
        <w:rPr>
          <w:rFonts w:hint="eastAsia"/>
          <w:highlight w:val="none"/>
        </w:rPr>
      </w:pPr>
    </w:p>
    <w:p w14:paraId="53A54B35">
      <w:pPr>
        <w:pageBreakBefore w:val="0"/>
        <w:kinsoku/>
        <w:wordWrap/>
        <w:overflowPunct/>
        <w:topLinePunct w:val="0"/>
        <w:bidi w:val="0"/>
        <w:adjustRightInd/>
        <w:spacing w:line="400" w:lineRule="exact"/>
        <w:rPr>
          <w:rFonts w:hint="eastAsia" w:ascii="宋体" w:hAnsi="宋体" w:eastAsia="宋体" w:cs="宋体"/>
          <w:highlight w:val="none"/>
        </w:rPr>
      </w:pPr>
    </w:p>
    <w:p w14:paraId="4B60F1A6">
      <w:pPr>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br w:type="page"/>
      </w:r>
    </w:p>
    <w:p w14:paraId="7C78D0B1">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lang w:val="en-US" w:eastAsia="zh-CN"/>
        </w:rPr>
      </w:pPr>
      <w:bookmarkStart w:id="58" w:name="_Toc5592"/>
      <w:bookmarkStart w:id="59" w:name="_Toc23864"/>
      <w:r>
        <w:rPr>
          <w:rFonts w:hint="eastAsia" w:ascii="宋体" w:hAnsi="宋体" w:eastAsia="宋体" w:cs="宋体"/>
          <w:b/>
          <w:bCs/>
          <w:color w:val="auto"/>
          <w:kern w:val="44"/>
          <w:sz w:val="28"/>
          <w:szCs w:val="28"/>
          <w:highlight w:val="none"/>
          <w:lang w:val="en-US" w:eastAsia="zh-CN" w:bidi="ar-SA"/>
        </w:rPr>
        <w:t>第五章</w:t>
      </w:r>
      <w:r>
        <w:rPr>
          <w:rFonts w:hint="eastAsia" w:ascii="宋体" w:hAnsi="宋体" w:eastAsia="宋体" w:cs="宋体"/>
          <w:color w:val="auto"/>
          <w:sz w:val="28"/>
          <w:szCs w:val="28"/>
          <w:highlight w:val="none"/>
          <w:lang w:val="en-US" w:eastAsia="zh-CN"/>
        </w:rPr>
        <w:t xml:space="preserve"> 应提交的有关格式范例</w:t>
      </w:r>
      <w:bookmarkEnd w:id="58"/>
      <w:bookmarkEnd w:id="59"/>
    </w:p>
    <w:p w14:paraId="37670BBA">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8"/>
          <w:szCs w:val="24"/>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4"/>
          <w:highlight w:val="none"/>
        </w:rPr>
        <w:t>资格审查文件</w:t>
      </w:r>
    </w:p>
    <w:p w14:paraId="4C60C97B">
      <w:pPr>
        <w:spacing w:before="60" w:after="60"/>
        <w:rPr>
          <w:rFonts w:hint="eastAsia" w:ascii="宋体" w:hAnsi="宋体" w:eastAsia="宋体" w:cs="宋体"/>
          <w:b/>
          <w:bCs/>
          <w:color w:val="auto"/>
          <w:sz w:val="24"/>
          <w:highlight w:val="none"/>
          <w:lang w:val="en-US" w:eastAsia="zh-CN"/>
        </w:rPr>
      </w:pPr>
    </w:p>
    <w:p w14:paraId="0CFC2BD7">
      <w:pPr>
        <w:spacing w:before="60" w:after="6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符合参加政府采购活动应当具备的一般条件的承诺函</w:t>
      </w:r>
    </w:p>
    <w:p w14:paraId="4264E9B2">
      <w:pPr>
        <w:snapToGrid w:val="0"/>
        <w:spacing w:line="360" w:lineRule="auto"/>
        <w:jc w:val="center"/>
        <w:rPr>
          <w:rFonts w:hint="eastAsia" w:ascii="宋体" w:hAnsi="宋体" w:eastAsia="宋体" w:cs="宋体"/>
          <w:b/>
          <w:bCs/>
          <w:color w:val="auto"/>
          <w:sz w:val="22"/>
          <w:szCs w:val="22"/>
          <w:highlight w:val="none"/>
        </w:rPr>
      </w:pPr>
    </w:p>
    <w:p w14:paraId="17EFB655">
      <w:pPr>
        <w:snapToGrid w:val="0"/>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符合参加政府采购活动应当具备的一般条件的承诺函</w:t>
      </w:r>
    </w:p>
    <w:p w14:paraId="2F3DEE28">
      <w:pPr>
        <w:snapToGrid w:val="0"/>
        <w:spacing w:line="360" w:lineRule="auto"/>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u w:val="single"/>
          <w:lang w:val="en-US" w:eastAsia="zh-CN" w:bidi="ar-SA"/>
        </w:rPr>
        <w:t xml:space="preserve">           </w:t>
      </w:r>
      <w:r>
        <w:rPr>
          <w:rFonts w:hint="eastAsia" w:ascii="宋体" w:hAnsi="宋体" w:eastAsia="宋体" w:cs="宋体"/>
          <w:bCs/>
          <w:color w:val="auto"/>
          <w:spacing w:val="-6"/>
          <w:kern w:val="2"/>
          <w:sz w:val="24"/>
          <w:szCs w:val="24"/>
          <w:highlight w:val="none"/>
          <w:lang w:val="en-US" w:eastAsia="zh-CN" w:bidi="ar-SA"/>
        </w:rPr>
        <w:t>（采购人）：</w:t>
      </w:r>
    </w:p>
    <w:p w14:paraId="3E5C3A18">
      <w:pPr>
        <w:snapToGrid w:val="0"/>
        <w:spacing w:line="360" w:lineRule="auto"/>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u w:val="single"/>
          <w:lang w:val="en-US" w:eastAsia="zh-CN" w:bidi="ar-SA"/>
        </w:rPr>
        <w:t xml:space="preserve">             </w:t>
      </w:r>
      <w:r>
        <w:rPr>
          <w:rFonts w:hint="eastAsia" w:ascii="宋体" w:hAnsi="宋体" w:eastAsia="宋体" w:cs="宋体"/>
          <w:bCs/>
          <w:color w:val="auto"/>
          <w:spacing w:val="-6"/>
          <w:kern w:val="2"/>
          <w:sz w:val="24"/>
          <w:szCs w:val="24"/>
          <w:highlight w:val="none"/>
          <w:lang w:val="en-US" w:eastAsia="zh-CN" w:bidi="ar-SA"/>
        </w:rPr>
        <w:t>（采购代理机构）：</w:t>
      </w:r>
    </w:p>
    <w:p w14:paraId="1908F164">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我方参与</w:t>
      </w:r>
      <w:r>
        <w:rPr>
          <w:rFonts w:hint="eastAsia" w:ascii="宋体" w:hAnsi="宋体" w:eastAsia="宋体" w:cs="宋体"/>
          <w:bCs/>
          <w:color w:val="auto"/>
          <w:spacing w:val="-6"/>
          <w:kern w:val="2"/>
          <w:sz w:val="24"/>
          <w:szCs w:val="24"/>
          <w:highlight w:val="none"/>
          <w:u w:val="single"/>
          <w:lang w:val="en-US" w:eastAsia="zh-CN" w:bidi="ar-SA"/>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lang w:val="en-US" w:eastAsia="zh-CN"/>
        </w:rPr>
        <w:t>项目名称及</w:t>
      </w:r>
      <w:r>
        <w:rPr>
          <w:rFonts w:hint="eastAsia" w:ascii="宋体" w:hAnsi="宋体" w:eastAsia="宋体" w:cs="宋体"/>
          <w:color w:val="auto"/>
          <w:kern w:val="0"/>
          <w:sz w:val="24"/>
          <w:highlight w:val="none"/>
          <w:u w:val="single"/>
        </w:rPr>
        <w:t>项目编号）</w:t>
      </w:r>
      <w:r>
        <w:rPr>
          <w:rFonts w:hint="eastAsia" w:ascii="宋体" w:hAnsi="宋体" w:eastAsia="宋体" w:cs="宋体"/>
          <w:bCs/>
          <w:color w:val="auto"/>
          <w:spacing w:val="-6"/>
          <w:kern w:val="2"/>
          <w:sz w:val="24"/>
          <w:szCs w:val="24"/>
          <w:highlight w:val="none"/>
          <w:lang w:val="en-US" w:eastAsia="zh-CN" w:bidi="ar-SA"/>
        </w:rPr>
        <w:t>政府采购活动，郑重承诺：</w:t>
      </w:r>
    </w:p>
    <w:p w14:paraId="01837C04">
      <w:pPr>
        <w:snapToGrid w:val="0"/>
        <w:spacing w:line="360" w:lineRule="auto"/>
        <w:ind w:firstLine="342" w:firstLineChars="15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（一）具备《中华人民共和国政府采购法》第二十二条第一款规定的条件：</w:t>
      </w:r>
    </w:p>
    <w:p w14:paraId="0296B7E2">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1、具有独立承担民事责任的能力；</w:t>
      </w:r>
    </w:p>
    <w:p w14:paraId="2434DCF6">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 xml:space="preserve">2、具有良好的商业信誉和健全的财务会计制度； </w:t>
      </w:r>
    </w:p>
    <w:p w14:paraId="54A01FE1">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3、具有履行合同所必需的设备和专业技术能力；</w:t>
      </w:r>
    </w:p>
    <w:p w14:paraId="2D1CB321">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4、有依法缴纳税收和社会保障资金的良好记录；</w:t>
      </w:r>
    </w:p>
    <w:p w14:paraId="7CEEB130">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5、参加政府采购活动前三年内，在经营活动中没有重大违法记录；</w:t>
      </w:r>
    </w:p>
    <w:p w14:paraId="6BAAA9C5">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6、具有法律、行政法规规定的其他条件。</w:t>
      </w:r>
    </w:p>
    <w:p w14:paraId="383E3551">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未被“信用中国”（www.creditchina.gov.cn)、中国政府采购网（www.ccgp.gov.cn）列入失信被执行人、重大税收违法案件当事人名单、政府采购严重违法失信行为记录名单</w:t>
      </w:r>
      <w:r>
        <w:rPr>
          <w:rFonts w:hint="eastAsia" w:ascii="宋体" w:hAnsi="宋体" w:eastAsia="宋体" w:cs="宋体"/>
          <w:bCs/>
          <w:color w:val="auto"/>
          <w:spacing w:val="-6"/>
          <w:kern w:val="2"/>
          <w:sz w:val="24"/>
          <w:szCs w:val="24"/>
          <w:highlight w:val="none"/>
          <w:lang w:val="en-US" w:eastAsia="zh-CN" w:bidi="ar-SA"/>
        </w:rPr>
        <w:t>。</w:t>
      </w:r>
    </w:p>
    <w:p w14:paraId="091C7D2B">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（三）不存在以下情况：</w:t>
      </w:r>
    </w:p>
    <w:p w14:paraId="3E24F042">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1、单位负责人为同一人或者存在直接控股、管理关系的不同供应商参加同一合同项下的政府采购活动的；</w:t>
      </w:r>
    </w:p>
    <w:p w14:paraId="2AD14B03">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2、为采购项目提供整体设计、规范编制或者项目管理、监理、检测等服务后再参加该采购项目的其他采购活动的。</w:t>
      </w:r>
    </w:p>
    <w:p w14:paraId="0B5A785E">
      <w:pPr>
        <w:snapToGrid w:val="0"/>
        <w:spacing w:line="360" w:lineRule="auto"/>
        <w:ind w:firstLine="456" w:firstLineChars="200"/>
        <w:rPr>
          <w:rFonts w:hint="eastAsia" w:ascii="宋体" w:hAnsi="宋体" w:eastAsia="宋体" w:cs="宋体"/>
          <w:bCs/>
          <w:color w:val="auto"/>
          <w:spacing w:val="-6"/>
          <w:kern w:val="2"/>
          <w:sz w:val="24"/>
          <w:szCs w:val="24"/>
          <w:highlight w:val="none"/>
          <w:lang w:val="en-US" w:eastAsia="zh-CN" w:bidi="ar-SA"/>
        </w:rPr>
      </w:pPr>
      <w:r>
        <w:rPr>
          <w:rFonts w:hint="eastAsia" w:ascii="宋体" w:hAnsi="宋体" w:eastAsia="宋体" w:cs="宋体"/>
          <w:bCs/>
          <w:color w:val="auto"/>
          <w:spacing w:val="-6"/>
          <w:kern w:val="2"/>
          <w:sz w:val="24"/>
          <w:szCs w:val="24"/>
          <w:highlight w:val="none"/>
          <w:lang w:val="en-US" w:eastAsia="zh-CN" w:bidi="ar-SA"/>
        </w:rPr>
        <w:t>（四）如有虚假，采购人可取消我方任何资格（投标/中标/签订合同），我方愿意承担相应责任，对此无任何异议。</w:t>
      </w:r>
    </w:p>
    <w:p w14:paraId="6F4817D8">
      <w:pPr>
        <w:snapToGrid w:val="0"/>
        <w:spacing w:line="360" w:lineRule="auto"/>
        <w:rPr>
          <w:rFonts w:hint="eastAsia" w:ascii="宋体" w:hAnsi="宋体" w:eastAsia="宋体" w:cs="宋体"/>
          <w:bCs/>
          <w:color w:val="auto"/>
          <w:spacing w:val="-6"/>
          <w:kern w:val="2"/>
          <w:sz w:val="24"/>
          <w:szCs w:val="24"/>
          <w:highlight w:val="none"/>
          <w:lang w:val="zh-CN" w:eastAsia="zh-CN" w:bidi="ar-SA"/>
        </w:rPr>
      </w:pPr>
    </w:p>
    <w:p w14:paraId="63F3EC32">
      <w:pPr>
        <w:snapToGrid w:val="0"/>
        <w:spacing w:line="360" w:lineRule="auto"/>
        <w:ind w:firstLine="5244" w:firstLineChars="2300"/>
        <w:rPr>
          <w:rFonts w:hint="eastAsia" w:ascii="宋体" w:hAnsi="宋体" w:eastAsia="宋体" w:cs="宋体"/>
          <w:bCs/>
          <w:color w:val="auto"/>
          <w:spacing w:val="-6"/>
          <w:kern w:val="2"/>
          <w:sz w:val="24"/>
          <w:szCs w:val="24"/>
          <w:highlight w:val="none"/>
          <w:lang w:val="zh-CN" w:eastAsia="zh-CN" w:bidi="ar-SA"/>
        </w:rPr>
      </w:pPr>
      <w:r>
        <w:rPr>
          <w:rFonts w:hint="eastAsia" w:ascii="宋体" w:hAnsi="宋体" w:eastAsia="宋体" w:cs="宋体"/>
          <w:bCs/>
          <w:color w:val="auto"/>
          <w:spacing w:val="-6"/>
          <w:kern w:val="2"/>
          <w:sz w:val="24"/>
          <w:szCs w:val="24"/>
          <w:highlight w:val="none"/>
          <w:lang w:val="zh-CN" w:eastAsia="zh-CN" w:bidi="ar-SA"/>
        </w:rPr>
        <w:t>供应商名称</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盖章或电子签章</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bCs/>
          <w:color w:val="auto"/>
          <w:spacing w:val="-6"/>
          <w:kern w:val="2"/>
          <w:sz w:val="24"/>
          <w:szCs w:val="24"/>
          <w:highlight w:val="none"/>
          <w:lang w:val="zh-CN" w:eastAsia="zh-CN" w:bidi="ar-SA"/>
        </w:rPr>
        <w:t>：</w:t>
      </w:r>
    </w:p>
    <w:p w14:paraId="34042727">
      <w:pPr>
        <w:snapToGrid w:val="0"/>
        <w:spacing w:line="360" w:lineRule="auto"/>
        <w:ind w:firstLine="5244" w:firstLineChars="2300"/>
        <w:rPr>
          <w:rFonts w:hint="eastAsia" w:ascii="宋体" w:hAnsi="宋体" w:eastAsia="宋体" w:cs="宋体"/>
          <w:color w:val="auto"/>
          <w:highlight w:val="none"/>
        </w:rPr>
      </w:pPr>
      <w:r>
        <w:rPr>
          <w:rFonts w:hint="eastAsia" w:ascii="宋体" w:hAnsi="宋体" w:eastAsia="宋体" w:cs="宋体"/>
          <w:bCs/>
          <w:color w:val="auto"/>
          <w:spacing w:val="-6"/>
          <w:kern w:val="2"/>
          <w:sz w:val="24"/>
          <w:szCs w:val="24"/>
          <w:highlight w:val="none"/>
          <w:lang w:val="zh-CN" w:eastAsia="zh-CN" w:bidi="ar-SA"/>
        </w:rPr>
        <w:t>日期</w:t>
      </w:r>
      <w:r>
        <w:rPr>
          <w:rFonts w:hint="eastAsia" w:ascii="宋体" w:hAnsi="宋体" w:eastAsia="宋体" w:cs="宋体"/>
          <w:bCs/>
          <w:color w:val="auto"/>
          <w:spacing w:val="-6"/>
          <w:kern w:val="2"/>
          <w:sz w:val="24"/>
          <w:szCs w:val="24"/>
          <w:highlight w:val="none"/>
          <w:lang w:val="en-US" w:eastAsia="zh-CN" w:bidi="ar-SA"/>
        </w:rPr>
        <w:t xml:space="preserve">：  年  </w:t>
      </w:r>
      <w:r>
        <w:rPr>
          <w:rFonts w:hint="eastAsia" w:ascii="宋体" w:hAnsi="宋体" w:eastAsia="宋体" w:cs="宋体"/>
          <w:bCs/>
          <w:color w:val="auto"/>
          <w:spacing w:val="-6"/>
          <w:kern w:val="2"/>
          <w:sz w:val="24"/>
          <w:szCs w:val="24"/>
          <w:highlight w:val="none"/>
          <w:lang w:val="zh-CN" w:eastAsia="zh-CN" w:bidi="ar-SA"/>
        </w:rPr>
        <w:t>月</w:t>
      </w:r>
      <w:r>
        <w:rPr>
          <w:rFonts w:hint="eastAsia" w:ascii="宋体" w:hAnsi="宋体" w:eastAsia="宋体" w:cs="宋体"/>
          <w:bCs/>
          <w:color w:val="auto"/>
          <w:spacing w:val="-6"/>
          <w:kern w:val="2"/>
          <w:sz w:val="24"/>
          <w:szCs w:val="24"/>
          <w:highlight w:val="none"/>
          <w:lang w:val="en-US" w:eastAsia="zh-CN" w:bidi="ar-SA"/>
        </w:rPr>
        <w:t xml:space="preserve">   </w:t>
      </w:r>
      <w:r>
        <w:rPr>
          <w:rFonts w:hint="eastAsia" w:ascii="宋体" w:hAnsi="宋体" w:eastAsia="宋体" w:cs="宋体"/>
          <w:bCs/>
          <w:color w:val="auto"/>
          <w:spacing w:val="-6"/>
          <w:kern w:val="2"/>
          <w:sz w:val="24"/>
          <w:szCs w:val="24"/>
          <w:highlight w:val="none"/>
          <w:lang w:val="zh-CN" w:eastAsia="zh-CN" w:bidi="ar-SA"/>
        </w:rPr>
        <w:t>日</w:t>
      </w:r>
    </w:p>
    <w:p w14:paraId="08911D58">
      <w:pPr>
        <w:pStyle w:val="11"/>
        <w:rPr>
          <w:rFonts w:hint="eastAsia" w:ascii="宋体" w:hAnsi="宋体" w:eastAsia="宋体" w:cs="宋体"/>
          <w:color w:val="auto"/>
          <w:highlight w:val="none"/>
        </w:rPr>
      </w:pPr>
    </w:p>
    <w:p w14:paraId="60FEDE7E">
      <w:pPr>
        <w:rPr>
          <w:rFonts w:hint="eastAsia" w:ascii="宋体" w:hAnsi="宋体" w:eastAsia="宋体" w:cs="宋体"/>
          <w:color w:val="auto"/>
          <w:highlight w:val="none"/>
        </w:rPr>
      </w:pPr>
    </w:p>
    <w:p w14:paraId="33C9B21A">
      <w:pPr>
        <w:bidi w:val="0"/>
        <w:rPr>
          <w:rFonts w:hint="eastAsia"/>
          <w:highlight w:val="none"/>
        </w:rPr>
      </w:pPr>
    </w:p>
    <w:p w14:paraId="2042E6B7">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kern w:val="2"/>
          <w:sz w:val="24"/>
          <w:highlight w:val="none"/>
          <w:lang w:val="en-US" w:eastAsia="zh-CN" w:bidi="ar-SA"/>
        </w:rPr>
        <w:t>2、具有独立承担民事责任的能力证明材料：</w:t>
      </w:r>
    </w:p>
    <w:p w14:paraId="79B9F1F0">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7B0B178C">
      <w:pPr>
        <w:pStyle w:val="20"/>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、如供应商是企业（包括合伙企业），提供在工商部门注册的有效“企业法人营业执照”或“营业执照”；</w:t>
      </w:r>
    </w:p>
    <w:p w14:paraId="2C135928">
      <w:pPr>
        <w:pStyle w:val="20"/>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、如供应商是事业单位，提供有效的“事业单位法人证书”；</w:t>
      </w:r>
    </w:p>
    <w:p w14:paraId="1F0F9FB2">
      <w:pPr>
        <w:pStyle w:val="20"/>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、如供应商是非企业专业服务机构的，提供执业许可证等证明文件；</w:t>
      </w:r>
    </w:p>
    <w:p w14:paraId="59143502">
      <w:pPr>
        <w:pStyle w:val="20"/>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、如供应商是个体工商户，提供有效的“个体工商户营业执照”；</w:t>
      </w:r>
    </w:p>
    <w:p w14:paraId="00E2A831">
      <w:pPr>
        <w:pStyle w:val="20"/>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4"/>
          <w:szCs w:val="24"/>
          <w:highlight w:val="none"/>
          <w:lang w:val="en-US" w:eastAsia="zh-CN"/>
        </w:rPr>
        <w:t>、如供应商是自然人，提供有效的自然人身份证明（居民身份证正反面或公安机关出具的临时居民身份证正反面或港澳台胞证或护照）。</w:t>
      </w:r>
    </w:p>
    <w:p w14:paraId="34F59F27">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28262631">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585DF4C4">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14:paraId="646C0B36">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14:paraId="49D42A3D">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14:paraId="753F2359">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582F61DA">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100F9DA3">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22C42B1A">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33EBB382">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p>
    <w:p w14:paraId="7B831BA2">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sz w:val="24"/>
          <w:szCs w:val="24"/>
          <w:highlight w:val="none"/>
          <w:lang w:val="en-US" w:eastAsia="zh-CN"/>
        </w:rPr>
      </w:pPr>
    </w:p>
    <w:p w14:paraId="38D3ED9C">
      <w:pPr>
        <w:pStyle w:val="11"/>
        <w:rPr>
          <w:rFonts w:hint="eastAsia" w:ascii="宋体" w:hAnsi="宋体" w:eastAsia="宋体" w:cs="宋体"/>
          <w:color w:val="auto"/>
          <w:highlight w:val="none"/>
          <w:lang w:val="en-US" w:eastAsia="zh-CN"/>
        </w:rPr>
      </w:pPr>
    </w:p>
    <w:p w14:paraId="1C27B02E">
      <w:pPr>
        <w:rPr>
          <w:rFonts w:hint="eastAsia" w:ascii="宋体" w:hAnsi="宋体" w:eastAsia="宋体" w:cs="宋体"/>
          <w:color w:val="auto"/>
          <w:highlight w:val="none"/>
          <w:lang w:val="en-US" w:eastAsia="zh-CN"/>
        </w:rPr>
      </w:pPr>
    </w:p>
    <w:p w14:paraId="1D1FD522">
      <w:pPr>
        <w:bidi w:val="0"/>
        <w:rPr>
          <w:rFonts w:hint="eastAsia" w:ascii="宋体" w:hAnsi="宋体" w:eastAsia="宋体" w:cs="宋体"/>
          <w:color w:val="auto"/>
          <w:highlight w:val="none"/>
          <w:lang w:val="en-US" w:eastAsia="zh-CN"/>
        </w:rPr>
      </w:pPr>
    </w:p>
    <w:p w14:paraId="1815FC43">
      <w:pPr>
        <w:bidi w:val="0"/>
        <w:rPr>
          <w:rFonts w:hint="eastAsia" w:ascii="宋体" w:hAnsi="宋体" w:eastAsia="宋体" w:cs="宋体"/>
          <w:color w:val="auto"/>
          <w:highlight w:val="none"/>
          <w:lang w:val="en-US" w:eastAsia="zh-CN"/>
        </w:rPr>
      </w:pPr>
    </w:p>
    <w:p w14:paraId="090EDEDC">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p>
    <w:p w14:paraId="0DDF5696">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p>
    <w:p w14:paraId="5EAD6DD8">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r>
        <w:rPr>
          <w:rFonts w:hint="eastAsia" w:ascii="宋体" w:hAnsi="宋体" w:cs="宋体"/>
          <w:b/>
          <w:bCs/>
          <w:color w:val="auto"/>
          <w:kern w:val="2"/>
          <w:sz w:val="24"/>
          <w:highlight w:val="none"/>
          <w:lang w:val="en-US" w:eastAsia="zh-CN" w:bidi="ar-SA"/>
        </w:rPr>
        <w:t>3、</w:t>
      </w:r>
      <w:r>
        <w:rPr>
          <w:rFonts w:hint="eastAsia" w:ascii="宋体" w:hAnsi="宋体" w:eastAsia="宋体" w:cs="宋体"/>
          <w:b/>
          <w:bCs/>
          <w:color w:val="auto"/>
          <w:kern w:val="2"/>
          <w:sz w:val="24"/>
          <w:highlight w:val="none"/>
          <w:lang w:val="en-US" w:eastAsia="zh-CN" w:bidi="ar-SA"/>
        </w:rPr>
        <w:t>金融、保险、通讯等特定行业的全国性企业所设立的区域性分支机构以及个体工商户、个人独资企业、合伙企业能证明其具备实际承担责任的能力和法定的缔结合同能力，可以独立参加政府采购活动的证明材料：</w:t>
      </w:r>
    </w:p>
    <w:p w14:paraId="63C7228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kern w:val="0"/>
          <w:sz w:val="28"/>
          <w:szCs w:val="28"/>
          <w:highlight w:val="none"/>
          <w:lang w:val="en-US" w:eastAsia="zh-CN" w:bidi="ar"/>
        </w:rPr>
      </w:pPr>
    </w:p>
    <w:p w14:paraId="27654A01">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企业类型的声明函</w:t>
      </w:r>
    </w:p>
    <w:p w14:paraId="0904D26A">
      <w:pPr>
        <w:pStyle w:val="20"/>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 xml:space="preserve">          （采购人）：</w:t>
      </w:r>
    </w:p>
    <w:p w14:paraId="38D06EE2">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 xml:space="preserve">           （采购代理机构）：</w:t>
      </w:r>
    </w:p>
    <w:p w14:paraId="12D74AA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我方不属于金融、保险、通讯等特定行业的全国性企业所设立的区域性分支机构、个体工商户、个人独资企业、合伙企业。 </w:t>
      </w:r>
    </w:p>
    <w:p w14:paraId="0B8A30A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我方对上述声明的真实性负责。如有虚假，采购人可取消我方任何资格（投标/中标/签订合同），我方愿意承担相应责任，对此无任何异议。 </w:t>
      </w:r>
    </w:p>
    <w:p w14:paraId="1805C7B6">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特此声明！ </w:t>
      </w:r>
    </w:p>
    <w:p w14:paraId="272E5079">
      <w:pPr>
        <w:pStyle w:val="20"/>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kern w:val="0"/>
          <w:sz w:val="24"/>
          <w:szCs w:val="24"/>
          <w:highlight w:val="none"/>
          <w:lang w:val="en-US" w:eastAsia="zh-CN" w:bidi="ar-SA"/>
        </w:rPr>
      </w:pPr>
    </w:p>
    <w:p w14:paraId="22F7FC3A">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供应商名称（盖章或电子签章） ：</w:t>
      </w:r>
    </w:p>
    <w:p w14:paraId="44523338">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或负责人</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或其授权代表（签字或盖章或电子签章）：</w:t>
      </w:r>
    </w:p>
    <w:p w14:paraId="62A28F4B">
      <w:pPr>
        <w:keepNext w:val="0"/>
        <w:keepLines w:val="0"/>
        <w:pageBreakBefore w:val="0"/>
        <w:widowControl/>
        <w:kinsoku/>
        <w:wordWrap/>
        <w:topLinePunct w:val="0"/>
        <w:autoSpaceDE/>
        <w:autoSpaceDN/>
        <w:bidi w:val="0"/>
        <w:adjustRightInd w:val="0"/>
        <w:snapToGrid w:val="0"/>
        <w:spacing w:line="6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rPr>
        <w:t>日期：     年  月  日</w:t>
      </w:r>
    </w:p>
    <w:p w14:paraId="30C5481C">
      <w:pPr>
        <w:pStyle w:val="11"/>
        <w:rPr>
          <w:rFonts w:hint="eastAsia" w:ascii="宋体" w:hAnsi="宋体" w:eastAsia="宋体" w:cs="宋体"/>
          <w:b/>
          <w:bCs/>
          <w:color w:val="auto"/>
          <w:sz w:val="28"/>
          <w:szCs w:val="28"/>
          <w:highlight w:val="none"/>
          <w:lang w:val="en-US" w:eastAsia="zh-CN"/>
        </w:rPr>
      </w:pPr>
    </w:p>
    <w:p w14:paraId="46B15443">
      <w:pPr>
        <w:pStyle w:val="12"/>
        <w:rPr>
          <w:rFonts w:hint="eastAsia" w:ascii="宋体" w:hAnsi="宋体" w:eastAsia="宋体" w:cs="宋体"/>
          <w:b/>
          <w:bCs/>
          <w:color w:val="auto"/>
          <w:sz w:val="28"/>
          <w:szCs w:val="28"/>
          <w:highlight w:val="none"/>
          <w:lang w:val="en-US" w:eastAsia="zh-CN"/>
        </w:rPr>
      </w:pPr>
    </w:p>
    <w:p w14:paraId="4104A9EA">
      <w:pPr>
        <w:rPr>
          <w:rFonts w:hint="eastAsia" w:ascii="宋体" w:hAnsi="宋体" w:eastAsia="宋体" w:cs="宋体"/>
          <w:color w:val="auto"/>
          <w:highlight w:val="none"/>
          <w:lang w:val="en-US" w:eastAsia="zh-CN"/>
        </w:rPr>
      </w:pPr>
    </w:p>
    <w:p w14:paraId="30AA4112">
      <w:pPr>
        <w:bidi w:val="0"/>
        <w:rPr>
          <w:rFonts w:hint="eastAsia" w:ascii="宋体" w:hAnsi="宋体" w:eastAsia="宋体" w:cs="宋体"/>
          <w:highlight w:val="none"/>
        </w:rPr>
      </w:pPr>
    </w:p>
    <w:p w14:paraId="6E900C44">
      <w:pPr>
        <w:bidi w:val="0"/>
        <w:rPr>
          <w:rFonts w:hint="eastAsia" w:ascii="宋体" w:hAnsi="宋体" w:eastAsia="宋体" w:cs="宋体"/>
          <w:highlight w:val="none"/>
        </w:rPr>
      </w:pPr>
    </w:p>
    <w:p w14:paraId="6E5A4C9F">
      <w:pPr>
        <w:bidi w:val="0"/>
        <w:rPr>
          <w:rFonts w:hint="eastAsia" w:ascii="宋体" w:hAnsi="宋体" w:eastAsia="宋体" w:cs="宋体"/>
          <w:highlight w:val="none"/>
        </w:rPr>
      </w:pPr>
    </w:p>
    <w:p w14:paraId="02B881FF">
      <w:pPr>
        <w:bidi w:val="0"/>
        <w:rPr>
          <w:rFonts w:hint="eastAsia" w:ascii="宋体" w:hAnsi="宋体" w:eastAsia="宋体" w:cs="宋体"/>
          <w:highlight w:val="none"/>
        </w:rPr>
      </w:pPr>
    </w:p>
    <w:p w14:paraId="5E5E995D">
      <w:pPr>
        <w:bidi w:val="0"/>
        <w:rPr>
          <w:rFonts w:hint="eastAsia" w:ascii="宋体" w:hAnsi="宋体" w:eastAsia="宋体" w:cs="宋体"/>
          <w:highlight w:val="none"/>
        </w:rPr>
      </w:pPr>
    </w:p>
    <w:p w14:paraId="7301D374">
      <w:pPr>
        <w:bidi w:val="0"/>
        <w:rPr>
          <w:rFonts w:hint="eastAsia" w:ascii="宋体" w:hAnsi="宋体" w:eastAsia="宋体" w:cs="宋体"/>
          <w:highlight w:val="none"/>
        </w:rPr>
      </w:pPr>
    </w:p>
    <w:p w14:paraId="05D66540">
      <w:pPr>
        <w:bidi w:val="0"/>
        <w:rPr>
          <w:rFonts w:hint="eastAsia" w:ascii="宋体" w:hAnsi="宋体" w:eastAsia="宋体" w:cs="宋体"/>
          <w:highlight w:val="none"/>
        </w:rPr>
      </w:pPr>
    </w:p>
    <w:p w14:paraId="27160B14">
      <w:pPr>
        <w:pStyle w:val="11"/>
        <w:rPr>
          <w:rFonts w:hint="eastAsia" w:ascii="宋体" w:hAnsi="宋体" w:eastAsia="宋体" w:cs="宋体"/>
          <w:highlight w:val="none"/>
        </w:rPr>
      </w:pPr>
    </w:p>
    <w:p w14:paraId="6A6EE825">
      <w:pPr>
        <w:rPr>
          <w:rFonts w:hint="eastAsia" w:ascii="宋体" w:hAnsi="宋体" w:eastAsia="宋体" w:cs="宋体"/>
          <w:highlight w:val="none"/>
        </w:rPr>
      </w:pPr>
    </w:p>
    <w:p w14:paraId="4FE9EC0B">
      <w:pPr>
        <w:pStyle w:val="11"/>
        <w:ind w:left="0" w:leftChars="0" w:firstLine="0" w:firstLineChars="0"/>
        <w:rPr>
          <w:rFonts w:hint="eastAsia" w:ascii="宋体" w:hAnsi="宋体" w:eastAsia="宋体" w:cs="宋体"/>
          <w:highlight w:val="none"/>
        </w:rPr>
      </w:pPr>
    </w:p>
    <w:p w14:paraId="0168A2F4">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二、</w:t>
      </w:r>
      <w:r>
        <w:rPr>
          <w:rFonts w:hint="eastAsia" w:ascii="宋体" w:hAnsi="宋体" w:eastAsia="宋体" w:cs="宋体"/>
          <w:b/>
          <w:bCs/>
          <w:color w:val="auto"/>
          <w:sz w:val="28"/>
          <w:szCs w:val="28"/>
          <w:highlight w:val="none"/>
          <w:lang w:val="en-US" w:eastAsia="zh-CN"/>
        </w:rPr>
        <w:t>商务技术文件</w:t>
      </w:r>
    </w:p>
    <w:p w14:paraId="3718E34A">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7773A98A">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35286BE7">
      <w:pPr>
        <w:keepNext w:val="0"/>
        <w:keepLines w:val="0"/>
        <w:pageBreakBefore w:val="0"/>
        <w:widowControl w:val="0"/>
        <w:kinsoku/>
        <w:wordWrap/>
        <w:overflowPunct/>
        <w:topLinePunct w:val="0"/>
        <w:autoSpaceDE w:val="0"/>
        <w:autoSpaceDN w:val="0"/>
        <w:bidi w:val="0"/>
        <w:adjustRightInd w:val="0"/>
        <w:spacing w:line="600" w:lineRule="exact"/>
        <w:jc w:val="both"/>
        <w:textAlignment w:val="auto"/>
        <w:rPr>
          <w:rFonts w:hint="eastAsia" w:ascii="宋体" w:hAnsi="宋体" w:eastAsia="宋体" w:cs="宋体"/>
          <w:bCs/>
          <w:sz w:val="30"/>
          <w:szCs w:val="30"/>
          <w:highlight w:val="none"/>
          <w:lang w:val="zh-CN"/>
        </w:rPr>
      </w:pPr>
    </w:p>
    <w:p w14:paraId="75C5C3E4">
      <w:pPr>
        <w:keepNext w:val="0"/>
        <w:keepLines w:val="0"/>
        <w:pageBreakBefore w:val="0"/>
        <w:widowControl w:val="0"/>
        <w:kinsoku/>
        <w:wordWrap/>
        <w:overflowPunct/>
        <w:topLinePunct w:val="0"/>
        <w:autoSpaceDE w:val="0"/>
        <w:autoSpaceDN w:val="0"/>
        <w:bidi w:val="0"/>
        <w:adjustRightInd w:val="0"/>
        <w:spacing w:line="600" w:lineRule="exact"/>
        <w:jc w:val="both"/>
        <w:textAlignment w:val="auto"/>
        <w:rPr>
          <w:rFonts w:hint="eastAsia" w:ascii="宋体" w:hAnsi="宋体" w:eastAsia="宋体" w:cs="宋体"/>
          <w:bCs/>
          <w:sz w:val="30"/>
          <w:szCs w:val="30"/>
          <w:highlight w:val="none"/>
          <w:lang w:val="zh-CN"/>
        </w:rPr>
      </w:pPr>
    </w:p>
    <w:p w14:paraId="58E0249A">
      <w:pPr>
        <w:keepNext w:val="0"/>
        <w:keepLines w:val="0"/>
        <w:pageBreakBefore w:val="0"/>
        <w:widowControl w:val="0"/>
        <w:kinsoku/>
        <w:wordWrap/>
        <w:overflowPunct/>
        <w:topLinePunct w:val="0"/>
        <w:autoSpaceDE w:val="0"/>
        <w:autoSpaceDN w:val="0"/>
        <w:bidi w:val="0"/>
        <w:adjustRightInd w:val="0"/>
        <w:spacing w:line="600" w:lineRule="exact"/>
        <w:jc w:val="center"/>
        <w:textAlignment w:val="auto"/>
        <w:rPr>
          <w:rFonts w:hint="eastAsia" w:ascii="宋体" w:hAnsi="宋体" w:eastAsia="宋体" w:cs="宋体"/>
          <w:bCs/>
          <w:sz w:val="52"/>
          <w:szCs w:val="52"/>
          <w:highlight w:val="none"/>
          <w:lang w:val="zh-CN"/>
        </w:rPr>
      </w:pPr>
      <w:r>
        <w:rPr>
          <w:rFonts w:hint="eastAsia" w:ascii="宋体" w:hAnsi="宋体" w:eastAsia="宋体" w:cs="宋体"/>
          <w:bCs/>
          <w:sz w:val="52"/>
          <w:szCs w:val="52"/>
          <w:highlight w:val="none"/>
          <w:lang w:val="zh-CN"/>
        </w:rPr>
        <w:t>投标文件</w:t>
      </w:r>
    </w:p>
    <w:p w14:paraId="282BBC38">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宋体" w:hAnsi="宋体" w:eastAsia="宋体" w:cs="宋体"/>
          <w:bCs/>
          <w:sz w:val="24"/>
          <w:szCs w:val="24"/>
          <w:highlight w:val="none"/>
          <w:lang w:val="zh-CN"/>
        </w:rPr>
      </w:pPr>
    </w:p>
    <w:p w14:paraId="6096AB03">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宋体" w:hAnsi="宋体" w:eastAsia="宋体" w:cs="宋体"/>
          <w:bCs/>
          <w:sz w:val="24"/>
          <w:szCs w:val="24"/>
          <w:highlight w:val="none"/>
          <w:lang w:val="zh-CN"/>
        </w:rPr>
      </w:pPr>
    </w:p>
    <w:p w14:paraId="2D425209">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p>
    <w:p w14:paraId="7FDE0509">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6A79A76">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2BEA198E">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投标文件名称：（</w:t>
      </w:r>
      <w:r>
        <w:rPr>
          <w:rFonts w:hint="eastAsia" w:ascii="宋体" w:hAnsi="宋体" w:eastAsia="宋体" w:cs="宋体"/>
          <w:sz w:val="24"/>
          <w:szCs w:val="24"/>
          <w:highlight w:val="none"/>
          <w:lang w:val="en-US" w:eastAsia="zh-CN"/>
        </w:rPr>
        <w:t>商务技术文件</w:t>
      </w:r>
      <w:r>
        <w:rPr>
          <w:rFonts w:hint="eastAsia" w:ascii="宋体" w:hAnsi="宋体" w:eastAsia="宋体" w:cs="宋体"/>
          <w:sz w:val="24"/>
          <w:szCs w:val="24"/>
          <w:highlight w:val="none"/>
        </w:rPr>
        <w:t>）</w:t>
      </w:r>
    </w:p>
    <w:p w14:paraId="126AA8C5">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投标人名称（盖章或电子签章）：</w:t>
      </w:r>
    </w:p>
    <w:p w14:paraId="208661E5">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或其授权代表</w:t>
      </w:r>
      <w:r>
        <w:rPr>
          <w:rFonts w:hint="eastAsia" w:ascii="宋体" w:hAnsi="宋体" w:eastAsia="宋体" w:cs="宋体"/>
          <w:sz w:val="24"/>
          <w:szCs w:val="24"/>
          <w:highlight w:val="none"/>
        </w:rPr>
        <w:t>（签字或盖章或电子签章）：</w:t>
      </w:r>
    </w:p>
    <w:p w14:paraId="4713C098">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投标人地址：</w:t>
      </w:r>
    </w:p>
    <w:p w14:paraId="775349CE">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5E18E426">
      <w:pPr>
        <w:pStyle w:val="10"/>
        <w:numPr>
          <w:ilvl w:val="0"/>
          <w:numId w:val="0"/>
        </w:numPr>
        <w:rPr>
          <w:rFonts w:hint="eastAsia" w:ascii="宋体" w:hAnsi="宋体" w:eastAsia="宋体" w:cs="宋体"/>
          <w:highlight w:val="none"/>
          <w:lang w:val="en-US" w:eastAsia="zh-CN"/>
        </w:rPr>
      </w:pPr>
    </w:p>
    <w:p w14:paraId="7DA76131">
      <w:pPr>
        <w:bidi w:val="0"/>
        <w:rPr>
          <w:rFonts w:hint="eastAsia" w:ascii="宋体" w:hAnsi="宋体" w:eastAsia="宋体" w:cs="宋体"/>
          <w:highlight w:val="none"/>
          <w:lang w:val="en-US" w:eastAsia="zh-CN"/>
        </w:rPr>
      </w:pPr>
    </w:p>
    <w:p w14:paraId="061D6999">
      <w:pPr>
        <w:bidi w:val="0"/>
        <w:rPr>
          <w:rFonts w:hint="eastAsia" w:ascii="宋体" w:hAnsi="宋体" w:eastAsia="宋体" w:cs="宋体"/>
          <w:highlight w:val="none"/>
          <w:lang w:val="en-US" w:eastAsia="zh-CN"/>
        </w:rPr>
      </w:pPr>
    </w:p>
    <w:p w14:paraId="73396483">
      <w:pPr>
        <w:bidi w:val="0"/>
        <w:rPr>
          <w:rFonts w:hint="eastAsia" w:ascii="宋体" w:hAnsi="宋体" w:eastAsia="宋体" w:cs="宋体"/>
          <w:highlight w:val="none"/>
          <w:lang w:val="en-US" w:eastAsia="zh-CN"/>
        </w:rPr>
      </w:pPr>
    </w:p>
    <w:p w14:paraId="72961E31">
      <w:pPr>
        <w:bidi w:val="0"/>
        <w:rPr>
          <w:rFonts w:hint="eastAsia" w:ascii="宋体" w:hAnsi="宋体" w:eastAsia="宋体" w:cs="宋体"/>
          <w:highlight w:val="none"/>
          <w:lang w:val="en-US" w:eastAsia="zh-CN"/>
        </w:rPr>
      </w:pPr>
    </w:p>
    <w:p w14:paraId="05F46610">
      <w:pPr>
        <w:bidi w:val="0"/>
        <w:rPr>
          <w:rFonts w:hint="eastAsia" w:ascii="宋体" w:hAnsi="宋体" w:eastAsia="宋体" w:cs="宋体"/>
          <w:highlight w:val="none"/>
          <w:lang w:val="en-US" w:eastAsia="zh-CN"/>
        </w:rPr>
      </w:pPr>
    </w:p>
    <w:p w14:paraId="7623446C">
      <w:pPr>
        <w:bidi w:val="0"/>
        <w:rPr>
          <w:rFonts w:hint="eastAsia" w:ascii="宋体" w:hAnsi="宋体" w:eastAsia="宋体" w:cs="宋体"/>
          <w:highlight w:val="none"/>
          <w:lang w:val="en-US" w:eastAsia="zh-CN"/>
        </w:rPr>
      </w:pPr>
    </w:p>
    <w:p w14:paraId="118D93E0">
      <w:pPr>
        <w:bidi w:val="0"/>
        <w:rPr>
          <w:rFonts w:hint="eastAsia" w:ascii="宋体" w:hAnsi="宋体" w:eastAsia="宋体" w:cs="宋体"/>
          <w:highlight w:val="none"/>
          <w:lang w:val="en-US" w:eastAsia="zh-CN"/>
        </w:rPr>
      </w:pPr>
    </w:p>
    <w:p w14:paraId="74FA11F9">
      <w:pPr>
        <w:bidi w:val="0"/>
        <w:rPr>
          <w:rFonts w:hint="eastAsia" w:ascii="宋体" w:hAnsi="宋体" w:eastAsia="宋体" w:cs="宋体"/>
          <w:highlight w:val="none"/>
          <w:lang w:val="en-US" w:eastAsia="zh-CN"/>
        </w:rPr>
      </w:pPr>
    </w:p>
    <w:p w14:paraId="3610BD30">
      <w:pPr>
        <w:bidi w:val="0"/>
        <w:rPr>
          <w:rFonts w:hint="eastAsia" w:ascii="宋体" w:hAnsi="宋体" w:eastAsia="宋体" w:cs="宋体"/>
          <w:highlight w:val="none"/>
          <w:lang w:val="en-US" w:eastAsia="zh-CN"/>
        </w:rPr>
      </w:pPr>
    </w:p>
    <w:p w14:paraId="20BB1355">
      <w:pPr>
        <w:bidi w:val="0"/>
        <w:rPr>
          <w:rFonts w:hint="eastAsia" w:ascii="宋体" w:hAnsi="宋体" w:eastAsia="宋体" w:cs="宋体"/>
          <w:highlight w:val="none"/>
          <w:lang w:val="en-US" w:eastAsia="zh-CN"/>
        </w:rPr>
      </w:pPr>
    </w:p>
    <w:p w14:paraId="58C9E55B">
      <w:pPr>
        <w:bidi w:val="0"/>
        <w:rPr>
          <w:rFonts w:hint="eastAsia" w:ascii="宋体" w:hAnsi="宋体" w:eastAsia="宋体" w:cs="宋体"/>
          <w:highlight w:val="none"/>
          <w:lang w:val="en-US" w:eastAsia="zh-CN"/>
        </w:rPr>
      </w:pPr>
    </w:p>
    <w:p w14:paraId="138CF11F">
      <w:pPr>
        <w:bidi w:val="0"/>
        <w:rPr>
          <w:rFonts w:hint="eastAsia" w:ascii="宋体" w:hAnsi="宋体" w:eastAsia="宋体" w:cs="宋体"/>
          <w:highlight w:val="none"/>
          <w:lang w:val="en-US" w:eastAsia="zh-CN"/>
        </w:rPr>
      </w:pPr>
    </w:p>
    <w:p w14:paraId="6113F7FD">
      <w:pPr>
        <w:bidi w:val="0"/>
        <w:rPr>
          <w:rFonts w:hint="eastAsia" w:ascii="宋体" w:hAnsi="宋体" w:eastAsia="宋体" w:cs="宋体"/>
          <w:highlight w:val="none"/>
          <w:lang w:val="en-US" w:eastAsia="zh-CN"/>
        </w:rPr>
      </w:pPr>
    </w:p>
    <w:p w14:paraId="1921EE13">
      <w:pPr>
        <w:bidi w:val="0"/>
        <w:rPr>
          <w:rFonts w:hint="eastAsia" w:ascii="宋体" w:hAnsi="宋体" w:eastAsia="宋体" w:cs="宋体"/>
          <w:highlight w:val="none"/>
          <w:lang w:val="en-US" w:eastAsia="zh-CN"/>
        </w:rPr>
      </w:pPr>
    </w:p>
    <w:p w14:paraId="58057385">
      <w:pPr>
        <w:bidi w:val="0"/>
        <w:rPr>
          <w:rFonts w:hint="eastAsia" w:ascii="宋体" w:hAnsi="宋体" w:eastAsia="宋体" w:cs="宋体"/>
          <w:highlight w:val="none"/>
          <w:lang w:val="en-US" w:eastAsia="zh-CN"/>
        </w:rPr>
      </w:pPr>
    </w:p>
    <w:p w14:paraId="3943FDB0">
      <w:pPr>
        <w:bidi w:val="0"/>
        <w:rPr>
          <w:rFonts w:hint="eastAsia" w:ascii="宋体" w:hAnsi="宋体" w:eastAsia="宋体" w:cs="宋体"/>
          <w:highlight w:val="none"/>
          <w:lang w:val="en-US" w:eastAsia="zh-CN"/>
        </w:rPr>
      </w:pPr>
    </w:p>
    <w:p w14:paraId="62775A07">
      <w:pPr>
        <w:autoSpaceDE w:val="0"/>
        <w:autoSpaceDN w:val="0"/>
        <w:adjustRightInd w:val="0"/>
        <w:spacing w:line="380" w:lineRule="exact"/>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自评表</w:t>
      </w:r>
    </w:p>
    <w:p w14:paraId="0C33A109">
      <w:pPr>
        <w:autoSpaceDE w:val="0"/>
        <w:autoSpaceDN w:val="0"/>
        <w:adjustRightInd w:val="0"/>
        <w:spacing w:line="3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项目名称：</w:t>
      </w:r>
    </w:p>
    <w:p w14:paraId="2D4F0A85">
      <w:pPr>
        <w:autoSpaceDE w:val="0"/>
        <w:autoSpaceDN w:val="0"/>
        <w:adjustRightInd w:val="0"/>
        <w:spacing w:line="380" w:lineRule="exact"/>
        <w:jc w:val="center"/>
        <w:rPr>
          <w:rFonts w:hint="eastAsia" w:ascii="宋体" w:hAnsi="宋体" w:eastAsia="宋体" w:cs="宋体"/>
          <w:b/>
          <w:bCs/>
          <w:sz w:val="32"/>
          <w:szCs w:val="32"/>
          <w:highlight w:val="none"/>
          <w:lang w:val="zh-CN"/>
        </w:rPr>
      </w:pPr>
    </w:p>
    <w:tbl>
      <w:tblPr>
        <w:tblStyle w:val="21"/>
        <w:tblW w:w="9638" w:type="dxa"/>
        <w:tblInd w:w="12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2"/>
        <w:gridCol w:w="3166"/>
        <w:gridCol w:w="1362"/>
        <w:gridCol w:w="1138"/>
        <w:gridCol w:w="2000"/>
      </w:tblGrid>
      <w:tr w14:paraId="496D57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1" w:hRule="atLeast"/>
        </w:trPr>
        <w:tc>
          <w:tcPr>
            <w:tcW w:w="1972" w:type="dxa"/>
            <w:vAlign w:val="center"/>
          </w:tcPr>
          <w:p w14:paraId="063E1828">
            <w:pPr>
              <w:jc w:val="cente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评审内容</w:t>
            </w:r>
          </w:p>
        </w:tc>
        <w:tc>
          <w:tcPr>
            <w:tcW w:w="3166" w:type="dxa"/>
            <w:vAlign w:val="center"/>
          </w:tcPr>
          <w:p w14:paraId="0C87548B">
            <w:pPr>
              <w:jc w:val="cente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评审细则</w:t>
            </w:r>
          </w:p>
        </w:tc>
        <w:tc>
          <w:tcPr>
            <w:tcW w:w="1362" w:type="dxa"/>
            <w:vAlign w:val="center"/>
          </w:tcPr>
          <w:p w14:paraId="3503EC4C">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1138" w:type="dxa"/>
            <w:vAlign w:val="center"/>
          </w:tcPr>
          <w:p w14:paraId="19CD2C02">
            <w:pPr>
              <w:jc w:val="center"/>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自评</w:t>
            </w:r>
            <w:r>
              <w:rPr>
                <w:rFonts w:hint="eastAsia" w:ascii="宋体" w:hAnsi="宋体" w:eastAsia="宋体" w:cs="宋体"/>
                <w:b/>
                <w:sz w:val="21"/>
                <w:szCs w:val="21"/>
                <w:highlight w:val="none"/>
              </w:rPr>
              <w:t>得分</w:t>
            </w:r>
          </w:p>
        </w:tc>
        <w:tc>
          <w:tcPr>
            <w:tcW w:w="2000" w:type="dxa"/>
            <w:vAlign w:val="center"/>
          </w:tcPr>
          <w:p w14:paraId="6DBD16A2">
            <w:pPr>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证明材料所在页码</w:t>
            </w:r>
          </w:p>
        </w:tc>
      </w:tr>
      <w:tr w14:paraId="17F72A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4" w:hRule="atLeast"/>
        </w:trPr>
        <w:tc>
          <w:tcPr>
            <w:tcW w:w="1972" w:type="dxa"/>
            <w:vAlign w:val="center"/>
          </w:tcPr>
          <w:p w14:paraId="23CB2F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p w14:paraId="4BEC94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auto"/>
                <w:kern w:val="2"/>
                <w:sz w:val="24"/>
                <w:szCs w:val="24"/>
                <w:highlight w:val="none"/>
                <w:lang w:val="en-US" w:eastAsia="zh-CN" w:bidi="ar-SA"/>
              </w:rPr>
              <w:t>【客观分】</w:t>
            </w:r>
          </w:p>
        </w:tc>
        <w:tc>
          <w:tcPr>
            <w:tcW w:w="3166" w:type="dxa"/>
            <w:vAlign w:val="center"/>
          </w:tcPr>
          <w:p w14:paraId="46E5834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2023年1月1日至投标截止时间，投标人承担过类似项目，每提供一个得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分，本项最高得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p w14:paraId="33B322CA">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证明材料是指：合同</w:t>
            </w:r>
            <w:r>
              <w:rPr>
                <w:rFonts w:hint="eastAsia" w:ascii="宋体" w:hAnsi="宋体" w:eastAsia="宋体" w:cs="宋体"/>
                <w:b/>
                <w:bCs/>
                <w:sz w:val="24"/>
                <w:szCs w:val="24"/>
                <w:highlight w:val="none"/>
                <w:lang w:val="en-US" w:eastAsia="zh-CN"/>
              </w:rPr>
              <w:t>。</w:t>
            </w:r>
          </w:p>
          <w:p w14:paraId="0EF0D2B1">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4"/>
                <w:szCs w:val="24"/>
                <w:highlight w:val="none"/>
              </w:rPr>
              <w:t>备注：</w:t>
            </w:r>
            <w:r>
              <w:rPr>
                <w:rFonts w:hint="eastAsia" w:ascii="宋体" w:hAnsi="宋体" w:eastAsia="宋体" w:cs="宋体"/>
                <w:b/>
                <w:bCs/>
                <w:sz w:val="24"/>
                <w:szCs w:val="24"/>
                <w:highlight w:val="none"/>
                <w:lang w:val="en-US" w:eastAsia="zh-CN"/>
              </w:rPr>
              <w:t>类似项目</w:t>
            </w:r>
            <w:r>
              <w:rPr>
                <w:rFonts w:hint="eastAsia" w:ascii="宋体" w:hAnsi="宋体" w:eastAsia="宋体" w:cs="宋体"/>
                <w:b/>
                <w:bCs/>
                <w:sz w:val="24"/>
                <w:szCs w:val="24"/>
                <w:highlight w:val="none"/>
              </w:rPr>
              <w:t>时间以合同最后落款时间为准。证明材料扫描件加盖投标人公章（或电子章）编入商务技术文件，未按本条规定提供证明材料或证明材料不符合本条规定要求的，不得分。</w:t>
            </w:r>
          </w:p>
        </w:tc>
        <w:tc>
          <w:tcPr>
            <w:tcW w:w="1362" w:type="dxa"/>
            <w:vAlign w:val="center"/>
          </w:tcPr>
          <w:p w14:paraId="7E39794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sz w:val="21"/>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p>
        </w:tc>
        <w:tc>
          <w:tcPr>
            <w:tcW w:w="1138" w:type="dxa"/>
            <w:vAlign w:val="center"/>
          </w:tcPr>
          <w:p w14:paraId="2CC8C437">
            <w:pPr>
              <w:spacing w:line="360" w:lineRule="exact"/>
              <w:jc w:val="left"/>
              <w:rPr>
                <w:rFonts w:hint="eastAsia" w:ascii="宋体" w:hAnsi="宋体" w:eastAsia="宋体" w:cs="宋体"/>
                <w:sz w:val="21"/>
                <w:szCs w:val="21"/>
                <w:highlight w:val="none"/>
                <w:u w:val="double"/>
              </w:rPr>
            </w:pPr>
          </w:p>
        </w:tc>
        <w:tc>
          <w:tcPr>
            <w:tcW w:w="2000" w:type="dxa"/>
            <w:vAlign w:val="center"/>
          </w:tcPr>
          <w:p w14:paraId="14F6DE34">
            <w:pPr>
              <w:spacing w:line="360" w:lineRule="exact"/>
              <w:jc w:val="left"/>
              <w:rPr>
                <w:rFonts w:hint="eastAsia" w:ascii="宋体" w:hAnsi="宋体" w:eastAsia="宋体" w:cs="宋体"/>
                <w:sz w:val="21"/>
                <w:szCs w:val="21"/>
                <w:highlight w:val="none"/>
                <w:u w:val="double"/>
              </w:rPr>
            </w:pPr>
          </w:p>
        </w:tc>
      </w:tr>
      <w:tr w14:paraId="02F791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5" w:hRule="atLeast"/>
        </w:trPr>
        <w:tc>
          <w:tcPr>
            <w:tcW w:w="1972" w:type="dxa"/>
            <w:vAlign w:val="center"/>
          </w:tcPr>
          <w:p w14:paraId="30FC89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cs="宋体"/>
                <w:sz w:val="24"/>
                <w:szCs w:val="24"/>
                <w:highlight w:val="none"/>
                <w:lang w:val="en-US" w:eastAsia="zh-CN"/>
              </w:rPr>
              <w:t>拟派项目服务团队</w:t>
            </w:r>
            <w:r>
              <w:rPr>
                <w:rFonts w:hint="eastAsia" w:ascii="宋体" w:hAnsi="宋体" w:eastAsia="宋体" w:cs="宋体"/>
                <w:color w:val="auto"/>
                <w:kern w:val="2"/>
                <w:sz w:val="24"/>
                <w:szCs w:val="24"/>
                <w:highlight w:val="none"/>
                <w:lang w:val="en-US" w:eastAsia="zh-CN" w:bidi="ar-SA"/>
              </w:rPr>
              <w:t>【客观分】</w:t>
            </w:r>
          </w:p>
        </w:tc>
        <w:tc>
          <w:tcPr>
            <w:tcW w:w="3166" w:type="dxa"/>
            <w:vAlign w:val="center"/>
          </w:tcPr>
          <w:p w14:paraId="34388C5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投标人</w:t>
            </w:r>
            <w:r>
              <w:rPr>
                <w:rFonts w:hint="eastAsia" w:ascii="宋体" w:hAnsi="宋体" w:cs="宋体"/>
                <w:sz w:val="24"/>
                <w:szCs w:val="24"/>
                <w:highlight w:val="none"/>
                <w:lang w:val="en-US" w:eastAsia="zh-CN"/>
              </w:rPr>
              <w:t>拟派项目负责人具有人力资源和社会保障部门颁发的计算机技术和软件专业</w:t>
            </w:r>
            <w:r>
              <w:rPr>
                <w:rFonts w:hint="eastAsia" w:ascii="宋体" w:hAnsi="宋体" w:cs="宋体"/>
                <w:sz w:val="24"/>
                <w:szCs w:val="24"/>
                <w:highlight w:val="none"/>
                <w:lang w:val="en-US" w:eastAsia="zh-CN"/>
              </w:rPr>
              <w:fldChar w:fldCharType="begin"/>
            </w:r>
            <w:r>
              <w:rPr>
                <w:rFonts w:hint="eastAsia" w:ascii="宋体" w:hAnsi="宋体" w:cs="宋体"/>
                <w:sz w:val="24"/>
                <w:szCs w:val="24"/>
                <w:highlight w:val="none"/>
                <w:lang w:val="en-US" w:eastAsia="zh-CN"/>
              </w:rPr>
              <w:instrText xml:space="preserve"> HYPERLINK "https://jxj.ningbo.gov.cn/art/2023/4/27/art_1229727785_58936752.html" \o "信息系统项目管理师" \t "https://jxj.ningbo.gov.cn/col/col1229723534/_blank" </w:instrText>
            </w:r>
            <w:r>
              <w:rPr>
                <w:rFonts w:hint="eastAsia" w:ascii="宋体" w:hAnsi="宋体" w:cs="宋体"/>
                <w:sz w:val="24"/>
                <w:szCs w:val="24"/>
                <w:highlight w:val="none"/>
                <w:lang w:val="en-US" w:eastAsia="zh-CN"/>
              </w:rPr>
              <w:fldChar w:fldCharType="separate"/>
            </w:r>
            <w:r>
              <w:rPr>
                <w:rFonts w:hint="eastAsia" w:ascii="宋体" w:hAnsi="宋体" w:cs="宋体"/>
                <w:sz w:val="24"/>
                <w:szCs w:val="24"/>
                <w:highlight w:val="none"/>
                <w:lang w:val="en-US" w:eastAsia="zh-CN"/>
              </w:rPr>
              <w:t>信息系统项目管理师</w:t>
            </w:r>
            <w:r>
              <w:rPr>
                <w:rFonts w:hint="eastAsia" w:ascii="宋体" w:hAnsi="宋体" w:cs="宋体"/>
                <w:sz w:val="24"/>
                <w:szCs w:val="24"/>
                <w:highlight w:val="none"/>
                <w:lang w:val="en-US" w:eastAsia="zh-CN"/>
              </w:rPr>
              <w:fldChar w:fldCharType="end"/>
            </w:r>
            <w:r>
              <w:rPr>
                <w:rFonts w:hint="eastAsia" w:ascii="宋体" w:hAnsi="宋体" w:cs="宋体"/>
                <w:sz w:val="24"/>
                <w:szCs w:val="24"/>
                <w:highlight w:val="none"/>
                <w:lang w:val="en-US" w:eastAsia="zh-CN"/>
              </w:rPr>
              <w:t>证书的，得1分。</w:t>
            </w:r>
          </w:p>
          <w:p w14:paraId="49C5BA46">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证明材料是指：</w:t>
            </w:r>
            <w:r>
              <w:rPr>
                <w:rFonts w:hint="eastAsia" w:ascii="宋体" w:hAnsi="宋体" w:cs="宋体"/>
                <w:b/>
                <w:bCs/>
                <w:sz w:val="24"/>
                <w:szCs w:val="24"/>
                <w:highlight w:val="none"/>
                <w:lang w:val="en-US" w:eastAsia="zh-CN"/>
              </w:rPr>
              <w:t>①</w:t>
            </w: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"https://jxj.ningbo.gov.cn/art/2023/4/27/art_1229727785_58936752.html" \o "信息系统项目管理师" \t "https://jxj.ningbo.gov.cn/col/col1229723534/_blank"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lang w:val="en-US" w:eastAsia="zh-CN"/>
              </w:rPr>
              <w:t>信息系统项目管理师</w:t>
            </w:r>
            <w:r>
              <w:rPr>
                <w:rFonts w:hint="eastAsia" w:ascii="宋体" w:hAnsi="宋体" w:eastAsia="宋体" w:cs="宋体"/>
                <w:b/>
                <w:bCs/>
                <w:sz w:val="24"/>
                <w:szCs w:val="24"/>
                <w:highlight w:val="none"/>
                <w:lang w:val="en-US" w:eastAsia="zh-CN"/>
              </w:rPr>
              <w:fldChar w:fldCharType="end"/>
            </w:r>
            <w:r>
              <w:rPr>
                <w:rFonts w:hint="eastAsia" w:ascii="宋体" w:hAnsi="宋体" w:eastAsia="宋体" w:cs="宋体"/>
                <w:b/>
                <w:bCs/>
                <w:sz w:val="24"/>
                <w:szCs w:val="24"/>
                <w:highlight w:val="none"/>
                <w:lang w:val="en-US" w:eastAsia="zh-CN"/>
              </w:rPr>
              <w:t>证书</w:t>
            </w:r>
            <w:r>
              <w:rPr>
                <w:rFonts w:hint="eastAsia" w:ascii="宋体" w:hAnsi="宋体" w:cs="宋体"/>
                <w:b/>
                <w:bCs/>
                <w:sz w:val="24"/>
                <w:szCs w:val="24"/>
                <w:highlight w:val="none"/>
                <w:lang w:val="en-US" w:eastAsia="zh-CN"/>
              </w:rPr>
              <w:t>；②2026年3月至投标截止时间任意一个月投标人为拟派项目负责人缴纳社保证明材料。①和②缺一不可。</w:t>
            </w:r>
          </w:p>
          <w:p w14:paraId="0BABBBA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sz w:val="24"/>
                <w:szCs w:val="24"/>
                <w:highlight w:val="none"/>
              </w:rPr>
              <w:t>投标人</w:t>
            </w:r>
            <w:r>
              <w:rPr>
                <w:rFonts w:hint="eastAsia" w:ascii="宋体" w:hAnsi="宋体" w:cs="宋体"/>
                <w:sz w:val="24"/>
                <w:szCs w:val="24"/>
                <w:highlight w:val="none"/>
                <w:lang w:val="en-US" w:eastAsia="zh-CN"/>
              </w:rPr>
              <w:t>拟派项目服务团队人员（项目负责人除外）具有人力资源和社会保障部门颁发的计算机技术和软件专业系统架构设计师或系统分析师证书的，每提供一类得1分，本项最高得2分。</w:t>
            </w:r>
          </w:p>
          <w:p w14:paraId="296B97C1">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rPr>
              <w:t>证明材料是指：</w:t>
            </w:r>
            <w:r>
              <w:rPr>
                <w:rFonts w:hint="eastAsia" w:ascii="宋体" w:hAnsi="宋体" w:cs="宋体"/>
                <w:b/>
                <w:bCs/>
                <w:sz w:val="24"/>
                <w:szCs w:val="24"/>
                <w:highlight w:val="none"/>
                <w:lang w:val="en-US" w:eastAsia="zh-CN"/>
              </w:rPr>
              <w:t>①系统架构设计师或系统分析师证书；②2026年3月至投标截止时间任意一个月投标人为拟派项目服务团队人员缴纳社保证明材料。①和②缺一不可。</w:t>
            </w:r>
          </w:p>
          <w:p w14:paraId="033E7589">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4"/>
                <w:szCs w:val="24"/>
                <w:highlight w:val="none"/>
              </w:rPr>
              <w:t>备注：</w:t>
            </w:r>
            <w:r>
              <w:rPr>
                <w:rFonts w:hint="eastAsia" w:ascii="宋体" w:hAnsi="宋体" w:eastAsia="宋体" w:cs="宋体"/>
                <w:b/>
                <w:bCs/>
                <w:kern w:val="2"/>
                <w:sz w:val="24"/>
                <w:szCs w:val="24"/>
                <w:highlight w:val="none"/>
                <w:lang w:val="en-US" w:eastAsia="zh-CN" w:bidi="ar-SA"/>
              </w:rPr>
              <w:t>同一人具有多个证书的，</w:t>
            </w:r>
            <w:r>
              <w:rPr>
                <w:rFonts w:hint="eastAsia" w:ascii="宋体" w:hAnsi="宋体" w:cs="宋体"/>
                <w:b/>
                <w:bCs/>
                <w:kern w:val="2"/>
                <w:sz w:val="24"/>
                <w:szCs w:val="24"/>
                <w:highlight w:val="none"/>
                <w:lang w:val="en-US" w:eastAsia="zh-CN" w:bidi="ar-SA"/>
              </w:rPr>
              <w:t>按最高分计取一次</w:t>
            </w:r>
            <w:r>
              <w:rPr>
                <w:rFonts w:hint="eastAsia" w:ascii="宋体" w:hAnsi="宋体" w:eastAsia="宋体" w:cs="宋体"/>
                <w:b/>
                <w:bCs/>
                <w:kern w:val="2"/>
                <w:sz w:val="24"/>
                <w:szCs w:val="24"/>
                <w:highlight w:val="none"/>
                <w:lang w:val="en-US" w:eastAsia="zh-CN" w:bidi="ar-SA"/>
              </w:rPr>
              <w:t>，不重复得分</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证明材料扫描件加盖投标人公章（或电子章）编入商务技术文件，未按本条规定提供证明材料或证明材料不符合本条规定要求的，不得分。</w:t>
            </w:r>
          </w:p>
        </w:tc>
        <w:tc>
          <w:tcPr>
            <w:tcW w:w="1362" w:type="dxa"/>
            <w:vAlign w:val="center"/>
          </w:tcPr>
          <w:p w14:paraId="7F530BB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sz w:val="21"/>
                <w:szCs w:val="21"/>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c>
          <w:tcPr>
            <w:tcW w:w="1138" w:type="dxa"/>
            <w:vAlign w:val="center"/>
          </w:tcPr>
          <w:p w14:paraId="78941D37">
            <w:pPr>
              <w:spacing w:line="360" w:lineRule="exact"/>
              <w:jc w:val="left"/>
              <w:rPr>
                <w:rFonts w:hint="eastAsia" w:ascii="宋体" w:hAnsi="宋体" w:eastAsia="宋体" w:cs="宋体"/>
                <w:sz w:val="21"/>
                <w:szCs w:val="21"/>
                <w:highlight w:val="none"/>
                <w:u w:val="double"/>
              </w:rPr>
            </w:pPr>
          </w:p>
        </w:tc>
        <w:tc>
          <w:tcPr>
            <w:tcW w:w="2000" w:type="dxa"/>
            <w:vAlign w:val="center"/>
          </w:tcPr>
          <w:p w14:paraId="62748EAB">
            <w:pPr>
              <w:spacing w:line="360" w:lineRule="exact"/>
              <w:jc w:val="left"/>
              <w:rPr>
                <w:rFonts w:hint="eastAsia" w:ascii="宋体" w:hAnsi="宋体" w:eastAsia="宋体" w:cs="宋体"/>
                <w:sz w:val="21"/>
                <w:szCs w:val="21"/>
                <w:highlight w:val="none"/>
                <w:u w:val="double"/>
              </w:rPr>
            </w:pPr>
          </w:p>
        </w:tc>
      </w:tr>
      <w:tr w14:paraId="060A09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6" w:hRule="atLeast"/>
        </w:trPr>
        <w:tc>
          <w:tcPr>
            <w:tcW w:w="1972" w:type="dxa"/>
            <w:vAlign w:val="center"/>
          </w:tcPr>
          <w:p w14:paraId="7F17624E">
            <w:pPr>
              <w:spacing w:line="360" w:lineRule="exact"/>
              <w:jc w:val="center"/>
              <w:rPr>
                <w:rFonts w:hint="eastAsia" w:ascii="宋体" w:hAnsi="宋体" w:eastAsia="宋体" w:cs="宋体"/>
                <w:sz w:val="21"/>
                <w:szCs w:val="21"/>
                <w:highlight w:val="none"/>
                <w:shd w:val="clear" w:color="auto" w:fill="D9D9D9"/>
              </w:rPr>
            </w:pPr>
            <w:r>
              <w:rPr>
                <w:rFonts w:hint="eastAsia" w:ascii="宋体" w:hAnsi="宋体" w:eastAsia="宋体" w:cs="宋体"/>
                <w:b/>
                <w:bCs/>
                <w:sz w:val="24"/>
                <w:szCs w:val="24"/>
                <w:highlight w:val="none"/>
                <w:lang w:val="en-US" w:eastAsia="zh-CN"/>
              </w:rPr>
              <w:t>……</w:t>
            </w:r>
          </w:p>
        </w:tc>
        <w:tc>
          <w:tcPr>
            <w:tcW w:w="3166" w:type="dxa"/>
            <w:vAlign w:val="center"/>
          </w:tcPr>
          <w:p w14:paraId="08E2BFAA">
            <w:pPr>
              <w:spacing w:line="360" w:lineRule="exact"/>
              <w:jc w:val="center"/>
              <w:rPr>
                <w:rFonts w:hint="eastAsia" w:ascii="宋体" w:hAnsi="宋体" w:eastAsia="宋体" w:cs="宋体"/>
                <w:bCs/>
                <w:sz w:val="21"/>
                <w:szCs w:val="21"/>
                <w:highlight w:val="none"/>
              </w:rPr>
            </w:pPr>
            <w:r>
              <w:rPr>
                <w:rFonts w:hint="eastAsia" w:ascii="宋体" w:hAnsi="宋体" w:eastAsia="宋体" w:cs="宋体"/>
                <w:b/>
                <w:bCs/>
                <w:sz w:val="24"/>
                <w:szCs w:val="24"/>
                <w:highlight w:val="none"/>
                <w:lang w:val="en-US" w:eastAsia="zh-CN"/>
              </w:rPr>
              <w:t>……</w:t>
            </w:r>
          </w:p>
        </w:tc>
        <w:tc>
          <w:tcPr>
            <w:tcW w:w="1362" w:type="dxa"/>
            <w:vAlign w:val="center"/>
          </w:tcPr>
          <w:p w14:paraId="699BAAA5">
            <w:pPr>
              <w:adjustRightInd w:val="0"/>
              <w:snapToGrid w:val="0"/>
              <w:jc w:val="center"/>
              <w:textAlignment w:val="baseline"/>
              <w:rPr>
                <w:rFonts w:hint="eastAsia" w:ascii="宋体" w:hAnsi="宋体" w:eastAsia="宋体" w:cs="宋体"/>
                <w:bCs/>
                <w:sz w:val="21"/>
                <w:szCs w:val="21"/>
                <w:highlight w:val="none"/>
              </w:rPr>
            </w:pPr>
          </w:p>
        </w:tc>
        <w:tc>
          <w:tcPr>
            <w:tcW w:w="1138" w:type="dxa"/>
            <w:vAlign w:val="center"/>
          </w:tcPr>
          <w:p w14:paraId="4DBAD4BC">
            <w:pPr>
              <w:spacing w:line="360" w:lineRule="exact"/>
              <w:jc w:val="left"/>
              <w:rPr>
                <w:rFonts w:hint="eastAsia" w:ascii="宋体" w:hAnsi="宋体" w:eastAsia="宋体" w:cs="宋体"/>
                <w:sz w:val="21"/>
                <w:szCs w:val="21"/>
                <w:highlight w:val="none"/>
              </w:rPr>
            </w:pPr>
          </w:p>
        </w:tc>
        <w:tc>
          <w:tcPr>
            <w:tcW w:w="2000" w:type="dxa"/>
            <w:vAlign w:val="center"/>
          </w:tcPr>
          <w:p w14:paraId="0BAD3ABC">
            <w:pPr>
              <w:spacing w:line="360" w:lineRule="exact"/>
              <w:jc w:val="left"/>
              <w:rPr>
                <w:rFonts w:hint="eastAsia" w:ascii="宋体" w:hAnsi="宋体" w:eastAsia="宋体" w:cs="宋体"/>
                <w:sz w:val="21"/>
                <w:szCs w:val="21"/>
                <w:highlight w:val="none"/>
              </w:rPr>
            </w:pPr>
          </w:p>
        </w:tc>
      </w:tr>
      <w:tr w14:paraId="07F266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6" w:hRule="atLeast"/>
        </w:trPr>
        <w:tc>
          <w:tcPr>
            <w:tcW w:w="1972" w:type="dxa"/>
            <w:vAlign w:val="center"/>
          </w:tcPr>
          <w:p w14:paraId="2D54883D">
            <w:pPr>
              <w:spacing w:line="36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p>
        </w:tc>
        <w:tc>
          <w:tcPr>
            <w:tcW w:w="3166" w:type="dxa"/>
            <w:vAlign w:val="center"/>
          </w:tcPr>
          <w:p w14:paraId="433FD528">
            <w:pPr>
              <w:spacing w:line="360" w:lineRule="exact"/>
              <w:jc w:val="center"/>
              <w:rPr>
                <w:rFonts w:hint="eastAsia" w:ascii="宋体" w:hAnsi="宋体" w:eastAsia="宋体" w:cs="宋体"/>
                <w:bCs/>
                <w:sz w:val="21"/>
                <w:szCs w:val="21"/>
                <w:highlight w:val="none"/>
              </w:rPr>
            </w:pPr>
            <w:r>
              <w:rPr>
                <w:rFonts w:hint="eastAsia" w:ascii="宋体" w:hAnsi="宋体" w:eastAsia="宋体" w:cs="宋体"/>
                <w:b/>
                <w:bCs/>
                <w:sz w:val="24"/>
                <w:szCs w:val="24"/>
                <w:highlight w:val="none"/>
                <w:lang w:val="en-US" w:eastAsia="zh-CN"/>
              </w:rPr>
              <w:t>……</w:t>
            </w:r>
          </w:p>
        </w:tc>
        <w:tc>
          <w:tcPr>
            <w:tcW w:w="1362" w:type="dxa"/>
            <w:vAlign w:val="center"/>
          </w:tcPr>
          <w:p w14:paraId="1D91A997">
            <w:pPr>
              <w:adjustRightInd w:val="0"/>
              <w:snapToGrid w:val="0"/>
              <w:jc w:val="center"/>
              <w:textAlignment w:val="baseline"/>
              <w:rPr>
                <w:rFonts w:hint="eastAsia" w:ascii="宋体" w:hAnsi="宋体" w:eastAsia="宋体" w:cs="宋体"/>
                <w:bCs/>
                <w:sz w:val="21"/>
                <w:szCs w:val="21"/>
                <w:highlight w:val="none"/>
              </w:rPr>
            </w:pPr>
          </w:p>
        </w:tc>
        <w:tc>
          <w:tcPr>
            <w:tcW w:w="1138" w:type="dxa"/>
            <w:vAlign w:val="center"/>
          </w:tcPr>
          <w:p w14:paraId="1241E9DC">
            <w:pPr>
              <w:spacing w:line="360" w:lineRule="exact"/>
              <w:jc w:val="left"/>
              <w:rPr>
                <w:rFonts w:hint="eastAsia" w:ascii="宋体" w:hAnsi="宋体" w:eastAsia="宋体" w:cs="宋体"/>
                <w:sz w:val="21"/>
                <w:szCs w:val="21"/>
                <w:highlight w:val="none"/>
              </w:rPr>
            </w:pPr>
          </w:p>
        </w:tc>
        <w:tc>
          <w:tcPr>
            <w:tcW w:w="2000" w:type="dxa"/>
            <w:vAlign w:val="center"/>
          </w:tcPr>
          <w:p w14:paraId="462C7353">
            <w:pPr>
              <w:spacing w:line="360" w:lineRule="exact"/>
              <w:jc w:val="left"/>
              <w:rPr>
                <w:rFonts w:hint="eastAsia" w:ascii="宋体" w:hAnsi="宋体" w:eastAsia="宋体" w:cs="宋体"/>
                <w:sz w:val="21"/>
                <w:szCs w:val="21"/>
                <w:highlight w:val="none"/>
              </w:rPr>
            </w:pPr>
          </w:p>
        </w:tc>
      </w:tr>
      <w:tr w14:paraId="331D75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6" w:hRule="atLeast"/>
        </w:trPr>
        <w:tc>
          <w:tcPr>
            <w:tcW w:w="1972" w:type="dxa"/>
            <w:vAlign w:val="center"/>
          </w:tcPr>
          <w:p w14:paraId="5159101F">
            <w:pPr>
              <w:spacing w:line="36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p>
        </w:tc>
        <w:tc>
          <w:tcPr>
            <w:tcW w:w="3166" w:type="dxa"/>
            <w:vAlign w:val="center"/>
          </w:tcPr>
          <w:p w14:paraId="2F2E8479">
            <w:pPr>
              <w:spacing w:line="360" w:lineRule="exact"/>
              <w:jc w:val="center"/>
              <w:rPr>
                <w:rFonts w:hint="eastAsia" w:ascii="宋体" w:hAnsi="宋体" w:eastAsia="宋体" w:cs="宋体"/>
                <w:bCs/>
                <w:sz w:val="21"/>
                <w:szCs w:val="21"/>
                <w:highlight w:val="none"/>
              </w:rPr>
            </w:pPr>
            <w:r>
              <w:rPr>
                <w:rFonts w:hint="eastAsia" w:ascii="宋体" w:hAnsi="宋体" w:eastAsia="宋体" w:cs="宋体"/>
                <w:b/>
                <w:bCs/>
                <w:sz w:val="24"/>
                <w:szCs w:val="24"/>
                <w:highlight w:val="none"/>
                <w:lang w:val="en-US" w:eastAsia="zh-CN"/>
              </w:rPr>
              <w:t>……</w:t>
            </w:r>
          </w:p>
        </w:tc>
        <w:tc>
          <w:tcPr>
            <w:tcW w:w="1362" w:type="dxa"/>
            <w:vAlign w:val="center"/>
          </w:tcPr>
          <w:p w14:paraId="66EB22B3">
            <w:pPr>
              <w:adjustRightInd w:val="0"/>
              <w:snapToGrid w:val="0"/>
              <w:jc w:val="center"/>
              <w:textAlignment w:val="baseline"/>
              <w:rPr>
                <w:rFonts w:hint="eastAsia" w:ascii="宋体" w:hAnsi="宋体" w:eastAsia="宋体" w:cs="宋体"/>
                <w:bCs/>
                <w:sz w:val="21"/>
                <w:szCs w:val="21"/>
                <w:highlight w:val="none"/>
              </w:rPr>
            </w:pPr>
          </w:p>
        </w:tc>
        <w:tc>
          <w:tcPr>
            <w:tcW w:w="1138" w:type="dxa"/>
            <w:vAlign w:val="center"/>
          </w:tcPr>
          <w:p w14:paraId="61DDF947">
            <w:pPr>
              <w:spacing w:line="360" w:lineRule="exact"/>
              <w:jc w:val="left"/>
              <w:rPr>
                <w:rFonts w:hint="eastAsia" w:ascii="宋体" w:hAnsi="宋体" w:eastAsia="宋体" w:cs="宋体"/>
                <w:sz w:val="21"/>
                <w:szCs w:val="21"/>
                <w:highlight w:val="none"/>
              </w:rPr>
            </w:pPr>
          </w:p>
        </w:tc>
        <w:tc>
          <w:tcPr>
            <w:tcW w:w="2000" w:type="dxa"/>
            <w:vAlign w:val="center"/>
          </w:tcPr>
          <w:p w14:paraId="78341C3E">
            <w:pPr>
              <w:spacing w:line="360" w:lineRule="exact"/>
              <w:jc w:val="left"/>
              <w:rPr>
                <w:rFonts w:hint="eastAsia" w:ascii="宋体" w:hAnsi="宋体" w:eastAsia="宋体" w:cs="宋体"/>
                <w:sz w:val="21"/>
                <w:szCs w:val="21"/>
                <w:highlight w:val="none"/>
              </w:rPr>
            </w:pPr>
          </w:p>
        </w:tc>
      </w:tr>
    </w:tbl>
    <w:p w14:paraId="0452003F">
      <w:pPr>
        <w:autoSpaceDE w:val="0"/>
        <w:autoSpaceDN w:val="0"/>
        <w:adjustRightInd w:val="0"/>
        <w:spacing w:line="400" w:lineRule="exact"/>
        <w:rPr>
          <w:rFonts w:hint="eastAsia" w:ascii="宋体" w:hAnsi="宋体" w:eastAsia="宋体" w:cs="宋体"/>
          <w:b/>
          <w:sz w:val="24"/>
          <w:highlight w:val="none"/>
        </w:rPr>
      </w:pPr>
      <w:r>
        <w:rPr>
          <w:rFonts w:hint="eastAsia" w:ascii="宋体" w:hAnsi="宋体" w:eastAsia="宋体" w:cs="宋体"/>
          <w:b/>
          <w:sz w:val="24"/>
          <w:highlight w:val="none"/>
        </w:rPr>
        <w:t>注：按招标文件评标办法</w:t>
      </w:r>
      <w:r>
        <w:rPr>
          <w:rFonts w:hint="eastAsia" w:ascii="宋体" w:hAnsi="宋体" w:cs="宋体"/>
          <w:b/>
          <w:sz w:val="24"/>
          <w:highlight w:val="none"/>
          <w:lang w:eastAsia="zh-CN"/>
        </w:rPr>
        <w:t>“</w:t>
      </w:r>
      <w:r>
        <w:rPr>
          <w:rFonts w:hint="eastAsia" w:ascii="宋体" w:hAnsi="宋体" w:cs="宋体"/>
          <w:b/>
          <w:sz w:val="24"/>
          <w:highlight w:val="none"/>
          <w:lang w:val="en-US" w:eastAsia="zh-CN"/>
        </w:rPr>
        <w:t>评审内容</w:t>
      </w:r>
      <w:r>
        <w:rPr>
          <w:rFonts w:hint="eastAsia" w:ascii="宋体" w:hAnsi="宋体" w:cs="宋体"/>
          <w:b/>
          <w:sz w:val="24"/>
          <w:highlight w:val="none"/>
          <w:lang w:eastAsia="zh-CN"/>
        </w:rPr>
        <w:t>”</w:t>
      </w:r>
      <w:r>
        <w:rPr>
          <w:rFonts w:hint="eastAsia" w:ascii="宋体" w:hAnsi="宋体" w:cs="宋体"/>
          <w:b/>
          <w:sz w:val="24"/>
          <w:highlight w:val="none"/>
          <w:lang w:val="en-US" w:eastAsia="zh-CN"/>
        </w:rPr>
        <w:t>及“评审细则”一一</w:t>
      </w:r>
      <w:r>
        <w:rPr>
          <w:rFonts w:hint="eastAsia" w:ascii="宋体" w:hAnsi="宋体" w:eastAsia="宋体" w:cs="宋体"/>
          <w:b/>
          <w:sz w:val="24"/>
          <w:highlight w:val="none"/>
        </w:rPr>
        <w:t>列入。</w:t>
      </w:r>
    </w:p>
    <w:p w14:paraId="38D26827">
      <w:pPr>
        <w:autoSpaceDE w:val="0"/>
        <w:autoSpaceDN w:val="0"/>
        <w:adjustRightInd w:val="0"/>
        <w:spacing w:line="380" w:lineRule="exact"/>
        <w:rPr>
          <w:rFonts w:hint="eastAsia" w:ascii="宋体" w:hAnsi="宋体" w:eastAsia="宋体" w:cs="宋体"/>
          <w:b/>
          <w:bCs/>
          <w:sz w:val="32"/>
          <w:szCs w:val="32"/>
          <w:highlight w:val="none"/>
        </w:rPr>
      </w:pPr>
    </w:p>
    <w:p w14:paraId="15E304C3">
      <w:pPr>
        <w:autoSpaceDE w:val="0"/>
        <w:autoSpaceDN w:val="0"/>
        <w:adjustRightIn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highlight w:val="none"/>
        </w:rPr>
        <w:t>投标人全称（盖章或电子签章）：</w:t>
      </w:r>
    </w:p>
    <w:p w14:paraId="6A94BE5E">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或其授权代表</w:t>
      </w:r>
      <w:r>
        <w:rPr>
          <w:rFonts w:hint="eastAsia" w:ascii="宋体" w:hAnsi="宋体" w:eastAsia="宋体" w:cs="宋体"/>
          <w:sz w:val="24"/>
          <w:szCs w:val="24"/>
          <w:highlight w:val="none"/>
        </w:rPr>
        <w:t>（签字或盖章或电子签章）：</w:t>
      </w:r>
    </w:p>
    <w:p w14:paraId="01B8E62B">
      <w:pPr>
        <w:adjustRightInd w:val="0"/>
        <w:spacing w:line="500" w:lineRule="exact"/>
        <w:textAlignment w:val="baseline"/>
        <w:rPr>
          <w:rFonts w:hint="eastAsia" w:ascii="宋体" w:hAnsi="宋体" w:eastAsia="宋体" w:cs="宋体"/>
          <w:sz w:val="24"/>
          <w:highlight w:val="none"/>
        </w:rPr>
      </w:pPr>
      <w:r>
        <w:rPr>
          <w:rFonts w:hint="eastAsia" w:ascii="宋体" w:hAnsi="宋体" w:eastAsia="宋体" w:cs="宋体"/>
          <w:sz w:val="24"/>
          <w:highlight w:val="none"/>
        </w:rPr>
        <w:t xml:space="preserve">日    期：    </w:t>
      </w:r>
    </w:p>
    <w:p w14:paraId="4A1D4C42">
      <w:pPr>
        <w:autoSpaceDE w:val="0"/>
        <w:autoSpaceDN w:val="0"/>
        <w:adjustRightInd w:val="0"/>
        <w:spacing w:line="380" w:lineRule="exact"/>
        <w:rPr>
          <w:rFonts w:hint="eastAsia" w:ascii="宋体" w:hAnsi="宋体" w:eastAsia="宋体" w:cs="宋体"/>
          <w:b/>
          <w:bCs/>
          <w:sz w:val="32"/>
          <w:szCs w:val="32"/>
          <w:highlight w:val="none"/>
        </w:rPr>
      </w:pPr>
    </w:p>
    <w:p w14:paraId="787097B2">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bCs/>
          <w:color w:val="auto"/>
          <w:sz w:val="28"/>
          <w:szCs w:val="28"/>
          <w:highlight w:val="none"/>
        </w:rPr>
      </w:pPr>
    </w:p>
    <w:p w14:paraId="23CED78B">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bCs/>
          <w:color w:val="auto"/>
          <w:sz w:val="28"/>
          <w:szCs w:val="28"/>
          <w:highlight w:val="none"/>
        </w:rPr>
      </w:pPr>
    </w:p>
    <w:p w14:paraId="4A771463">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bCs/>
          <w:color w:val="auto"/>
          <w:sz w:val="28"/>
          <w:szCs w:val="28"/>
          <w:highlight w:val="none"/>
        </w:rPr>
      </w:pPr>
    </w:p>
    <w:p w14:paraId="51A45B3E">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bCs/>
          <w:color w:val="auto"/>
          <w:sz w:val="28"/>
          <w:szCs w:val="28"/>
          <w:highlight w:val="none"/>
        </w:rPr>
      </w:pPr>
    </w:p>
    <w:p w14:paraId="0D1F746D">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bCs/>
          <w:color w:val="auto"/>
          <w:sz w:val="28"/>
          <w:szCs w:val="28"/>
          <w:highlight w:val="none"/>
        </w:rPr>
      </w:pPr>
    </w:p>
    <w:p w14:paraId="0F99AFB4">
      <w:pPr>
        <w:bidi w:val="0"/>
        <w:rPr>
          <w:rFonts w:hint="eastAsia" w:ascii="宋体" w:hAnsi="宋体" w:eastAsia="宋体" w:cs="宋体"/>
          <w:highlight w:val="none"/>
        </w:rPr>
      </w:pPr>
    </w:p>
    <w:p w14:paraId="46225F65">
      <w:pPr>
        <w:pStyle w:val="12"/>
        <w:rPr>
          <w:rFonts w:hint="eastAsia"/>
          <w:highlight w:val="none"/>
        </w:rPr>
      </w:pPr>
    </w:p>
    <w:p w14:paraId="7F1FDED1">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3B9A911B">
      <w:pPr>
        <w:pStyle w:val="20"/>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 xml:space="preserve">          （采购人）：</w:t>
      </w:r>
    </w:p>
    <w:p w14:paraId="348F5493">
      <w:pPr>
        <w:spacing w:line="420" w:lineRule="exact"/>
        <w:ind w:firstLine="456" w:firstLineChars="19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 xml:space="preserve">           （采购代理机构）：</w:t>
      </w:r>
    </w:p>
    <w:p w14:paraId="12095F09">
      <w:pPr>
        <w:spacing w:line="420" w:lineRule="exact"/>
        <w:ind w:firstLine="456" w:firstLineChars="19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项目（采购编号：</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采购文件</w:t>
      </w:r>
      <w:r>
        <w:rPr>
          <w:rFonts w:hint="eastAsia" w:ascii="宋体" w:hAnsi="宋体" w:eastAsia="宋体" w:cs="宋体"/>
          <w:color w:val="auto"/>
          <w:sz w:val="24"/>
          <w:highlight w:val="none"/>
        </w:rPr>
        <w:t>，我方作为供应商正式授权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（授权代表全名，职务）代表我方处理有关本项目</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的一切事宜。</w:t>
      </w:r>
      <w:r>
        <w:rPr>
          <w:rFonts w:hint="eastAsia" w:ascii="宋体" w:hAnsi="宋体" w:eastAsia="宋体" w:cs="宋体"/>
          <w:color w:val="auto"/>
          <w:sz w:val="24"/>
          <w:highlight w:val="none"/>
          <w:lang w:val="en-US" w:eastAsia="zh-CN"/>
        </w:rPr>
        <w:t>为此：</w:t>
      </w:r>
    </w:p>
    <w:p w14:paraId="7487717E">
      <w:pPr>
        <w:numPr>
          <w:ilvl w:val="0"/>
          <w:numId w:val="4"/>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我方承诺投标有效期从提交投标文件的截止之日起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天，（不少于90天），本投标文件在投标有效期满之前均具有约束力。</w:t>
      </w:r>
    </w:p>
    <w:p w14:paraId="25890D69">
      <w:pPr>
        <w:numPr>
          <w:ilvl w:val="0"/>
          <w:numId w:val="4"/>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提供采购文件中规定的全部投标文件。</w:t>
      </w:r>
    </w:p>
    <w:p w14:paraId="71457AEF">
      <w:pPr>
        <w:numPr>
          <w:ilvl w:val="0"/>
          <w:numId w:val="4"/>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我方承诺除投标文件列出的偏离外，我方响应采购文件的全部要求。</w:t>
      </w:r>
    </w:p>
    <w:p w14:paraId="32169451">
      <w:pPr>
        <w:numPr>
          <w:ilvl w:val="0"/>
          <w:numId w:val="4"/>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保证遵守采购文件中的其他有关规定。</w:t>
      </w:r>
    </w:p>
    <w:p w14:paraId="3BD25ED0">
      <w:pPr>
        <w:numPr>
          <w:ilvl w:val="0"/>
          <w:numId w:val="4"/>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我方愿意向贵方提供任何与该项目响应有关的数据、情况和技术资料。若贵方需要，我方愿意提供我方作出的一切承诺的证明材料。</w:t>
      </w:r>
    </w:p>
    <w:p w14:paraId="11C4F67E">
      <w:pPr>
        <w:numPr>
          <w:ilvl w:val="0"/>
          <w:numId w:val="4"/>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我方已详细阅读全部采购文件，包括采购文件“更正（延期）公告”（如果有）、参考资料及有关附件，确认无误。</w:t>
      </w:r>
    </w:p>
    <w:p w14:paraId="08A1D01F">
      <w:pPr>
        <w:numPr>
          <w:ilvl w:val="0"/>
          <w:numId w:val="4"/>
        </w:numPr>
        <w:spacing w:line="420" w:lineRule="exact"/>
        <w:ind w:firstLine="456" w:firstLineChars="19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如我方中标，我方承诺：</w:t>
      </w:r>
    </w:p>
    <w:p w14:paraId="2A46A58F">
      <w:pPr>
        <w:numPr>
          <w:ilvl w:val="0"/>
          <w:numId w:val="0"/>
        </w:num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7.1、在收到中标通知书后，在中标通知书规定的期限内与你方签订合同；</w:t>
      </w:r>
    </w:p>
    <w:p w14:paraId="2C34F4B0">
      <w:pPr>
        <w:numPr>
          <w:ilvl w:val="0"/>
          <w:numId w:val="0"/>
        </w:num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7.2、在签订合同时不向你方提出附加条件；</w:t>
      </w:r>
    </w:p>
    <w:p w14:paraId="68EE90C6">
      <w:pPr>
        <w:numPr>
          <w:ilvl w:val="0"/>
          <w:numId w:val="0"/>
        </w:num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7.3、按照采购文件要求提交履约保证金</w:t>
      </w:r>
      <w:r>
        <w:rPr>
          <w:rFonts w:hint="eastAsia" w:ascii="宋体" w:hAnsi="宋体" w:cs="宋体"/>
          <w:color w:val="auto"/>
          <w:kern w:val="2"/>
          <w:sz w:val="24"/>
          <w:szCs w:val="24"/>
          <w:highlight w:val="none"/>
          <w:lang w:val="en-US" w:eastAsia="zh-CN" w:bidi="ar-SA"/>
        </w:rPr>
        <w:t>（如有）</w:t>
      </w:r>
      <w:r>
        <w:rPr>
          <w:rFonts w:hint="eastAsia" w:ascii="宋体" w:hAnsi="宋体" w:eastAsia="宋体" w:cs="宋体"/>
          <w:color w:val="auto"/>
          <w:kern w:val="2"/>
          <w:sz w:val="24"/>
          <w:szCs w:val="24"/>
          <w:highlight w:val="none"/>
          <w:lang w:val="en-US" w:eastAsia="zh-CN" w:bidi="ar-SA"/>
        </w:rPr>
        <w:t>；</w:t>
      </w:r>
    </w:p>
    <w:p w14:paraId="06163CFF">
      <w:pPr>
        <w:numPr>
          <w:ilvl w:val="0"/>
          <w:numId w:val="0"/>
        </w:numPr>
        <w:spacing w:line="4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7.4、在合同约定的期限内完成合同规定的全部义务。</w:t>
      </w:r>
    </w:p>
    <w:p w14:paraId="4073856E">
      <w:pPr>
        <w:numPr>
          <w:ilvl w:val="0"/>
          <w:numId w:val="0"/>
        </w:num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 xml:space="preserve">8、其他补充说明: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0BD8FE54">
      <w:pPr>
        <w:spacing w:line="420" w:lineRule="exact"/>
        <w:ind w:firstLine="435"/>
        <w:rPr>
          <w:rFonts w:hint="eastAsia" w:ascii="宋体" w:hAnsi="宋体" w:eastAsia="宋体" w:cs="宋体"/>
          <w:color w:val="auto"/>
          <w:sz w:val="24"/>
          <w:highlight w:val="none"/>
          <w:u w:val="single"/>
        </w:rPr>
      </w:pPr>
    </w:p>
    <w:p w14:paraId="73B86301">
      <w:pPr>
        <w:spacing w:line="420" w:lineRule="exact"/>
        <w:ind w:firstLine="435"/>
        <w:rPr>
          <w:rFonts w:hint="eastAsia" w:ascii="宋体" w:hAnsi="宋体" w:eastAsia="宋体" w:cs="宋体"/>
          <w:color w:val="auto"/>
          <w:sz w:val="24"/>
          <w:highlight w:val="none"/>
        </w:rPr>
      </w:pPr>
    </w:p>
    <w:p w14:paraId="6BEFDB05">
      <w:pPr>
        <w:spacing w:line="420" w:lineRule="exact"/>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F7A20D">
      <w:pPr>
        <w:spacing w:line="420" w:lineRule="exact"/>
        <w:ind w:firstLine="435"/>
        <w:jc w:val="left"/>
        <w:rPr>
          <w:rFonts w:hint="eastAsia" w:ascii="宋体" w:hAnsi="宋体" w:eastAsia="宋体" w:cs="宋体"/>
          <w:color w:val="auto"/>
          <w:sz w:val="24"/>
          <w:highlight w:val="none"/>
        </w:rPr>
      </w:pPr>
    </w:p>
    <w:p w14:paraId="56B35ECA">
      <w:pPr>
        <w:spacing w:line="420" w:lineRule="exact"/>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盖章或电子签章</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sz w:val="24"/>
          <w:highlight w:val="none"/>
          <w:u w:val="single"/>
        </w:rPr>
        <w:t xml:space="preserve">                  </w:t>
      </w:r>
    </w:p>
    <w:p w14:paraId="115B124E">
      <w:pPr>
        <w:spacing w:line="420" w:lineRule="exact"/>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或负责人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或其授权代表</w:t>
      </w:r>
      <w:r>
        <w:rPr>
          <w:rFonts w:hint="eastAsia" w:ascii="宋体" w:hAnsi="宋体" w:eastAsia="宋体" w:cs="宋体"/>
          <w:sz w:val="24"/>
          <w:szCs w:val="24"/>
          <w:highlight w:val="none"/>
        </w:rPr>
        <w:t>（签字或盖章或电子签章）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F76D4A7">
      <w:pPr>
        <w:keepNext w:val="0"/>
        <w:keepLines w:val="0"/>
        <w:pageBreakBefore w:val="0"/>
        <w:kinsoku/>
        <w:wordWrap/>
        <w:overflowPunct/>
        <w:topLinePunct w:val="0"/>
        <w:autoSpaceDE/>
        <w:autoSpaceDN/>
        <w:bidi w:val="0"/>
        <w:spacing w:line="600" w:lineRule="exact"/>
        <w:ind w:firstLine="435"/>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8"/>
          <w:szCs w:val="28"/>
          <w:highlight w:val="none"/>
          <w:u w:val="single"/>
        </w:rPr>
        <w:t xml:space="preserve"> </w:t>
      </w:r>
    </w:p>
    <w:p w14:paraId="0AB75294">
      <w:pPr>
        <w:pStyle w:val="20"/>
        <w:ind w:left="0" w:leftChars="0" w:firstLine="0" w:firstLineChars="0"/>
        <w:rPr>
          <w:rFonts w:hint="eastAsia" w:ascii="宋体" w:hAnsi="宋体" w:eastAsia="宋体" w:cs="宋体"/>
          <w:b/>
          <w:bCs/>
          <w:color w:val="auto"/>
          <w:sz w:val="28"/>
          <w:szCs w:val="28"/>
          <w:highlight w:val="none"/>
          <w:lang w:val="en-US" w:eastAsia="zh-CN"/>
        </w:rPr>
      </w:pPr>
    </w:p>
    <w:p w14:paraId="37718E8D">
      <w:pPr>
        <w:pStyle w:val="11"/>
        <w:rPr>
          <w:rFonts w:hint="eastAsia" w:ascii="宋体" w:hAnsi="宋体" w:eastAsia="宋体" w:cs="宋体"/>
          <w:color w:val="auto"/>
          <w:highlight w:val="none"/>
          <w:lang w:val="en-US" w:eastAsia="zh-CN"/>
        </w:rPr>
      </w:pPr>
    </w:p>
    <w:p w14:paraId="455BE6A0">
      <w:pPr>
        <w:pStyle w:val="20"/>
        <w:ind w:left="0" w:leftChars="0" w:firstLine="0" w:firstLineChars="0"/>
        <w:rPr>
          <w:rFonts w:hint="eastAsia" w:ascii="宋体" w:hAnsi="宋体" w:eastAsia="宋体" w:cs="宋体"/>
          <w:b/>
          <w:bCs/>
          <w:color w:val="auto"/>
          <w:sz w:val="28"/>
          <w:szCs w:val="28"/>
          <w:highlight w:val="none"/>
          <w:lang w:val="en-US" w:eastAsia="zh-CN"/>
        </w:rPr>
      </w:pPr>
    </w:p>
    <w:p w14:paraId="040DA34C">
      <w:pPr>
        <w:pStyle w:val="20"/>
        <w:ind w:left="0" w:leftChars="0" w:firstLine="0" w:firstLineChars="0"/>
        <w:rPr>
          <w:rFonts w:hint="eastAsia" w:ascii="宋体" w:hAnsi="宋体" w:eastAsia="宋体" w:cs="宋体"/>
          <w:b/>
          <w:bCs/>
          <w:color w:val="auto"/>
          <w:sz w:val="28"/>
          <w:szCs w:val="28"/>
          <w:highlight w:val="none"/>
          <w:lang w:val="en-US" w:eastAsia="zh-CN"/>
        </w:rPr>
      </w:pPr>
    </w:p>
    <w:p w14:paraId="22B9100D">
      <w:pPr>
        <w:keepNext w:val="0"/>
        <w:keepLines w:val="0"/>
        <w:pageBreakBefore w:val="0"/>
        <w:kinsoku/>
        <w:wordWrap/>
        <w:overflowPunct/>
        <w:topLinePunct w:val="0"/>
        <w:autoSpaceDE w:val="0"/>
        <w:autoSpaceDN w:val="0"/>
        <w:bidi w:val="0"/>
        <w:adjustRightInd w:val="0"/>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rPr>
        <w:t>法定代表人</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或负责人</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资格证明书</w:t>
      </w:r>
    </w:p>
    <w:p w14:paraId="7B1072CE">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p>
    <w:p w14:paraId="6C2331F0">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3FA441D4">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1B5AFA6E">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A741FC7">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0ED4CD7B">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        别：</w:t>
      </w:r>
      <w:r>
        <w:rPr>
          <w:rFonts w:hint="eastAsia" w:ascii="宋体" w:hAnsi="宋体" w:eastAsia="宋体" w:cs="宋体"/>
          <w:sz w:val="24"/>
          <w:szCs w:val="24"/>
          <w:highlight w:val="none"/>
          <w:u w:val="single"/>
        </w:rPr>
        <w:t xml:space="preserve">                </w:t>
      </w:r>
    </w:p>
    <w:p w14:paraId="17E0C2DE">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（投标人名称）的法定代表人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2960DCF9">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0E1B1474">
      <w:pPr>
        <w:keepNext w:val="0"/>
        <w:keepLines w:val="0"/>
        <w:pageBreakBefore w:val="0"/>
        <w:kinsoku/>
        <w:wordWrap/>
        <w:overflowPunct/>
        <w:topLinePunct w:val="0"/>
        <w:bidi w:val="0"/>
        <w:spacing w:line="500" w:lineRule="exact"/>
        <w:ind w:firstLine="424" w:firstLineChars="177"/>
        <w:rPr>
          <w:rFonts w:hint="eastAsia" w:ascii="宋体" w:hAnsi="宋体" w:eastAsia="宋体" w:cs="宋体"/>
          <w:sz w:val="24"/>
          <w:szCs w:val="24"/>
          <w:highlight w:val="none"/>
        </w:rPr>
      </w:pPr>
    </w:p>
    <w:p w14:paraId="18B9FEBE">
      <w:pPr>
        <w:keepNext w:val="0"/>
        <w:keepLines w:val="0"/>
        <w:pageBreakBefore w:val="0"/>
        <w:kinsoku/>
        <w:wordWrap/>
        <w:overflowPunct/>
        <w:topLinePunct w:val="0"/>
        <w:bidi w:val="0"/>
        <w:spacing w:line="500" w:lineRule="exact"/>
        <w:jc w:val="right"/>
        <w:rPr>
          <w:rFonts w:hint="eastAsia" w:ascii="宋体" w:hAnsi="宋体" w:eastAsia="宋体" w:cs="宋体"/>
          <w:sz w:val="24"/>
          <w:szCs w:val="24"/>
          <w:highlight w:val="none"/>
        </w:rPr>
      </w:pPr>
    </w:p>
    <w:p w14:paraId="3B3F23D7">
      <w:pPr>
        <w:keepNext w:val="0"/>
        <w:keepLines w:val="0"/>
        <w:pageBreakBefore w:val="0"/>
        <w:kinsoku/>
        <w:wordWrap/>
        <w:overflowPunct/>
        <w:topLinePunct w:val="0"/>
        <w:bidi w:val="0"/>
        <w:spacing w:line="50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64285844">
      <w:pPr>
        <w:keepNext w:val="0"/>
        <w:keepLines w:val="0"/>
        <w:pageBreakBefore w:val="0"/>
        <w:kinsoku/>
        <w:wordWrap/>
        <w:overflowPunct/>
        <w:topLinePunct w:val="0"/>
        <w:bidi w:val="0"/>
        <w:spacing w:line="50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w:t>
      </w:r>
    </w:p>
    <w:p w14:paraId="72A567DE">
      <w:pPr>
        <w:pStyle w:val="35"/>
        <w:keepNext w:val="0"/>
        <w:keepLines w:val="0"/>
        <w:pageBreakBefore w:val="0"/>
        <w:kinsoku/>
        <w:wordWrap/>
        <w:overflowPunct/>
        <w:topLinePunct w:val="0"/>
        <w:bidi w:val="0"/>
        <w:spacing w:line="500" w:lineRule="exact"/>
        <w:rPr>
          <w:rFonts w:hint="eastAsia" w:ascii="宋体" w:hAnsi="宋体" w:eastAsia="宋体" w:cs="宋体"/>
          <w:sz w:val="24"/>
          <w:szCs w:val="24"/>
          <w:highlight w:val="none"/>
        </w:rPr>
      </w:pPr>
    </w:p>
    <w:p w14:paraId="2FD137DC">
      <w:pPr>
        <w:pStyle w:val="35"/>
        <w:keepNext w:val="0"/>
        <w:keepLines w:val="0"/>
        <w:pageBreakBefore w:val="0"/>
        <w:kinsoku/>
        <w:wordWrap/>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身份证扫描件</w:t>
      </w:r>
    </w:p>
    <w:tbl>
      <w:tblPr>
        <w:tblStyle w:val="21"/>
        <w:tblW w:w="9733" w:type="dxa"/>
        <w:tblInd w:w="0" w:type="dxa"/>
        <w:tblLayout w:type="fixed"/>
        <w:tblCellMar>
          <w:top w:w="0" w:type="dxa"/>
          <w:left w:w="108" w:type="dxa"/>
          <w:bottom w:w="0" w:type="dxa"/>
          <w:right w:w="108" w:type="dxa"/>
        </w:tblCellMar>
      </w:tblPr>
      <w:tblGrid>
        <w:gridCol w:w="5222"/>
        <w:gridCol w:w="4511"/>
      </w:tblGrid>
      <w:tr w14:paraId="63431D21">
        <w:tblPrEx>
          <w:tblCellMar>
            <w:top w:w="0" w:type="dxa"/>
            <w:left w:w="108" w:type="dxa"/>
            <w:bottom w:w="0" w:type="dxa"/>
            <w:right w:w="108" w:type="dxa"/>
          </w:tblCellMar>
        </w:tblPrEx>
        <w:trPr>
          <w:trHeight w:val="2423" w:hRule="atLeast"/>
        </w:trPr>
        <w:tc>
          <w:tcPr>
            <w:tcW w:w="5222" w:type="dxa"/>
            <w:tcBorders>
              <w:top w:val="single" w:color="auto" w:sz="4" w:space="0"/>
              <w:left w:val="single" w:color="auto" w:sz="4" w:space="0"/>
              <w:bottom w:val="single" w:color="auto" w:sz="4" w:space="0"/>
              <w:right w:val="single" w:color="auto" w:sz="4" w:space="0"/>
            </w:tcBorders>
          </w:tcPr>
          <w:p w14:paraId="324CD6A9">
            <w:pPr>
              <w:keepNext w:val="0"/>
              <w:keepLines w:val="0"/>
              <w:pageBreakBefore w:val="0"/>
              <w:widowControl/>
              <w:tabs>
                <w:tab w:val="right" w:leader="dot" w:pos="8295"/>
              </w:tabs>
              <w:kinsoku/>
              <w:wordWrap/>
              <w:overflowPunct/>
              <w:topLinePunct w:val="0"/>
              <w:bidi w:val="0"/>
              <w:snapToGrid w:val="0"/>
              <w:spacing w:line="500" w:lineRule="exact"/>
              <w:ind w:left="5250" w:firstLine="480"/>
              <w:jc w:val="center"/>
              <w:rPr>
                <w:rFonts w:hint="eastAsia" w:ascii="宋体" w:hAnsi="宋体" w:eastAsia="宋体" w:cs="宋体"/>
                <w:kern w:val="0"/>
                <w:sz w:val="24"/>
                <w:szCs w:val="24"/>
                <w:highlight w:val="none"/>
              </w:rPr>
            </w:pPr>
          </w:p>
          <w:p w14:paraId="63696BEF">
            <w:pPr>
              <w:keepNext w:val="0"/>
              <w:keepLines w:val="0"/>
              <w:pageBreakBefore w:val="0"/>
              <w:widowControl/>
              <w:tabs>
                <w:tab w:val="right" w:leader="dot" w:pos="8295"/>
              </w:tabs>
              <w:kinsoku/>
              <w:wordWrap/>
              <w:overflowPunct/>
              <w:topLinePunct w:val="0"/>
              <w:bidi w:val="0"/>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或负责人</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身份证扫描件</w:t>
            </w:r>
          </w:p>
          <w:p w14:paraId="6FC98ED2">
            <w:pPr>
              <w:pStyle w:val="35"/>
              <w:keepNext w:val="0"/>
              <w:keepLines w:val="0"/>
              <w:pageBreakBefore w:val="0"/>
              <w:kinsoku/>
              <w:wordWrap/>
              <w:overflowPunct/>
              <w:topLinePunct w:val="0"/>
              <w:bidi w:val="0"/>
              <w:spacing w:line="500" w:lineRule="exact"/>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（国徽面）</w:t>
            </w:r>
          </w:p>
          <w:p w14:paraId="471AC101">
            <w:pPr>
              <w:keepNext w:val="0"/>
              <w:keepLines w:val="0"/>
              <w:pageBreakBefore w:val="0"/>
              <w:widowControl/>
              <w:tabs>
                <w:tab w:val="right" w:leader="dot" w:pos="8295"/>
              </w:tabs>
              <w:kinsoku/>
              <w:wordWrap/>
              <w:overflowPunct/>
              <w:topLinePunct w:val="0"/>
              <w:bidi w:val="0"/>
              <w:snapToGrid w:val="0"/>
              <w:spacing w:line="500" w:lineRule="exact"/>
              <w:ind w:left="5250" w:firstLine="480"/>
              <w:jc w:val="center"/>
              <w:rPr>
                <w:rFonts w:hint="eastAsia" w:ascii="宋体" w:hAnsi="宋体" w:eastAsia="宋体" w:cs="宋体"/>
                <w:kern w:val="0"/>
                <w:sz w:val="24"/>
                <w:szCs w:val="24"/>
                <w:highlight w:val="none"/>
              </w:rPr>
            </w:pPr>
          </w:p>
        </w:tc>
        <w:tc>
          <w:tcPr>
            <w:tcW w:w="4511" w:type="dxa"/>
            <w:tcBorders>
              <w:top w:val="single" w:color="auto" w:sz="4" w:space="0"/>
              <w:left w:val="single" w:color="auto" w:sz="4" w:space="0"/>
              <w:bottom w:val="single" w:color="auto" w:sz="4" w:space="0"/>
              <w:right w:val="single" w:color="auto" w:sz="4" w:space="0"/>
            </w:tcBorders>
          </w:tcPr>
          <w:p w14:paraId="46CE8DAC">
            <w:pPr>
              <w:keepNext w:val="0"/>
              <w:keepLines w:val="0"/>
              <w:pageBreakBefore w:val="0"/>
              <w:widowControl/>
              <w:tabs>
                <w:tab w:val="right" w:leader="dot" w:pos="8295"/>
              </w:tabs>
              <w:kinsoku/>
              <w:wordWrap/>
              <w:overflowPunct/>
              <w:topLinePunct w:val="0"/>
              <w:bidi w:val="0"/>
              <w:snapToGrid w:val="0"/>
              <w:spacing w:line="500" w:lineRule="exact"/>
              <w:ind w:left="5250" w:firstLine="480"/>
              <w:jc w:val="center"/>
              <w:rPr>
                <w:rFonts w:hint="eastAsia" w:ascii="宋体" w:hAnsi="宋体" w:eastAsia="宋体" w:cs="宋体"/>
                <w:kern w:val="0"/>
                <w:sz w:val="24"/>
                <w:szCs w:val="24"/>
                <w:highlight w:val="none"/>
              </w:rPr>
            </w:pPr>
          </w:p>
          <w:p w14:paraId="3547D813">
            <w:pPr>
              <w:keepNext w:val="0"/>
              <w:keepLines w:val="0"/>
              <w:pageBreakBefore w:val="0"/>
              <w:widowControl/>
              <w:tabs>
                <w:tab w:val="right" w:leader="dot" w:pos="8295"/>
              </w:tabs>
              <w:kinsoku/>
              <w:wordWrap/>
              <w:overflowPunct/>
              <w:topLinePunct w:val="0"/>
              <w:bidi w:val="0"/>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或负责人</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身份证扫描件</w:t>
            </w:r>
          </w:p>
          <w:p w14:paraId="6D37E57B">
            <w:pPr>
              <w:pStyle w:val="35"/>
              <w:keepNext w:val="0"/>
              <w:keepLines w:val="0"/>
              <w:pageBreakBefore w:val="0"/>
              <w:kinsoku/>
              <w:wordWrap/>
              <w:overflowPunct/>
              <w:topLinePunct w:val="0"/>
              <w:bidi w:val="0"/>
              <w:spacing w:line="500" w:lineRule="exact"/>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（头像面）</w:t>
            </w:r>
          </w:p>
          <w:p w14:paraId="6C89BBD0">
            <w:pPr>
              <w:keepNext w:val="0"/>
              <w:keepLines w:val="0"/>
              <w:pageBreakBefore w:val="0"/>
              <w:widowControl/>
              <w:tabs>
                <w:tab w:val="right" w:leader="dot" w:pos="8295"/>
              </w:tabs>
              <w:kinsoku/>
              <w:wordWrap/>
              <w:overflowPunct/>
              <w:topLinePunct w:val="0"/>
              <w:bidi w:val="0"/>
              <w:snapToGrid w:val="0"/>
              <w:spacing w:line="500" w:lineRule="exact"/>
              <w:ind w:left="5250" w:firstLine="480"/>
              <w:rPr>
                <w:rFonts w:hint="eastAsia" w:ascii="宋体" w:hAnsi="宋体" w:eastAsia="宋体" w:cs="宋体"/>
                <w:kern w:val="0"/>
                <w:sz w:val="24"/>
                <w:szCs w:val="24"/>
                <w:highlight w:val="none"/>
              </w:rPr>
            </w:pPr>
          </w:p>
        </w:tc>
      </w:tr>
    </w:tbl>
    <w:p w14:paraId="58C19072">
      <w:pPr>
        <w:rPr>
          <w:rFonts w:hint="eastAsia" w:ascii="宋体" w:hAnsi="宋体" w:eastAsia="宋体" w:cs="宋体"/>
          <w:highlight w:val="none"/>
        </w:rPr>
      </w:pPr>
    </w:p>
    <w:p w14:paraId="071F9D5D">
      <w:pPr>
        <w:pStyle w:val="35"/>
        <w:rPr>
          <w:rFonts w:hint="eastAsia" w:ascii="宋体" w:hAnsi="宋体" w:eastAsia="宋体" w:cs="宋体"/>
          <w:highlight w:val="none"/>
        </w:rPr>
      </w:pPr>
    </w:p>
    <w:p w14:paraId="6513E683">
      <w:pPr>
        <w:pageBreakBefore/>
        <w:adjustRightInd w:val="0"/>
        <w:spacing w:line="500" w:lineRule="exact"/>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或负责人</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授权书</w:t>
      </w:r>
    </w:p>
    <w:p w14:paraId="4B19DFAF">
      <w:pPr>
        <w:keepNext w:val="0"/>
        <w:keepLines w:val="0"/>
        <w:pageBreakBefore w:val="0"/>
        <w:widowControl w:val="0"/>
        <w:kinsoku/>
        <w:wordWrap/>
        <w:overflowPunct/>
        <w:topLinePunct w:val="0"/>
        <w:autoSpaceDE w:val="0"/>
        <w:autoSpaceDN w:val="0"/>
        <w:bidi w:val="0"/>
        <w:adjustRightInd w:val="0"/>
        <w:snapToGrid/>
        <w:spacing w:line="40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val="zh-CN"/>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采购人</w:t>
      </w:r>
      <w:r>
        <w:rPr>
          <w:rFonts w:hint="eastAsia" w:ascii="宋体" w:hAnsi="宋体" w:eastAsia="宋体" w:cs="宋体"/>
          <w:sz w:val="24"/>
          <w:szCs w:val="24"/>
          <w:highlight w:val="none"/>
          <w:u w:val="single"/>
          <w:lang w:eastAsia="zh-CN"/>
        </w:rPr>
        <w:t>）</w:t>
      </w:r>
    </w:p>
    <w:p w14:paraId="7B56EA9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本授权委托书声明：我</w:t>
      </w:r>
      <w:r>
        <w:rPr>
          <w:rFonts w:hint="eastAsia" w:ascii="宋体" w:hAnsi="宋体" w:cs="宋体"/>
          <w:sz w:val="24"/>
          <w:szCs w:val="24"/>
          <w:highlight w:val="none"/>
          <w:u w:val="single"/>
          <w:lang w:val="zh-CN"/>
        </w:rPr>
        <w:t>【</w:t>
      </w:r>
      <w:r>
        <w:rPr>
          <w:rFonts w:hint="eastAsia" w:ascii="宋体" w:hAnsi="宋体" w:eastAsia="宋体" w:cs="宋体"/>
          <w:sz w:val="24"/>
          <w:szCs w:val="24"/>
          <w:highlight w:val="none"/>
          <w:u w:val="single"/>
          <w:lang w:val="zh-CN"/>
        </w:rPr>
        <w:t>法定代表人</w:t>
      </w:r>
      <w:r>
        <w:rPr>
          <w:rFonts w:hint="eastAsia" w:ascii="宋体" w:hAnsi="宋体" w:eastAsia="宋体" w:cs="宋体"/>
          <w:sz w:val="24"/>
          <w:szCs w:val="24"/>
          <w:highlight w:val="none"/>
          <w:u w:val="single"/>
          <w:lang w:val="zh-CN" w:eastAsia="zh-CN"/>
        </w:rPr>
        <w:t>（或负责人）</w:t>
      </w:r>
      <w:r>
        <w:rPr>
          <w:rFonts w:hint="eastAsia" w:ascii="宋体" w:hAnsi="宋体" w:eastAsia="宋体" w:cs="宋体"/>
          <w:sz w:val="24"/>
          <w:szCs w:val="24"/>
          <w:highlight w:val="none"/>
          <w:u w:val="single"/>
          <w:lang w:val="zh-CN"/>
        </w:rPr>
        <w:t>姓名</w:t>
      </w:r>
      <w:r>
        <w:rPr>
          <w:rFonts w:hint="eastAsia" w:ascii="宋体" w:hAnsi="宋体" w:cs="宋体"/>
          <w:sz w:val="24"/>
          <w:szCs w:val="24"/>
          <w:highlight w:val="none"/>
          <w:u w:val="single"/>
          <w:lang w:val="zh-CN"/>
        </w:rPr>
        <w:t>】</w:t>
      </w:r>
      <w:r>
        <w:rPr>
          <w:rFonts w:hint="eastAsia" w:ascii="宋体" w:hAnsi="宋体" w:eastAsia="宋体" w:cs="宋体"/>
          <w:sz w:val="24"/>
          <w:szCs w:val="24"/>
          <w:highlight w:val="none"/>
          <w:lang w:val="zh-CN"/>
        </w:rPr>
        <w:t>系</w:t>
      </w:r>
      <w:r>
        <w:rPr>
          <w:rFonts w:hint="eastAsia" w:ascii="宋体" w:hAnsi="宋体" w:eastAsia="宋体" w:cs="宋体"/>
          <w:sz w:val="24"/>
          <w:szCs w:val="24"/>
          <w:highlight w:val="none"/>
          <w:u w:val="single"/>
          <w:lang w:val="zh-CN"/>
        </w:rPr>
        <w:t>（投标人名称）</w:t>
      </w:r>
      <w:r>
        <w:rPr>
          <w:rFonts w:hint="eastAsia" w:ascii="宋体" w:hAnsi="宋体" w:eastAsia="宋体" w:cs="宋体"/>
          <w:sz w:val="24"/>
          <w:szCs w:val="24"/>
          <w:highlight w:val="none"/>
          <w:lang w:val="zh-CN"/>
        </w:rPr>
        <w:t>的法定代表人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或负责人</w:t>
      </w:r>
      <w:r>
        <w:rPr>
          <w:rFonts w:hint="eastAsia" w:ascii="宋体" w:hAnsi="宋体" w:cs="宋体"/>
          <w:kern w:val="0"/>
          <w:sz w:val="24"/>
          <w:szCs w:val="24"/>
          <w:highlight w:val="none"/>
          <w:lang w:eastAsia="zh-CN"/>
        </w:rPr>
        <w:t>）</w:t>
      </w:r>
      <w:r>
        <w:rPr>
          <w:rFonts w:hint="eastAsia" w:ascii="宋体" w:hAnsi="宋体" w:eastAsia="宋体" w:cs="宋体"/>
          <w:sz w:val="24"/>
          <w:szCs w:val="24"/>
          <w:highlight w:val="none"/>
          <w:lang w:val="zh-CN"/>
        </w:rPr>
        <w:t>，现授权委托</w:t>
      </w:r>
      <w:r>
        <w:rPr>
          <w:rFonts w:hint="eastAsia" w:ascii="宋体" w:hAnsi="宋体" w:eastAsia="宋体" w:cs="宋体"/>
          <w:sz w:val="24"/>
          <w:szCs w:val="24"/>
          <w:highlight w:val="none"/>
          <w:u w:val="single"/>
          <w:lang w:val="zh-CN"/>
        </w:rPr>
        <w:t>（单位名称）</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（授权代表姓名）</w:t>
      </w:r>
      <w:r>
        <w:rPr>
          <w:rFonts w:hint="eastAsia" w:ascii="宋体" w:hAnsi="宋体" w:eastAsia="宋体" w:cs="宋体"/>
          <w:sz w:val="24"/>
          <w:szCs w:val="24"/>
          <w:highlight w:val="none"/>
          <w:lang w:val="zh-CN"/>
        </w:rPr>
        <w:t>为我公司法定代表人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或负责人</w:t>
      </w:r>
      <w:r>
        <w:rPr>
          <w:rFonts w:hint="eastAsia" w:ascii="宋体" w:hAnsi="宋体" w:cs="宋体"/>
          <w:kern w:val="0"/>
          <w:sz w:val="24"/>
          <w:szCs w:val="24"/>
          <w:highlight w:val="none"/>
          <w:lang w:eastAsia="zh-CN"/>
        </w:rPr>
        <w:t>）</w:t>
      </w:r>
      <w:r>
        <w:rPr>
          <w:rFonts w:hint="eastAsia" w:ascii="宋体" w:hAnsi="宋体" w:eastAsia="宋体" w:cs="宋体"/>
          <w:sz w:val="24"/>
          <w:szCs w:val="24"/>
          <w:highlight w:val="none"/>
          <w:lang w:val="zh-CN"/>
        </w:rPr>
        <w:t>授权代表，参加贵单位组织的</w:t>
      </w:r>
      <w:r>
        <w:rPr>
          <w:rFonts w:hint="eastAsia" w:ascii="宋体" w:hAnsi="宋体" w:eastAsia="宋体" w:cs="宋体"/>
          <w:sz w:val="24"/>
          <w:szCs w:val="24"/>
          <w:highlight w:val="none"/>
          <w:u w:val="single"/>
          <w:lang w:val="zh-CN"/>
        </w:rPr>
        <w:t xml:space="preserve"> （采购项目名称、项目编号）</w:t>
      </w:r>
      <w:r>
        <w:rPr>
          <w:rFonts w:hint="eastAsia" w:ascii="宋体" w:hAnsi="宋体" w:eastAsia="宋体" w:cs="宋体"/>
          <w:sz w:val="24"/>
          <w:szCs w:val="24"/>
          <w:highlight w:val="none"/>
          <w:lang w:val="zh-CN"/>
        </w:rPr>
        <w:t>项目采购，并代表我方全权处理本次采购活动中的一切事宜，并签署相关文件，我方对被授权人的签名事项负全部责任。</w:t>
      </w:r>
    </w:p>
    <w:p w14:paraId="0C30897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在撤销授权的书面通知以前，本授权书一直有效。被授权人在授权书有效期内签署的所有文件不因授权的撤销而失效。</w:t>
      </w:r>
    </w:p>
    <w:p w14:paraId="775049C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授权代表无转授权，特此授权。</w:t>
      </w:r>
    </w:p>
    <w:p w14:paraId="67796867">
      <w:pPr>
        <w:pStyle w:val="27"/>
        <w:keepNext w:val="0"/>
        <w:keepLines w:val="0"/>
        <w:pageBreakBefore w:val="0"/>
        <w:widowControl w:val="0"/>
        <w:kinsoku/>
        <w:wordWrap/>
        <w:overflowPunct/>
        <w:topLinePunct w:val="0"/>
        <w:bidi w:val="0"/>
        <w:snapToGrid/>
        <w:spacing w:line="400" w:lineRule="exac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附：法定代表人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或负责人</w:t>
      </w:r>
      <w:r>
        <w:rPr>
          <w:rFonts w:hint="eastAsia" w:ascii="宋体" w:hAnsi="宋体" w:cs="宋体"/>
          <w:kern w:val="0"/>
          <w:sz w:val="24"/>
          <w:szCs w:val="24"/>
          <w:highlight w:val="none"/>
          <w:lang w:eastAsia="zh-CN"/>
        </w:rPr>
        <w:t>）</w:t>
      </w:r>
      <w:r>
        <w:rPr>
          <w:rFonts w:hint="eastAsia" w:ascii="宋体" w:hAnsi="宋体" w:eastAsia="宋体" w:cs="宋体"/>
          <w:kern w:val="2"/>
          <w:sz w:val="24"/>
          <w:szCs w:val="24"/>
          <w:highlight w:val="none"/>
          <w:lang w:val="zh-CN" w:eastAsia="zh-CN" w:bidi="ar-SA"/>
        </w:rPr>
        <w:t>及授权代表人身份证扫描件</w:t>
      </w:r>
    </w:p>
    <w:p w14:paraId="515CD190">
      <w:pPr>
        <w:pStyle w:val="27"/>
        <w:keepNext w:val="0"/>
        <w:keepLines w:val="0"/>
        <w:pageBreakBefore w:val="0"/>
        <w:widowControl w:val="0"/>
        <w:kinsoku/>
        <w:wordWrap/>
        <w:overflowPunct/>
        <w:topLinePunct w:val="0"/>
        <w:bidi w:val="0"/>
        <w:snapToGrid/>
        <w:spacing w:line="400" w:lineRule="exact"/>
        <w:rPr>
          <w:rFonts w:hint="eastAsia" w:ascii="宋体" w:hAnsi="宋体" w:eastAsia="宋体" w:cs="宋体"/>
          <w:kern w:val="2"/>
          <w:sz w:val="24"/>
          <w:szCs w:val="24"/>
          <w:highlight w:val="none"/>
          <w:lang w:val="zh-CN" w:eastAsia="zh-CN" w:bidi="ar-SA"/>
        </w:rPr>
      </w:pPr>
    </w:p>
    <w:p w14:paraId="5531E7F0">
      <w:pPr>
        <w:pStyle w:val="27"/>
        <w:keepNext w:val="0"/>
        <w:keepLines w:val="0"/>
        <w:pageBreakBefore w:val="0"/>
        <w:widowControl w:val="0"/>
        <w:kinsoku/>
        <w:wordWrap/>
        <w:overflowPunct/>
        <w:topLinePunct w:val="0"/>
        <w:bidi w:val="0"/>
        <w:snapToGrid/>
        <w:spacing w:line="400" w:lineRule="exact"/>
        <w:rPr>
          <w:rFonts w:hint="eastAsia" w:ascii="宋体" w:hAnsi="宋体" w:eastAsia="宋体" w:cs="宋体"/>
          <w:kern w:val="2"/>
          <w:sz w:val="24"/>
          <w:szCs w:val="24"/>
          <w:highlight w:val="none"/>
          <w:lang w:val="zh-CN" w:eastAsia="zh-CN" w:bidi="ar-SA"/>
        </w:rPr>
      </w:pPr>
    </w:p>
    <w:p w14:paraId="7A67ACD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授权代表（签字或盖章）：</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性别：</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年龄：</w:t>
      </w:r>
      <w:r>
        <w:rPr>
          <w:rFonts w:hint="eastAsia" w:ascii="宋体" w:hAnsi="宋体" w:eastAsia="宋体" w:cs="宋体"/>
          <w:sz w:val="24"/>
          <w:szCs w:val="24"/>
          <w:highlight w:val="none"/>
          <w:u w:val="single"/>
          <w:lang w:val="zh-CN"/>
        </w:rPr>
        <w:t xml:space="preserve">            </w:t>
      </w:r>
    </w:p>
    <w:p w14:paraId="0F5178E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身份证号码：</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职务：</w:t>
      </w:r>
      <w:r>
        <w:rPr>
          <w:rFonts w:hint="eastAsia" w:ascii="宋体" w:hAnsi="宋体" w:eastAsia="宋体" w:cs="宋体"/>
          <w:sz w:val="24"/>
          <w:szCs w:val="24"/>
          <w:highlight w:val="none"/>
          <w:u w:val="single"/>
          <w:lang w:val="zh-CN"/>
        </w:rPr>
        <w:t xml:space="preserve">                        </w:t>
      </w:r>
    </w:p>
    <w:p w14:paraId="7020F2E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详细通讯地址：</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邮政编码：</w:t>
      </w:r>
      <w:r>
        <w:rPr>
          <w:rFonts w:hint="eastAsia" w:ascii="宋体" w:hAnsi="宋体" w:eastAsia="宋体" w:cs="宋体"/>
          <w:sz w:val="24"/>
          <w:szCs w:val="24"/>
          <w:highlight w:val="none"/>
          <w:u w:val="single"/>
          <w:lang w:val="zh-CN"/>
        </w:rPr>
        <w:t xml:space="preserve">                    </w:t>
      </w:r>
    </w:p>
    <w:p w14:paraId="572E472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联系电话：</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传真： </w:t>
      </w:r>
      <w:r>
        <w:rPr>
          <w:rFonts w:hint="eastAsia" w:ascii="宋体" w:hAnsi="宋体" w:eastAsia="宋体" w:cs="宋体"/>
          <w:sz w:val="24"/>
          <w:szCs w:val="24"/>
          <w:highlight w:val="none"/>
          <w:u w:val="single"/>
          <w:lang w:val="zh-CN"/>
        </w:rPr>
        <w:t xml:space="preserve">                          </w:t>
      </w:r>
    </w:p>
    <w:p w14:paraId="1CB7DAEA">
      <w:pPr>
        <w:keepNext w:val="0"/>
        <w:keepLines w:val="0"/>
        <w:pageBreakBefore w:val="0"/>
        <w:widowControl w:val="0"/>
        <w:kinsoku/>
        <w:wordWrap/>
        <w:overflowPunct/>
        <w:topLinePunct w:val="0"/>
        <w:bidi w:val="0"/>
        <w:snapToGrid/>
        <w:spacing w:line="400" w:lineRule="exact"/>
        <w:ind w:firstLine="4800" w:firstLineChars="20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投标人全称（盖章）：</w:t>
      </w:r>
    </w:p>
    <w:p w14:paraId="1D3E2937">
      <w:pPr>
        <w:keepNext w:val="0"/>
        <w:keepLines w:val="0"/>
        <w:pageBreakBefore w:val="0"/>
        <w:widowControl w:val="0"/>
        <w:kinsoku/>
        <w:wordWrap/>
        <w:overflowPunct/>
        <w:topLinePunct w:val="0"/>
        <w:bidi w:val="0"/>
        <w:snapToGrid/>
        <w:spacing w:line="400" w:lineRule="exact"/>
        <w:ind w:firstLine="4800" w:firstLineChars="20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（盖章或签字）：</w:t>
      </w:r>
    </w:p>
    <w:p w14:paraId="1CF2318A">
      <w:pPr>
        <w:keepNext w:val="0"/>
        <w:keepLines w:val="0"/>
        <w:pageBreakBefore w:val="0"/>
        <w:widowControl w:val="0"/>
        <w:kinsoku/>
        <w:wordWrap/>
        <w:overflowPunct/>
        <w:topLinePunct w:val="0"/>
        <w:bidi w:val="0"/>
        <w:snapToGrid/>
        <w:spacing w:line="400" w:lineRule="exact"/>
        <w:ind w:firstLine="4800" w:firstLineChars="20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1E8F172B">
      <w:pPr>
        <w:pStyle w:val="35"/>
        <w:spacing w:line="500" w:lineRule="exact"/>
        <w:rPr>
          <w:rFonts w:hint="eastAsia" w:ascii="宋体" w:hAnsi="宋体" w:eastAsia="宋体" w:cs="宋体"/>
          <w:szCs w:val="24"/>
          <w:highlight w:val="none"/>
        </w:rPr>
      </w:pPr>
      <w:r>
        <w:rPr>
          <w:rFonts w:hint="eastAsia" w:ascii="宋体" w:hAnsi="宋体" w:eastAsia="宋体" w:cs="宋体"/>
          <w:szCs w:val="24"/>
          <w:highlight w:val="none"/>
        </w:rPr>
        <w:t>附：法定代表人（或负责人）身份证扫描件</w:t>
      </w:r>
    </w:p>
    <w:tbl>
      <w:tblPr>
        <w:tblStyle w:val="21"/>
        <w:tblW w:w="9647" w:type="dxa"/>
        <w:tblInd w:w="98" w:type="dxa"/>
        <w:tblLayout w:type="fixed"/>
        <w:tblCellMar>
          <w:top w:w="0" w:type="dxa"/>
          <w:left w:w="108" w:type="dxa"/>
          <w:bottom w:w="0" w:type="dxa"/>
          <w:right w:w="108" w:type="dxa"/>
        </w:tblCellMar>
      </w:tblPr>
      <w:tblGrid>
        <w:gridCol w:w="4881"/>
        <w:gridCol w:w="4766"/>
      </w:tblGrid>
      <w:tr w14:paraId="69B1AC56">
        <w:tblPrEx>
          <w:tblCellMar>
            <w:top w:w="0" w:type="dxa"/>
            <w:left w:w="108" w:type="dxa"/>
            <w:bottom w:w="0" w:type="dxa"/>
            <w:right w:w="108" w:type="dxa"/>
          </w:tblCellMar>
        </w:tblPrEx>
        <w:trPr>
          <w:trHeight w:val="2287" w:hRule="atLeast"/>
        </w:trPr>
        <w:tc>
          <w:tcPr>
            <w:tcW w:w="4881" w:type="dxa"/>
            <w:tcBorders>
              <w:top w:val="single" w:color="auto" w:sz="4" w:space="0"/>
              <w:left w:val="single" w:color="auto" w:sz="4" w:space="0"/>
              <w:bottom w:val="single" w:color="auto" w:sz="4" w:space="0"/>
              <w:right w:val="single" w:color="auto" w:sz="4" w:space="0"/>
            </w:tcBorders>
          </w:tcPr>
          <w:p w14:paraId="48C08BB4">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p w14:paraId="7DD9131C">
            <w:pPr>
              <w:widowControl/>
              <w:tabs>
                <w:tab w:val="right" w:leader="dot" w:pos="8295"/>
              </w:tabs>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或负责人</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身份证扫描件</w:t>
            </w:r>
          </w:p>
          <w:p w14:paraId="1638402D">
            <w:pPr>
              <w:pStyle w:val="35"/>
              <w:spacing w:line="500" w:lineRule="exact"/>
              <w:ind w:firstLine="0"/>
              <w:jc w:val="center"/>
              <w:rPr>
                <w:rFonts w:hint="eastAsia" w:ascii="宋体" w:hAnsi="宋体" w:eastAsia="宋体" w:cs="宋体"/>
                <w:szCs w:val="24"/>
                <w:highlight w:val="none"/>
              </w:rPr>
            </w:pPr>
            <w:r>
              <w:rPr>
                <w:rFonts w:hint="eastAsia" w:ascii="宋体" w:hAnsi="宋体" w:eastAsia="宋体" w:cs="宋体"/>
                <w:szCs w:val="24"/>
                <w:highlight w:val="none"/>
              </w:rPr>
              <w:t>（国徽面）</w:t>
            </w:r>
          </w:p>
          <w:p w14:paraId="75603B6B">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tc>
        <w:tc>
          <w:tcPr>
            <w:tcW w:w="4766" w:type="dxa"/>
            <w:tcBorders>
              <w:top w:val="single" w:color="auto" w:sz="4" w:space="0"/>
              <w:left w:val="single" w:color="auto" w:sz="4" w:space="0"/>
              <w:bottom w:val="single" w:color="auto" w:sz="4" w:space="0"/>
              <w:right w:val="single" w:color="auto" w:sz="4" w:space="0"/>
            </w:tcBorders>
          </w:tcPr>
          <w:p w14:paraId="73AA9B7B">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p w14:paraId="401137A7">
            <w:pPr>
              <w:widowControl/>
              <w:tabs>
                <w:tab w:val="right" w:leader="dot" w:pos="8295"/>
              </w:tabs>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或负责人</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身份证扫描件</w:t>
            </w:r>
          </w:p>
          <w:p w14:paraId="2C66C358">
            <w:pPr>
              <w:pStyle w:val="35"/>
              <w:spacing w:line="500" w:lineRule="exact"/>
              <w:ind w:firstLine="0"/>
              <w:jc w:val="center"/>
              <w:rPr>
                <w:rFonts w:hint="eastAsia" w:ascii="宋体" w:hAnsi="宋体" w:eastAsia="宋体" w:cs="宋体"/>
                <w:szCs w:val="24"/>
                <w:highlight w:val="none"/>
              </w:rPr>
            </w:pPr>
            <w:r>
              <w:rPr>
                <w:rFonts w:hint="eastAsia" w:ascii="宋体" w:hAnsi="宋体" w:eastAsia="宋体" w:cs="宋体"/>
                <w:szCs w:val="24"/>
                <w:highlight w:val="none"/>
              </w:rPr>
              <w:t>（头像面）</w:t>
            </w:r>
          </w:p>
          <w:p w14:paraId="3B6E8A68">
            <w:pPr>
              <w:widowControl/>
              <w:tabs>
                <w:tab w:val="right" w:leader="dot" w:pos="8295"/>
              </w:tabs>
              <w:snapToGrid w:val="0"/>
              <w:spacing w:line="500" w:lineRule="exact"/>
              <w:ind w:left="5250" w:firstLine="480"/>
              <w:rPr>
                <w:rFonts w:hint="eastAsia" w:ascii="宋体" w:hAnsi="宋体" w:eastAsia="宋体" w:cs="宋体"/>
                <w:kern w:val="0"/>
                <w:sz w:val="24"/>
                <w:szCs w:val="24"/>
                <w:highlight w:val="none"/>
              </w:rPr>
            </w:pPr>
          </w:p>
        </w:tc>
      </w:tr>
    </w:tbl>
    <w:p w14:paraId="4597796B">
      <w:pPr>
        <w:pStyle w:val="35"/>
        <w:spacing w:line="500" w:lineRule="exact"/>
        <w:rPr>
          <w:rFonts w:hint="eastAsia" w:ascii="宋体" w:hAnsi="宋体" w:eastAsia="宋体" w:cs="宋体"/>
          <w:szCs w:val="24"/>
          <w:highlight w:val="none"/>
        </w:rPr>
      </w:pPr>
      <w:r>
        <w:rPr>
          <w:rFonts w:hint="eastAsia" w:ascii="宋体" w:hAnsi="宋体" w:eastAsia="宋体" w:cs="宋体"/>
          <w:szCs w:val="24"/>
          <w:highlight w:val="none"/>
        </w:rPr>
        <w:t>附：授权代表人身份证扫描件</w:t>
      </w:r>
    </w:p>
    <w:tbl>
      <w:tblPr>
        <w:tblStyle w:val="21"/>
        <w:tblW w:w="9624" w:type="dxa"/>
        <w:tblInd w:w="98" w:type="dxa"/>
        <w:tblLayout w:type="fixed"/>
        <w:tblCellMar>
          <w:top w:w="0" w:type="dxa"/>
          <w:left w:w="108" w:type="dxa"/>
          <w:bottom w:w="0" w:type="dxa"/>
          <w:right w:w="108" w:type="dxa"/>
        </w:tblCellMar>
      </w:tblPr>
      <w:tblGrid>
        <w:gridCol w:w="4881"/>
        <w:gridCol w:w="4743"/>
      </w:tblGrid>
      <w:tr w14:paraId="2F2355BC">
        <w:tblPrEx>
          <w:tblCellMar>
            <w:top w:w="0" w:type="dxa"/>
            <w:left w:w="108" w:type="dxa"/>
            <w:bottom w:w="0" w:type="dxa"/>
            <w:right w:w="108" w:type="dxa"/>
          </w:tblCellMar>
        </w:tblPrEx>
        <w:trPr>
          <w:trHeight w:val="2028" w:hRule="atLeast"/>
        </w:trPr>
        <w:tc>
          <w:tcPr>
            <w:tcW w:w="4881" w:type="dxa"/>
            <w:tcBorders>
              <w:top w:val="single" w:color="auto" w:sz="4" w:space="0"/>
              <w:left w:val="single" w:color="auto" w:sz="4" w:space="0"/>
              <w:bottom w:val="single" w:color="auto" w:sz="4" w:space="0"/>
              <w:right w:val="single" w:color="auto" w:sz="4" w:space="0"/>
            </w:tcBorders>
          </w:tcPr>
          <w:p w14:paraId="13B40CB7">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p w14:paraId="2DA08C31">
            <w:pPr>
              <w:widowControl/>
              <w:tabs>
                <w:tab w:val="right" w:leader="dot" w:pos="8295"/>
              </w:tabs>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授权代表人身份证扫描件</w:t>
            </w:r>
          </w:p>
          <w:p w14:paraId="451C14A7">
            <w:pPr>
              <w:pStyle w:val="35"/>
              <w:spacing w:line="500" w:lineRule="exact"/>
              <w:ind w:firstLine="0"/>
              <w:jc w:val="center"/>
              <w:rPr>
                <w:rFonts w:hint="eastAsia" w:ascii="宋体" w:hAnsi="宋体" w:eastAsia="宋体" w:cs="宋体"/>
                <w:kern w:val="0"/>
                <w:szCs w:val="24"/>
                <w:highlight w:val="none"/>
              </w:rPr>
            </w:pPr>
            <w:r>
              <w:rPr>
                <w:rFonts w:hint="eastAsia" w:ascii="宋体" w:hAnsi="宋体" w:eastAsia="宋体" w:cs="宋体"/>
                <w:kern w:val="0"/>
                <w:szCs w:val="24"/>
                <w:highlight w:val="none"/>
              </w:rPr>
              <w:t>（国徽面）</w:t>
            </w:r>
          </w:p>
          <w:p w14:paraId="6216117B">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tc>
        <w:tc>
          <w:tcPr>
            <w:tcW w:w="4743" w:type="dxa"/>
            <w:tcBorders>
              <w:top w:val="single" w:color="auto" w:sz="4" w:space="0"/>
              <w:left w:val="single" w:color="auto" w:sz="4" w:space="0"/>
              <w:bottom w:val="single" w:color="auto" w:sz="4" w:space="0"/>
              <w:right w:val="single" w:color="auto" w:sz="4" w:space="0"/>
            </w:tcBorders>
          </w:tcPr>
          <w:p w14:paraId="5B8F7C11">
            <w:pPr>
              <w:widowControl/>
              <w:tabs>
                <w:tab w:val="right" w:leader="dot" w:pos="8295"/>
              </w:tabs>
              <w:snapToGrid w:val="0"/>
              <w:spacing w:line="500" w:lineRule="exact"/>
              <w:ind w:left="5250" w:firstLine="480"/>
              <w:jc w:val="center"/>
              <w:rPr>
                <w:rFonts w:hint="eastAsia" w:ascii="宋体" w:hAnsi="宋体" w:eastAsia="宋体" w:cs="宋体"/>
                <w:kern w:val="0"/>
                <w:sz w:val="24"/>
                <w:szCs w:val="24"/>
                <w:highlight w:val="none"/>
              </w:rPr>
            </w:pPr>
          </w:p>
          <w:p w14:paraId="3F4602CF">
            <w:pPr>
              <w:widowControl/>
              <w:tabs>
                <w:tab w:val="right" w:leader="dot" w:pos="8295"/>
              </w:tabs>
              <w:snapToGrid w:val="0"/>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授权代表人身份证扫描件</w:t>
            </w:r>
          </w:p>
          <w:p w14:paraId="1B150B58">
            <w:pPr>
              <w:pStyle w:val="35"/>
              <w:spacing w:line="500" w:lineRule="exact"/>
              <w:ind w:firstLine="0"/>
              <w:jc w:val="center"/>
              <w:rPr>
                <w:rFonts w:hint="eastAsia" w:ascii="宋体" w:hAnsi="宋体" w:eastAsia="宋体" w:cs="宋体"/>
                <w:kern w:val="0"/>
                <w:szCs w:val="24"/>
                <w:highlight w:val="none"/>
              </w:rPr>
            </w:pPr>
            <w:r>
              <w:rPr>
                <w:rFonts w:hint="eastAsia" w:ascii="宋体" w:hAnsi="宋体" w:eastAsia="宋体" w:cs="宋体"/>
                <w:kern w:val="0"/>
                <w:szCs w:val="24"/>
                <w:highlight w:val="none"/>
              </w:rPr>
              <w:t>（头像面）</w:t>
            </w:r>
          </w:p>
          <w:p w14:paraId="2C368D06">
            <w:pPr>
              <w:widowControl/>
              <w:tabs>
                <w:tab w:val="right" w:leader="dot" w:pos="8295"/>
              </w:tabs>
              <w:snapToGrid w:val="0"/>
              <w:spacing w:line="500" w:lineRule="exact"/>
              <w:ind w:left="5250" w:firstLine="480"/>
              <w:rPr>
                <w:rFonts w:hint="eastAsia" w:ascii="宋体" w:hAnsi="宋体" w:eastAsia="宋体" w:cs="宋体"/>
                <w:kern w:val="0"/>
                <w:sz w:val="24"/>
                <w:szCs w:val="24"/>
                <w:highlight w:val="none"/>
              </w:rPr>
            </w:pPr>
          </w:p>
        </w:tc>
      </w:tr>
    </w:tbl>
    <w:p w14:paraId="6F7EDF0E">
      <w:pPr>
        <w:spacing w:line="380" w:lineRule="exact"/>
        <w:outlineLvl w:val="9"/>
        <w:rPr>
          <w:rFonts w:hint="eastAsia" w:ascii="宋体" w:hAnsi="宋体" w:eastAsia="宋体" w:cs="宋体"/>
          <w:b/>
          <w:bCs/>
          <w:color w:val="auto"/>
          <w:sz w:val="24"/>
          <w:szCs w:val="24"/>
          <w:highlight w:val="none"/>
        </w:rPr>
      </w:pPr>
    </w:p>
    <w:p w14:paraId="4C5C10B5">
      <w:pPr>
        <w:pStyle w:val="11"/>
        <w:rPr>
          <w:rFonts w:hint="eastAsia" w:ascii="宋体" w:hAnsi="宋体" w:eastAsia="宋体" w:cs="宋体"/>
          <w:b/>
          <w:color w:val="auto"/>
          <w:sz w:val="24"/>
          <w:szCs w:val="24"/>
          <w:highlight w:val="none"/>
        </w:rPr>
      </w:pPr>
    </w:p>
    <w:p w14:paraId="35B9EE99">
      <w:pPr>
        <w:pStyle w:val="11"/>
        <w:ind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拟派项目服务团队人员一览表</w:t>
      </w:r>
    </w:p>
    <w:tbl>
      <w:tblPr>
        <w:tblStyle w:val="22"/>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93"/>
        <w:gridCol w:w="1859"/>
        <w:gridCol w:w="1984"/>
        <w:gridCol w:w="2330"/>
        <w:gridCol w:w="1633"/>
      </w:tblGrid>
      <w:tr w14:paraId="7446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7" w:type="dxa"/>
            <w:noWrap w:val="0"/>
            <w:vAlign w:val="center"/>
          </w:tcPr>
          <w:p w14:paraId="1787153E">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1193" w:type="dxa"/>
            <w:noWrap w:val="0"/>
            <w:vAlign w:val="center"/>
          </w:tcPr>
          <w:p w14:paraId="43DAF7F4">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姓名</w:t>
            </w:r>
          </w:p>
        </w:tc>
        <w:tc>
          <w:tcPr>
            <w:tcW w:w="1859" w:type="dxa"/>
            <w:noWrap w:val="0"/>
            <w:vAlign w:val="center"/>
          </w:tcPr>
          <w:p w14:paraId="1DBB79C6">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身份证号码</w:t>
            </w:r>
          </w:p>
        </w:tc>
        <w:tc>
          <w:tcPr>
            <w:tcW w:w="1984" w:type="dxa"/>
            <w:noWrap w:val="0"/>
            <w:vAlign w:val="center"/>
          </w:tcPr>
          <w:p w14:paraId="059F34D3">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性别</w:t>
            </w:r>
          </w:p>
        </w:tc>
        <w:tc>
          <w:tcPr>
            <w:tcW w:w="2330" w:type="dxa"/>
            <w:noWrap w:val="0"/>
            <w:vAlign w:val="center"/>
          </w:tcPr>
          <w:p w14:paraId="3B2D4C8B">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相关证书（如有）</w:t>
            </w:r>
          </w:p>
        </w:tc>
        <w:tc>
          <w:tcPr>
            <w:tcW w:w="1633" w:type="dxa"/>
            <w:noWrap w:val="0"/>
            <w:vAlign w:val="center"/>
          </w:tcPr>
          <w:p w14:paraId="0BACECC7">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拟派岗位</w:t>
            </w:r>
          </w:p>
        </w:tc>
      </w:tr>
      <w:tr w14:paraId="314E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7" w:type="dxa"/>
            <w:noWrap w:val="0"/>
            <w:vAlign w:val="center"/>
          </w:tcPr>
          <w:p w14:paraId="2BCFF61E">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1</w:t>
            </w:r>
          </w:p>
        </w:tc>
        <w:tc>
          <w:tcPr>
            <w:tcW w:w="1193" w:type="dxa"/>
            <w:noWrap w:val="0"/>
            <w:vAlign w:val="top"/>
          </w:tcPr>
          <w:p w14:paraId="75C57EE9">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859" w:type="dxa"/>
            <w:noWrap w:val="0"/>
            <w:vAlign w:val="top"/>
          </w:tcPr>
          <w:p w14:paraId="5F579537">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984" w:type="dxa"/>
            <w:noWrap w:val="0"/>
            <w:vAlign w:val="top"/>
          </w:tcPr>
          <w:p w14:paraId="7C8D22D6">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2330" w:type="dxa"/>
            <w:noWrap w:val="0"/>
            <w:vAlign w:val="top"/>
          </w:tcPr>
          <w:p w14:paraId="621BE860">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633" w:type="dxa"/>
            <w:noWrap w:val="0"/>
            <w:vAlign w:val="center"/>
          </w:tcPr>
          <w:p w14:paraId="291044BA">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项目负责人</w:t>
            </w:r>
          </w:p>
        </w:tc>
      </w:tr>
      <w:tr w14:paraId="6410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7" w:type="dxa"/>
            <w:noWrap w:val="0"/>
            <w:vAlign w:val="center"/>
          </w:tcPr>
          <w:p w14:paraId="02C484C7">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2</w:t>
            </w:r>
          </w:p>
        </w:tc>
        <w:tc>
          <w:tcPr>
            <w:tcW w:w="1193" w:type="dxa"/>
            <w:noWrap w:val="0"/>
            <w:vAlign w:val="top"/>
          </w:tcPr>
          <w:p w14:paraId="7433FFD0">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859" w:type="dxa"/>
            <w:noWrap w:val="0"/>
            <w:vAlign w:val="top"/>
          </w:tcPr>
          <w:p w14:paraId="7A8BFAD2">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984" w:type="dxa"/>
            <w:noWrap w:val="0"/>
            <w:vAlign w:val="top"/>
          </w:tcPr>
          <w:p w14:paraId="79624A13">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2330" w:type="dxa"/>
            <w:noWrap w:val="0"/>
            <w:vAlign w:val="top"/>
          </w:tcPr>
          <w:p w14:paraId="57D7E3DE">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633" w:type="dxa"/>
            <w:noWrap w:val="0"/>
            <w:vAlign w:val="center"/>
          </w:tcPr>
          <w:p w14:paraId="134CDE1E">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项目组成员</w:t>
            </w:r>
          </w:p>
        </w:tc>
      </w:tr>
      <w:tr w14:paraId="4591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7" w:type="dxa"/>
            <w:noWrap w:val="0"/>
            <w:vAlign w:val="center"/>
          </w:tcPr>
          <w:p w14:paraId="0E794E79">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3</w:t>
            </w:r>
          </w:p>
        </w:tc>
        <w:tc>
          <w:tcPr>
            <w:tcW w:w="1193" w:type="dxa"/>
            <w:noWrap w:val="0"/>
            <w:vAlign w:val="top"/>
          </w:tcPr>
          <w:p w14:paraId="0B91B18C">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859" w:type="dxa"/>
            <w:noWrap w:val="0"/>
            <w:vAlign w:val="top"/>
          </w:tcPr>
          <w:p w14:paraId="48B3C367">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984" w:type="dxa"/>
            <w:noWrap w:val="0"/>
            <w:vAlign w:val="top"/>
          </w:tcPr>
          <w:p w14:paraId="7624E2B3">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2330" w:type="dxa"/>
            <w:noWrap w:val="0"/>
            <w:vAlign w:val="top"/>
          </w:tcPr>
          <w:p w14:paraId="73960B97">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633" w:type="dxa"/>
            <w:noWrap w:val="0"/>
            <w:vAlign w:val="center"/>
          </w:tcPr>
          <w:p w14:paraId="56ACC6EA">
            <w:pPr>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项目组成员</w:t>
            </w:r>
          </w:p>
        </w:tc>
      </w:tr>
      <w:tr w14:paraId="2C8D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7" w:type="dxa"/>
            <w:noWrap w:val="0"/>
            <w:vAlign w:val="center"/>
          </w:tcPr>
          <w:p w14:paraId="16392D53">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4</w:t>
            </w:r>
          </w:p>
        </w:tc>
        <w:tc>
          <w:tcPr>
            <w:tcW w:w="1193" w:type="dxa"/>
            <w:noWrap w:val="0"/>
            <w:vAlign w:val="top"/>
          </w:tcPr>
          <w:p w14:paraId="283C5035">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859" w:type="dxa"/>
            <w:noWrap w:val="0"/>
            <w:vAlign w:val="top"/>
          </w:tcPr>
          <w:p w14:paraId="30932470">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984" w:type="dxa"/>
            <w:noWrap w:val="0"/>
            <w:vAlign w:val="top"/>
          </w:tcPr>
          <w:p w14:paraId="2DAE1938">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2330" w:type="dxa"/>
            <w:noWrap w:val="0"/>
            <w:vAlign w:val="top"/>
          </w:tcPr>
          <w:p w14:paraId="4D341DF9">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633" w:type="dxa"/>
            <w:noWrap w:val="0"/>
            <w:vAlign w:val="center"/>
          </w:tcPr>
          <w:p w14:paraId="5CD42BB6">
            <w:pPr>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项目组成员</w:t>
            </w:r>
          </w:p>
        </w:tc>
      </w:tr>
      <w:tr w14:paraId="7199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7" w:type="dxa"/>
            <w:noWrap w:val="0"/>
            <w:vAlign w:val="center"/>
          </w:tcPr>
          <w:p w14:paraId="1D9CD938">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1193" w:type="dxa"/>
            <w:noWrap w:val="0"/>
            <w:vAlign w:val="top"/>
          </w:tcPr>
          <w:p w14:paraId="5DBB51E4">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859" w:type="dxa"/>
            <w:noWrap w:val="0"/>
            <w:vAlign w:val="top"/>
          </w:tcPr>
          <w:p w14:paraId="68627706">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984" w:type="dxa"/>
            <w:noWrap w:val="0"/>
            <w:vAlign w:val="top"/>
          </w:tcPr>
          <w:p w14:paraId="4B695CD4">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2330" w:type="dxa"/>
            <w:noWrap w:val="0"/>
            <w:vAlign w:val="top"/>
          </w:tcPr>
          <w:p w14:paraId="5B861B20">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633" w:type="dxa"/>
            <w:noWrap w:val="0"/>
            <w:vAlign w:val="center"/>
          </w:tcPr>
          <w:p w14:paraId="11CADAA5">
            <w:pPr>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项目组成员</w:t>
            </w:r>
          </w:p>
        </w:tc>
      </w:tr>
      <w:tr w14:paraId="7A94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7" w:type="dxa"/>
            <w:noWrap w:val="0"/>
            <w:vAlign w:val="center"/>
          </w:tcPr>
          <w:p w14:paraId="68EFA2BF">
            <w:pPr>
              <w:keepNext w:val="0"/>
              <w:keepLines w:val="0"/>
              <w:suppressLineNumbers w:val="0"/>
              <w:spacing w:before="0" w:beforeAutospacing="0" w:after="0" w:afterAutospacing="0"/>
              <w:ind w:left="0" w:right="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1193" w:type="dxa"/>
            <w:noWrap w:val="0"/>
            <w:vAlign w:val="top"/>
          </w:tcPr>
          <w:p w14:paraId="3CEA5F2F">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859" w:type="dxa"/>
            <w:noWrap w:val="0"/>
            <w:vAlign w:val="top"/>
          </w:tcPr>
          <w:p w14:paraId="31544A3D">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984" w:type="dxa"/>
            <w:noWrap w:val="0"/>
            <w:vAlign w:val="top"/>
          </w:tcPr>
          <w:p w14:paraId="4CF62989">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2330" w:type="dxa"/>
            <w:noWrap w:val="0"/>
            <w:vAlign w:val="top"/>
          </w:tcPr>
          <w:p w14:paraId="7A6C629E">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633" w:type="dxa"/>
            <w:noWrap w:val="0"/>
            <w:vAlign w:val="center"/>
          </w:tcPr>
          <w:p w14:paraId="75F76D46">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w:t>
            </w:r>
          </w:p>
        </w:tc>
      </w:tr>
      <w:tr w14:paraId="63C4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97" w:type="dxa"/>
            <w:noWrap w:val="0"/>
            <w:vAlign w:val="center"/>
          </w:tcPr>
          <w:p w14:paraId="36226E96">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w:t>
            </w:r>
          </w:p>
        </w:tc>
        <w:tc>
          <w:tcPr>
            <w:tcW w:w="1193" w:type="dxa"/>
            <w:noWrap w:val="0"/>
            <w:vAlign w:val="top"/>
          </w:tcPr>
          <w:p w14:paraId="441FC45D">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859" w:type="dxa"/>
            <w:noWrap w:val="0"/>
            <w:vAlign w:val="top"/>
          </w:tcPr>
          <w:p w14:paraId="0250E319">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984" w:type="dxa"/>
            <w:noWrap w:val="0"/>
            <w:vAlign w:val="top"/>
          </w:tcPr>
          <w:p w14:paraId="60A45C5C">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2330" w:type="dxa"/>
            <w:noWrap w:val="0"/>
            <w:vAlign w:val="top"/>
          </w:tcPr>
          <w:p w14:paraId="180363FF">
            <w:pPr>
              <w:pStyle w:val="11"/>
              <w:keepNext w:val="0"/>
              <w:keepLines w:val="0"/>
              <w:suppressLineNumbers w:val="0"/>
              <w:spacing w:before="0" w:beforeAutospacing="0" w:afterAutospacing="0"/>
              <w:ind w:left="0" w:leftChars="0" w:right="0" w:firstLine="0" w:firstLineChars="0"/>
              <w:rPr>
                <w:rFonts w:hint="eastAsia" w:ascii="宋体" w:hAnsi="宋体" w:eastAsia="宋体" w:cs="宋体"/>
                <w:b/>
                <w:bCs/>
                <w:sz w:val="24"/>
                <w:szCs w:val="24"/>
                <w:highlight w:val="none"/>
                <w:vertAlign w:val="baseline"/>
                <w:lang w:val="en-US" w:eastAsia="zh-CN"/>
              </w:rPr>
            </w:pPr>
          </w:p>
        </w:tc>
        <w:tc>
          <w:tcPr>
            <w:tcW w:w="1633" w:type="dxa"/>
            <w:noWrap w:val="0"/>
            <w:vAlign w:val="center"/>
          </w:tcPr>
          <w:p w14:paraId="3DBE7020">
            <w:pPr>
              <w:pStyle w:val="11"/>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w:t>
            </w:r>
          </w:p>
        </w:tc>
      </w:tr>
    </w:tbl>
    <w:p w14:paraId="28B03717">
      <w:pPr>
        <w:pStyle w:val="11"/>
        <w:ind w:firstLine="0" w:firstLineChars="0"/>
        <w:rPr>
          <w:rFonts w:hint="eastAsia" w:ascii="宋体" w:hAnsi="宋体" w:eastAsia="宋体" w:cs="宋体"/>
          <w:b/>
          <w:bCs/>
          <w:color w:val="auto"/>
          <w:sz w:val="24"/>
          <w:szCs w:val="24"/>
          <w:highlight w:val="none"/>
          <w:lang w:val="en-US" w:eastAsia="zh-CN"/>
        </w:rPr>
      </w:pPr>
    </w:p>
    <w:p w14:paraId="36A567C2">
      <w:pPr>
        <w:pStyle w:val="11"/>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p w14:paraId="2D02172F">
      <w:pPr>
        <w:pStyle w:val="11"/>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1、拟派项目负责人、项目组成员身份证扫描件、相关证书（如有）附后。</w:t>
      </w:r>
    </w:p>
    <w:p w14:paraId="410E78B6">
      <w:pPr>
        <w:pStyle w:val="11"/>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2、投标截止时间前近三个月（指202</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年</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月至投标截止时间）任意一个月供应商为拟派项目服务团队社保证明材料缴纳社保证明材料附后。</w:t>
      </w:r>
    </w:p>
    <w:p w14:paraId="6444FC90">
      <w:pPr>
        <w:rPr>
          <w:rFonts w:hint="eastAsia" w:ascii="宋体" w:hAnsi="宋体" w:eastAsia="宋体" w:cs="宋体"/>
          <w:sz w:val="24"/>
          <w:szCs w:val="24"/>
          <w:highlight w:val="none"/>
          <w:lang w:val="en-US" w:eastAsia="zh-CN"/>
        </w:rPr>
      </w:pPr>
    </w:p>
    <w:p w14:paraId="26C901BD">
      <w:pPr>
        <w:keepNext w:val="0"/>
        <w:keepLines w:val="0"/>
        <w:pageBreakBefore w:val="0"/>
        <w:kinsoku/>
        <w:wordWrap/>
        <w:overflowPunct/>
        <w:topLinePunct w:val="0"/>
        <w:autoSpaceDE/>
        <w:autoSpaceDN/>
        <w:bidi w:val="0"/>
        <w:spacing w:line="60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供应商名称（盖章或电子签章）</w:t>
      </w:r>
      <w:r>
        <w:rPr>
          <w:rFonts w:hint="eastAsia" w:ascii="宋体" w:hAnsi="宋体" w:eastAsia="宋体" w:cs="宋体"/>
          <w:sz w:val="24"/>
          <w:szCs w:val="24"/>
          <w:highlight w:val="none"/>
          <w:u w:val="single"/>
        </w:rPr>
        <w:t xml:space="preserve">                  </w:t>
      </w:r>
    </w:p>
    <w:p w14:paraId="09DF9EAD">
      <w:pPr>
        <w:keepNext w:val="0"/>
        <w:keepLines w:val="0"/>
        <w:pageBreakBefore w:val="0"/>
        <w:kinsoku/>
        <w:wordWrap/>
        <w:overflowPunct/>
        <w:topLinePunct w:val="0"/>
        <w:autoSpaceDE/>
        <w:autoSpaceDN/>
        <w:bidi w:val="0"/>
        <w:spacing w:line="60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法定代表人或其授权代表（签字或盖章或电子签章）：</w:t>
      </w:r>
      <w:r>
        <w:rPr>
          <w:rFonts w:hint="eastAsia" w:ascii="宋体" w:hAnsi="宋体" w:eastAsia="宋体" w:cs="宋体"/>
          <w:sz w:val="24"/>
          <w:szCs w:val="24"/>
          <w:highlight w:val="none"/>
          <w:u w:val="single"/>
        </w:rPr>
        <w:t xml:space="preserve">                   </w:t>
      </w:r>
    </w:p>
    <w:p w14:paraId="49B28D7E">
      <w:pPr>
        <w:keepNext w:val="0"/>
        <w:keepLines w:val="0"/>
        <w:pageBreakBefore w:val="0"/>
        <w:kinsoku/>
        <w:wordWrap/>
        <w:overflowPunct/>
        <w:topLinePunct w:val="0"/>
        <w:autoSpaceDE/>
        <w:autoSpaceDN/>
        <w:bidi w:val="0"/>
        <w:spacing w:line="6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p>
    <w:p w14:paraId="7F4243E2">
      <w:pPr>
        <w:bidi w:val="0"/>
        <w:rPr>
          <w:rFonts w:hint="eastAsia" w:ascii="宋体" w:hAnsi="宋体" w:eastAsia="宋体" w:cs="宋体"/>
          <w:sz w:val="24"/>
          <w:szCs w:val="24"/>
          <w:highlight w:val="none"/>
        </w:rPr>
      </w:pPr>
    </w:p>
    <w:p w14:paraId="6AEA8CD5">
      <w:pPr>
        <w:pStyle w:val="12"/>
        <w:rPr>
          <w:rFonts w:hint="eastAsia" w:ascii="宋体" w:hAnsi="宋体" w:eastAsia="宋体" w:cs="宋体"/>
          <w:b/>
          <w:color w:val="auto"/>
          <w:sz w:val="24"/>
          <w:szCs w:val="24"/>
          <w:highlight w:val="none"/>
        </w:rPr>
      </w:pPr>
    </w:p>
    <w:p w14:paraId="12B0BCC8">
      <w:pPr>
        <w:rPr>
          <w:rFonts w:hint="eastAsia" w:ascii="宋体" w:hAnsi="宋体" w:eastAsia="宋体" w:cs="宋体"/>
          <w:b/>
          <w:color w:val="auto"/>
          <w:sz w:val="24"/>
          <w:szCs w:val="24"/>
          <w:highlight w:val="none"/>
        </w:rPr>
      </w:pPr>
    </w:p>
    <w:p w14:paraId="302F68DC">
      <w:pPr>
        <w:rPr>
          <w:rFonts w:hint="eastAsia" w:ascii="宋体" w:hAnsi="宋体" w:eastAsia="宋体" w:cs="宋体"/>
          <w:b/>
          <w:color w:val="auto"/>
          <w:sz w:val="24"/>
          <w:szCs w:val="24"/>
          <w:highlight w:val="none"/>
        </w:rPr>
      </w:pPr>
    </w:p>
    <w:p w14:paraId="66BE1DD6">
      <w:pPr>
        <w:rPr>
          <w:rFonts w:hint="eastAsia" w:ascii="宋体" w:hAnsi="宋体" w:eastAsia="宋体" w:cs="宋体"/>
          <w:b/>
          <w:color w:val="auto"/>
          <w:sz w:val="24"/>
          <w:szCs w:val="24"/>
          <w:highlight w:val="none"/>
        </w:rPr>
      </w:pPr>
    </w:p>
    <w:p w14:paraId="190F8E6E">
      <w:pPr>
        <w:rPr>
          <w:rFonts w:hint="eastAsia" w:ascii="宋体" w:hAnsi="宋体" w:eastAsia="宋体" w:cs="宋体"/>
          <w:b/>
          <w:color w:val="auto"/>
          <w:sz w:val="24"/>
          <w:szCs w:val="24"/>
          <w:highlight w:val="none"/>
        </w:rPr>
      </w:pPr>
    </w:p>
    <w:p w14:paraId="3B2F21FE">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投标产品参数响应对照表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4238"/>
        <w:gridCol w:w="1932"/>
        <w:gridCol w:w="1517"/>
        <w:gridCol w:w="1391"/>
      </w:tblGrid>
      <w:tr w14:paraId="0D63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5C7F38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238" w:type="dxa"/>
            <w:vAlign w:val="center"/>
          </w:tcPr>
          <w:p w14:paraId="3BFA39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评标办法重要参数描述</w:t>
            </w:r>
          </w:p>
        </w:tc>
        <w:tc>
          <w:tcPr>
            <w:tcW w:w="1932" w:type="dxa"/>
            <w:vAlign w:val="center"/>
          </w:tcPr>
          <w:p w14:paraId="067F89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所需证明材料</w:t>
            </w:r>
          </w:p>
        </w:tc>
        <w:tc>
          <w:tcPr>
            <w:tcW w:w="1517" w:type="dxa"/>
            <w:vAlign w:val="center"/>
          </w:tcPr>
          <w:p w14:paraId="42FC2E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投标产品参数响应</w:t>
            </w:r>
            <w:r>
              <w:rPr>
                <w:rFonts w:hint="eastAsia" w:ascii="宋体" w:hAnsi="宋体" w:eastAsia="宋体" w:cs="宋体"/>
                <w:b/>
                <w:color w:val="auto"/>
                <w:sz w:val="21"/>
                <w:szCs w:val="21"/>
                <w:highlight w:val="none"/>
                <w:lang w:val="en-US" w:eastAsia="zh-CN"/>
              </w:rPr>
              <w:t>情况</w:t>
            </w:r>
          </w:p>
        </w:tc>
        <w:tc>
          <w:tcPr>
            <w:tcW w:w="1391" w:type="dxa"/>
            <w:vAlign w:val="center"/>
          </w:tcPr>
          <w:p w14:paraId="443767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证明材料所在页码</w:t>
            </w:r>
          </w:p>
        </w:tc>
      </w:tr>
      <w:tr w14:paraId="031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07CFD0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238" w:type="dxa"/>
            <w:vAlign w:val="center"/>
          </w:tcPr>
          <w:p w14:paraId="46C3BF7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支持独立的DNS安全模块，可对用户端进行DNS报文检查、DGA检测、DNS反射放大检测，可对服务端进行DNS报文检查、NX防御，DNS安全模块能自动生成动态非法地址表和动态非法域名表</w:t>
            </w:r>
          </w:p>
        </w:tc>
        <w:tc>
          <w:tcPr>
            <w:tcW w:w="1932" w:type="dxa"/>
            <w:vAlign w:val="center"/>
          </w:tcPr>
          <w:p w14:paraId="52A2F0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提供第三方检测机构出具的有效的检测报告</w:t>
            </w:r>
          </w:p>
        </w:tc>
        <w:tc>
          <w:tcPr>
            <w:tcW w:w="1517" w:type="dxa"/>
            <w:vAlign w:val="center"/>
          </w:tcPr>
          <w:p w14:paraId="134AC3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1DA25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296B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004504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4238" w:type="dxa"/>
            <w:vAlign w:val="center"/>
          </w:tcPr>
          <w:p w14:paraId="7602740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支持与现有安全管理平台联动，通过将威胁IP自动生成安全策略下发至防火墙，实现联防联控的效果</w:t>
            </w:r>
          </w:p>
        </w:tc>
        <w:tc>
          <w:tcPr>
            <w:tcW w:w="1932" w:type="dxa"/>
            <w:vAlign w:val="center"/>
          </w:tcPr>
          <w:p w14:paraId="7ADFDC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提供</w:t>
            </w:r>
            <w:r>
              <w:rPr>
                <w:rFonts w:hint="eastAsia" w:ascii="宋体" w:hAnsi="宋体" w:cs="宋体"/>
                <w:bCs/>
                <w:color w:val="auto"/>
                <w:sz w:val="21"/>
                <w:szCs w:val="21"/>
                <w:highlight w:val="none"/>
                <w:lang w:val="en-US" w:eastAsia="zh-CN"/>
              </w:rPr>
              <w:t>可联动的证明材料</w:t>
            </w:r>
          </w:p>
        </w:tc>
        <w:tc>
          <w:tcPr>
            <w:tcW w:w="1517" w:type="dxa"/>
            <w:vAlign w:val="center"/>
          </w:tcPr>
          <w:p w14:paraId="44A929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1AE4E5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0401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76F117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p>
        </w:tc>
        <w:tc>
          <w:tcPr>
            <w:tcW w:w="4238" w:type="dxa"/>
            <w:vAlign w:val="center"/>
          </w:tcPr>
          <w:p w14:paraId="2DC3CC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支持与现有安全管理平台联动，实现威胁威胁日志的集中收集、清洗，减少信息干扰及误报率，提高安全事件处置效率</w:t>
            </w:r>
          </w:p>
        </w:tc>
        <w:tc>
          <w:tcPr>
            <w:tcW w:w="1932" w:type="dxa"/>
            <w:vAlign w:val="center"/>
          </w:tcPr>
          <w:p w14:paraId="299D5C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提供</w:t>
            </w:r>
            <w:r>
              <w:rPr>
                <w:rFonts w:hint="eastAsia" w:ascii="宋体" w:hAnsi="宋体" w:cs="宋体"/>
                <w:bCs/>
                <w:color w:val="auto"/>
                <w:sz w:val="21"/>
                <w:szCs w:val="21"/>
                <w:highlight w:val="none"/>
                <w:lang w:val="en-US" w:eastAsia="zh-CN"/>
              </w:rPr>
              <w:t>可联动的证明材料</w:t>
            </w:r>
          </w:p>
        </w:tc>
        <w:tc>
          <w:tcPr>
            <w:tcW w:w="1517" w:type="dxa"/>
            <w:vAlign w:val="center"/>
          </w:tcPr>
          <w:p w14:paraId="5AED65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2DCC67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0CA7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2F0C48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4238" w:type="dxa"/>
            <w:vAlign w:val="center"/>
          </w:tcPr>
          <w:p w14:paraId="73B762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为保证设备在应对高流量入侵防御、高并发攻击流量时，保证设备自身具备较高的性能，要求设备内核采用多核并行的机制，具备多核运行能力</w:t>
            </w:r>
          </w:p>
        </w:tc>
        <w:tc>
          <w:tcPr>
            <w:tcW w:w="1932" w:type="dxa"/>
            <w:vAlign w:val="center"/>
          </w:tcPr>
          <w:p w14:paraId="5A1C85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提供第三方检测机构出具的有效的检测报告</w:t>
            </w:r>
          </w:p>
        </w:tc>
        <w:tc>
          <w:tcPr>
            <w:tcW w:w="1517" w:type="dxa"/>
            <w:vAlign w:val="center"/>
          </w:tcPr>
          <w:p w14:paraId="05CC49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7DDE48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5DDC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6F0DD3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p>
        </w:tc>
        <w:tc>
          <w:tcPr>
            <w:tcW w:w="4238" w:type="dxa"/>
            <w:vAlign w:val="center"/>
          </w:tcPr>
          <w:p w14:paraId="4D8366F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支持文件断点续传、增量传输、发送后删除、改名传输、延时传输等策略；支持文件传输长度及MD5校验，校验失败后可自动重传；支持文件格式特征过滤</w:t>
            </w:r>
          </w:p>
        </w:tc>
        <w:tc>
          <w:tcPr>
            <w:tcW w:w="1932" w:type="dxa"/>
            <w:vAlign w:val="center"/>
          </w:tcPr>
          <w:p w14:paraId="53D7EC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提供第三方检测机构出具的有效的检测报告</w:t>
            </w:r>
          </w:p>
        </w:tc>
        <w:tc>
          <w:tcPr>
            <w:tcW w:w="1517" w:type="dxa"/>
            <w:vAlign w:val="center"/>
          </w:tcPr>
          <w:p w14:paraId="4209F5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054BC4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31FD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057D74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4238" w:type="dxa"/>
            <w:vAlign w:val="center"/>
          </w:tcPr>
          <w:p w14:paraId="25D358C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支持根据相似关系构建僵尸群落，进行分析，发现僵尸网络间的内在关系，更有效的跟踪和研究僵尸网络背后的黑客组织的行为模式</w:t>
            </w:r>
          </w:p>
        </w:tc>
        <w:tc>
          <w:tcPr>
            <w:tcW w:w="1932" w:type="dxa"/>
            <w:vAlign w:val="center"/>
          </w:tcPr>
          <w:p w14:paraId="5E8375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提供第三方检测机构出具的有效的检测报告</w:t>
            </w:r>
          </w:p>
        </w:tc>
        <w:tc>
          <w:tcPr>
            <w:tcW w:w="1517" w:type="dxa"/>
            <w:vAlign w:val="center"/>
          </w:tcPr>
          <w:p w14:paraId="4BB3C3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560E7A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63B2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2CF41C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4238" w:type="dxa"/>
            <w:vAlign w:val="center"/>
          </w:tcPr>
          <w:p w14:paraId="68691A7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系统出现崩溃之后，可下载救援修复程序进行扫描，获得设备软件系统被破坏的情况以及当前硬件设备的诊断信息。根据信息，如果防火墙系统能够被修复，崩溃设备上的救援修复程序可自动执行修复方法</w:t>
            </w:r>
          </w:p>
        </w:tc>
        <w:tc>
          <w:tcPr>
            <w:tcW w:w="1932" w:type="dxa"/>
            <w:vAlign w:val="center"/>
          </w:tcPr>
          <w:p w14:paraId="335A14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提供第三方检测机构出具的有效的检测报告</w:t>
            </w:r>
          </w:p>
        </w:tc>
        <w:tc>
          <w:tcPr>
            <w:tcW w:w="1517" w:type="dxa"/>
            <w:vAlign w:val="center"/>
          </w:tcPr>
          <w:p w14:paraId="6A0873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46B603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55FA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1BAD3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4238" w:type="dxa"/>
            <w:vAlign w:val="center"/>
          </w:tcPr>
          <w:p w14:paraId="3F33ADF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支持与现有安全管理平台联动，通过将威胁IP自动生成安全策略下发至防火墙，实现联防联控的效果</w:t>
            </w:r>
          </w:p>
        </w:tc>
        <w:tc>
          <w:tcPr>
            <w:tcW w:w="1932" w:type="dxa"/>
            <w:vAlign w:val="center"/>
          </w:tcPr>
          <w:p w14:paraId="3D045E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提供</w:t>
            </w:r>
            <w:r>
              <w:rPr>
                <w:rFonts w:hint="eastAsia" w:ascii="宋体" w:hAnsi="宋体" w:cs="宋体"/>
                <w:bCs/>
                <w:color w:val="auto"/>
                <w:sz w:val="21"/>
                <w:szCs w:val="21"/>
                <w:highlight w:val="none"/>
                <w:lang w:val="en-US" w:eastAsia="zh-CN"/>
              </w:rPr>
              <w:t>可联动的证明材料</w:t>
            </w:r>
          </w:p>
        </w:tc>
        <w:tc>
          <w:tcPr>
            <w:tcW w:w="1517" w:type="dxa"/>
            <w:vAlign w:val="center"/>
          </w:tcPr>
          <w:p w14:paraId="0AE13C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73691C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3A70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4DC88C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4238" w:type="dxa"/>
            <w:vAlign w:val="center"/>
          </w:tcPr>
          <w:p w14:paraId="065EAB6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支持与数据安全管控平台进行API分类分级结果同步，并单独展示分类分级结果</w:t>
            </w:r>
          </w:p>
        </w:tc>
        <w:tc>
          <w:tcPr>
            <w:tcW w:w="1932" w:type="dxa"/>
            <w:vAlign w:val="center"/>
          </w:tcPr>
          <w:p w14:paraId="4F9295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提供系统证明截图</w:t>
            </w:r>
          </w:p>
        </w:tc>
        <w:tc>
          <w:tcPr>
            <w:tcW w:w="1517" w:type="dxa"/>
            <w:vAlign w:val="center"/>
          </w:tcPr>
          <w:p w14:paraId="22A056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25B416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4118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0A1562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4238" w:type="dxa"/>
            <w:vAlign w:val="center"/>
          </w:tcPr>
          <w:p w14:paraId="13D951C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自定义配置各类风险规则，基于各类逻辑表达式进行配置，包括但不限于URL、请求方法、请求头、请求提、请求参数路径、响应头、响应体、相应参数路径、五元组等，单独展示自定义风险规则的匹配结果，并单独进行管理展示</w:t>
            </w:r>
          </w:p>
        </w:tc>
        <w:tc>
          <w:tcPr>
            <w:tcW w:w="1932" w:type="dxa"/>
            <w:vAlign w:val="center"/>
          </w:tcPr>
          <w:p w14:paraId="35CB3E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提供系统证明截图</w:t>
            </w:r>
          </w:p>
        </w:tc>
        <w:tc>
          <w:tcPr>
            <w:tcW w:w="1517" w:type="dxa"/>
            <w:vAlign w:val="center"/>
          </w:tcPr>
          <w:p w14:paraId="386756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28B327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1CAA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0740D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w:t>
            </w:r>
          </w:p>
        </w:tc>
        <w:tc>
          <w:tcPr>
            <w:tcW w:w="4238" w:type="dxa"/>
            <w:vAlign w:val="center"/>
          </w:tcPr>
          <w:p w14:paraId="68017DA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支持配置多种屏幕解锁方式，包括密码解锁、心跳控制、警综等方式的解锁终端设备，支持自定义锁屏页面标题内容。</w:t>
            </w:r>
          </w:p>
        </w:tc>
        <w:tc>
          <w:tcPr>
            <w:tcW w:w="1932" w:type="dxa"/>
            <w:vAlign w:val="center"/>
          </w:tcPr>
          <w:p w14:paraId="765267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提供系统证明截图</w:t>
            </w:r>
          </w:p>
        </w:tc>
        <w:tc>
          <w:tcPr>
            <w:tcW w:w="1517" w:type="dxa"/>
            <w:vAlign w:val="center"/>
          </w:tcPr>
          <w:p w14:paraId="06D1FE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797F5E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298D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37F4C8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w:t>
            </w:r>
          </w:p>
        </w:tc>
        <w:tc>
          <w:tcPr>
            <w:tcW w:w="4238" w:type="dxa"/>
            <w:vAlign w:val="center"/>
          </w:tcPr>
          <w:p w14:paraId="0332735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可审计SQL长度最高支持配置10MB</w:t>
            </w:r>
          </w:p>
        </w:tc>
        <w:tc>
          <w:tcPr>
            <w:tcW w:w="1932" w:type="dxa"/>
            <w:vAlign w:val="center"/>
          </w:tcPr>
          <w:p w14:paraId="265D21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提供系统功能截图</w:t>
            </w:r>
          </w:p>
        </w:tc>
        <w:tc>
          <w:tcPr>
            <w:tcW w:w="1517" w:type="dxa"/>
            <w:vAlign w:val="center"/>
          </w:tcPr>
          <w:p w14:paraId="02D003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4242F3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3DFE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2D7B1C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13</w:t>
            </w:r>
          </w:p>
        </w:tc>
        <w:tc>
          <w:tcPr>
            <w:tcW w:w="4238" w:type="dxa"/>
            <w:vAlign w:val="center"/>
          </w:tcPr>
          <w:p w14:paraId="16EC84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安全操作系统采用冗余设计，可在设备命令行启动过程中选择主备系统</w:t>
            </w:r>
          </w:p>
        </w:tc>
        <w:tc>
          <w:tcPr>
            <w:tcW w:w="1932" w:type="dxa"/>
            <w:vAlign w:val="center"/>
          </w:tcPr>
          <w:p w14:paraId="19E523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提供系统功能截图</w:t>
            </w:r>
          </w:p>
        </w:tc>
        <w:tc>
          <w:tcPr>
            <w:tcW w:w="1517" w:type="dxa"/>
            <w:vAlign w:val="center"/>
          </w:tcPr>
          <w:p w14:paraId="2E2CA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72D84A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553E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08A606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14</w:t>
            </w:r>
          </w:p>
        </w:tc>
        <w:tc>
          <w:tcPr>
            <w:tcW w:w="4238" w:type="dxa"/>
            <w:vAlign w:val="center"/>
          </w:tcPr>
          <w:p w14:paraId="14DAC00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支持完整 API 生命周期管理：包括 API 资产发现（自动发现未纳管 API、在线 / 离线 Swagger 导入、手动注册）、发布（集群发布、版本控制）、订阅（在线订阅、可视化审批流程）、授权（按组授权、URL 方法级授权）、下线管理；支持 APIDoc 自动生成与在线调试</w:t>
            </w:r>
          </w:p>
        </w:tc>
        <w:tc>
          <w:tcPr>
            <w:tcW w:w="1932" w:type="dxa"/>
            <w:vAlign w:val="center"/>
          </w:tcPr>
          <w:p w14:paraId="5886B3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提供系统功能截图</w:t>
            </w:r>
          </w:p>
        </w:tc>
        <w:tc>
          <w:tcPr>
            <w:tcW w:w="1517" w:type="dxa"/>
            <w:vAlign w:val="center"/>
          </w:tcPr>
          <w:p w14:paraId="70B91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12564C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628E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572F8B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4238" w:type="dxa"/>
            <w:vAlign w:val="center"/>
          </w:tcPr>
          <w:p w14:paraId="5C2857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具备全面安全防护能力：包括 SQL 注入防护、XSS 跨站攻击防护、CSRF 跨站请求伪造防护（Double Submit Cookie 机制）、IP 黑白名单限制、Referer 请求头控制、URI 自定义拦截、API 熔断（基于错误率 / 响应时间阈值）、敏感数据脱敏（身份证、邮箱等，支持自定义脱敏规则）</w:t>
            </w:r>
          </w:p>
        </w:tc>
        <w:tc>
          <w:tcPr>
            <w:tcW w:w="1932" w:type="dxa"/>
            <w:vAlign w:val="center"/>
          </w:tcPr>
          <w:p w14:paraId="3A8D7A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提供系统功能截图</w:t>
            </w:r>
          </w:p>
        </w:tc>
        <w:tc>
          <w:tcPr>
            <w:tcW w:w="1517" w:type="dxa"/>
            <w:vAlign w:val="center"/>
          </w:tcPr>
          <w:p w14:paraId="0BAEC9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016C09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2FB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7618CC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16</w:t>
            </w:r>
          </w:p>
        </w:tc>
        <w:tc>
          <w:tcPr>
            <w:tcW w:w="4238" w:type="dxa"/>
            <w:vAlign w:val="center"/>
          </w:tcPr>
          <w:p w14:paraId="107C2BD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支持展示从应用资产维度的数据血缘关系：支持展开显示api参数和关联的数据库资产数据，包括数据表和字段；关联展示相关字段的分类分级结果。</w:t>
            </w:r>
          </w:p>
        </w:tc>
        <w:tc>
          <w:tcPr>
            <w:tcW w:w="1932" w:type="dxa"/>
            <w:vAlign w:val="center"/>
          </w:tcPr>
          <w:p w14:paraId="099DE5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提供系统功能截图</w:t>
            </w:r>
          </w:p>
        </w:tc>
        <w:tc>
          <w:tcPr>
            <w:tcW w:w="1517" w:type="dxa"/>
            <w:vAlign w:val="center"/>
          </w:tcPr>
          <w:p w14:paraId="4B6380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7D06AB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3F3D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7FCE0B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17</w:t>
            </w:r>
          </w:p>
        </w:tc>
        <w:tc>
          <w:tcPr>
            <w:tcW w:w="4238" w:type="dxa"/>
            <w:vAlign w:val="center"/>
          </w:tcPr>
          <w:p w14:paraId="456802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数据集定义和管理，按相关标准确定数据集(如病理分析、诊疗过程)；支持动态展示数据集的价值分布、质量评分、价值变化趋势。支持多种数据数据集类型管理，包括数据库资产、应用接口开放资产、用户上传数据资产等类别。</w:t>
            </w:r>
          </w:p>
        </w:tc>
        <w:tc>
          <w:tcPr>
            <w:tcW w:w="1932" w:type="dxa"/>
            <w:vAlign w:val="center"/>
          </w:tcPr>
          <w:p w14:paraId="08BEDA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提供系统功能截图</w:t>
            </w:r>
          </w:p>
        </w:tc>
        <w:tc>
          <w:tcPr>
            <w:tcW w:w="1517" w:type="dxa"/>
            <w:vAlign w:val="center"/>
          </w:tcPr>
          <w:p w14:paraId="4A0264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27DD28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r w14:paraId="588E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vAlign w:val="center"/>
          </w:tcPr>
          <w:p w14:paraId="0E0213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18</w:t>
            </w:r>
          </w:p>
        </w:tc>
        <w:tc>
          <w:tcPr>
            <w:tcW w:w="4238" w:type="dxa"/>
            <w:vAlign w:val="center"/>
          </w:tcPr>
          <w:p w14:paraId="32BC5D5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支持按输入的文件和数据源进行数据自检。支持检测数据的脱敏有效性；级别、类别；并给出数据是否可外发建议</w:t>
            </w:r>
          </w:p>
        </w:tc>
        <w:tc>
          <w:tcPr>
            <w:tcW w:w="1932" w:type="dxa"/>
            <w:vAlign w:val="center"/>
          </w:tcPr>
          <w:p w14:paraId="4046E2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提供系统功能截图</w:t>
            </w:r>
          </w:p>
        </w:tc>
        <w:tc>
          <w:tcPr>
            <w:tcW w:w="1517" w:type="dxa"/>
            <w:vAlign w:val="center"/>
          </w:tcPr>
          <w:p w14:paraId="58C883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c>
          <w:tcPr>
            <w:tcW w:w="1391" w:type="dxa"/>
            <w:vAlign w:val="center"/>
          </w:tcPr>
          <w:p w14:paraId="25DA49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21"/>
                <w:szCs w:val="21"/>
                <w:highlight w:val="none"/>
              </w:rPr>
            </w:pPr>
          </w:p>
        </w:tc>
      </w:tr>
    </w:tbl>
    <w:p w14:paraId="61E8107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1"/>
          <w:szCs w:val="21"/>
          <w:highlight w:val="none"/>
        </w:rPr>
      </w:pPr>
    </w:p>
    <w:p w14:paraId="3C9F82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1"/>
          <w:szCs w:val="21"/>
          <w:highlight w:val="none"/>
        </w:rPr>
      </w:pPr>
    </w:p>
    <w:p w14:paraId="6C96F7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备注：</w:t>
      </w:r>
      <w:r>
        <w:rPr>
          <w:rFonts w:hint="eastAsia" w:ascii="宋体" w:hAnsi="宋体" w:eastAsia="宋体" w:cs="宋体"/>
          <w:b/>
          <w:bCs/>
          <w:sz w:val="21"/>
          <w:szCs w:val="21"/>
          <w:highlight w:val="none"/>
          <w:lang w:val="en-US" w:eastAsia="zh-CN"/>
        </w:rPr>
        <w:t>1、上表中“</w:t>
      </w:r>
      <w:r>
        <w:rPr>
          <w:rFonts w:hint="eastAsia" w:ascii="宋体" w:hAnsi="宋体" w:eastAsia="宋体" w:cs="宋体"/>
          <w:b/>
          <w:sz w:val="21"/>
          <w:szCs w:val="21"/>
          <w:highlight w:val="none"/>
        </w:rPr>
        <w:t>投标产品参数响应</w:t>
      </w:r>
      <w:r>
        <w:rPr>
          <w:rFonts w:hint="eastAsia" w:ascii="宋体" w:hAnsi="宋体" w:eastAsia="宋体" w:cs="宋体"/>
          <w:b/>
          <w:sz w:val="21"/>
          <w:szCs w:val="21"/>
          <w:highlight w:val="none"/>
          <w:lang w:val="en-US" w:eastAsia="zh-CN"/>
        </w:rPr>
        <w:t>情况</w:t>
      </w:r>
      <w:r>
        <w:rPr>
          <w:rFonts w:hint="eastAsia" w:ascii="宋体" w:hAnsi="宋体" w:eastAsia="宋体" w:cs="宋体"/>
          <w:b/>
          <w:bCs/>
          <w:sz w:val="21"/>
          <w:szCs w:val="21"/>
          <w:highlight w:val="none"/>
          <w:lang w:val="en-US" w:eastAsia="zh-CN"/>
        </w:rPr>
        <w:t>”可描述为“完全响应”或“正/负偏离，偏离情况为：。。。。”。</w:t>
      </w:r>
    </w:p>
    <w:p w14:paraId="0CF6BD8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未提供本表，或未正确填写证明材料所在页码，导致评标委员会无法正确查找相关材料核实的，投标人自行承担风险。</w:t>
      </w:r>
    </w:p>
    <w:p w14:paraId="0957016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供应商名称（盖章或电子签章）</w:t>
      </w:r>
      <w:r>
        <w:rPr>
          <w:rFonts w:hint="eastAsia" w:ascii="宋体" w:hAnsi="宋体" w:eastAsia="宋体" w:cs="宋体"/>
          <w:sz w:val="21"/>
          <w:szCs w:val="21"/>
          <w:highlight w:val="none"/>
          <w:u w:val="single"/>
        </w:rPr>
        <w:t xml:space="preserve">                  </w:t>
      </w:r>
    </w:p>
    <w:p w14:paraId="12930E9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法定代表人或其授权代表（签字或盖章或电子签章）：</w:t>
      </w:r>
      <w:r>
        <w:rPr>
          <w:rFonts w:hint="eastAsia" w:ascii="宋体" w:hAnsi="宋体" w:eastAsia="宋体" w:cs="宋体"/>
          <w:sz w:val="21"/>
          <w:szCs w:val="21"/>
          <w:highlight w:val="none"/>
          <w:u w:val="single"/>
        </w:rPr>
        <w:t xml:space="preserve">                   </w:t>
      </w:r>
    </w:p>
    <w:p w14:paraId="0EBE54B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年    月    日</w:t>
      </w:r>
      <w:r>
        <w:rPr>
          <w:rFonts w:hint="eastAsia" w:ascii="宋体" w:hAnsi="宋体" w:eastAsia="宋体" w:cs="宋体"/>
          <w:sz w:val="21"/>
          <w:szCs w:val="21"/>
          <w:highlight w:val="none"/>
          <w:u w:val="single"/>
        </w:rPr>
        <w:t xml:space="preserve">   </w:t>
      </w:r>
    </w:p>
    <w:p w14:paraId="5BB19EDD">
      <w:pPr>
        <w:jc w:val="both"/>
        <w:rPr>
          <w:rFonts w:hint="eastAsia" w:ascii="宋体" w:hAnsi="宋体" w:eastAsia="宋体" w:cs="宋体"/>
          <w:b/>
          <w:bCs/>
          <w:color w:val="000000"/>
          <w:kern w:val="0"/>
          <w:sz w:val="24"/>
          <w:szCs w:val="24"/>
          <w:highlight w:val="none"/>
          <w:lang w:val="en-US" w:eastAsia="zh-CN"/>
        </w:rPr>
      </w:pPr>
    </w:p>
    <w:p w14:paraId="38E50E8B">
      <w:pPr>
        <w:snapToGrid w:val="0"/>
        <w:spacing w:line="360" w:lineRule="auto"/>
        <w:jc w:val="center"/>
        <w:rPr>
          <w:rFonts w:hint="eastAsia" w:ascii="宋体" w:hAnsi="宋体" w:eastAsia="宋体" w:cs="宋体"/>
          <w:b/>
          <w:bCs/>
          <w:color w:val="auto"/>
          <w:kern w:val="2"/>
          <w:sz w:val="28"/>
          <w:szCs w:val="28"/>
          <w:highlight w:val="none"/>
          <w:lang w:val="en-US" w:eastAsia="zh-CN" w:bidi="ar-SA"/>
        </w:rPr>
      </w:pPr>
    </w:p>
    <w:p w14:paraId="396C21D2">
      <w:pPr>
        <w:snapToGrid w:val="0"/>
        <w:spacing w:line="360" w:lineRule="auto"/>
        <w:jc w:val="center"/>
        <w:rPr>
          <w:rFonts w:hint="eastAsia" w:ascii="宋体" w:hAnsi="宋体" w:eastAsia="宋体" w:cs="宋体"/>
          <w:b/>
          <w:bCs/>
          <w:color w:val="auto"/>
          <w:kern w:val="2"/>
          <w:sz w:val="28"/>
          <w:szCs w:val="28"/>
          <w:highlight w:val="none"/>
          <w:lang w:val="en-US" w:eastAsia="zh-CN" w:bidi="ar-SA"/>
        </w:rPr>
      </w:pPr>
    </w:p>
    <w:p w14:paraId="72186162">
      <w:pPr>
        <w:snapToGrid w:val="0"/>
        <w:spacing w:line="360" w:lineRule="auto"/>
        <w:jc w:val="center"/>
        <w:rPr>
          <w:rFonts w:hint="eastAsia" w:ascii="宋体" w:hAnsi="宋体" w:eastAsia="宋体" w:cs="宋体"/>
          <w:b/>
          <w:bCs/>
          <w:color w:val="auto"/>
          <w:kern w:val="2"/>
          <w:sz w:val="28"/>
          <w:szCs w:val="28"/>
          <w:highlight w:val="none"/>
          <w:lang w:val="en-US" w:eastAsia="zh-CN" w:bidi="ar-SA"/>
        </w:rPr>
      </w:pPr>
    </w:p>
    <w:p w14:paraId="29A1EB92">
      <w:pPr>
        <w:snapToGrid w:val="0"/>
        <w:spacing w:line="360" w:lineRule="auto"/>
        <w:jc w:val="center"/>
        <w:rPr>
          <w:rFonts w:hint="eastAsia" w:ascii="宋体" w:hAnsi="宋体" w:eastAsia="宋体" w:cs="宋体"/>
          <w:b/>
          <w:bCs/>
          <w:color w:val="auto"/>
          <w:kern w:val="2"/>
          <w:sz w:val="28"/>
          <w:szCs w:val="28"/>
          <w:highlight w:val="none"/>
          <w:lang w:val="en-US" w:eastAsia="zh-CN" w:bidi="ar-SA"/>
        </w:rPr>
      </w:pPr>
    </w:p>
    <w:p w14:paraId="322E4802">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偏离表</w:t>
      </w:r>
    </w:p>
    <w:tbl>
      <w:tblPr>
        <w:tblStyle w:val="21"/>
        <w:tblW w:w="9867"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1455"/>
        <w:gridCol w:w="2235"/>
        <w:gridCol w:w="2208"/>
        <w:gridCol w:w="1527"/>
        <w:gridCol w:w="1527"/>
      </w:tblGrid>
      <w:tr w14:paraId="4C1F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765FAEA1">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A6BEBBD">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类别</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3F796C27">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招标要求</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5F825862">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投标响应</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265869B9">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是否偏离</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2738ACDA">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209F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2708AEE3">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restart"/>
            <w:tcBorders>
              <w:top w:val="single" w:color="auto" w:sz="4" w:space="0"/>
              <w:left w:val="single" w:color="auto" w:sz="4" w:space="0"/>
              <w:right w:val="single" w:color="auto" w:sz="4" w:space="0"/>
            </w:tcBorders>
            <w:noWrap w:val="0"/>
            <w:vAlign w:val="center"/>
          </w:tcPr>
          <w:p w14:paraId="5A1DCD68">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4B48FA33">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2235" w:type="dxa"/>
            <w:tcBorders>
              <w:top w:val="single" w:color="auto" w:sz="4" w:space="0"/>
              <w:left w:val="single" w:color="auto" w:sz="4" w:space="0"/>
              <w:bottom w:val="single" w:color="auto" w:sz="4" w:space="0"/>
              <w:right w:val="single" w:color="auto" w:sz="4" w:space="0"/>
            </w:tcBorders>
            <w:noWrap w:val="0"/>
            <w:vAlign w:val="top"/>
          </w:tcPr>
          <w:p w14:paraId="71BA6001">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150A04E2">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29B47163">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1BE29B69">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3B00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7438DC8C">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continue"/>
            <w:tcBorders>
              <w:left w:val="single" w:color="auto" w:sz="4" w:space="0"/>
              <w:right w:val="single" w:color="auto" w:sz="4" w:space="0"/>
            </w:tcBorders>
            <w:noWrap w:val="0"/>
            <w:vAlign w:val="center"/>
          </w:tcPr>
          <w:p w14:paraId="431CD7F1">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5AC26351">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35E3BDF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344C7CB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00DFEB9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7411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6FB6DC06">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continue"/>
            <w:tcBorders>
              <w:left w:val="single" w:color="auto" w:sz="4" w:space="0"/>
              <w:bottom w:val="single" w:color="auto" w:sz="4" w:space="0"/>
              <w:right w:val="single" w:color="auto" w:sz="4" w:space="0"/>
            </w:tcBorders>
            <w:noWrap w:val="0"/>
            <w:vAlign w:val="center"/>
          </w:tcPr>
          <w:p w14:paraId="0E1E653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0BDDDB48">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2135D3AF">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4521743D">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2068491A">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37E4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68751789">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restart"/>
            <w:tcBorders>
              <w:top w:val="single" w:color="auto" w:sz="4" w:space="0"/>
              <w:left w:val="single" w:color="auto" w:sz="4" w:space="0"/>
              <w:right w:val="single" w:color="auto" w:sz="4" w:space="0"/>
            </w:tcBorders>
            <w:noWrap w:val="0"/>
            <w:vAlign w:val="center"/>
          </w:tcPr>
          <w:p w14:paraId="756C2323">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4650256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2235" w:type="dxa"/>
            <w:tcBorders>
              <w:top w:val="single" w:color="auto" w:sz="4" w:space="0"/>
              <w:left w:val="single" w:color="auto" w:sz="4" w:space="0"/>
              <w:bottom w:val="single" w:color="auto" w:sz="4" w:space="0"/>
              <w:right w:val="single" w:color="auto" w:sz="4" w:space="0"/>
            </w:tcBorders>
            <w:noWrap w:val="0"/>
            <w:vAlign w:val="top"/>
          </w:tcPr>
          <w:p w14:paraId="1E5675CA">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5C0B8B09">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6B009BA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483EF32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11D5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4C915486">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continue"/>
            <w:tcBorders>
              <w:left w:val="single" w:color="auto" w:sz="4" w:space="0"/>
              <w:right w:val="single" w:color="auto" w:sz="4" w:space="0"/>
            </w:tcBorders>
            <w:noWrap w:val="0"/>
            <w:vAlign w:val="top"/>
          </w:tcPr>
          <w:p w14:paraId="1E6F38FB">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18FE6248">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214DABF4">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5AF6F0CC">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08654316">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r w14:paraId="6A68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49162E0E">
            <w:pPr>
              <w:keepNext w:val="0"/>
              <w:keepLines w:val="0"/>
              <w:pageBreakBefore w:val="0"/>
              <w:widowControl w:val="0"/>
              <w:kinsoku/>
              <w:wordWrap/>
              <w:overflowPunct/>
              <w:topLinePunct w:val="0"/>
              <w:bidi w:val="0"/>
              <w:snapToGrid/>
              <w:spacing w:before="156" w:line="600" w:lineRule="exact"/>
              <w:jc w:val="center"/>
              <w:textAlignment w:val="auto"/>
              <w:rPr>
                <w:rFonts w:hint="eastAsia" w:ascii="宋体" w:hAnsi="宋体" w:eastAsia="宋体" w:cs="宋体"/>
                <w:color w:val="auto"/>
                <w:sz w:val="24"/>
                <w:szCs w:val="24"/>
                <w:highlight w:val="none"/>
              </w:rPr>
            </w:pPr>
          </w:p>
        </w:tc>
        <w:tc>
          <w:tcPr>
            <w:tcW w:w="1455" w:type="dxa"/>
            <w:vMerge w:val="continue"/>
            <w:tcBorders>
              <w:left w:val="single" w:color="auto" w:sz="4" w:space="0"/>
              <w:bottom w:val="single" w:color="auto" w:sz="4" w:space="0"/>
              <w:right w:val="single" w:color="auto" w:sz="4" w:space="0"/>
            </w:tcBorders>
            <w:noWrap w:val="0"/>
            <w:vAlign w:val="top"/>
          </w:tcPr>
          <w:p w14:paraId="51726D11">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2A08975F">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noWrap w:val="0"/>
            <w:vAlign w:val="top"/>
          </w:tcPr>
          <w:p w14:paraId="571D8DEA">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29088FBD">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07BBDBAD">
            <w:pPr>
              <w:keepNext w:val="0"/>
              <w:keepLines w:val="0"/>
              <w:pageBreakBefore w:val="0"/>
              <w:widowControl w:val="0"/>
              <w:kinsoku/>
              <w:wordWrap/>
              <w:overflowPunct/>
              <w:topLinePunct w:val="0"/>
              <w:bidi w:val="0"/>
              <w:snapToGrid/>
              <w:spacing w:before="156" w:line="600" w:lineRule="exact"/>
              <w:ind w:firstLine="480" w:firstLineChars="200"/>
              <w:textAlignment w:val="auto"/>
              <w:rPr>
                <w:rFonts w:hint="eastAsia" w:ascii="宋体" w:hAnsi="宋体" w:eastAsia="宋体" w:cs="宋体"/>
                <w:color w:val="auto"/>
                <w:sz w:val="24"/>
                <w:szCs w:val="24"/>
                <w:highlight w:val="none"/>
              </w:rPr>
            </w:pPr>
          </w:p>
        </w:tc>
      </w:tr>
    </w:tbl>
    <w:p w14:paraId="76098D4D">
      <w:pPr>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A0D30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对采购文件有任何偏离（包括正偏离及负偏离）均应汇总并填写在此表中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若不填写或只填写“无”视作完全响应采购文件的要求。</w:t>
      </w:r>
      <w:r>
        <w:rPr>
          <w:rFonts w:hint="eastAsia" w:ascii="宋体" w:hAnsi="宋体" w:cs="宋体"/>
          <w:color w:val="auto"/>
          <w:kern w:val="0"/>
          <w:sz w:val="24"/>
          <w:highlight w:val="none"/>
        </w:rPr>
        <w:t>投标人保证：除偏离表列出的偏离外，投标人响应招标文件的全部要求</w:t>
      </w:r>
      <w:r>
        <w:rPr>
          <w:rFonts w:hint="eastAsia" w:ascii="宋体" w:hAnsi="宋体" w:cs="宋体"/>
          <w:color w:val="auto"/>
          <w:kern w:val="0"/>
          <w:sz w:val="24"/>
          <w:highlight w:val="none"/>
          <w:lang w:eastAsia="zh-CN"/>
        </w:rPr>
        <w:t>。</w:t>
      </w:r>
    </w:p>
    <w:p w14:paraId="2CACF0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此表可在不改变格式的情况下自行制作。</w:t>
      </w:r>
    </w:p>
    <w:p w14:paraId="3AE7CE9D">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.偏离情况系指：正偏离（高于招标文件要求）、负偏离（低于招标文件要求）、无偏离（符合招标文件要求或与其一致）。说明是指对招标文件要求存在不同之处的解释说明。</w:t>
      </w:r>
    </w:p>
    <w:p w14:paraId="02F136AF">
      <w:pPr>
        <w:keepNext w:val="0"/>
        <w:keepLines w:val="0"/>
        <w:pageBreakBefore w:val="0"/>
        <w:widowControl w:val="0"/>
        <w:kinsoku/>
        <w:wordWrap/>
        <w:overflowPunct/>
        <w:topLinePunct w:val="0"/>
        <w:bidi w:val="0"/>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highlight w:val="none"/>
          <w:u w:val="single"/>
          <w:lang w:val="en-US" w:eastAsia="zh-CN"/>
        </w:rPr>
        <w:t>本表格所反映的偏离情况与评标标准相应的商务技术资料不一致的，以评标标准相应的商务技术资料为准。</w:t>
      </w:r>
    </w:p>
    <w:p w14:paraId="2018EB8A">
      <w:pPr>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color w:val="auto"/>
          <w:sz w:val="24"/>
          <w:szCs w:val="24"/>
          <w:highlight w:val="none"/>
        </w:rPr>
      </w:pPr>
    </w:p>
    <w:p w14:paraId="1E6FA75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供应商名称（盖章或电子签章）</w:t>
      </w:r>
      <w:r>
        <w:rPr>
          <w:rFonts w:hint="eastAsia" w:ascii="宋体" w:hAnsi="宋体" w:eastAsia="宋体" w:cs="宋体"/>
          <w:color w:val="auto"/>
          <w:sz w:val="24"/>
          <w:szCs w:val="24"/>
          <w:highlight w:val="none"/>
          <w:u w:val="single"/>
        </w:rPr>
        <w:t xml:space="preserve">                  </w:t>
      </w:r>
    </w:p>
    <w:p w14:paraId="09802B4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或其授权代表（签字或盖章或电子签章）：</w:t>
      </w:r>
      <w:r>
        <w:rPr>
          <w:rFonts w:hint="eastAsia" w:ascii="宋体" w:hAnsi="宋体" w:eastAsia="宋体" w:cs="宋体"/>
          <w:color w:val="auto"/>
          <w:sz w:val="24"/>
          <w:szCs w:val="24"/>
          <w:highlight w:val="none"/>
          <w:u w:val="single"/>
        </w:rPr>
        <w:t xml:space="preserve">                   </w:t>
      </w:r>
    </w:p>
    <w:p w14:paraId="13C08AD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F2850BA">
      <w:pPr>
        <w:spacing w:line="460" w:lineRule="exact"/>
        <w:rPr>
          <w:rFonts w:hint="eastAsia" w:ascii="宋体" w:hAnsi="宋体" w:eastAsia="宋体" w:cs="宋体"/>
          <w:b/>
          <w:bCs/>
          <w:color w:val="auto"/>
          <w:sz w:val="28"/>
          <w:szCs w:val="28"/>
          <w:highlight w:val="none"/>
          <w:lang w:val="en-US" w:eastAsia="zh-CN"/>
        </w:rPr>
      </w:pPr>
    </w:p>
    <w:p w14:paraId="55B2E7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kern w:val="0"/>
          <w:sz w:val="24"/>
          <w:szCs w:val="24"/>
          <w:highlight w:val="none"/>
          <w:lang w:val="en-US" w:eastAsia="zh-CN" w:bidi="ar-SA"/>
        </w:rPr>
      </w:pPr>
    </w:p>
    <w:p w14:paraId="5FAB13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4"/>
          <w:szCs w:val="24"/>
          <w:highlight w:val="none"/>
          <w:lang w:val="en-US" w:eastAsia="zh-CN" w:bidi="ar-SA"/>
        </w:rPr>
        <w:t>其他材料</w:t>
      </w:r>
    </w:p>
    <w:p w14:paraId="1A39CC0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rPr>
      </w:pPr>
    </w:p>
    <w:p w14:paraId="0587A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根据招标文件的要求及评分内容要求，本部分未提供格式的内容，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自行编制</w:t>
      </w:r>
    </w:p>
    <w:p w14:paraId="4EC037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rPr>
      </w:pPr>
    </w:p>
    <w:p w14:paraId="7B875951">
      <w:pPr>
        <w:pStyle w:val="20"/>
        <w:ind w:left="0" w:leftChars="0" w:firstLine="0" w:firstLineChars="0"/>
        <w:rPr>
          <w:rFonts w:hint="eastAsia" w:ascii="宋体" w:hAnsi="宋体" w:eastAsia="宋体" w:cs="宋体"/>
          <w:color w:val="auto"/>
          <w:sz w:val="28"/>
          <w:szCs w:val="28"/>
          <w:highlight w:val="none"/>
        </w:rPr>
      </w:pPr>
    </w:p>
    <w:p w14:paraId="33059101">
      <w:pPr>
        <w:pStyle w:val="20"/>
        <w:ind w:left="0" w:leftChars="0" w:firstLine="0" w:firstLineChars="0"/>
        <w:rPr>
          <w:rFonts w:hint="eastAsia" w:ascii="宋体" w:hAnsi="宋体" w:eastAsia="宋体" w:cs="宋体"/>
          <w:color w:val="auto"/>
          <w:sz w:val="28"/>
          <w:szCs w:val="28"/>
          <w:highlight w:val="none"/>
        </w:rPr>
      </w:pPr>
    </w:p>
    <w:p w14:paraId="45093966">
      <w:pPr>
        <w:pStyle w:val="20"/>
        <w:ind w:left="0" w:leftChars="0" w:firstLine="0" w:firstLineChars="0"/>
        <w:rPr>
          <w:rFonts w:hint="eastAsia" w:ascii="宋体" w:hAnsi="宋体" w:eastAsia="宋体" w:cs="宋体"/>
          <w:color w:val="auto"/>
          <w:sz w:val="28"/>
          <w:szCs w:val="28"/>
          <w:highlight w:val="none"/>
        </w:rPr>
      </w:pPr>
    </w:p>
    <w:p w14:paraId="0C67C27A">
      <w:pPr>
        <w:pStyle w:val="20"/>
        <w:ind w:left="0" w:leftChars="0" w:firstLine="0" w:firstLineChars="0"/>
        <w:rPr>
          <w:rFonts w:hint="eastAsia" w:ascii="宋体" w:hAnsi="宋体" w:eastAsia="宋体" w:cs="宋体"/>
          <w:color w:val="auto"/>
          <w:sz w:val="28"/>
          <w:szCs w:val="28"/>
          <w:highlight w:val="none"/>
        </w:rPr>
      </w:pPr>
    </w:p>
    <w:p w14:paraId="14089D1A">
      <w:pPr>
        <w:pStyle w:val="20"/>
        <w:ind w:left="0" w:leftChars="0" w:firstLine="0" w:firstLineChars="0"/>
        <w:rPr>
          <w:rFonts w:hint="eastAsia" w:ascii="宋体" w:hAnsi="宋体" w:eastAsia="宋体" w:cs="宋体"/>
          <w:color w:val="auto"/>
          <w:sz w:val="28"/>
          <w:szCs w:val="28"/>
          <w:highlight w:val="none"/>
        </w:rPr>
      </w:pPr>
    </w:p>
    <w:p w14:paraId="5995E40F">
      <w:pPr>
        <w:pStyle w:val="20"/>
        <w:ind w:left="0" w:leftChars="0" w:firstLine="0" w:firstLineChars="0"/>
        <w:rPr>
          <w:rFonts w:hint="eastAsia" w:ascii="宋体" w:hAnsi="宋体" w:eastAsia="宋体" w:cs="宋体"/>
          <w:color w:val="auto"/>
          <w:sz w:val="28"/>
          <w:szCs w:val="28"/>
          <w:highlight w:val="none"/>
        </w:rPr>
      </w:pPr>
    </w:p>
    <w:p w14:paraId="15384290">
      <w:pPr>
        <w:pStyle w:val="20"/>
        <w:ind w:left="0" w:leftChars="0" w:firstLine="0" w:firstLineChars="0"/>
        <w:rPr>
          <w:rFonts w:hint="eastAsia" w:ascii="宋体" w:hAnsi="宋体" w:eastAsia="宋体" w:cs="宋体"/>
          <w:color w:val="auto"/>
          <w:sz w:val="28"/>
          <w:szCs w:val="28"/>
          <w:highlight w:val="none"/>
        </w:rPr>
      </w:pPr>
    </w:p>
    <w:p w14:paraId="328E5A41">
      <w:pPr>
        <w:pStyle w:val="20"/>
        <w:ind w:left="0" w:leftChars="0" w:firstLine="0" w:firstLineChars="0"/>
        <w:rPr>
          <w:rFonts w:hint="eastAsia" w:ascii="宋体" w:hAnsi="宋体" w:eastAsia="宋体" w:cs="宋体"/>
          <w:color w:val="auto"/>
          <w:sz w:val="28"/>
          <w:szCs w:val="28"/>
          <w:highlight w:val="none"/>
        </w:rPr>
      </w:pPr>
    </w:p>
    <w:p w14:paraId="4710C83B">
      <w:pPr>
        <w:pStyle w:val="20"/>
        <w:ind w:left="0" w:leftChars="0" w:firstLine="0" w:firstLineChars="0"/>
        <w:rPr>
          <w:rFonts w:hint="eastAsia" w:ascii="宋体" w:hAnsi="宋体" w:eastAsia="宋体" w:cs="宋体"/>
          <w:color w:val="auto"/>
          <w:sz w:val="28"/>
          <w:szCs w:val="28"/>
          <w:highlight w:val="none"/>
        </w:rPr>
      </w:pPr>
    </w:p>
    <w:p w14:paraId="45F5E53E">
      <w:pPr>
        <w:pStyle w:val="20"/>
        <w:ind w:left="0" w:leftChars="0" w:firstLine="0" w:firstLineChars="0"/>
        <w:rPr>
          <w:rFonts w:hint="eastAsia" w:ascii="宋体" w:hAnsi="宋体" w:eastAsia="宋体" w:cs="宋体"/>
          <w:color w:val="auto"/>
          <w:sz w:val="28"/>
          <w:szCs w:val="28"/>
          <w:highlight w:val="none"/>
        </w:rPr>
      </w:pPr>
    </w:p>
    <w:p w14:paraId="07242445">
      <w:pPr>
        <w:pStyle w:val="20"/>
        <w:ind w:left="0" w:leftChars="0" w:firstLine="0" w:firstLineChars="0"/>
        <w:rPr>
          <w:rFonts w:hint="eastAsia" w:ascii="宋体" w:hAnsi="宋体" w:eastAsia="宋体" w:cs="宋体"/>
          <w:color w:val="auto"/>
          <w:sz w:val="28"/>
          <w:szCs w:val="28"/>
          <w:highlight w:val="none"/>
        </w:rPr>
      </w:pPr>
    </w:p>
    <w:p w14:paraId="34890EB8">
      <w:pPr>
        <w:pStyle w:val="20"/>
        <w:ind w:left="0" w:leftChars="0" w:firstLine="0" w:firstLineChars="0"/>
        <w:rPr>
          <w:rFonts w:hint="eastAsia" w:ascii="宋体" w:hAnsi="宋体" w:eastAsia="宋体" w:cs="宋体"/>
          <w:color w:val="auto"/>
          <w:sz w:val="28"/>
          <w:szCs w:val="28"/>
          <w:highlight w:val="none"/>
        </w:rPr>
      </w:pPr>
    </w:p>
    <w:p w14:paraId="44D539CD">
      <w:pPr>
        <w:pStyle w:val="20"/>
        <w:ind w:left="0" w:leftChars="0" w:firstLine="0" w:firstLineChars="0"/>
        <w:rPr>
          <w:rFonts w:hint="eastAsia" w:ascii="宋体" w:hAnsi="宋体" w:eastAsia="宋体" w:cs="宋体"/>
          <w:color w:val="auto"/>
          <w:sz w:val="28"/>
          <w:szCs w:val="28"/>
          <w:highlight w:val="none"/>
        </w:rPr>
      </w:pPr>
    </w:p>
    <w:p w14:paraId="72592C9C">
      <w:pPr>
        <w:pStyle w:val="20"/>
        <w:ind w:left="0" w:leftChars="0" w:firstLine="0" w:firstLineChars="0"/>
        <w:rPr>
          <w:rFonts w:hint="eastAsia" w:ascii="宋体" w:hAnsi="宋体" w:eastAsia="宋体" w:cs="宋体"/>
          <w:color w:val="auto"/>
          <w:sz w:val="28"/>
          <w:szCs w:val="28"/>
          <w:highlight w:val="none"/>
        </w:rPr>
      </w:pPr>
    </w:p>
    <w:p w14:paraId="52EBF4C3">
      <w:pPr>
        <w:pStyle w:val="11"/>
        <w:rPr>
          <w:rFonts w:hint="eastAsia" w:ascii="宋体" w:hAnsi="宋体" w:eastAsia="宋体" w:cs="宋体"/>
          <w:color w:val="auto"/>
          <w:sz w:val="28"/>
          <w:szCs w:val="28"/>
          <w:highlight w:val="none"/>
        </w:rPr>
      </w:pPr>
    </w:p>
    <w:p w14:paraId="1FA7E6D8">
      <w:pPr>
        <w:rPr>
          <w:rFonts w:hint="eastAsia" w:ascii="宋体" w:hAnsi="宋体" w:eastAsia="宋体" w:cs="宋体"/>
          <w:color w:val="auto"/>
          <w:sz w:val="28"/>
          <w:szCs w:val="28"/>
          <w:highlight w:val="none"/>
        </w:rPr>
      </w:pPr>
    </w:p>
    <w:p w14:paraId="34E6A1B6">
      <w:pPr>
        <w:bidi w:val="0"/>
        <w:rPr>
          <w:rFonts w:hint="eastAsia" w:ascii="宋体" w:hAnsi="宋体" w:eastAsia="宋体" w:cs="宋体"/>
          <w:color w:val="auto"/>
          <w:highlight w:val="none"/>
        </w:rPr>
      </w:pPr>
    </w:p>
    <w:p w14:paraId="6E268EA0">
      <w:pPr>
        <w:pStyle w:val="20"/>
        <w:ind w:left="0" w:leftChars="0" w:firstLine="0" w:firstLineChars="0"/>
        <w:rPr>
          <w:rFonts w:hint="eastAsia" w:ascii="宋体" w:hAnsi="宋体" w:eastAsia="宋体" w:cs="宋体"/>
          <w:b/>
          <w:color w:val="auto"/>
          <w:sz w:val="28"/>
          <w:szCs w:val="28"/>
          <w:highlight w:val="none"/>
          <w:lang w:val="en-US" w:eastAsia="zh-CN"/>
        </w:rPr>
      </w:pPr>
      <w:bookmarkStart w:id="60" w:name="_Toc12318"/>
    </w:p>
    <w:p w14:paraId="5EDAD9CF">
      <w:pPr>
        <w:pStyle w:val="11"/>
        <w:rPr>
          <w:rFonts w:hint="eastAsia" w:ascii="宋体" w:hAnsi="宋体" w:eastAsia="宋体" w:cs="宋体"/>
          <w:highlight w:val="none"/>
          <w:lang w:val="en-US" w:eastAsia="zh-CN"/>
        </w:rPr>
      </w:pPr>
    </w:p>
    <w:p w14:paraId="57B53699">
      <w:pPr>
        <w:pStyle w:val="20"/>
        <w:ind w:left="0" w:leftChars="0" w:firstLine="0" w:firstLineChars="0"/>
        <w:rPr>
          <w:rFonts w:hint="eastAsia" w:ascii="宋体" w:hAnsi="宋体" w:eastAsia="宋体" w:cs="宋体"/>
          <w:b/>
          <w:color w:val="auto"/>
          <w:sz w:val="28"/>
          <w:szCs w:val="28"/>
          <w:highlight w:val="none"/>
          <w:lang w:val="en-US" w:eastAsia="zh-CN"/>
        </w:rPr>
      </w:pPr>
    </w:p>
    <w:p w14:paraId="3526359B">
      <w:pPr>
        <w:pStyle w:val="20"/>
        <w:ind w:left="0" w:lef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三、报价文件</w:t>
      </w:r>
      <w:bookmarkEnd w:id="60"/>
    </w:p>
    <w:p w14:paraId="4A16727B">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60419CAA">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0CABD3EE">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3DBB229C">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7A4B7AB2">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017D5D3B">
      <w:pPr>
        <w:keepNext w:val="0"/>
        <w:keepLines w:val="0"/>
        <w:pageBreakBefore w:val="0"/>
        <w:widowControl w:val="0"/>
        <w:kinsoku/>
        <w:wordWrap/>
        <w:overflowPunct/>
        <w:topLinePunct w:val="0"/>
        <w:autoSpaceDE w:val="0"/>
        <w:autoSpaceDN w:val="0"/>
        <w:bidi w:val="0"/>
        <w:adjustRightInd w:val="0"/>
        <w:spacing w:line="600" w:lineRule="exact"/>
        <w:jc w:val="both"/>
        <w:textAlignment w:val="auto"/>
        <w:rPr>
          <w:rFonts w:hint="eastAsia" w:ascii="宋体" w:hAnsi="宋体" w:eastAsia="宋体" w:cs="宋体"/>
          <w:bCs/>
          <w:sz w:val="30"/>
          <w:szCs w:val="30"/>
          <w:highlight w:val="none"/>
          <w:lang w:val="zh-CN"/>
        </w:rPr>
      </w:pPr>
    </w:p>
    <w:p w14:paraId="242D926B">
      <w:pPr>
        <w:keepNext w:val="0"/>
        <w:keepLines w:val="0"/>
        <w:pageBreakBefore w:val="0"/>
        <w:widowControl w:val="0"/>
        <w:kinsoku/>
        <w:wordWrap/>
        <w:overflowPunct/>
        <w:topLinePunct w:val="0"/>
        <w:autoSpaceDE w:val="0"/>
        <w:autoSpaceDN w:val="0"/>
        <w:bidi w:val="0"/>
        <w:adjustRightInd w:val="0"/>
        <w:spacing w:line="600" w:lineRule="exact"/>
        <w:jc w:val="both"/>
        <w:textAlignment w:val="auto"/>
        <w:rPr>
          <w:rFonts w:hint="eastAsia" w:ascii="宋体" w:hAnsi="宋体" w:eastAsia="宋体" w:cs="宋体"/>
          <w:bCs/>
          <w:sz w:val="30"/>
          <w:szCs w:val="30"/>
          <w:highlight w:val="none"/>
          <w:lang w:val="zh-CN"/>
        </w:rPr>
      </w:pPr>
    </w:p>
    <w:p w14:paraId="755E40E4">
      <w:pPr>
        <w:keepNext w:val="0"/>
        <w:keepLines w:val="0"/>
        <w:pageBreakBefore w:val="0"/>
        <w:widowControl w:val="0"/>
        <w:kinsoku/>
        <w:wordWrap/>
        <w:overflowPunct/>
        <w:topLinePunct w:val="0"/>
        <w:autoSpaceDE w:val="0"/>
        <w:autoSpaceDN w:val="0"/>
        <w:bidi w:val="0"/>
        <w:adjustRightInd w:val="0"/>
        <w:spacing w:line="600" w:lineRule="exact"/>
        <w:jc w:val="center"/>
        <w:textAlignment w:val="auto"/>
        <w:rPr>
          <w:rFonts w:hint="eastAsia" w:ascii="宋体" w:hAnsi="宋体" w:eastAsia="宋体" w:cs="宋体"/>
          <w:bCs/>
          <w:sz w:val="52"/>
          <w:szCs w:val="52"/>
          <w:highlight w:val="none"/>
          <w:lang w:val="zh-CN"/>
        </w:rPr>
      </w:pPr>
      <w:r>
        <w:rPr>
          <w:rFonts w:hint="eastAsia" w:ascii="宋体" w:hAnsi="宋体" w:eastAsia="宋体" w:cs="宋体"/>
          <w:bCs/>
          <w:sz w:val="52"/>
          <w:szCs w:val="52"/>
          <w:highlight w:val="none"/>
          <w:lang w:val="zh-CN"/>
        </w:rPr>
        <w:t>投标文件</w:t>
      </w:r>
    </w:p>
    <w:p w14:paraId="71928882">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宋体" w:hAnsi="宋体" w:eastAsia="宋体" w:cs="宋体"/>
          <w:bCs/>
          <w:sz w:val="24"/>
          <w:szCs w:val="24"/>
          <w:highlight w:val="none"/>
          <w:lang w:val="zh-CN"/>
        </w:rPr>
      </w:pPr>
    </w:p>
    <w:p w14:paraId="5608457F">
      <w:pPr>
        <w:keepNext w:val="0"/>
        <w:keepLines w:val="0"/>
        <w:pageBreakBefore w:val="0"/>
        <w:widowControl w:val="0"/>
        <w:kinsoku/>
        <w:wordWrap/>
        <w:overflowPunct/>
        <w:topLinePunct w:val="0"/>
        <w:autoSpaceDE w:val="0"/>
        <w:autoSpaceDN w:val="0"/>
        <w:bidi w:val="0"/>
        <w:adjustRightInd w:val="0"/>
        <w:spacing w:line="600" w:lineRule="exact"/>
        <w:textAlignment w:val="auto"/>
        <w:rPr>
          <w:rFonts w:hint="eastAsia" w:ascii="宋体" w:hAnsi="宋体" w:eastAsia="宋体" w:cs="宋体"/>
          <w:bCs/>
          <w:sz w:val="24"/>
          <w:szCs w:val="24"/>
          <w:highlight w:val="none"/>
          <w:lang w:val="zh-CN"/>
        </w:rPr>
      </w:pPr>
    </w:p>
    <w:p w14:paraId="2D5B193E">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p>
    <w:p w14:paraId="1DC1371A">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5552FF9">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01A3F201">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投标文件名称：（</w:t>
      </w:r>
      <w:r>
        <w:rPr>
          <w:rFonts w:hint="eastAsia" w:ascii="宋体" w:hAnsi="宋体" w:eastAsia="宋体" w:cs="宋体"/>
          <w:sz w:val="24"/>
          <w:szCs w:val="24"/>
          <w:highlight w:val="none"/>
          <w:lang w:val="en-US" w:eastAsia="zh-CN"/>
        </w:rPr>
        <w:t>报价文件</w:t>
      </w:r>
      <w:r>
        <w:rPr>
          <w:rFonts w:hint="eastAsia" w:ascii="宋体" w:hAnsi="宋体" w:eastAsia="宋体" w:cs="宋体"/>
          <w:sz w:val="24"/>
          <w:szCs w:val="24"/>
          <w:highlight w:val="none"/>
        </w:rPr>
        <w:t>）</w:t>
      </w:r>
    </w:p>
    <w:p w14:paraId="1559B0EC">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投标人名称（盖章或电子签章）：</w:t>
      </w:r>
    </w:p>
    <w:p w14:paraId="3F25E568">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法定代表人或其授权代表</w:t>
      </w:r>
      <w:r>
        <w:rPr>
          <w:rFonts w:hint="eastAsia" w:ascii="宋体" w:hAnsi="宋体" w:eastAsia="宋体" w:cs="宋体"/>
          <w:sz w:val="24"/>
          <w:szCs w:val="24"/>
          <w:highlight w:val="none"/>
        </w:rPr>
        <w:t>（签字或盖章或电子签章）：</w:t>
      </w:r>
    </w:p>
    <w:p w14:paraId="16444C48">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投标人地址：</w:t>
      </w:r>
    </w:p>
    <w:p w14:paraId="4A273295">
      <w:pPr>
        <w:autoSpaceDE w:val="0"/>
        <w:autoSpaceDN w:val="0"/>
        <w:adjustRightInd w:val="0"/>
        <w:spacing w:line="400" w:lineRule="exact"/>
        <w:jc w:val="center"/>
        <w:rPr>
          <w:rFonts w:hint="eastAsia" w:ascii="宋体" w:hAnsi="宋体" w:eastAsia="宋体" w:cs="宋体"/>
          <w:bCs/>
          <w:sz w:val="30"/>
          <w:szCs w:val="30"/>
          <w:highlight w:val="none"/>
          <w:lang w:val="zh-CN"/>
        </w:rPr>
      </w:pPr>
    </w:p>
    <w:p w14:paraId="05A90EF4">
      <w:pPr>
        <w:pStyle w:val="10"/>
        <w:numPr>
          <w:ilvl w:val="0"/>
          <w:numId w:val="0"/>
        </w:numPr>
        <w:rPr>
          <w:rFonts w:hint="eastAsia" w:ascii="宋体" w:hAnsi="宋体" w:eastAsia="宋体" w:cs="宋体"/>
          <w:highlight w:val="none"/>
          <w:lang w:val="en-US" w:eastAsia="zh-CN"/>
        </w:rPr>
      </w:pPr>
    </w:p>
    <w:p w14:paraId="00CDBF42">
      <w:pPr>
        <w:bidi w:val="0"/>
        <w:rPr>
          <w:rFonts w:hint="eastAsia" w:ascii="宋体" w:hAnsi="宋体" w:eastAsia="宋体" w:cs="宋体"/>
          <w:highlight w:val="none"/>
          <w:lang w:val="en-US" w:eastAsia="zh-CN"/>
        </w:rPr>
      </w:pPr>
    </w:p>
    <w:p w14:paraId="04003871">
      <w:pPr>
        <w:bidi w:val="0"/>
        <w:rPr>
          <w:rFonts w:hint="eastAsia" w:ascii="宋体" w:hAnsi="宋体" w:eastAsia="宋体" w:cs="宋体"/>
          <w:highlight w:val="none"/>
          <w:lang w:val="en-US" w:eastAsia="zh-CN"/>
        </w:rPr>
      </w:pPr>
    </w:p>
    <w:p w14:paraId="4884644C">
      <w:pPr>
        <w:bidi w:val="0"/>
        <w:rPr>
          <w:rFonts w:hint="eastAsia" w:ascii="宋体" w:hAnsi="宋体" w:eastAsia="宋体" w:cs="宋体"/>
          <w:highlight w:val="none"/>
          <w:lang w:val="en-US" w:eastAsia="zh-CN"/>
        </w:rPr>
      </w:pPr>
    </w:p>
    <w:p w14:paraId="69D83B94">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20111513">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2A3BE07D">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6123FA2B">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1EC347B2">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p>
    <w:p w14:paraId="45F3DB85">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报价一览表</w:t>
      </w:r>
    </w:p>
    <w:p w14:paraId="613592F5">
      <w:pPr>
        <w:keepNext w:val="0"/>
        <w:keepLines w:val="0"/>
        <w:pageBreakBefore w:val="0"/>
        <w:kinsoku/>
        <w:wordWrap/>
        <w:topLinePunct w:val="0"/>
        <w:autoSpaceDE/>
        <w:autoSpaceDN/>
        <w:bidi w:val="0"/>
        <w:snapToGrid/>
        <w:spacing w:line="500" w:lineRule="exact"/>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r>
        <w:rPr>
          <w:rFonts w:hint="eastAsia" w:ascii="宋体" w:hAnsi="宋体" w:cs="宋体"/>
          <w:bCs/>
          <w:color w:val="auto"/>
          <w:sz w:val="24"/>
          <w:szCs w:val="24"/>
          <w:highlight w:val="none"/>
          <w:lang w:val="en-US" w:eastAsia="zh-CN"/>
        </w:rPr>
        <w:t>元</w:t>
      </w:r>
    </w:p>
    <w:tbl>
      <w:tblPr>
        <w:tblStyle w:val="21"/>
        <w:tblW w:w="96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335"/>
        <w:gridCol w:w="5164"/>
      </w:tblGrid>
      <w:tr w14:paraId="7E5B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142" w:type="dxa"/>
            <w:noWrap w:val="0"/>
            <w:vAlign w:val="center"/>
          </w:tcPr>
          <w:p w14:paraId="3ED5A617">
            <w:pPr>
              <w:pStyle w:val="13"/>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序号</w:t>
            </w:r>
          </w:p>
        </w:tc>
        <w:tc>
          <w:tcPr>
            <w:tcW w:w="3335" w:type="dxa"/>
            <w:noWrap w:val="0"/>
            <w:vAlign w:val="center"/>
          </w:tcPr>
          <w:p w14:paraId="56A5871F">
            <w:pPr>
              <w:pStyle w:val="7"/>
              <w:keepNext w:val="0"/>
              <w:keepLines w:val="0"/>
              <w:pageBreakBefore w:val="0"/>
              <w:kinsoku/>
              <w:wordWrap/>
              <w:topLinePunct w:val="0"/>
              <w:autoSpaceDE/>
              <w:autoSpaceDN/>
              <w:bidi w:val="0"/>
              <w:snapToGrid/>
              <w:spacing w:line="500" w:lineRule="exact"/>
              <w:ind w:left="0" w:leftChars="0" w:firstLine="0" w:firstLineChars="0"/>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采购内容</w:t>
            </w:r>
          </w:p>
        </w:tc>
        <w:tc>
          <w:tcPr>
            <w:tcW w:w="5164" w:type="dxa"/>
            <w:noWrap w:val="0"/>
            <w:vAlign w:val="center"/>
          </w:tcPr>
          <w:p w14:paraId="4A1C671D">
            <w:pPr>
              <w:pStyle w:val="7"/>
              <w:keepNext w:val="0"/>
              <w:keepLines w:val="0"/>
              <w:pageBreakBefore w:val="0"/>
              <w:kinsoku/>
              <w:wordWrap/>
              <w:topLinePunct w:val="0"/>
              <w:autoSpaceDE/>
              <w:autoSpaceDN/>
              <w:bidi w:val="0"/>
              <w:snapToGrid/>
              <w:spacing w:line="500" w:lineRule="exact"/>
              <w:ind w:left="0" w:leftChars="0" w:firstLine="0" w:firstLineChars="0"/>
              <w:jc w:val="center"/>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投标</w:t>
            </w:r>
            <w:r>
              <w:rPr>
                <w:rFonts w:hint="eastAsia" w:ascii="宋体" w:hAnsi="宋体" w:cs="宋体"/>
                <w:b/>
                <w:color w:val="auto"/>
                <w:kern w:val="2"/>
                <w:sz w:val="24"/>
                <w:szCs w:val="24"/>
                <w:highlight w:val="none"/>
                <w:lang w:val="en-US" w:eastAsia="zh-CN"/>
              </w:rPr>
              <w:t>报价</w:t>
            </w:r>
            <w:r>
              <w:rPr>
                <w:rFonts w:hint="eastAsia" w:ascii="宋体" w:hAnsi="宋体" w:eastAsia="宋体" w:cs="宋体"/>
                <w:b/>
                <w:color w:val="auto"/>
                <w:kern w:val="2"/>
                <w:sz w:val="24"/>
                <w:szCs w:val="24"/>
                <w:highlight w:val="none"/>
                <w:lang w:val="en-US" w:eastAsia="zh-CN"/>
              </w:rPr>
              <w:t>（</w:t>
            </w:r>
            <w:r>
              <w:rPr>
                <w:rFonts w:hint="eastAsia" w:ascii="宋体" w:hAnsi="宋体" w:cs="宋体"/>
                <w:b/>
                <w:color w:val="auto"/>
                <w:kern w:val="2"/>
                <w:sz w:val="24"/>
                <w:szCs w:val="24"/>
                <w:highlight w:val="none"/>
                <w:lang w:val="en-US" w:eastAsia="zh-CN"/>
              </w:rPr>
              <w:t>元</w:t>
            </w:r>
            <w:r>
              <w:rPr>
                <w:rFonts w:hint="eastAsia" w:ascii="宋体" w:hAnsi="宋体" w:eastAsia="宋体" w:cs="宋体"/>
                <w:b/>
                <w:color w:val="auto"/>
                <w:kern w:val="2"/>
                <w:sz w:val="24"/>
                <w:szCs w:val="24"/>
                <w:highlight w:val="none"/>
                <w:lang w:val="en-US" w:eastAsia="zh-CN"/>
              </w:rPr>
              <w:t>）</w:t>
            </w:r>
          </w:p>
        </w:tc>
      </w:tr>
      <w:tr w14:paraId="7F94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1142" w:type="dxa"/>
            <w:noWrap w:val="0"/>
            <w:vAlign w:val="center"/>
          </w:tcPr>
          <w:p w14:paraId="6A430860">
            <w:pPr>
              <w:pStyle w:val="13"/>
              <w:keepNext w:val="0"/>
              <w:keepLines w:val="0"/>
              <w:pageBreakBefore w:val="0"/>
              <w:kinsoku/>
              <w:wordWrap/>
              <w:topLinePunct w:val="0"/>
              <w:autoSpaceDE/>
              <w:autoSpaceDN/>
              <w:bidi w:val="0"/>
              <w:snapToGrid/>
              <w:spacing w:line="500" w:lineRule="exact"/>
              <w:ind w:left="469" w:hanging="469"/>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3335" w:type="dxa"/>
            <w:noWrap w:val="0"/>
            <w:vAlign w:val="center"/>
          </w:tcPr>
          <w:p w14:paraId="30CEF0B0">
            <w:pPr>
              <w:pStyle w:val="7"/>
              <w:keepNext w:val="0"/>
              <w:keepLines w:val="0"/>
              <w:pageBreakBefore w:val="0"/>
              <w:kinsoku/>
              <w:wordWrap/>
              <w:topLinePunct w:val="0"/>
              <w:autoSpaceDE/>
              <w:autoSpaceDN/>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2026年衢江区卫生健康局机房改造建设项目</w:t>
            </w:r>
          </w:p>
        </w:tc>
        <w:tc>
          <w:tcPr>
            <w:tcW w:w="5164" w:type="dxa"/>
            <w:noWrap w:val="0"/>
            <w:vAlign w:val="center"/>
          </w:tcPr>
          <w:p w14:paraId="46B5D540">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lang w:val="en-US" w:eastAsia="zh-CN"/>
              </w:rPr>
              <w:t>人民币</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圆整</w:t>
            </w:r>
          </w:p>
          <w:p w14:paraId="2A82E367">
            <w:pPr>
              <w:pStyle w:val="7"/>
              <w:keepNext w:val="0"/>
              <w:keepLines w:val="0"/>
              <w:pageBreakBefore w:val="0"/>
              <w:kinsoku/>
              <w:wordWrap/>
              <w:topLinePunct w:val="0"/>
              <w:autoSpaceDE/>
              <w:autoSpaceDN/>
              <w:bidi w:val="0"/>
              <w:snapToGrid/>
              <w:spacing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元整</w:t>
            </w:r>
          </w:p>
        </w:tc>
      </w:tr>
    </w:tbl>
    <w:p w14:paraId="54BF3584">
      <w:pPr>
        <w:keepNext w:val="0"/>
        <w:keepLines w:val="0"/>
        <w:pageBreakBefore w:val="0"/>
        <w:widowControl w:val="0"/>
        <w:kinsoku/>
        <w:wordWrap/>
        <w:topLinePunct w:val="0"/>
        <w:autoSpaceDE/>
        <w:autoSpaceDN/>
        <w:bidi w:val="0"/>
        <w:adjustRightInd/>
        <w:snapToGrid/>
        <w:spacing w:line="400" w:lineRule="exact"/>
        <w:ind w:left="591" w:leftChars="-67" w:hanging="732" w:hangingChars="3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p w14:paraId="6C4B6E20">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u w:val="single"/>
          <w:lang w:val="en-US" w:eastAsia="zh-CN"/>
        </w:rPr>
        <w:t>投标</w:t>
      </w:r>
      <w:r>
        <w:rPr>
          <w:rFonts w:hint="eastAsia" w:ascii="宋体" w:hAnsi="宋体" w:cs="宋体"/>
          <w:b/>
          <w:bCs w:val="0"/>
          <w:color w:val="auto"/>
          <w:sz w:val="24"/>
          <w:szCs w:val="24"/>
          <w:highlight w:val="none"/>
          <w:u w:val="single"/>
          <w:lang w:val="en-US" w:eastAsia="zh-CN"/>
        </w:rPr>
        <w:t>报价</w:t>
      </w:r>
      <w:r>
        <w:rPr>
          <w:rFonts w:hint="eastAsia" w:ascii="宋体" w:hAnsi="宋体" w:eastAsia="宋体" w:cs="宋体"/>
          <w:b/>
          <w:bCs w:val="0"/>
          <w:color w:val="auto"/>
          <w:sz w:val="24"/>
          <w:szCs w:val="24"/>
          <w:highlight w:val="none"/>
          <w:u w:val="single"/>
          <w:lang w:val="en-US" w:eastAsia="zh-CN"/>
        </w:rPr>
        <w:t>以</w:t>
      </w:r>
      <w:r>
        <w:rPr>
          <w:rFonts w:hint="eastAsia" w:ascii="宋体" w:hAnsi="宋体" w:cs="宋体"/>
          <w:b/>
          <w:bCs w:val="0"/>
          <w:color w:val="auto"/>
          <w:sz w:val="24"/>
          <w:szCs w:val="24"/>
          <w:highlight w:val="none"/>
          <w:u w:val="single"/>
          <w:lang w:val="en-US" w:eastAsia="zh-CN"/>
        </w:rPr>
        <w:t>元</w:t>
      </w:r>
      <w:r>
        <w:rPr>
          <w:rFonts w:hint="eastAsia" w:ascii="宋体" w:hAnsi="宋体" w:eastAsia="宋体" w:cs="宋体"/>
          <w:b/>
          <w:bCs w:val="0"/>
          <w:color w:val="auto"/>
          <w:sz w:val="24"/>
          <w:szCs w:val="24"/>
          <w:highlight w:val="none"/>
          <w:u w:val="single"/>
          <w:lang w:val="en-US" w:eastAsia="zh-CN"/>
        </w:rPr>
        <w:t>为单位，四舍五入，</w:t>
      </w:r>
      <w:r>
        <w:rPr>
          <w:rFonts w:hint="eastAsia" w:ascii="宋体" w:hAnsi="宋体" w:cs="宋体"/>
          <w:b/>
          <w:bCs w:val="0"/>
          <w:color w:val="auto"/>
          <w:sz w:val="24"/>
          <w:szCs w:val="24"/>
          <w:highlight w:val="none"/>
          <w:u w:val="single"/>
          <w:lang w:val="en-US" w:eastAsia="zh-CN"/>
        </w:rPr>
        <w:t>保留整数</w:t>
      </w:r>
      <w:r>
        <w:rPr>
          <w:rFonts w:hint="eastAsia" w:ascii="宋体" w:hAnsi="宋体" w:eastAsia="宋体" w:cs="宋体"/>
          <w:b/>
          <w:color w:val="auto"/>
          <w:kern w:val="2"/>
          <w:sz w:val="24"/>
          <w:szCs w:val="24"/>
          <w:highlight w:val="none"/>
          <w:u w:val="single"/>
          <w:lang w:val="en-US" w:eastAsia="zh-CN"/>
        </w:rPr>
        <w:t>。本项目最高限价为1460000</w:t>
      </w:r>
      <w:r>
        <w:rPr>
          <w:rFonts w:hint="eastAsia" w:ascii="宋体" w:hAnsi="宋体" w:cs="宋体"/>
          <w:b/>
          <w:color w:val="auto"/>
          <w:kern w:val="2"/>
          <w:sz w:val="24"/>
          <w:szCs w:val="24"/>
          <w:highlight w:val="none"/>
          <w:u w:val="single"/>
          <w:lang w:val="en-US" w:eastAsia="zh-CN"/>
        </w:rPr>
        <w:t>元</w:t>
      </w:r>
      <w:r>
        <w:rPr>
          <w:rFonts w:hint="eastAsia" w:ascii="宋体" w:hAnsi="宋体" w:eastAsia="宋体" w:cs="宋体"/>
          <w:b/>
          <w:color w:val="auto"/>
          <w:kern w:val="2"/>
          <w:sz w:val="24"/>
          <w:szCs w:val="24"/>
          <w:highlight w:val="none"/>
          <w:u w:val="single"/>
          <w:lang w:val="en-US" w:eastAsia="zh-CN"/>
        </w:rPr>
        <w:t>，投标人投标报价超过最高投标限价的做否决投标处理</w:t>
      </w:r>
      <w:r>
        <w:rPr>
          <w:rFonts w:hint="eastAsia" w:ascii="宋体" w:hAnsi="宋体" w:cs="宋体"/>
          <w:b/>
          <w:color w:val="auto"/>
          <w:kern w:val="2"/>
          <w:sz w:val="24"/>
          <w:szCs w:val="24"/>
          <w:highlight w:val="none"/>
          <w:u w:val="single"/>
          <w:lang w:val="en-US" w:eastAsia="zh-CN"/>
        </w:rPr>
        <w:t>。</w:t>
      </w:r>
    </w:p>
    <w:p w14:paraId="1A154CFF">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w:t>
      </w:r>
      <w:r>
        <w:rPr>
          <w:rFonts w:hint="eastAsia" w:ascii="宋体" w:hAnsi="宋体" w:eastAsia="宋体" w:cs="宋体"/>
          <w:b/>
          <w:bCs w:val="0"/>
          <w:color w:val="auto"/>
          <w:sz w:val="24"/>
          <w:szCs w:val="24"/>
          <w:highlight w:val="none"/>
          <w:lang w:val="en-US" w:eastAsia="zh-CN"/>
        </w:rPr>
        <w:t>供应商投标报价</w:t>
      </w:r>
      <w:r>
        <w:rPr>
          <w:rFonts w:hint="eastAsia" w:ascii="宋体" w:hAnsi="宋体" w:cs="宋体"/>
          <w:b/>
          <w:bCs w:val="0"/>
          <w:color w:val="auto"/>
          <w:sz w:val="24"/>
          <w:szCs w:val="24"/>
          <w:highlight w:val="none"/>
          <w:lang w:val="en-US" w:eastAsia="zh-CN"/>
        </w:rPr>
        <w:t>须</w:t>
      </w:r>
      <w:r>
        <w:rPr>
          <w:rFonts w:hint="eastAsia" w:ascii="宋体" w:hAnsi="宋体" w:eastAsia="宋体" w:cs="宋体"/>
          <w:b/>
          <w:bCs w:val="0"/>
          <w:color w:val="auto"/>
          <w:sz w:val="24"/>
          <w:szCs w:val="24"/>
          <w:highlight w:val="none"/>
          <w:lang w:val="en-US" w:eastAsia="zh-CN"/>
        </w:rPr>
        <w:t>包含本项目招标内容及要求及合同约定所有服务内容所需所有货物的货款（含标准附件、备品备件、专用工具、包装、运输、装卸等）、人工工资（含社会保险费、劳保用品、员工住宿交通差旅费用等）、规费、税费、企业管理费、利润、系统软件（含开发、更新升级）、系统集成调试、技术支持与培训、相关数据服务（含数据资产梳理、数据安全风险评估、数据安全测评审查支撑等）费用、</w:t>
      </w:r>
      <w:r>
        <w:rPr>
          <w:rFonts w:hint="eastAsia" w:ascii="宋体" w:hAnsi="宋体" w:eastAsia="宋体" w:cs="宋体"/>
          <w:b/>
          <w:bCs w:val="0"/>
          <w:kern w:val="2"/>
          <w:sz w:val="24"/>
          <w:szCs w:val="24"/>
          <w:highlight w:val="none"/>
          <w:lang w:val="en-US" w:eastAsia="zh-CN" w:bidi="ar-SA"/>
        </w:rPr>
        <w:t>系统接口费</w:t>
      </w:r>
      <w:r>
        <w:rPr>
          <w:rFonts w:hint="eastAsia" w:ascii="宋体" w:hAnsi="宋体" w:cs="宋体"/>
          <w:b/>
          <w:bCs w:val="0"/>
          <w:kern w:val="2"/>
          <w:sz w:val="24"/>
          <w:szCs w:val="24"/>
          <w:highlight w:val="none"/>
          <w:lang w:val="en-US" w:eastAsia="zh-CN" w:bidi="ar-SA"/>
        </w:rPr>
        <w:t>、</w:t>
      </w:r>
      <w:r>
        <w:rPr>
          <w:rFonts w:hint="eastAsia" w:ascii="宋体" w:hAnsi="宋体" w:eastAsia="宋体" w:cs="宋体"/>
          <w:b/>
          <w:bCs w:val="0"/>
          <w:color w:val="auto"/>
          <w:sz w:val="24"/>
          <w:szCs w:val="24"/>
          <w:highlight w:val="none"/>
          <w:lang w:val="en-US" w:eastAsia="zh-CN"/>
        </w:rPr>
        <w:t>试运行、验收费、检测费、保修、售后服务以及合同包含的所有风险、责任等各项应有费用。（说明：如发生不可抗力及突发性事件，中标供应商要无条件听从采购人指挥，配合采购人。费用已包括在投标报价内，采购人不再另行支付其他费用。）</w:t>
      </w:r>
    </w:p>
    <w:p w14:paraId="37FCA081">
      <w:pPr>
        <w:keepNext w:val="0"/>
        <w:keepLines w:val="0"/>
        <w:pageBreakBefore w:val="0"/>
        <w:widowControl w:val="0"/>
        <w:kinsoku/>
        <w:wordWrap/>
        <w:topLinePunct w:val="0"/>
        <w:autoSpaceDE/>
        <w:autoSpaceDN/>
        <w:bidi w:val="0"/>
        <w:adjustRightInd/>
        <w:snapToGrid/>
        <w:spacing w:line="400" w:lineRule="exact"/>
        <w:ind w:left="15" w:leftChars="7"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lang w:val="en-US" w:eastAsia="zh-CN"/>
        </w:rPr>
        <w:t>3.</w:t>
      </w:r>
      <w:r>
        <w:rPr>
          <w:rFonts w:hint="eastAsia" w:ascii="宋体" w:hAnsi="宋体" w:eastAsia="宋体" w:cs="宋体"/>
          <w:b/>
          <w:color w:val="auto"/>
          <w:sz w:val="24"/>
          <w:szCs w:val="24"/>
          <w:highlight w:val="none"/>
          <w:u w:val="single"/>
        </w:rPr>
        <w:t>▲不提供报价一览表的</w:t>
      </w:r>
      <w:r>
        <w:rPr>
          <w:rFonts w:hint="eastAsia" w:ascii="宋体" w:hAnsi="宋体" w:eastAsia="宋体" w:cs="宋体"/>
          <w:b/>
          <w:color w:val="auto"/>
          <w:sz w:val="24"/>
          <w:szCs w:val="24"/>
          <w:highlight w:val="none"/>
          <w:u w:val="single"/>
          <w:lang w:val="en-US" w:eastAsia="zh-CN"/>
        </w:rPr>
        <w:t>投标</w:t>
      </w:r>
      <w:r>
        <w:rPr>
          <w:rFonts w:hint="eastAsia" w:ascii="宋体" w:hAnsi="宋体" w:eastAsia="宋体" w:cs="宋体"/>
          <w:b/>
          <w:color w:val="auto"/>
          <w:sz w:val="24"/>
          <w:szCs w:val="24"/>
          <w:highlight w:val="none"/>
          <w:u w:val="single"/>
        </w:rPr>
        <w:t>文件将被视为未实质性响应</w:t>
      </w:r>
      <w:r>
        <w:rPr>
          <w:rFonts w:hint="eastAsia" w:ascii="宋体" w:hAnsi="宋体" w:eastAsia="宋体" w:cs="宋体"/>
          <w:b/>
          <w:color w:val="auto"/>
          <w:sz w:val="24"/>
          <w:szCs w:val="24"/>
          <w:highlight w:val="none"/>
          <w:u w:val="single"/>
          <w:lang w:val="en-US" w:eastAsia="zh-CN"/>
        </w:rPr>
        <w:t>投标</w:t>
      </w:r>
      <w:r>
        <w:rPr>
          <w:rFonts w:hint="eastAsia" w:ascii="宋体" w:hAnsi="宋体" w:eastAsia="宋体" w:cs="宋体"/>
          <w:b/>
          <w:color w:val="auto"/>
          <w:sz w:val="24"/>
          <w:szCs w:val="24"/>
          <w:highlight w:val="none"/>
          <w:u w:val="single"/>
        </w:rPr>
        <w:t>文件。</w:t>
      </w:r>
    </w:p>
    <w:p w14:paraId="6F4A330F">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bidi="ar-SA"/>
        </w:rPr>
        <w:t>采购人将以合同形式有偿取得货物或服务，不接受供应商给予的赠品、回扣或者与采购无关的其他商品、服务，不得出现“0元”“免费赠送”等形式的无偿报价，否则视为投标文件含有采购人不能接受的附加条件，投标无效。</w:t>
      </w:r>
    </w:p>
    <w:p w14:paraId="129B2EAA">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b/>
          <w:bCs/>
          <w:color w:val="auto"/>
          <w:kern w:val="0"/>
          <w:sz w:val="24"/>
          <w:szCs w:val="24"/>
          <w:highlight w:val="none"/>
          <w:lang w:val="en-US" w:eastAsia="zh-CN" w:bidi="ar-SA"/>
        </w:rPr>
        <w:t>如供应商承诺提供赠品、回扣、采购预算中本身不包含的其他商品或服务，视作无效承诺，不得因无效承诺对供应商实行差别待遇或者歧视待遇，也不得将其作为中标（成交）条件或者合同签订条件。</w:t>
      </w:r>
    </w:p>
    <w:p w14:paraId="45B6AEE5">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供应商全称（盖章或电子签章）：</w:t>
      </w:r>
    </w:p>
    <w:p w14:paraId="0F850399">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或其授权代表（签字或盖章或电子签章）：</w:t>
      </w:r>
    </w:p>
    <w:p w14:paraId="199CE23B">
      <w:pPr>
        <w:keepNext w:val="0"/>
        <w:keepLines w:val="0"/>
        <w:pageBreakBefore w:val="0"/>
        <w:widowControl w:val="0"/>
        <w:kinsoku/>
        <w:wordWrap/>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2C322039">
      <w:pPr>
        <w:pStyle w:val="10"/>
        <w:rPr>
          <w:rFonts w:hint="eastAsia" w:ascii="宋体" w:hAnsi="宋体" w:eastAsia="宋体" w:cs="宋体"/>
          <w:color w:val="auto"/>
          <w:sz w:val="24"/>
          <w:szCs w:val="24"/>
          <w:highlight w:val="none"/>
        </w:rPr>
      </w:pPr>
    </w:p>
    <w:p w14:paraId="6EFED8E3">
      <w:pPr>
        <w:pStyle w:val="11"/>
        <w:rPr>
          <w:rFonts w:hint="eastAsia" w:ascii="宋体" w:hAnsi="宋体" w:eastAsia="宋体" w:cs="宋体"/>
          <w:color w:val="auto"/>
          <w:sz w:val="24"/>
          <w:szCs w:val="24"/>
          <w:highlight w:val="none"/>
        </w:rPr>
      </w:pPr>
    </w:p>
    <w:p w14:paraId="11930007">
      <w:pPr>
        <w:pStyle w:val="12"/>
        <w:rPr>
          <w:rFonts w:hint="eastAsia" w:ascii="宋体" w:hAnsi="宋体" w:eastAsia="宋体" w:cs="宋体"/>
          <w:color w:val="auto"/>
          <w:sz w:val="24"/>
          <w:szCs w:val="24"/>
          <w:highlight w:val="none"/>
        </w:rPr>
      </w:pPr>
    </w:p>
    <w:p w14:paraId="0B282DF1">
      <w:pPr>
        <w:rPr>
          <w:rFonts w:hint="eastAsia" w:ascii="宋体" w:hAnsi="宋体" w:eastAsia="宋体" w:cs="宋体"/>
          <w:color w:val="auto"/>
          <w:sz w:val="24"/>
          <w:szCs w:val="24"/>
          <w:highlight w:val="none"/>
        </w:rPr>
      </w:pPr>
    </w:p>
    <w:p w14:paraId="10CE018D">
      <w:pPr>
        <w:pStyle w:val="10"/>
        <w:rPr>
          <w:rFonts w:hint="eastAsia" w:ascii="宋体" w:hAnsi="宋体" w:eastAsia="宋体" w:cs="宋体"/>
          <w:color w:val="auto"/>
          <w:sz w:val="24"/>
          <w:szCs w:val="24"/>
          <w:highlight w:val="none"/>
        </w:rPr>
        <w:sectPr>
          <w:pgSz w:w="11906" w:h="16838"/>
          <w:pgMar w:top="1134" w:right="1134" w:bottom="1134" w:left="1134" w:header="851" w:footer="850" w:gutter="0"/>
          <w:pgNumType w:fmt="decimal"/>
          <w:cols w:space="425" w:num="1"/>
          <w:docGrid w:type="lines" w:linePitch="312" w:charSpace="0"/>
        </w:sectPr>
      </w:pPr>
    </w:p>
    <w:p w14:paraId="34B2F89B">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分项报价明细表</w:t>
      </w:r>
    </w:p>
    <w:tbl>
      <w:tblPr>
        <w:tblStyle w:val="21"/>
        <w:tblW w:w="145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288"/>
        <w:gridCol w:w="1064"/>
        <w:gridCol w:w="900"/>
        <w:gridCol w:w="1690"/>
        <w:gridCol w:w="1706"/>
        <w:gridCol w:w="2331"/>
        <w:gridCol w:w="2578"/>
        <w:gridCol w:w="1336"/>
      </w:tblGrid>
      <w:tr w14:paraId="2265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EDFC">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1483">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采购标的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E47">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0274">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E30409">
            <w:pPr>
              <w:keepNext w:val="0"/>
              <w:keepLines w:val="0"/>
              <w:pageBreakBefore w:val="0"/>
              <w:widowControl/>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color w:val="auto"/>
                <w:kern w:val="0"/>
                <w:sz w:val="24"/>
                <w:szCs w:val="24"/>
                <w:highlight w:val="none"/>
                <w:lang w:val="en-US" w:eastAsia="zh-CN" w:bidi="ar"/>
              </w:rPr>
              <w:t>品牌</w:t>
            </w: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ABA526">
            <w:pPr>
              <w:keepNext w:val="0"/>
              <w:keepLines w:val="0"/>
              <w:pageBreakBefore w:val="0"/>
              <w:widowControl/>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制造商</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55C0">
            <w:pPr>
              <w:keepNext w:val="0"/>
              <w:keepLines w:val="0"/>
              <w:pageBreakBefore w:val="0"/>
              <w:widowControl/>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color w:val="auto"/>
                <w:kern w:val="0"/>
                <w:sz w:val="24"/>
                <w:szCs w:val="24"/>
                <w:highlight w:val="none"/>
                <w:lang w:val="en-US" w:eastAsia="zh-CN" w:bidi="ar"/>
              </w:rPr>
              <w:t>规格型号（如有）</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C79D">
            <w:pPr>
              <w:keepNext w:val="0"/>
              <w:keepLines w:val="0"/>
              <w:pageBreakBefore w:val="0"/>
              <w:widowControl/>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投标单价（元/*，全费用综合单价，含税）</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59D6">
            <w:pPr>
              <w:keepNext w:val="0"/>
              <w:keepLines w:val="0"/>
              <w:pageBreakBefore w:val="0"/>
              <w:widowControl/>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小计（元）</w:t>
            </w:r>
          </w:p>
        </w:tc>
      </w:tr>
      <w:tr w14:paraId="7639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4F9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CA6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互联网防火墙</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730A72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779D4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Theme="minorEastAsia" w:hAnsiTheme="minorEastAsia" w:cstheme="minorEastAsia"/>
                <w:b w:val="0"/>
                <w:bCs/>
                <w:sz w:val="24"/>
                <w:szCs w:val="24"/>
                <w:highlight w:val="none"/>
                <w:vertAlign w:val="baseline"/>
                <w:lang w:val="en-US" w:eastAsia="zh-CN"/>
              </w:rPr>
              <w:t>1</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1911C6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2"/>
                <w:sz w:val="21"/>
                <w:szCs w:val="21"/>
                <w:highlight w:val="none"/>
                <w:u w:val="none"/>
                <w:lang w:val="en-US" w:eastAsia="zh-CN" w:bidi="ar-SA"/>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0937E9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2"/>
                <w:sz w:val="21"/>
                <w:szCs w:val="21"/>
                <w:highlight w:val="none"/>
                <w:u w:val="none"/>
                <w:lang w:val="en-US" w:eastAsia="zh-CN" w:bidi="ar-SA"/>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16B8">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5090">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F9CC">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CF7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525">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23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APT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7F4B4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0BFBA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1</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11B5DD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6BA22E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7FE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BD48">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527">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EDD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BEE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A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日志审计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60EF46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5EC1D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1</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15C530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56FBE4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87C0">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F45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41C9">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92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4E6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48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网闸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4E0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2B6377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1</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1BB4D2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2C16E5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3915">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331">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E5E4">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F93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640E">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BE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汇聚交换机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43B94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576CAA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1</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2E060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561E77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A49">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96B">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BB97">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8F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4F2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D8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数据库审计系统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654F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0016A0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1</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3B23B7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04023F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AD3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31AE">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43C3">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72B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0498">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B9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卫生专网防火墙</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3EA2AC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5DA63F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1</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7BA2A3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130468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0A15">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EC7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F7F">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3C5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FA2">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4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API风险监测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C0DD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51E9E7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2</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7D4850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77FA72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BEAE">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8D12">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C8F8">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232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0BD1">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81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DLP数据防泄漏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2F492B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078B9F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2</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6EB84F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4EAF7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5C08">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00B">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01A5">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50F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8EA4">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3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跨网数据交互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54CAF7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261888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2</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501DED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58BBBD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F722">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9B73">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6DE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142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BDE4">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82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数据库管控平台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C9C2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603D62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2</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237853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12F25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9037">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BC29">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2FEC">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F6B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DAD2">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API风险管控平台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2B7923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18D82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2</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303A1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0EB2F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B83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217">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740B">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264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D8DA">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F1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数据安全管理平台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top"/>
          </w:tcPr>
          <w:p w14:paraId="35F96E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4FA4F0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b w:val="0"/>
                <w:bCs/>
                <w:sz w:val="24"/>
                <w:szCs w:val="24"/>
                <w:highlight w:val="none"/>
                <w:vertAlign w:val="baseline"/>
                <w:lang w:val="en-US" w:eastAsia="zh-CN"/>
              </w:rPr>
              <w:t>1</w:t>
            </w:r>
          </w:p>
        </w:tc>
        <w:tc>
          <w:tcPr>
            <w:tcW w:w="1690" w:type="dxa"/>
            <w:tcBorders>
              <w:top w:val="single" w:color="000000" w:sz="4" w:space="0"/>
              <w:left w:val="single" w:color="000000" w:sz="4" w:space="0"/>
              <w:bottom w:val="single" w:color="000000" w:sz="4" w:space="0"/>
              <w:right w:val="single" w:color="auto" w:sz="4" w:space="0"/>
            </w:tcBorders>
            <w:shd w:val="clear" w:color="auto" w:fill="auto"/>
            <w:vAlign w:val="top"/>
          </w:tcPr>
          <w:p w14:paraId="5ED500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1"/>
                <w:szCs w:val="21"/>
                <w:highlight w:val="none"/>
                <w:u w:val="none"/>
                <w:lang w:val="en-US" w:eastAsia="zh-CN" w:bidi="ar"/>
              </w:rPr>
            </w:pP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top"/>
          </w:tcPr>
          <w:p w14:paraId="6A55F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000000"/>
                <w:kern w:val="0"/>
                <w:sz w:val="21"/>
                <w:szCs w:val="21"/>
                <w:highlight w:val="none"/>
                <w:u w:val="none"/>
                <w:lang w:val="en-US" w:eastAsia="zh-CN" w:bidi="ar"/>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F4B0">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7428">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F70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8E2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F670">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4</w:t>
            </w:r>
          </w:p>
        </w:tc>
        <w:tc>
          <w:tcPr>
            <w:tcW w:w="4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2D59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 w:val="24"/>
                <w:szCs w:val="24"/>
                <w:highlight w:val="none"/>
                <w:vertAlign w:val="baseline"/>
                <w:lang w:val="en-US" w:eastAsia="zh-CN"/>
              </w:rPr>
              <w:t>投标报价</w:t>
            </w:r>
            <w:r>
              <w:rPr>
                <w:rFonts w:hint="eastAsia" w:ascii="宋体" w:hAnsi="宋体" w:cs="宋体"/>
                <w:b/>
                <w:bCs/>
                <w:color w:val="auto"/>
                <w:sz w:val="24"/>
                <w:szCs w:val="24"/>
                <w:highlight w:val="none"/>
                <w:vertAlign w:val="baseline"/>
                <w:lang w:val="en-US" w:eastAsia="zh-CN"/>
              </w:rPr>
              <w:t>（元）</w:t>
            </w:r>
          </w:p>
        </w:tc>
        <w:tc>
          <w:tcPr>
            <w:tcW w:w="9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D2E74">
            <w:pPr>
              <w:keepNext w:val="0"/>
              <w:keepLines w:val="0"/>
              <w:pageBreakBefore w:val="0"/>
              <w:widowControl/>
              <w:kinsoku/>
              <w:wordWrap/>
              <w:overflowPunct/>
              <w:topLinePunct w:val="0"/>
              <w:autoSpaceDE/>
              <w:autoSpaceDN/>
              <w:bidi w:val="0"/>
              <w:adjustRightInd/>
              <w:snapToGrid w:val="0"/>
              <w:spacing w:line="360" w:lineRule="atLeast"/>
              <w:jc w:val="center"/>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rPr>
              <w:t>（大写）：</w:t>
            </w:r>
            <w:r>
              <w:rPr>
                <w:rFonts w:hint="eastAsia" w:ascii="宋体" w:hAnsi="宋体" w:eastAsia="宋体" w:cs="宋体"/>
                <w:b/>
                <w:bCs/>
                <w:color w:val="auto"/>
                <w:sz w:val="22"/>
                <w:szCs w:val="22"/>
                <w:highlight w:val="none"/>
                <w:lang w:val="en-US" w:eastAsia="zh-CN"/>
              </w:rPr>
              <w:t>人民币</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u w:val="none"/>
                <w:lang w:val="en-US" w:eastAsia="zh-CN"/>
              </w:rPr>
              <w:t>圆整</w:t>
            </w:r>
          </w:p>
          <w:p w14:paraId="76CCD9EF">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 w:val="22"/>
                <w:szCs w:val="22"/>
                <w:highlight w:val="none"/>
              </w:rPr>
              <w:t>（小写）：</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u w:val="none"/>
                <w:lang w:val="en-US" w:eastAsia="zh-CN"/>
              </w:rPr>
              <w:t>元整</w:t>
            </w:r>
          </w:p>
        </w:tc>
      </w:tr>
    </w:tbl>
    <w:p w14:paraId="76EF706E">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2" w:firstLineChars="200"/>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kern w:val="2"/>
          <w:sz w:val="22"/>
          <w:szCs w:val="22"/>
          <w:highlight w:val="none"/>
          <w:lang w:val="en-US" w:eastAsia="zh-CN" w:bidi="ar-SA"/>
        </w:rPr>
        <w:t>1、</w:t>
      </w:r>
      <w:r>
        <w:rPr>
          <w:rFonts w:hint="eastAsia" w:ascii="宋体" w:hAnsi="宋体" w:eastAsia="宋体" w:cs="宋体"/>
          <w:b/>
          <w:bCs/>
          <w:color w:val="auto"/>
          <w:sz w:val="22"/>
          <w:szCs w:val="22"/>
          <w:highlight w:val="none"/>
          <w:lang w:val="en-US" w:eastAsia="zh-CN"/>
        </w:rPr>
        <w:t>投标报价以元为单位，四舍五入，保留整数。</w:t>
      </w:r>
    </w:p>
    <w:p w14:paraId="4828C7E7">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2" w:firstLineChars="200"/>
        <w:jc w:val="both"/>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2、投标单价为全费用综合单价，应包括采购标的涉及的一切相关费用（如货物的货款、人工工资、规费、税费、企业管理费、利润、系统软件开发更新、系统集成调试、技术支持与培训、相关数据服务、系统接口费</w:t>
      </w:r>
      <w:r>
        <w:rPr>
          <w:rFonts w:hint="eastAsia" w:ascii="宋体" w:hAnsi="宋体" w:cs="宋体"/>
          <w:b/>
          <w:bCs/>
          <w:color w:val="auto"/>
          <w:kern w:val="0"/>
          <w:sz w:val="22"/>
          <w:szCs w:val="22"/>
          <w:highlight w:val="none"/>
          <w:lang w:val="en-US" w:eastAsia="zh-CN" w:bidi="ar-SA"/>
        </w:rPr>
        <w:t>、</w:t>
      </w:r>
      <w:r>
        <w:rPr>
          <w:rFonts w:hint="eastAsia" w:ascii="宋体" w:hAnsi="宋体" w:eastAsia="宋体" w:cs="宋体"/>
          <w:b/>
          <w:bCs/>
          <w:color w:val="auto"/>
          <w:kern w:val="0"/>
          <w:sz w:val="22"/>
          <w:szCs w:val="22"/>
          <w:highlight w:val="none"/>
          <w:lang w:val="en-US" w:eastAsia="zh-CN" w:bidi="ar-SA"/>
        </w:rPr>
        <w:t>试运行、验收费、检测费、保修、售后服务以及合同包含的所有风险、责任等各项应有费用）。采购文件未列明，而供应商认为必需的费用也需列入报价。供应商在投标报价中应充分考虑所有可能发生的费用，否则采购人将视投标报价中已包括所有费用。</w:t>
      </w:r>
    </w:p>
    <w:p w14:paraId="305A7926">
      <w:pPr>
        <w:pStyle w:val="20"/>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2" w:firstLineChars="200"/>
        <w:jc w:val="both"/>
        <w:textAlignment w:val="auto"/>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3、“分项报价明细表”中的“投标报价”须与“报价一览表”中的“投标报价”相一致。</w:t>
      </w:r>
    </w:p>
    <w:p w14:paraId="367EBB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供应商全称（盖章或电子签章）：</w:t>
      </w:r>
    </w:p>
    <w:p w14:paraId="4DDE61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法定代表人或其授权代表（签字或盖章或电子签章）：</w:t>
      </w:r>
    </w:p>
    <w:p w14:paraId="64692264">
      <w:pPr>
        <w:pStyle w:val="10"/>
        <w:rPr>
          <w:rFonts w:hint="default"/>
          <w:highlight w:val="none"/>
          <w:lang w:val="en-US" w:eastAsia="zh-CN"/>
        </w:rPr>
      </w:pPr>
      <w:r>
        <w:rPr>
          <w:rFonts w:hint="eastAsia" w:ascii="宋体" w:hAnsi="宋体" w:eastAsia="宋体" w:cs="宋体"/>
          <w:color w:val="auto"/>
          <w:sz w:val="24"/>
          <w:szCs w:val="24"/>
          <w:highlight w:val="none"/>
        </w:rPr>
        <w:t>日 期：  年  月  日</w:t>
      </w:r>
    </w:p>
    <w:p w14:paraId="0F462750">
      <w:pPr>
        <w:pStyle w:val="11"/>
        <w:rPr>
          <w:rFonts w:hint="eastAsia" w:ascii="宋体" w:hAnsi="宋体" w:eastAsia="宋体" w:cs="宋体"/>
          <w:color w:val="auto"/>
          <w:sz w:val="24"/>
          <w:szCs w:val="24"/>
          <w:highlight w:val="none"/>
        </w:rPr>
        <w:sectPr>
          <w:pgSz w:w="16838" w:h="11906" w:orient="landscape"/>
          <w:pgMar w:top="1134" w:right="1134" w:bottom="1134" w:left="1134" w:header="851" w:footer="850" w:gutter="0"/>
          <w:pgNumType w:fmt="decimal"/>
          <w:cols w:space="425" w:num="1"/>
          <w:docGrid w:type="lines" w:linePitch="312" w:charSpace="0"/>
        </w:sectPr>
      </w:pPr>
    </w:p>
    <w:p w14:paraId="32F41AE5">
      <w:pPr>
        <w:keepNext w:val="0"/>
        <w:keepLines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（一）中小企业声明函</w:t>
      </w:r>
    </w:p>
    <w:p w14:paraId="776DC480">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 xml:space="preserve">的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 采购活动，提供的货物全部由符合政策要求的</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小企业制造</w:t>
      </w:r>
      <w:r>
        <w:rPr>
          <w:rFonts w:hint="eastAsia" w:ascii="宋体" w:hAnsi="宋体" w:cs="宋体"/>
          <w:color w:val="auto"/>
          <w:sz w:val="24"/>
          <w:szCs w:val="24"/>
          <w:highlight w:val="none"/>
          <w:lang w:eastAsia="zh-CN"/>
        </w:rPr>
        <w:t>，工程的施工单位全部为符合政策要求的中小企业</w:t>
      </w:r>
      <w:r>
        <w:rPr>
          <w:rFonts w:hint="eastAsia" w:ascii="宋体" w:hAnsi="宋体" w:eastAsia="宋体" w:cs="宋体"/>
          <w:color w:val="auto"/>
          <w:sz w:val="24"/>
          <w:szCs w:val="24"/>
          <w:highlight w:val="none"/>
        </w:rPr>
        <w:t>。相关企业（含联合体中的</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小企业、签订分包意向协议的</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小企业）的具体情况如下：</w:t>
      </w:r>
    </w:p>
    <w:p w14:paraId="04F31491">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采购</w:t>
      </w:r>
      <w:r>
        <w:rPr>
          <w:rFonts w:hint="eastAsia" w:ascii="宋体" w:hAnsi="宋体" w:eastAsia="宋体" w:cs="宋体"/>
          <w:b/>
          <w:bCs/>
          <w:color w:val="auto"/>
          <w:sz w:val="24"/>
          <w:szCs w:val="24"/>
          <w:highlight w:val="none"/>
          <w:u w:val="single"/>
        </w:rPr>
        <w:t>标的名称</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例如“互联网防火墙、</w:t>
      </w:r>
      <w:r>
        <w:rPr>
          <w:rFonts w:hint="eastAsia" w:ascii="宋体" w:hAnsi="宋体" w:cs="宋体"/>
          <w:b/>
          <w:bCs/>
          <w:color w:val="auto"/>
          <w:sz w:val="24"/>
          <w:szCs w:val="24"/>
          <w:highlight w:val="none"/>
          <w:u w:val="single"/>
          <w:lang w:val="en-US" w:eastAsia="zh-CN"/>
        </w:rPr>
        <w:t>APT</w:t>
      </w:r>
      <w:r>
        <w:rPr>
          <w:rFonts w:hint="eastAsia" w:ascii="宋体" w:hAnsi="宋体" w:eastAsia="宋体" w:cs="宋体"/>
          <w:b/>
          <w:bCs/>
          <w:color w:val="auto"/>
          <w:sz w:val="24"/>
          <w:szCs w:val="24"/>
          <w:highlight w:val="none"/>
          <w:u w:val="single"/>
          <w:lang w:val="en-US" w:eastAsia="zh-CN"/>
        </w:rPr>
        <w:t>等”，具体采购标的详见第三章 采购内容及要求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工业</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具体采购标的所属行业详见第三章采购内容及要求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 ；制造商为</w:t>
      </w:r>
      <w:r>
        <w:rPr>
          <w:rFonts w:hint="eastAsia" w:ascii="宋体" w:hAnsi="宋体" w:eastAsia="宋体" w:cs="宋体"/>
          <w:color w:val="auto"/>
          <w:sz w:val="24"/>
          <w:szCs w:val="24"/>
          <w:highlight w:val="none"/>
          <w:u w:val="single"/>
        </w:rPr>
        <w:t xml:space="preserve"> （企业名称）</w:t>
      </w:r>
      <w:r>
        <w:rPr>
          <w:rFonts w:hint="eastAsia" w:ascii="宋体" w:hAnsi="宋体" w:eastAsia="宋体" w:cs="宋体"/>
          <w:color w:val="auto"/>
          <w:sz w:val="24"/>
          <w:szCs w:val="24"/>
          <w:highlight w:val="none"/>
        </w:rPr>
        <w:t xml:space="preserve">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（中型企业</w:t>
      </w:r>
      <w:r>
        <w:rPr>
          <w:rFonts w:hint="eastAsia" w:ascii="宋体" w:hAnsi="宋体" w:cs="宋体"/>
          <w:i/>
          <w:iCs/>
          <w:color w:val="auto"/>
          <w:sz w:val="24"/>
          <w:szCs w:val="24"/>
          <w:highlight w:val="none"/>
          <w:u w:val="single"/>
          <w:lang w:val="en-US" w:eastAsia="zh-CN"/>
        </w:rPr>
        <w:t>/</w:t>
      </w:r>
      <w:r>
        <w:rPr>
          <w:rFonts w:hint="eastAsia" w:ascii="宋体" w:hAnsi="宋体" w:eastAsia="宋体" w:cs="宋体"/>
          <w:i/>
          <w:iCs/>
          <w:color w:val="auto"/>
          <w:sz w:val="24"/>
          <w:szCs w:val="24"/>
          <w:highlight w:val="none"/>
          <w:u w:val="single"/>
        </w:rPr>
        <w:t>小型企业</w:t>
      </w:r>
      <w:r>
        <w:rPr>
          <w:rFonts w:hint="eastAsia" w:ascii="宋体" w:hAnsi="宋体" w:cs="宋体"/>
          <w:i/>
          <w:iCs/>
          <w:color w:val="auto"/>
          <w:sz w:val="24"/>
          <w:szCs w:val="24"/>
          <w:highlight w:val="none"/>
          <w:u w:val="single"/>
          <w:lang w:val="en-US" w:eastAsia="zh-CN"/>
        </w:rPr>
        <w:t>/</w:t>
      </w:r>
      <w:r>
        <w:rPr>
          <w:rFonts w:hint="eastAsia" w:ascii="宋体" w:hAnsi="宋体" w:eastAsia="宋体" w:cs="宋体"/>
          <w:i/>
          <w:iCs/>
          <w:color w:val="auto"/>
          <w:sz w:val="24"/>
          <w:szCs w:val="24"/>
          <w:highlight w:val="none"/>
          <w:u w:val="single"/>
        </w:rPr>
        <w:t>微型企业）</w:t>
      </w:r>
      <w:r>
        <w:rPr>
          <w:rFonts w:hint="eastAsia" w:ascii="宋体" w:hAnsi="宋体" w:eastAsia="宋体" w:cs="宋体"/>
          <w:color w:val="auto"/>
          <w:sz w:val="24"/>
          <w:szCs w:val="24"/>
          <w:highlight w:val="none"/>
        </w:rPr>
        <w:t xml:space="preserve"> ；</w:t>
      </w:r>
    </w:p>
    <w:p w14:paraId="249CB9D8">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采购</w:t>
      </w:r>
      <w:r>
        <w:rPr>
          <w:rFonts w:hint="eastAsia" w:ascii="宋体" w:hAnsi="宋体" w:eastAsia="宋体" w:cs="宋体"/>
          <w:b/>
          <w:bCs/>
          <w:color w:val="auto"/>
          <w:sz w:val="24"/>
          <w:szCs w:val="24"/>
          <w:highlight w:val="none"/>
          <w:u w:val="single"/>
        </w:rPr>
        <w:t>标的名称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，属于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工业</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 ；制造商为</w:t>
      </w:r>
      <w:r>
        <w:rPr>
          <w:rFonts w:hint="eastAsia" w:ascii="宋体" w:hAnsi="宋体" w:eastAsia="宋体" w:cs="宋体"/>
          <w:color w:val="auto"/>
          <w:sz w:val="24"/>
          <w:szCs w:val="24"/>
          <w:highlight w:val="none"/>
          <w:u w:val="single"/>
        </w:rPr>
        <w:t xml:space="preserve"> （企业名称）</w:t>
      </w:r>
      <w:r>
        <w:rPr>
          <w:rFonts w:hint="eastAsia" w:ascii="宋体" w:hAnsi="宋体" w:eastAsia="宋体" w:cs="宋体"/>
          <w:color w:val="auto"/>
          <w:sz w:val="24"/>
          <w:szCs w:val="24"/>
          <w:highlight w:val="none"/>
        </w:rPr>
        <w:t xml:space="preserve">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（中型企业</w:t>
      </w:r>
      <w:r>
        <w:rPr>
          <w:rFonts w:hint="eastAsia" w:ascii="宋体" w:hAnsi="宋体" w:cs="宋体"/>
          <w:i/>
          <w:iCs/>
          <w:color w:val="auto"/>
          <w:sz w:val="24"/>
          <w:szCs w:val="24"/>
          <w:highlight w:val="none"/>
          <w:u w:val="single"/>
          <w:lang w:val="en-US" w:eastAsia="zh-CN"/>
        </w:rPr>
        <w:t>/</w:t>
      </w:r>
      <w:r>
        <w:rPr>
          <w:rFonts w:hint="eastAsia" w:ascii="宋体" w:hAnsi="宋体" w:eastAsia="宋体" w:cs="宋体"/>
          <w:i/>
          <w:iCs/>
          <w:color w:val="auto"/>
          <w:sz w:val="24"/>
          <w:szCs w:val="24"/>
          <w:highlight w:val="none"/>
          <w:u w:val="single"/>
        </w:rPr>
        <w:t>小型企业</w:t>
      </w:r>
      <w:r>
        <w:rPr>
          <w:rFonts w:hint="eastAsia" w:ascii="宋体" w:hAnsi="宋体" w:cs="宋体"/>
          <w:i/>
          <w:iCs/>
          <w:color w:val="auto"/>
          <w:sz w:val="24"/>
          <w:szCs w:val="24"/>
          <w:highlight w:val="none"/>
          <w:u w:val="single"/>
          <w:lang w:val="en-US" w:eastAsia="zh-CN"/>
        </w:rPr>
        <w:t>/</w:t>
      </w:r>
      <w:r>
        <w:rPr>
          <w:rFonts w:hint="eastAsia" w:ascii="宋体" w:hAnsi="宋体" w:eastAsia="宋体" w:cs="宋体"/>
          <w:i/>
          <w:iCs/>
          <w:color w:val="auto"/>
          <w:sz w:val="24"/>
          <w:szCs w:val="24"/>
          <w:highlight w:val="none"/>
          <w:u w:val="single"/>
        </w:rPr>
        <w:t>微型企业）</w:t>
      </w:r>
      <w:r>
        <w:rPr>
          <w:rFonts w:hint="eastAsia" w:ascii="宋体" w:hAnsi="宋体" w:eastAsia="宋体" w:cs="宋体"/>
          <w:color w:val="auto"/>
          <w:sz w:val="24"/>
          <w:szCs w:val="24"/>
          <w:highlight w:val="none"/>
        </w:rPr>
        <w:t xml:space="preserve"> ；</w:t>
      </w:r>
    </w:p>
    <w:p w14:paraId="7EE87786">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i/>
          <w:iCs/>
          <w:color w:val="auto"/>
          <w:sz w:val="24"/>
          <w:szCs w:val="24"/>
          <w:highlight w:val="none"/>
          <w:u w:val="single"/>
          <w:lang w:val="en-US" w:eastAsia="zh-CN"/>
        </w:rPr>
        <w:t>本项目为货物采购项目，不对其中涉及的服务的承接商作出要求，</w:t>
      </w:r>
      <w:r>
        <w:rPr>
          <w:rFonts w:hint="eastAsia" w:ascii="宋体" w:hAnsi="宋体" w:cs="宋体"/>
          <w:b/>
          <w:bCs/>
          <w:i/>
          <w:iCs/>
          <w:color w:val="auto"/>
          <w:sz w:val="24"/>
          <w:szCs w:val="24"/>
          <w:highlight w:val="none"/>
          <w:u w:val="single"/>
          <w:lang w:val="en-US" w:eastAsia="zh-CN"/>
        </w:rPr>
        <w:t>采购标的1-13对应行业为工业，</w:t>
      </w:r>
      <w:r>
        <w:rPr>
          <w:rFonts w:hint="eastAsia" w:ascii="宋体" w:hAnsi="宋体" w:eastAsia="宋体" w:cs="宋体"/>
          <w:b/>
          <w:bCs/>
          <w:i/>
          <w:iCs/>
          <w:color w:val="auto"/>
          <w:sz w:val="24"/>
          <w:szCs w:val="24"/>
          <w:highlight w:val="none"/>
          <w:u w:val="single"/>
          <w:lang w:val="en-US" w:eastAsia="zh-CN"/>
        </w:rPr>
        <w:t>均需一一列明</w:t>
      </w:r>
      <w:r>
        <w:rPr>
          <w:rFonts w:hint="eastAsia" w:ascii="宋体" w:hAnsi="宋体" w:cs="宋体"/>
          <w:b/>
          <w:bCs/>
          <w:i/>
          <w:iCs/>
          <w:color w:val="auto"/>
          <w:sz w:val="24"/>
          <w:szCs w:val="24"/>
          <w:highlight w:val="none"/>
          <w:u w:val="single"/>
          <w:lang w:val="en-US" w:eastAsia="zh-CN"/>
        </w:rPr>
        <w:t>。</w:t>
      </w:r>
      <w:r>
        <w:rPr>
          <w:rFonts w:hint="eastAsia" w:ascii="宋体" w:hAnsi="宋体" w:eastAsia="宋体" w:cs="宋体"/>
          <w:b/>
          <w:bCs/>
          <w:i/>
          <w:iCs/>
          <w:color w:val="auto"/>
          <w:sz w:val="24"/>
          <w:szCs w:val="24"/>
          <w:highlight w:val="none"/>
          <w:u w:val="single"/>
          <w:lang w:val="en-US" w:eastAsia="zh-CN"/>
        </w:rPr>
        <w:t>具体采购标的详见第三章 采购内容及要求</w:t>
      </w:r>
      <w:r>
        <w:rPr>
          <w:rFonts w:hint="eastAsia" w:ascii="宋体" w:hAnsi="宋体" w:eastAsia="宋体" w:cs="宋体"/>
          <w:color w:val="auto"/>
          <w:sz w:val="24"/>
          <w:szCs w:val="24"/>
          <w:highlight w:val="none"/>
          <w:lang w:eastAsia="zh-CN"/>
        </w:rPr>
        <w:t>）</w:t>
      </w:r>
    </w:p>
    <w:p w14:paraId="354696A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05C64CE">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2A94D0">
      <w:pPr>
        <w:keepNext w:val="0"/>
        <w:keepLines w:val="0"/>
        <w:pageBreakBefore w:val="0"/>
        <w:kinsoku/>
        <w:wordWrap/>
        <w:overflowPunct/>
        <w:topLinePunct w:val="0"/>
        <w:autoSpaceDE/>
        <w:autoSpaceDN/>
        <w:bidi w:val="0"/>
        <w:adjustRightInd/>
        <w:snapToGrid w:val="0"/>
        <w:spacing w:line="500" w:lineRule="exact"/>
        <w:ind w:firstLine="5160" w:firstLineChars="2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投标人名称</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盖章或电子签章</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zh-CN"/>
        </w:rPr>
        <w:t>：</w:t>
      </w:r>
    </w:p>
    <w:p w14:paraId="76140F97">
      <w:pPr>
        <w:keepNext w:val="0"/>
        <w:keepLines w:val="0"/>
        <w:kinsoku/>
        <w:wordWrap/>
        <w:overflowPunct/>
        <w:topLinePunct w:val="0"/>
        <w:autoSpaceDE/>
        <w:autoSpaceDN/>
        <w:bidi w:val="0"/>
        <w:adjustRightInd/>
        <w:snapToGrid w:val="0"/>
        <w:spacing w:line="500" w:lineRule="exact"/>
        <w:textAlignment w:val="auto"/>
        <w:rPr>
          <w:rFonts w:hint="eastAsia" w:ascii="宋体" w:hAnsi="宋体" w:eastAsia="宋体" w:cs="宋体"/>
          <w:kern w:val="0"/>
          <w:sz w:val="24"/>
          <w:szCs w:val="24"/>
          <w:highlight w:val="none"/>
          <w:lang w:val="zh-CN"/>
        </w:r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4487794">
      <w:pPr>
        <w:keepNext w:val="0"/>
        <w:keepLines w:val="0"/>
        <w:pageBreakBefore w:val="0"/>
        <w:kinsoku/>
        <w:wordWrap/>
        <w:overflowPunct/>
        <w:topLinePunct w:val="0"/>
        <w:autoSpaceDE/>
        <w:autoSpaceDN/>
        <w:bidi w:val="0"/>
        <w:adjustRightInd/>
        <w:snapToGrid/>
        <w:spacing w:line="360" w:lineRule="exact"/>
        <w:ind w:right="420"/>
        <w:textAlignment w:val="auto"/>
        <w:rPr>
          <w:rFonts w:hint="eastAsia" w:ascii="宋体" w:hAnsi="宋体" w:eastAsia="宋体" w:cs="宋体"/>
          <w:sz w:val="20"/>
          <w:szCs w:val="20"/>
          <w:highlight w:val="none"/>
        </w:rPr>
      </w:pPr>
      <w:r>
        <w:rPr>
          <w:rFonts w:hint="eastAsia" w:ascii="宋体" w:hAnsi="宋体" w:eastAsia="宋体" w:cs="宋体"/>
          <w:sz w:val="24"/>
          <w:szCs w:val="24"/>
          <w:highlight w:val="none"/>
        </w:rPr>
        <w:t>从业人员、营业收入、资产总额填报上一年度数据，无上一年度数据的新成立企业可不填报。</w:t>
      </w:r>
      <w:r>
        <w:rPr>
          <w:rFonts w:hint="eastAsia" w:ascii="宋体" w:hAnsi="宋体" w:eastAsia="宋体" w:cs="宋体"/>
          <w:sz w:val="20"/>
          <w:szCs w:val="20"/>
          <w:highlight w:val="none"/>
        </w:rPr>
        <w:t>注：</w:t>
      </w:r>
    </w:p>
    <w:p w14:paraId="2681D7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填写要求：</w:t>
      </w:r>
    </w:p>
    <w:p w14:paraId="14E8A4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rPr>
      </w:pPr>
      <w:r>
        <w:rPr>
          <w:rFonts w:hint="eastAsia" w:ascii="宋体" w:hAnsi="宋体" w:eastAsia="宋体" w:cs="宋体"/>
          <w:highlight w:val="none"/>
        </w:rPr>
        <w:t>①▲</w:t>
      </w:r>
      <w:r>
        <w:rPr>
          <w:rFonts w:hint="eastAsia" w:ascii="宋体" w:hAnsi="宋体" w:eastAsia="宋体" w:cs="宋体"/>
          <w:highlight w:val="none"/>
          <w:u w:val="single"/>
        </w:rPr>
        <w:t>“标的名称”、“采购文件中明确的所属行业”依据招标文件</w:t>
      </w:r>
      <w:r>
        <w:rPr>
          <w:rFonts w:hint="eastAsia" w:ascii="宋体" w:hAnsi="宋体" w:eastAsia="宋体" w:cs="宋体"/>
          <w:highlight w:val="none"/>
          <w:u w:val="single"/>
          <w:lang w:val="en-US" w:eastAsia="zh-CN"/>
        </w:rPr>
        <w:t>第三章 采购内容及要求</w:t>
      </w:r>
      <w:r>
        <w:rPr>
          <w:rFonts w:hint="eastAsia" w:ascii="宋体" w:hAnsi="宋体" w:eastAsia="宋体" w:cs="宋体"/>
          <w:highlight w:val="none"/>
          <w:u w:val="single"/>
        </w:rPr>
        <w:t>“采购标的及其对应的中小企业划分标准所属行业”的指引，逐一填写，不得缺漏；</w:t>
      </w:r>
    </w:p>
    <w:p w14:paraId="4623DE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rPr>
        <w:t>②从业人员、营业收入、资产总额填报上一年度数据，无上一年度数据的新成立企业可不填报</w:t>
      </w:r>
      <w:r>
        <w:rPr>
          <w:rFonts w:hint="eastAsia" w:ascii="宋体" w:hAnsi="宋体" w:eastAsia="宋体" w:cs="宋体"/>
          <w:highlight w:val="none"/>
          <w:lang w:val="en-US" w:eastAsia="zh-CN"/>
        </w:rPr>
        <w:t>;</w:t>
      </w:r>
    </w:p>
    <w:p w14:paraId="02673F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rPr>
        <w:t>③▲中型企业、小型企业、微型企业等3种企业类型，结合以上数据，依据《中小企业划型标准规定》（工信部联企业〔2011〕300号）确定</w:t>
      </w:r>
      <w:r>
        <w:rPr>
          <w:rFonts w:hint="eastAsia" w:ascii="宋体" w:hAnsi="宋体" w:eastAsia="宋体" w:cs="宋体"/>
          <w:highlight w:val="none"/>
          <w:lang w:val="en-US" w:eastAsia="zh-CN"/>
        </w:rPr>
        <w:t>,如</w:t>
      </w:r>
      <w:r>
        <w:rPr>
          <w:rFonts w:hint="eastAsia" w:ascii="宋体" w:hAnsi="宋体" w:eastAsia="宋体" w:cs="宋体"/>
          <w:highlight w:val="none"/>
        </w:rPr>
        <w:t>企业类型</w:t>
      </w:r>
      <w:r>
        <w:rPr>
          <w:rFonts w:hint="eastAsia" w:ascii="宋体" w:hAnsi="宋体" w:eastAsia="宋体" w:cs="宋体"/>
          <w:highlight w:val="none"/>
          <w:lang w:val="en-US" w:eastAsia="zh-CN"/>
        </w:rPr>
        <w:t>填写正确，相应数据填写错误的，《中小企业声明函》有效，采购人或代理机构有权要求投标人做出相关澄清说明</w:t>
      </w:r>
      <w:r>
        <w:rPr>
          <w:rFonts w:hint="eastAsia" w:ascii="宋体" w:hAnsi="宋体" w:eastAsia="宋体" w:cs="宋体"/>
          <w:highlight w:val="none"/>
        </w:rPr>
        <w:t>；</w:t>
      </w:r>
      <w:r>
        <w:rPr>
          <w:rFonts w:hint="eastAsia" w:ascii="宋体" w:hAnsi="宋体" w:eastAsia="宋体" w:cs="宋体"/>
          <w:highlight w:val="none"/>
          <w:lang w:val="en-US" w:eastAsia="zh-CN"/>
        </w:rPr>
        <w:t>如企业类型填写错误，投标无效。如果投标人声明的类型获得了本不应获得的利益（价格扣除或者资格审查通过），属于提供虚假材料谋取中标、成交的，依法承担法律责任。</w:t>
      </w:r>
    </w:p>
    <w:p w14:paraId="5B9CB1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rPr>
        <w:t>④▲</w:t>
      </w:r>
      <w:r>
        <w:rPr>
          <w:rFonts w:hint="eastAsia" w:ascii="宋体" w:hAnsi="宋体" w:eastAsia="宋体" w:cs="宋体"/>
          <w:highlight w:val="none"/>
          <w:lang w:val="en-US" w:eastAsia="zh-CN"/>
        </w:rPr>
        <w:t>如《中小企业声明函》填写行业错误或者未填写行业的，投标无效，但错填为“采购文件确定的行业”等类似瑕疵的除外。</w:t>
      </w:r>
    </w:p>
    <w:p w14:paraId="29FF84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⑤</w:t>
      </w:r>
      <w:r>
        <w:rPr>
          <w:rFonts w:hint="eastAsia" w:ascii="宋体" w:hAnsi="宋体" w:eastAsia="宋体" w:cs="宋体"/>
          <w:highlight w:val="none"/>
        </w:rPr>
        <w:t>▲</w:t>
      </w:r>
      <w:r>
        <w:rPr>
          <w:rFonts w:hint="eastAsia" w:ascii="宋体" w:hAnsi="宋体" w:eastAsia="宋体" w:cs="宋体"/>
          <w:highlight w:val="none"/>
          <w:lang w:val="en-US" w:eastAsia="zh-CN"/>
        </w:rPr>
        <w:t>本年度新成立的公司，在声明函中对营业收入、资产总额、从业人员的数据可不填写，但须对企业类型以及是否与大企业的负责人为同一人，或者与大企业存在直接控股、管理关系进行声明，否则《中小企业声明函》无效。</w:t>
      </w:r>
    </w:p>
    <w:p w14:paraId="5E4F15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D50B49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4"/>
          <w:szCs w:val="24"/>
          <w:highlight w:val="none"/>
        </w:rPr>
      </w:pPr>
    </w:p>
    <w:p w14:paraId="529CD283">
      <w:pPr>
        <w:pStyle w:val="10"/>
        <w:rPr>
          <w:rFonts w:hint="eastAsia" w:ascii="宋体" w:hAnsi="宋体" w:eastAsia="宋体" w:cs="宋体"/>
          <w:b/>
          <w:bCs/>
          <w:kern w:val="0"/>
          <w:sz w:val="24"/>
          <w:szCs w:val="24"/>
          <w:highlight w:val="none"/>
        </w:rPr>
      </w:pPr>
    </w:p>
    <w:p w14:paraId="26552EE1">
      <w:pPr>
        <w:pStyle w:val="11"/>
        <w:rPr>
          <w:rFonts w:hint="eastAsia" w:ascii="宋体" w:hAnsi="宋体" w:eastAsia="宋体" w:cs="宋体"/>
          <w:b/>
          <w:bCs/>
          <w:kern w:val="0"/>
          <w:sz w:val="24"/>
          <w:szCs w:val="24"/>
          <w:highlight w:val="none"/>
        </w:rPr>
      </w:pPr>
    </w:p>
    <w:p w14:paraId="536ADC86">
      <w:pPr>
        <w:pStyle w:val="11"/>
        <w:rPr>
          <w:rFonts w:hint="eastAsia" w:ascii="宋体" w:hAnsi="宋体" w:eastAsia="宋体" w:cs="宋体"/>
          <w:b/>
          <w:bCs/>
          <w:kern w:val="0"/>
          <w:sz w:val="24"/>
          <w:szCs w:val="24"/>
          <w:highlight w:val="none"/>
        </w:rPr>
      </w:pPr>
    </w:p>
    <w:p w14:paraId="09FF0410">
      <w:pPr>
        <w:pStyle w:val="11"/>
        <w:rPr>
          <w:rFonts w:hint="eastAsia" w:ascii="宋体" w:hAnsi="宋体" w:eastAsia="宋体" w:cs="宋体"/>
          <w:b/>
          <w:bCs/>
          <w:kern w:val="0"/>
          <w:sz w:val="24"/>
          <w:szCs w:val="24"/>
          <w:highlight w:val="none"/>
        </w:rPr>
      </w:pPr>
    </w:p>
    <w:p w14:paraId="09D2CC0B">
      <w:pPr>
        <w:pStyle w:val="11"/>
        <w:rPr>
          <w:rFonts w:hint="eastAsia" w:ascii="宋体" w:hAnsi="宋体" w:eastAsia="宋体" w:cs="宋体"/>
          <w:b/>
          <w:bCs/>
          <w:kern w:val="0"/>
          <w:sz w:val="24"/>
          <w:szCs w:val="24"/>
          <w:highlight w:val="none"/>
        </w:rPr>
      </w:pPr>
    </w:p>
    <w:p w14:paraId="16E53884">
      <w:pPr>
        <w:pStyle w:val="11"/>
        <w:rPr>
          <w:rFonts w:hint="eastAsia" w:ascii="宋体" w:hAnsi="宋体" w:eastAsia="宋体" w:cs="宋体"/>
          <w:b/>
          <w:bCs/>
          <w:kern w:val="0"/>
          <w:sz w:val="24"/>
          <w:szCs w:val="24"/>
          <w:highlight w:val="none"/>
        </w:rPr>
      </w:pPr>
    </w:p>
    <w:p w14:paraId="6B0B2562">
      <w:pPr>
        <w:pStyle w:val="11"/>
        <w:rPr>
          <w:rFonts w:hint="eastAsia" w:ascii="宋体" w:hAnsi="宋体" w:eastAsia="宋体" w:cs="宋体"/>
          <w:b/>
          <w:bCs/>
          <w:kern w:val="0"/>
          <w:sz w:val="24"/>
          <w:szCs w:val="24"/>
          <w:highlight w:val="none"/>
        </w:rPr>
      </w:pPr>
    </w:p>
    <w:p w14:paraId="61B84AAB">
      <w:pPr>
        <w:pStyle w:val="11"/>
        <w:rPr>
          <w:rFonts w:hint="eastAsia" w:ascii="宋体" w:hAnsi="宋体" w:eastAsia="宋体" w:cs="宋体"/>
          <w:b/>
          <w:bCs/>
          <w:kern w:val="0"/>
          <w:sz w:val="24"/>
          <w:szCs w:val="24"/>
          <w:highlight w:val="none"/>
        </w:rPr>
      </w:pPr>
    </w:p>
    <w:p w14:paraId="01E60E56">
      <w:pPr>
        <w:pStyle w:val="11"/>
        <w:rPr>
          <w:rFonts w:hint="eastAsia" w:ascii="宋体" w:hAnsi="宋体" w:eastAsia="宋体" w:cs="宋体"/>
          <w:b/>
          <w:bCs/>
          <w:kern w:val="0"/>
          <w:sz w:val="24"/>
          <w:szCs w:val="24"/>
          <w:highlight w:val="none"/>
        </w:rPr>
      </w:pPr>
    </w:p>
    <w:p w14:paraId="7D78FEEB">
      <w:pPr>
        <w:pStyle w:val="11"/>
        <w:rPr>
          <w:rFonts w:hint="eastAsia" w:ascii="宋体" w:hAnsi="宋体" w:eastAsia="宋体" w:cs="宋体"/>
          <w:b/>
          <w:bCs/>
          <w:kern w:val="0"/>
          <w:sz w:val="24"/>
          <w:szCs w:val="24"/>
          <w:highlight w:val="none"/>
        </w:rPr>
      </w:pPr>
    </w:p>
    <w:p w14:paraId="22231038">
      <w:pPr>
        <w:pStyle w:val="11"/>
        <w:rPr>
          <w:rFonts w:hint="eastAsia" w:ascii="宋体" w:hAnsi="宋体" w:eastAsia="宋体" w:cs="宋体"/>
          <w:b/>
          <w:bCs/>
          <w:kern w:val="0"/>
          <w:sz w:val="24"/>
          <w:szCs w:val="24"/>
          <w:highlight w:val="none"/>
        </w:rPr>
      </w:pPr>
    </w:p>
    <w:p w14:paraId="29F5927C">
      <w:pPr>
        <w:pStyle w:val="11"/>
        <w:rPr>
          <w:rFonts w:hint="eastAsia" w:ascii="宋体" w:hAnsi="宋体" w:eastAsia="宋体" w:cs="宋体"/>
          <w:b/>
          <w:bCs/>
          <w:kern w:val="0"/>
          <w:sz w:val="24"/>
          <w:szCs w:val="24"/>
          <w:highlight w:val="none"/>
        </w:rPr>
      </w:pPr>
    </w:p>
    <w:p w14:paraId="2FBA6B80">
      <w:pPr>
        <w:pStyle w:val="11"/>
        <w:rPr>
          <w:rFonts w:hint="eastAsia" w:ascii="宋体" w:hAnsi="宋体" w:eastAsia="宋体" w:cs="宋体"/>
          <w:b/>
          <w:bCs/>
          <w:kern w:val="0"/>
          <w:sz w:val="24"/>
          <w:szCs w:val="24"/>
          <w:highlight w:val="none"/>
        </w:rPr>
      </w:pPr>
    </w:p>
    <w:p w14:paraId="2316681C">
      <w:pPr>
        <w:pStyle w:val="11"/>
        <w:rPr>
          <w:rFonts w:hint="eastAsia" w:ascii="宋体" w:hAnsi="宋体" w:eastAsia="宋体" w:cs="宋体"/>
          <w:b/>
          <w:bCs/>
          <w:kern w:val="0"/>
          <w:sz w:val="24"/>
          <w:szCs w:val="24"/>
          <w:highlight w:val="none"/>
        </w:rPr>
      </w:pPr>
    </w:p>
    <w:p w14:paraId="0FFAE09F">
      <w:pPr>
        <w:pStyle w:val="11"/>
        <w:rPr>
          <w:rFonts w:hint="eastAsia" w:ascii="宋体" w:hAnsi="宋体" w:eastAsia="宋体" w:cs="宋体"/>
          <w:b/>
          <w:bCs/>
          <w:kern w:val="0"/>
          <w:sz w:val="24"/>
          <w:szCs w:val="24"/>
          <w:highlight w:val="none"/>
        </w:rPr>
      </w:pPr>
    </w:p>
    <w:p w14:paraId="1EB17596">
      <w:pPr>
        <w:pStyle w:val="11"/>
        <w:rPr>
          <w:rFonts w:hint="eastAsia" w:ascii="宋体" w:hAnsi="宋体" w:eastAsia="宋体" w:cs="宋体"/>
          <w:b/>
          <w:bCs/>
          <w:kern w:val="0"/>
          <w:sz w:val="24"/>
          <w:szCs w:val="24"/>
          <w:highlight w:val="none"/>
        </w:rPr>
      </w:pPr>
    </w:p>
    <w:p w14:paraId="4E254C46">
      <w:pPr>
        <w:pStyle w:val="11"/>
        <w:rPr>
          <w:rFonts w:hint="eastAsia" w:ascii="宋体" w:hAnsi="宋体" w:eastAsia="宋体" w:cs="宋体"/>
          <w:b/>
          <w:bCs/>
          <w:kern w:val="0"/>
          <w:sz w:val="24"/>
          <w:szCs w:val="24"/>
          <w:highlight w:val="none"/>
        </w:rPr>
      </w:pPr>
    </w:p>
    <w:p w14:paraId="560DE32B">
      <w:pPr>
        <w:pStyle w:val="11"/>
        <w:rPr>
          <w:rFonts w:hint="eastAsia" w:ascii="宋体" w:hAnsi="宋体" w:eastAsia="宋体" w:cs="宋体"/>
          <w:b/>
          <w:bCs/>
          <w:kern w:val="0"/>
          <w:sz w:val="24"/>
          <w:szCs w:val="24"/>
          <w:highlight w:val="none"/>
        </w:rPr>
      </w:pPr>
    </w:p>
    <w:p w14:paraId="2F6B5EC5">
      <w:pPr>
        <w:pStyle w:val="11"/>
        <w:rPr>
          <w:rFonts w:hint="eastAsia" w:ascii="宋体" w:hAnsi="宋体" w:eastAsia="宋体" w:cs="宋体"/>
          <w:b/>
          <w:bCs/>
          <w:kern w:val="0"/>
          <w:sz w:val="24"/>
          <w:szCs w:val="24"/>
          <w:highlight w:val="none"/>
        </w:rPr>
      </w:pPr>
    </w:p>
    <w:p w14:paraId="1F7A6FAC">
      <w:pPr>
        <w:pStyle w:val="11"/>
        <w:rPr>
          <w:rFonts w:hint="eastAsia" w:ascii="宋体" w:hAnsi="宋体" w:eastAsia="宋体" w:cs="宋体"/>
          <w:b/>
          <w:bCs/>
          <w:kern w:val="0"/>
          <w:sz w:val="24"/>
          <w:szCs w:val="24"/>
          <w:highlight w:val="none"/>
        </w:rPr>
      </w:pPr>
    </w:p>
    <w:p w14:paraId="303A5335">
      <w:pPr>
        <w:pStyle w:val="11"/>
        <w:rPr>
          <w:rFonts w:hint="eastAsia" w:ascii="宋体" w:hAnsi="宋体" w:eastAsia="宋体" w:cs="宋体"/>
          <w:b/>
          <w:bCs/>
          <w:kern w:val="0"/>
          <w:sz w:val="24"/>
          <w:szCs w:val="24"/>
          <w:highlight w:val="none"/>
        </w:rPr>
      </w:pPr>
    </w:p>
    <w:p w14:paraId="3A4E33C7">
      <w:pPr>
        <w:pStyle w:val="11"/>
        <w:rPr>
          <w:rFonts w:hint="eastAsia" w:ascii="宋体" w:hAnsi="宋体" w:eastAsia="宋体" w:cs="宋体"/>
          <w:b/>
          <w:bCs/>
          <w:kern w:val="0"/>
          <w:sz w:val="24"/>
          <w:szCs w:val="24"/>
          <w:highlight w:val="none"/>
        </w:rPr>
      </w:pPr>
    </w:p>
    <w:p w14:paraId="016D9DF4">
      <w:pPr>
        <w:pStyle w:val="11"/>
        <w:rPr>
          <w:rFonts w:hint="eastAsia" w:ascii="宋体" w:hAnsi="宋体" w:eastAsia="宋体" w:cs="宋体"/>
          <w:b/>
          <w:bCs/>
          <w:kern w:val="0"/>
          <w:sz w:val="24"/>
          <w:szCs w:val="24"/>
          <w:highlight w:val="none"/>
        </w:rPr>
      </w:pPr>
    </w:p>
    <w:p w14:paraId="39459802">
      <w:pPr>
        <w:pStyle w:val="12"/>
        <w:rPr>
          <w:rFonts w:hint="eastAsia" w:ascii="宋体" w:hAnsi="宋体" w:eastAsia="宋体" w:cs="宋体"/>
          <w:b/>
          <w:bCs/>
          <w:kern w:val="0"/>
          <w:sz w:val="24"/>
          <w:szCs w:val="24"/>
          <w:highlight w:val="none"/>
        </w:rPr>
      </w:pPr>
    </w:p>
    <w:p w14:paraId="40BB95D8">
      <w:pPr>
        <w:rPr>
          <w:rFonts w:hint="eastAsia" w:ascii="宋体" w:hAnsi="宋体" w:eastAsia="宋体" w:cs="宋体"/>
          <w:b/>
          <w:bCs/>
          <w:kern w:val="0"/>
          <w:sz w:val="24"/>
          <w:szCs w:val="24"/>
          <w:highlight w:val="none"/>
        </w:rPr>
      </w:pPr>
    </w:p>
    <w:p w14:paraId="13644C38">
      <w:pPr>
        <w:rPr>
          <w:rFonts w:hint="eastAsia" w:ascii="宋体" w:hAnsi="宋体" w:eastAsia="宋体" w:cs="宋体"/>
          <w:b/>
          <w:bCs/>
          <w:kern w:val="0"/>
          <w:sz w:val="24"/>
          <w:szCs w:val="24"/>
          <w:highlight w:val="none"/>
        </w:rPr>
      </w:pPr>
    </w:p>
    <w:p w14:paraId="3C6128A6">
      <w:pPr>
        <w:rPr>
          <w:rFonts w:hint="eastAsia" w:ascii="宋体" w:hAnsi="宋体" w:eastAsia="宋体" w:cs="宋体"/>
          <w:b/>
          <w:bCs/>
          <w:kern w:val="0"/>
          <w:sz w:val="24"/>
          <w:szCs w:val="24"/>
          <w:highlight w:val="none"/>
        </w:rPr>
      </w:pPr>
    </w:p>
    <w:p w14:paraId="1691E14A">
      <w:pPr>
        <w:rPr>
          <w:rFonts w:hint="eastAsia" w:ascii="宋体" w:hAnsi="宋体" w:eastAsia="宋体" w:cs="宋体"/>
          <w:b/>
          <w:bCs/>
          <w:kern w:val="0"/>
          <w:sz w:val="24"/>
          <w:szCs w:val="24"/>
          <w:highlight w:val="none"/>
        </w:rPr>
      </w:pPr>
    </w:p>
    <w:p w14:paraId="2B6250D7">
      <w:pPr>
        <w:rPr>
          <w:rFonts w:hint="eastAsia" w:ascii="宋体" w:hAnsi="宋体" w:eastAsia="宋体" w:cs="宋体"/>
          <w:b/>
          <w:bCs/>
          <w:kern w:val="0"/>
          <w:sz w:val="24"/>
          <w:szCs w:val="24"/>
          <w:highlight w:val="none"/>
        </w:rPr>
      </w:pPr>
    </w:p>
    <w:p w14:paraId="7AB545F7">
      <w:pPr>
        <w:rPr>
          <w:rFonts w:hint="eastAsia" w:ascii="宋体" w:hAnsi="宋体" w:eastAsia="宋体" w:cs="宋体"/>
          <w:b/>
          <w:bCs/>
          <w:kern w:val="0"/>
          <w:sz w:val="24"/>
          <w:szCs w:val="24"/>
          <w:highlight w:val="none"/>
        </w:rPr>
      </w:pPr>
    </w:p>
    <w:p w14:paraId="1CC5C6D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（二）监狱企业声明函【不属于监狱企业，不用提供此函】</w:t>
      </w:r>
    </w:p>
    <w:p w14:paraId="4CF47579">
      <w:pPr>
        <w:pStyle w:val="20"/>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kern w:val="0"/>
          <w:sz w:val="24"/>
          <w:szCs w:val="24"/>
          <w:highlight w:val="none"/>
          <w:u w:val="single"/>
        </w:rPr>
      </w:pPr>
      <w:r>
        <w:rPr>
          <w:rFonts w:hint="eastAsia" w:ascii="宋体" w:hAnsi="宋体" w:eastAsia="宋体" w:cs="宋体"/>
          <w:b/>
          <w:bCs/>
          <w:kern w:val="0"/>
          <w:sz w:val="24"/>
          <w:szCs w:val="24"/>
          <w:highlight w:val="none"/>
        </w:rPr>
        <w:t>监狱企业声明函</w:t>
      </w:r>
    </w:p>
    <w:p w14:paraId="37907C2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lang w:val="en-US" w:eastAsia="zh-CN"/>
        </w:rPr>
        <w:t>衢州市衢江区人民政府办公室</w:t>
      </w:r>
    </w:p>
    <w:p w14:paraId="7FFD5EB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kern w:val="0"/>
          <w:sz w:val="24"/>
          <w:szCs w:val="24"/>
          <w:highlight w:val="none"/>
          <w:u w:val="single"/>
          <w:lang w:val="en-US" w:eastAsia="zh-CN"/>
        </w:rPr>
      </w:pPr>
      <w:r>
        <w:rPr>
          <w:rFonts w:hint="eastAsia" w:ascii="宋体" w:hAnsi="宋体" w:cs="宋体"/>
          <w:kern w:val="0"/>
          <w:sz w:val="24"/>
          <w:szCs w:val="24"/>
          <w:highlight w:val="none"/>
          <w:u w:val="single"/>
          <w:lang w:val="en-US" w:eastAsia="zh-CN"/>
        </w:rPr>
        <w:t>浙江天平投资咨询有限公司：</w:t>
      </w:r>
    </w:p>
    <w:p w14:paraId="15CCF53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本单位（联合体）郑重声明：</w:t>
      </w:r>
    </w:p>
    <w:p w14:paraId="3C7E546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根据《财政部 司法部关于政府采购支持监狱企业发展有关问题的通知》（财库〔2014〕68 号）的规定，本单位为符合条件的监狱企业，全部产权属于司法部监狱管理局、戒毒管理局、直属煤矿管理局，各省、自治区、直辖市监狱管理局、戒毒管理局，新疆生产建设兵团监狱管理局、戒毒管理局，且为罪犯、戒毒人员提供生产项目和劳动对象。</w:t>
      </w:r>
    </w:p>
    <w:p w14:paraId="1817F3E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本单位参加</w:t>
      </w:r>
      <w:r>
        <w:rPr>
          <w:rFonts w:hint="eastAsia" w:ascii="宋体" w:hAnsi="宋体" w:eastAsia="宋体" w:cs="宋体"/>
          <w:kern w:val="0"/>
          <w:sz w:val="24"/>
          <w:szCs w:val="24"/>
          <w:highlight w:val="none"/>
          <w:u w:val="single"/>
          <w:lang w:val="en-US" w:eastAsia="zh-CN"/>
        </w:rPr>
        <w:t>衢州市衢江区人民政府办公室</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lang w:val="en-US" w:eastAsia="zh-CN"/>
        </w:rPr>
        <w:t>2026年衢江区卫生健康局机房改造建设项目</w:t>
      </w: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lang w:eastAsia="zh-CN"/>
        </w:rPr>
        <w:t>ZJTP-QZF-2026018</w:t>
      </w:r>
      <w:r>
        <w:rPr>
          <w:rFonts w:hint="eastAsia" w:ascii="宋体" w:hAnsi="宋体" w:eastAsia="宋体" w:cs="宋体"/>
          <w:kern w:val="0"/>
          <w:sz w:val="24"/>
          <w:szCs w:val="24"/>
          <w:highlight w:val="none"/>
        </w:rPr>
        <w:t>）采购活动，提供的货物为：</w:t>
      </w:r>
    </w:p>
    <w:p w14:paraId="04515C1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本单位制造的货物（具体清单见附件）</w:t>
      </w:r>
    </w:p>
    <w:p w14:paraId="4C2D883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□由其他监狱企业制造的货物（具体清单及生产企业名称见附件）</w:t>
      </w:r>
    </w:p>
    <w:p w14:paraId="36D8B8B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本单位视同小型、微型企业，符合政府采购促进中小企业发展相关政策要求，可享受小微企业价格扣除等优惠政策。</w:t>
      </w:r>
    </w:p>
    <w:p w14:paraId="3B4C09B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本单位后附由省级以上监狱管理局、戒毒管理局（含新疆生产建设兵团）出具的属于监狱企业的证明文件。</w:t>
      </w:r>
    </w:p>
    <w:p w14:paraId="4A83DC5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本单位对上述声明的真实性、合法性负责。如有虚假，将依法承担相应责任。</w:t>
      </w:r>
    </w:p>
    <w:p w14:paraId="74D7CF0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r>
        <w:rPr>
          <w:rFonts w:hint="eastAsia" w:ascii="宋体" w:hAnsi="宋体" w:eastAsia="宋体" w:cs="宋体"/>
          <w:color w:val="auto"/>
          <w:kern w:val="0"/>
          <w:sz w:val="24"/>
          <w:szCs w:val="24"/>
          <w:highlight w:val="none"/>
        </w:rPr>
        <w:t>盖章或电子签章</w:t>
      </w:r>
      <w:r>
        <w:rPr>
          <w:rFonts w:hint="eastAsia" w:ascii="宋体" w:hAnsi="宋体" w:eastAsia="宋体" w:cs="宋体"/>
          <w:kern w:val="0"/>
          <w:sz w:val="24"/>
          <w:szCs w:val="24"/>
          <w:highlight w:val="none"/>
        </w:rPr>
        <w:t>）：________________________</w:t>
      </w:r>
    </w:p>
    <w:p w14:paraId="6D337A5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法定代表人/授权代表（</w:t>
      </w:r>
      <w:r>
        <w:rPr>
          <w:rFonts w:hint="eastAsia" w:ascii="宋体" w:hAnsi="宋体" w:eastAsia="宋体" w:cs="宋体"/>
          <w:color w:val="auto"/>
          <w:sz w:val="24"/>
          <w:szCs w:val="24"/>
          <w:highlight w:val="none"/>
        </w:rPr>
        <w:t>签字或盖章或电子签章</w:t>
      </w:r>
      <w:r>
        <w:rPr>
          <w:rFonts w:hint="eastAsia" w:ascii="宋体" w:hAnsi="宋体" w:eastAsia="宋体" w:cs="宋体"/>
          <w:kern w:val="0"/>
          <w:sz w:val="24"/>
          <w:szCs w:val="24"/>
          <w:highlight w:val="none"/>
        </w:rPr>
        <w:t>）：________________</w:t>
      </w:r>
    </w:p>
    <w:p w14:paraId="5A3FCDE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统一社会信用代码：________________________</w:t>
      </w:r>
    </w:p>
    <w:p w14:paraId="629288E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联系地址：________________________</w:t>
      </w:r>
    </w:p>
    <w:p w14:paraId="441EB2F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联系电话：________________________</w:t>
      </w:r>
    </w:p>
    <w:p w14:paraId="44BE442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日期：______年____月____日</w:t>
      </w:r>
    </w:p>
    <w:p w14:paraId="626E844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rPr>
      </w:pPr>
    </w:p>
    <w:p w14:paraId="07C46C3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bidi="ar"/>
        </w:rPr>
        <w:t>注：</w:t>
      </w:r>
      <w:r>
        <w:rPr>
          <w:rFonts w:hint="eastAsia" w:ascii="宋体" w:hAnsi="宋体" w:cs="宋体"/>
          <w:b/>
          <w:bCs/>
          <w:kern w:val="0"/>
          <w:sz w:val="24"/>
          <w:szCs w:val="24"/>
          <w:highlight w:val="none"/>
          <w:lang w:val="en-US" w:eastAsia="zh-CN" w:bidi="ar"/>
        </w:rPr>
        <w:t>★</w:t>
      </w:r>
      <w:r>
        <w:rPr>
          <w:rFonts w:hint="eastAsia" w:ascii="宋体" w:hAnsi="宋体" w:eastAsia="宋体" w:cs="宋体"/>
          <w:b/>
          <w:bCs/>
          <w:kern w:val="0"/>
          <w:sz w:val="24"/>
          <w:szCs w:val="24"/>
          <w:highlight w:val="none"/>
          <w:u w:val="single"/>
          <w:lang w:bidi="ar"/>
        </w:rPr>
        <w:t>本声明函为监狱企业填写</w:t>
      </w:r>
      <w:r>
        <w:rPr>
          <w:rFonts w:hint="eastAsia" w:ascii="宋体" w:hAnsi="宋体" w:cs="宋体"/>
          <w:b/>
          <w:bCs/>
          <w:kern w:val="0"/>
          <w:sz w:val="24"/>
          <w:szCs w:val="24"/>
          <w:highlight w:val="none"/>
          <w:u w:val="single"/>
          <w:lang w:eastAsia="zh-CN" w:bidi="ar"/>
        </w:rPr>
        <w:t>，本单位制造的货物清单</w:t>
      </w:r>
      <w:r>
        <w:rPr>
          <w:rFonts w:hint="eastAsia" w:ascii="宋体" w:hAnsi="宋体" w:cs="宋体"/>
          <w:b/>
          <w:bCs/>
          <w:kern w:val="0"/>
          <w:sz w:val="24"/>
          <w:szCs w:val="24"/>
          <w:highlight w:val="none"/>
          <w:u w:val="single"/>
          <w:lang w:val="en-US" w:eastAsia="zh-CN" w:bidi="ar"/>
        </w:rPr>
        <w:t>或其他监狱企业制造的货物清单（含生产企业名称）以及省级以上监狱管理局、戒毒管理局（含新疆生产建设兵团）出具的属于监狱企业的证明文件须附后。</w:t>
      </w:r>
    </w:p>
    <w:p w14:paraId="39E2B059">
      <w:pPr>
        <w:pStyle w:val="33"/>
        <w:keepNext w:val="0"/>
        <w:keepLines w:val="0"/>
        <w:kinsoku/>
        <w:wordWrap/>
        <w:overflowPunct/>
        <w:topLinePunct w:val="0"/>
        <w:autoSpaceDE/>
        <w:autoSpaceDN/>
        <w:bidi w:val="0"/>
        <w:adjustRightInd/>
        <w:spacing w:line="500" w:lineRule="exact"/>
        <w:ind w:firstLine="482"/>
        <w:textAlignment w:val="auto"/>
        <w:rPr>
          <w:rFonts w:hint="eastAsia" w:ascii="宋体" w:hAnsi="宋体" w:eastAsia="宋体" w:cs="宋体"/>
          <w:b/>
          <w:bCs/>
          <w:kern w:val="0"/>
          <w:sz w:val="24"/>
          <w:szCs w:val="24"/>
          <w:highlight w:val="none"/>
          <w:lang w:bidi="ar"/>
        </w:rPr>
      </w:pPr>
    </w:p>
    <w:p w14:paraId="651EEC2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（三）残疾人福利性单位声明函【不属于残疾人福利性单位，不用提供此函】</w:t>
      </w:r>
    </w:p>
    <w:p w14:paraId="5955A246">
      <w:pPr>
        <w:pStyle w:val="20"/>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bCs/>
          <w:kern w:val="0"/>
          <w:sz w:val="24"/>
          <w:szCs w:val="24"/>
          <w:highlight w:val="none"/>
        </w:rPr>
      </w:pPr>
    </w:p>
    <w:p w14:paraId="1C4437BA">
      <w:pPr>
        <w:pStyle w:val="20"/>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kern w:val="0"/>
          <w:sz w:val="24"/>
          <w:szCs w:val="24"/>
          <w:highlight w:val="none"/>
          <w:u w:val="single"/>
          <w:lang w:bidi="ar"/>
        </w:rPr>
      </w:pPr>
      <w:r>
        <w:rPr>
          <w:rFonts w:hint="eastAsia" w:ascii="宋体" w:hAnsi="宋体" w:eastAsia="宋体" w:cs="宋体"/>
          <w:b/>
          <w:bCs/>
          <w:kern w:val="0"/>
          <w:sz w:val="24"/>
          <w:szCs w:val="24"/>
          <w:highlight w:val="none"/>
        </w:rPr>
        <w:t>残疾人福利性单位声明函</w:t>
      </w:r>
    </w:p>
    <w:p w14:paraId="7D5B6EF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bidi="ar"/>
        </w:rPr>
        <w:t>致：</w:t>
      </w:r>
      <w:r>
        <w:rPr>
          <w:rFonts w:hint="eastAsia" w:ascii="宋体" w:hAnsi="宋体" w:eastAsia="宋体" w:cs="宋体"/>
          <w:kern w:val="0"/>
          <w:sz w:val="24"/>
          <w:szCs w:val="24"/>
          <w:highlight w:val="none"/>
          <w:u w:val="single"/>
          <w:lang w:val="en-US" w:eastAsia="zh-CN"/>
        </w:rPr>
        <w:t>衢州市衢江区人民政府办公室</w:t>
      </w:r>
    </w:p>
    <w:p w14:paraId="2595692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kern w:val="0"/>
          <w:sz w:val="24"/>
          <w:szCs w:val="24"/>
          <w:highlight w:val="none"/>
          <w:u w:val="single"/>
          <w:lang w:val="en-US" w:eastAsia="zh-CN"/>
        </w:rPr>
      </w:pPr>
      <w:r>
        <w:rPr>
          <w:rFonts w:hint="eastAsia" w:ascii="宋体" w:hAnsi="宋体" w:cs="宋体"/>
          <w:kern w:val="0"/>
          <w:sz w:val="24"/>
          <w:szCs w:val="24"/>
          <w:highlight w:val="none"/>
          <w:u w:val="single"/>
          <w:lang w:val="en-US" w:eastAsia="zh-CN"/>
        </w:rPr>
        <w:t>浙江天平投资咨询有限公司：</w:t>
      </w:r>
    </w:p>
    <w:p w14:paraId="5B034C8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本单位（联合体）郑重声明：</w:t>
      </w:r>
    </w:p>
    <w:p w14:paraId="0B1DF15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根据《财政部 民政部 中国残疾人联合会关于促进残疾人就业政府采购政策的通知》（财库〔2017〕141 号）的规定，本单位为符合条件的残疾人福利性单位，具体条件如下：</w:t>
      </w:r>
    </w:p>
    <w:p w14:paraId="1F98E7B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安置的残疾人占本单位在职职工人数的比例不低于</w:t>
      </w:r>
      <w:r>
        <w:rPr>
          <w:rFonts w:hint="eastAsia" w:ascii="宋体" w:hAnsi="宋体" w:eastAsia="宋体" w:cs="宋体"/>
          <w:kern w:val="0"/>
          <w:sz w:val="24"/>
          <w:szCs w:val="24"/>
          <w:highlight w:val="none"/>
          <w:u w:val="single"/>
          <w:lang w:bidi="ar"/>
        </w:rPr>
        <w:t>25%</w:t>
      </w:r>
      <w:r>
        <w:rPr>
          <w:rFonts w:hint="eastAsia" w:ascii="宋体" w:hAnsi="宋体" w:eastAsia="宋体" w:cs="宋体"/>
          <w:kern w:val="0"/>
          <w:sz w:val="24"/>
          <w:szCs w:val="24"/>
          <w:highlight w:val="none"/>
          <w:lang w:bidi="ar"/>
        </w:rPr>
        <w:t>（含25%），且安置的残疾人人数不少于</w:t>
      </w:r>
      <w:r>
        <w:rPr>
          <w:rFonts w:hint="eastAsia" w:ascii="宋体" w:hAnsi="宋体" w:eastAsia="宋体" w:cs="宋体"/>
          <w:kern w:val="0"/>
          <w:sz w:val="24"/>
          <w:szCs w:val="24"/>
          <w:highlight w:val="none"/>
          <w:u w:val="single"/>
          <w:lang w:bidi="ar"/>
        </w:rPr>
        <w:t xml:space="preserve"> 10 </w:t>
      </w:r>
      <w:r>
        <w:rPr>
          <w:rFonts w:hint="eastAsia" w:ascii="宋体" w:hAnsi="宋体" w:eastAsia="宋体" w:cs="宋体"/>
          <w:kern w:val="0"/>
          <w:sz w:val="24"/>
          <w:szCs w:val="24"/>
          <w:highlight w:val="none"/>
          <w:lang w:bidi="ar"/>
        </w:rPr>
        <w:t>人（含</w:t>
      </w:r>
      <w:r>
        <w:rPr>
          <w:rFonts w:hint="eastAsia" w:ascii="宋体" w:hAnsi="宋体" w:eastAsia="宋体" w:cs="宋体"/>
          <w:kern w:val="0"/>
          <w:sz w:val="24"/>
          <w:szCs w:val="24"/>
          <w:highlight w:val="none"/>
          <w:u w:val="single"/>
          <w:lang w:bidi="ar"/>
        </w:rPr>
        <w:t>10</w:t>
      </w:r>
      <w:r>
        <w:rPr>
          <w:rFonts w:hint="eastAsia" w:ascii="宋体" w:hAnsi="宋体" w:eastAsia="宋体" w:cs="宋体"/>
          <w:kern w:val="0"/>
          <w:sz w:val="24"/>
          <w:szCs w:val="24"/>
          <w:highlight w:val="none"/>
          <w:lang w:bidi="ar"/>
        </w:rPr>
        <w:t>人）</w:t>
      </w:r>
    </w:p>
    <w:p w14:paraId="49A53F9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bidi="ar"/>
        </w:rPr>
        <w:t>依法与安置的每位残疾人签订了一年以上（含一年）的劳动合同或服务协议</w:t>
      </w:r>
    </w:p>
    <w:p w14:paraId="2687AF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为安置的每位残疾人按月足额缴纳了基本养老保险、基本医疗保险、失业保险、工伤保险和生育保险等社会保险</w:t>
      </w:r>
    </w:p>
    <w:p w14:paraId="1E7A3D9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bidi="ar"/>
        </w:rPr>
        <w:t>通过银行等金融机构向安置的每位残疾人实际支付了不低于单位所在区县适用的经省级人民政府批准的最低工资标准的工资</w:t>
      </w:r>
    </w:p>
    <w:p w14:paraId="1D18753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本单位参加</w:t>
      </w:r>
      <w:r>
        <w:rPr>
          <w:rFonts w:hint="eastAsia" w:ascii="宋体" w:hAnsi="宋体" w:eastAsia="宋体" w:cs="宋体"/>
          <w:kern w:val="0"/>
          <w:sz w:val="24"/>
          <w:szCs w:val="24"/>
          <w:highlight w:val="none"/>
          <w:u w:val="single"/>
          <w:lang w:val="en-US" w:eastAsia="zh-CN"/>
        </w:rPr>
        <w:t>衢州市衢江区人民政府办公室</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lang w:val="en-US" w:eastAsia="zh-CN"/>
        </w:rPr>
        <w:t>2026年衢江区卫生健康局机房改造建设项目</w:t>
      </w: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lang w:eastAsia="zh-CN"/>
        </w:rPr>
        <w:t>ZJTP-QZF-2026018</w:t>
      </w:r>
      <w:r>
        <w:rPr>
          <w:rFonts w:hint="eastAsia" w:ascii="宋体" w:hAnsi="宋体" w:eastAsia="宋体" w:cs="宋体"/>
          <w:kern w:val="0"/>
          <w:sz w:val="24"/>
          <w:szCs w:val="24"/>
          <w:highlight w:val="none"/>
        </w:rPr>
        <w:t>）采购活动</w:t>
      </w:r>
      <w:r>
        <w:rPr>
          <w:rFonts w:hint="eastAsia" w:ascii="宋体" w:hAnsi="宋体" w:eastAsia="宋体" w:cs="宋体"/>
          <w:kern w:val="0"/>
          <w:sz w:val="24"/>
          <w:szCs w:val="24"/>
          <w:highlight w:val="none"/>
          <w:lang w:val="en-US" w:eastAsia="zh-CN" w:bidi="ar"/>
        </w:rPr>
        <w:t>，提供的货物为：</w:t>
      </w:r>
    </w:p>
    <w:p w14:paraId="0CAFD8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本单位制造的货物（具体清单见附件）</w:t>
      </w:r>
    </w:p>
    <w:p w14:paraId="31DBC8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由其他残疾人福利性单位制造的货物（具体清单及生产企业名称见附件，不包括使用非残疾人福利性单位注册商标的货物）</w:t>
      </w:r>
    </w:p>
    <w:p w14:paraId="33FEE3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本单位视同小型、微型企业，符合政府采购促进中小企业发展相关政策要求，可享受小微企业价格扣除等优惠政策。</w:t>
      </w:r>
    </w:p>
    <w:p w14:paraId="05D9125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本单位对上述声明的真实性、合法性负责。</w:t>
      </w:r>
      <w:r>
        <w:rPr>
          <w:rFonts w:hint="eastAsia" w:ascii="宋体" w:hAnsi="宋体" w:eastAsia="宋体" w:cs="宋体"/>
          <w:kern w:val="0"/>
          <w:sz w:val="24"/>
          <w:szCs w:val="24"/>
          <w:highlight w:val="none"/>
        </w:rPr>
        <w:t>如有虚假，将依法承担相应责任</w:t>
      </w:r>
      <w:r>
        <w:rPr>
          <w:rFonts w:hint="eastAsia" w:ascii="宋体" w:hAnsi="宋体" w:eastAsia="宋体" w:cs="宋体"/>
          <w:kern w:val="0"/>
          <w:sz w:val="24"/>
          <w:szCs w:val="24"/>
          <w:highlight w:val="none"/>
          <w:lang w:val="en-US" w:eastAsia="zh-CN" w:bidi="ar"/>
        </w:rPr>
        <w:t>。</w:t>
      </w:r>
    </w:p>
    <w:p w14:paraId="25C1F85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4"/>
          <w:szCs w:val="24"/>
          <w:highlight w:val="none"/>
          <w:lang w:bidi="ar"/>
        </w:rPr>
      </w:pPr>
    </w:p>
    <w:p w14:paraId="012475D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单位名称（</w:t>
      </w:r>
      <w:r>
        <w:rPr>
          <w:rFonts w:hint="eastAsia" w:ascii="宋体" w:hAnsi="宋体" w:eastAsia="宋体" w:cs="宋体"/>
          <w:color w:val="auto"/>
          <w:kern w:val="0"/>
          <w:sz w:val="24"/>
          <w:szCs w:val="24"/>
          <w:highlight w:val="none"/>
        </w:rPr>
        <w:t>盖章或电子签章</w:t>
      </w:r>
      <w:r>
        <w:rPr>
          <w:rFonts w:hint="eastAsia" w:ascii="宋体" w:hAnsi="宋体" w:eastAsia="宋体" w:cs="宋体"/>
          <w:kern w:val="0"/>
          <w:sz w:val="24"/>
          <w:szCs w:val="24"/>
          <w:highlight w:val="none"/>
          <w:lang w:val="en-US" w:eastAsia="zh-CN" w:bidi="ar"/>
        </w:rPr>
        <w:t>）：________________________</w:t>
      </w:r>
    </w:p>
    <w:p w14:paraId="70DD8E3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法定代表人/授权代表（</w:t>
      </w:r>
      <w:r>
        <w:rPr>
          <w:rFonts w:hint="eastAsia" w:ascii="宋体" w:hAnsi="宋体" w:eastAsia="宋体" w:cs="宋体"/>
          <w:color w:val="auto"/>
          <w:sz w:val="24"/>
          <w:szCs w:val="24"/>
          <w:highlight w:val="none"/>
        </w:rPr>
        <w:t>签字或盖章或电子签章</w:t>
      </w:r>
      <w:r>
        <w:rPr>
          <w:rFonts w:hint="eastAsia" w:ascii="宋体" w:hAnsi="宋体" w:eastAsia="宋体" w:cs="宋体"/>
          <w:kern w:val="0"/>
          <w:sz w:val="24"/>
          <w:szCs w:val="24"/>
          <w:highlight w:val="none"/>
          <w:lang w:val="en-US" w:eastAsia="zh-CN" w:bidi="ar"/>
        </w:rPr>
        <w:t>）：________________</w:t>
      </w:r>
    </w:p>
    <w:p w14:paraId="25A1F56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统一社会信用代码：________________________</w:t>
      </w:r>
    </w:p>
    <w:p w14:paraId="0432E4C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残疾人安置人数/在职职工总人数：</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人/</w:t>
      </w:r>
      <w:r>
        <w:rPr>
          <w:rFonts w:hint="eastAsia" w:ascii="宋体" w:hAnsi="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人（比例：</w:t>
      </w:r>
      <w:r>
        <w:rPr>
          <w:rFonts w:hint="eastAsia" w:ascii="宋体" w:hAnsi="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w:t>
      </w:r>
    </w:p>
    <w:p w14:paraId="68F24F8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联系地址：__________________</w:t>
      </w:r>
    </w:p>
    <w:p w14:paraId="454B098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联系电话：________________________</w:t>
      </w:r>
    </w:p>
    <w:p w14:paraId="1A76526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日期：______年____月____日</w:t>
      </w:r>
    </w:p>
    <w:p w14:paraId="0582C6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p>
    <w:p w14:paraId="48E0D99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p>
    <w:p w14:paraId="65E82D7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p>
    <w:p w14:paraId="76BF7F4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p>
    <w:p w14:paraId="3992844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p>
    <w:p w14:paraId="3DF795F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p>
    <w:p w14:paraId="67108B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highlight w:val="none"/>
          <w:lang w:bidi="ar"/>
        </w:rPr>
      </w:pPr>
    </w:p>
    <w:p w14:paraId="10EAD1F4">
      <w:pPr>
        <w:pStyle w:val="20"/>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4"/>
          <w:szCs w:val="24"/>
          <w:highlight w:val="none"/>
        </w:rPr>
      </w:pPr>
    </w:p>
    <w:p w14:paraId="1AAB4068">
      <w:pPr>
        <w:pStyle w:val="20"/>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4"/>
          <w:szCs w:val="24"/>
          <w:highlight w:val="none"/>
        </w:rPr>
      </w:pPr>
    </w:p>
    <w:p w14:paraId="29C69BEF">
      <w:pPr>
        <w:pStyle w:val="20"/>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sz w:val="24"/>
          <w:szCs w:val="24"/>
          <w:highlight w:val="none"/>
        </w:rPr>
      </w:pPr>
    </w:p>
    <w:p w14:paraId="20EC291D">
      <w:pPr>
        <w:keepNext w:val="0"/>
        <w:keepLines w:val="0"/>
        <w:kinsoku/>
        <w:wordWrap/>
        <w:overflowPunct/>
        <w:topLinePunct w:val="0"/>
        <w:autoSpaceDE/>
        <w:autoSpaceDN/>
        <w:bidi w:val="0"/>
        <w:adjustRightIn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注：</w:t>
      </w:r>
      <w:r>
        <w:rPr>
          <w:rFonts w:hint="eastAsia" w:ascii="宋体" w:hAnsi="宋体" w:cs="宋体"/>
          <w:b/>
          <w:bCs/>
          <w:kern w:val="0"/>
          <w:sz w:val="24"/>
          <w:szCs w:val="24"/>
          <w:highlight w:val="none"/>
          <w:lang w:val="en-US" w:eastAsia="zh-CN" w:bidi="ar"/>
        </w:rPr>
        <w:t>★</w:t>
      </w:r>
      <w:r>
        <w:rPr>
          <w:rFonts w:hint="eastAsia" w:ascii="宋体" w:hAnsi="宋体" w:eastAsia="宋体" w:cs="宋体"/>
          <w:b/>
          <w:bCs/>
          <w:kern w:val="0"/>
          <w:sz w:val="24"/>
          <w:szCs w:val="24"/>
          <w:highlight w:val="none"/>
          <w:u w:val="single"/>
          <w:lang w:bidi="ar"/>
        </w:rPr>
        <w:t>本声明函为监狱企业填写</w:t>
      </w:r>
      <w:r>
        <w:rPr>
          <w:rFonts w:hint="eastAsia" w:ascii="宋体" w:hAnsi="宋体" w:cs="宋体"/>
          <w:b/>
          <w:bCs/>
          <w:kern w:val="0"/>
          <w:sz w:val="24"/>
          <w:szCs w:val="24"/>
          <w:highlight w:val="none"/>
          <w:u w:val="single"/>
          <w:lang w:eastAsia="zh-CN" w:bidi="ar"/>
        </w:rPr>
        <w:t>，本单位制造的货物清单</w:t>
      </w:r>
      <w:r>
        <w:rPr>
          <w:rFonts w:hint="eastAsia" w:ascii="宋体" w:hAnsi="宋体" w:cs="宋体"/>
          <w:b/>
          <w:bCs/>
          <w:kern w:val="0"/>
          <w:sz w:val="24"/>
          <w:szCs w:val="24"/>
          <w:highlight w:val="none"/>
          <w:u w:val="single"/>
          <w:lang w:val="en-US" w:eastAsia="zh-CN" w:bidi="ar"/>
        </w:rPr>
        <w:t>或其他残疾人福利性单位制造的货物清单（含生产企业名称）须附后。</w:t>
      </w:r>
    </w:p>
    <w:p w14:paraId="079B69D4">
      <w:pPr>
        <w:keepNext w:val="0"/>
        <w:keepLines w:val="0"/>
        <w:kinsoku/>
        <w:wordWrap/>
        <w:overflowPunct/>
        <w:topLinePunct w:val="0"/>
        <w:autoSpaceDE/>
        <w:autoSpaceDN/>
        <w:bidi w:val="0"/>
        <w:adjustRightInd/>
        <w:spacing w:line="500" w:lineRule="exact"/>
        <w:textAlignment w:val="auto"/>
        <w:rPr>
          <w:rFonts w:hint="eastAsia" w:ascii="宋体" w:hAnsi="宋体" w:eastAsia="宋体" w:cs="宋体"/>
          <w:sz w:val="24"/>
          <w:szCs w:val="24"/>
          <w:highlight w:val="none"/>
        </w:rPr>
      </w:pPr>
    </w:p>
    <w:p w14:paraId="182F3542">
      <w:pPr>
        <w:keepNext w:val="0"/>
        <w:keepLines w:val="0"/>
        <w:kinsoku/>
        <w:wordWrap/>
        <w:overflowPunct/>
        <w:topLinePunct w:val="0"/>
        <w:autoSpaceDE/>
        <w:autoSpaceDN/>
        <w:bidi w:val="0"/>
        <w:adjustRightInd/>
        <w:spacing w:line="500" w:lineRule="exact"/>
        <w:textAlignment w:val="auto"/>
        <w:rPr>
          <w:rFonts w:hint="eastAsia" w:ascii="宋体" w:hAnsi="宋体" w:eastAsia="宋体" w:cs="宋体"/>
          <w:sz w:val="24"/>
          <w:szCs w:val="24"/>
          <w:highlight w:val="none"/>
        </w:rPr>
      </w:pPr>
    </w:p>
    <w:p w14:paraId="63BA2D71">
      <w:pPr>
        <w:rPr>
          <w:rFonts w:hint="eastAsia" w:ascii="宋体" w:hAnsi="宋体" w:eastAsia="宋体" w:cs="宋体"/>
          <w:highlight w:val="none"/>
        </w:rPr>
      </w:pPr>
    </w:p>
    <w:p w14:paraId="01A99B35">
      <w:pPr>
        <w:rPr>
          <w:rFonts w:hint="eastAsia" w:ascii="宋体" w:hAnsi="宋体" w:eastAsia="宋体" w:cs="宋体"/>
          <w:highlight w:val="none"/>
        </w:rPr>
      </w:pPr>
    </w:p>
    <w:p w14:paraId="1C36E8EF">
      <w:pPr>
        <w:rPr>
          <w:rFonts w:hint="eastAsia" w:ascii="宋体" w:hAnsi="宋体" w:eastAsia="宋体" w:cs="宋体"/>
          <w:highlight w:val="none"/>
        </w:rPr>
      </w:pPr>
    </w:p>
    <w:p w14:paraId="2250F89F">
      <w:pPr>
        <w:rPr>
          <w:rFonts w:hint="eastAsia" w:ascii="宋体" w:hAnsi="宋体" w:eastAsia="宋体" w:cs="宋体"/>
          <w:highlight w:val="none"/>
        </w:rPr>
      </w:pPr>
    </w:p>
    <w:p w14:paraId="45ABDFB9">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p>
    <w:p w14:paraId="5A7BEFA9">
      <w:pPr>
        <w:pStyle w:val="2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bCs/>
          <w:color w:val="auto"/>
          <w:kern w:val="2"/>
          <w:sz w:val="24"/>
          <w:highlight w:val="none"/>
          <w:lang w:val="en-US" w:eastAsia="zh-CN" w:bidi="ar-SA"/>
        </w:rPr>
      </w:pPr>
    </w:p>
    <w:p w14:paraId="332F421C">
      <w:pPr>
        <w:pStyle w:val="10"/>
        <w:rPr>
          <w:rFonts w:hint="eastAsia" w:ascii="宋体" w:hAnsi="宋体" w:eastAsia="宋体" w:cs="宋体"/>
          <w:b/>
          <w:bCs/>
          <w:color w:val="auto"/>
          <w:kern w:val="2"/>
          <w:sz w:val="24"/>
          <w:highlight w:val="none"/>
          <w:lang w:val="en-US" w:eastAsia="zh-CN" w:bidi="ar-SA"/>
        </w:rPr>
      </w:pPr>
    </w:p>
    <w:p w14:paraId="1FC6B3AC">
      <w:pPr>
        <w:pStyle w:val="11"/>
        <w:rPr>
          <w:rFonts w:hint="eastAsia" w:ascii="宋体" w:hAnsi="宋体" w:eastAsia="宋体" w:cs="宋体"/>
          <w:b/>
          <w:bCs/>
          <w:color w:val="auto"/>
          <w:kern w:val="2"/>
          <w:sz w:val="24"/>
          <w:highlight w:val="none"/>
          <w:lang w:val="en-US" w:eastAsia="zh-CN" w:bidi="ar-SA"/>
        </w:rPr>
      </w:pPr>
    </w:p>
    <w:p w14:paraId="5A93D36C">
      <w:pPr>
        <w:pStyle w:val="12"/>
        <w:rPr>
          <w:rFonts w:hint="eastAsia" w:ascii="宋体" w:hAnsi="宋体" w:eastAsia="宋体" w:cs="宋体"/>
          <w:b/>
          <w:bCs/>
          <w:color w:val="auto"/>
          <w:kern w:val="2"/>
          <w:sz w:val="24"/>
          <w:highlight w:val="none"/>
          <w:lang w:val="en-US" w:eastAsia="zh-CN" w:bidi="ar-SA"/>
        </w:rPr>
      </w:pPr>
    </w:p>
    <w:p w14:paraId="221443DA">
      <w:pPr>
        <w:rPr>
          <w:rFonts w:hint="eastAsia" w:ascii="宋体" w:hAnsi="宋体" w:eastAsia="宋体" w:cs="宋体"/>
          <w:b/>
          <w:bCs/>
          <w:color w:val="auto"/>
          <w:kern w:val="2"/>
          <w:sz w:val="24"/>
          <w:highlight w:val="none"/>
          <w:lang w:val="en-US" w:eastAsia="zh-CN" w:bidi="ar-SA"/>
        </w:rPr>
      </w:pPr>
    </w:p>
    <w:p w14:paraId="309BEAC4">
      <w:pPr>
        <w:rPr>
          <w:rFonts w:hint="eastAsia" w:ascii="宋体" w:hAnsi="宋体" w:eastAsia="宋体" w:cs="宋体"/>
          <w:b/>
          <w:bCs/>
          <w:color w:val="auto"/>
          <w:kern w:val="2"/>
          <w:sz w:val="24"/>
          <w:highlight w:val="none"/>
          <w:lang w:val="en-US" w:eastAsia="zh-CN" w:bidi="ar-SA"/>
        </w:rPr>
      </w:pPr>
    </w:p>
    <w:p w14:paraId="2A970B99">
      <w:pPr>
        <w:rPr>
          <w:rFonts w:hint="eastAsia" w:ascii="宋体" w:hAnsi="宋体" w:eastAsia="宋体" w:cs="宋体"/>
          <w:b/>
          <w:bCs/>
          <w:color w:val="auto"/>
          <w:kern w:val="2"/>
          <w:sz w:val="24"/>
          <w:highlight w:val="none"/>
          <w:lang w:val="en-US" w:eastAsia="zh-CN" w:bidi="ar-SA"/>
        </w:rPr>
      </w:pPr>
    </w:p>
    <w:p w14:paraId="1E180106">
      <w:pPr>
        <w:rPr>
          <w:rFonts w:hint="eastAsia" w:ascii="宋体" w:hAnsi="宋体" w:eastAsia="宋体" w:cs="宋体"/>
          <w:b/>
          <w:bCs/>
          <w:color w:val="auto"/>
          <w:kern w:val="2"/>
          <w:sz w:val="24"/>
          <w:highlight w:val="none"/>
          <w:lang w:val="en-US" w:eastAsia="zh-CN" w:bidi="ar-SA"/>
        </w:rPr>
      </w:pPr>
    </w:p>
    <w:p w14:paraId="546D08BD">
      <w:pPr>
        <w:rPr>
          <w:rFonts w:hint="eastAsia" w:ascii="宋体" w:hAnsi="宋体" w:eastAsia="宋体" w:cs="宋体"/>
          <w:b/>
          <w:bCs/>
          <w:color w:val="auto"/>
          <w:kern w:val="2"/>
          <w:sz w:val="24"/>
          <w:highlight w:val="none"/>
          <w:lang w:val="en-US" w:eastAsia="zh-CN" w:bidi="ar-SA"/>
        </w:rPr>
      </w:pPr>
    </w:p>
    <w:p w14:paraId="6503A5B1">
      <w:pPr>
        <w:rPr>
          <w:rFonts w:hint="eastAsia" w:ascii="宋体" w:hAnsi="宋体" w:eastAsia="宋体" w:cs="宋体"/>
          <w:b/>
          <w:bCs/>
          <w:color w:val="auto"/>
          <w:kern w:val="2"/>
          <w:sz w:val="24"/>
          <w:highlight w:val="none"/>
          <w:lang w:val="en-US" w:eastAsia="zh-CN" w:bidi="ar-SA"/>
        </w:rPr>
      </w:pPr>
    </w:p>
    <w:p w14:paraId="4E81D2A5">
      <w:pPr>
        <w:rPr>
          <w:rFonts w:hint="eastAsia" w:ascii="宋体" w:hAnsi="宋体" w:eastAsia="宋体" w:cs="宋体"/>
          <w:b/>
          <w:bCs/>
          <w:color w:val="auto"/>
          <w:kern w:val="2"/>
          <w:sz w:val="24"/>
          <w:highlight w:val="none"/>
          <w:lang w:val="en-US" w:eastAsia="zh-CN" w:bidi="ar-SA"/>
        </w:rPr>
      </w:pPr>
    </w:p>
    <w:p w14:paraId="3304FD48">
      <w:pPr>
        <w:rPr>
          <w:rFonts w:hint="eastAsia" w:ascii="宋体" w:hAnsi="宋体" w:eastAsia="宋体" w:cs="宋体"/>
          <w:b/>
          <w:bCs/>
          <w:color w:val="auto"/>
          <w:kern w:val="2"/>
          <w:sz w:val="24"/>
          <w:highlight w:val="none"/>
          <w:lang w:val="en-US" w:eastAsia="zh-CN" w:bidi="ar-SA"/>
        </w:rPr>
      </w:pPr>
    </w:p>
    <w:p w14:paraId="154DCE16">
      <w:pPr>
        <w:jc w:val="center"/>
        <w:rPr>
          <w:rFonts w:hint="eastAsia"/>
          <w:sz w:val="28"/>
          <w:szCs w:val="32"/>
          <w:highlight w:val="none"/>
          <w:lang w:eastAsia="zh-CN"/>
        </w:rPr>
      </w:pPr>
      <w:r>
        <w:rPr>
          <w:rFonts w:hint="eastAsia"/>
          <w:sz w:val="28"/>
          <w:szCs w:val="32"/>
          <w:highlight w:val="none"/>
          <w:lang w:eastAsia="zh-CN"/>
        </w:rPr>
        <w:t>关于符合本国产品标准的声明函</w:t>
      </w:r>
    </w:p>
    <w:p w14:paraId="4CF529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eastAsia="zh-CN"/>
        </w:rPr>
        <w:t>本公司(单位)郑重声明，根据&lt;&lt;国务院办公厅关于在政府采购中实施本国产品标准及相关政策的通知&gt;&gt;(国办发(2025)34号)的规定,本公司(单位)提供的以下产品属于本国产品。具体情况如下:</w:t>
      </w:r>
    </w:p>
    <w:p w14:paraId="013EA0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eastAsia="zh-CN"/>
        </w:rPr>
        <w:t>1.</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(产品名称1)</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,生产厂为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(厂名)</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,厂址为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(生产厂址)</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(产品名称1)</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的中国境内生产的组件成本占比</w:t>
      </w:r>
      <w:r>
        <w:rPr>
          <w:rFonts w:hint="eastAsia" w:ascii="宋体" w:hAnsi="宋体" w:eastAsia="宋体" w:cs="宋体"/>
          <w:sz w:val="24"/>
          <w:szCs w:val="28"/>
          <w:highlight w:val="none"/>
          <w:lang w:val="en-US" w:eastAsia="zh-CN"/>
        </w:rPr>
        <w:t>≥</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(规定比例)</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(产品名称1</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的</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(关键组件)</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在中国境内生产。</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 xml:space="preserve">(产品名称1) </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的</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(关键工序)</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在中国境内完成。</w:t>
      </w:r>
    </w:p>
    <w:p w14:paraId="60D2E3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eastAsia="zh-CN"/>
        </w:rPr>
        <w:t>2.</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(产品名称</w:t>
      </w:r>
      <w:r>
        <w:rPr>
          <w:rFonts w:hint="eastAsia" w:ascii="宋体" w:hAnsi="宋体" w:cs="宋体"/>
          <w:sz w:val="24"/>
          <w:szCs w:val="28"/>
          <w:highlight w:val="none"/>
          <w:u w:val="single"/>
          <w:lang w:val="en-US" w:eastAsia="zh-CN"/>
        </w:rPr>
        <w:t>2</w:t>
      </w:r>
      <w:r>
        <w:rPr>
          <w:rFonts w:hint="eastAsia" w:ascii="宋体" w:hAnsi="宋体" w:eastAsia="宋体" w:cs="宋体"/>
          <w:sz w:val="24"/>
          <w:szCs w:val="28"/>
          <w:highlight w:val="none"/>
          <w:u w:val="single"/>
          <w:lang w:eastAsia="zh-CN"/>
        </w:rPr>
        <w:t>)</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,生产厂为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(厂名)</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,厂址为</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(生产厂址)</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(产品名称</w:t>
      </w:r>
      <w:r>
        <w:rPr>
          <w:rFonts w:hint="eastAsia" w:ascii="宋体" w:hAnsi="宋体" w:cs="宋体"/>
          <w:sz w:val="24"/>
          <w:szCs w:val="28"/>
          <w:highlight w:val="none"/>
          <w:u w:val="single"/>
          <w:lang w:val="en-US" w:eastAsia="zh-CN"/>
        </w:rPr>
        <w:t>2</w:t>
      </w:r>
      <w:r>
        <w:rPr>
          <w:rFonts w:hint="eastAsia" w:ascii="宋体" w:hAnsi="宋体" w:eastAsia="宋体" w:cs="宋体"/>
          <w:sz w:val="24"/>
          <w:szCs w:val="28"/>
          <w:highlight w:val="none"/>
          <w:u w:val="single"/>
          <w:lang w:eastAsia="zh-CN"/>
        </w:rPr>
        <w:t>)</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的中国境内生产的组件成本占比</w:t>
      </w:r>
      <w:r>
        <w:rPr>
          <w:rFonts w:hint="eastAsia" w:ascii="宋体" w:hAnsi="宋体" w:eastAsia="宋体" w:cs="宋体"/>
          <w:sz w:val="24"/>
          <w:szCs w:val="28"/>
          <w:highlight w:val="none"/>
          <w:lang w:val="en-US" w:eastAsia="zh-CN"/>
        </w:rPr>
        <w:t>≥</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(规定比例)</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(产品名称</w:t>
      </w:r>
      <w:r>
        <w:rPr>
          <w:rFonts w:hint="eastAsia" w:ascii="宋体" w:hAnsi="宋体" w:cs="宋体"/>
          <w:sz w:val="24"/>
          <w:szCs w:val="28"/>
          <w:highlight w:val="none"/>
          <w:u w:val="single"/>
          <w:lang w:val="en-US" w:eastAsia="zh-CN"/>
        </w:rPr>
        <w:t>2</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的</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(关键组件)</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在中国境内生产。</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(产品名称</w:t>
      </w:r>
      <w:r>
        <w:rPr>
          <w:rFonts w:hint="eastAsia" w:ascii="宋体" w:hAnsi="宋体" w:cs="宋体"/>
          <w:sz w:val="24"/>
          <w:szCs w:val="28"/>
          <w:highlight w:val="none"/>
          <w:u w:val="single"/>
          <w:lang w:val="en-US" w:eastAsia="zh-CN"/>
        </w:rPr>
        <w:t>2</w:t>
      </w:r>
      <w:r>
        <w:rPr>
          <w:rFonts w:hint="eastAsia" w:ascii="宋体" w:hAnsi="宋体" w:eastAsia="宋体" w:cs="宋体"/>
          <w:sz w:val="24"/>
          <w:szCs w:val="28"/>
          <w:highlight w:val="none"/>
          <w:u w:val="single"/>
          <w:lang w:eastAsia="zh-CN"/>
        </w:rPr>
        <w:t xml:space="preserve">) </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的</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u w:val="single"/>
          <w:lang w:eastAsia="zh-CN"/>
        </w:rPr>
        <w:t>(关键工序)</w:t>
      </w:r>
      <w:r>
        <w:rPr>
          <w:rFonts w:hint="eastAsia" w:ascii="宋体" w:hAnsi="宋体" w:eastAsia="宋体" w:cs="宋体"/>
          <w:sz w:val="24"/>
          <w:szCs w:val="28"/>
          <w:highlight w:val="none"/>
          <w:u w:val="single"/>
          <w:lang w:val="en-US" w:eastAsia="zh-CN"/>
        </w:rPr>
        <w:t xml:space="preserve">   </w:t>
      </w:r>
      <w:r>
        <w:rPr>
          <w:rFonts w:hint="eastAsia" w:ascii="宋体" w:hAnsi="宋体" w:eastAsia="宋体" w:cs="宋体"/>
          <w:sz w:val="24"/>
          <w:szCs w:val="28"/>
          <w:highlight w:val="none"/>
          <w:lang w:eastAsia="zh-CN"/>
        </w:rPr>
        <w:t>在中国境内完成。</w:t>
      </w:r>
    </w:p>
    <w:p w14:paraId="3071EEA5">
      <w:pPr>
        <w:bidi w:val="0"/>
        <w:rPr>
          <w:rFonts w:hint="eastAsia" w:ascii="宋体" w:hAnsi="宋体" w:eastAsia="宋体" w:cs="宋体"/>
          <w:sz w:val="24"/>
          <w:szCs w:val="28"/>
          <w:highlight w:val="none"/>
          <w:lang w:eastAsia="zh-CN"/>
        </w:rPr>
      </w:pPr>
    </w:p>
    <w:p w14:paraId="607751BC">
      <w:pPr>
        <w:bidi w:val="0"/>
        <w:ind w:firstLine="480" w:firstLineChars="200"/>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cs="宋体"/>
          <w:b/>
          <w:bCs/>
          <w:i/>
          <w:iCs/>
          <w:color w:val="auto"/>
          <w:sz w:val="24"/>
          <w:szCs w:val="24"/>
          <w:highlight w:val="none"/>
          <w:u w:val="single"/>
          <w:lang w:val="en-US" w:eastAsia="zh-CN"/>
        </w:rPr>
        <w:t>采购标的1-13对应</w:t>
      </w:r>
      <w:r>
        <w:rPr>
          <w:rFonts w:hint="eastAsia" w:ascii="宋体" w:hAnsi="宋体" w:eastAsia="宋体" w:cs="宋体"/>
          <w:b/>
          <w:bCs/>
          <w:i/>
          <w:iCs/>
          <w:color w:val="auto"/>
          <w:sz w:val="24"/>
          <w:szCs w:val="24"/>
          <w:highlight w:val="none"/>
          <w:u w:val="single"/>
          <w:lang w:val="en-US" w:eastAsia="zh-CN"/>
        </w:rPr>
        <w:t>所有</w:t>
      </w:r>
      <w:r>
        <w:rPr>
          <w:rFonts w:hint="eastAsia" w:ascii="宋体" w:hAnsi="宋体" w:cs="宋体"/>
          <w:b/>
          <w:bCs/>
          <w:i/>
          <w:iCs/>
          <w:color w:val="auto"/>
          <w:sz w:val="24"/>
          <w:szCs w:val="24"/>
          <w:highlight w:val="none"/>
          <w:u w:val="single"/>
          <w:lang w:val="en-US" w:eastAsia="zh-CN"/>
        </w:rPr>
        <w:t>货物中，投标人如有提供属于本国产品的</w:t>
      </w:r>
      <w:r>
        <w:rPr>
          <w:rFonts w:hint="eastAsia" w:ascii="宋体" w:hAnsi="宋体" w:eastAsia="宋体" w:cs="宋体"/>
          <w:b/>
          <w:bCs/>
          <w:i/>
          <w:iCs/>
          <w:color w:val="auto"/>
          <w:sz w:val="24"/>
          <w:szCs w:val="24"/>
          <w:highlight w:val="none"/>
          <w:u w:val="single"/>
          <w:lang w:val="en-US" w:eastAsia="zh-CN"/>
        </w:rPr>
        <w:t>均需一一列明</w:t>
      </w:r>
      <w:r>
        <w:rPr>
          <w:rFonts w:hint="eastAsia" w:ascii="宋体" w:hAnsi="宋体" w:cs="宋体"/>
          <w:b/>
          <w:bCs/>
          <w:i/>
          <w:iCs/>
          <w:color w:val="auto"/>
          <w:sz w:val="24"/>
          <w:szCs w:val="24"/>
          <w:highlight w:val="none"/>
          <w:u w:val="single"/>
          <w:lang w:val="en-US" w:eastAsia="zh-CN"/>
        </w:rPr>
        <w:t>，</w:t>
      </w:r>
      <w:r>
        <w:rPr>
          <w:rFonts w:hint="eastAsia" w:ascii="宋体" w:hAnsi="宋体" w:eastAsia="宋体" w:cs="宋体"/>
          <w:b/>
          <w:bCs/>
          <w:i/>
          <w:iCs/>
          <w:color w:val="auto"/>
          <w:sz w:val="24"/>
          <w:szCs w:val="24"/>
          <w:highlight w:val="none"/>
          <w:u w:val="single"/>
          <w:lang w:val="en-US" w:eastAsia="zh-CN"/>
        </w:rPr>
        <w:t>具体采购标的详见第三章 采购内容及要求</w:t>
      </w:r>
      <w:r>
        <w:rPr>
          <w:rFonts w:hint="eastAsia" w:ascii="宋体" w:hAnsi="宋体" w:eastAsia="宋体" w:cs="宋体"/>
          <w:color w:val="auto"/>
          <w:sz w:val="24"/>
          <w:szCs w:val="24"/>
          <w:highlight w:val="none"/>
          <w:lang w:eastAsia="zh-CN"/>
        </w:rPr>
        <w:t>）</w:t>
      </w:r>
    </w:p>
    <w:p w14:paraId="4038BC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sz w:val="24"/>
          <w:szCs w:val="28"/>
          <w:highlight w:val="none"/>
          <w:lang w:eastAsia="zh-CN"/>
        </w:rPr>
      </w:pPr>
      <w:r>
        <w:rPr>
          <w:rFonts w:hint="eastAsia"/>
          <w:sz w:val="24"/>
          <w:szCs w:val="28"/>
          <w:highlight w:val="none"/>
          <w:lang w:val="en-US" w:eastAsia="zh-CN"/>
        </w:rPr>
        <w:t>我单位为本采购项目提供的符合本国产品标准的产品成本之和占提供的全部产品成本之和的比例达到</w:t>
      </w:r>
      <w:r>
        <w:rPr>
          <w:rFonts w:hint="eastAsia"/>
          <w:sz w:val="24"/>
          <w:szCs w:val="28"/>
          <w:highlight w:val="none"/>
          <w:u w:val="single"/>
          <w:lang w:val="en-US" w:eastAsia="zh-CN"/>
        </w:rPr>
        <w:t xml:space="preserve">      </w:t>
      </w:r>
      <w:r>
        <w:rPr>
          <w:rFonts w:hint="eastAsia"/>
          <w:sz w:val="24"/>
          <w:szCs w:val="28"/>
          <w:highlight w:val="none"/>
          <w:lang w:val="en-US" w:eastAsia="zh-CN"/>
        </w:rPr>
        <w:t>%。</w:t>
      </w:r>
      <w:r>
        <w:rPr>
          <w:rFonts w:hint="eastAsia"/>
          <w:i/>
          <w:iCs/>
          <w:sz w:val="24"/>
          <w:szCs w:val="28"/>
          <w:highlight w:val="none"/>
          <w:u w:val="single"/>
          <w:lang w:val="en-US" w:eastAsia="zh-CN"/>
        </w:rPr>
        <w:t>（根据&lt;&lt;国务院办公厅关于在政府采购中实施本国产品标准及相关政策的通知&gt;&gt;(国办发(2025)34号)的规定，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FDCCD9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8"/>
          <w:highlight w:val="none"/>
          <w:lang w:eastAsia="zh-CN"/>
        </w:rPr>
      </w:pPr>
    </w:p>
    <w:p w14:paraId="7CF64F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8"/>
          <w:highlight w:val="none"/>
          <w:lang w:eastAsia="zh-CN"/>
        </w:rPr>
      </w:pPr>
      <w:r>
        <w:rPr>
          <w:rFonts w:hint="eastAsia"/>
          <w:sz w:val="24"/>
          <w:szCs w:val="28"/>
          <w:highlight w:val="none"/>
          <w:lang w:eastAsia="zh-CN"/>
        </w:rPr>
        <w:t>备注:</w:t>
      </w:r>
    </w:p>
    <w:p w14:paraId="61CDEE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8"/>
          <w:highlight w:val="none"/>
          <w:lang w:eastAsia="zh-CN"/>
        </w:rPr>
      </w:pPr>
      <w:r>
        <w:rPr>
          <w:rFonts w:hint="eastAsia"/>
          <w:sz w:val="24"/>
          <w:szCs w:val="28"/>
          <w:highlight w:val="none"/>
          <w:lang w:eastAsia="zh-CN"/>
        </w:rPr>
        <w:t>1.产品如有型号，请在"产品名称"栏一并填写。</w:t>
      </w:r>
    </w:p>
    <w:p w14:paraId="15A253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8"/>
          <w:highlight w:val="none"/>
          <w:lang w:eastAsia="zh-CN"/>
        </w:rPr>
      </w:pPr>
      <w:r>
        <w:rPr>
          <w:rFonts w:hint="eastAsia"/>
          <w:sz w:val="24"/>
          <w:szCs w:val="28"/>
          <w:highlight w:val="none"/>
          <w:lang w:eastAsia="zh-CN"/>
        </w:rPr>
        <w:t>2.生产厂名与厂址应与生产厂营业执照载明的相关信息保持一致。</w:t>
      </w:r>
    </w:p>
    <w:p w14:paraId="618820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8"/>
          <w:highlight w:val="none"/>
          <w:lang w:eastAsia="zh-CN"/>
        </w:rPr>
      </w:pPr>
      <w:r>
        <w:rPr>
          <w:rFonts w:hint="eastAsia"/>
          <w:sz w:val="24"/>
          <w:szCs w:val="28"/>
          <w:highlight w:val="none"/>
          <w:lang w:eastAsia="zh-CN"/>
        </w:rPr>
        <w:t>3.该产品的中国境内生产的组件成本占比相关要求实施前，"规定比例"栏可不填，下同。</w:t>
      </w:r>
    </w:p>
    <w:p w14:paraId="0C8A134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8"/>
          <w:highlight w:val="none"/>
          <w:lang w:eastAsia="zh-CN"/>
        </w:rPr>
      </w:pPr>
      <w:r>
        <w:rPr>
          <w:rFonts w:hint="eastAsia"/>
          <w:sz w:val="24"/>
          <w:szCs w:val="28"/>
          <w:highlight w:val="none"/>
          <w:lang w:eastAsia="zh-CN"/>
        </w:rPr>
        <w:t>4.该产品的关键组件要求实施前，"关键组件"栏可不填，下同。</w:t>
      </w:r>
    </w:p>
    <w:p w14:paraId="54B91D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8"/>
          <w:highlight w:val="none"/>
          <w:lang w:eastAsia="zh-CN"/>
        </w:rPr>
      </w:pPr>
      <w:r>
        <w:rPr>
          <w:rFonts w:hint="eastAsia"/>
          <w:sz w:val="24"/>
          <w:szCs w:val="28"/>
          <w:highlight w:val="none"/>
          <w:lang w:eastAsia="zh-CN"/>
        </w:rPr>
        <w:t>5.该产品的关键工序要求实施前，"关键工序"栏可不填，下同。</w:t>
      </w:r>
    </w:p>
    <w:p w14:paraId="0B38DB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8"/>
          <w:highlight w:val="none"/>
          <w:lang w:eastAsia="zh-CN"/>
        </w:rPr>
      </w:pPr>
      <w:r>
        <w:rPr>
          <w:rFonts w:hint="eastAsia"/>
          <w:sz w:val="24"/>
          <w:szCs w:val="28"/>
          <w:highlight w:val="none"/>
          <w:lang w:eastAsia="zh-CN"/>
        </w:rPr>
        <w:t>本公司(单位)对上述声明内容的真实性负责。如有虚假，愿承担相应法律责任。</w:t>
      </w:r>
    </w:p>
    <w:p w14:paraId="41C31BF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4"/>
          <w:szCs w:val="28"/>
          <w:highlight w:val="none"/>
          <w:lang w:eastAsia="zh-CN"/>
        </w:rPr>
      </w:pPr>
    </w:p>
    <w:p w14:paraId="67E83BC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4"/>
          <w:szCs w:val="28"/>
          <w:highlight w:val="none"/>
          <w:lang w:eastAsia="zh-CN"/>
        </w:rPr>
      </w:pPr>
      <w:r>
        <w:rPr>
          <w:rFonts w:hint="eastAsia"/>
          <w:sz w:val="24"/>
          <w:szCs w:val="28"/>
          <w:highlight w:val="none"/>
          <w:lang w:eastAsia="zh-CN"/>
        </w:rPr>
        <w:t>公司(单位)名称(盖章或电子签章):</w:t>
      </w:r>
    </w:p>
    <w:p w14:paraId="35718A9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sz w:val="28"/>
          <w:szCs w:val="32"/>
          <w:highlight w:val="none"/>
          <w:lang w:eastAsia="zh-CN"/>
        </w:rPr>
      </w:pPr>
      <w:r>
        <w:rPr>
          <w:rFonts w:hint="eastAsia"/>
          <w:sz w:val="24"/>
          <w:szCs w:val="28"/>
          <w:highlight w:val="none"/>
          <w:lang w:eastAsia="zh-CN"/>
        </w:rPr>
        <w:t>日期:</w:t>
      </w:r>
      <w:r>
        <w:rPr>
          <w:rFonts w:hint="eastAsia"/>
          <w:sz w:val="24"/>
          <w:szCs w:val="28"/>
          <w:highlight w:val="none"/>
          <w:lang w:val="en-US" w:eastAsia="zh-CN"/>
        </w:rPr>
        <w:t xml:space="preserve">   </w:t>
      </w:r>
      <w:r>
        <w:rPr>
          <w:rFonts w:hint="eastAsia"/>
          <w:sz w:val="24"/>
          <w:szCs w:val="28"/>
          <w:highlight w:val="none"/>
          <w:lang w:eastAsia="zh-CN"/>
        </w:rPr>
        <w:t>年</w:t>
      </w:r>
      <w:r>
        <w:rPr>
          <w:rFonts w:hint="eastAsia"/>
          <w:sz w:val="24"/>
          <w:szCs w:val="28"/>
          <w:highlight w:val="none"/>
          <w:lang w:val="en-US" w:eastAsia="zh-CN"/>
        </w:rPr>
        <w:t xml:space="preserve">   </w:t>
      </w:r>
      <w:r>
        <w:rPr>
          <w:rFonts w:hint="eastAsia"/>
          <w:sz w:val="24"/>
          <w:szCs w:val="28"/>
          <w:highlight w:val="none"/>
          <w:lang w:eastAsia="zh-CN"/>
        </w:rPr>
        <w:t>月</w:t>
      </w:r>
      <w:r>
        <w:rPr>
          <w:rFonts w:hint="eastAsia"/>
          <w:sz w:val="24"/>
          <w:szCs w:val="28"/>
          <w:highlight w:val="none"/>
          <w:lang w:val="en-US" w:eastAsia="zh-CN"/>
        </w:rPr>
        <w:t xml:space="preserve">   </w:t>
      </w:r>
      <w:r>
        <w:rPr>
          <w:rFonts w:hint="eastAsia"/>
          <w:sz w:val="24"/>
          <w:szCs w:val="28"/>
          <w:highlight w:val="none"/>
          <w:lang w:eastAsia="zh-CN"/>
        </w:rPr>
        <w:t>日</w:t>
      </w:r>
    </w:p>
    <w:p w14:paraId="7E491B01">
      <w:pPr>
        <w:jc w:val="center"/>
        <w:rPr>
          <w:rFonts w:hint="eastAsia"/>
          <w:sz w:val="28"/>
          <w:szCs w:val="32"/>
          <w:highlight w:val="none"/>
          <w:lang w:eastAsia="zh-CN"/>
        </w:rPr>
        <w:sectPr>
          <w:pgSz w:w="11906" w:h="16838"/>
          <w:pgMar w:top="1134" w:right="1134" w:bottom="1134" w:left="1134" w:header="851" w:footer="850" w:gutter="0"/>
          <w:pgNumType w:fmt="decimal"/>
          <w:cols w:space="425" w:num="1"/>
          <w:docGrid w:type="lines" w:linePitch="312" w:charSpace="0"/>
        </w:sectPr>
      </w:pPr>
    </w:p>
    <w:p w14:paraId="07F472D5">
      <w:pPr>
        <w:pStyle w:val="42"/>
        <w:widowControl w:val="0"/>
        <w:snapToGrid w:val="0"/>
        <w:spacing w:line="500" w:lineRule="exact"/>
        <w:jc w:val="center"/>
        <w:rPr>
          <w:rFonts w:hint="eastAsia" w:ascii="宋体" w:hAnsi="宋体" w:eastAsia="宋体" w:cs="宋体"/>
          <w:b/>
          <w:bCs/>
          <w:color w:val="000000"/>
          <w:kern w:val="0"/>
          <w:sz w:val="28"/>
          <w:highlight w:val="none"/>
          <w:lang w:eastAsia="zh-CN"/>
        </w:rPr>
      </w:pPr>
      <w:r>
        <w:rPr>
          <w:rFonts w:hint="eastAsia" w:ascii="宋体" w:hAnsi="宋体" w:eastAsia="宋体" w:cs="宋体"/>
          <w:b/>
          <w:bCs/>
          <w:color w:val="auto"/>
          <w:sz w:val="32"/>
          <w:szCs w:val="32"/>
          <w:highlight w:val="none"/>
        </w:rPr>
        <w:t>政府采购活动现场确认声明书</w:t>
      </w:r>
    </w:p>
    <w:p w14:paraId="6763D2FF">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b/>
          <w:color w:val="000000"/>
          <w:sz w:val="24"/>
          <w:highlight w:val="none"/>
        </w:rPr>
      </w:pPr>
      <w:r>
        <w:rPr>
          <w:rFonts w:hint="eastAsia" w:hAnsi="宋体" w:cs="宋体"/>
          <w:color w:val="000000"/>
          <w:kern w:val="0"/>
          <w:sz w:val="24"/>
          <w:highlight w:val="none"/>
          <w:u w:val="single"/>
          <w:lang w:eastAsia="zh-CN"/>
        </w:rPr>
        <w:t>衢州市衢江区人民政府办公室</w:t>
      </w:r>
      <w:r>
        <w:rPr>
          <w:rFonts w:hint="eastAsia" w:ascii="宋体" w:hAnsi="宋体" w:eastAsia="宋体" w:cs="宋体"/>
          <w:color w:val="000000"/>
          <w:kern w:val="0"/>
          <w:sz w:val="24"/>
          <w:highlight w:val="none"/>
        </w:rPr>
        <w:t>：</w:t>
      </w:r>
    </w:p>
    <w:p w14:paraId="72F5E9BA">
      <w:pPr>
        <w:keepNext w:val="0"/>
        <w:keepLines w:val="0"/>
        <w:pageBreakBefore w:val="0"/>
        <w:kinsoku/>
        <w:wordWrap/>
        <w:overflowPunct/>
        <w:topLinePunct w:val="0"/>
        <w:autoSpaceDE/>
        <w:autoSpaceDN/>
        <w:bidi w:val="0"/>
        <w:adjustRightInd/>
        <w:spacing w:line="400" w:lineRule="exact"/>
        <w:ind w:firstLine="504" w:firstLineChars="200"/>
        <w:jc w:val="left"/>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szCs w:val="24"/>
          <w:highlight w:val="none"/>
        </w:rPr>
        <w:t>本人</w:t>
      </w:r>
      <w:r>
        <w:rPr>
          <w:rFonts w:hint="eastAsia" w:ascii="宋体" w:hAnsi="宋体" w:eastAsia="宋体" w:cs="宋体"/>
          <w:color w:val="000000"/>
          <w:spacing w:val="6"/>
          <w:sz w:val="24"/>
          <w:szCs w:val="24"/>
          <w:highlight w:val="none"/>
          <w:u w:val="single"/>
          <w:lang w:val="en-US" w:eastAsia="zh-CN"/>
        </w:rPr>
        <w:t xml:space="preserve">          </w:t>
      </w:r>
      <w:r>
        <w:rPr>
          <w:rFonts w:hint="eastAsia" w:ascii="宋体" w:hAnsi="宋体" w:eastAsia="宋体" w:cs="宋体"/>
          <w:color w:val="000000"/>
          <w:spacing w:val="6"/>
          <w:sz w:val="24"/>
          <w:szCs w:val="24"/>
          <w:highlight w:val="none"/>
          <w:u w:val="none"/>
          <w:lang w:val="en-US" w:eastAsia="zh-CN"/>
        </w:rPr>
        <w:t>（授权代表姓名），</w:t>
      </w:r>
      <w:r>
        <w:rPr>
          <w:rFonts w:hint="eastAsia" w:ascii="宋体" w:hAnsi="宋体" w:eastAsia="宋体" w:cs="宋体"/>
          <w:color w:val="000000"/>
          <w:spacing w:val="6"/>
          <w:sz w:val="24"/>
          <w:szCs w:val="24"/>
          <w:highlight w:val="none"/>
        </w:rPr>
        <w:t>经由</w:t>
      </w:r>
      <w:r>
        <w:rPr>
          <w:rFonts w:hint="eastAsia" w:ascii="宋体" w:hAnsi="宋体" w:eastAsia="宋体" w:cs="宋体"/>
          <w:color w:val="000000"/>
          <w:spacing w:val="6"/>
          <w:sz w:val="24"/>
          <w:szCs w:val="24"/>
          <w:highlight w:val="none"/>
          <w:u w:val="single"/>
          <w:lang w:val="en-US" w:eastAsia="zh-CN"/>
        </w:rPr>
        <w:t xml:space="preserve">                </w:t>
      </w:r>
      <w:r>
        <w:rPr>
          <w:rFonts w:hint="eastAsia" w:ascii="宋体" w:hAnsi="宋体" w:eastAsia="宋体" w:cs="宋体"/>
          <w:color w:val="000000"/>
          <w:spacing w:val="6"/>
          <w:sz w:val="24"/>
          <w:szCs w:val="24"/>
          <w:highlight w:val="none"/>
          <w:u w:val="none"/>
          <w:lang w:val="en-US" w:eastAsia="zh-CN"/>
        </w:rPr>
        <w:t>（单位）</w:t>
      </w:r>
      <w:r>
        <w:rPr>
          <w:rFonts w:hint="eastAsia" w:ascii="宋体" w:hAnsi="宋体" w:eastAsia="宋体" w:cs="宋体"/>
          <w:color w:val="000000"/>
          <w:spacing w:val="6"/>
          <w:sz w:val="24"/>
          <w:szCs w:val="24"/>
          <w:highlight w:val="none"/>
          <w:u w:val="single"/>
        </w:rPr>
        <w:t xml:space="preserve">  </w:t>
      </w:r>
      <w:r>
        <w:rPr>
          <w:rFonts w:hint="eastAsia" w:ascii="宋体" w:hAnsi="宋体" w:eastAsia="宋体" w:cs="宋体"/>
          <w:color w:val="000000"/>
          <w:spacing w:val="6"/>
          <w:sz w:val="24"/>
          <w:szCs w:val="24"/>
          <w:highlight w:val="none"/>
          <w:u w:val="single"/>
          <w:lang w:val="en-US" w:eastAsia="zh-CN"/>
        </w:rPr>
        <w:t xml:space="preserve">       （法定代表人姓名）</w:t>
      </w:r>
      <w:r>
        <w:rPr>
          <w:rFonts w:hint="eastAsia" w:ascii="宋体" w:hAnsi="宋体" w:eastAsia="宋体" w:cs="宋体"/>
          <w:color w:val="000000"/>
          <w:spacing w:val="6"/>
          <w:sz w:val="24"/>
          <w:szCs w:val="24"/>
          <w:highlight w:val="none"/>
        </w:rPr>
        <w:t>合法授权</w:t>
      </w:r>
      <w:r>
        <w:rPr>
          <w:rFonts w:hint="eastAsia" w:ascii="宋体" w:hAnsi="宋体" w:eastAsia="宋体" w:cs="宋体"/>
          <w:color w:val="000000"/>
          <w:spacing w:val="6"/>
          <w:sz w:val="24"/>
          <w:highlight w:val="none"/>
        </w:rPr>
        <w:t>参加</w:t>
      </w:r>
      <w:r>
        <w:rPr>
          <w:rFonts w:hint="eastAsia" w:ascii="宋体" w:hAnsi="宋体" w:cs="宋体"/>
          <w:color w:val="000000"/>
          <w:spacing w:val="6"/>
          <w:sz w:val="24"/>
          <w:highlight w:val="none"/>
          <w:u w:val="single"/>
          <w:lang w:val="en-US" w:eastAsia="zh-CN"/>
        </w:rPr>
        <w:t>2026年衢江区卫生健康局机房改造建设项目</w:t>
      </w:r>
      <w:r>
        <w:rPr>
          <w:rFonts w:hint="eastAsia" w:ascii="宋体" w:hAnsi="宋体" w:eastAsia="宋体" w:cs="宋体"/>
          <w:color w:val="000000"/>
          <w:spacing w:val="6"/>
          <w:sz w:val="24"/>
          <w:highlight w:val="none"/>
        </w:rPr>
        <w:t>（编号:</w:t>
      </w:r>
      <w:r>
        <w:rPr>
          <w:rFonts w:hint="eastAsia" w:ascii="宋体" w:hAnsi="宋体" w:cs="宋体"/>
          <w:color w:val="000000"/>
          <w:spacing w:val="6"/>
          <w:sz w:val="24"/>
          <w:highlight w:val="none"/>
          <w:lang w:eastAsia="zh-CN"/>
        </w:rPr>
        <w:t>ZJTP-QZF-2026018</w:t>
      </w:r>
      <w:r>
        <w:rPr>
          <w:rFonts w:hint="eastAsia" w:ascii="宋体" w:hAnsi="宋体" w:eastAsia="宋体" w:cs="宋体"/>
          <w:color w:val="000000"/>
          <w:spacing w:val="6"/>
          <w:sz w:val="24"/>
          <w:highlight w:val="none"/>
        </w:rPr>
        <w:t>）</w:t>
      </w:r>
      <w:r>
        <w:rPr>
          <w:rFonts w:hint="eastAsia" w:ascii="宋体" w:hAnsi="宋体" w:eastAsia="宋体" w:cs="宋体"/>
          <w:color w:val="000000"/>
          <w:spacing w:val="6"/>
          <w:sz w:val="24"/>
          <w:highlight w:val="none"/>
          <w:u w:val="none"/>
          <w:lang w:val="en-US" w:eastAsia="zh-CN"/>
        </w:rPr>
        <w:t>的</w:t>
      </w:r>
      <w:r>
        <w:rPr>
          <w:rFonts w:hint="eastAsia" w:ascii="宋体" w:hAnsi="宋体" w:eastAsia="宋体" w:cs="宋体"/>
          <w:color w:val="000000"/>
          <w:spacing w:val="6"/>
          <w:sz w:val="24"/>
          <w:highlight w:val="none"/>
        </w:rPr>
        <w:t xml:space="preserve">采购活动，经与本单位法人代表（负责人）联系确认，现就有关公平竞争事项郑重声明如下： </w:t>
      </w:r>
    </w:p>
    <w:p w14:paraId="50CD1A6B">
      <w:pPr>
        <w:pStyle w:val="43"/>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一、</w:t>
      </w:r>
      <w:r>
        <w:rPr>
          <w:rFonts w:hint="eastAsia" w:ascii="宋体" w:hAnsi="宋体" w:eastAsia="宋体" w:cs="宋体"/>
          <w:color w:val="000000"/>
          <w:kern w:val="0"/>
          <w:sz w:val="24"/>
          <w:highlight w:val="none"/>
        </w:rPr>
        <w:t>本单位与采购人之间 □不存在利害关系 □存在下列利害关系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29BC5942">
      <w:pPr>
        <w:pStyle w:val="43"/>
        <w:keepNext w:val="0"/>
        <w:keepLines w:val="0"/>
        <w:pageBreakBefore w:val="0"/>
        <w:widowControl/>
        <w:kinsoku/>
        <w:wordWrap/>
        <w:overflowPunct/>
        <w:topLinePunct w:val="0"/>
        <w:autoSpaceDE/>
        <w:autoSpaceDN/>
        <w:bidi w:val="0"/>
        <w:adjustRightInd/>
        <w:snapToGrid w:val="0"/>
        <w:spacing w:line="400" w:lineRule="exac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A.投资关系    B.行政隶属关系    C.业务指导关系</w:t>
      </w:r>
    </w:p>
    <w:p w14:paraId="14FBEB13">
      <w:pPr>
        <w:pStyle w:val="43"/>
        <w:keepNext w:val="0"/>
        <w:keepLines w:val="0"/>
        <w:pageBreakBefore w:val="0"/>
        <w:widowControl/>
        <w:kinsoku/>
        <w:wordWrap/>
        <w:overflowPunct/>
        <w:topLinePunct w:val="0"/>
        <w:autoSpaceDE/>
        <w:autoSpaceDN/>
        <w:bidi w:val="0"/>
        <w:adjustRightInd/>
        <w:snapToGrid w:val="0"/>
        <w:spacing w:line="400" w:lineRule="exac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D.其他可能</w:t>
      </w:r>
      <w:r>
        <w:rPr>
          <w:rFonts w:hint="eastAsia" w:ascii="宋体" w:hAnsi="宋体" w:eastAsia="宋体" w:cs="宋体"/>
          <w:color w:val="000000"/>
          <w:sz w:val="24"/>
          <w:highlight w:val="none"/>
        </w:rPr>
        <w:t>影响采购公正的</w:t>
      </w:r>
      <w:r>
        <w:rPr>
          <w:rFonts w:hint="eastAsia" w:ascii="宋体" w:hAnsi="宋体" w:eastAsia="宋体" w:cs="宋体"/>
          <w:color w:val="000000"/>
          <w:kern w:val="0"/>
          <w:sz w:val="24"/>
          <w:highlight w:val="none"/>
        </w:rPr>
        <w:t>利害关系</w:t>
      </w:r>
      <w:r>
        <w:rPr>
          <w:rFonts w:hint="eastAsia" w:ascii="宋体" w:hAnsi="宋体" w:eastAsia="宋体" w:cs="宋体"/>
          <w:color w:val="000000"/>
          <w:kern w:val="0"/>
          <w:sz w:val="24"/>
          <w:highlight w:val="none"/>
          <w:u w:val="single"/>
        </w:rPr>
        <w:t xml:space="preserve">（如有，请如实说明）                 </w:t>
      </w:r>
      <w:r>
        <w:rPr>
          <w:rFonts w:hint="eastAsia" w:ascii="宋体" w:hAnsi="宋体" w:eastAsia="宋体" w:cs="宋体"/>
          <w:color w:val="000000"/>
          <w:kern w:val="0"/>
          <w:sz w:val="24"/>
          <w:highlight w:val="none"/>
        </w:rPr>
        <w:t>。</w:t>
      </w:r>
    </w:p>
    <w:p w14:paraId="4E1CAE2E">
      <w:pPr>
        <w:pStyle w:val="43"/>
        <w:keepNext w:val="0"/>
        <w:keepLines w:val="0"/>
        <w:pageBreakBefore w:val="0"/>
        <w:widowControl/>
        <w:kinsoku/>
        <w:wordWrap/>
        <w:overflowPunct/>
        <w:topLinePunct w:val="0"/>
        <w:autoSpaceDE/>
        <w:autoSpaceDN/>
        <w:bidi w:val="0"/>
        <w:adjustRightInd/>
        <w:snapToGrid w:val="0"/>
        <w:spacing w:line="400" w:lineRule="exact"/>
        <w:ind w:firstLine="504"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spacing w:val="6"/>
          <w:sz w:val="24"/>
          <w:highlight w:val="none"/>
        </w:rPr>
        <w:t>二、</w:t>
      </w:r>
      <w:r>
        <w:rPr>
          <w:rFonts w:hint="eastAsia" w:ascii="宋体" w:hAnsi="宋体" w:eastAsia="宋体" w:cs="宋体"/>
          <w:color w:val="000000"/>
          <w:kern w:val="0"/>
          <w:sz w:val="24"/>
          <w:highlight w:val="none"/>
        </w:rPr>
        <w:t>现已清楚知道参加本项目采购活动的其他所有供应商名称，本单位 □与其他所有供应商之间均不存在利害关系 □与</w:t>
      </w:r>
      <w:r>
        <w:rPr>
          <w:rFonts w:hint="eastAsia" w:ascii="宋体" w:hAnsi="宋体" w:eastAsia="宋体" w:cs="宋体"/>
          <w:color w:val="000000"/>
          <w:kern w:val="0"/>
          <w:sz w:val="24"/>
          <w:highlight w:val="none"/>
          <w:u w:val="single"/>
        </w:rPr>
        <w:t xml:space="preserve">           （供应商名称）</w:t>
      </w:r>
      <w:r>
        <w:rPr>
          <w:rFonts w:hint="eastAsia" w:ascii="宋体" w:hAnsi="宋体" w:eastAsia="宋体" w:cs="宋体"/>
          <w:color w:val="000000"/>
          <w:kern w:val="0"/>
          <w:sz w:val="24"/>
          <w:highlight w:val="none"/>
        </w:rPr>
        <w:t>之间存在下列利害关系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13C28CD">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A.法定代表人或负责人或实际控制人是同一人</w:t>
      </w:r>
    </w:p>
    <w:p w14:paraId="6FEC91C9">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kern w:val="0"/>
          <w:sz w:val="24"/>
          <w:highlight w:val="none"/>
        </w:rPr>
        <w:t xml:space="preserve">  B.法定代表人或负责人或实际控制人是夫妻关系</w:t>
      </w:r>
    </w:p>
    <w:p w14:paraId="745E4226">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kern w:val="0"/>
          <w:sz w:val="24"/>
          <w:highlight w:val="none"/>
        </w:rPr>
        <w:t xml:space="preserve">  C.法定代表人或负责人或实际控制人是直系血亲关系</w:t>
      </w:r>
    </w:p>
    <w:p w14:paraId="03ABB5D8">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kern w:val="0"/>
          <w:sz w:val="24"/>
          <w:highlight w:val="none"/>
        </w:rPr>
        <w:t xml:space="preserve">  D.法定代表人或负责人或实际控制人存在三代以内旁系血亲关系</w:t>
      </w:r>
    </w:p>
    <w:p w14:paraId="1B86AC33">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E.法定代表人或负责人或实际控制人存在近姻亲关系</w:t>
      </w:r>
    </w:p>
    <w:p w14:paraId="3499AD88">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F.法定代表人或负责人或实际控制人存在股份控制或实际控制关系</w:t>
      </w:r>
    </w:p>
    <w:p w14:paraId="6B2257D6">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outlineLvl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G.存在共同直接或间接投资设立子公司、联营企业和合营企业情况</w:t>
      </w:r>
    </w:p>
    <w:p w14:paraId="0D971691">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H.存在分级代理或代销关系、同一生产制造商关系、</w:t>
      </w:r>
      <w:r>
        <w:rPr>
          <w:rFonts w:hint="eastAsia" w:ascii="宋体" w:hAnsi="宋体" w:eastAsia="宋体" w:cs="宋体"/>
          <w:color w:val="000000"/>
          <w:sz w:val="24"/>
          <w:highlight w:val="none"/>
        </w:rPr>
        <w:t>管理关系、重要业务（占主营业务收入50%以上）或重要财务往来关系（如融资）等其他实质性控制关系</w:t>
      </w:r>
    </w:p>
    <w:p w14:paraId="2076595E">
      <w:pPr>
        <w:pStyle w:val="42"/>
        <w:keepNext w:val="0"/>
        <w:keepLines w:val="0"/>
        <w:pageBreakBefore w:val="0"/>
        <w:widowControl w:val="0"/>
        <w:kinsoku/>
        <w:wordWrap/>
        <w:overflowPunct/>
        <w:topLinePunct w:val="0"/>
        <w:autoSpaceDE/>
        <w:autoSpaceDN/>
        <w:bidi w:val="0"/>
        <w:adjustRightInd/>
        <w:snapToGrid w:val="0"/>
        <w:spacing w:line="400" w:lineRule="exact"/>
        <w:jc w:val="both"/>
        <w:textAlignment w:val="baseline"/>
        <w:rPr>
          <w:rFonts w:hint="eastAsia" w:ascii="宋体" w:hAnsi="宋体" w:eastAsia="宋体" w:cs="宋体"/>
          <w:color w:val="000000"/>
          <w:spacing w:val="6"/>
          <w:sz w:val="24"/>
          <w:highlight w:val="none"/>
        </w:rPr>
      </w:pPr>
      <w:r>
        <w:rPr>
          <w:rFonts w:hint="eastAsia" w:ascii="宋体" w:hAnsi="宋体" w:eastAsia="宋体" w:cs="宋体"/>
          <w:color w:val="000000"/>
          <w:sz w:val="24"/>
          <w:highlight w:val="none"/>
        </w:rPr>
        <w:t xml:space="preserve">    I</w:t>
      </w:r>
      <w:r>
        <w:rPr>
          <w:rFonts w:hint="eastAsia" w:ascii="宋体" w:hAnsi="宋体" w:eastAsia="宋体" w:cs="宋体"/>
          <w:color w:val="000000"/>
          <w:kern w:val="0"/>
          <w:sz w:val="24"/>
          <w:highlight w:val="none"/>
        </w:rPr>
        <w:t>.</w:t>
      </w:r>
      <w:r>
        <w:rPr>
          <w:rFonts w:hint="eastAsia" w:ascii="宋体" w:hAnsi="宋体" w:eastAsia="宋体" w:cs="宋体"/>
          <w:color w:val="000000"/>
          <w:sz w:val="24"/>
          <w:highlight w:val="none"/>
        </w:rPr>
        <w:t>其他利害关系情况</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w:t>
      </w:r>
    </w:p>
    <w:p w14:paraId="58A41ABB">
      <w:pPr>
        <w:pStyle w:val="43"/>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lang w:val="en-US" w:eastAsia="zh-CN"/>
        </w:rPr>
        <w:t>三、</w:t>
      </w:r>
      <w:r>
        <w:rPr>
          <w:rFonts w:hint="eastAsia" w:ascii="宋体" w:hAnsi="宋体" w:eastAsia="宋体" w:cs="宋体"/>
          <w:color w:val="000000"/>
          <w:sz w:val="24"/>
          <w:highlight w:val="none"/>
        </w:rPr>
        <w:t>现已清楚知道并</w:t>
      </w:r>
      <w:r>
        <w:rPr>
          <w:rFonts w:hint="eastAsia" w:ascii="宋体" w:hAnsi="宋体" w:eastAsia="宋体" w:cs="宋体"/>
          <w:color w:val="000000"/>
          <w:kern w:val="0"/>
          <w:sz w:val="24"/>
          <w:highlight w:val="none"/>
        </w:rPr>
        <w:t>严格遵守政府采购法律法规和现场纪律。</w:t>
      </w:r>
    </w:p>
    <w:p w14:paraId="0C6A79DD">
      <w:pPr>
        <w:pStyle w:val="43"/>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rPr>
        <w:t>四、</w:t>
      </w:r>
      <w:r>
        <w:rPr>
          <w:rFonts w:hint="eastAsia" w:ascii="宋体" w:hAnsi="宋体" w:eastAsia="宋体" w:cs="宋体"/>
          <w:color w:val="000000"/>
          <w:kern w:val="0"/>
          <w:sz w:val="24"/>
          <w:highlight w:val="none"/>
        </w:rPr>
        <w:t>我发现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供应商之间存在或可能存在上述第二条第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项利害关系。</w:t>
      </w:r>
    </w:p>
    <w:p w14:paraId="0FB73D37">
      <w:pPr>
        <w:pStyle w:val="42"/>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（供应商代表签名）：</w:t>
      </w:r>
    </w:p>
    <w:p w14:paraId="57F1D6C2">
      <w:pPr>
        <w:pStyle w:val="42"/>
        <w:keepNext w:val="0"/>
        <w:keepLines w:val="0"/>
        <w:pageBreakBefore w:val="0"/>
        <w:widowControl w:val="0"/>
        <w:kinsoku/>
        <w:wordWrap/>
        <w:overflowPunct/>
        <w:topLinePunct w:val="0"/>
        <w:autoSpaceDE/>
        <w:autoSpaceDN/>
        <w:bidi w:val="0"/>
        <w:adjustRightInd/>
        <w:snapToGrid w:val="0"/>
        <w:spacing w:line="400" w:lineRule="exact"/>
        <w:ind w:firstLine="6240" w:firstLineChars="2600"/>
        <w:jc w:val="right"/>
        <w:rPr>
          <w:rFonts w:hint="eastAsia" w:ascii="宋体" w:hAnsi="宋体" w:eastAsia="宋体" w:cs="宋体"/>
          <w:color w:val="000000"/>
          <w:sz w:val="24"/>
          <w:highlight w:val="none"/>
        </w:rPr>
      </w:pPr>
    </w:p>
    <w:p w14:paraId="634BE516">
      <w:pPr>
        <w:pStyle w:val="10"/>
        <w:keepNext w:val="0"/>
        <w:keepLines w:val="0"/>
        <w:pageBreakBefore w:val="0"/>
        <w:kinsoku/>
        <w:wordWrap/>
        <w:overflowPunct/>
        <w:topLinePunct w:val="0"/>
        <w:autoSpaceDE/>
        <w:autoSpaceDN/>
        <w:bidi w:val="0"/>
        <w:adjustRightInd/>
        <w:spacing w:after="0" w:afterLines="0" w:line="400" w:lineRule="exact"/>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期：20</w:t>
      </w:r>
      <w:r>
        <w:rPr>
          <w:rFonts w:hint="eastAsia" w:ascii="宋体" w:hAnsi="宋体" w:eastAsia="宋体" w:cs="宋体"/>
          <w:color w:val="000000"/>
          <w:sz w:val="24"/>
          <w:highlight w:val="none"/>
          <w:lang w:val="en-US" w:eastAsia="zh-CN"/>
        </w:rPr>
        <w:t>2</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日</w:t>
      </w:r>
    </w:p>
    <w:p w14:paraId="6E720ECD">
      <w:pPr>
        <w:rPr>
          <w:rFonts w:hint="eastAsia" w:ascii="宋体" w:hAnsi="宋体" w:eastAsia="宋体" w:cs="宋体"/>
          <w:highlight w:val="none"/>
        </w:rPr>
      </w:pPr>
    </w:p>
    <w:p w14:paraId="326AFF26">
      <w:pPr>
        <w:rPr>
          <w:rFonts w:hint="eastAsia" w:ascii="宋体" w:hAnsi="宋体" w:eastAsia="宋体" w:cs="宋体"/>
          <w:color w:val="000000"/>
          <w:sz w:val="24"/>
          <w:highlight w:val="none"/>
          <w:lang w:val="en-US" w:eastAsia="zh-CN"/>
        </w:rPr>
      </w:pPr>
    </w:p>
    <w:p w14:paraId="093D6C01">
      <w:pPr>
        <w:rPr>
          <w:rFonts w:hint="eastAsia" w:ascii="宋体" w:hAnsi="宋体" w:eastAsia="宋体" w:cs="宋体"/>
          <w:color w:val="000000"/>
          <w:sz w:val="24"/>
          <w:highlight w:val="none"/>
          <w:lang w:val="en-US" w:eastAsia="zh-CN"/>
        </w:rPr>
      </w:pPr>
    </w:p>
    <w:p w14:paraId="4E3AB6FB">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000000"/>
          <w:sz w:val="32"/>
          <w:szCs w:val="32"/>
          <w:highlight w:val="none"/>
          <w:lang w:val="en-US" w:eastAsia="zh-CN"/>
        </w:rPr>
        <w:t>备注：《</w:t>
      </w:r>
      <w:r>
        <w:rPr>
          <w:rFonts w:hint="eastAsia" w:ascii="宋体" w:hAnsi="宋体" w:eastAsia="宋体" w:cs="宋体"/>
          <w:b/>
          <w:bCs/>
          <w:color w:val="auto"/>
          <w:sz w:val="32"/>
          <w:szCs w:val="32"/>
          <w:highlight w:val="none"/>
        </w:rPr>
        <w:t>政府采购活动现场确认声明书</w:t>
      </w:r>
      <w:r>
        <w:rPr>
          <w:rFonts w:hint="eastAsia" w:ascii="宋体" w:hAnsi="宋体" w:eastAsia="宋体" w:cs="宋体"/>
          <w:b/>
          <w:bCs/>
          <w:color w:val="000000"/>
          <w:sz w:val="32"/>
          <w:szCs w:val="32"/>
          <w:highlight w:val="none"/>
          <w:lang w:val="en-US" w:eastAsia="zh-CN"/>
        </w:rPr>
        <w:t>》无需在投标文件中提供，</w:t>
      </w:r>
      <w:r>
        <w:rPr>
          <w:rFonts w:hint="eastAsia" w:ascii="宋体" w:hAnsi="宋体" w:eastAsia="宋体" w:cs="宋体"/>
          <w:b/>
          <w:bCs/>
          <w:color w:val="auto"/>
          <w:sz w:val="32"/>
          <w:szCs w:val="32"/>
          <w:highlight w:val="none"/>
          <w:lang w:val="en-US" w:eastAsia="zh-CN"/>
        </w:rPr>
        <w:t>投标</w:t>
      </w:r>
      <w:r>
        <w:rPr>
          <w:rFonts w:hint="eastAsia" w:ascii="宋体" w:hAnsi="宋体" w:eastAsia="宋体" w:cs="宋体"/>
          <w:b/>
          <w:bCs/>
          <w:color w:val="auto"/>
          <w:sz w:val="32"/>
          <w:szCs w:val="32"/>
          <w:highlight w:val="none"/>
        </w:rPr>
        <w:t>文件解密结束，各供应商</w:t>
      </w:r>
      <w:r>
        <w:rPr>
          <w:rFonts w:hint="eastAsia" w:ascii="宋体" w:hAnsi="宋体" w:eastAsia="宋体" w:cs="宋体"/>
          <w:b/>
          <w:bCs/>
          <w:color w:val="auto"/>
          <w:sz w:val="32"/>
          <w:szCs w:val="32"/>
          <w:highlight w:val="none"/>
          <w:lang w:val="en-US" w:eastAsia="zh-CN"/>
        </w:rPr>
        <w:t>自行</w:t>
      </w:r>
      <w:r>
        <w:rPr>
          <w:rFonts w:hint="eastAsia" w:ascii="宋体" w:hAnsi="宋体" w:eastAsia="宋体" w:cs="宋体"/>
          <w:b/>
          <w:bCs/>
          <w:color w:val="auto"/>
          <w:sz w:val="32"/>
          <w:szCs w:val="32"/>
          <w:highlight w:val="none"/>
        </w:rPr>
        <w:t>签署《政府采购活动现场确认声明书》通过邮件形式发送</w:t>
      </w:r>
      <w:r>
        <w:rPr>
          <w:rFonts w:hint="eastAsia" w:ascii="宋体" w:hAnsi="宋体" w:eastAsia="宋体" w:cs="宋体"/>
          <w:b/>
          <w:bCs/>
          <w:color w:val="auto"/>
          <w:sz w:val="32"/>
          <w:szCs w:val="32"/>
          <w:highlight w:val="none"/>
          <w:lang w:val="en-US" w:eastAsia="zh-CN"/>
        </w:rPr>
        <w:t>给招标代理机构，邮箱：915482302@qq.com</w:t>
      </w:r>
    </w:p>
    <w:p w14:paraId="54606CEB">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lang w:val="en-US" w:eastAsia="zh-CN"/>
        </w:rPr>
      </w:pPr>
      <w:bookmarkStart w:id="61" w:name="_Toc16262"/>
      <w:bookmarkStart w:id="62" w:name="_Toc2416"/>
      <w:bookmarkStart w:id="63" w:name="_Toc13915"/>
      <w:bookmarkStart w:id="64" w:name="_Toc4749"/>
      <w:r>
        <w:rPr>
          <w:rFonts w:hint="eastAsia" w:ascii="宋体" w:hAnsi="宋体" w:eastAsia="宋体" w:cs="宋体"/>
          <w:color w:val="auto"/>
          <w:sz w:val="28"/>
          <w:szCs w:val="28"/>
          <w:highlight w:val="none"/>
          <w:lang w:val="zh-CN" w:eastAsia="zh-CN"/>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eastAsia="zh-CN"/>
        </w:rPr>
        <w:t>评标办法及开标程序</w:t>
      </w:r>
      <w:bookmarkEnd w:id="61"/>
      <w:bookmarkEnd w:id="62"/>
      <w:bookmarkEnd w:id="63"/>
      <w:bookmarkEnd w:id="64"/>
      <w:bookmarkStart w:id="65" w:name="_Toc27912"/>
      <w:bookmarkStart w:id="66" w:name="_Toc185"/>
      <w:bookmarkStart w:id="67" w:name="_Toc9554"/>
      <w:bookmarkStart w:id="68" w:name="_Toc476644268"/>
    </w:p>
    <w:p w14:paraId="433A760A">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bookmarkStart w:id="69" w:name="_Toc26885"/>
      <w:r>
        <w:rPr>
          <w:rFonts w:hint="eastAsia" w:ascii="宋体" w:hAnsi="宋体" w:eastAsia="宋体" w:cs="宋体"/>
          <w:color w:val="auto"/>
          <w:sz w:val="24"/>
          <w:szCs w:val="24"/>
          <w:highlight w:val="none"/>
        </w:rPr>
        <w:t>一、评标原则</w:t>
      </w:r>
      <w:bookmarkEnd w:id="65"/>
      <w:bookmarkEnd w:id="66"/>
      <w:bookmarkEnd w:id="67"/>
      <w:bookmarkEnd w:id="69"/>
    </w:p>
    <w:p w14:paraId="2E257E5C">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工作遵循公平、公正、科学、择优原则和诚实、信誉、效率的服务原则。本着科学、严谨的态度，认真进行评标。择优选用，推进技术进步，确保服务质量、交货按期，节约投资，最大限度的保护当事人权益。严格按照招标文件的</w:t>
      </w:r>
      <w:r>
        <w:rPr>
          <w:rFonts w:hint="eastAsia" w:ascii="宋体" w:hAnsi="宋体" w:eastAsia="宋体" w:cs="宋体"/>
          <w:color w:val="auto"/>
          <w:sz w:val="24"/>
          <w:szCs w:val="24"/>
          <w:highlight w:val="none"/>
          <w:lang w:val="en-US" w:eastAsia="zh-CN"/>
        </w:rPr>
        <w:t>资格审查文件、商务技术文件、报价文件</w:t>
      </w:r>
      <w:r>
        <w:rPr>
          <w:rFonts w:hint="eastAsia" w:ascii="宋体" w:hAnsi="宋体" w:eastAsia="宋体" w:cs="宋体"/>
          <w:color w:val="auto"/>
          <w:sz w:val="24"/>
          <w:szCs w:val="24"/>
          <w:highlight w:val="none"/>
        </w:rPr>
        <w:t>要求，对投标文件进行综合评定，提出优选方案，编写评标报告。对落标单位，评委会不做任何落标解释。投标人不得以任何方式干扰招投标工作的进行，一经发现，其投标文件将被拒绝。</w:t>
      </w:r>
      <w:bookmarkStart w:id="70" w:name="_Toc7988"/>
      <w:bookmarkStart w:id="71" w:name="_Toc15574"/>
      <w:bookmarkStart w:id="72" w:name="_Toc21777"/>
      <w:bookmarkStart w:id="73" w:name="_Toc17048"/>
    </w:p>
    <w:p w14:paraId="420EA793">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二、评标组织</w:t>
      </w:r>
      <w:bookmarkEnd w:id="70"/>
      <w:bookmarkEnd w:id="71"/>
      <w:bookmarkEnd w:id="72"/>
      <w:bookmarkEnd w:id="73"/>
    </w:p>
    <w:p w14:paraId="7F594940">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1.评标工作由招标代理机构负责组织，具体评标事务由评标委员会负责。评标委员会由有关技术等方面的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名专家组成。其中</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代表不得超过1人且不能担任评标委员会组长，相关专家不少于成员总数的2/3。</w:t>
      </w:r>
    </w:p>
    <w:p w14:paraId="3DEAC376">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2.询标期间，投标人法人代表或法人授权代理人必须在场，负责解答有关事宜。如不在场，则事后不得对招标过程及结果提出异议。</w:t>
      </w:r>
    </w:p>
    <w:p w14:paraId="671F9C94">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bookmarkStart w:id="74" w:name="_Toc25931"/>
      <w:bookmarkStart w:id="75" w:name="_Toc11138"/>
      <w:bookmarkStart w:id="76" w:name="_Toc32336"/>
      <w:bookmarkStart w:id="77" w:name="_Toc10583"/>
      <w:r>
        <w:rPr>
          <w:rFonts w:hint="eastAsia" w:ascii="宋体" w:hAnsi="宋体" w:eastAsia="宋体" w:cs="宋体"/>
          <w:color w:val="auto"/>
          <w:sz w:val="24"/>
          <w:szCs w:val="24"/>
          <w:highlight w:val="none"/>
        </w:rPr>
        <w:t>三、评标程序</w:t>
      </w:r>
      <w:bookmarkEnd w:id="74"/>
      <w:bookmarkEnd w:id="75"/>
      <w:bookmarkEnd w:id="76"/>
      <w:bookmarkEnd w:id="77"/>
    </w:p>
    <w:p w14:paraId="2031DF14">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rPr>
        <w:t>采购人或代理机构</w:t>
      </w:r>
      <w:r>
        <w:rPr>
          <w:rFonts w:hint="eastAsia" w:ascii="宋体" w:hAnsi="宋体" w:eastAsia="宋体" w:cs="宋体"/>
          <w:color w:val="auto"/>
          <w:sz w:val="24"/>
          <w:szCs w:val="24"/>
          <w:highlight w:val="none"/>
        </w:rPr>
        <w:t>对各投标人的投标资格审查文件进行审查；然后</w:t>
      </w:r>
      <w:r>
        <w:rPr>
          <w:rFonts w:hint="eastAsia" w:ascii="宋体" w:hAnsi="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对合格投标人的商务技术文件进行评审；商务技术文件评审结束后即公布投标人商务技术得分情况，之后开报价文件；对报价文件评审后，根据综合评审结果，提交评审报告。</w:t>
      </w:r>
    </w:p>
    <w:p w14:paraId="19048E49">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bookmarkStart w:id="78" w:name="_Toc10496"/>
      <w:bookmarkStart w:id="79" w:name="_Toc2637"/>
      <w:bookmarkStart w:id="80" w:name="_Toc22388"/>
      <w:bookmarkStart w:id="81" w:name="_Toc1990"/>
      <w:r>
        <w:rPr>
          <w:rFonts w:hint="eastAsia" w:ascii="宋体" w:hAnsi="宋体" w:eastAsia="宋体" w:cs="宋体"/>
          <w:color w:val="auto"/>
          <w:sz w:val="24"/>
          <w:szCs w:val="24"/>
          <w:highlight w:val="none"/>
        </w:rPr>
        <w:t>四、评标办法</w:t>
      </w:r>
      <w:bookmarkEnd w:id="78"/>
      <w:bookmarkEnd w:id="79"/>
      <w:bookmarkEnd w:id="80"/>
      <w:bookmarkEnd w:id="81"/>
    </w:p>
    <w:p w14:paraId="159A9CCC">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本次招标的评标办法采用百分制综合评分法。根据本项目招标文件的要求，按照本办法规定的内容和分值设置，资格审查采用合格制，商务技术为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分，价格分为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分，对投标人的投标文件中的商务技术、报价等内容进行评分，最终得出综合得分。</w:t>
      </w:r>
    </w:p>
    <w:p w14:paraId="50D4579D">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评标结果按评审后得分由高到低顺序排列，确定综合得分最高的供应商为中标</w:t>
      </w:r>
      <w:r>
        <w:rPr>
          <w:rFonts w:hint="eastAsia" w:ascii="宋体" w:hAnsi="宋体" w:cs="宋体"/>
          <w:snapToGrid w:val="0"/>
          <w:color w:val="auto"/>
          <w:kern w:val="0"/>
          <w:sz w:val="24"/>
          <w:szCs w:val="24"/>
          <w:highlight w:val="none"/>
          <w:lang w:val="en-US" w:eastAsia="zh-CN"/>
        </w:rPr>
        <w:t>候选</w:t>
      </w:r>
      <w:r>
        <w:rPr>
          <w:rFonts w:hint="eastAsia" w:ascii="宋体" w:hAnsi="宋体" w:eastAsia="宋体" w:cs="宋体"/>
          <w:snapToGrid w:val="0"/>
          <w:color w:val="auto"/>
          <w:kern w:val="0"/>
          <w:sz w:val="24"/>
          <w:szCs w:val="24"/>
          <w:highlight w:val="none"/>
        </w:rPr>
        <w:t>人，如出现综合得分相同时，投标报价低的优先；如综合得分和投标报价均相同，则现场抽签确定</w:t>
      </w:r>
      <w:r>
        <w:rPr>
          <w:rFonts w:hint="eastAsia" w:ascii="宋体" w:hAnsi="宋体" w:eastAsia="宋体" w:cs="宋体"/>
          <w:snapToGrid w:val="0"/>
          <w:color w:val="auto"/>
          <w:kern w:val="0"/>
          <w:sz w:val="24"/>
          <w:szCs w:val="24"/>
          <w:highlight w:val="none"/>
          <w:lang w:eastAsia="zh-CN"/>
        </w:rPr>
        <w:t>。</w:t>
      </w:r>
    </w:p>
    <w:p w14:paraId="57756735">
      <w:pPr>
        <w:keepNext w:val="0"/>
        <w:keepLines w:val="0"/>
        <w:pageBreakBefore w:val="0"/>
        <w:widowControl/>
        <w:kinsoku/>
        <w:wordWrap/>
        <w:overflowPunct/>
        <w:topLinePunct w:val="0"/>
        <w:autoSpaceDE/>
        <w:autoSpaceDN/>
        <w:bidi w:val="0"/>
        <w:adjustRightInd/>
        <w:snapToGrid w:val="0"/>
        <w:spacing w:before="120" w:beforeLines="50" w:after="120" w:afterLines="50" w:line="500" w:lineRule="exact"/>
        <w:ind w:firstLine="480" w:firstLineChars="200"/>
        <w:textAlignment w:val="auto"/>
        <w:outlineLvl w:val="1"/>
        <w:rPr>
          <w:rFonts w:hint="eastAsia" w:ascii="宋体" w:hAnsi="宋体" w:eastAsia="宋体" w:cs="宋体"/>
          <w:color w:val="auto"/>
          <w:sz w:val="24"/>
          <w:szCs w:val="24"/>
          <w:highlight w:val="none"/>
        </w:rPr>
      </w:pPr>
      <w:bookmarkStart w:id="82" w:name="_Toc6549"/>
      <w:bookmarkStart w:id="83" w:name="_Toc13906"/>
      <w:bookmarkStart w:id="84" w:name="_Toc28686"/>
      <w:bookmarkStart w:id="85" w:name="_Toc22657"/>
      <w:r>
        <w:rPr>
          <w:rFonts w:hint="eastAsia" w:ascii="宋体" w:hAnsi="宋体" w:eastAsia="宋体" w:cs="宋体"/>
          <w:color w:val="auto"/>
          <w:sz w:val="24"/>
          <w:szCs w:val="24"/>
          <w:highlight w:val="none"/>
        </w:rPr>
        <w:t>五、评分原则</w:t>
      </w:r>
      <w:bookmarkEnd w:id="82"/>
      <w:bookmarkEnd w:id="83"/>
      <w:bookmarkEnd w:id="84"/>
      <w:bookmarkEnd w:id="85"/>
    </w:p>
    <w:p w14:paraId="4B7E80E6">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（一）商务技术评分（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6DF9A3BB">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商务技术文件评分的评定由各评委成员按评分细则进行评审打分，每人一张评分计算表，并记名。投标文件各项评分内容由评标委员会成员各自独立评分，如某张表的一个因素项目超过规定的分值范围，则该张表无效。各评标委员会成员对各投标人的各项评分内容评分合计的算术平均值为各投标人最终商务技术文件得分（计算过程中小数点后按四舍五入保留2位）。</w:t>
      </w:r>
    </w:p>
    <w:p w14:paraId="4DAEB5FA">
      <w:pPr>
        <w:pStyle w:val="20"/>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）评分细则</w:t>
      </w:r>
    </w:p>
    <w:bookmarkEnd w:id="68"/>
    <w:tbl>
      <w:tblPr>
        <w:tblStyle w:val="2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95"/>
        <w:gridCol w:w="7137"/>
        <w:gridCol w:w="726"/>
      </w:tblGrid>
      <w:tr w14:paraId="1963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6304AFA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bookmarkStart w:id="86" w:name="_Toc3034"/>
            <w:bookmarkStart w:id="87" w:name="_Toc12749"/>
            <w:bookmarkStart w:id="88" w:name="_Toc20996"/>
            <w:bookmarkStart w:id="89" w:name="_Toc8190"/>
            <w:r>
              <w:rPr>
                <w:rFonts w:hint="eastAsia" w:ascii="宋体" w:hAnsi="宋体" w:eastAsia="宋体" w:cs="宋体"/>
                <w:sz w:val="24"/>
                <w:szCs w:val="24"/>
                <w:highlight w:val="none"/>
              </w:rPr>
              <w:t>序号</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58DD4C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0F20FB8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评审细则</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1A1957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14:paraId="39DD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0D0D9A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7B38E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p w14:paraId="06F0E4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【客观分】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242D987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2023年1月1日至投标截止时间，投标人承担过类似项目，每提供一个得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分，本项最高得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p w14:paraId="4BD45527">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证明材料是指：合同</w:t>
            </w:r>
            <w:r>
              <w:rPr>
                <w:rFonts w:hint="eastAsia" w:ascii="宋体" w:hAnsi="宋体" w:eastAsia="宋体" w:cs="宋体"/>
                <w:b/>
                <w:bCs/>
                <w:sz w:val="24"/>
                <w:szCs w:val="24"/>
                <w:highlight w:val="none"/>
                <w:lang w:val="en-US" w:eastAsia="zh-CN"/>
              </w:rPr>
              <w:t>。</w:t>
            </w:r>
          </w:p>
          <w:p w14:paraId="58F0FEB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备注：</w:t>
            </w:r>
            <w:r>
              <w:rPr>
                <w:rFonts w:hint="eastAsia" w:ascii="宋体" w:hAnsi="宋体" w:eastAsia="宋体" w:cs="宋体"/>
                <w:b/>
                <w:bCs/>
                <w:sz w:val="24"/>
                <w:szCs w:val="24"/>
                <w:highlight w:val="none"/>
                <w:lang w:val="en-US" w:eastAsia="zh-CN"/>
              </w:rPr>
              <w:t>类似项目</w:t>
            </w:r>
            <w:r>
              <w:rPr>
                <w:rFonts w:hint="eastAsia" w:ascii="宋体" w:hAnsi="宋体" w:eastAsia="宋体" w:cs="宋体"/>
                <w:b/>
                <w:bCs/>
                <w:sz w:val="24"/>
                <w:szCs w:val="24"/>
                <w:highlight w:val="none"/>
              </w:rPr>
              <w:t>时间以合同最后落款时间为准。证明材料扫描件加盖投标人公章（或电子章）编入商务技术文件，未按本条规定提供证明材料或证明材料不符合本条规定要求的，不得分。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20FF0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p>
        </w:tc>
      </w:tr>
      <w:tr w14:paraId="4F74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65B88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5DBC1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val="en-US" w:eastAsia="zh-CN"/>
              </w:rPr>
              <w:t>拟派项目服务团队</w:t>
            </w:r>
            <w:r>
              <w:rPr>
                <w:rFonts w:hint="eastAsia" w:ascii="宋体" w:hAnsi="宋体" w:eastAsia="宋体" w:cs="宋体"/>
                <w:color w:val="auto"/>
                <w:kern w:val="2"/>
                <w:sz w:val="24"/>
                <w:szCs w:val="24"/>
                <w:highlight w:val="none"/>
                <w:lang w:val="en-US" w:eastAsia="zh-CN" w:bidi="ar-SA"/>
              </w:rPr>
              <w:t>【客观分】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7922186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投标人</w:t>
            </w:r>
            <w:r>
              <w:rPr>
                <w:rFonts w:hint="eastAsia" w:ascii="宋体" w:hAnsi="宋体" w:cs="宋体"/>
                <w:sz w:val="24"/>
                <w:szCs w:val="24"/>
                <w:highlight w:val="none"/>
                <w:lang w:val="en-US" w:eastAsia="zh-CN"/>
              </w:rPr>
              <w:t>拟派项目负责人具有人力资源和社会保障部门颁发的计算机技术和软件专业</w:t>
            </w:r>
            <w:r>
              <w:rPr>
                <w:rFonts w:hint="eastAsia" w:ascii="宋体" w:hAnsi="宋体" w:cs="宋体"/>
                <w:sz w:val="24"/>
                <w:szCs w:val="24"/>
                <w:highlight w:val="none"/>
                <w:lang w:val="en-US" w:eastAsia="zh-CN"/>
              </w:rPr>
              <w:fldChar w:fldCharType="begin"/>
            </w:r>
            <w:r>
              <w:rPr>
                <w:rFonts w:hint="eastAsia" w:ascii="宋体" w:hAnsi="宋体" w:cs="宋体"/>
                <w:sz w:val="24"/>
                <w:szCs w:val="24"/>
                <w:highlight w:val="none"/>
                <w:lang w:val="en-US" w:eastAsia="zh-CN"/>
              </w:rPr>
              <w:instrText xml:space="preserve"> HYPERLINK "https://jxj.ningbo.gov.cn/art/2023/4/27/art_1229727785_58936752.html" \o "信息系统项目管理师" \t "https://jxj.ningbo.gov.cn/col/col1229723534/_blank" </w:instrText>
            </w:r>
            <w:r>
              <w:rPr>
                <w:rFonts w:hint="eastAsia" w:ascii="宋体" w:hAnsi="宋体" w:cs="宋体"/>
                <w:sz w:val="24"/>
                <w:szCs w:val="24"/>
                <w:highlight w:val="none"/>
                <w:lang w:val="en-US" w:eastAsia="zh-CN"/>
              </w:rPr>
              <w:fldChar w:fldCharType="separate"/>
            </w:r>
            <w:r>
              <w:rPr>
                <w:rFonts w:hint="eastAsia" w:ascii="宋体" w:hAnsi="宋体" w:cs="宋体"/>
                <w:sz w:val="24"/>
                <w:szCs w:val="24"/>
                <w:highlight w:val="none"/>
                <w:lang w:val="en-US" w:eastAsia="zh-CN"/>
              </w:rPr>
              <w:t>信息系统项目管理师</w:t>
            </w:r>
            <w:r>
              <w:rPr>
                <w:rFonts w:hint="eastAsia" w:ascii="宋体" w:hAnsi="宋体" w:cs="宋体"/>
                <w:sz w:val="24"/>
                <w:szCs w:val="24"/>
                <w:highlight w:val="none"/>
                <w:lang w:val="en-US" w:eastAsia="zh-CN"/>
              </w:rPr>
              <w:fldChar w:fldCharType="end"/>
            </w:r>
            <w:r>
              <w:rPr>
                <w:rFonts w:hint="eastAsia" w:ascii="宋体" w:hAnsi="宋体" w:cs="宋体"/>
                <w:sz w:val="24"/>
                <w:szCs w:val="24"/>
                <w:highlight w:val="none"/>
                <w:lang w:val="en-US" w:eastAsia="zh-CN"/>
              </w:rPr>
              <w:t>证书的，得1分。</w:t>
            </w:r>
          </w:p>
          <w:p w14:paraId="0D4995D0">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证明材料是指：</w:t>
            </w:r>
            <w:r>
              <w:rPr>
                <w:rFonts w:hint="eastAsia" w:ascii="宋体" w:hAnsi="宋体" w:cs="宋体"/>
                <w:b/>
                <w:bCs/>
                <w:sz w:val="24"/>
                <w:szCs w:val="24"/>
                <w:highlight w:val="none"/>
                <w:lang w:val="en-US" w:eastAsia="zh-CN"/>
              </w:rPr>
              <w:t>①</w:t>
            </w: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"https://jxj.ningbo.gov.cn/art/2023/4/27/art_1229727785_58936752.html" \o "信息系统项目管理师" \t "https://jxj.ningbo.gov.cn/col/col1229723534/_blank"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lang w:val="en-US" w:eastAsia="zh-CN"/>
              </w:rPr>
              <w:t>信息系统项目管理师</w:t>
            </w:r>
            <w:r>
              <w:rPr>
                <w:rFonts w:hint="eastAsia" w:ascii="宋体" w:hAnsi="宋体" w:eastAsia="宋体" w:cs="宋体"/>
                <w:b/>
                <w:bCs/>
                <w:sz w:val="24"/>
                <w:szCs w:val="24"/>
                <w:highlight w:val="none"/>
                <w:lang w:val="en-US" w:eastAsia="zh-CN"/>
              </w:rPr>
              <w:fldChar w:fldCharType="end"/>
            </w:r>
            <w:r>
              <w:rPr>
                <w:rFonts w:hint="eastAsia" w:ascii="宋体" w:hAnsi="宋体" w:eastAsia="宋体" w:cs="宋体"/>
                <w:b/>
                <w:bCs/>
                <w:sz w:val="24"/>
                <w:szCs w:val="24"/>
                <w:highlight w:val="none"/>
                <w:lang w:val="en-US" w:eastAsia="zh-CN"/>
              </w:rPr>
              <w:t>证书</w:t>
            </w:r>
            <w:r>
              <w:rPr>
                <w:rFonts w:hint="eastAsia" w:ascii="宋体" w:hAnsi="宋体" w:cs="宋体"/>
                <w:b/>
                <w:bCs/>
                <w:sz w:val="24"/>
                <w:szCs w:val="24"/>
                <w:highlight w:val="none"/>
                <w:lang w:val="en-US" w:eastAsia="zh-CN"/>
              </w:rPr>
              <w:t>；②2026年3月至投标截止时间任意一个月投标人为拟派项目负责人缴纳社保证明材料。①和②缺一不可。</w:t>
            </w:r>
          </w:p>
          <w:p w14:paraId="3C7489D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sz w:val="24"/>
                <w:szCs w:val="24"/>
                <w:highlight w:val="none"/>
              </w:rPr>
              <w:t>投标人</w:t>
            </w:r>
            <w:r>
              <w:rPr>
                <w:rFonts w:hint="eastAsia" w:ascii="宋体" w:hAnsi="宋体" w:cs="宋体"/>
                <w:sz w:val="24"/>
                <w:szCs w:val="24"/>
                <w:highlight w:val="none"/>
                <w:lang w:val="en-US" w:eastAsia="zh-CN"/>
              </w:rPr>
              <w:t>拟派项目服务团队人员（项目负责人除外）具有人力资源和社会保障部门颁发的计算机技术和软件专业系统架构设计师或系统分析师证书的，每提供一类得1分，本项最高得2分。</w:t>
            </w:r>
          </w:p>
          <w:p w14:paraId="20C6D45B">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rPr>
              <w:t>证明材料是指：</w:t>
            </w:r>
            <w:r>
              <w:rPr>
                <w:rFonts w:hint="eastAsia" w:ascii="宋体" w:hAnsi="宋体" w:cs="宋体"/>
                <w:b/>
                <w:bCs/>
                <w:sz w:val="24"/>
                <w:szCs w:val="24"/>
                <w:highlight w:val="none"/>
                <w:lang w:val="en-US" w:eastAsia="zh-CN"/>
              </w:rPr>
              <w:t>①系统架构设计师或系统分析师证书；②2026年3月至投标截止时间任意一个月投标人为拟派项目服务团队人员缴纳社保证明材料。①和②缺一不可。</w:t>
            </w:r>
          </w:p>
          <w:p w14:paraId="702E886F">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default" w:ascii="宋体" w:hAnsi="宋体" w:cs="宋体"/>
                <w:sz w:val="24"/>
                <w:szCs w:val="24"/>
                <w:highlight w:val="none"/>
                <w:lang w:val="en-US" w:eastAsia="zh-CN"/>
              </w:rPr>
            </w:pPr>
            <w:r>
              <w:rPr>
                <w:rFonts w:hint="eastAsia" w:ascii="宋体" w:hAnsi="宋体" w:eastAsia="宋体" w:cs="宋体"/>
                <w:b/>
                <w:bCs/>
                <w:sz w:val="24"/>
                <w:szCs w:val="24"/>
                <w:highlight w:val="none"/>
              </w:rPr>
              <w:t>备注：</w:t>
            </w:r>
            <w:r>
              <w:rPr>
                <w:rFonts w:hint="eastAsia" w:ascii="宋体" w:hAnsi="宋体" w:eastAsia="宋体" w:cs="宋体"/>
                <w:b/>
                <w:bCs/>
                <w:kern w:val="2"/>
                <w:sz w:val="24"/>
                <w:szCs w:val="24"/>
                <w:highlight w:val="none"/>
                <w:lang w:val="en-US" w:eastAsia="zh-CN" w:bidi="ar-SA"/>
              </w:rPr>
              <w:t>同一人具有多个证书的，</w:t>
            </w:r>
            <w:r>
              <w:rPr>
                <w:rFonts w:hint="eastAsia" w:ascii="宋体" w:hAnsi="宋体" w:cs="宋体"/>
                <w:b/>
                <w:bCs/>
                <w:kern w:val="2"/>
                <w:sz w:val="24"/>
                <w:szCs w:val="24"/>
                <w:highlight w:val="none"/>
                <w:lang w:val="en-US" w:eastAsia="zh-CN" w:bidi="ar-SA"/>
              </w:rPr>
              <w:t>按最高分计取一次</w:t>
            </w:r>
            <w:r>
              <w:rPr>
                <w:rFonts w:hint="eastAsia" w:ascii="宋体" w:hAnsi="宋体" w:eastAsia="宋体" w:cs="宋体"/>
                <w:b/>
                <w:bCs/>
                <w:kern w:val="2"/>
                <w:sz w:val="24"/>
                <w:szCs w:val="24"/>
                <w:highlight w:val="none"/>
                <w:lang w:val="en-US" w:eastAsia="zh-CN" w:bidi="ar-SA"/>
              </w:rPr>
              <w:t>，不重复得分</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证明材料扫描件加盖投标人公章（或电子章）编入商务技术文件，未按本条规定提供证明材料或证明材料不符合本条规定要求的，不得分。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B1FCD9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097E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3C948DA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17CB27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体系认证【客观分】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580932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投标人具有有效的质量管理体系认证证书、环境管理体系认证证书、信息安全隐私框架管理体系认证证书，每提供一类得1分，本项最高得3分。</w:t>
            </w:r>
          </w:p>
          <w:p w14:paraId="2B8ED329">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证明材料是指：有效的体系认证证书。</w:t>
            </w:r>
          </w:p>
          <w:p w14:paraId="7F93CB9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备注：证明材料扫描件加盖投标人公章（或电子章）编入商务技术文件，未按本条规定提供证明材料或证明材料不符合本条规定要求的，不得分。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319B5B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3分</w:t>
            </w:r>
          </w:p>
        </w:tc>
      </w:tr>
      <w:tr w14:paraId="7D5F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7CBBC3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319DC0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产品参数响应情况【客观分】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40D2CDC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投标人拟供货产品全部符合采购文件第三章招标内容及要求中备注“★和下划线”处技术参数性能要求的，得</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分。不满足（未提供证明材料或负偏离或</w:t>
            </w:r>
            <w:r>
              <w:rPr>
                <w:rFonts w:hint="eastAsia" w:ascii="宋体" w:hAnsi="宋体" w:cs="宋体"/>
                <w:sz w:val="24"/>
                <w:szCs w:val="24"/>
                <w:highlight w:val="none"/>
                <w:lang w:val="en-US" w:eastAsia="zh-CN"/>
              </w:rPr>
              <w:t>相关证明材料</w:t>
            </w:r>
            <w:r>
              <w:rPr>
                <w:rFonts w:hint="eastAsia" w:ascii="宋体" w:hAnsi="宋体" w:eastAsia="宋体" w:cs="宋体"/>
                <w:sz w:val="24"/>
                <w:szCs w:val="24"/>
                <w:highlight w:val="none"/>
              </w:rPr>
              <w:t>未体现的）其中备注“★和下划线”处技术参数性能要求的，每一项扣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w:t>
            </w:r>
          </w:p>
          <w:p w14:paraId="5C416E9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证明材料是指：</w:t>
            </w:r>
            <w:r>
              <w:rPr>
                <w:rFonts w:hint="eastAsia" w:ascii="宋体" w:hAnsi="宋体" w:cs="宋体"/>
                <w:sz w:val="24"/>
                <w:szCs w:val="24"/>
                <w:highlight w:val="none"/>
                <w:lang w:val="en-US" w:eastAsia="zh-CN"/>
              </w:rPr>
              <w:t>详见“第三章 采购内容及要求”</w:t>
            </w:r>
            <w:r>
              <w:rPr>
                <w:rFonts w:hint="eastAsia" w:ascii="宋体" w:hAnsi="宋体" w:eastAsia="宋体" w:cs="宋体"/>
                <w:sz w:val="24"/>
                <w:szCs w:val="24"/>
                <w:highlight w:val="none"/>
              </w:rPr>
              <w:t>。</w:t>
            </w:r>
          </w:p>
          <w:p w14:paraId="51284B9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注：</w:t>
            </w:r>
            <w:r>
              <w:rPr>
                <w:rFonts w:hint="eastAsia" w:ascii="宋体" w:hAnsi="宋体" w:eastAsia="宋体" w:cs="宋体"/>
                <w:b/>
                <w:bCs/>
                <w:sz w:val="24"/>
                <w:szCs w:val="24"/>
                <w:highlight w:val="none"/>
                <w:u w:val="single"/>
                <w:lang w:eastAsia="zh-CN"/>
              </w:rPr>
              <w:t>★和下划线</w:t>
            </w:r>
            <w:r>
              <w:rPr>
                <w:rFonts w:hint="eastAsia" w:ascii="宋体" w:hAnsi="宋体" w:cs="宋体"/>
                <w:b/>
                <w:bCs/>
                <w:sz w:val="24"/>
                <w:szCs w:val="24"/>
                <w:highlight w:val="none"/>
                <w:u w:val="single"/>
                <w:lang w:val="en-US" w:eastAsia="zh-CN"/>
              </w:rPr>
              <w:t>处</w:t>
            </w:r>
            <w:r>
              <w:rPr>
                <w:rFonts w:hint="eastAsia" w:ascii="宋体" w:hAnsi="宋体" w:eastAsia="宋体" w:cs="宋体"/>
                <w:b/>
                <w:bCs/>
                <w:sz w:val="24"/>
                <w:szCs w:val="24"/>
                <w:highlight w:val="none"/>
                <w:u w:val="single"/>
              </w:rPr>
              <w:t>技术参数性能要求</w:t>
            </w:r>
            <w:r>
              <w:rPr>
                <w:rFonts w:hint="eastAsia" w:ascii="宋体" w:hAnsi="宋体" w:cs="宋体"/>
                <w:b/>
                <w:bCs/>
                <w:sz w:val="24"/>
                <w:szCs w:val="24"/>
                <w:highlight w:val="none"/>
                <w:u w:val="single"/>
                <w:lang w:val="en-US" w:eastAsia="zh-CN"/>
              </w:rPr>
              <w:t>证明材料详见“第三章采购内容及要求”</w:t>
            </w:r>
          </w:p>
          <w:p w14:paraId="036A85E7">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u w:val="single"/>
                <w:lang w:val="en-US" w:eastAsia="zh-CN"/>
              </w:rPr>
              <w:t>如投标时虚假应标，致使履约验收时货物</w:t>
            </w:r>
            <w:r>
              <w:rPr>
                <w:rFonts w:hint="eastAsia" w:ascii="宋体" w:hAnsi="宋体" w:cs="宋体"/>
                <w:b/>
                <w:bCs/>
                <w:sz w:val="24"/>
                <w:szCs w:val="24"/>
                <w:highlight w:val="none"/>
                <w:u w:val="single"/>
                <w:lang w:val="en-US" w:eastAsia="zh-CN"/>
              </w:rPr>
              <w:t>及软件系统</w:t>
            </w:r>
            <w:r>
              <w:rPr>
                <w:rFonts w:hint="eastAsia" w:ascii="宋体" w:hAnsi="宋体" w:eastAsia="宋体" w:cs="宋体"/>
                <w:b/>
                <w:bCs/>
                <w:sz w:val="24"/>
                <w:szCs w:val="24"/>
                <w:highlight w:val="none"/>
                <w:u w:val="single"/>
              </w:rPr>
              <w:t>不满足</w:t>
            </w:r>
            <w:r>
              <w:rPr>
                <w:rFonts w:hint="eastAsia" w:ascii="宋体" w:hAnsi="宋体" w:eastAsia="宋体" w:cs="宋体"/>
                <w:b/>
                <w:bCs/>
                <w:sz w:val="24"/>
                <w:szCs w:val="24"/>
                <w:highlight w:val="none"/>
                <w:u w:val="single"/>
                <w:lang w:val="en-US" w:eastAsia="zh-CN"/>
              </w:rPr>
              <w:t>采购文件规定</w:t>
            </w:r>
            <w:r>
              <w:rPr>
                <w:rFonts w:hint="eastAsia" w:ascii="宋体" w:hAnsi="宋体" w:cs="宋体"/>
                <w:b/>
                <w:bCs/>
                <w:sz w:val="24"/>
                <w:szCs w:val="24"/>
                <w:highlight w:val="none"/>
                <w:u w:val="single"/>
                <w:lang w:val="en-US" w:eastAsia="zh-CN"/>
              </w:rPr>
              <w:t>或投标承诺</w:t>
            </w:r>
            <w:r>
              <w:rPr>
                <w:rFonts w:hint="eastAsia" w:ascii="宋体" w:hAnsi="宋体" w:eastAsia="宋体" w:cs="宋体"/>
                <w:b/>
                <w:bCs/>
                <w:sz w:val="24"/>
                <w:szCs w:val="24"/>
                <w:highlight w:val="none"/>
                <w:u w:val="single"/>
                <w:lang w:val="en-US" w:eastAsia="zh-CN"/>
              </w:rPr>
              <w:t>的，采购人有权单方面终止合同，中标供应商承担违约责任，并承担由此造成采购人的所有损失，且采购人将按采购文件第二部分、投标须知 4.9条规定，汇报监管部门</w:t>
            </w:r>
            <w:r>
              <w:rPr>
                <w:rFonts w:hint="eastAsia" w:ascii="宋体" w:hAnsi="宋体" w:eastAsia="宋体" w:cs="宋体"/>
                <w:sz w:val="24"/>
                <w:szCs w:val="24"/>
                <w:highlight w:val="none"/>
              </w:rPr>
              <w:t>。</w:t>
            </w:r>
          </w:p>
          <w:p w14:paraId="125609A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采购文件第三章招标内容及要求中备注“★和下划线”处技术参数性能要求</w:t>
            </w:r>
            <w:r>
              <w:rPr>
                <w:rFonts w:hint="eastAsia" w:ascii="宋体" w:hAnsi="宋体" w:eastAsia="宋体" w:cs="宋体"/>
                <w:sz w:val="24"/>
                <w:szCs w:val="24"/>
                <w:highlight w:val="none"/>
                <w:lang w:val="en-US" w:eastAsia="zh-CN"/>
              </w:rPr>
              <w:t>共计</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条。为便于评标委员会核实参数响应情况，请在“</w:t>
            </w:r>
            <w:r>
              <w:rPr>
                <w:rFonts w:hint="eastAsia" w:ascii="宋体" w:hAnsi="宋体" w:eastAsia="宋体" w:cs="宋体"/>
                <w:b/>
                <w:color w:val="auto"/>
                <w:sz w:val="24"/>
                <w:szCs w:val="24"/>
                <w:highlight w:val="none"/>
              </w:rPr>
              <w:t>投标产品参数响应对照表</w:t>
            </w:r>
            <w:r>
              <w:rPr>
                <w:rFonts w:hint="eastAsia" w:ascii="宋体" w:hAnsi="宋体" w:eastAsia="宋体" w:cs="宋体"/>
                <w:sz w:val="24"/>
                <w:szCs w:val="24"/>
                <w:highlight w:val="none"/>
                <w:lang w:val="en-US" w:eastAsia="zh-CN"/>
              </w:rPr>
              <w:t>”中一一注明。未提供本表，或未正确填写证明材料所在页码，导致评标委员会无法正确查找相关材料核实的，投标人自行承担风险。</w:t>
            </w:r>
          </w:p>
          <w:p w14:paraId="1F36630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证明材料扫描件加盖投标人公章（或电子章）编入商务技术文件，未按本条规定提供证明材料或证明材料不符合本条规定要求的，不得分。</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8B4975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18分</w:t>
            </w:r>
          </w:p>
        </w:tc>
      </w:tr>
      <w:tr w14:paraId="7352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6C58105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C0117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项目需求理解及现状分析</w:t>
            </w:r>
            <w:r>
              <w:rPr>
                <w:rFonts w:hint="eastAsia" w:ascii="宋体" w:hAnsi="宋体" w:eastAsia="宋体" w:cs="宋体"/>
                <w:sz w:val="24"/>
                <w:szCs w:val="24"/>
                <w:highlight w:val="none"/>
                <w:lang w:val="en-US" w:eastAsia="zh-CN"/>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0A78A23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val="0"/>
                <w:bCs w:val="0"/>
                <w:kern w:val="2"/>
                <w:sz w:val="24"/>
                <w:szCs w:val="24"/>
                <w:highlight w:val="none"/>
                <w:lang w:val="en-US" w:eastAsia="zh-CN" w:bidi="ar-SA"/>
              </w:rPr>
              <w:t>评标委员会根据</w:t>
            </w:r>
            <w:r>
              <w:rPr>
                <w:rFonts w:hint="eastAsia" w:ascii="宋体" w:hAnsi="宋体" w:eastAsia="宋体" w:cs="宋体"/>
                <w:b w:val="0"/>
                <w:bCs w:val="0"/>
                <w:color w:val="auto"/>
                <w:sz w:val="24"/>
                <w:szCs w:val="24"/>
                <w:highlight w:val="none"/>
                <w:u w:val="none"/>
                <w:lang w:val="en-US" w:eastAsia="zh-CN"/>
              </w:rPr>
              <w:t>投标人</w:t>
            </w:r>
            <w:r>
              <w:rPr>
                <w:rFonts w:hint="eastAsia" w:ascii="宋体" w:hAnsi="宋体" w:cs="宋体"/>
                <w:b/>
                <w:bCs/>
                <w:color w:val="auto"/>
                <w:sz w:val="24"/>
                <w:szCs w:val="24"/>
                <w:highlight w:val="none"/>
                <w:u w:val="single"/>
                <w:lang w:val="en-US" w:eastAsia="zh-CN"/>
              </w:rPr>
              <w:t>针</w:t>
            </w:r>
            <w:r>
              <w:rPr>
                <w:rFonts w:hint="eastAsia" w:ascii="宋体" w:hAnsi="宋体" w:eastAsia="宋体" w:cs="宋体"/>
                <w:b/>
                <w:bCs/>
                <w:color w:val="auto"/>
                <w:sz w:val="24"/>
                <w:szCs w:val="24"/>
                <w:highlight w:val="none"/>
                <w:u w:val="single"/>
                <w:lang w:val="en-US" w:eastAsia="zh-CN"/>
              </w:rPr>
              <w:t>对本项目建设需求理解</w:t>
            </w:r>
            <w:r>
              <w:rPr>
                <w:rFonts w:hint="eastAsia" w:ascii="宋体" w:hAnsi="宋体" w:cs="宋体"/>
                <w:b/>
                <w:bCs/>
                <w:color w:val="auto"/>
                <w:sz w:val="24"/>
                <w:szCs w:val="24"/>
                <w:highlight w:val="none"/>
                <w:u w:val="single"/>
                <w:lang w:val="en-US" w:eastAsia="zh-CN"/>
              </w:rPr>
              <w:t>（包含建设背景、现状情况、存在问题等内容）提出的项目需求分析方案</w:t>
            </w:r>
            <w:r>
              <w:rPr>
                <w:rFonts w:hint="eastAsia" w:ascii="宋体" w:hAnsi="宋体" w:cs="宋体"/>
                <w:b w:val="0"/>
                <w:bCs w:val="0"/>
                <w:color w:val="auto"/>
                <w:sz w:val="24"/>
                <w:szCs w:val="24"/>
                <w:highlight w:val="none"/>
                <w:u w:val="none"/>
                <w:lang w:val="en-US" w:eastAsia="zh-CN"/>
              </w:rPr>
              <w:t>的描述</w:t>
            </w:r>
            <w:r>
              <w:rPr>
                <w:rFonts w:hint="eastAsia" w:ascii="宋体" w:hAnsi="宋体" w:eastAsia="宋体" w:cs="宋体"/>
                <w:sz w:val="24"/>
                <w:szCs w:val="24"/>
                <w:highlight w:val="none"/>
                <w:lang w:val="en-US" w:eastAsia="zh-CN"/>
              </w:rPr>
              <w:t>是否全面合理、是否具有针对性，是否贴合采购需求综合评审打分。</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4,3,2,1,</w:t>
            </w:r>
            <w:r>
              <w:rPr>
                <w:rFonts w:hint="eastAsia" w:ascii="宋体" w:hAnsi="宋体" w:eastAsia="宋体" w:cs="宋体"/>
                <w:b/>
                <w:bCs/>
                <w:sz w:val="24"/>
                <w:szCs w:val="24"/>
                <w:highlight w:val="none"/>
                <w:lang w:val="en-US" w:eastAsia="zh-CN"/>
              </w:rPr>
              <w:t>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4DC4AE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4分</w:t>
            </w:r>
          </w:p>
        </w:tc>
      </w:tr>
      <w:tr w14:paraId="7AFB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3420E87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986DF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重难点分析及应对措施</w:t>
            </w:r>
            <w:r>
              <w:rPr>
                <w:rFonts w:hint="eastAsia" w:ascii="宋体" w:hAnsi="宋体" w:eastAsia="宋体" w:cs="宋体"/>
                <w:sz w:val="24"/>
                <w:szCs w:val="24"/>
                <w:highlight w:val="none"/>
                <w:lang w:val="en-US" w:eastAsia="zh-CN"/>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22FFBD0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评标委员会根据</w:t>
            </w:r>
            <w:r>
              <w:rPr>
                <w:rFonts w:hint="eastAsia" w:ascii="宋体" w:hAnsi="宋体" w:eastAsia="宋体" w:cs="宋体"/>
                <w:b w:val="0"/>
                <w:bCs w:val="0"/>
                <w:color w:val="auto"/>
                <w:sz w:val="24"/>
                <w:szCs w:val="24"/>
                <w:highlight w:val="none"/>
                <w:u w:val="none"/>
                <w:lang w:val="en-US" w:eastAsia="zh-CN"/>
              </w:rPr>
              <w:t>投标人</w:t>
            </w:r>
            <w:r>
              <w:rPr>
                <w:rFonts w:hint="eastAsia" w:ascii="宋体" w:hAnsi="宋体" w:cs="宋体"/>
                <w:b/>
                <w:bCs/>
                <w:color w:val="auto"/>
                <w:sz w:val="24"/>
                <w:szCs w:val="24"/>
                <w:highlight w:val="none"/>
                <w:u w:val="single"/>
                <w:lang w:val="en-US" w:eastAsia="zh-CN"/>
              </w:rPr>
              <w:t>针</w:t>
            </w:r>
            <w:r>
              <w:rPr>
                <w:rFonts w:hint="eastAsia" w:ascii="宋体" w:hAnsi="宋体" w:eastAsia="宋体" w:cs="宋体"/>
                <w:b/>
                <w:bCs/>
                <w:color w:val="auto"/>
                <w:sz w:val="24"/>
                <w:szCs w:val="24"/>
                <w:highlight w:val="none"/>
                <w:u w:val="single"/>
                <w:lang w:val="en-US" w:eastAsia="zh-CN"/>
              </w:rPr>
              <w:t>对本项目的重难点分析及应对措施</w:t>
            </w:r>
            <w:r>
              <w:rPr>
                <w:rFonts w:hint="eastAsia" w:ascii="宋体" w:hAnsi="宋体" w:cs="宋体"/>
                <w:b w:val="0"/>
                <w:bCs w:val="0"/>
                <w:color w:val="auto"/>
                <w:sz w:val="24"/>
                <w:szCs w:val="24"/>
                <w:highlight w:val="none"/>
                <w:u w:val="none"/>
                <w:lang w:val="en-US" w:eastAsia="zh-CN"/>
              </w:rPr>
              <w:t>的描述</w:t>
            </w:r>
            <w:r>
              <w:rPr>
                <w:rFonts w:hint="eastAsia" w:ascii="宋体" w:hAnsi="宋体" w:eastAsia="宋体" w:cs="宋体"/>
                <w:sz w:val="24"/>
                <w:szCs w:val="24"/>
                <w:highlight w:val="none"/>
                <w:lang w:val="en-US" w:eastAsia="zh-CN"/>
              </w:rPr>
              <w:t>是否全面合理、是否具有针对性，是否贴合采购需求综合评审打分。</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5,4,3,2,1,</w:t>
            </w:r>
            <w:r>
              <w:rPr>
                <w:rFonts w:hint="eastAsia" w:ascii="宋体" w:hAnsi="宋体" w:eastAsia="宋体" w:cs="宋体"/>
                <w:b/>
                <w:bCs/>
                <w:sz w:val="24"/>
                <w:szCs w:val="24"/>
                <w:highlight w:val="none"/>
                <w:lang w:val="en-US" w:eastAsia="zh-CN"/>
              </w:rPr>
              <w:t>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6E384F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r w14:paraId="1E4E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84D365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D4CD69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网络安全方案</w:t>
            </w:r>
            <w:r>
              <w:rPr>
                <w:rFonts w:hint="eastAsia" w:ascii="宋体" w:hAnsi="宋体" w:eastAsia="宋体" w:cs="宋体"/>
                <w:sz w:val="24"/>
                <w:szCs w:val="24"/>
                <w:highlight w:val="none"/>
                <w:lang w:val="en-US" w:eastAsia="zh-CN"/>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0A4C774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评标委员会根据</w:t>
            </w:r>
            <w:r>
              <w:rPr>
                <w:rFonts w:hint="eastAsia" w:ascii="宋体" w:hAnsi="宋体" w:eastAsia="宋体" w:cs="宋体"/>
                <w:b w:val="0"/>
                <w:bCs w:val="0"/>
                <w:color w:val="auto"/>
                <w:sz w:val="24"/>
                <w:szCs w:val="24"/>
                <w:highlight w:val="none"/>
                <w:u w:val="none"/>
                <w:lang w:val="en-US" w:eastAsia="zh-CN"/>
              </w:rPr>
              <w:t>投标人</w:t>
            </w:r>
            <w:r>
              <w:rPr>
                <w:rFonts w:hint="eastAsia" w:ascii="宋体" w:hAnsi="宋体" w:eastAsia="宋体" w:cs="宋体"/>
                <w:b/>
                <w:bCs/>
                <w:color w:val="auto"/>
                <w:sz w:val="24"/>
                <w:szCs w:val="24"/>
                <w:highlight w:val="none"/>
                <w:u w:val="single"/>
                <w:lang w:val="en-US" w:eastAsia="zh-CN"/>
              </w:rPr>
              <w:t>依据网络安全现状及发展趋势，结合实际情况提供网络安全方案</w:t>
            </w:r>
            <w:r>
              <w:rPr>
                <w:rFonts w:hint="eastAsia" w:ascii="宋体" w:hAnsi="宋体" w:cs="宋体"/>
                <w:b w:val="0"/>
                <w:bCs w:val="0"/>
                <w:color w:val="auto"/>
                <w:sz w:val="24"/>
                <w:szCs w:val="24"/>
                <w:highlight w:val="none"/>
                <w:u w:val="none"/>
                <w:lang w:val="en-US" w:eastAsia="zh-CN"/>
              </w:rPr>
              <w:t>的描述</w:t>
            </w:r>
            <w:r>
              <w:rPr>
                <w:rFonts w:hint="eastAsia" w:ascii="宋体" w:hAnsi="宋体" w:eastAsia="宋体" w:cs="宋体"/>
                <w:sz w:val="24"/>
                <w:szCs w:val="24"/>
                <w:highlight w:val="none"/>
                <w:lang w:val="en-US" w:eastAsia="zh-CN"/>
              </w:rPr>
              <w:t>是否全面合理、是否具有针对性，是否贴合采购需求综合评审打分。</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5,4,3,2,1,</w:t>
            </w:r>
            <w:r>
              <w:rPr>
                <w:rFonts w:hint="eastAsia" w:ascii="宋体" w:hAnsi="宋体" w:eastAsia="宋体" w:cs="宋体"/>
                <w:b/>
                <w:bCs/>
                <w:sz w:val="24"/>
                <w:szCs w:val="24"/>
                <w:highlight w:val="none"/>
                <w:lang w:val="en-US" w:eastAsia="zh-CN"/>
              </w:rPr>
              <w:t>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B52227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r w14:paraId="58DE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84CB1C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B0804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数据安全方案</w:t>
            </w:r>
            <w:r>
              <w:rPr>
                <w:rFonts w:hint="eastAsia" w:ascii="宋体" w:hAnsi="宋体" w:eastAsia="宋体" w:cs="宋体"/>
                <w:sz w:val="24"/>
                <w:szCs w:val="24"/>
                <w:highlight w:val="none"/>
                <w:lang w:val="en-US" w:eastAsia="zh-CN"/>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3EB8097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评标委员会根据</w:t>
            </w:r>
            <w:r>
              <w:rPr>
                <w:rFonts w:hint="eastAsia" w:ascii="宋体" w:hAnsi="宋体" w:eastAsia="宋体" w:cs="宋体"/>
                <w:b w:val="0"/>
                <w:bCs w:val="0"/>
                <w:color w:val="auto"/>
                <w:sz w:val="24"/>
                <w:szCs w:val="24"/>
                <w:highlight w:val="none"/>
                <w:u w:val="none"/>
                <w:lang w:val="en-US" w:eastAsia="zh-CN"/>
              </w:rPr>
              <w:t>投标人</w:t>
            </w:r>
            <w:r>
              <w:rPr>
                <w:rFonts w:hint="eastAsia" w:ascii="宋体" w:hAnsi="宋体" w:eastAsia="宋体" w:cs="宋体"/>
                <w:b/>
                <w:bCs/>
                <w:color w:val="auto"/>
                <w:sz w:val="24"/>
                <w:szCs w:val="24"/>
                <w:highlight w:val="none"/>
                <w:u w:val="single"/>
                <w:lang w:val="en-US" w:eastAsia="zh-CN"/>
              </w:rPr>
              <w:t>依据数据安全现状及发展趋势，结合实际情况提供数据安全方案</w:t>
            </w:r>
            <w:r>
              <w:rPr>
                <w:rFonts w:hint="eastAsia" w:ascii="宋体" w:hAnsi="宋体" w:cs="宋体"/>
                <w:b w:val="0"/>
                <w:bCs w:val="0"/>
                <w:color w:val="auto"/>
                <w:sz w:val="24"/>
                <w:szCs w:val="24"/>
                <w:highlight w:val="none"/>
                <w:u w:val="none"/>
                <w:lang w:val="en-US" w:eastAsia="zh-CN"/>
              </w:rPr>
              <w:t>的描述</w:t>
            </w:r>
            <w:r>
              <w:rPr>
                <w:rFonts w:hint="eastAsia" w:ascii="宋体" w:hAnsi="宋体" w:eastAsia="宋体" w:cs="宋体"/>
                <w:sz w:val="24"/>
                <w:szCs w:val="24"/>
                <w:highlight w:val="none"/>
                <w:lang w:val="en-US" w:eastAsia="zh-CN"/>
              </w:rPr>
              <w:t>是否全面合理、是否具有针对性，是否贴合采购需求综合评审打分。</w:t>
            </w:r>
            <w:r>
              <w:rPr>
                <w:rFonts w:hint="eastAsia" w:ascii="宋体" w:hAnsi="宋体" w:eastAsia="宋体" w:cs="宋体"/>
                <w:b/>
                <w:bCs/>
                <w:sz w:val="24"/>
                <w:szCs w:val="24"/>
                <w:highlight w:val="none"/>
                <w:lang w:val="en-US" w:eastAsia="zh-CN"/>
              </w:rPr>
              <w:t>(评分范围：</w:t>
            </w:r>
            <w:r>
              <w:rPr>
                <w:rFonts w:hint="eastAsia" w:ascii="宋体" w:hAnsi="宋体" w:cs="宋体"/>
                <w:b/>
                <w:bCs/>
                <w:sz w:val="24"/>
                <w:szCs w:val="24"/>
                <w:highlight w:val="none"/>
                <w:lang w:val="en-US" w:eastAsia="zh-CN"/>
              </w:rPr>
              <w:t>5,4,3,2,1,</w:t>
            </w:r>
            <w:r>
              <w:rPr>
                <w:rFonts w:hint="eastAsia" w:ascii="宋体" w:hAnsi="宋体" w:eastAsia="宋体" w:cs="宋体"/>
                <w:b/>
                <w:bCs/>
                <w:sz w:val="24"/>
                <w:szCs w:val="24"/>
                <w:highlight w:val="none"/>
                <w:lang w:val="en-US" w:eastAsia="zh-CN"/>
              </w:rPr>
              <w:t>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C437BF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r w14:paraId="7DBD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7DB5FA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75297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项目实施方案</w:t>
            </w:r>
            <w:r>
              <w:rPr>
                <w:rFonts w:hint="eastAsia" w:ascii="宋体" w:hAnsi="宋体" w:eastAsia="宋体" w:cs="宋体"/>
                <w:sz w:val="24"/>
                <w:szCs w:val="24"/>
                <w:highlight w:val="none"/>
                <w:lang w:val="en-US" w:eastAsia="zh-CN"/>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15721BE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评标委员会根据</w:t>
            </w:r>
            <w:r>
              <w:rPr>
                <w:rFonts w:hint="eastAsia" w:ascii="宋体" w:hAnsi="宋体" w:eastAsia="宋体" w:cs="宋体"/>
                <w:b w:val="0"/>
                <w:bCs w:val="0"/>
                <w:color w:val="auto"/>
                <w:sz w:val="24"/>
                <w:szCs w:val="24"/>
                <w:highlight w:val="none"/>
                <w:u w:val="none"/>
                <w:lang w:val="en-US" w:eastAsia="zh-CN"/>
              </w:rPr>
              <w:t>投标人</w:t>
            </w:r>
            <w:r>
              <w:rPr>
                <w:rFonts w:hint="eastAsia" w:ascii="宋体" w:hAnsi="宋体" w:eastAsia="宋体" w:cs="宋体"/>
                <w:b/>
                <w:bCs/>
                <w:color w:val="auto"/>
                <w:sz w:val="24"/>
                <w:szCs w:val="24"/>
                <w:highlight w:val="none"/>
                <w:u w:val="single"/>
                <w:lang w:val="en-US" w:eastAsia="zh-CN"/>
              </w:rPr>
              <w:t>项目实施方案（评审内容包含但不限于项目实施进度计划、组织机构、质量保障措施、进度保障措施等）</w:t>
            </w:r>
            <w:r>
              <w:rPr>
                <w:rFonts w:hint="eastAsia" w:ascii="宋体" w:hAnsi="宋体" w:cs="宋体"/>
                <w:b w:val="0"/>
                <w:bCs w:val="0"/>
                <w:color w:val="auto"/>
                <w:sz w:val="24"/>
                <w:szCs w:val="24"/>
                <w:highlight w:val="none"/>
                <w:u w:val="none"/>
                <w:lang w:val="en-US" w:eastAsia="zh-CN"/>
              </w:rPr>
              <w:t>的描述</w:t>
            </w:r>
            <w:r>
              <w:rPr>
                <w:rFonts w:hint="eastAsia" w:ascii="宋体" w:hAnsi="宋体" w:eastAsia="宋体" w:cs="宋体"/>
                <w:sz w:val="24"/>
                <w:szCs w:val="24"/>
                <w:highlight w:val="none"/>
                <w:lang w:val="en-US" w:eastAsia="zh-CN"/>
              </w:rPr>
              <w:t>是否全面合理、是否具有针对性，是否贴合采购需求综合评审打分。</w:t>
            </w:r>
            <w:r>
              <w:rPr>
                <w:rFonts w:hint="eastAsia" w:ascii="宋体" w:hAnsi="宋体" w:eastAsia="宋体" w:cs="宋体"/>
                <w:b/>
                <w:bCs/>
                <w:sz w:val="24"/>
                <w:szCs w:val="24"/>
                <w:highlight w:val="none"/>
                <w:lang w:val="en-US" w:eastAsia="zh-CN"/>
              </w:rPr>
              <w:t>(评分范围：5,4,3,2,1,0)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E35E03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5分</w:t>
            </w:r>
          </w:p>
        </w:tc>
      </w:tr>
      <w:tr w14:paraId="3EE5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35252B4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1AEF1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应急响应方案</w:t>
            </w:r>
            <w:r>
              <w:rPr>
                <w:rFonts w:hint="eastAsia" w:ascii="宋体" w:hAnsi="宋体" w:eastAsia="宋体" w:cs="宋体"/>
                <w:sz w:val="24"/>
                <w:szCs w:val="24"/>
                <w:highlight w:val="none"/>
                <w:lang w:val="en-US" w:eastAsia="zh-CN"/>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0D71270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评标委员会根据</w:t>
            </w:r>
            <w:r>
              <w:rPr>
                <w:rFonts w:hint="eastAsia" w:ascii="宋体" w:hAnsi="宋体" w:eastAsia="宋体" w:cs="宋体"/>
                <w:b w:val="0"/>
                <w:bCs w:val="0"/>
                <w:color w:val="auto"/>
                <w:sz w:val="24"/>
                <w:szCs w:val="24"/>
                <w:highlight w:val="none"/>
                <w:u w:val="none"/>
                <w:lang w:val="en-US" w:eastAsia="zh-CN"/>
              </w:rPr>
              <w:t>投标人</w:t>
            </w:r>
            <w:r>
              <w:rPr>
                <w:rFonts w:hint="eastAsia" w:ascii="宋体" w:hAnsi="宋体" w:eastAsia="宋体" w:cs="宋体"/>
                <w:b/>
                <w:bCs/>
                <w:color w:val="auto"/>
                <w:sz w:val="24"/>
                <w:szCs w:val="24"/>
                <w:highlight w:val="none"/>
                <w:u w:val="single"/>
                <w:lang w:val="en-US" w:eastAsia="zh-CN"/>
              </w:rPr>
              <w:t>结合本项目实际情况，预估可能发生的安全问题并提供合理、有效、快速的应急响应方案</w:t>
            </w:r>
            <w:r>
              <w:rPr>
                <w:rFonts w:hint="eastAsia" w:ascii="宋体" w:hAnsi="宋体" w:cs="宋体"/>
                <w:b w:val="0"/>
                <w:bCs w:val="0"/>
                <w:color w:val="auto"/>
                <w:sz w:val="24"/>
                <w:szCs w:val="24"/>
                <w:highlight w:val="none"/>
                <w:u w:val="none"/>
                <w:lang w:val="en-US" w:eastAsia="zh-CN"/>
              </w:rPr>
              <w:t>的描述</w:t>
            </w:r>
            <w:r>
              <w:rPr>
                <w:rFonts w:hint="eastAsia" w:ascii="宋体" w:hAnsi="宋体" w:eastAsia="宋体" w:cs="宋体"/>
                <w:sz w:val="24"/>
                <w:szCs w:val="24"/>
                <w:highlight w:val="none"/>
                <w:lang w:val="en-US" w:eastAsia="zh-CN"/>
              </w:rPr>
              <w:t>是否全面合理、是否具有针对性，是否贴合采购需求综合评审打分。</w:t>
            </w:r>
            <w:r>
              <w:rPr>
                <w:rFonts w:hint="eastAsia" w:ascii="宋体" w:hAnsi="宋体" w:eastAsia="宋体" w:cs="宋体"/>
                <w:b/>
                <w:bCs/>
                <w:sz w:val="24"/>
                <w:szCs w:val="24"/>
                <w:highlight w:val="none"/>
                <w:lang w:val="en-US" w:eastAsia="zh-CN"/>
              </w:rPr>
              <w:t>(评分范围：3,</w:t>
            </w:r>
            <w:r>
              <w:rPr>
                <w:rFonts w:hint="eastAsia" w:ascii="宋体" w:hAnsi="宋体" w:cs="宋体"/>
                <w:b/>
                <w:bCs/>
                <w:sz w:val="24"/>
                <w:szCs w:val="24"/>
                <w:highlight w:val="none"/>
                <w:lang w:val="en-US" w:eastAsia="zh-CN"/>
              </w:rPr>
              <w:t>2.5,</w:t>
            </w:r>
            <w:r>
              <w:rPr>
                <w:rFonts w:hint="eastAsia" w:ascii="宋体" w:hAnsi="宋体" w:eastAsia="宋体" w:cs="宋体"/>
                <w:b/>
                <w:bCs/>
                <w:sz w:val="24"/>
                <w:szCs w:val="24"/>
                <w:highlight w:val="none"/>
                <w:lang w:val="en-US" w:eastAsia="zh-CN"/>
              </w:rPr>
              <w:t>2,</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0.5,</w:t>
            </w:r>
            <w:r>
              <w:rPr>
                <w:rFonts w:hint="eastAsia" w:ascii="宋体" w:hAnsi="宋体" w:eastAsia="宋体" w:cs="宋体"/>
                <w:b/>
                <w:bCs/>
                <w:sz w:val="24"/>
                <w:szCs w:val="24"/>
                <w:highlight w:val="none"/>
                <w:lang w:val="en-US" w:eastAsia="zh-CN"/>
              </w:rPr>
              <w:t>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D5EB86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3分</w:t>
            </w:r>
          </w:p>
        </w:tc>
      </w:tr>
      <w:tr w14:paraId="1E88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46118E4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D74B0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培训方案</w:t>
            </w:r>
            <w:r>
              <w:rPr>
                <w:rFonts w:hint="eastAsia" w:ascii="宋体" w:hAnsi="宋体" w:eastAsia="宋体" w:cs="宋体"/>
                <w:sz w:val="24"/>
                <w:szCs w:val="24"/>
                <w:highlight w:val="none"/>
                <w:lang w:val="en-US" w:eastAsia="zh-CN"/>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0761CB3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评标委员会根据</w:t>
            </w:r>
            <w:r>
              <w:rPr>
                <w:rFonts w:hint="eastAsia" w:ascii="宋体" w:hAnsi="宋体" w:eastAsia="宋体" w:cs="宋体"/>
                <w:b w:val="0"/>
                <w:bCs w:val="0"/>
                <w:color w:val="auto"/>
                <w:sz w:val="24"/>
                <w:szCs w:val="24"/>
                <w:highlight w:val="none"/>
                <w:u w:val="none"/>
                <w:lang w:val="en-US" w:eastAsia="zh-CN"/>
              </w:rPr>
              <w:t>投标人</w:t>
            </w:r>
            <w:r>
              <w:rPr>
                <w:rFonts w:hint="eastAsia" w:ascii="宋体" w:hAnsi="宋体" w:eastAsia="宋体" w:cs="宋体"/>
                <w:b/>
                <w:bCs/>
                <w:color w:val="auto"/>
                <w:sz w:val="24"/>
                <w:szCs w:val="24"/>
                <w:highlight w:val="none"/>
                <w:u w:val="single"/>
                <w:lang w:val="en-US" w:eastAsia="zh-CN"/>
              </w:rPr>
              <w:t>提供的培训方案（评审内容包含但不限于培训内容、培训方式、培训计划、培训团队人员配置等）</w:t>
            </w:r>
            <w:r>
              <w:rPr>
                <w:rFonts w:hint="eastAsia" w:ascii="宋体" w:hAnsi="宋体" w:cs="宋体"/>
                <w:b w:val="0"/>
                <w:bCs w:val="0"/>
                <w:color w:val="auto"/>
                <w:sz w:val="24"/>
                <w:szCs w:val="24"/>
                <w:highlight w:val="none"/>
                <w:u w:val="none"/>
                <w:lang w:val="en-US" w:eastAsia="zh-CN"/>
              </w:rPr>
              <w:t>的描述</w:t>
            </w:r>
            <w:r>
              <w:rPr>
                <w:rFonts w:hint="eastAsia" w:ascii="宋体" w:hAnsi="宋体" w:eastAsia="宋体" w:cs="宋体"/>
                <w:sz w:val="24"/>
                <w:szCs w:val="24"/>
                <w:highlight w:val="none"/>
                <w:lang w:val="en-US" w:eastAsia="zh-CN"/>
              </w:rPr>
              <w:t>是否全面合理、是否具有针对性，是否贴合采购需求综合评审打分。</w:t>
            </w:r>
            <w:r>
              <w:rPr>
                <w:rFonts w:hint="eastAsia" w:ascii="宋体" w:hAnsi="宋体" w:eastAsia="宋体" w:cs="宋体"/>
                <w:b/>
                <w:bCs/>
                <w:sz w:val="24"/>
                <w:szCs w:val="24"/>
                <w:highlight w:val="none"/>
                <w:lang w:val="en-US" w:eastAsia="zh-CN"/>
              </w:rPr>
              <w:t>(评分范围：3,</w:t>
            </w:r>
            <w:r>
              <w:rPr>
                <w:rFonts w:hint="eastAsia" w:ascii="宋体" w:hAnsi="宋体" w:cs="宋体"/>
                <w:b/>
                <w:bCs/>
                <w:sz w:val="24"/>
                <w:szCs w:val="24"/>
                <w:highlight w:val="none"/>
                <w:lang w:val="en-US" w:eastAsia="zh-CN"/>
              </w:rPr>
              <w:t>2.5,</w:t>
            </w:r>
            <w:r>
              <w:rPr>
                <w:rFonts w:hint="eastAsia" w:ascii="宋体" w:hAnsi="宋体" w:eastAsia="宋体" w:cs="宋体"/>
                <w:b/>
                <w:bCs/>
                <w:sz w:val="24"/>
                <w:szCs w:val="24"/>
                <w:highlight w:val="none"/>
                <w:lang w:val="en-US" w:eastAsia="zh-CN"/>
              </w:rPr>
              <w:t>2,</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0.5,</w:t>
            </w:r>
            <w:r>
              <w:rPr>
                <w:rFonts w:hint="eastAsia" w:ascii="宋体" w:hAnsi="宋体" w:eastAsia="宋体" w:cs="宋体"/>
                <w:b/>
                <w:bCs/>
                <w:sz w:val="24"/>
                <w:szCs w:val="24"/>
                <w:highlight w:val="none"/>
                <w:lang w:val="en-US" w:eastAsia="zh-CN"/>
              </w:rPr>
              <w:t>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033733D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3分</w:t>
            </w:r>
          </w:p>
        </w:tc>
      </w:tr>
      <w:tr w14:paraId="5E8E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13A4A1A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12</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17CD5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售后服务方案</w:t>
            </w:r>
            <w:r>
              <w:rPr>
                <w:rFonts w:hint="eastAsia" w:ascii="宋体" w:hAnsi="宋体" w:eastAsia="宋体" w:cs="宋体"/>
                <w:sz w:val="24"/>
                <w:szCs w:val="24"/>
                <w:highlight w:val="none"/>
                <w:lang w:val="en-US" w:eastAsia="zh-CN"/>
              </w:rPr>
              <w:t>【主观分】</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1DCC502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评标委员会根据</w:t>
            </w:r>
            <w:r>
              <w:rPr>
                <w:rFonts w:hint="eastAsia" w:ascii="宋体" w:hAnsi="宋体" w:eastAsia="宋体" w:cs="宋体"/>
                <w:b w:val="0"/>
                <w:bCs w:val="0"/>
                <w:color w:val="auto"/>
                <w:sz w:val="24"/>
                <w:szCs w:val="24"/>
                <w:highlight w:val="none"/>
                <w:u w:val="none"/>
                <w:lang w:val="en-US" w:eastAsia="zh-CN"/>
              </w:rPr>
              <w:t>投标人</w:t>
            </w:r>
            <w:r>
              <w:rPr>
                <w:rFonts w:hint="eastAsia" w:ascii="宋体" w:hAnsi="宋体" w:eastAsia="宋体" w:cs="宋体"/>
                <w:b/>
                <w:bCs/>
                <w:color w:val="auto"/>
                <w:sz w:val="24"/>
                <w:szCs w:val="24"/>
                <w:highlight w:val="none"/>
                <w:u w:val="single"/>
                <w:lang w:val="en-US" w:eastAsia="zh-CN"/>
              </w:rPr>
              <w:t>提供的售后服务方案、服务承诺以及服务承诺落实的保障措施</w:t>
            </w:r>
            <w:r>
              <w:rPr>
                <w:rFonts w:hint="eastAsia" w:ascii="宋体" w:hAnsi="宋体" w:cs="宋体"/>
                <w:b w:val="0"/>
                <w:bCs w:val="0"/>
                <w:color w:val="auto"/>
                <w:sz w:val="24"/>
                <w:szCs w:val="24"/>
                <w:highlight w:val="none"/>
                <w:u w:val="none"/>
                <w:lang w:val="en-US" w:eastAsia="zh-CN"/>
              </w:rPr>
              <w:t>的描述</w:t>
            </w:r>
            <w:r>
              <w:rPr>
                <w:rFonts w:hint="eastAsia" w:ascii="宋体" w:hAnsi="宋体" w:eastAsia="宋体" w:cs="宋体"/>
                <w:sz w:val="24"/>
                <w:szCs w:val="24"/>
                <w:highlight w:val="none"/>
                <w:lang w:val="en-US" w:eastAsia="zh-CN"/>
              </w:rPr>
              <w:t>是否全面合理、是否具有针对性，是否贴合采购需求综合评审打分。</w:t>
            </w:r>
            <w:r>
              <w:rPr>
                <w:rFonts w:hint="eastAsia" w:ascii="宋体" w:hAnsi="宋体" w:eastAsia="宋体" w:cs="宋体"/>
                <w:b/>
                <w:bCs/>
                <w:sz w:val="24"/>
                <w:szCs w:val="24"/>
                <w:highlight w:val="none"/>
                <w:lang w:val="en-US" w:eastAsia="zh-CN"/>
              </w:rPr>
              <w:t>(评分范围：4,3,2,1,0)</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17FEBD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4分</w:t>
            </w:r>
          </w:p>
        </w:tc>
      </w:tr>
      <w:tr w14:paraId="2C58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236A65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BE7C5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功能演示</w:t>
            </w:r>
          </w:p>
        </w:tc>
        <w:tc>
          <w:tcPr>
            <w:tcW w:w="7137" w:type="dxa"/>
            <w:tcBorders>
              <w:top w:val="single" w:color="auto" w:sz="4" w:space="0"/>
              <w:left w:val="single" w:color="auto" w:sz="4" w:space="0"/>
              <w:bottom w:val="single" w:color="auto" w:sz="4" w:space="0"/>
              <w:right w:val="single" w:color="auto" w:sz="4" w:space="0"/>
            </w:tcBorders>
            <w:noWrap w:val="0"/>
            <w:vAlign w:val="center"/>
          </w:tcPr>
          <w:p w14:paraId="4A8A456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val="0"/>
                <w:sz w:val="24"/>
                <w:szCs w:val="24"/>
                <w:highlight w:val="none"/>
                <w:u w:val="none"/>
                <w:lang w:val="en-US" w:eastAsia="zh-CN"/>
              </w:rPr>
            </w:pPr>
            <w:r>
              <w:rPr>
                <w:rFonts w:hint="eastAsia" w:ascii="宋体" w:hAnsi="宋体" w:cs="宋体"/>
                <w:b w:val="0"/>
                <w:bCs w:val="0"/>
                <w:sz w:val="24"/>
                <w:szCs w:val="24"/>
                <w:highlight w:val="none"/>
                <w:u w:val="none"/>
                <w:lang w:val="en-US" w:eastAsia="zh-CN"/>
              </w:rPr>
              <w:t>（一）跨网数据交互</w:t>
            </w:r>
          </w:p>
          <w:p w14:paraId="471C72E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val="0"/>
                <w:sz w:val="24"/>
                <w:szCs w:val="24"/>
                <w:highlight w:val="none"/>
                <w:u w:val="none"/>
                <w:lang w:val="en-US" w:eastAsia="zh-CN"/>
              </w:rPr>
            </w:pPr>
            <w:r>
              <w:rPr>
                <w:rFonts w:hint="eastAsia" w:ascii="宋体" w:hAnsi="宋体" w:cs="宋体"/>
                <w:b w:val="0"/>
                <w:bCs w:val="0"/>
                <w:sz w:val="24"/>
                <w:szCs w:val="24"/>
                <w:highlight w:val="none"/>
                <w:u w:val="none"/>
                <w:lang w:val="en-US" w:eastAsia="zh-CN"/>
              </w:rPr>
              <w:t>1.所有文件上传均会进行文件格式及内容的病毒扫描，根据扫描结果进行文件区分和展示。</w:t>
            </w:r>
            <w:r>
              <w:rPr>
                <w:rFonts w:hint="eastAsia" w:ascii="宋体" w:hAnsi="宋体" w:eastAsia="宋体" w:cs="宋体"/>
                <w:b/>
                <w:bCs/>
                <w:sz w:val="24"/>
                <w:szCs w:val="24"/>
                <w:highlight w:val="none"/>
                <w:lang w:val="en-US" w:eastAsia="zh-CN"/>
              </w:rPr>
              <w:t>(评分范围：2,1.5,1,0.5,0)</w:t>
            </w:r>
          </w:p>
          <w:p w14:paraId="30B0258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val="0"/>
                <w:sz w:val="24"/>
                <w:szCs w:val="24"/>
                <w:highlight w:val="none"/>
                <w:u w:val="none"/>
                <w:lang w:val="en-US" w:eastAsia="zh-CN"/>
              </w:rPr>
            </w:pPr>
            <w:r>
              <w:rPr>
                <w:rFonts w:hint="eastAsia" w:ascii="宋体" w:hAnsi="宋体" w:cs="宋体"/>
                <w:b w:val="0"/>
                <w:bCs w:val="0"/>
                <w:sz w:val="24"/>
                <w:szCs w:val="24"/>
                <w:highlight w:val="none"/>
                <w:u w:val="none"/>
                <w:lang w:val="en-US" w:eastAsia="zh-CN"/>
              </w:rPr>
              <w:t>2.支持群组管理，可创建群组并设置/更改群组有效期限；可设置群组管理员、子管理员、普通成员等，并为各成员设置不同的管理和文件操作权限；</w:t>
            </w:r>
            <w:r>
              <w:rPr>
                <w:rFonts w:hint="eastAsia" w:ascii="宋体" w:hAnsi="宋体" w:eastAsia="宋体" w:cs="宋体"/>
                <w:b/>
                <w:bCs/>
                <w:sz w:val="24"/>
                <w:szCs w:val="24"/>
                <w:highlight w:val="none"/>
                <w:lang w:val="en-US" w:eastAsia="zh-CN"/>
              </w:rPr>
              <w:t>(评分范围：2,1.5,1,0.5,0)</w:t>
            </w:r>
          </w:p>
          <w:p w14:paraId="5C1FBD5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val="0"/>
                <w:bCs w:val="0"/>
                <w:sz w:val="24"/>
                <w:szCs w:val="24"/>
                <w:highlight w:val="none"/>
                <w:u w:val="none"/>
                <w:lang w:val="en-US" w:eastAsia="zh-CN"/>
              </w:rPr>
              <w:t>3.跨网交互：通过在不同网络部署节点，支持在不同网络之间的文件传输，用户通过平台将文件从一个网络环境传输到另一个网络环境，实现文件的同步和共享，系统同时支持实时同步功能，确保文件在不同网络环境下的实时更新和一致性。</w:t>
            </w:r>
            <w:r>
              <w:rPr>
                <w:rFonts w:hint="eastAsia" w:ascii="宋体" w:hAnsi="宋体" w:eastAsia="宋体" w:cs="宋体"/>
                <w:b/>
                <w:bCs/>
                <w:sz w:val="24"/>
                <w:szCs w:val="24"/>
                <w:highlight w:val="none"/>
                <w:lang w:val="en-US" w:eastAsia="zh-CN"/>
              </w:rPr>
              <w:t>(评分范围：2,1.5,1,0.5,0)</w:t>
            </w:r>
          </w:p>
          <w:p w14:paraId="1822A58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（二）API风险监测</w:t>
            </w:r>
          </w:p>
          <w:p w14:paraId="0F23B65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API业务配置和资源管理，API配置包括文件上传、文件下载、文件导出、URL重定向、登录登出等API类型以及新增、活跃、失活等API状态配置；API资源管理支持统一界面展示API访问量TOP10、API数据量TOP10、全部接口数量分类统计（新增接口、活跃接口、失活接口、风险接口、弱点接口、短信接口等）</w:t>
            </w:r>
            <w:r>
              <w:rPr>
                <w:rFonts w:hint="eastAsia" w:ascii="宋体" w:hAnsi="宋体" w:eastAsia="宋体" w:cs="宋体"/>
                <w:b/>
                <w:bCs/>
                <w:sz w:val="24"/>
                <w:szCs w:val="24"/>
                <w:highlight w:val="none"/>
                <w:lang w:val="en-US" w:eastAsia="zh-CN"/>
              </w:rPr>
              <w:t>(评分范围：2,1.5,1,0.5,0)</w:t>
            </w:r>
          </w:p>
          <w:p w14:paraId="60806BD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应用配置和资源管理，应用配置包括新增、活跃、失活等状态配置；应用资源管理支持统一界面展示应用概况，包括应用访问量TOP10、应用下账号数量分布TOP10、应用分类数量统计（应用数量、应用访问量、内网应用、外网应用、风险应用、失活应用等）</w:t>
            </w:r>
            <w:r>
              <w:rPr>
                <w:rFonts w:hint="eastAsia" w:ascii="宋体" w:hAnsi="宋体" w:eastAsia="宋体" w:cs="宋体"/>
                <w:b/>
                <w:bCs/>
                <w:sz w:val="24"/>
                <w:szCs w:val="24"/>
                <w:highlight w:val="none"/>
                <w:lang w:val="en-US" w:eastAsia="zh-CN"/>
              </w:rPr>
              <w:t>(评分范围：2,1.5,1,0.5,0)</w:t>
            </w:r>
          </w:p>
          <w:p w14:paraId="4DC9E68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sz w:val="24"/>
                <w:szCs w:val="24"/>
                <w:highlight w:val="none"/>
              </w:rPr>
              <w:t>（1）采用具有类似功能的系统</w:t>
            </w:r>
            <w:r>
              <w:rPr>
                <w:rFonts w:hint="eastAsia" w:ascii="宋体" w:hAnsi="宋体" w:cs="宋体"/>
                <w:sz w:val="24"/>
                <w:szCs w:val="24"/>
                <w:highlight w:val="none"/>
                <w:lang w:val="en-US" w:eastAsia="zh-CN"/>
              </w:rPr>
              <w:t>软件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无需成品方式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录制演示视频</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u w:val="single"/>
                <w:lang w:val="en-US" w:eastAsia="zh-CN"/>
              </w:rPr>
              <w:t>未提供演示视频，或</w:t>
            </w:r>
            <w:r>
              <w:rPr>
                <w:rFonts w:hint="eastAsia" w:ascii="宋体" w:hAnsi="宋体" w:eastAsia="宋体" w:cs="宋体"/>
                <w:b/>
                <w:bCs/>
                <w:sz w:val="24"/>
                <w:szCs w:val="24"/>
                <w:highlight w:val="none"/>
                <w:u w:val="single"/>
                <w:lang w:eastAsia="zh-CN"/>
              </w:rPr>
              <w:t>通过WORD、PPT</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lang w:val="en-US" w:eastAsia="zh-CN"/>
              </w:rPr>
              <w:t>图片</w:t>
            </w:r>
            <w:r>
              <w:rPr>
                <w:rFonts w:hint="eastAsia" w:ascii="宋体" w:hAnsi="宋体" w:eastAsia="宋体" w:cs="宋体"/>
                <w:b/>
                <w:bCs/>
                <w:sz w:val="24"/>
                <w:szCs w:val="24"/>
                <w:highlight w:val="none"/>
                <w:u w:val="single"/>
                <w:lang w:eastAsia="zh-CN"/>
              </w:rPr>
              <w:t>等截取</w:t>
            </w:r>
            <w:r>
              <w:rPr>
                <w:rFonts w:hint="eastAsia" w:ascii="宋体" w:hAnsi="宋体" w:cs="宋体"/>
                <w:b/>
                <w:bCs/>
                <w:sz w:val="24"/>
                <w:szCs w:val="24"/>
                <w:highlight w:val="none"/>
                <w:u w:val="single"/>
                <w:lang w:val="en-US" w:eastAsia="zh-CN"/>
              </w:rPr>
              <w:t>系统软件静态</w:t>
            </w:r>
            <w:r>
              <w:rPr>
                <w:rFonts w:hint="eastAsia" w:ascii="宋体" w:hAnsi="宋体" w:eastAsia="宋体" w:cs="宋体"/>
                <w:b/>
                <w:bCs/>
                <w:sz w:val="24"/>
                <w:szCs w:val="24"/>
                <w:highlight w:val="none"/>
                <w:u w:val="single"/>
                <w:lang w:eastAsia="zh-CN"/>
              </w:rPr>
              <w:t>界面演示的不得分</w:t>
            </w:r>
            <w:r>
              <w:rPr>
                <w:rFonts w:hint="eastAsia" w:ascii="宋体" w:hAnsi="宋体" w:eastAsia="宋体" w:cs="宋体"/>
                <w:sz w:val="24"/>
                <w:szCs w:val="24"/>
                <w:highlight w:val="none"/>
              </w:rPr>
              <w:t>。（2）视频文件格式要求为rmvb（或rm、MP4、avi、mkv中任一种），由于文件格式错误、文件损坏等导致视频不能播放的风险由</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自行承担，时间控制在</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分钟内。（3）演示视频提交方式详见“</w:t>
            </w:r>
            <w:r>
              <w:rPr>
                <w:rFonts w:hint="eastAsia" w:ascii="宋体" w:hAnsi="宋体" w:eastAsia="宋体" w:cs="宋体"/>
                <w:sz w:val="24"/>
                <w:szCs w:val="24"/>
                <w:highlight w:val="none"/>
                <w:lang w:val="en-US" w:eastAsia="zh-CN"/>
              </w:rPr>
              <w:t>第二章</w:t>
            </w:r>
            <w:r>
              <w:rPr>
                <w:rFonts w:hint="eastAsia" w:ascii="宋体" w:hAnsi="宋体" w:eastAsia="宋体" w:cs="宋体"/>
                <w:sz w:val="24"/>
                <w:szCs w:val="24"/>
                <w:highlight w:val="none"/>
              </w:rPr>
              <w:t>投标须知前附表及投标须知，</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演示视频</w:t>
            </w:r>
            <w:r>
              <w:rPr>
                <w:rFonts w:hint="eastAsia" w:ascii="宋体" w:hAnsi="宋体" w:eastAsia="宋体" w:cs="宋体"/>
                <w:sz w:val="24"/>
                <w:szCs w:val="24"/>
                <w:highlight w:val="none"/>
              </w:rPr>
              <w:t>”</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ED593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p>
        </w:tc>
      </w:tr>
    </w:tbl>
    <w:p w14:paraId="724A9EFB">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）价格文件评分（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9C849A5">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次招标价格文件评分由各评委成员按评分细则进行评审打分，评标委员会认为投标人的报价明显低于其他通过符合性审查投标人的报价，有可能影响产品质量或者不能诚信履约的，应当要求其在评标现场30分钟内提供书面说明，必要时提交相关证明材料;投标人不能证明其报价合理性的，评标委员会应当将其作为无效投标处理。</w:t>
      </w:r>
    </w:p>
    <w:p w14:paraId="2152524D">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（2）评审中出现下列情形之一的，评审委员会启动异常低价投标（响应）审查程序：</w:t>
      </w:r>
    </w:p>
    <w:p w14:paraId="17B2A9C4">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①投标（响应）报价低于全部通过符合性审查供应商投标（响应）报价平均值50%的，即投标（响应）报价&lt;全部通过符合性审查供应商投标（响应）报价平均值×50%；</w:t>
      </w:r>
    </w:p>
    <w:p w14:paraId="0705FB6F">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②投标（响应）报价低于通过符合性审查的次低报价供应商投标（响应）报价50%的，即投标（响应）报价&lt;通过符合性审查的次低报价供应商投标（响应）报价×50%；</w:t>
      </w:r>
    </w:p>
    <w:p w14:paraId="2E4C9978">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③投标（响应）报价低于采购项目最高限价45%的，即投标（响应）报价&lt;采购项目最高限价×45%；</w:t>
      </w:r>
    </w:p>
    <w:p w14:paraId="25458C55">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④评审委员会基于专业判断，认为供应商报价过低，有可能影响产品质量或者不能诚信履约的其他情形。</w:t>
      </w:r>
    </w:p>
    <w:p w14:paraId="236DA833">
      <w:pPr>
        <w:pStyle w:val="31"/>
        <w:keepNext w:val="0"/>
        <w:keepLines w:val="0"/>
        <w:pageBreakBefore w:val="0"/>
        <w:kinsoku/>
        <w:wordWrap/>
        <w:overflowPunct/>
        <w:topLinePunct w:val="0"/>
        <w:autoSpaceDE/>
        <w:autoSpaceDN/>
        <w:bidi w:val="0"/>
        <w:spacing w:before="0" w:line="500" w:lineRule="exact"/>
        <w:ind w:firstLine="547" w:firstLineChars="228"/>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i w:val="0"/>
          <w:iCs w:val="0"/>
          <w:caps w:val="0"/>
          <w:color w:val="000000"/>
          <w:spacing w:val="0"/>
          <w:sz w:val="24"/>
          <w:szCs w:val="24"/>
          <w:highlight w:val="none"/>
          <w:shd w:val="clear" w:fill="FFFFFF"/>
          <w:lang w:val="en-US" w:eastAsia="zh-CN"/>
        </w:rPr>
        <w:t>⑤</w:t>
      </w:r>
      <w:r>
        <w:rPr>
          <w:rFonts w:hint="eastAsia" w:ascii="宋体" w:hAnsi="宋体" w:eastAsia="宋体" w:cs="宋体"/>
          <w:i w:val="0"/>
          <w:iCs w:val="0"/>
          <w:caps w:val="0"/>
          <w:color w:val="000000"/>
          <w:spacing w:val="0"/>
          <w:sz w:val="24"/>
          <w:szCs w:val="24"/>
          <w:highlight w:val="none"/>
          <w:shd w:val="clear" w:fill="FFFFFF"/>
        </w:rPr>
        <w:t>评审委员会启动异常低价投标（响应）审查后，属于前述第</w:t>
      </w:r>
      <w:r>
        <w:rPr>
          <w:rFonts w:hint="eastAsia" w:ascii="宋体" w:hAnsi="宋体" w:cs="宋体"/>
          <w:i w:val="0"/>
          <w:iCs w:val="0"/>
          <w:caps w:val="0"/>
          <w:color w:val="000000"/>
          <w:spacing w:val="0"/>
          <w:sz w:val="24"/>
          <w:szCs w:val="24"/>
          <w:highlight w:val="none"/>
          <w:shd w:val="clear" w:fill="FFFFFF"/>
          <w:lang w:val="en-US" w:eastAsia="zh-CN"/>
        </w:rPr>
        <w:t>①</w:t>
      </w:r>
      <w:r>
        <w:rPr>
          <w:rFonts w:hint="eastAsia" w:ascii="宋体" w:hAnsi="宋体" w:eastAsia="宋体" w:cs="宋体"/>
          <w:i w:val="0"/>
          <w:iCs w:val="0"/>
          <w:caps w:val="0"/>
          <w:color w:val="000000"/>
          <w:spacing w:val="0"/>
          <w:sz w:val="24"/>
          <w:szCs w:val="24"/>
          <w:highlight w:val="none"/>
          <w:shd w:val="clear" w:fill="FFFFFF"/>
        </w:rPr>
        <w:t>项至第</w:t>
      </w:r>
      <w:r>
        <w:rPr>
          <w:rFonts w:hint="eastAsia" w:ascii="宋体" w:hAnsi="宋体" w:cs="宋体"/>
          <w:i w:val="0"/>
          <w:iCs w:val="0"/>
          <w:caps w:val="0"/>
          <w:color w:val="000000"/>
          <w:spacing w:val="0"/>
          <w:sz w:val="24"/>
          <w:szCs w:val="24"/>
          <w:highlight w:val="none"/>
          <w:shd w:val="clear" w:fill="FFFFFF"/>
          <w:lang w:val="en-US" w:eastAsia="zh-CN"/>
        </w:rPr>
        <w:t>④</w:t>
      </w:r>
      <w:r>
        <w:rPr>
          <w:rFonts w:hint="eastAsia" w:ascii="宋体" w:hAnsi="宋体" w:eastAsia="宋体" w:cs="宋体"/>
          <w:i w:val="0"/>
          <w:iCs w:val="0"/>
          <w:caps w:val="0"/>
          <w:color w:val="000000"/>
          <w:spacing w:val="0"/>
          <w:sz w:val="24"/>
          <w:szCs w:val="24"/>
          <w:highlight w:val="none"/>
          <w:shd w:val="clear" w:fill="FFFFFF"/>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8C06F6">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i w:val="0"/>
          <w:iCs w:val="0"/>
          <w:caps w:val="0"/>
          <w:color w:val="000000"/>
          <w:spacing w:val="0"/>
          <w:sz w:val="24"/>
          <w:szCs w:val="24"/>
          <w:highlight w:val="none"/>
          <w:shd w:val="clear" w:fill="FFFFFF"/>
          <w:lang w:val="en-US" w:eastAsia="zh-CN"/>
        </w:rPr>
        <w:t>⑥</w:t>
      </w:r>
      <w:r>
        <w:rPr>
          <w:rFonts w:hint="eastAsia" w:ascii="宋体" w:hAnsi="宋体" w:eastAsia="宋体" w:cs="宋体"/>
          <w:i w:val="0"/>
          <w:iCs w:val="0"/>
          <w:caps w:val="0"/>
          <w:color w:val="000000"/>
          <w:spacing w:val="0"/>
          <w:sz w:val="24"/>
          <w:szCs w:val="24"/>
          <w:highlight w:val="none"/>
          <w:shd w:val="clear" w:fill="FFFFFF"/>
        </w:rPr>
        <w:t>投标（响应）供应商不能提供书面说明、证明材料，或者提供的书面说明、证明材料不能证明其报价合理性的，评审委员会应当将其作为无效投标（响应）处理。</w:t>
      </w:r>
    </w:p>
    <w:p w14:paraId="1166691C">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价格分采用低价优先法计算，即满足招标文件要求且报价最低的投标报价为评标基准价，其他投标人的价格分按照下列公式计算：</w:t>
      </w:r>
    </w:p>
    <w:p w14:paraId="77579F1E">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注意：本项目最高限价为</w:t>
      </w:r>
      <w:r>
        <w:rPr>
          <w:rFonts w:hint="eastAsia" w:ascii="宋体" w:hAnsi="宋体" w:eastAsia="宋体" w:cs="宋体"/>
          <w:b/>
          <w:bCs/>
          <w:color w:val="auto"/>
          <w:sz w:val="24"/>
          <w:szCs w:val="24"/>
          <w:highlight w:val="none"/>
          <w:u w:val="single"/>
          <w:lang w:val="en-US" w:eastAsia="zh-CN"/>
        </w:rPr>
        <w:t>1460000</w:t>
      </w:r>
      <w:r>
        <w:rPr>
          <w:rFonts w:hint="eastAsia" w:ascii="宋体" w:hAnsi="宋体" w:cs="宋体"/>
          <w:b/>
          <w:bCs w:val="0"/>
          <w:color w:val="auto"/>
          <w:sz w:val="24"/>
          <w:szCs w:val="24"/>
          <w:highlight w:val="none"/>
          <w:u w:val="single"/>
          <w:lang w:val="en-US" w:eastAsia="zh-CN"/>
        </w:rPr>
        <w:t>元</w:t>
      </w:r>
      <w:r>
        <w:rPr>
          <w:rFonts w:hint="eastAsia" w:ascii="宋体" w:hAnsi="宋体" w:eastAsia="宋体" w:cs="宋体"/>
          <w:color w:val="auto"/>
          <w:sz w:val="24"/>
          <w:szCs w:val="24"/>
          <w:highlight w:val="none"/>
          <w:lang w:val="en-US" w:eastAsia="zh-CN"/>
        </w:rPr>
        <w:t>，投标人投标报价超过最高投标限价的做否决投标处理。</w:t>
      </w:r>
    </w:p>
    <w:p w14:paraId="1FE7467B">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Cs/>
          <w:spacing w:val="-4"/>
          <w:sz w:val="24"/>
          <w:szCs w:val="24"/>
          <w:highlight w:val="none"/>
          <w:lang w:val="en-US" w:eastAsia="zh-CN"/>
        </w:rPr>
      </w:pPr>
      <w:r>
        <w:rPr>
          <w:rFonts w:hint="eastAsia" w:ascii="宋体" w:hAnsi="宋体" w:eastAsia="宋体" w:cs="宋体"/>
          <w:sz w:val="24"/>
          <w:highlight w:val="none"/>
        </w:rPr>
        <w:t>价格分=（评标基准价/投标报价）</w:t>
      </w:r>
      <w:r>
        <w:rPr>
          <w:rFonts w:hint="eastAsia" w:ascii="宋体" w:hAnsi="宋体" w:eastAsia="宋体" w:cs="宋体"/>
          <w:bCs/>
          <w:spacing w:val="-4"/>
          <w:sz w:val="24"/>
          <w:szCs w:val="24"/>
          <w:highlight w:val="none"/>
        </w:rPr>
        <w:t>×</w:t>
      </w:r>
      <w:r>
        <w:rPr>
          <w:rFonts w:hint="eastAsia" w:ascii="宋体" w:hAnsi="宋体" w:eastAsia="宋体" w:cs="宋体"/>
          <w:bCs/>
          <w:spacing w:val="-4"/>
          <w:sz w:val="24"/>
          <w:szCs w:val="24"/>
          <w:highlight w:val="none"/>
          <w:lang w:eastAsia="zh-CN"/>
        </w:rPr>
        <w:t>价格权值（</w:t>
      </w:r>
      <w:r>
        <w:rPr>
          <w:rFonts w:hint="eastAsia" w:ascii="宋体" w:hAnsi="宋体" w:cs="宋体"/>
          <w:bCs/>
          <w:spacing w:val="-4"/>
          <w:sz w:val="24"/>
          <w:szCs w:val="24"/>
          <w:highlight w:val="none"/>
          <w:lang w:val="en-US" w:eastAsia="zh-CN"/>
        </w:rPr>
        <w:t>30</w:t>
      </w:r>
      <w:r>
        <w:rPr>
          <w:rFonts w:hint="eastAsia" w:ascii="宋体" w:hAnsi="宋体" w:eastAsia="宋体" w:cs="宋体"/>
          <w:bCs/>
          <w:spacing w:val="-4"/>
          <w:sz w:val="24"/>
          <w:szCs w:val="24"/>
          <w:highlight w:val="none"/>
          <w:lang w:val="en-US" w:eastAsia="zh-CN"/>
        </w:rPr>
        <w:t>分</w:t>
      </w:r>
      <w:r>
        <w:rPr>
          <w:rFonts w:hint="eastAsia" w:ascii="宋体" w:hAnsi="宋体" w:eastAsia="宋体" w:cs="宋体"/>
          <w:bCs/>
          <w:spacing w:val="-4"/>
          <w:sz w:val="24"/>
          <w:szCs w:val="24"/>
          <w:highlight w:val="none"/>
          <w:lang w:eastAsia="zh-CN"/>
        </w:rPr>
        <w:t>）</w:t>
      </w:r>
      <w:r>
        <w:rPr>
          <w:rFonts w:hint="eastAsia" w:ascii="宋体" w:hAnsi="宋体" w:eastAsia="宋体" w:cs="宋体"/>
          <w:bCs/>
          <w:spacing w:val="-4"/>
          <w:sz w:val="24"/>
          <w:szCs w:val="24"/>
          <w:highlight w:val="none"/>
          <w:lang w:val="en-US" w:eastAsia="zh-CN"/>
        </w:rPr>
        <w:t>×100%</w:t>
      </w:r>
    </w:p>
    <w:p w14:paraId="7AA3DC52">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lang w:eastAsia="zh-CN"/>
        </w:rPr>
        <w:t>（</w:t>
      </w:r>
      <w:r>
        <w:rPr>
          <w:rFonts w:hint="eastAsia" w:ascii="宋体" w:hAnsi="宋体" w:cs="宋体"/>
          <w:b/>
          <w:bCs/>
          <w:sz w:val="24"/>
          <w:szCs w:val="24"/>
          <w:highlight w:val="none"/>
          <w:u w:val="single"/>
          <w:lang w:val="en-US" w:eastAsia="zh-CN"/>
        </w:rPr>
        <w:t>4</w:t>
      </w:r>
      <w:r>
        <w:rPr>
          <w:rFonts w:hint="eastAsia" w:ascii="宋体" w:hAnsi="宋体" w:eastAsia="宋体" w:cs="宋体"/>
          <w:b/>
          <w:bCs/>
          <w:sz w:val="24"/>
          <w:szCs w:val="24"/>
          <w:highlight w:val="none"/>
          <w:u w:val="single"/>
          <w:lang w:val="en-US" w:eastAsia="zh-CN"/>
        </w:rPr>
        <w:t>）</w:t>
      </w:r>
      <w:r>
        <w:rPr>
          <w:rFonts w:hint="eastAsia" w:ascii="宋体" w:hAnsi="宋体" w:eastAsia="宋体" w:cs="宋体"/>
          <w:b/>
          <w:bCs/>
          <w:sz w:val="24"/>
          <w:szCs w:val="24"/>
          <w:highlight w:val="none"/>
          <w:u w:val="single"/>
        </w:rPr>
        <w:t>落实政府采购政策说明：</w:t>
      </w:r>
    </w:p>
    <w:p w14:paraId="39A181EF">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2" w:firstLineChars="200"/>
        <w:textAlignment w:val="auto"/>
        <w:rPr>
          <w:rFonts w:hint="default" w:ascii="宋体" w:hAnsi="宋体" w:cs="宋体"/>
          <w:b/>
          <w:bCs/>
          <w:sz w:val="24"/>
          <w:szCs w:val="24"/>
          <w:highlight w:val="none"/>
          <w:u w:val="single"/>
          <w:lang w:val="en-US" w:eastAsia="zh-CN"/>
        </w:rPr>
      </w:pPr>
      <w:r>
        <w:rPr>
          <w:rFonts w:hint="eastAsia" w:ascii="宋体" w:hAnsi="宋体" w:cs="宋体"/>
          <w:b/>
          <w:bCs/>
          <w:sz w:val="24"/>
          <w:szCs w:val="24"/>
          <w:highlight w:val="none"/>
          <w:u w:val="single"/>
          <w:lang w:val="en-US" w:eastAsia="zh-CN"/>
        </w:rPr>
        <w:t>①本项目不属于专门面向中小企业采购的项目，但对小微企业的扶持政策如下：</w:t>
      </w:r>
    </w:p>
    <w:p w14:paraId="2D284E6D">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u w:val="single"/>
          <w:lang w:val="en-US" w:eastAsia="zh-CN"/>
        </w:rPr>
        <w:t>【根据《政府采购促进中小企业发展管理办法》（财库〔2020〕46号）和《财政部关于进一步加大政府采购支持中小企业力度的通知》（财库〔2022〕19号）有关规定，本项目对符合规定的小微企业报价按优惠幅度10%给予扣除，用扣除后的价格参加评审】</w:t>
      </w:r>
      <w:r>
        <w:rPr>
          <w:rFonts w:hint="eastAsia" w:ascii="宋体" w:hAnsi="宋体" w:cs="宋体"/>
          <w:b/>
          <w:bCs/>
          <w:sz w:val="24"/>
          <w:szCs w:val="24"/>
          <w:highlight w:val="none"/>
          <w:u w:val="single"/>
          <w:lang w:eastAsia="zh-CN"/>
        </w:rPr>
        <w:t>。</w:t>
      </w:r>
    </w:p>
    <w:p w14:paraId="09E54127">
      <w:pPr>
        <w:keepNext w:val="0"/>
        <w:keepLines w:val="0"/>
        <w:pageBreakBefore w:val="0"/>
        <w:kinsoku/>
        <w:wordWrap/>
        <w:overflowPunct/>
        <w:topLinePunct w:val="0"/>
        <w:autoSpaceDE w:val="0"/>
        <w:autoSpaceDN w:val="0"/>
        <w:bidi w:val="0"/>
        <w:spacing w:line="500" w:lineRule="exact"/>
        <w:ind w:firstLine="482"/>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②</w:t>
      </w:r>
      <w:r>
        <w:rPr>
          <w:rFonts w:hint="eastAsia" w:ascii="宋体" w:hAnsi="宋体" w:cs="宋体"/>
          <w:b/>
          <w:bCs/>
          <w:sz w:val="24"/>
          <w:szCs w:val="24"/>
          <w:highlight w:val="none"/>
          <w:u w:val="single"/>
          <w:lang w:val="en-US" w:eastAsia="zh-CN"/>
        </w:rPr>
        <w:t>根据财政部、司法部关于政府采购支持监狱企业发展有关问题的通知（财库〔2014〕68号）的规定，监狱企业【提供《监狱企业声明函》（格式详见第五章“应提交的有关格式范例”）及由省级以上监狱管理局、戒毒管理局（含新疆生产建设兵团）出具的属于监狱企业的证明文件】视同小型、微型企业。</w:t>
      </w:r>
    </w:p>
    <w:p w14:paraId="237CCB76">
      <w:pPr>
        <w:keepNext w:val="0"/>
        <w:keepLines w:val="0"/>
        <w:pageBreakBefore w:val="0"/>
        <w:kinsoku/>
        <w:wordWrap/>
        <w:overflowPunct/>
        <w:topLinePunct w:val="0"/>
        <w:autoSpaceDE w:val="0"/>
        <w:autoSpaceDN w:val="0"/>
        <w:bidi w:val="0"/>
        <w:spacing w:line="500" w:lineRule="exact"/>
        <w:ind w:firstLine="482"/>
        <w:textAlignment w:val="auto"/>
        <w:rPr>
          <w:rFonts w:hint="default" w:ascii="宋体" w:hAnsi="宋体" w:eastAsia="宋体" w:cs="宋体"/>
          <w:b/>
          <w:bCs/>
          <w:sz w:val="24"/>
          <w:szCs w:val="24"/>
          <w:highlight w:val="none"/>
          <w:u w:val="single"/>
          <w:lang w:val="en-US" w:eastAsia="zh-CN"/>
        </w:rPr>
      </w:pPr>
      <w:r>
        <w:rPr>
          <w:rFonts w:hint="eastAsia" w:ascii="宋体" w:hAnsi="宋体" w:cs="宋体"/>
          <w:b/>
          <w:bCs/>
          <w:sz w:val="24"/>
          <w:szCs w:val="24"/>
          <w:highlight w:val="none"/>
          <w:u w:val="single"/>
          <w:lang w:val="en-US" w:eastAsia="zh-CN"/>
        </w:rPr>
        <w:t>③根据财政部、民政部、中国残疾人联合会关于促进残疾人就业政府采购政策的通知（财库〔2017〕141号）的规定，残疾人福利性单位【提供《残疾人福利性单位声明函》（格式详见第五章“应提交的有关格式范例”）】视同小型、微型企业。</w:t>
      </w:r>
    </w:p>
    <w:p w14:paraId="637998F6">
      <w:pPr>
        <w:keepNext w:val="0"/>
        <w:keepLines w:val="0"/>
        <w:pageBreakBefore w:val="0"/>
        <w:kinsoku/>
        <w:wordWrap/>
        <w:overflowPunct/>
        <w:topLinePunct w:val="0"/>
        <w:autoSpaceDE w:val="0"/>
        <w:autoSpaceDN w:val="0"/>
        <w:bidi w:val="0"/>
        <w:spacing w:line="500" w:lineRule="exact"/>
        <w:ind w:firstLine="482"/>
        <w:textAlignment w:val="auto"/>
        <w:rPr>
          <w:rFonts w:hint="default" w:ascii="宋体" w:hAnsi="宋体" w:eastAsia="宋体" w:cs="宋体"/>
          <w:b/>
          <w:bCs/>
          <w:sz w:val="24"/>
          <w:szCs w:val="24"/>
          <w:highlight w:val="none"/>
          <w:u w:val="single"/>
          <w:lang w:val="en-US" w:eastAsia="zh-CN"/>
        </w:rPr>
      </w:pPr>
      <w:r>
        <w:rPr>
          <w:rFonts w:hint="eastAsia" w:ascii="宋体" w:hAnsi="宋体" w:cs="宋体"/>
          <w:b/>
          <w:bCs/>
          <w:sz w:val="24"/>
          <w:szCs w:val="24"/>
          <w:highlight w:val="none"/>
          <w:u w:val="single"/>
          <w:lang w:val="en-US" w:eastAsia="zh-CN"/>
        </w:rPr>
        <w:t>④政府采购活动中既有本国产品又有非本国产品参与竞争的，依法对本国产品的报价给予20%的价格扣除，用扣除后的价格参与评审。</w:t>
      </w:r>
    </w:p>
    <w:p w14:paraId="3B6B9FD9">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cs="宋体"/>
          <w:sz w:val="24"/>
          <w:szCs w:val="24"/>
          <w:highlight w:val="none"/>
          <w:lang w:val="en-US" w:eastAsia="zh-CN"/>
        </w:rPr>
      </w:pPr>
      <w:r>
        <w:rPr>
          <w:rFonts w:hint="eastAsia" w:ascii="宋体" w:hAnsi="宋体" w:cs="宋体"/>
          <w:b/>
          <w:bCs/>
          <w:sz w:val="24"/>
          <w:szCs w:val="24"/>
          <w:highlight w:val="none"/>
          <w:u w:val="single"/>
          <w:lang w:val="en-US" w:eastAsia="zh-CN"/>
        </w:rPr>
        <w:t>★备注：对于非专门面向中小企业的采购项目，既有本国产品也有非本国产品参与竞争，且提供本国产品的供应商同时为小微企业的，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在供应商原始报价基础上计算，用扣除后的价格参与评审。</w:t>
      </w:r>
    </w:p>
    <w:p w14:paraId="19EC67E1">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）其他</w:t>
      </w:r>
    </w:p>
    <w:p w14:paraId="59ACEF59">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评分时保留小数点后1位小数，计算评分值时保留小数点后2位小数，由评标委员会当场统一计算。</w:t>
      </w:r>
    </w:p>
    <w:p w14:paraId="61A4A3B7">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投标人的最终总得分为商务技术文件及报价部分二部分得分的总和。</w:t>
      </w:r>
    </w:p>
    <w:p w14:paraId="76CA52AA">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报价是中标的一个重要因素，但最低报价不是中标的唯一依据。</w:t>
      </w:r>
    </w:p>
    <w:p w14:paraId="15E4253F">
      <w:pPr>
        <w:keepNext w:val="0"/>
        <w:keepLines w:val="0"/>
        <w:pageBreakBefore w:val="0"/>
        <w:widowControl/>
        <w:kinsoku/>
        <w:wordWrap/>
        <w:overflowPunct/>
        <w:topLinePunct w:val="0"/>
        <w:autoSpaceDE/>
        <w:autoSpaceDN/>
        <w:bidi w:val="0"/>
        <w:adjustRightInd/>
        <w:snapToGrid w:val="0"/>
        <w:spacing w:line="50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六、定标办法</w:t>
      </w:r>
      <w:bookmarkEnd w:id="86"/>
      <w:bookmarkEnd w:id="87"/>
      <w:bookmarkEnd w:id="88"/>
      <w:bookmarkEnd w:id="89"/>
    </w:p>
    <w:p w14:paraId="4430D479">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1.本次招标由评标委员会直接确定中标</w:t>
      </w:r>
      <w:r>
        <w:rPr>
          <w:rFonts w:hint="eastAsia" w:ascii="宋体" w:hAnsi="宋体" w:eastAsia="宋体" w:cs="宋体"/>
          <w:sz w:val="24"/>
          <w:szCs w:val="24"/>
          <w:highlight w:val="none"/>
          <w:lang w:val="zh-CN"/>
        </w:rPr>
        <w:t>候选人</w:t>
      </w:r>
      <w:r>
        <w:rPr>
          <w:rFonts w:hint="eastAsia" w:ascii="宋体" w:hAnsi="宋体" w:eastAsia="宋体" w:cs="宋体"/>
          <w:sz w:val="24"/>
          <w:szCs w:val="24"/>
          <w:highlight w:val="none"/>
        </w:rPr>
        <w:t>。</w:t>
      </w:r>
    </w:p>
    <w:p w14:paraId="2936C6CA">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购人应当自收到评标报告之日起５个工作日内，在评标报告确定的中标候选人名单中按顺序确定中标供应商。采购人在收到评标报告5个工作日内未按评标报告推荐的中标候选人顺序确定中标供应商，又不能说明合法理由的，视同按评标报告推荐的顺序确定排名第一的中标候选人为中标供应商。</w:t>
      </w:r>
    </w:p>
    <w:p w14:paraId="590EE471">
      <w:pPr>
        <w:keepNext w:val="0"/>
        <w:keepLines w:val="0"/>
        <w:pageBreakBefore w:val="0"/>
        <w:kinsoku/>
        <w:wordWrap/>
        <w:overflowPunct/>
        <w:topLinePunct w:val="0"/>
        <w:autoSpaceDE w:val="0"/>
        <w:autoSpaceDN w:val="0"/>
        <w:bidi w:val="0"/>
        <w:spacing w:line="500" w:lineRule="exact"/>
        <w:ind w:firstLine="482"/>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zh-CN"/>
        </w:rPr>
        <w:t>如中标候选人放弃中标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因不可抗力提出不能履行合同；或者招标文件规定应当提交履约保证金而在规定的期限内未能提交的；或未能在规定时间内与采购单位签订合同的；或者经质疑，采购人审查后，确因中标候选人在本次采购活动中存在违法违规行为或其他原因使质疑成立的，采购人</w:t>
      </w:r>
      <w:r>
        <w:rPr>
          <w:rFonts w:hint="eastAsia" w:ascii="宋体" w:hAnsi="宋体" w:eastAsia="宋体" w:cs="宋体"/>
          <w:sz w:val="24"/>
          <w:szCs w:val="24"/>
          <w:highlight w:val="none"/>
          <w:lang w:val="en-US" w:eastAsia="zh-CN"/>
        </w:rPr>
        <w:t>可</w:t>
      </w:r>
      <w:r>
        <w:rPr>
          <w:rFonts w:hint="eastAsia" w:ascii="宋体" w:hAnsi="宋体" w:eastAsia="宋体" w:cs="宋体"/>
          <w:sz w:val="24"/>
          <w:szCs w:val="24"/>
          <w:highlight w:val="none"/>
          <w:lang w:val="zh-CN"/>
        </w:rPr>
        <w:t>重新招标。</w:t>
      </w:r>
    </w:p>
    <w:p w14:paraId="3B184E0C">
      <w:pPr>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五、询标</w:t>
      </w:r>
    </w:p>
    <w:p w14:paraId="1FE8BD7B">
      <w:pPr>
        <w:pStyle w:val="8"/>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对投标文件中存在含义不清楚的内容，必要时评标委员会要求供应商作必要的澄清、说明或补正。询标记录需供应商授权代表签字确认，它将作为投标文件的一部分。</w:t>
      </w:r>
    </w:p>
    <w:p w14:paraId="7D0B69E7">
      <w:pPr>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六、修改评标结果</w:t>
      </w:r>
    </w:p>
    <w:p w14:paraId="58DC1EB4">
      <w:pPr>
        <w:pStyle w:val="8"/>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评标结果汇总完成后，除下列情形外，任何人不得修改评标结果：</w:t>
      </w:r>
    </w:p>
    <w:p w14:paraId="1AA865B3">
      <w:pPr>
        <w:pStyle w:val="8"/>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（一）分值汇总计算错误的</w:t>
      </w:r>
    </w:p>
    <w:p w14:paraId="031D9E0A">
      <w:pPr>
        <w:pStyle w:val="8"/>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（二）分项评分超出评分标准范围的；</w:t>
      </w:r>
    </w:p>
    <w:p w14:paraId="5102BCFF">
      <w:pPr>
        <w:pStyle w:val="8"/>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（三）评标委员会成员对客观评审因素评分不一致的；</w:t>
      </w:r>
    </w:p>
    <w:p w14:paraId="261CEE1B">
      <w:pPr>
        <w:pStyle w:val="8"/>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（四）经评标委员会认定评分畸高、畸低的。</w:t>
      </w:r>
    </w:p>
    <w:p w14:paraId="2ED231BE">
      <w:pPr>
        <w:pStyle w:val="20"/>
        <w:keepNext w:val="0"/>
        <w:keepLines w:val="0"/>
        <w:pageBreakBefore w:val="0"/>
        <w:kinsoku/>
        <w:wordWrap/>
        <w:overflowPunct/>
        <w:topLinePunct w:val="0"/>
        <w:bidi w:val="0"/>
        <w:spacing w:line="500" w:lineRule="exact"/>
        <w:textAlignment w:val="auto"/>
        <w:rPr>
          <w:rFonts w:hint="eastAsia" w:ascii="宋体" w:hAnsi="宋体" w:eastAsia="宋体" w:cs="宋体"/>
          <w:highlight w:val="none"/>
          <w:lang w:val="zh-CN"/>
        </w:rPr>
      </w:pPr>
    </w:p>
    <w:p w14:paraId="3F2BCBFB">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40" w:firstLineChars="200"/>
        <w:jc w:val="both"/>
        <w:textAlignment w:val="auto"/>
        <w:rPr>
          <w:rFonts w:hint="eastAsia" w:ascii="宋体" w:hAnsi="宋体" w:eastAsia="宋体" w:cs="宋体"/>
          <w:color w:val="auto"/>
          <w:highlight w:val="none"/>
          <w:lang w:eastAsia="zh-CN"/>
        </w:rPr>
      </w:pPr>
    </w:p>
    <w:sectPr>
      <w:pgSz w:w="11906" w:h="16838"/>
      <w:pgMar w:top="1134" w:right="1134" w:bottom="1134" w:left="113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E615">
    <w:pPr>
      <w:pStyle w:val="15"/>
    </w:pPr>
    <w:r>
      <w:rPr>
        <w:sz w:val="18"/>
      </w:rPr>
      <mc:AlternateContent>
        <mc:Choice Requires="wps">
          <w:drawing>
            <wp:anchor distT="0" distB="0" distL="114300" distR="114300" simplePos="0" relativeHeight="251659264" behindDoc="0" locked="0" layoutInCell="1" allowOverlap="1">
              <wp:simplePos x="0" y="0"/>
              <wp:positionH relativeFrom="margin">
                <wp:posOffset>2306320</wp:posOffset>
              </wp:positionH>
              <wp:positionV relativeFrom="paragraph">
                <wp:posOffset>-31115</wp:posOffset>
              </wp:positionV>
              <wp:extent cx="1460500" cy="185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6050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7263B">
                          <w:pPr>
                            <w:pStyle w:val="15"/>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1.6pt;margin-top:-2.45pt;height:14.6pt;width:115pt;mso-position-horizontal-relative:margin;z-index:251659264;mso-width-relative:page;mso-height-relative:page;" filled="f" stroked="f" coordsize="21600,21600" o:gfxdata="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DNIQTYAAAACQEAAA8AAAAAAAAAAQAgAAAAIgAAAGRycy9kb3ducmV2&#10;LnhtbFBLAQIUABQAAAAIAIdO4kC/wsSTNQIAAGIEAAAOAAAAAAAAAAEAIAAAACcBAABkcnMvZTJv&#10;RG9jLnhtbFBLBQYAAAAABgAGAFkBAADOBQAAAAA=&#10;">
              <v:fill on="f" focussize="0,0"/>
              <v:stroke on="f" weight="0.5pt"/>
              <v:imagedata o:title=""/>
              <o:lock v:ext="edit" aspectratio="f"/>
              <v:textbox inset="0mm,0mm,0mm,0mm">
                <w:txbxContent>
                  <w:p w14:paraId="4837263B">
                    <w:pPr>
                      <w:pStyle w:val="15"/>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A96B3"/>
    <w:multiLevelType w:val="singleLevel"/>
    <w:tmpl w:val="A9FA96B3"/>
    <w:lvl w:ilvl="0" w:tentative="0">
      <w:start w:val="1"/>
      <w:numFmt w:val="decimal"/>
      <w:suff w:val="nothing"/>
      <w:lvlText w:val="%1、"/>
      <w:lvlJc w:val="left"/>
    </w:lvl>
  </w:abstractNum>
  <w:abstractNum w:abstractNumId="1">
    <w:nsid w:val="1A1788D8"/>
    <w:multiLevelType w:val="multilevel"/>
    <w:tmpl w:val="1A1788D8"/>
    <w:lvl w:ilvl="0" w:tentative="0">
      <w:start w:val="1"/>
      <w:numFmt w:val="chineseCounting"/>
      <w:suff w:val="nothing"/>
      <w:lvlText w:val="第%1章 "/>
      <w:lvlJc w:val="left"/>
      <w:pPr>
        <w:tabs>
          <w:tab w:val="left" w:pos="1837"/>
        </w:tabs>
        <w:ind w:left="1849" w:hanging="432"/>
      </w:pPr>
      <w:rPr>
        <w:rFonts w:hint="eastAsia" w:ascii="宋体" w:hAnsi="宋体" w:eastAsia="宋体" w:cs="宋体"/>
        <w:lang w:val="en-US"/>
      </w:rPr>
    </w:lvl>
    <w:lvl w:ilvl="1" w:tentative="0">
      <w:start w:val="1"/>
      <w:numFmt w:val="decimal"/>
      <w:isLgl/>
      <w:lvlText w:val="%1.%2 "/>
      <w:lvlJc w:val="left"/>
      <w:pPr>
        <w:tabs>
          <w:tab w:val="left" w:pos="420"/>
        </w:tabs>
        <w:ind w:left="575" w:hanging="575"/>
      </w:pPr>
      <w:rPr>
        <w:rFonts w:hint="eastAsia"/>
        <w:b w:val="0"/>
        <w:bCs w:val="0"/>
        <w:i w:val="0"/>
        <w:iCs w:val="0"/>
        <w:caps w:val="0"/>
        <w:smallCaps w:val="0"/>
        <w:strike w:val="0"/>
        <w:dstrike w:val="0"/>
        <w:vanish w:val="0"/>
        <w:spacing w:val="0"/>
        <w:position w:val="0"/>
        <w:sz w:val="36"/>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lvlText w:val="%1.%2.%3 "/>
      <w:lvlJc w:val="left"/>
      <w:pPr>
        <w:ind w:left="720" w:hanging="720"/>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
      <w:isLgl/>
      <w:lvlText w:val="%1.%2.%3.%4 "/>
      <w:lvlJc w:val="left"/>
      <w:pPr>
        <w:ind w:left="864" w:hanging="864"/>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isLgl/>
      <w:lvlText w:val="%1.%2.%3.%4.%5 "/>
      <w:lvlJc w:val="left"/>
      <w:pPr>
        <w:ind w:left="1008" w:hanging="1008"/>
      </w:pPr>
      <w:rPr>
        <w:rFonts w:hint="eastAsia" w:ascii="宋体" w:hAnsi="宋体" w:eastAsia="宋体" w:cs="宋体"/>
      </w:rPr>
    </w:lvl>
    <w:lvl w:ilvl="5" w:tentative="0">
      <w:start w:val="1"/>
      <w:numFmt w:val="decimal"/>
      <w:isLgl/>
      <w:lvlText w:val="%1.%2.%3.%4.%5.%6 "/>
      <w:lvlJc w:val="left"/>
      <w:pPr>
        <w:ind w:left="1151" w:hanging="1151"/>
      </w:pPr>
      <w:rPr>
        <w:rFonts w:hint="eastAsia" w:ascii="宋体" w:hAnsi="宋体" w:eastAsia="宋体" w:cs="宋体"/>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8" w:tentative="0">
      <w:start w:val="1"/>
      <w:numFmt w:val="decimal"/>
      <w:isLgl/>
      <w:lvlText w:val="%1.%2.%3.%4.%5.%6.%7.%8.%9."/>
      <w:lvlJc w:val="left"/>
      <w:pPr>
        <w:ind w:left="1583" w:hanging="1583"/>
      </w:pPr>
      <w:rPr>
        <w:rFonts w:hint="eastAsia"/>
      </w:rPr>
    </w:lvl>
  </w:abstractNum>
  <w:abstractNum w:abstractNumId="2">
    <w:nsid w:val="540DC5A7"/>
    <w:multiLevelType w:val="multilevel"/>
    <w:tmpl w:val="540DC5A7"/>
    <w:lvl w:ilvl="0" w:tentative="0">
      <w:start w:val="1"/>
      <w:numFmt w:val="decimal"/>
      <w:lvlText w:val="%1）"/>
      <w:lvlJc w:val="left"/>
      <w:pPr>
        <w:tabs>
          <w:tab w:val="left" w:pos="840"/>
        </w:tabs>
        <w:ind w:left="840" w:hanging="420"/>
      </w:pPr>
      <w:rPr>
        <w:rFonts w:hint="default" w:ascii="宋体" w:hAnsi="宋体" w:eastAsia="宋体" w:cs="宋体"/>
        <w:b w:val="0"/>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87D838A"/>
    <w:multiLevelType w:val="singleLevel"/>
    <w:tmpl w:val="787D838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zY0Yzg3MTQzODY0NDg1NDE0NGY0MzZlOTAwZjkifQ=="/>
  </w:docVars>
  <w:rsids>
    <w:rsidRoot w:val="00000000"/>
    <w:rsid w:val="01191952"/>
    <w:rsid w:val="02E04493"/>
    <w:rsid w:val="03EF5361"/>
    <w:rsid w:val="04651C47"/>
    <w:rsid w:val="05A24AB9"/>
    <w:rsid w:val="06506296"/>
    <w:rsid w:val="065064D6"/>
    <w:rsid w:val="080B48AD"/>
    <w:rsid w:val="09C32246"/>
    <w:rsid w:val="0A0C48AD"/>
    <w:rsid w:val="0B3E01E4"/>
    <w:rsid w:val="0B55693A"/>
    <w:rsid w:val="0D6F6445"/>
    <w:rsid w:val="0DA77476"/>
    <w:rsid w:val="0F5012A9"/>
    <w:rsid w:val="108B1C0C"/>
    <w:rsid w:val="1092654A"/>
    <w:rsid w:val="118045F5"/>
    <w:rsid w:val="13AF5259"/>
    <w:rsid w:val="149036C2"/>
    <w:rsid w:val="14EC447B"/>
    <w:rsid w:val="177D45AE"/>
    <w:rsid w:val="17BB0A5C"/>
    <w:rsid w:val="1A166B43"/>
    <w:rsid w:val="1AE343DA"/>
    <w:rsid w:val="1BA33BE7"/>
    <w:rsid w:val="1BD16179"/>
    <w:rsid w:val="1C4E0D74"/>
    <w:rsid w:val="1C9F721E"/>
    <w:rsid w:val="1CAC09B2"/>
    <w:rsid w:val="1ED15DCF"/>
    <w:rsid w:val="1EE23472"/>
    <w:rsid w:val="1FC8427E"/>
    <w:rsid w:val="200145FA"/>
    <w:rsid w:val="20CA3197"/>
    <w:rsid w:val="210E4075"/>
    <w:rsid w:val="25347C9B"/>
    <w:rsid w:val="25483B21"/>
    <w:rsid w:val="27393EE6"/>
    <w:rsid w:val="27932EC3"/>
    <w:rsid w:val="284303FE"/>
    <w:rsid w:val="28785A4D"/>
    <w:rsid w:val="289B09D0"/>
    <w:rsid w:val="28AD7E27"/>
    <w:rsid w:val="2C256B6F"/>
    <w:rsid w:val="2C263F98"/>
    <w:rsid w:val="2E2A4AA7"/>
    <w:rsid w:val="2E8B4760"/>
    <w:rsid w:val="2EA034AF"/>
    <w:rsid w:val="2F4B5643"/>
    <w:rsid w:val="30A6182E"/>
    <w:rsid w:val="30DF2DC0"/>
    <w:rsid w:val="31A7399D"/>
    <w:rsid w:val="31F2245F"/>
    <w:rsid w:val="32864727"/>
    <w:rsid w:val="32E255D7"/>
    <w:rsid w:val="33707BCD"/>
    <w:rsid w:val="33F6983C"/>
    <w:rsid w:val="34F82808"/>
    <w:rsid w:val="35686C70"/>
    <w:rsid w:val="37996C8D"/>
    <w:rsid w:val="382C51FD"/>
    <w:rsid w:val="395D29A2"/>
    <w:rsid w:val="3AED4387"/>
    <w:rsid w:val="3B6EC983"/>
    <w:rsid w:val="3E247C2A"/>
    <w:rsid w:val="40E8180F"/>
    <w:rsid w:val="41712EAA"/>
    <w:rsid w:val="41A141C9"/>
    <w:rsid w:val="41CF45AA"/>
    <w:rsid w:val="41D55541"/>
    <w:rsid w:val="42083CE0"/>
    <w:rsid w:val="43563404"/>
    <w:rsid w:val="43A11386"/>
    <w:rsid w:val="4456077C"/>
    <w:rsid w:val="46153758"/>
    <w:rsid w:val="464F5D3F"/>
    <w:rsid w:val="489A0050"/>
    <w:rsid w:val="48A12970"/>
    <w:rsid w:val="4A3315E6"/>
    <w:rsid w:val="4B8B5D4F"/>
    <w:rsid w:val="4BE07BCE"/>
    <w:rsid w:val="4C044D68"/>
    <w:rsid w:val="4D0F26FA"/>
    <w:rsid w:val="4EA509F6"/>
    <w:rsid w:val="4F9E0355"/>
    <w:rsid w:val="500B77E7"/>
    <w:rsid w:val="50EE68AA"/>
    <w:rsid w:val="515F6C25"/>
    <w:rsid w:val="52625CC2"/>
    <w:rsid w:val="52CA07F0"/>
    <w:rsid w:val="533C471A"/>
    <w:rsid w:val="5640413F"/>
    <w:rsid w:val="56954356"/>
    <w:rsid w:val="569C2852"/>
    <w:rsid w:val="582A306E"/>
    <w:rsid w:val="58E45B24"/>
    <w:rsid w:val="5979224C"/>
    <w:rsid w:val="5A772A72"/>
    <w:rsid w:val="5ADD47CD"/>
    <w:rsid w:val="5C930C24"/>
    <w:rsid w:val="5CDE0DE1"/>
    <w:rsid w:val="5D7B7338"/>
    <w:rsid w:val="5F393F2D"/>
    <w:rsid w:val="5F550079"/>
    <w:rsid w:val="5FC418A5"/>
    <w:rsid w:val="5FF82A44"/>
    <w:rsid w:val="6083673C"/>
    <w:rsid w:val="60FD25EE"/>
    <w:rsid w:val="613A308B"/>
    <w:rsid w:val="63701369"/>
    <w:rsid w:val="64D741EB"/>
    <w:rsid w:val="653E1551"/>
    <w:rsid w:val="65D56A4F"/>
    <w:rsid w:val="66576145"/>
    <w:rsid w:val="68B64FF4"/>
    <w:rsid w:val="68ED7752"/>
    <w:rsid w:val="6B452495"/>
    <w:rsid w:val="6B8E0D39"/>
    <w:rsid w:val="6BF508CA"/>
    <w:rsid w:val="6D732F64"/>
    <w:rsid w:val="6FFE3750"/>
    <w:rsid w:val="72EE05F4"/>
    <w:rsid w:val="745F1315"/>
    <w:rsid w:val="74622F95"/>
    <w:rsid w:val="76015621"/>
    <w:rsid w:val="769808E0"/>
    <w:rsid w:val="774C1C37"/>
    <w:rsid w:val="77A33C5C"/>
    <w:rsid w:val="77CB0568"/>
    <w:rsid w:val="77E74C60"/>
    <w:rsid w:val="787D4647"/>
    <w:rsid w:val="7A560E98"/>
    <w:rsid w:val="7AAB1F26"/>
    <w:rsid w:val="7CFB82F6"/>
    <w:rsid w:val="7DD935FD"/>
    <w:rsid w:val="7E546BC4"/>
    <w:rsid w:val="7FDB7D4C"/>
    <w:rsid w:val="9F78A657"/>
    <w:rsid w:val="D7EFFF70"/>
    <w:rsid w:val="DE7FDBC3"/>
    <w:rsid w:val="DEE5B891"/>
    <w:rsid w:val="DF2B74B5"/>
    <w:rsid w:val="DF9C2004"/>
    <w:rsid w:val="DFF690D4"/>
    <w:rsid w:val="EBF5112E"/>
    <w:rsid w:val="EFED212A"/>
    <w:rsid w:val="F37E77A4"/>
    <w:rsid w:val="F9C7232A"/>
    <w:rsid w:val="FA7D5731"/>
    <w:rsid w:val="FAFB85CF"/>
    <w:rsid w:val="FB52E89F"/>
    <w:rsid w:val="FDC3A545"/>
    <w:rsid w:val="FE3DD64A"/>
    <w:rsid w:val="FFD58A83"/>
    <w:rsid w:val="FFDB3446"/>
    <w:rsid w:val="FFFF5C32"/>
    <w:rsid w:val="FFFF6E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2"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kern w:val="0"/>
      <w:sz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style>
  <w:style w:type="paragraph" w:styleId="8">
    <w:name w:val="Body Text Indent"/>
    <w:basedOn w:val="1"/>
    <w:next w:val="7"/>
    <w:qFormat/>
    <w:uiPriority w:val="0"/>
    <w:pPr>
      <w:spacing w:line="360" w:lineRule="auto"/>
      <w:ind w:firstLine="435"/>
    </w:pPr>
    <w:rPr>
      <w:sz w:val="28"/>
      <w:szCs w:val="24"/>
    </w:rPr>
  </w:style>
  <w:style w:type="paragraph" w:styleId="9">
    <w:name w:val="annotation text"/>
    <w:basedOn w:val="1"/>
    <w:unhideWhenUsed/>
    <w:qFormat/>
    <w:uiPriority w:val="0"/>
    <w:pPr>
      <w:jc w:val="left"/>
    </w:pPr>
  </w:style>
  <w:style w:type="paragraph" w:styleId="10">
    <w:name w:val="Body Text"/>
    <w:basedOn w:val="1"/>
    <w:next w:val="11"/>
    <w:qFormat/>
    <w:uiPriority w:val="0"/>
    <w:pPr>
      <w:spacing w:after="120" w:afterLines="0" w:afterAutospacing="0"/>
    </w:pPr>
  </w:style>
  <w:style w:type="paragraph" w:styleId="11">
    <w:name w:val="Body Text First Indent"/>
    <w:basedOn w:val="10"/>
    <w:next w:val="12"/>
    <w:qFormat/>
    <w:uiPriority w:val="0"/>
    <w:pPr>
      <w:ind w:firstLine="420" w:firstLineChars="100"/>
    </w:pPr>
  </w:style>
  <w:style w:type="paragraph" w:styleId="12">
    <w:name w:val="toc 6"/>
    <w:basedOn w:val="1"/>
    <w:next w:val="1"/>
    <w:qFormat/>
    <w:uiPriority w:val="2"/>
    <w:pPr>
      <w:ind w:left="1400"/>
      <w:jc w:val="left"/>
    </w:pPr>
    <w:rPr>
      <w:rFonts w:ascii="Calibri" w:hAnsi="Calibri"/>
      <w:sz w:val="18"/>
      <w:szCs w:val="18"/>
    </w:rPr>
  </w:style>
  <w:style w:type="paragraph" w:styleId="13">
    <w:name w:val="Plain Text"/>
    <w:basedOn w:val="1"/>
    <w:next w:val="1"/>
    <w:qFormat/>
    <w:uiPriority w:val="0"/>
    <w:rPr>
      <w:rFonts w:ascii="宋体" w:hAnsi="Courier New"/>
    </w:rPr>
  </w:style>
  <w:style w:type="paragraph" w:styleId="14">
    <w:name w:val="Date"/>
    <w:basedOn w:val="1"/>
    <w:next w:val="1"/>
    <w:qFormat/>
    <w:uiPriority w:val="0"/>
    <w:pPr>
      <w:adjustRightInd w:val="0"/>
      <w:jc w:val="right"/>
      <w:textAlignment w:val="baseline"/>
    </w:pPr>
    <w:rPr>
      <w:rFonts w:eastAsia="仿宋_GB2312" w:asciiTheme="minorHAnsi" w:hAnsiTheme="minorHAnsi" w:cstheme="minorBidi"/>
      <w:b/>
      <w:szCs w:val="22"/>
    </w:rPr>
  </w:style>
  <w:style w:type="paragraph" w:styleId="15">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16">
    <w:name w:val="envelope return"/>
    <w:basedOn w:val="1"/>
    <w:qFormat/>
    <w:uiPriority w:val="99"/>
    <w:pPr>
      <w:snapToGrid w:val="0"/>
    </w:pPr>
    <w:rPr>
      <w:rFonts w:ascii="Arial" w:hAnsi="Arial" w:cs="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spacing w:line="720" w:lineRule="auto"/>
    </w:pPr>
    <w:rPr>
      <w:rFonts w:eastAsia="宋体"/>
      <w:sz w:val="2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8"/>
    <w:next w:val="10"/>
    <w:qFormat/>
    <w:uiPriority w:val="0"/>
    <w:pPr>
      <w:spacing w:line="312" w:lineRule="auto"/>
      <w:ind w:firstLine="420" w:firstLineChars="200"/>
    </w:pPr>
    <w:rPr>
      <w:sz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paragraph" w:customStyle="1" w:styleId="26">
    <w:name w:val="xl53"/>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right"/>
      <w:textAlignment w:val="center"/>
    </w:pPr>
    <w:rPr>
      <w:rFonts w:ascii="宋体" w:hAnsi="宋体" w:cs="宋体"/>
      <w:kern w:val="0"/>
      <w:sz w:val="18"/>
      <w:szCs w:val="18"/>
    </w:rPr>
  </w:style>
  <w:style w:type="paragraph" w:customStyle="1" w:styleId="27">
    <w:name w:val="列出段落1"/>
    <w:basedOn w:val="1"/>
    <w:qFormat/>
    <w:uiPriority w:val="0"/>
    <w:pPr>
      <w:autoSpaceDE/>
      <w:autoSpaceDN/>
      <w:adjustRightInd/>
      <w:ind w:firstLine="420" w:firstLineChars="200"/>
      <w:jc w:val="both"/>
    </w:pPr>
    <w:rPr>
      <w:kern w:val="2"/>
      <w:sz w:val="21"/>
      <w:szCs w:val="22"/>
    </w:rPr>
  </w:style>
  <w:style w:type="paragraph" w:styleId="28">
    <w:name w:val="List Paragraph"/>
    <w:basedOn w:val="1"/>
    <w:qFormat/>
    <w:uiPriority w:val="0"/>
  </w:style>
  <w:style w:type="paragraph" w:customStyle="1" w:styleId="29">
    <w:name w:val="正文_0_1"/>
    <w:qFormat/>
    <w:uiPriority w:val="1"/>
    <w:pPr>
      <w:jc w:val="both"/>
    </w:pPr>
    <w:rPr>
      <w:rFonts w:ascii="Times New Roman" w:hAnsi="Times New Roman" w:eastAsia="宋体" w:cs="Times New Roman"/>
      <w:sz w:val="21"/>
      <w:szCs w:val="21"/>
      <w:lang w:val="en-US" w:eastAsia="zh-CN" w:bidi="ar-SA"/>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正文2"/>
    <w:basedOn w:val="1"/>
    <w:next w:val="18"/>
    <w:qFormat/>
    <w:uiPriority w:val="0"/>
    <w:pPr>
      <w:spacing w:before="156" w:line="360" w:lineRule="auto"/>
      <w:ind w:firstLine="510" w:firstLineChars="200"/>
    </w:pPr>
    <w:rPr>
      <w:sz w:val="24"/>
      <w:szCs w:val="20"/>
    </w:rPr>
  </w:style>
  <w:style w:type="character" w:customStyle="1" w:styleId="32">
    <w:name w:val="large1"/>
    <w:qFormat/>
    <w:uiPriority w:val="0"/>
    <w:rPr>
      <w:rFonts w:hint="eastAsia" w:ascii="宋体" w:hAnsi="宋体" w:eastAsia="宋体"/>
      <w:sz w:val="21"/>
      <w:szCs w:val="21"/>
    </w:rPr>
  </w:style>
  <w:style w:type="paragraph" w:customStyle="1" w:styleId="33">
    <w:name w:val="首行缩进"/>
    <w:basedOn w:val="1"/>
    <w:qFormat/>
    <w:uiPriority w:val="0"/>
    <w:pPr>
      <w:spacing w:line="360" w:lineRule="auto"/>
      <w:ind w:firstLine="480" w:firstLineChars="200"/>
    </w:pPr>
    <w:rPr>
      <w:rFonts w:hAnsi="宋体" w:cs="宋体"/>
      <w:sz w:val="24"/>
    </w:rPr>
  </w:style>
  <w:style w:type="paragraph" w:styleId="34">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Body Text First Indent1"/>
    <w:basedOn w:val="10"/>
    <w:next w:val="1"/>
    <w:qFormat/>
    <w:uiPriority w:val="0"/>
    <w:pPr>
      <w:adjustRightInd w:val="0"/>
      <w:spacing w:line="360" w:lineRule="auto"/>
      <w:ind w:firstLine="420"/>
      <w:textAlignment w:val="baseline"/>
    </w:pPr>
    <w:rPr>
      <w:rFonts w:eastAsia="楷体_GB2312"/>
      <w:sz w:val="24"/>
    </w:rPr>
  </w:style>
  <w:style w:type="character" w:customStyle="1" w:styleId="36">
    <w:name w:val="font11"/>
    <w:basedOn w:val="23"/>
    <w:qFormat/>
    <w:uiPriority w:val="0"/>
    <w:rPr>
      <w:rFonts w:hint="eastAsia" w:ascii="宋体" w:hAnsi="宋体" w:eastAsia="宋体" w:cs="宋体"/>
      <w:color w:val="000000"/>
      <w:sz w:val="21"/>
      <w:szCs w:val="21"/>
      <w:u w:val="none"/>
    </w:rPr>
  </w:style>
  <w:style w:type="paragraph" w:customStyle="1" w:styleId="37">
    <w:name w:val="TOC 标题2"/>
    <w:basedOn w:val="3"/>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cs="Times New Roman"/>
      <w:color w:val="366091"/>
      <w:kern w:val="0"/>
      <w:sz w:val="28"/>
      <w:szCs w:val="28"/>
    </w:rPr>
  </w:style>
  <w:style w:type="paragraph" w:customStyle="1" w:styleId="38">
    <w:name w:val="批注框文本1"/>
    <w:basedOn w:val="1"/>
    <w:qFormat/>
    <w:uiPriority w:val="0"/>
    <w:rPr>
      <w:sz w:val="18"/>
      <w:szCs w:val="18"/>
    </w:rPr>
  </w:style>
  <w:style w:type="paragraph" w:customStyle="1" w:styleId="39">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40">
    <w:name w:val="表格文字"/>
    <w:basedOn w:val="41"/>
    <w:next w:val="10"/>
    <w:qFormat/>
    <w:uiPriority w:val="0"/>
    <w:pPr>
      <w:adjustRightInd w:val="0"/>
      <w:spacing w:line="420" w:lineRule="atLeast"/>
      <w:textAlignment w:val="baseline"/>
    </w:pPr>
    <w:rPr>
      <w:kern w:val="0"/>
      <w:sz w:val="21"/>
    </w:rPr>
  </w:style>
  <w:style w:type="paragraph" w:customStyle="1" w:styleId="41">
    <w:name w:val="表格文字（两侧对齐）"/>
    <w:basedOn w:val="1"/>
    <w:qFormat/>
    <w:uiPriority w:val="0"/>
    <w:pPr>
      <w:snapToGrid w:val="0"/>
    </w:pPr>
    <w:rPr>
      <w:sz w:val="20"/>
      <w:szCs w:val="24"/>
    </w:rPr>
  </w:style>
  <w:style w:type="paragraph" w:customStyle="1" w:styleId="42">
    <w:name w:val="Plain Text"/>
    <w:basedOn w:val="1"/>
    <w:qFormat/>
    <w:uiPriority w:val="0"/>
    <w:pPr>
      <w:widowControl/>
      <w:jc w:val="left"/>
    </w:pPr>
    <w:rPr>
      <w:rFonts w:hint="eastAsia" w:ascii="宋体" w:hAnsi="Courier New"/>
      <w:szCs w:val="20"/>
    </w:rPr>
  </w:style>
  <w:style w:type="paragraph" w:customStyle="1" w:styleId="43">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5">
    <w:name w:val="目录 71"/>
    <w:next w:val="1"/>
    <w:qFormat/>
    <w:uiPriority w:val="0"/>
    <w:pPr>
      <w:wordWrap w:val="0"/>
      <w:ind w:left="2550"/>
      <w:jc w:val="both"/>
    </w:pPr>
    <w:rPr>
      <w:rFonts w:ascii="Calibri" w:hAnsi="Calibri" w:eastAsia="宋体" w:cs="Times New Roman"/>
      <w:sz w:val="21"/>
      <w:lang w:val="en-US" w:eastAsia="zh-CN" w:bidi="ar-SA"/>
    </w:rPr>
  </w:style>
  <w:style w:type="character" w:customStyle="1" w:styleId="46">
    <w:name w:val="font31"/>
    <w:basedOn w:val="23"/>
    <w:qFormat/>
    <w:uiPriority w:val="0"/>
    <w:rPr>
      <w:rFonts w:hint="default" w:ascii="仿宋_GB2312" w:eastAsia="仿宋_GB2312" w:cs="仿宋_GB2312"/>
      <w:color w:val="000000"/>
      <w:sz w:val="24"/>
      <w:szCs w:val="24"/>
      <w:u w:val="none"/>
    </w:rPr>
  </w:style>
  <w:style w:type="character" w:customStyle="1" w:styleId="47">
    <w:name w:val="NormalCharacter"/>
    <w:link w:val="48"/>
    <w:semiHidden/>
    <w:qFormat/>
    <w:uiPriority w:val="0"/>
    <w:rPr>
      <w:rFonts w:ascii="Times New Roman" w:hAnsi="Times New Roman" w:cs="Times New Roman"/>
      <w:sz w:val="21"/>
    </w:rPr>
  </w:style>
  <w:style w:type="paragraph" w:customStyle="1" w:styleId="48">
    <w:name w:val="UserStyle_3"/>
    <w:basedOn w:val="1"/>
    <w:link w:val="47"/>
    <w:qFormat/>
    <w:uiPriority w:val="0"/>
    <w:pPr>
      <w:widowControl/>
      <w:spacing w:after="160" w:line="240" w:lineRule="exact"/>
      <w:jc w:val="left"/>
    </w:pPr>
    <w:rPr>
      <w:rFonts w:ascii="Times New Roman" w:hAnsi="Times New Roman" w:cs="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103</Pages>
  <Words>33380</Words>
  <Characters>36103</Characters>
  <Lines>0</Lines>
  <Paragraphs>0</Paragraphs>
  <TotalTime>62</TotalTime>
  <ScaleCrop>false</ScaleCrop>
  <LinksUpToDate>false</LinksUpToDate>
  <CharactersWithSpaces>36415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2023-12-14T07:15:00Z</dcterms:created>
  <dc:creator>Administrator</dc:creator>
  <cp:lastModifiedBy>Administrator</cp:lastModifiedBy>
  <cp:lastPrinted>2026-02-12T18:30:00Z</cp:lastPrinted>
  <dcterms:modified xsi:type="dcterms:W3CDTF">2026-05-26T08:53:17Z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A88B98AC9A06424E93BA034207D3BFAB_13</vt:lpwstr>
  </property>
  <property fmtid="{D5CDD505-2E9C-101B-9397-08002B2CF9AE}" pid="4" name="KSOTemplateDocerSaveRecord">
    <vt:lpwstr>eyJoZGlkIjoiZDc5ZWUyMjk3Yzc5MDQ0NDAzNDU0YTRlMDUwNDM3NDUiLCJ1c2VySWQiOiI1MTQ2MzA1ODMifQ==</vt:lpwstr>
  </property>
</Properties>
</file>