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25"/>
        <w:gridCol w:w="10037"/>
        <w:gridCol w:w="756"/>
        <w:gridCol w:w="620"/>
      </w:tblGrid>
      <w:tr w14:paraId="6D7D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ECD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西宁市艺术实验中学剧场LED屏幕改造、学生机房及触控一体机改造项目</w:t>
            </w:r>
          </w:p>
        </w:tc>
      </w:tr>
      <w:tr w14:paraId="3104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C7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FC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6C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A1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7987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1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一、剧场室内全彩LED屏改造</w:t>
            </w:r>
          </w:p>
        </w:tc>
      </w:tr>
      <w:tr w14:paraId="095C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D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LED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显示屏（核心产品）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F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★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屏体尺寸：主屏宽度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≥17.92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米，高度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≥7.36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米，分辨率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4480(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宽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)*1840(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高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)</w:t>
            </w:r>
            <w:r>
              <w:rPr>
                <w:rStyle w:val="7"/>
                <w:rFonts w:ascii="宋体" w:eastAsia="宋体"/>
                <w:sz w:val="18"/>
                <w:lang w:val="en-US" w:eastAsia="zh-CN" w:bidi="ar"/>
              </w:rPr>
              <w:t>;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点间距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≤4 mm;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像素密度：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≥62500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点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/m²;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模组平整度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/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间隙：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≤0.2mm;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水平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/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垂直相对错位等级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0.04mm≤%;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亮度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≥500cd/m²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支持软件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0-100%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调节，发光点中心距偏差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≤0.2%,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亮度均匀性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≥98%;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水平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/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垂直视角：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≥160°/160°,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黑屏非均匀性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≤5%;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6.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支持单点检测逐点校正功能，单点亮度校正，单点颜色校正、单点色温可调。校正数据存储在模组中，更换模组可自动回读；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7.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支持任意非标准分辨率信号输入自适应，输出范围内进行缩放；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▲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刷新率：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≥4200Hz;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▲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9.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多层电路板设计，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PCB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焊盘采用沉金工艺处理，无电感效应，不花屏，具备消隐、节能功能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10.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依据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GB/T 17626.4-2018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标准进行电快速瞬变脉冲群、、依据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GB/T9254.2-2021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标准进行静电放电试验，测试过程中样品均无异常；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11.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通过光生物安全及蓝光危害评估无危害类检测；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12.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平均使用寿命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≥100000h,MTBF≥100000h;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▲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13.LED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显示屏符合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GB 4943.1-2022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标准要求；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▲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14.100%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亮度时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≥14bit;20%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亮度时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≥14bit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、灰度等级支持红、绿、蓝灰度非线性纠偏后各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≥256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级，灰度处理能力支持红、绿、蓝各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≥16384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级、持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EPWM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灰阶控制技术提升低灰视觉效果；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15.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具有多点测温功能；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16.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支持无信号输入自动熄屏待机，有信号输入自动唤醒功能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 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17.</w:t>
            </w:r>
            <w:r>
              <w:rPr>
                <w:rStyle w:val="6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硬件设备至少提供</w:t>
            </w:r>
            <w:r>
              <w:rPr>
                <w:rStyle w:val="6"/>
                <w:rFonts w:hint="eastAsia" w:ascii="宋体" w:eastAsia="宋体"/>
                <w:color w:val="C00000"/>
                <w:sz w:val="18"/>
                <w:highlight w:val="none"/>
                <w:lang w:val="en-US" w:eastAsia="zh-CN" w:bidi="ar"/>
              </w:rPr>
              <w:t>壹</w:t>
            </w:r>
            <w:r>
              <w:rPr>
                <w:rStyle w:val="6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年的原厂质保，签订合同时提供软件终生免费升级承诺，提供第三方检测机构出具的相关检测报告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4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131.89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 w14:paraId="245B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2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6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标准接收卡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HUB75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接口，支持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RGB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独立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ganma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校正，支持逐点校正，支持亮暗线修正，支持预存画面，支持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mapping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F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E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4A75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4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视频拼接处理器（核心产品）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C9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6"/>
                <w:rFonts w:ascii="宋体" w:eastAsia="宋体"/>
                <w:sz w:val="18"/>
                <w:lang w:val="en-US" w:eastAsia="zh-CN" w:bidi="ar"/>
              </w:rPr>
            </w:pP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本次配置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≥20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路网口输出，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4K60DP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或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HDMI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输入，支持增加输入或输出卡。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、设备采用独立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FPGA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堆叠处理交换的硬件架构，支持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路高聚合信道双向传输处理、支持多路复合通道信号传输方式，支持大规模信号并行切换处理技术和嵌入式系统处理方式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、背板采用双向信号传输处理，支持数据通道的硬件混插设计，同一槽位既支持输入板卡接入，也可支持输出板卡接入，业务槽位可合理分配。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、输入输出板卡采用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路高聚合端口设计，单板支持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路输入或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路输出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、单张输出板卡或单个输出接口最大可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窗口显示，图像窗口可在输出卡端口间任意漫游且跨输出端口窗口数量不减，可进行图层参数设置，包括无极缩放、图层画面截取、锁定、叠加、调整图层优先级、图层全屏和自适应接口全屏，无显示位置、无图层位序、无画面显示大小的限制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▲6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、多功能控制卡集设备管控、可视化预监、大屏回显功能于一体，无需配置额外板卡，即可支持对所有输入信号画面、大屏实时画面、大屏场景布局进行实时在线监看，支持对所有输出进行回显：支持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TCP/IP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网口和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RS232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串口控制：支持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U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盘接入离线升级控制卡程序</w:t>
            </w:r>
          </w:p>
          <w:p w14:paraId="2F79FC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▲7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、单张板卡可支持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2K(2560×1080@60Hz)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信号、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4K(4096×2160@30Hz)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信号或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路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4K(4096×2160@60Hz)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信号的输入或输出，单卡可支持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≥8K(8192×2160@60Hz)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的信号采集、处理及显示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▲8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、设备支持多组屏底图功能，在无额外设备或板卡的情况下，最大可上传并存储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张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8192×4096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分辨率高清图片，底图显示支持一键开关；底图显示不占图层，每组屏均可设置专属底图显示，多组屏底图显示互不影响，底图资源共享且掉电不丢失，可根据大屏实际大小进行底图的全屏放大显示；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9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、设备支持多组屏字幕显示。支持在屏幕上显示滚动字幕，可对字幕的字体大小、颜色、背景色、滚动速度、滚动方向、字间距、内容对齐方式参数进行自定义设置，可设置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32768×4095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分辨率显示，支持按比例缩放。滚动字幕显示不占图层，每组屏均可设置专属字幕，均可一键开关；多组屏字幕显示互不影响；字幕参数配置断电不丢失，上电后可自动恢复。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"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▲10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、设备可以将视频处理功能和发送卡功能合二为一，无需其他设备，二合一输出卡可直连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LED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屏进行图像显示，减少设备连接，增强设备稳定性和兼容性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、设备具备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LED  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屏幕智能管理功能。设置包括色域调节、屏参定时校正、亮度自动调节、环境参数自动获取和监控、图像手动调节、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gamma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调节、灰阶处理参数配置、亮暗线调节以及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LED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逐点校正。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、支持设备搭载接收卡，支持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LED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屏幕屏参设置，可控制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LED  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的显示状态，包括屏幕亮度、屏幕色温、画面冻结、开关屏、显示标序、校正开关、修缝开关和大屏重启。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                                                                     </w:t>
            </w:r>
            <w:r>
              <w:rPr>
                <w:rStyle w:val="5"/>
                <w:rFonts w:ascii="宋体" w:eastAsia="宋体"/>
                <w:color w:val="C00000"/>
                <w:sz w:val="18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5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13</w:t>
            </w:r>
            <w:r>
              <w:rPr>
                <w:rStyle w:val="6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、硬件设备至少提供</w:t>
            </w:r>
            <w:r>
              <w:rPr>
                <w:rStyle w:val="6"/>
                <w:rFonts w:hint="eastAsia" w:ascii="宋体" w:eastAsia="宋体"/>
                <w:color w:val="C00000"/>
                <w:sz w:val="18"/>
                <w:highlight w:val="none"/>
                <w:lang w:val="en-US" w:eastAsia="zh-CN" w:bidi="ar"/>
              </w:rPr>
              <w:t>壹</w:t>
            </w:r>
            <w:r>
              <w:rPr>
                <w:rStyle w:val="6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年的原厂质保，签订合同时提供软件终生免费升级承诺，提供第三方检测机构出具的相关检测报告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25E1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F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E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播放控制软件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6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1、支持目前主流视频格式，包括但不限于以下格式：Hap、HapQ、Hap Alpah、H.264、HEVC、VP9等编码的mov、avi、mp4等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2、HAP格式：支持≥20Gbit码流，支持≥16K*8K@60fps视频播放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3、H265支持：≥8192*8192@24、25、30、50、60fps单机播放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4、帧同步支持：≥24、25、30fps多机帧同步播放(50、60fps需要根据现场测试决定),最多有半帧差。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5、声道支持：左右声道、杜比、PCM、DTS等格式的5.1、7.1、7.2数字音频、杜比、PCM、DTS等格式的5.1、7.1、7.2数字音频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6、支持对不同LED大屏进行批量管理和独立播控；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7、单台设备可链接多种不同分辨率的屏幕映射输出；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8、支持开机自动启动设置，无人值守定时开启模式；开机自动加载项目工程，自动播放；支持服务器主控与被控模式，可与第三方控制台对接；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9、支持RS232、TCP/IP/UDP等；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10、支持不少于500个视频、图片、U3D程序、UE4程序、NDI、RTSP、采集卡等信号的不同和异步显示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11、支持保存多个切片工程，通过控制系统可以随意切换。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12、多台联机同步时，无需额外的服务器作为控制端，可无需显示器，由中控直接控制(可用一台显示作为显示窗口)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13、支持HDR视频播放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5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4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68FF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1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6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3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、电源的额定输入电压范围：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200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～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240V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、工作温度：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-30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～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+60℃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、工作相对湿度：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～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50% RH,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无冷凝；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、最大输入电流：≦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2.5A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、输出额定电压：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5.0V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、负载调整率：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±2%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7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、输出电压上升时间：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&lt;0.5S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9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73F7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0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E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F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线缆类别（网线）：≥CAT 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导体直径（网线）：≥0.53mm 24AWG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导体类型：无氧铜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护套类型：PVC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网线线芯：≥8芯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使用场景：室内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屏蔽性能：非屏蔽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防火等级：UL CM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1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2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</w:tr>
      <w:tr w14:paraId="3EAD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6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4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三芯线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8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适配电源定制国标线材 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2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C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</w:tr>
      <w:tr w14:paraId="6931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3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B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2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根据现场情况定制，包含旧设备拆除。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6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132.90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2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</w:tr>
      <w:tr w14:paraId="4C94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3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0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2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、额定功率：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≥198KW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，输出路数：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≥36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路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2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、配电柜输入电压为交流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≥380V±15%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，工频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≥50Hz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。具有定时、防雷、空调温控、短路、过流、过载、等保护功能。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3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、配电柜具有远程线控功能。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4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、支持远程开关电箱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5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、自带维修插座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、预留风机温控端子，最大负载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800W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7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、配电柜自带延时上电功能。六级上电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、铜排连接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技术参数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手动控制方式：三挡旋钮（手动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/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停止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/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自动）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自动控制方式：标配为远程线控、定时开关（可添加多功能卡、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PLC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、手机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APP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、无线遥控等多种控制方式）。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功率容量（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KVA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）：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≥198KW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4.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输入接线方式：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≥3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相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4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线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&amp;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地线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5.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输入电压（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V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）：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≥380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6.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输入频率（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HZ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）：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≥50/60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7.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输出接线方式：单相两线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+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地线，要均匀接入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LED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显示屏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8.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输出电压（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V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）：交流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≥220V</w:t>
            </w:r>
            <w:bookmarkStart w:id="0" w:name="_GoBack"/>
            <w:bookmarkEnd w:id="0"/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9.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输出分路：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≥36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路显示屏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+3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路空调，单相交流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≥220V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10.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分路接线空开容量（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A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）：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≥36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路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25A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，单相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11.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分路断路器安装：轨道安装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12.IP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等级：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≥IP44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13.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外箱尺寸：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宽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800mm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高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1200mm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厚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300mm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（双开门）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14.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建议带载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≥810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个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200W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电源以内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B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5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8BA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4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1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箱体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根据现场情况定制，包含旧设备拆除。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B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131.89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</w:tr>
      <w:tr w14:paraId="3707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C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E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3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 w14:paraId="02E8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二、剧场室内全彩LED屏改造（副屏部分）</w:t>
            </w:r>
          </w:p>
        </w:tc>
      </w:tr>
      <w:tr w14:paraId="6EBE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F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F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室内全彩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副屏宽度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≥2.88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米，高度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≥5.76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米，分辨率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720(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宽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)*1440(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高</w:t>
            </w:r>
            <w:r>
              <w:rPr>
                <w:rStyle w:val="8"/>
                <w:rFonts w:ascii="宋体" w:eastAsia="宋体"/>
                <w:sz w:val="18"/>
                <w:lang w:val="en-US" w:eastAsia="zh-CN" w:bidi="ar"/>
              </w:rPr>
              <w:t>)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，需要四块分辨放在主席台两侧，每侧两块。                                                        1.屏体尺寸：主屏宽度≥17.92米，高度≥7.36米，分辨率4480(宽)*1840(高);点间距≤4 mm;像素密度：≥62500点/m²;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2.模组平整度/间隙：≤0.2mm;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3.水平/垂直相对错位等级0.04mm≤%;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4.亮度≥500cd/m²支持软件0-100%调节，发光点中心距偏差≤0.2%,亮度均匀性≥98%;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5.水平/垂直视角：≥160°/160°,黑屏非均匀性≤5%;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6.支持单点检测逐点校正功能，单点亮度校正，单点颜色校正、单点色温可调。校正数据存储在模组中，更换模组可自动回读；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7.支持任意非标准分辨率信号输入自适应，输出范围内进行缩放；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8.刷新率：≥4200Hz;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9.多层电路板设计，PCB焊盘采用沉金工艺处理，无电感效应，不花屏，具备消隐、节能功能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10.依据GB/T 17626.4-2018标准进行电快速瞬变脉冲群、、依据GB/T9254.2-2021标准进行静电放电试验，测试过程中样品均无异常；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11.通过光生物安全及蓝光危害评估无危害类检测；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12.平均使用寿命≥100000h,MTBF≥100000h;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13.LED显示屏符合GB 4943.1-2022标准要求；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14.100%亮度时≥14bit;20%亮度时≥14bit、灰度等级支持红、绿、蓝灰度非线性纠偏后各≥256级，灰度处理能力支持红、绿、蓝各≥16384级、持EPWM灰阶控制技术提升低灰视觉效果；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15.具有多点测温功能；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t>16.支持无信号输入自动熄屏待机，有信号输入自动唤醒功能 ；</w:t>
            </w:r>
            <w:r>
              <w:rPr>
                <w:rStyle w:val="9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17.硬件设备至少提供</w:t>
            </w:r>
            <w:r>
              <w:rPr>
                <w:rStyle w:val="9"/>
                <w:rFonts w:hint="eastAsia" w:ascii="宋体" w:eastAsia="宋体"/>
                <w:color w:val="C00000"/>
                <w:sz w:val="18"/>
                <w:highlight w:val="none"/>
                <w:lang w:val="en-US" w:eastAsia="zh-CN" w:bidi="ar"/>
              </w:rPr>
              <w:t>壹</w:t>
            </w:r>
            <w:r>
              <w:rPr>
                <w:rStyle w:val="9"/>
                <w:rFonts w:ascii="宋体" w:eastAsia="宋体"/>
                <w:color w:val="C00000"/>
                <w:sz w:val="18"/>
                <w:highlight w:val="none"/>
                <w:lang w:val="en-US" w:eastAsia="zh-CN" w:bidi="ar"/>
              </w:rPr>
              <w:t>年的原厂质保，签订合同时提供软件终生免费升级承诺，提供第三方检测机构出具的相关检测报告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0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F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77E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B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5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简易箱体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8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根据现场情况定制。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A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66.36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A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m²</w:t>
            </w:r>
          </w:p>
        </w:tc>
      </w:tr>
      <w:tr w14:paraId="5301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24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8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、电源的额定输入电压范围：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200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～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240V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、工作温度：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-30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～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+60℃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、工作相对湿度：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10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～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50% RH,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无冷凝；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4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、最大输入电流：≦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2.5A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、输出额定电压：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5.0V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6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、负载调整率：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±2%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7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、输出电压上升时间：</w:t>
            </w:r>
            <w:r>
              <w:rPr>
                <w:rStyle w:val="5"/>
                <w:rFonts w:ascii="宋体" w:eastAsia="宋体"/>
                <w:sz w:val="18"/>
                <w:highlight w:val="none"/>
                <w:lang w:val="en-US" w:eastAsia="zh-CN" w:bidi="ar"/>
              </w:rPr>
              <w:t>&lt;0.5S</w:t>
            </w:r>
            <w:r>
              <w:rPr>
                <w:rStyle w:val="6"/>
                <w:rFonts w:ascii="宋体" w:eastAsia="宋体"/>
                <w:sz w:val="18"/>
                <w:highlight w:val="none"/>
                <w:lang w:val="en-US" w:eastAsia="zh-CN" w:bidi="ar"/>
              </w:rPr>
              <w:t>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E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216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D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E00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9F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F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标准接收卡HUB75接口，支持RGB独立ganma校正，支持逐点校正，支持亮暗线修正，支持预存画面，支持mapping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3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1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</w:tr>
      <w:tr w14:paraId="5C51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D3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线缆类别（网线）：≥CAT 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产品特性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导体直径（网线）：≥0.53mm 24AWG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导体类型：无氧铜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护套类型：PVC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网线线芯：≥8芯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使用场景：室内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屏蔽性能：非屏蔽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防火等级：UL CM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C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7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7105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22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三芯线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适配电源（参数同主屏）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216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5898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0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F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根据现场情况定制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67.76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A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m²</w:t>
            </w:r>
          </w:p>
        </w:tc>
      </w:tr>
      <w:tr w14:paraId="2C9E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11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A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升降结构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主屏采用常规结构，副屏采用升降+手动旋转结构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一、概况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本次采购2套升降+手动旋转屏系统，每套升降屏搭载2块3m×6m显示屏幕，2块屏幕共用1根吊梁悬挂，吊梁下端配置2套手动旋转装置，屏幕下降后可实现单块屏幕手动左右旋转≥30°。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二、整体系统参数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1．系统配置：每套含1套升降机构、1根整体吊梁、2套手动旋转装置、控制系统及安全防护装置，整套系统一体化设计。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2.工作电源：AC380V/220V，50Hz，具备过压、过流、漏电、过载保护功能。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3.运行环境：工作温度-10℃~45℃。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4.材质要求：系统主体结构采用高强度碳钢/铝合金材质，表面经防锈、防腐处理，承重性强、外观整洁。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三、升降系统参数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1.升降方式：电动升降，升降行程满足现场安装使用需求，升降运行平稳、无卡顿、无噪音，运行噪音≤50dB。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2.升降速度：匀速升降，速度可调，标准升降速度≥50mm/s，升降定位精准，定位误差≤±2mm。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3.承重能力：单套升降系统额定承重≥单套屏幕+吊梁+旋转装置总重量的1.5倍。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4.升降控制：支持本地按键控制、远程遥控控制，可实现升降启停、点动升降、紧急停止功能，操作响应灵敏，无延迟。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5.升降限位：配备上下行程限位开关、机械防坠双重限位保护，防止超行程运行，杜绝坠落风险。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四、吊梁参数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1.结构形式：整体式高强度承重吊粱，采用加厚矩形钢管/工字钢焊接成型，整体刚性强，无拼接、无松动，确保2块屏幕同步悬挂。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2.尺寸规格：根据2块3m×6m屏幕布局定制，长度适配双屏悬挂宽度，宽度、厚度满足承重需求。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3.安装接口：吊梁下端预留标准化旋转装置安装接口，与旋转装置无缝对接，安装牢固、拆卸便捷；上端与升降机构刚性连接，连接部位采用高强度螺栓固定，抗拉、抗招性能强。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4.表面处理：吊梁内外壁均做防锈、防腐、防静电处理，表面哑光处理，不反光、不刺眼，与整体环境适配。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五、手动旋转装置参数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1.配置数量：每套升降屏配2套独立手动旋转装置，分别对应2块屏幕，互不干扰。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2.旋转角度：手动旋转角度≥±30°。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3.旋转方式：手动操作轻便，无需电力驱动，旋转过程顺滑，单手可轻松完成屏幕角度调节。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4.承重性能：单套旋转装置额定承重≥单块屏幕重量的2倍，旋转主轴采用高强度合金钢材质，耐磨、抗变形，长期旋转无卡顿、无松动。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5.锁定装置：配备手动机械锁定机构，屏幕旋转至目标角度后，可一键锁定。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0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7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65D6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2B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18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18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9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1296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F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6650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8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三、国产化桌面云</w:t>
            </w:r>
          </w:p>
        </w:tc>
      </w:tr>
      <w:tr w14:paraId="2543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94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B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教师机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CPU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：国产处理器，核心线程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八核十六线程，主频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≥3.0G HZ 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、内存：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≥32GB DDR4 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、存储：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≥512G SSD+1T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、接口：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VGA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+1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HDMI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USB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接口不少于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个，其中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 USB3.0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数量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个音频输入接口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+ 1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个音频输出接口，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个千兆网卡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、显卡：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≥2GB 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独立显卡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、配套的键盘鼠标、有线耳麦。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7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、国产正版授权操作系统及办公软件。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、显示器，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≥27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吋。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0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C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7372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4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学生机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8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CPU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：国产处理器，核心线程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八核十六线程，主频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≥3.0G HZ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2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、内存：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≥16GB DDR4 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、存储：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≥512G SSD 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、接口：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VGA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+1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HDMI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USB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接口不少于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个，其中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 USB3.0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数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≥4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个音频输入接口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+ 1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个音频输出接口，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个千兆网卡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5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、显卡：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 xml:space="preserve">≥2GB 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独立显卡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、配套的键盘鼠标、有线耳麦。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7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、国产正版授权操作系统及办公软件。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8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、显示器，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≥23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5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EED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A8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管理平台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下一代云桌面系统，基于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NGD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架构的桌面虚拟化产品，融合了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VDI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VOI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、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IDV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三大架构优势，实现了前后端混合计算，在调度服务器后端计算资源的同时更能充分利用前端资源，满足用户随时随地移动办公的需求，支持在窄带环境下实现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3D</w:t>
            </w:r>
            <w:r>
              <w:rPr>
                <w:rStyle w:val="6"/>
                <w:rFonts w:ascii="宋体" w:eastAsia="宋体"/>
                <w:sz w:val="18"/>
                <w:lang w:val="en-US" w:eastAsia="zh-CN" w:bidi="ar"/>
              </w:rPr>
              <w:t>高清播放和外设硬件的全面兼容，为用户提供大规模终端的管理、安全、运维的应用。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A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8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 w14:paraId="75E0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7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四、智慧商显一体机</w:t>
            </w:r>
          </w:p>
        </w:tc>
      </w:tr>
      <w:tr w14:paraId="6430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4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2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交互平板</w:t>
            </w:r>
          </w:p>
        </w:tc>
        <w:tc>
          <w:tcPr>
            <w:tcW w:w="10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9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1.显示技术：≥98英寸；；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2.OD20mm超薄模组，整机厚度≤86mm；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3.显示技术：D-LED背光源；显示比例：≥16:9；显示响应时间≤8ms；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4.显示色彩 :≥1.07亿全真色彩；TYP72%NTSC色域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5.物理分辨率：≥3840*2160（4K），全通道超高清4K系统图标显示；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6.采用专业防眩光钢化玻璃表面处理工艺，减少环境光反射，显示观看更清晰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7.可视角度：≥178°；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8.亮度：≥350cd/m²；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9.对比度：≥1200:1；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10.屏幕采用原装A+ OC；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11.运用自动色彩及图像增强处理器，画质优化，细节显示处理佳；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12.设备自带操作系统GPU:≥2核（主频≥1.9GHz以上）CPU:≥四核 ，内存：≥4G，存储ROM：≥32G；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13.整机接口：HDMI IN *2 OPTICAL OUT*1USB 3.0*1USB 2.0*1 TOUCH*1VGA IN* 1AUDIO IN* 1MIC IN* 1RS232* 1R*J45 IN 1LINE OUT*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14.≥3mm钢化玻璃，减重3-5Kg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15.整机屏占比≥85%；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16.采用模块化系统方案（80pin OPS 模块），整机可通过同一高速接口支持OPS模块上网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17.为保证整机一体性，采用隐藏式无线模块，整机无外伸天线；内置音视频模块，整机四边无外凸结构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18.系统A/B分区，双系统备份，OTA无感升级，升级过程不影响产品功能使用，不担心死机；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19.≥4分屏，≥8个设备在线，支持通过软件投屏，投屏支持电脑、手机、平板设备，整机可插拔接收模块，可实现外部电脑音视频信号实时传输到监视器上；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20.≥2 路USB3.0 前置，≥2 路USB3.0 板载，均支持随通道切换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21.支持2.4GHz/5GHz双频Wi-Fi，可支持AP/STA/AP+STA模式，支持Wi-Fi6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22.采用2*16W（默认）腔体扬声器单元，前置发声，减少声音反射，声音直达用户，更清晰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23.直流调光，手机拍照不闪烁，技术可满足Flicker free要求，护眼更健康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24.待机状态下，支持HDMI/VGA/RS232通道/网络信号输入智能唤醒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25.板载2路 TOUCH 2.0，支持触控输出  前置1路TOUCH 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26.支持RJ45 IN&amp;RJ45 OUT，一路给安卓本机，一路给外部的PC或大屏，无需区分网口的输入和输出，共享有线网络，连接更稳定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27.一网通设计，支持有线和无线网络双系统上网(OPS模块不需要单独接网线即可实现上网)，安卓和PC都是千兆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28.前置Type-C接口，.支持充电，最大可以支持65W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29.笔记本电脑可以通过TYPE-C/TOUCH OUT访问整机的有线网络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30.产品具备在不关闭整机电源的情况下可一键关闭和开启液晶屏背光，实现功耗降低超过80%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31.根据环境光线自动调节背光亮度，节能护眼（该功能可关闭）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32.采用高精度红外触控，书写精度可达±1mm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33.支持≥20点触摸、10点书写、2点高精度书写批注是1点，触摸识别高度＜3mm，最小识别物：2mm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34.最新研发笔尖材料及笔尖成型工艺成果，书写静音，为用户带来舒适书写体验；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35.支持双笔同时书写双色显示，搭配专用书写笔，双色识别正确率≥99%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36.按键和书写笔使用抗菌材料，细菌（大肠杆菌、金黄色葡萄球菌）不残留，抗菌率＞99.99%，给用户更健康的使用环境；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37.OPS模块要求：CPU：国产处理器系统芯片组：国产芯片基本频率：≥2.7 GHz核心/线程数：≥8/4内存：≥8G硬盘（SSD）：≥256G显卡 集显，可支持MXM独立显卡扩展无线网络：1 x M.2 2230 PCIe/USB 接口声卡：ALC662 HD Audio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22"/>
                <w:highlight w:val="none"/>
                <w:u w:val="none"/>
                <w:lang w:val="en-US" w:eastAsia="zh-CN" w:bidi="ar"/>
              </w:rPr>
              <w:t>38.硬件设备至少提供壹年的原厂质保，签订合同时提供软件终生免费升级承诺，提供第三方检测机构出具的相关检测报告。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45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9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86C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2F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交货期：30日历日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质保期：1年，参数中有要求的按要求执行。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签订合同时，需提供生产厂家对本项目的授权函和售后服务承诺函。</w:t>
            </w:r>
          </w:p>
        </w:tc>
      </w:tr>
    </w:tbl>
    <w:tbl>
      <w:tblPr>
        <w:tblStyle w:val="3"/>
        <w:tblpPr w:leftFromText="180" w:rightFromText="180" w:vertAnchor="text" w:tblpX="13436" w:tblpY="22602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 w14:paraId="4E5D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7" w:hRule="atLeast"/>
        </w:trPr>
        <w:tc>
          <w:tcPr>
            <w:tcW w:w="324" w:type="dxa"/>
          </w:tcPr>
          <w:p w14:paraId="24ABE248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3448" w:tblpY="225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 w14:paraId="086E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324" w:type="dxa"/>
          </w:tcPr>
          <w:p w14:paraId="14AB6C4C">
            <w:pPr>
              <w:rPr>
                <w:vertAlign w:val="baseline"/>
              </w:rPr>
            </w:pPr>
          </w:p>
        </w:tc>
      </w:tr>
    </w:tbl>
    <w:p w14:paraId="05F3FD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2EE1E"/>
    <w:multiLevelType w:val="singleLevel"/>
    <w:tmpl w:val="C862EE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13E5"/>
    <w:rsid w:val="243C27A7"/>
    <w:rsid w:val="42A653A5"/>
    <w:rsid w:val="63EC441A"/>
    <w:rsid w:val="64316EE2"/>
    <w:rsid w:val="6D4068AE"/>
    <w:rsid w:val="7A1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21"/>
    <w:basedOn w:val="4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1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6225</Words>
  <Characters>7722</Characters>
  <Lines>0</Lines>
  <Paragraphs>0</Paragraphs>
  <TotalTime>31</TotalTime>
  <ScaleCrop>false</ScaleCrop>
  <LinksUpToDate>false</LinksUpToDate>
  <CharactersWithSpaces>8213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2026-05-29T08:53:00Z</dcterms:created>
  <dc:creator>Administrator</dc:creator>
  <cp:lastModifiedBy>倾緈伊筱</cp:lastModifiedBy>
  <cp:lastPrinted>2026-06-18T07:04:37Z</cp:lastPrinted>
  <dcterms:modified xsi:type="dcterms:W3CDTF">2026-06-18T07:05:38Z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eyJoZGlkIjoiNzk4YTEzYmRkN2YzMzI5NjY1Njg5MTFmYTc0YjJmMGQiLCJ1c2VySWQiOiIzNDM3Nzc2NjAifQ==</vt:lpwstr>
  </property>
  <property fmtid="{D5CDD505-2E9C-101B-9397-08002B2CF9AE}" pid="4" name="ICV">
    <vt:lpwstr>36A9CA8EACE84FBB9AD8F03C8DFF394C_13</vt:lpwstr>
  </property>
</Properties>
</file>