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3FA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8" w:hRule="atLeast"/>
        </w:trPr>
        <w:tc>
          <w:tcPr>
            <w:tcW w:w="9900" w:type="dxa"/>
            <w:noWrap w:val="0"/>
            <w:vAlign w:val="top"/>
          </w:tcPr>
          <w:p w14:paraId="57FAC29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一、工程概况</w:t>
            </w:r>
          </w:p>
          <w:p w14:paraId="0DEC133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bCs/>
                <w:color w:val="000000"/>
                <w:szCs w:val="21"/>
                <w:highlight w:val="none"/>
              </w:rPr>
              <w:t>本项目</w:t>
            </w:r>
            <w:r>
              <w:rPr>
                <w:rFonts w:hint="eastAsia" w:ascii="宋体" w:hAnsi="宋体" w:eastAsia="宋体" w:cs="宋体"/>
                <w:sz w:val="21"/>
                <w:szCs w:val="21"/>
              </w:rPr>
              <w:t>为浙江金融职业学院杭州校区中心机房UPS双路供电改造项目；</w:t>
            </w:r>
          </w:p>
          <w:p w14:paraId="718251EF">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二、招标范围：详见招标文件和工程量清单。</w:t>
            </w:r>
          </w:p>
          <w:p w14:paraId="53E018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w:t>
            </w:r>
            <w:r>
              <w:rPr>
                <w:rFonts w:hint="eastAsia" w:ascii="宋体" w:hAnsi="宋体" w:eastAsia="宋体" w:cs="宋体"/>
                <w:b/>
                <w:bCs/>
                <w:sz w:val="21"/>
                <w:szCs w:val="21"/>
                <w:highlight w:val="none"/>
                <w:lang w:val="en-US" w:eastAsia="zh-CN"/>
              </w:rPr>
              <w:t>清单编制</w:t>
            </w:r>
            <w:r>
              <w:rPr>
                <w:rFonts w:hint="eastAsia" w:ascii="宋体" w:hAnsi="宋体" w:eastAsia="宋体" w:cs="宋体"/>
                <w:b/>
                <w:bCs/>
                <w:sz w:val="21"/>
                <w:szCs w:val="21"/>
                <w:highlight w:val="none"/>
              </w:rPr>
              <w:t>依据</w:t>
            </w:r>
          </w:p>
          <w:p w14:paraId="066B17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1</w:t>
            </w:r>
            <w:r>
              <w:rPr>
                <w:rFonts w:hint="eastAsia" w:ascii="宋体" w:hAnsi="宋体" w:eastAsia="宋体" w:cs="宋体"/>
                <w:color w:val="000000"/>
                <w:sz w:val="21"/>
                <w:szCs w:val="21"/>
                <w:highlight w:val="none"/>
              </w:rPr>
              <w:t>、《建设工程工程量清单计价规范》（GB50500-2013）、《房屋建筑与装饰工程工程量计算规范》（GB50854—2013）、《通用安装工程工程量计算规范》（GB 50856-2013）、《市政工程工程量计算规范》（GB 50857-2013）；</w:t>
            </w:r>
          </w:p>
          <w:p w14:paraId="2C474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2、《浙江省建设工程工程量清单计价指引》（2013版）；</w:t>
            </w:r>
          </w:p>
          <w:p w14:paraId="0F4661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3、《关于印发建设工程工程量计算规范（2013）浙江省补充规定的通知》（浙建站计﹝2013﹞63号）；</w:t>
            </w:r>
          </w:p>
          <w:p w14:paraId="58DFE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4、《杭州市建设工程工程量清单计价实施细则（2018年修订）》；</w:t>
            </w:r>
          </w:p>
          <w:p w14:paraId="00C18B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5、《浙江省建设工程计价规则》（2018版）；</w:t>
            </w:r>
          </w:p>
          <w:p w14:paraId="5C1427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6、《关于增值税调整后我省建设工程计价依据增值税税率及有关计价调整的通知》（浙建建﹝2019﹞92号）；</w:t>
            </w:r>
          </w:p>
          <w:p w14:paraId="32273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7、杭州市城乡建设委员会关于推进杭州市建筑施工领域安全生产责任保险工作的通知-杭建工发[2021]384号、关于明确杭州市建筑施工领域安全生产责任保险费用计取的通知-杭建招标造价中心[2021]84号；</w:t>
            </w:r>
          </w:p>
          <w:p w14:paraId="08902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8、《省建设厅关于调整建筑工程安全文明施工费的通知》浙建建函(2025)320号文；</w:t>
            </w:r>
          </w:p>
          <w:p w14:paraId="6F2B7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9、省、市建设行政主管部门以及工程造价管理机构颁发的相关计价办法和计价规定；</w:t>
            </w:r>
          </w:p>
          <w:p w14:paraId="1C599E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、工程质量、工期、施工等要求：详见招标文件及设计图纸。</w:t>
            </w:r>
          </w:p>
          <w:p w14:paraId="45049B4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、安全文明施工费、企业管理费、规费、税金等费率及取费基数明确：</w:t>
            </w:r>
          </w:p>
          <w:p w14:paraId="5A5729D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根据杭建市发【2018】578号文规定，企业管理费报价不得低于省建设行政主管部门颁发的施工费用定额和相关取费计价文件规定的对应专业工程企业管理费弹性费率下限乘以20%的计算值。其中安责险计取按照：杭建工发（2021） 384号文件，杭建招标造价中心（2021）84号文件结合本项目实际情况，自行考虑，包含在企业管理费内。同时，投标人必须对企业管理费中所包含的施工企业的现场监控、现场临时宿舍取暖降温费用，在相应的清单明细表中进行单独费用报价分析。具体如下：</w:t>
            </w:r>
          </w:p>
          <w:p w14:paraId="3FA5EBB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安装工程：取费基数为“人工费+机械费”，最低费率为：3.26%；</w:t>
            </w:r>
          </w:p>
          <w:p w14:paraId="7F56FF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2、投标人应根据有关要求加强安全防护、文明施工工作。文明施工、环境保护、安全施工、临时设施费等措施费用必须充分保证。安全文明施工基本费</w:t>
            </w:r>
            <w:r>
              <w:rPr>
                <w:rFonts w:hint="eastAsia" w:ascii="宋体" w:hAnsi="宋体" w:cs="宋体"/>
                <w:color w:val="000000"/>
                <w:kern w:val="2"/>
                <w:sz w:val="21"/>
                <w:szCs w:val="21"/>
                <w:highlight w:val="none"/>
                <w:lang w:val="en-US" w:eastAsia="zh-CN" w:bidi="ar"/>
              </w:rPr>
              <w:t>（包含三责险等三项费用）</w:t>
            </w:r>
            <w:r>
              <w:rPr>
                <w:rFonts w:hint="eastAsia" w:ascii="宋体" w:hAnsi="宋体" w:eastAsia="宋体" w:cs="宋体"/>
                <w:color w:val="000000"/>
                <w:kern w:val="2"/>
                <w:sz w:val="21"/>
                <w:szCs w:val="21"/>
                <w:highlight w:val="none"/>
                <w:lang w:val="en-US" w:eastAsia="zh-CN" w:bidi="ar"/>
              </w:rPr>
              <w:t>费率不得低于《浙江省建设工程计价规则》（2018版）规定基本费费率乘以1.15系数的弹性费率的下限，按市区工程计取，本工程不计取创标化工地增加费，具体如下：</w:t>
            </w:r>
          </w:p>
          <w:p w14:paraId="042194F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安装工程：取费基数为“人工费+机械费”，最低费率为：7.</w:t>
            </w:r>
            <w:r>
              <w:rPr>
                <w:rFonts w:hint="eastAsia" w:ascii="宋体" w:hAnsi="宋体" w:cs="宋体"/>
                <w:color w:val="000000"/>
                <w:kern w:val="2"/>
                <w:sz w:val="21"/>
                <w:szCs w:val="21"/>
                <w:highlight w:val="none"/>
                <w:lang w:val="en-US" w:eastAsia="zh-CN" w:bidi="ar"/>
              </w:rPr>
              <w:t>99</w:t>
            </w:r>
            <w:r>
              <w:rPr>
                <w:rFonts w:hint="eastAsia" w:ascii="宋体" w:hAnsi="宋体" w:eastAsia="宋体" w:cs="宋体"/>
                <w:color w:val="000000"/>
                <w:kern w:val="2"/>
                <w:sz w:val="21"/>
                <w:szCs w:val="21"/>
                <w:highlight w:val="none"/>
                <w:lang w:val="en-US" w:eastAsia="zh-CN" w:bidi="ar"/>
              </w:rPr>
              <w:t>%；</w:t>
            </w:r>
          </w:p>
          <w:p w14:paraId="267B446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3、费由投标人根据国家法律法规及自身缴纳规费的实际情况，自主确定其投标费率，但不得低于《浙江省建设工程计价规则》（2018版）的30%，具体如下：</w:t>
            </w:r>
          </w:p>
          <w:p w14:paraId="5367F57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安装工程：取费基数为“人工费+机械费”，最低费率为：9.19%；</w:t>
            </w:r>
          </w:p>
          <w:p w14:paraId="464152A5">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税金费率为9%，不得竞争；</w:t>
            </w:r>
          </w:p>
          <w:p w14:paraId="706752A7">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本工程含暂列金</w:t>
            </w:r>
            <w:r>
              <w:rPr>
                <w:rFonts w:hint="eastAsia" w:ascii="宋体" w:hAnsi="宋体" w:cs="宋体"/>
                <w:color w:val="000000"/>
                <w:kern w:val="2"/>
                <w:sz w:val="21"/>
                <w:szCs w:val="21"/>
                <w:highlight w:val="none"/>
                <w:lang w:val="en-US" w:eastAsia="zh-CN" w:bidi="ar"/>
              </w:rPr>
              <w:t>6000</w:t>
            </w:r>
            <w:r>
              <w:rPr>
                <w:rFonts w:hint="eastAsia" w:ascii="宋体" w:hAnsi="宋体" w:eastAsia="宋体" w:cs="宋体"/>
                <w:color w:val="000000"/>
                <w:kern w:val="2"/>
                <w:sz w:val="21"/>
                <w:szCs w:val="21"/>
                <w:highlight w:val="none"/>
                <w:lang w:val="en-US" w:eastAsia="zh-CN" w:bidi="ar"/>
              </w:rPr>
              <w:t>元（不含税）；</w:t>
            </w:r>
          </w:p>
          <w:p w14:paraId="25015BF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、工程量清单编制说明事项：</w:t>
            </w:r>
          </w:p>
          <w:p w14:paraId="742A89C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r>
              <w:rPr>
                <w:rFonts w:hint="eastAsia" w:ascii="宋体" w:hAnsi="宋体" w:cs="宋体"/>
                <w:color w:val="000000"/>
                <w:kern w:val="2"/>
                <w:sz w:val="21"/>
                <w:szCs w:val="21"/>
                <w:highlight w:val="none"/>
                <w:lang w:val="en-US" w:eastAsia="zh-CN" w:bidi="ar"/>
              </w:rPr>
              <w:t>抽屉柜改造包含全部工作内容，投标单位综合报价</w:t>
            </w:r>
            <w:r>
              <w:rPr>
                <w:rFonts w:hint="eastAsia" w:ascii="宋体" w:hAnsi="宋体" w:eastAsia="宋体" w:cs="宋体"/>
                <w:color w:val="000000"/>
                <w:kern w:val="2"/>
                <w:sz w:val="21"/>
                <w:szCs w:val="21"/>
                <w:highlight w:val="none"/>
                <w:lang w:val="en-US" w:eastAsia="zh-CN" w:bidi="ar"/>
              </w:rPr>
              <w:t>。</w:t>
            </w:r>
          </w:p>
          <w:p w14:paraId="7B61614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 xml:space="preserve">七、相关事项说明 </w:t>
            </w:r>
          </w:p>
          <w:p w14:paraId="4627D3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 </w:t>
            </w:r>
            <w:r>
              <w:rPr>
                <w:rFonts w:hint="eastAsia"/>
                <w:bCs/>
                <w:color w:val="000000"/>
                <w:szCs w:val="21"/>
                <w:highlight w:val="none"/>
              </w:rPr>
              <w:t>分部分项工程量清单中对工程项目的项目特征及具体做法只做重点描述，详细情况见施工图设计、技术说明及相关标准图集。各投标单位在进行综合单价报价时必须结合施工图、招标文件中的相关条款及清单描述进行报价，组价时应结合投标人现场勘察情况包括完成所有工序工作内容的全部费用。清单子目中未能对各节点详图进行完全性描述的必须结合施工图详细节点进行报价，清单描述中未及的施工工艺必须结合施工图纸要求进行报价，否则视为已计入相应项目综合单价中，中标后将不调整综合单价；若招标文件中的相关条款与清单有冲突，或清单项目及描述与施工图纸有矛盾，投标单位在答疑时提出疑问，未提出的以招标人解释为准</w:t>
            </w:r>
            <w:r>
              <w:rPr>
                <w:rFonts w:hint="eastAsia"/>
                <w:bCs/>
                <w:color w:val="000000"/>
                <w:szCs w:val="21"/>
                <w:highlight w:val="none"/>
                <w:lang w:eastAsia="zh-CN"/>
              </w:rPr>
              <w:t>；</w:t>
            </w:r>
            <w:r>
              <w:rPr>
                <w:rFonts w:hint="eastAsia" w:ascii="宋体" w:hAnsi="宋体" w:eastAsia="宋体" w:cs="宋体"/>
                <w:color w:val="000000"/>
                <w:kern w:val="2"/>
                <w:sz w:val="21"/>
                <w:szCs w:val="21"/>
                <w:highlight w:val="none"/>
                <w:lang w:val="en-US" w:eastAsia="zh-CN" w:bidi="ar"/>
              </w:rPr>
              <w:t xml:space="preserve"> </w:t>
            </w:r>
          </w:p>
          <w:p w14:paraId="5829476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2、投标人应先到工地踏勘以充分了解工地位置、现状、交通运输、空间局限及任何其它足以影响报价的情况，任何因忽视或误解工地情况而导致的索赔或工期延长申请将不获批准；</w:t>
            </w:r>
          </w:p>
          <w:p w14:paraId="633FFE4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3、招标文件要求的但本清单中未列明的，投标人根据自行确定的施工方案，认为有必要增加的技术措施费请在投标报价中考虑，结算时不再增加。投标人自行补充的措施项目必须列清项目明细内容，并提供相应的措施项目清单综合单价计算表及工料机分析表； </w:t>
            </w:r>
          </w:p>
          <w:p w14:paraId="608BCFF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4、投标人技术标文件中所列的施工组织技术措施，其费用均应包含在投标报价中，还应包括投标人为完成该工程所需交纳的地方或行业的其它有关费用； </w:t>
            </w:r>
          </w:p>
          <w:p w14:paraId="0EE3CF8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5、承包人为便利于施工而更改施工方案所增加的工程费用一概不予调整，属施工技术组织措施失误造成的费用均由承包人承担； </w:t>
            </w:r>
          </w:p>
          <w:p w14:paraId="487770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6、投标人应充分考虑施工过程中的材料、机械的工地二次运输、装卸、保管及安装等内容，相关费用包含在本次投标报价中，如不报视作优惠； </w:t>
            </w:r>
          </w:p>
          <w:p w14:paraId="54A3F54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7、投标人应充分考虑本工程的环境保护、文明施工、安全施工、临时设施措施等费用，并计入相应的措施费中； </w:t>
            </w:r>
          </w:p>
          <w:p w14:paraId="67899A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8、投标人未填报综合单价或合价的项目，其费用视为已分摊在其他项目的综合单价与合价中，该项工作实施后，招标人将不予支付； </w:t>
            </w:r>
          </w:p>
          <w:p w14:paraId="411211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9、不同单项及单位工程中的分部分项工程量清单中相同项目（项目特征及工作内容相同）的报价应统一，如有差异，按最低一个报价进行结算；</w:t>
            </w:r>
          </w:p>
          <w:p w14:paraId="457AB5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10、工程量清单及其计价依据格式中的任何内容不得随意删除或涂改，若有错误，在招标答疑时及时提出，以"补遗"资料为准； </w:t>
            </w:r>
          </w:p>
          <w:p w14:paraId="51E17AA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11、材料要堆放整齐，并保持施工现场的整洁，费用包含在预算内； </w:t>
            </w:r>
          </w:p>
          <w:p w14:paraId="5DDF430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12、在施工中碰到问题，应及时与发包方沟通，避免造成不必要的损失； </w:t>
            </w:r>
          </w:p>
          <w:p w14:paraId="5CD9D23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13、投标人在投标报价时应充分领会《建设工程工程量清单计价规范》（GB50500-2013）及《浙江省建设工程量清单计价指引》中各项目所组合的工程内容； </w:t>
            </w:r>
          </w:p>
          <w:p w14:paraId="75ABBF1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14、投标人在报价时应充分考虑本工程的质量要求，对本工程各项工艺、材料的检查、检验、试验、测试等所需费用和时间应充分考虑； </w:t>
            </w:r>
          </w:p>
          <w:p w14:paraId="49CF017A">
            <w:pPr>
              <w:spacing w:line="400" w:lineRule="exact"/>
              <w:ind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15、所有材料必须符合设计及招标人要求，由投标人根据招标文件及施工图的要求明确规格和型号报价，有推荐品牌的，投标人应在推荐品牌中选择或选择相当于或高于推荐品牌的产品，并在“主要材料（设备）价格表”备注栏中标明品牌,投标人在投标文件中若提供了招标人推荐品牌外的产品的，应同时提供相当于或高于招标人推荐品牌产品的证明材料；无推荐品牌的，投标人也应在备注栏中标明选择的品牌。若投标人未明确品牌的，在施工期间，招标人可根据工程需要提出要求，投标人必须按照招标人的要求提供材料（设备），费用差价风险由投标人承担。</w:t>
            </w:r>
            <w:r>
              <w:rPr>
                <w:rFonts w:hint="eastAsia"/>
                <w:bCs/>
                <w:color w:val="000000"/>
                <w:szCs w:val="21"/>
                <w:highlight w:val="none"/>
              </w:rPr>
              <w:t>未作品牌系列要求的材料都必须采用中档以上，未作品牌要求的材料均选用国产一线品牌产品</w:t>
            </w:r>
            <w:r>
              <w:rPr>
                <w:rFonts w:hint="eastAsia"/>
                <w:bCs/>
                <w:color w:val="000000"/>
                <w:szCs w:val="21"/>
                <w:highlight w:val="none"/>
                <w:lang w:eastAsia="zh-CN"/>
              </w:rPr>
              <w:t>；</w:t>
            </w:r>
          </w:p>
          <w:p w14:paraId="2117365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16、与本工程有关的临时设施及场地由投标人自行解决（含租地、二次搬迁、临时污水并网、临时水电接驳、临时场地拆除清理等全部费用），其费用由投标人自行考虑相关费用在投标报价中，中标后招标人不再另行支付相关费用。施工过程中，如遇停水停电或用水用电高峰，应准备相应的措施（如修蓄水池、加压泵、发电机等），费用自行考虑在措施费中，中标后费用不作调整；</w:t>
            </w:r>
          </w:p>
          <w:p w14:paraId="6D625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本工程建设单位不提供土方临时堆放场地，但项目内回填土需按临时场地堆放处理，堆放场地由承包人自行解决，费用在相关子目中综合考虑报价。所有建筑弃土石方（包括淤泥、渣土）及垃圾必须外运，外运运距投标人自行考虑，弃土地点由投标人自行考虑，中标后须到相关部门办理相关手续。土石方（包括淤泥、渣土）综合单价包括挖、装、外运、卸、城市卫生费、市容环境及土石方（包括淤泥、渣土）处置等有关发生的一切费用；以上单价不因运距、人工单价、交通拥堵的车辆运输机械降效系数等一切因素的变化而调整。土方类别综合考虑，包括：淤泥、泥浆、建筑渣土、砌体、及现场留存的建筑垃圾等内容；</w:t>
            </w:r>
          </w:p>
          <w:p w14:paraId="7B42F2B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r>
              <w:rPr>
                <w:rFonts w:hint="eastAsia" w:ascii="宋体" w:hAnsi="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、投标人应结合当地气候条件和现场情况，将防台、防汛、排洪等列入措施费中，中标后费用不作调整；</w:t>
            </w:r>
          </w:p>
          <w:p w14:paraId="454B989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cs="宋体"/>
                <w:color w:val="000000"/>
                <w:kern w:val="2"/>
                <w:sz w:val="21"/>
                <w:szCs w:val="21"/>
                <w:highlight w:val="none"/>
                <w:lang w:val="en-US" w:eastAsia="zh-CN" w:bidi="ar"/>
              </w:rPr>
              <w:t>19</w:t>
            </w:r>
            <w:r>
              <w:rPr>
                <w:rFonts w:hint="eastAsia" w:ascii="宋体" w:hAnsi="宋体" w:eastAsia="宋体" w:cs="宋体"/>
                <w:color w:val="000000"/>
                <w:kern w:val="2"/>
                <w:sz w:val="21"/>
                <w:szCs w:val="21"/>
                <w:highlight w:val="none"/>
                <w:lang w:val="en-US" w:eastAsia="zh-CN" w:bidi="ar"/>
              </w:rPr>
              <w:t>、投标人在投标报价时，应结合工程实际和企业信用状况将安责险列入企业管理费中进行自主报价。</w:t>
            </w:r>
          </w:p>
          <w:p w14:paraId="0F8A16BA">
            <w:pPr>
              <w:keepNext w:val="0"/>
              <w:keepLines w:val="0"/>
              <w:pageBreakBefore w:val="0"/>
              <w:kinsoku/>
              <w:wordWrap/>
              <w:overflowPunct/>
              <w:topLinePunct w:val="0"/>
              <w:autoSpaceDE/>
              <w:autoSpaceDN/>
              <w:bidi w:val="0"/>
              <w:adjustRightInd/>
              <w:snapToGrid/>
              <w:spacing w:line="360" w:lineRule="auto"/>
              <w:jc w:val="left"/>
              <w:textAlignment w:val="auto"/>
              <w:rPr>
                <w:rStyle w:val="10"/>
                <w:rFonts w:hint="eastAsia"/>
                <w:lang w:val="en-US" w:eastAsia="zh-CN"/>
                <w:woUserID w:val="0"/>
              </w:rPr>
            </w:pPr>
            <w:r>
              <w:rPr>
                <w:rFonts w:hint="eastAsia" w:ascii="宋体" w:hAnsi="宋体" w:eastAsia="宋体" w:cs="宋体"/>
                <w:b/>
                <w:bCs/>
                <w:color w:val="000000"/>
                <w:kern w:val="2"/>
                <w:sz w:val="21"/>
                <w:szCs w:val="21"/>
                <w:highlight w:val="none"/>
                <w:lang w:val="en-US" w:eastAsia="zh-CN" w:bidi="ar"/>
              </w:rPr>
              <w:t xml:space="preserve">八、其他不详之处，详见国家及地方标准。 </w:t>
            </w:r>
          </w:p>
          <w:p w14:paraId="5B9996B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九、推荐品牌表：</w:t>
            </w:r>
          </w:p>
          <w:tbl>
            <w:tblPr>
              <w:tblStyle w:val="9"/>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345"/>
              <w:gridCol w:w="6146"/>
            </w:tblGrid>
            <w:tr w14:paraId="24DE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top"/>
                </w:tcPr>
                <w:p w14:paraId="5F0257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序号</w:t>
                  </w:r>
                </w:p>
              </w:tc>
              <w:tc>
                <w:tcPr>
                  <w:tcW w:w="2345" w:type="dxa"/>
                  <w:noWrap w:val="0"/>
                  <w:vAlign w:val="top"/>
                </w:tcPr>
                <w:p w14:paraId="57DBE5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名称</w:t>
                  </w:r>
                </w:p>
              </w:tc>
              <w:tc>
                <w:tcPr>
                  <w:tcW w:w="6146" w:type="dxa"/>
                  <w:noWrap w:val="0"/>
                  <w:vAlign w:val="top"/>
                </w:tcPr>
                <w:p w14:paraId="56A952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设备、材料品牌或生产厂家</w:t>
                  </w:r>
                </w:p>
              </w:tc>
            </w:tr>
            <w:tr w14:paraId="546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top"/>
                </w:tcPr>
                <w:p w14:paraId="74A43A6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1</w:t>
                  </w:r>
                </w:p>
              </w:tc>
              <w:tc>
                <w:tcPr>
                  <w:tcW w:w="2345" w:type="dxa"/>
                  <w:noWrap w:val="0"/>
                  <w:vAlign w:val="top"/>
                </w:tcPr>
                <w:p w14:paraId="08F8121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cs="宋体"/>
                      <w:b w:val="0"/>
                      <w:bCs w:val="0"/>
                      <w:color w:val="000000"/>
                      <w:kern w:val="2"/>
                      <w:sz w:val="21"/>
                      <w:szCs w:val="21"/>
                      <w:vertAlign w:val="baseline"/>
                      <w:lang w:val="en-US" w:eastAsia="zh-CN" w:bidi="ar"/>
                    </w:rPr>
                    <w:t>配电箱元器件</w:t>
                  </w:r>
                </w:p>
              </w:tc>
              <w:tc>
                <w:tcPr>
                  <w:tcW w:w="6146" w:type="dxa"/>
                  <w:noWrap w:val="0"/>
                  <w:vAlign w:val="top"/>
                </w:tcPr>
                <w:p w14:paraId="1798A2A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2"/>
                      <w:sz w:val="21"/>
                      <w:szCs w:val="21"/>
                      <w:vertAlign w:val="baseline"/>
                      <w:lang w:val="en-US" w:eastAsia="zh-CN" w:bidi="ar"/>
                    </w:rPr>
                  </w:pPr>
                  <w:r>
                    <w:rPr>
                      <w:rFonts w:hint="default" w:ascii="宋体" w:hAnsi="宋体" w:eastAsia="宋体" w:cs="宋体"/>
                      <w:b w:val="0"/>
                      <w:bCs w:val="0"/>
                      <w:color w:val="000000"/>
                      <w:kern w:val="2"/>
                      <w:sz w:val="21"/>
                      <w:szCs w:val="21"/>
                      <w:vertAlign w:val="baseline"/>
                      <w:lang w:val="en-US" w:eastAsia="zh-CN" w:bidi="ar"/>
                    </w:rPr>
                    <w:t>施耐德HVX 、 ABB VD4、 西门子3AE</w:t>
                  </w:r>
                  <w:r>
                    <w:rPr>
                      <w:rFonts w:hint="eastAsia" w:ascii="宋体" w:hAnsi="宋体" w:eastAsia="宋体" w:cs="宋体"/>
                      <w:b w:val="0"/>
                      <w:bCs w:val="0"/>
                      <w:color w:val="000000"/>
                      <w:kern w:val="2"/>
                      <w:sz w:val="21"/>
                      <w:szCs w:val="21"/>
                      <w:vertAlign w:val="baseline"/>
                      <w:lang w:val="en-US" w:eastAsia="zh-CN" w:bidi="ar"/>
                    </w:rPr>
                    <w:t>或相当于</w:t>
                  </w:r>
                </w:p>
              </w:tc>
            </w:tr>
            <w:tr w14:paraId="151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top"/>
                </w:tcPr>
                <w:p w14:paraId="439198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2</w:t>
                  </w:r>
                </w:p>
              </w:tc>
              <w:tc>
                <w:tcPr>
                  <w:tcW w:w="2345" w:type="dxa"/>
                  <w:noWrap w:val="0"/>
                  <w:vAlign w:val="top"/>
                </w:tcPr>
                <w:p w14:paraId="01CDAC1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cs="宋体"/>
                      <w:b w:val="0"/>
                      <w:bCs w:val="0"/>
                      <w:color w:val="000000"/>
                      <w:kern w:val="2"/>
                      <w:sz w:val="21"/>
                      <w:szCs w:val="21"/>
                      <w:vertAlign w:val="baseline"/>
                      <w:lang w:val="en-US" w:eastAsia="zh-CN" w:bidi="ar"/>
                    </w:rPr>
                    <w:t>电线电缆</w:t>
                  </w:r>
                </w:p>
              </w:tc>
              <w:tc>
                <w:tcPr>
                  <w:tcW w:w="6146" w:type="dxa"/>
                  <w:noWrap w:val="0"/>
                  <w:vAlign w:val="top"/>
                </w:tcPr>
                <w:p w14:paraId="70947138">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2"/>
                      <w:sz w:val="21"/>
                      <w:szCs w:val="21"/>
                      <w:vertAlign w:val="baseline"/>
                      <w:lang w:val="en-US" w:eastAsia="zh-CN" w:bidi="ar"/>
                    </w:rPr>
                  </w:pPr>
                  <w:r>
                    <w:rPr>
                      <w:rFonts w:hint="default" w:ascii="宋体" w:hAnsi="宋体" w:eastAsia="宋体" w:cs="宋体"/>
                      <w:b w:val="0"/>
                      <w:bCs w:val="0"/>
                      <w:color w:val="000000"/>
                      <w:kern w:val="2"/>
                      <w:sz w:val="21"/>
                      <w:szCs w:val="21"/>
                      <w:vertAlign w:val="baseline"/>
                      <w:lang w:val="en-US" w:eastAsia="zh-CN" w:bidi="ar"/>
                    </w:rPr>
                    <w:t>浙江万马</w:t>
                  </w:r>
                  <w:r>
                    <w:rPr>
                      <w:rFonts w:hint="eastAsia" w:ascii="宋体" w:hAnsi="宋体" w:cs="宋体"/>
                      <w:b w:val="0"/>
                      <w:bCs w:val="0"/>
                      <w:color w:val="000000"/>
                      <w:kern w:val="2"/>
                      <w:sz w:val="21"/>
                      <w:szCs w:val="21"/>
                      <w:vertAlign w:val="baseline"/>
                      <w:lang w:val="en-US" w:eastAsia="zh-CN" w:bidi="ar"/>
                    </w:rPr>
                    <w:t>、浙江元通、杭电股份</w:t>
                  </w:r>
                  <w:r>
                    <w:rPr>
                      <w:rFonts w:hint="default" w:ascii="宋体" w:hAnsi="宋体" w:eastAsia="宋体" w:cs="宋体"/>
                      <w:b w:val="0"/>
                      <w:bCs w:val="0"/>
                      <w:color w:val="000000"/>
                      <w:kern w:val="2"/>
                      <w:sz w:val="21"/>
                      <w:szCs w:val="21"/>
                      <w:vertAlign w:val="baseline"/>
                      <w:lang w:val="en-US" w:eastAsia="zh-CN" w:bidi="ar"/>
                    </w:rPr>
                    <w:t>或相当于</w:t>
                  </w:r>
                </w:p>
              </w:tc>
            </w:tr>
            <w:tr w14:paraId="20C7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top"/>
                </w:tcPr>
                <w:p w14:paraId="561A09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3</w:t>
                  </w:r>
                </w:p>
              </w:tc>
              <w:tc>
                <w:tcPr>
                  <w:tcW w:w="2345" w:type="dxa"/>
                  <w:noWrap w:val="0"/>
                  <w:vAlign w:val="top"/>
                </w:tcPr>
                <w:p w14:paraId="3E5C374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2"/>
                      <w:sz w:val="21"/>
                      <w:szCs w:val="21"/>
                      <w:vertAlign w:val="baseline"/>
                      <w:lang w:val="en-US" w:eastAsia="zh-CN" w:bidi="ar"/>
                    </w:rPr>
                  </w:pPr>
                  <w:r>
                    <w:rPr>
                      <w:rFonts w:hint="eastAsia" w:ascii="宋体" w:hAnsi="宋体" w:eastAsia="宋体" w:cs="宋体"/>
                      <w:b w:val="0"/>
                      <w:bCs w:val="0"/>
                      <w:color w:val="000000"/>
                      <w:kern w:val="2"/>
                      <w:sz w:val="21"/>
                      <w:szCs w:val="21"/>
                      <w:vertAlign w:val="baseline"/>
                      <w:lang w:val="en-US" w:eastAsia="zh-CN" w:bidi="ar"/>
                    </w:rPr>
                    <w:t>成套柜</w:t>
                  </w:r>
                </w:p>
              </w:tc>
              <w:tc>
                <w:tcPr>
                  <w:tcW w:w="6146" w:type="dxa"/>
                  <w:noWrap w:val="0"/>
                  <w:vAlign w:val="top"/>
                </w:tcPr>
                <w:p w14:paraId="36C55B1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2"/>
                      <w:sz w:val="21"/>
                      <w:szCs w:val="21"/>
                      <w:vertAlign w:val="baseline"/>
                      <w:lang w:val="en-US" w:eastAsia="zh-CN" w:bidi="ar"/>
                    </w:rPr>
                  </w:pPr>
                  <w:r>
                    <w:rPr>
                      <w:rFonts w:hint="default" w:ascii="宋体" w:hAnsi="宋体" w:eastAsia="宋体" w:cs="宋体"/>
                      <w:b w:val="0"/>
                      <w:bCs w:val="0"/>
                      <w:color w:val="000000"/>
                      <w:kern w:val="2"/>
                      <w:sz w:val="21"/>
                      <w:szCs w:val="21"/>
                      <w:vertAlign w:val="baseline"/>
                      <w:lang w:val="en-US" w:eastAsia="zh-CN" w:bidi="ar"/>
                    </w:rPr>
                    <w:t>杭州华翔 、杭州纬电 、振航电气、罗伯特科技</w:t>
                  </w:r>
                  <w:r>
                    <w:rPr>
                      <w:rFonts w:hint="eastAsia" w:ascii="宋体" w:hAnsi="宋体" w:eastAsia="宋体" w:cs="宋体"/>
                      <w:b w:val="0"/>
                      <w:bCs w:val="0"/>
                      <w:color w:val="000000"/>
                      <w:kern w:val="2"/>
                      <w:sz w:val="21"/>
                      <w:szCs w:val="21"/>
                      <w:vertAlign w:val="baseline"/>
                      <w:lang w:val="en-US" w:eastAsia="zh-CN" w:bidi="ar"/>
                    </w:rPr>
                    <w:t>、圣特</w:t>
                  </w:r>
                  <w:r>
                    <w:rPr>
                      <w:rFonts w:hint="eastAsia" w:ascii="宋体" w:hAnsi="宋体" w:cs="宋体"/>
                      <w:b w:val="0"/>
                      <w:bCs w:val="0"/>
                      <w:color w:val="000000"/>
                      <w:kern w:val="2"/>
                      <w:sz w:val="21"/>
                      <w:szCs w:val="21"/>
                      <w:vertAlign w:val="baseline"/>
                      <w:lang w:val="en-US" w:eastAsia="zh-CN" w:bidi="ar"/>
                    </w:rPr>
                    <w:t>立</w:t>
                  </w:r>
                  <w:r>
                    <w:rPr>
                      <w:rFonts w:hint="eastAsia" w:ascii="宋体" w:hAnsi="宋体" w:eastAsia="宋体" w:cs="宋体"/>
                      <w:b w:val="0"/>
                      <w:bCs w:val="0"/>
                      <w:color w:val="000000"/>
                      <w:kern w:val="2"/>
                      <w:sz w:val="21"/>
                      <w:szCs w:val="21"/>
                      <w:vertAlign w:val="baseline"/>
                      <w:lang w:val="en-US" w:eastAsia="zh-CN" w:bidi="ar"/>
                    </w:rPr>
                    <w:t>、新力电力</w:t>
                  </w:r>
                  <w:r>
                    <w:rPr>
                      <w:rFonts w:hint="default" w:ascii="宋体" w:hAnsi="宋体" w:eastAsia="宋体" w:cs="宋体"/>
                      <w:b w:val="0"/>
                      <w:bCs w:val="0"/>
                      <w:color w:val="000000"/>
                      <w:kern w:val="2"/>
                      <w:sz w:val="21"/>
                      <w:szCs w:val="21"/>
                      <w:vertAlign w:val="baseline"/>
                      <w:lang w:val="en-US" w:eastAsia="zh-CN" w:bidi="ar"/>
                    </w:rPr>
                    <w:t>或相当于</w:t>
                  </w:r>
                </w:p>
              </w:tc>
            </w:tr>
          </w:tbl>
          <w:p w14:paraId="0A542CF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2"/>
                <w:sz w:val="21"/>
                <w:szCs w:val="21"/>
                <w:lang w:val="en-US" w:eastAsia="zh-CN" w:bidi="ar"/>
              </w:rPr>
            </w:pPr>
            <w:bookmarkStart w:id="0" w:name="_GoBack"/>
            <w:bookmarkEnd w:id="0"/>
          </w:p>
        </w:tc>
      </w:tr>
    </w:tbl>
    <w:p w14:paraId="3F303AC9">
      <w:pPr>
        <w:spacing w:line="240" w:lineRule="atLeast"/>
        <w:rPr>
          <w:rFonts w:hint="eastAsia" w:ascii="宋体" w:hAnsi="宋体"/>
          <w:szCs w:val="21"/>
        </w:rPr>
      </w:pPr>
    </w:p>
    <w:sectPr>
      <w:headerReference r:id="rId3" w:type="default"/>
      <w:footerReference r:id="rId4" w:type="default"/>
      <w:pgSz w:w="11906" w:h="16838"/>
      <w:pgMar w:top="851" w:right="851" w:bottom="85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CDA1">
    <w:pPr>
      <w:pStyle w:val="4"/>
      <w:spacing w:line="160" w:lineRule="exact"/>
      <w:ind w:right="3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0E82">
    <w:pPr>
      <w:pStyle w:val="5"/>
      <w:pBdr>
        <w:bottom w:val="none" w:color="auto" w:sz="0" w:space="0"/>
      </w:pBdr>
      <w:rPr>
        <w:rFonts w:hint="eastAsia"/>
        <w:sz w:val="36"/>
        <w:szCs w:val="36"/>
      </w:rPr>
    </w:pPr>
    <w:r>
      <w:rPr>
        <w:sz w:val="32"/>
        <w:szCs w:val="32"/>
      </w:rPr>
      <w:t xml:space="preserve"> </w:t>
    </w:r>
    <w:r>
      <w:rPr>
        <w:rFonts w:hint="eastAsia"/>
        <w:sz w:val="36"/>
        <w:szCs w:val="36"/>
        <w:lang w:val="en-US" w:eastAsia="zh-CN"/>
      </w:rPr>
      <w:t>工程量清单</w:t>
    </w:r>
    <w:r>
      <w:rPr>
        <w:rFonts w:hint="eastAsia"/>
        <w:sz w:val="36"/>
        <w:szCs w:val="36"/>
      </w:rPr>
      <w:t>说明</w:t>
    </w:r>
  </w:p>
  <w:p w14:paraId="22BD17C4">
    <w:pPr>
      <w:pStyle w:val="5"/>
      <w:pBdr>
        <w:bottom w:val="none" w:color="auto" w:sz="0" w:space="0"/>
      </w:pBdr>
      <w:rPr>
        <w:rFonts w:hint="eastAsia"/>
        <w:sz w:val="32"/>
        <w:szCs w:val="32"/>
      </w:rPr>
    </w:pPr>
  </w:p>
  <w:p w14:paraId="2E39ED05">
    <w:pPr>
      <w:pStyle w:val="5"/>
      <w:pBdr>
        <w:bottom w:val="none" w:color="auto" w:sz="0" w:space="0"/>
      </w:pBdr>
      <w:jc w:val="left"/>
      <w:rPr>
        <w:sz w:val="21"/>
        <w:szCs w:val="21"/>
      </w:rPr>
    </w:pPr>
    <w:r>
      <w:rPr>
        <w:rFonts w:hint="eastAsia" w:ascii="宋体" w:hAnsi="宋体"/>
        <w:kern w:val="0"/>
        <w:sz w:val="21"/>
        <w:szCs w:val="21"/>
      </w:rPr>
      <w:t>工程名称：</w:t>
    </w:r>
    <w:r>
      <w:rPr>
        <w:rFonts w:hint="eastAsia" w:ascii="宋体" w:hAnsi="宋体" w:eastAsia="宋体" w:cs="宋体"/>
        <w:sz w:val="21"/>
        <w:szCs w:val="21"/>
      </w:rPr>
      <w:t>浙江金融职业学院杭州校区中心机房UPS双路供电改造项目</w:t>
    </w:r>
    <w:r>
      <w:rPr>
        <w:rFonts w:hint="eastAsia" w:hAnsi="宋体"/>
        <w:sz w:val="22"/>
        <w:szCs w:val="22"/>
        <w:lang w:val="en-US" w:eastAsia="zh-CN"/>
      </w:rPr>
      <w:t xml:space="preserve">                  </w:t>
    </w:r>
    <w:r>
      <w:rPr>
        <w:rFonts w:hint="eastAsia"/>
        <w:sz w:val="22"/>
        <w:szCs w:val="22"/>
      </w:rPr>
      <w:t>第</w:t>
    </w:r>
    <w:r>
      <w:rPr>
        <w:sz w:val="22"/>
        <w:szCs w:val="22"/>
      </w:rPr>
      <w:fldChar w:fldCharType="begin"/>
    </w:r>
    <w:r>
      <w:rPr>
        <w:sz w:val="22"/>
        <w:szCs w:val="22"/>
      </w:rPr>
      <w:instrText xml:space="preserve"> PAGE   \* MERGEFORMAT </w:instrText>
    </w:r>
    <w:r>
      <w:rPr>
        <w:sz w:val="22"/>
        <w:szCs w:val="22"/>
      </w:rPr>
      <w:fldChar w:fldCharType="separate"/>
    </w:r>
    <w:r>
      <w:rPr>
        <w:sz w:val="22"/>
        <w:szCs w:val="22"/>
        <w:lang w:val="zh-CN"/>
      </w:rPr>
      <w:t>1</w:t>
    </w:r>
    <w:r>
      <w:rPr>
        <w:sz w:val="22"/>
        <w:szCs w:val="22"/>
      </w:rPr>
      <w:fldChar w:fldCharType="end"/>
    </w:r>
    <w:r>
      <w:rPr>
        <w:rFonts w:hint="eastAsia"/>
        <w:sz w:val="22"/>
        <w:szCs w:val="22"/>
      </w:rPr>
      <w:t>页共</w:t>
    </w:r>
    <w:r>
      <w:rPr>
        <w:rFonts w:hint="eastAsia"/>
        <w:sz w:val="22"/>
        <w:szCs w:val="22"/>
        <w:lang w:val="en-US" w:eastAsia="zh-CN"/>
      </w:rPr>
      <w:t>4</w:t>
    </w:r>
    <w:r>
      <w:rPr>
        <w:rFonts w:hint="eastAsia"/>
        <w:sz w:val="22"/>
        <w:szCs w:val="22"/>
      </w:rPr>
      <w:t>页</w:t>
    </w:r>
    <w:r>
      <w:rPr>
        <w:sz w:val="22"/>
        <w:szCs w:val="22"/>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87B6C"/>
    <w:multiLevelType w:val="singleLevel"/>
    <w:tmpl w:val="EC587B6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DUwMzFlNzlkYmFhYWNjMzFkYTEzOWZmMzk2MWYifQ=="/>
  </w:docVars>
  <w:rsids>
    <w:rsidRoot w:val="00172A27"/>
    <w:rsid w:val="00002356"/>
    <w:rsid w:val="00002597"/>
    <w:rsid w:val="0004792C"/>
    <w:rsid w:val="00056359"/>
    <w:rsid w:val="00063479"/>
    <w:rsid w:val="000654AE"/>
    <w:rsid w:val="0009052E"/>
    <w:rsid w:val="000F1926"/>
    <w:rsid w:val="00127390"/>
    <w:rsid w:val="00163159"/>
    <w:rsid w:val="001631A2"/>
    <w:rsid w:val="001633F9"/>
    <w:rsid w:val="00165DD2"/>
    <w:rsid w:val="002104D1"/>
    <w:rsid w:val="00213E38"/>
    <w:rsid w:val="002225E5"/>
    <w:rsid w:val="00223DDB"/>
    <w:rsid w:val="00223F39"/>
    <w:rsid w:val="00254BE9"/>
    <w:rsid w:val="00260F82"/>
    <w:rsid w:val="0026611B"/>
    <w:rsid w:val="00282446"/>
    <w:rsid w:val="00293D17"/>
    <w:rsid w:val="002B5879"/>
    <w:rsid w:val="00312169"/>
    <w:rsid w:val="00372F28"/>
    <w:rsid w:val="003955E7"/>
    <w:rsid w:val="003A04B2"/>
    <w:rsid w:val="003C1586"/>
    <w:rsid w:val="003E0923"/>
    <w:rsid w:val="003F0DF2"/>
    <w:rsid w:val="00414205"/>
    <w:rsid w:val="00430A9D"/>
    <w:rsid w:val="00432145"/>
    <w:rsid w:val="00442440"/>
    <w:rsid w:val="004B32E2"/>
    <w:rsid w:val="004B4F85"/>
    <w:rsid w:val="004C6BB3"/>
    <w:rsid w:val="004D564A"/>
    <w:rsid w:val="004D5B8B"/>
    <w:rsid w:val="004E5A16"/>
    <w:rsid w:val="004F66E5"/>
    <w:rsid w:val="00510CAD"/>
    <w:rsid w:val="00523C3C"/>
    <w:rsid w:val="00526ADD"/>
    <w:rsid w:val="00564B0C"/>
    <w:rsid w:val="00595A48"/>
    <w:rsid w:val="005A27A1"/>
    <w:rsid w:val="005B1F0B"/>
    <w:rsid w:val="005D33B1"/>
    <w:rsid w:val="005E1F23"/>
    <w:rsid w:val="005E1F31"/>
    <w:rsid w:val="005F2261"/>
    <w:rsid w:val="005F462C"/>
    <w:rsid w:val="00606D57"/>
    <w:rsid w:val="00622B90"/>
    <w:rsid w:val="0066795B"/>
    <w:rsid w:val="00684558"/>
    <w:rsid w:val="00694E7E"/>
    <w:rsid w:val="006C7C4C"/>
    <w:rsid w:val="006C7E66"/>
    <w:rsid w:val="006D12D2"/>
    <w:rsid w:val="006F5D08"/>
    <w:rsid w:val="006F7C96"/>
    <w:rsid w:val="007072AD"/>
    <w:rsid w:val="00711914"/>
    <w:rsid w:val="00732078"/>
    <w:rsid w:val="00747F58"/>
    <w:rsid w:val="00784291"/>
    <w:rsid w:val="00787ED7"/>
    <w:rsid w:val="007C11D5"/>
    <w:rsid w:val="007C5EBA"/>
    <w:rsid w:val="007D36EA"/>
    <w:rsid w:val="007E1C51"/>
    <w:rsid w:val="007E549D"/>
    <w:rsid w:val="00800C53"/>
    <w:rsid w:val="0080243A"/>
    <w:rsid w:val="00803229"/>
    <w:rsid w:val="00810345"/>
    <w:rsid w:val="0082172E"/>
    <w:rsid w:val="0083050D"/>
    <w:rsid w:val="00862677"/>
    <w:rsid w:val="00865B71"/>
    <w:rsid w:val="008B5212"/>
    <w:rsid w:val="008B590A"/>
    <w:rsid w:val="0092667C"/>
    <w:rsid w:val="00936159"/>
    <w:rsid w:val="00946637"/>
    <w:rsid w:val="009A5554"/>
    <w:rsid w:val="009B1A54"/>
    <w:rsid w:val="00A31592"/>
    <w:rsid w:val="00A82EBC"/>
    <w:rsid w:val="00A831EC"/>
    <w:rsid w:val="00A94F14"/>
    <w:rsid w:val="00A96A4B"/>
    <w:rsid w:val="00AB5629"/>
    <w:rsid w:val="00AC5720"/>
    <w:rsid w:val="00AE19C8"/>
    <w:rsid w:val="00AF5676"/>
    <w:rsid w:val="00AF5CC8"/>
    <w:rsid w:val="00B22854"/>
    <w:rsid w:val="00B56BF4"/>
    <w:rsid w:val="00B728E5"/>
    <w:rsid w:val="00B7575F"/>
    <w:rsid w:val="00BA4025"/>
    <w:rsid w:val="00BA4A39"/>
    <w:rsid w:val="00C03DA4"/>
    <w:rsid w:val="00C17004"/>
    <w:rsid w:val="00C4013E"/>
    <w:rsid w:val="00C506E7"/>
    <w:rsid w:val="00C54FBD"/>
    <w:rsid w:val="00C8268B"/>
    <w:rsid w:val="00C85697"/>
    <w:rsid w:val="00CB16B0"/>
    <w:rsid w:val="00CD35C5"/>
    <w:rsid w:val="00CE48D1"/>
    <w:rsid w:val="00CF2A46"/>
    <w:rsid w:val="00D25808"/>
    <w:rsid w:val="00D3035F"/>
    <w:rsid w:val="00D45791"/>
    <w:rsid w:val="00D71C74"/>
    <w:rsid w:val="00D74A31"/>
    <w:rsid w:val="00D8460E"/>
    <w:rsid w:val="00DD0962"/>
    <w:rsid w:val="00DF00F5"/>
    <w:rsid w:val="00DF6851"/>
    <w:rsid w:val="00E11572"/>
    <w:rsid w:val="00E15E64"/>
    <w:rsid w:val="00E24FFC"/>
    <w:rsid w:val="00E35CFF"/>
    <w:rsid w:val="00E5399A"/>
    <w:rsid w:val="00E74025"/>
    <w:rsid w:val="00E94AC8"/>
    <w:rsid w:val="00EA763A"/>
    <w:rsid w:val="00EF17CC"/>
    <w:rsid w:val="00F05477"/>
    <w:rsid w:val="00F12ACD"/>
    <w:rsid w:val="00F26912"/>
    <w:rsid w:val="00F664E2"/>
    <w:rsid w:val="00FF6627"/>
    <w:rsid w:val="01973B44"/>
    <w:rsid w:val="01D152A8"/>
    <w:rsid w:val="02316129"/>
    <w:rsid w:val="02502671"/>
    <w:rsid w:val="02661E94"/>
    <w:rsid w:val="02F019A0"/>
    <w:rsid w:val="031B45B0"/>
    <w:rsid w:val="03B34FA0"/>
    <w:rsid w:val="04DC4690"/>
    <w:rsid w:val="052A0005"/>
    <w:rsid w:val="053F69CD"/>
    <w:rsid w:val="05573452"/>
    <w:rsid w:val="066E1317"/>
    <w:rsid w:val="067240F2"/>
    <w:rsid w:val="06EE2448"/>
    <w:rsid w:val="071874D5"/>
    <w:rsid w:val="07B2792A"/>
    <w:rsid w:val="08226DE9"/>
    <w:rsid w:val="087846CF"/>
    <w:rsid w:val="087D5842"/>
    <w:rsid w:val="08A92ADB"/>
    <w:rsid w:val="095E1B17"/>
    <w:rsid w:val="09A3577C"/>
    <w:rsid w:val="09A80FE4"/>
    <w:rsid w:val="09C13E54"/>
    <w:rsid w:val="09CB4CD3"/>
    <w:rsid w:val="09F65312"/>
    <w:rsid w:val="0A6D20CC"/>
    <w:rsid w:val="0A964550"/>
    <w:rsid w:val="0AED4318"/>
    <w:rsid w:val="0AF41D38"/>
    <w:rsid w:val="0B5A78B0"/>
    <w:rsid w:val="0B7373D0"/>
    <w:rsid w:val="0B81776F"/>
    <w:rsid w:val="0BD75BB1"/>
    <w:rsid w:val="0C3C6C0B"/>
    <w:rsid w:val="0C5B6B83"/>
    <w:rsid w:val="0C5E1E2E"/>
    <w:rsid w:val="0C71390F"/>
    <w:rsid w:val="0C922E30"/>
    <w:rsid w:val="0CB50A66"/>
    <w:rsid w:val="0CFB767D"/>
    <w:rsid w:val="0D1A690B"/>
    <w:rsid w:val="0DA834CC"/>
    <w:rsid w:val="0DC30FA3"/>
    <w:rsid w:val="0DD71E42"/>
    <w:rsid w:val="0DDA66DA"/>
    <w:rsid w:val="0DF20A80"/>
    <w:rsid w:val="0E440BB0"/>
    <w:rsid w:val="0E6C0137"/>
    <w:rsid w:val="0EDB1514"/>
    <w:rsid w:val="0F605E2F"/>
    <w:rsid w:val="0FD55A41"/>
    <w:rsid w:val="109C7925"/>
    <w:rsid w:val="10E21848"/>
    <w:rsid w:val="11274EE5"/>
    <w:rsid w:val="115D26B4"/>
    <w:rsid w:val="123553DF"/>
    <w:rsid w:val="123A6D06"/>
    <w:rsid w:val="12B87441"/>
    <w:rsid w:val="12D93FBD"/>
    <w:rsid w:val="13596EAB"/>
    <w:rsid w:val="139E1CBE"/>
    <w:rsid w:val="13CE406D"/>
    <w:rsid w:val="13FB31A8"/>
    <w:rsid w:val="141D000D"/>
    <w:rsid w:val="14361874"/>
    <w:rsid w:val="14445DAD"/>
    <w:rsid w:val="14B7278A"/>
    <w:rsid w:val="15237771"/>
    <w:rsid w:val="152551DC"/>
    <w:rsid w:val="1542729C"/>
    <w:rsid w:val="15766E12"/>
    <w:rsid w:val="165F6ECF"/>
    <w:rsid w:val="16757268"/>
    <w:rsid w:val="16A70A65"/>
    <w:rsid w:val="173619DD"/>
    <w:rsid w:val="17F83B61"/>
    <w:rsid w:val="17FB7553"/>
    <w:rsid w:val="183171BE"/>
    <w:rsid w:val="190B2632"/>
    <w:rsid w:val="190F698A"/>
    <w:rsid w:val="19A75E26"/>
    <w:rsid w:val="19C75462"/>
    <w:rsid w:val="19C87006"/>
    <w:rsid w:val="19D71415"/>
    <w:rsid w:val="19DA3CF6"/>
    <w:rsid w:val="19F416DC"/>
    <w:rsid w:val="19FD4A34"/>
    <w:rsid w:val="1A2C0751"/>
    <w:rsid w:val="1A360B8D"/>
    <w:rsid w:val="1AB95B39"/>
    <w:rsid w:val="1B3C11CC"/>
    <w:rsid w:val="1C170ABA"/>
    <w:rsid w:val="1C492EFB"/>
    <w:rsid w:val="1C533032"/>
    <w:rsid w:val="1C7A05BE"/>
    <w:rsid w:val="1CD6589C"/>
    <w:rsid w:val="1D0667AD"/>
    <w:rsid w:val="1D1502E7"/>
    <w:rsid w:val="1D1C6951"/>
    <w:rsid w:val="1D243081"/>
    <w:rsid w:val="1D4E37F9"/>
    <w:rsid w:val="1D8160F6"/>
    <w:rsid w:val="1D8D4C80"/>
    <w:rsid w:val="1D8F3667"/>
    <w:rsid w:val="1D9A121F"/>
    <w:rsid w:val="1DE44B16"/>
    <w:rsid w:val="1E551952"/>
    <w:rsid w:val="1E6E4A7A"/>
    <w:rsid w:val="1ED6738B"/>
    <w:rsid w:val="1EFD6547"/>
    <w:rsid w:val="1F0707AE"/>
    <w:rsid w:val="1F15571C"/>
    <w:rsid w:val="1F784E52"/>
    <w:rsid w:val="1F7C3B12"/>
    <w:rsid w:val="1F9D516C"/>
    <w:rsid w:val="2027184D"/>
    <w:rsid w:val="202A6C10"/>
    <w:rsid w:val="20471A50"/>
    <w:rsid w:val="205E47E3"/>
    <w:rsid w:val="20633C30"/>
    <w:rsid w:val="209A1B8C"/>
    <w:rsid w:val="21AA77CB"/>
    <w:rsid w:val="220C7C73"/>
    <w:rsid w:val="225D693C"/>
    <w:rsid w:val="22D631CD"/>
    <w:rsid w:val="22F619EB"/>
    <w:rsid w:val="22FD3CF7"/>
    <w:rsid w:val="230B5A68"/>
    <w:rsid w:val="231117DA"/>
    <w:rsid w:val="236D2B57"/>
    <w:rsid w:val="243C2EAF"/>
    <w:rsid w:val="2445796F"/>
    <w:rsid w:val="24873E1F"/>
    <w:rsid w:val="24CD76F9"/>
    <w:rsid w:val="2505174B"/>
    <w:rsid w:val="261F21D6"/>
    <w:rsid w:val="263317DE"/>
    <w:rsid w:val="26700DBA"/>
    <w:rsid w:val="26C52237"/>
    <w:rsid w:val="26D07ABD"/>
    <w:rsid w:val="26DC11F6"/>
    <w:rsid w:val="27764078"/>
    <w:rsid w:val="27802801"/>
    <w:rsid w:val="27CE17BE"/>
    <w:rsid w:val="28096C9A"/>
    <w:rsid w:val="28723F9E"/>
    <w:rsid w:val="299F2467"/>
    <w:rsid w:val="29A22DDE"/>
    <w:rsid w:val="2A01361C"/>
    <w:rsid w:val="2A044563"/>
    <w:rsid w:val="2AB47391"/>
    <w:rsid w:val="2AE61515"/>
    <w:rsid w:val="2B3D4044"/>
    <w:rsid w:val="2B6A5CA2"/>
    <w:rsid w:val="2B6E31A2"/>
    <w:rsid w:val="2C155C0E"/>
    <w:rsid w:val="2C7170E0"/>
    <w:rsid w:val="2CB03B88"/>
    <w:rsid w:val="2CBE62A5"/>
    <w:rsid w:val="2CE455E0"/>
    <w:rsid w:val="2D055D4A"/>
    <w:rsid w:val="2D2D342B"/>
    <w:rsid w:val="2D8017AD"/>
    <w:rsid w:val="2DB82D4E"/>
    <w:rsid w:val="2DDE1E4E"/>
    <w:rsid w:val="2E025F6A"/>
    <w:rsid w:val="2E142328"/>
    <w:rsid w:val="2E523644"/>
    <w:rsid w:val="2E5E00F3"/>
    <w:rsid w:val="2F2A7C22"/>
    <w:rsid w:val="2F511653"/>
    <w:rsid w:val="2F5C6FB9"/>
    <w:rsid w:val="2F78636C"/>
    <w:rsid w:val="30525C9E"/>
    <w:rsid w:val="30671FF6"/>
    <w:rsid w:val="30F27E21"/>
    <w:rsid w:val="31440D43"/>
    <w:rsid w:val="314B20D2"/>
    <w:rsid w:val="31B71515"/>
    <w:rsid w:val="31D64091"/>
    <w:rsid w:val="323F6931"/>
    <w:rsid w:val="324316A1"/>
    <w:rsid w:val="328533C1"/>
    <w:rsid w:val="32DD2B12"/>
    <w:rsid w:val="33346B13"/>
    <w:rsid w:val="33745910"/>
    <w:rsid w:val="33912B7B"/>
    <w:rsid w:val="33B26438"/>
    <w:rsid w:val="33CF2B0E"/>
    <w:rsid w:val="33EE55C1"/>
    <w:rsid w:val="34811035"/>
    <w:rsid w:val="34E645EB"/>
    <w:rsid w:val="34F211E2"/>
    <w:rsid w:val="354303D6"/>
    <w:rsid w:val="35620E9A"/>
    <w:rsid w:val="35635C3C"/>
    <w:rsid w:val="361507CA"/>
    <w:rsid w:val="36227EE4"/>
    <w:rsid w:val="36511F38"/>
    <w:rsid w:val="36B85A54"/>
    <w:rsid w:val="36B94F4F"/>
    <w:rsid w:val="36DE7082"/>
    <w:rsid w:val="36FF33A1"/>
    <w:rsid w:val="37635EED"/>
    <w:rsid w:val="37867621"/>
    <w:rsid w:val="37A80BE0"/>
    <w:rsid w:val="37AB74C2"/>
    <w:rsid w:val="37CA3F49"/>
    <w:rsid w:val="37D746BF"/>
    <w:rsid w:val="38236F8B"/>
    <w:rsid w:val="383B4C4E"/>
    <w:rsid w:val="384404FF"/>
    <w:rsid w:val="384B2355"/>
    <w:rsid w:val="38DD3F57"/>
    <w:rsid w:val="39026556"/>
    <w:rsid w:val="391B682D"/>
    <w:rsid w:val="39BA12D3"/>
    <w:rsid w:val="3AFD61EB"/>
    <w:rsid w:val="3B512C60"/>
    <w:rsid w:val="3B81270E"/>
    <w:rsid w:val="3BC7289E"/>
    <w:rsid w:val="3BF9274A"/>
    <w:rsid w:val="3C6A592B"/>
    <w:rsid w:val="3C963314"/>
    <w:rsid w:val="3CBE25E9"/>
    <w:rsid w:val="3D4F16ED"/>
    <w:rsid w:val="3D566086"/>
    <w:rsid w:val="3D90570D"/>
    <w:rsid w:val="3DA4412F"/>
    <w:rsid w:val="3DD11BB1"/>
    <w:rsid w:val="3E340D54"/>
    <w:rsid w:val="3E530CCE"/>
    <w:rsid w:val="3E53401E"/>
    <w:rsid w:val="3F0264C5"/>
    <w:rsid w:val="3F0E6BE9"/>
    <w:rsid w:val="3F23643C"/>
    <w:rsid w:val="3F3315B2"/>
    <w:rsid w:val="3F36616F"/>
    <w:rsid w:val="3F6820A1"/>
    <w:rsid w:val="40277950"/>
    <w:rsid w:val="4077336D"/>
    <w:rsid w:val="40E73B9E"/>
    <w:rsid w:val="41147D91"/>
    <w:rsid w:val="414C3A28"/>
    <w:rsid w:val="41561829"/>
    <w:rsid w:val="416318D6"/>
    <w:rsid w:val="41BD4926"/>
    <w:rsid w:val="42930836"/>
    <w:rsid w:val="43104E14"/>
    <w:rsid w:val="436A4B2F"/>
    <w:rsid w:val="43715906"/>
    <w:rsid w:val="43851473"/>
    <w:rsid w:val="439D5CFD"/>
    <w:rsid w:val="43A6660D"/>
    <w:rsid w:val="43DC3B12"/>
    <w:rsid w:val="43EC62A1"/>
    <w:rsid w:val="441F7E1B"/>
    <w:rsid w:val="443F7245"/>
    <w:rsid w:val="454315E6"/>
    <w:rsid w:val="457C4F0E"/>
    <w:rsid w:val="457F464F"/>
    <w:rsid w:val="45E32481"/>
    <w:rsid w:val="45FD7302"/>
    <w:rsid w:val="460E0FE7"/>
    <w:rsid w:val="469919ED"/>
    <w:rsid w:val="469C3209"/>
    <w:rsid w:val="46D12C0C"/>
    <w:rsid w:val="46EE732F"/>
    <w:rsid w:val="471517AC"/>
    <w:rsid w:val="472B1D5E"/>
    <w:rsid w:val="475C79A2"/>
    <w:rsid w:val="476954BF"/>
    <w:rsid w:val="47A27105"/>
    <w:rsid w:val="48241969"/>
    <w:rsid w:val="48AB222D"/>
    <w:rsid w:val="48C0491D"/>
    <w:rsid w:val="48DD1F77"/>
    <w:rsid w:val="49357497"/>
    <w:rsid w:val="498B7619"/>
    <w:rsid w:val="49EC224C"/>
    <w:rsid w:val="4AA603A1"/>
    <w:rsid w:val="4B7672BA"/>
    <w:rsid w:val="4C304AE5"/>
    <w:rsid w:val="4C812213"/>
    <w:rsid w:val="4CBF4276"/>
    <w:rsid w:val="4CD873BC"/>
    <w:rsid w:val="4D1F3D1D"/>
    <w:rsid w:val="4D5C1497"/>
    <w:rsid w:val="4DE07BD1"/>
    <w:rsid w:val="4DF53699"/>
    <w:rsid w:val="4E2517F8"/>
    <w:rsid w:val="4E8931A3"/>
    <w:rsid w:val="4F373A05"/>
    <w:rsid w:val="4F3D590F"/>
    <w:rsid w:val="50411578"/>
    <w:rsid w:val="508825A3"/>
    <w:rsid w:val="5126542F"/>
    <w:rsid w:val="515A6B83"/>
    <w:rsid w:val="51D17CEE"/>
    <w:rsid w:val="51F872B4"/>
    <w:rsid w:val="522602C5"/>
    <w:rsid w:val="536F17F8"/>
    <w:rsid w:val="53A16DA2"/>
    <w:rsid w:val="547F7730"/>
    <w:rsid w:val="54AB2D04"/>
    <w:rsid w:val="556B70DC"/>
    <w:rsid w:val="557B0928"/>
    <w:rsid w:val="56170651"/>
    <w:rsid w:val="56320A1B"/>
    <w:rsid w:val="568327C2"/>
    <w:rsid w:val="568850AA"/>
    <w:rsid w:val="56AD02B6"/>
    <w:rsid w:val="56FC7846"/>
    <w:rsid w:val="576F7FE1"/>
    <w:rsid w:val="57904CF3"/>
    <w:rsid w:val="57E512A7"/>
    <w:rsid w:val="58262DCD"/>
    <w:rsid w:val="58450D79"/>
    <w:rsid w:val="59545718"/>
    <w:rsid w:val="59B12B6A"/>
    <w:rsid w:val="5AA7634B"/>
    <w:rsid w:val="5B7C2983"/>
    <w:rsid w:val="5B8E5344"/>
    <w:rsid w:val="5BC47A1C"/>
    <w:rsid w:val="5BE734BD"/>
    <w:rsid w:val="5C45759A"/>
    <w:rsid w:val="5C765684"/>
    <w:rsid w:val="5CAE3391"/>
    <w:rsid w:val="5CE46DB3"/>
    <w:rsid w:val="5CEE378D"/>
    <w:rsid w:val="5D1F41FC"/>
    <w:rsid w:val="5E24654F"/>
    <w:rsid w:val="5E441476"/>
    <w:rsid w:val="5E7F3237"/>
    <w:rsid w:val="5E9D190F"/>
    <w:rsid w:val="5F114FA7"/>
    <w:rsid w:val="5F171547"/>
    <w:rsid w:val="5F49119E"/>
    <w:rsid w:val="60025813"/>
    <w:rsid w:val="6026386E"/>
    <w:rsid w:val="60453C66"/>
    <w:rsid w:val="608758B8"/>
    <w:rsid w:val="60BC73CB"/>
    <w:rsid w:val="61310483"/>
    <w:rsid w:val="61357463"/>
    <w:rsid w:val="61894395"/>
    <w:rsid w:val="619239A0"/>
    <w:rsid w:val="623B56C7"/>
    <w:rsid w:val="62612D73"/>
    <w:rsid w:val="628A3F58"/>
    <w:rsid w:val="62DC4020"/>
    <w:rsid w:val="62F15D85"/>
    <w:rsid w:val="630B100E"/>
    <w:rsid w:val="637473B8"/>
    <w:rsid w:val="640A740C"/>
    <w:rsid w:val="643A375C"/>
    <w:rsid w:val="657471CB"/>
    <w:rsid w:val="658B4525"/>
    <w:rsid w:val="65BB14D1"/>
    <w:rsid w:val="65D23134"/>
    <w:rsid w:val="6615317C"/>
    <w:rsid w:val="66461DBB"/>
    <w:rsid w:val="665A00E6"/>
    <w:rsid w:val="665C0DB3"/>
    <w:rsid w:val="66601085"/>
    <w:rsid w:val="66871F4B"/>
    <w:rsid w:val="66AD290B"/>
    <w:rsid w:val="674221B8"/>
    <w:rsid w:val="6753700F"/>
    <w:rsid w:val="67697339"/>
    <w:rsid w:val="6777084D"/>
    <w:rsid w:val="68153E56"/>
    <w:rsid w:val="683D59DD"/>
    <w:rsid w:val="68856FF4"/>
    <w:rsid w:val="68C86EF5"/>
    <w:rsid w:val="693C249D"/>
    <w:rsid w:val="69D07D58"/>
    <w:rsid w:val="69D84B34"/>
    <w:rsid w:val="69DA57C5"/>
    <w:rsid w:val="69E71CAB"/>
    <w:rsid w:val="6A097E59"/>
    <w:rsid w:val="6A19339F"/>
    <w:rsid w:val="6A6361FE"/>
    <w:rsid w:val="6A832CF1"/>
    <w:rsid w:val="6AC86052"/>
    <w:rsid w:val="6B025362"/>
    <w:rsid w:val="6B282AA9"/>
    <w:rsid w:val="6B6655F9"/>
    <w:rsid w:val="6B930B32"/>
    <w:rsid w:val="6BC93D43"/>
    <w:rsid w:val="6C2B37FD"/>
    <w:rsid w:val="6C2B4084"/>
    <w:rsid w:val="6C2E4AF3"/>
    <w:rsid w:val="6C9F26B1"/>
    <w:rsid w:val="6CAD3358"/>
    <w:rsid w:val="6D9B170F"/>
    <w:rsid w:val="6DC5053A"/>
    <w:rsid w:val="6E970129"/>
    <w:rsid w:val="6EA27F90"/>
    <w:rsid w:val="6EC10845"/>
    <w:rsid w:val="6F1314B0"/>
    <w:rsid w:val="6F655ACF"/>
    <w:rsid w:val="6FC51F44"/>
    <w:rsid w:val="6FE3419F"/>
    <w:rsid w:val="708923AF"/>
    <w:rsid w:val="70FF1FB5"/>
    <w:rsid w:val="71085323"/>
    <w:rsid w:val="715351EA"/>
    <w:rsid w:val="71E66032"/>
    <w:rsid w:val="71F41601"/>
    <w:rsid w:val="72111FA0"/>
    <w:rsid w:val="725D6F93"/>
    <w:rsid w:val="72600832"/>
    <w:rsid w:val="72A823A9"/>
    <w:rsid w:val="73C82B32"/>
    <w:rsid w:val="740A0CEC"/>
    <w:rsid w:val="740A314B"/>
    <w:rsid w:val="742C2525"/>
    <w:rsid w:val="74BD0824"/>
    <w:rsid w:val="74EA68F9"/>
    <w:rsid w:val="752B18E0"/>
    <w:rsid w:val="755C3171"/>
    <w:rsid w:val="75607A04"/>
    <w:rsid w:val="766B3527"/>
    <w:rsid w:val="76B37ACA"/>
    <w:rsid w:val="76C43A85"/>
    <w:rsid w:val="777B4898"/>
    <w:rsid w:val="77CD6969"/>
    <w:rsid w:val="783B0AD1"/>
    <w:rsid w:val="7954139C"/>
    <w:rsid w:val="79EE773C"/>
    <w:rsid w:val="7A601D17"/>
    <w:rsid w:val="7A99620C"/>
    <w:rsid w:val="7AB80E65"/>
    <w:rsid w:val="7ABE2D6E"/>
    <w:rsid w:val="7AD24297"/>
    <w:rsid w:val="7B1228E5"/>
    <w:rsid w:val="7B7D317A"/>
    <w:rsid w:val="7B892BA7"/>
    <w:rsid w:val="7BC40083"/>
    <w:rsid w:val="7CC329A3"/>
    <w:rsid w:val="7D31799A"/>
    <w:rsid w:val="7D54113D"/>
    <w:rsid w:val="7D624391"/>
    <w:rsid w:val="7D8469FA"/>
    <w:rsid w:val="7D957F29"/>
    <w:rsid w:val="7DFA3680"/>
    <w:rsid w:val="7E0D3F64"/>
    <w:rsid w:val="7EEC2AC9"/>
    <w:rsid w:val="7EF533D8"/>
    <w:rsid w:val="7F6C3D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rPr>
      <w:rFonts w:ascii="Arial" w:hAnsi="Arial" w:eastAsia="Times New Roman" w:cs="Verdana"/>
      <w:b/>
      <w:kern w:val="0"/>
      <w:sz w:val="24"/>
      <w:lang w:eastAsia="en-US"/>
    </w:rPr>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rFonts w:eastAsia="仿宋_GB2312"/>
      <w:sz w:val="30"/>
      <w:szCs w:val="2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left" w:pos="0"/>
        <w:tab w:val="right" w:leader="dot" w:pos="8280"/>
      </w:tabs>
      <w:adjustRightInd w:val="0"/>
      <w:snapToGrid w:val="0"/>
      <w:spacing w:beforeLines="50" w:afterLines="5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annotation reference"/>
    <w:semiHidden/>
    <w:qFormat/>
    <w:uiPriority w:val="0"/>
    <w:rPr>
      <w:sz w:val="21"/>
      <w:szCs w:val="21"/>
    </w:rPr>
  </w:style>
  <w:style w:type="paragraph" w:customStyle="1" w:styleId="13">
    <w:name w:val=" Char Char Char Char"/>
    <w:basedOn w:val="1"/>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styleId="15">
    <w:name w:val="List Paragraph"/>
    <w:basedOn w:val="1"/>
    <w:qFormat/>
    <w:uiPriority w:val="34"/>
    <w:pPr>
      <w:ind w:firstLine="420" w:firstLineChars="200"/>
    </w:pPr>
  </w:style>
  <w:style w:type="paragraph" w:customStyle="1" w:styleId="16">
    <w:name w:val="样式3"/>
    <w:basedOn w:val="1"/>
    <w:qFormat/>
    <w:uiPriority w:val="0"/>
    <w:pPr>
      <w:spacing w:line="360" w:lineRule="auto"/>
      <w:ind w:firstLine="420" w:firstLineChars="200"/>
    </w:pPr>
    <w:rPr>
      <w:rFonts w:asci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3154</Words>
  <Characters>3312</Characters>
  <Lines>10</Lines>
  <Paragraphs>2</Paragraphs>
  <TotalTime>1</TotalTime>
  <ScaleCrop>false</ScaleCrop>
  <LinksUpToDate>false</LinksUpToDate>
  <CharactersWithSpaces>3340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2020-11-03T06:29:00Z</dcterms:created>
  <dc:creator>a</dc:creator>
  <cp:lastModifiedBy>瞅瞅那只喵</cp:lastModifiedBy>
  <cp:lastPrinted>2024-01-09T05:41:00Z</cp:lastPrinted>
  <dcterms:modified xsi:type="dcterms:W3CDTF">2026-06-17T09:56:23Z</dcterms:modified>
  <dc:title>工程量清单编制说明</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B38C6071BD9D4AABB85CB1C9A9FE2F58_13</vt:lpwstr>
  </property>
  <property fmtid="{D5CDD505-2E9C-101B-9397-08002B2CF9AE}" pid="4" name="KSOTemplateDocerSaveRecord">
    <vt:lpwstr>eyJoZGlkIjoiNmMyOTBlZTkyODY2ZGM0YTZkMjIzNzMwMDJhZjllNTkiLCJ1c2VySWQiOiIxMTUxODczMzA2In0=</vt:lpwstr>
  </property>
</Properties>
</file>