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FF07D">
      <w:pPr>
        <w:spacing w:line="360" w:lineRule="auto"/>
        <w:jc w:val="center"/>
        <w:rPr>
          <w:rFonts w:ascii="宋体" w:hAnsi="宋体" w:cs="宋体"/>
          <w:b/>
          <w:sz w:val="24"/>
        </w:rPr>
      </w:pPr>
    </w:p>
    <w:p w14:paraId="05B096EA">
      <w:pPr>
        <w:spacing w:line="360" w:lineRule="auto"/>
        <w:jc w:val="center"/>
        <w:rPr>
          <w:rFonts w:ascii="宋体" w:hAnsi="宋体" w:cs="宋体"/>
          <w:b/>
          <w:sz w:val="24"/>
        </w:rPr>
      </w:pPr>
    </w:p>
    <w:p w14:paraId="24A0C027">
      <w:pPr>
        <w:adjustRightInd/>
        <w:spacing w:line="360" w:lineRule="auto"/>
        <w:jc w:val="center"/>
        <w:rPr>
          <w:rFonts w:ascii="宋体" w:hAnsi="宋体" w:cs="宋体"/>
          <w:b/>
          <w:sz w:val="44"/>
          <w:szCs w:val="44"/>
        </w:rPr>
      </w:pPr>
    </w:p>
    <w:p w14:paraId="145397A9">
      <w:pPr>
        <w:spacing w:line="360" w:lineRule="auto"/>
        <w:jc w:val="center"/>
        <w:rPr>
          <w:rFonts w:ascii="宋体" w:hAnsi="宋体" w:cs="宋体"/>
          <w:b/>
          <w:sz w:val="44"/>
          <w:szCs w:val="44"/>
        </w:rPr>
      </w:pPr>
    </w:p>
    <w:p w14:paraId="52915DFA">
      <w:pPr>
        <w:adjustRightInd/>
        <w:spacing w:line="360" w:lineRule="auto"/>
        <w:jc w:val="center"/>
        <w:rPr>
          <w:rFonts w:ascii="宋体" w:hAnsi="宋体" w:cs="宋体"/>
          <w:b/>
          <w:sz w:val="48"/>
          <w:szCs w:val="48"/>
        </w:rPr>
      </w:pPr>
    </w:p>
    <w:p w14:paraId="0D4D3C50">
      <w:pPr>
        <w:adjustRightInd/>
        <w:spacing w:line="360" w:lineRule="auto"/>
        <w:jc w:val="center"/>
        <w:rPr>
          <w:rFonts w:ascii="宋体" w:hAnsi="宋体" w:cs="宋体"/>
          <w:sz w:val="44"/>
          <w:szCs w:val="44"/>
        </w:rPr>
      </w:pPr>
      <w:r>
        <w:rPr>
          <w:rFonts w:hint="eastAsia" w:ascii="宋体" w:hAnsi="宋体" w:cs="宋体"/>
          <w:sz w:val="44"/>
          <w:szCs w:val="44"/>
        </w:rPr>
        <w:t>杭州职业技术大学</w:t>
      </w:r>
    </w:p>
    <w:p w14:paraId="3A5DEA89">
      <w:pPr>
        <w:adjustRightInd/>
        <w:spacing w:line="360" w:lineRule="auto"/>
        <w:jc w:val="center"/>
        <w:rPr>
          <w:rFonts w:ascii="宋体" w:hAnsi="宋体" w:cs="宋体"/>
          <w:sz w:val="48"/>
          <w:szCs w:val="48"/>
        </w:rPr>
      </w:pPr>
      <w:r>
        <w:rPr>
          <w:rFonts w:hint="eastAsia" w:ascii="宋体" w:hAnsi="宋体" w:cs="宋体"/>
          <w:sz w:val="44"/>
          <w:szCs w:val="44"/>
          <w:lang w:val="en-US" w:eastAsia="zh-CN"/>
        </w:rPr>
        <w:t>新安江</w:t>
      </w:r>
      <w:r>
        <w:rPr>
          <w:rFonts w:hint="eastAsia" w:ascii="宋体" w:hAnsi="宋体" w:cs="宋体"/>
          <w:sz w:val="44"/>
          <w:szCs w:val="44"/>
        </w:rPr>
        <w:t>校区</w:t>
      </w:r>
      <w:r>
        <w:rPr>
          <w:rFonts w:hint="eastAsia" w:ascii="宋体" w:hAnsi="宋体" w:cs="宋体"/>
          <w:sz w:val="44"/>
          <w:szCs w:val="44"/>
          <w:lang w:val="en-US" w:eastAsia="zh-CN"/>
        </w:rPr>
        <w:t>通用</w:t>
      </w:r>
      <w:r>
        <w:rPr>
          <w:rFonts w:hint="eastAsia" w:ascii="宋体" w:hAnsi="宋体" w:cs="宋体"/>
          <w:sz w:val="44"/>
          <w:szCs w:val="44"/>
        </w:rPr>
        <w:t>机房建设项目</w:t>
      </w:r>
    </w:p>
    <w:p w14:paraId="3D9D37FF">
      <w:pPr>
        <w:adjustRightInd/>
        <w:spacing w:line="360" w:lineRule="auto"/>
        <w:jc w:val="center"/>
        <w:rPr>
          <w:rFonts w:ascii="宋体" w:hAnsi="宋体" w:cs="宋体"/>
          <w:sz w:val="48"/>
          <w:szCs w:val="48"/>
        </w:rPr>
      </w:pPr>
      <w:r>
        <w:rPr>
          <w:rFonts w:hint="eastAsia" w:ascii="宋体" w:hAnsi="宋体" w:cs="宋体"/>
          <w:sz w:val="48"/>
          <w:szCs w:val="48"/>
        </w:rPr>
        <w:t xml:space="preserve">招标文件 </w:t>
      </w:r>
    </w:p>
    <w:p w14:paraId="055416E8">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14:paraId="22D7098F">
      <w:pPr>
        <w:snapToGrid w:val="0"/>
        <w:spacing w:line="360" w:lineRule="auto"/>
        <w:jc w:val="center"/>
        <w:rPr>
          <w:rFonts w:ascii="宋体" w:hAnsi="宋体" w:cs="宋体"/>
          <w:sz w:val="30"/>
          <w:szCs w:val="30"/>
        </w:rPr>
      </w:pPr>
      <w:r>
        <w:rPr>
          <w:rFonts w:hint="eastAsia" w:ascii="宋体" w:hAnsi="宋体" w:cs="宋体"/>
          <w:sz w:val="30"/>
          <w:szCs w:val="30"/>
        </w:rPr>
        <w:t>编号:HZZFCG-2026-074</w:t>
      </w:r>
    </w:p>
    <w:p w14:paraId="5558BE9F">
      <w:pPr>
        <w:adjustRightInd/>
        <w:spacing w:line="360" w:lineRule="auto"/>
        <w:rPr>
          <w:rFonts w:ascii="宋体" w:hAnsi="宋体" w:cs="宋体"/>
          <w:sz w:val="28"/>
          <w:szCs w:val="20"/>
        </w:rPr>
      </w:pPr>
    </w:p>
    <w:p w14:paraId="758DD02F">
      <w:pPr>
        <w:spacing w:line="360" w:lineRule="auto"/>
        <w:jc w:val="center"/>
        <w:rPr>
          <w:rFonts w:ascii="宋体" w:hAnsi="宋体" w:cs="宋体"/>
          <w:b/>
          <w:sz w:val="44"/>
          <w:szCs w:val="44"/>
        </w:rPr>
      </w:pPr>
      <w:r>
        <w:rPr>
          <w:rFonts w:hint="eastAsia" w:ascii="宋体" w:hAnsi="宋体" w:cs="宋体"/>
          <w:b/>
          <w:sz w:val="44"/>
          <w:szCs w:val="44"/>
        </w:rPr>
        <w:t xml:space="preserve"> </w:t>
      </w:r>
    </w:p>
    <w:p w14:paraId="212CEF15">
      <w:pPr>
        <w:spacing w:line="360" w:lineRule="auto"/>
        <w:jc w:val="center"/>
        <w:rPr>
          <w:rFonts w:ascii="宋体" w:hAnsi="宋体" w:cs="宋体"/>
          <w:b/>
          <w:sz w:val="44"/>
          <w:szCs w:val="44"/>
        </w:rPr>
      </w:pPr>
    </w:p>
    <w:p w14:paraId="1C7AE78F">
      <w:pPr>
        <w:spacing w:line="360" w:lineRule="auto"/>
        <w:jc w:val="center"/>
        <w:rPr>
          <w:rFonts w:ascii="宋体" w:hAnsi="宋体" w:cs="宋体"/>
          <w:sz w:val="24"/>
        </w:rPr>
      </w:pPr>
    </w:p>
    <w:p w14:paraId="16C5680D">
      <w:pPr>
        <w:spacing w:line="360" w:lineRule="auto"/>
        <w:jc w:val="center"/>
        <w:rPr>
          <w:rFonts w:ascii="宋体" w:hAnsi="宋体" w:cs="宋体"/>
          <w:sz w:val="24"/>
        </w:rPr>
      </w:pPr>
    </w:p>
    <w:p w14:paraId="554F27AF">
      <w:pPr>
        <w:spacing w:line="360" w:lineRule="auto"/>
        <w:rPr>
          <w:rFonts w:ascii="宋体" w:hAnsi="宋体" w:cs="宋体"/>
          <w:sz w:val="32"/>
          <w:szCs w:val="32"/>
        </w:rPr>
      </w:pPr>
    </w:p>
    <w:p w14:paraId="4451256D">
      <w:pPr>
        <w:snapToGrid w:val="0"/>
        <w:spacing w:line="360" w:lineRule="auto"/>
        <w:jc w:val="center"/>
        <w:rPr>
          <w:rFonts w:ascii="宋体" w:hAnsi="宋体" w:cs="宋体"/>
          <w:sz w:val="32"/>
          <w:szCs w:val="32"/>
        </w:rPr>
      </w:pPr>
      <w:r>
        <w:rPr>
          <w:rFonts w:hint="eastAsia" w:ascii="宋体" w:hAnsi="宋体" w:cs="宋体"/>
          <w:sz w:val="32"/>
          <w:szCs w:val="32"/>
        </w:rPr>
        <w:t>杭州职业技术大学</w:t>
      </w:r>
    </w:p>
    <w:p w14:paraId="0A548F27">
      <w:pPr>
        <w:spacing w:line="360" w:lineRule="auto"/>
        <w:jc w:val="center"/>
        <w:rPr>
          <w:rFonts w:ascii="宋体" w:hAnsi="宋体" w:cs="宋体"/>
          <w:bCs/>
          <w:sz w:val="32"/>
          <w:szCs w:val="32"/>
        </w:rPr>
      </w:pPr>
      <w:r>
        <w:rPr>
          <w:rFonts w:hint="eastAsia" w:ascii="宋体" w:hAnsi="宋体" w:cs="宋体"/>
          <w:bCs/>
          <w:sz w:val="32"/>
          <w:szCs w:val="32"/>
        </w:rPr>
        <w:t>杭州市公共资源交易中心</w:t>
      </w:r>
    </w:p>
    <w:p w14:paraId="38D0C957">
      <w:pPr>
        <w:snapToGrid w:val="0"/>
        <w:spacing w:line="360" w:lineRule="auto"/>
        <w:jc w:val="center"/>
        <w:rPr>
          <w:rFonts w:ascii="宋体" w:hAnsi="宋体" w:cs="宋体"/>
          <w:bCs/>
          <w:sz w:val="32"/>
          <w:szCs w:val="32"/>
        </w:rPr>
      </w:pPr>
      <w:r>
        <w:rPr>
          <w:rFonts w:hint="eastAsia" w:ascii="宋体" w:hAnsi="宋体" w:cs="宋体"/>
          <w:bCs/>
          <w:sz w:val="32"/>
          <w:szCs w:val="32"/>
        </w:rPr>
        <w:t>二〇二六年五月</w:t>
      </w:r>
      <w:r>
        <w:rPr>
          <w:rFonts w:hint="eastAsia" w:ascii="宋体" w:hAnsi="宋体" w:cs="宋体"/>
          <w:bCs/>
          <w:sz w:val="32"/>
          <w:szCs w:val="32"/>
          <w:lang w:eastAsia="zh-CN"/>
        </w:rPr>
        <w:t>二十六</w:t>
      </w:r>
      <w:r>
        <w:rPr>
          <w:rFonts w:hint="eastAsia" w:ascii="宋体" w:hAnsi="宋体" w:cs="宋体"/>
          <w:bCs/>
          <w:sz w:val="32"/>
          <w:szCs w:val="32"/>
        </w:rPr>
        <w:t>日</w:t>
      </w:r>
    </w:p>
    <w:p w14:paraId="683666D8">
      <w:pPr>
        <w:spacing w:line="360" w:lineRule="auto"/>
        <w:jc w:val="center"/>
        <w:rPr>
          <w:rFonts w:ascii="宋体" w:hAnsi="宋体" w:cs="宋体"/>
          <w:sz w:val="24"/>
        </w:rPr>
      </w:pPr>
      <w:r>
        <w:rPr>
          <w:rFonts w:hint="eastAsia" w:ascii="宋体" w:hAnsi="宋体" w:cs="宋体"/>
          <w:sz w:val="24"/>
        </w:rPr>
        <w:br w:type="page"/>
      </w:r>
      <w:bookmarkStart w:id="0" w:name="_Hlt67893495"/>
      <w:bookmarkEnd w:id="0"/>
    </w:p>
    <w:p w14:paraId="41169EC3">
      <w:pPr>
        <w:spacing w:line="360" w:lineRule="auto"/>
        <w:jc w:val="center"/>
        <w:rPr>
          <w:rFonts w:ascii="宋体" w:hAnsi="宋体" w:cs="宋体"/>
          <w:sz w:val="24"/>
        </w:rPr>
      </w:pPr>
    </w:p>
    <w:p w14:paraId="61B5E671">
      <w:pPr>
        <w:spacing w:line="360" w:lineRule="auto"/>
        <w:jc w:val="center"/>
        <w:rPr>
          <w:rFonts w:ascii="宋体" w:hAnsi="宋体" w:cs="宋体"/>
          <w:b/>
          <w:sz w:val="48"/>
          <w:szCs w:val="48"/>
        </w:rPr>
      </w:pPr>
      <w:r>
        <w:rPr>
          <w:rFonts w:hint="eastAsia" w:ascii="宋体" w:hAnsi="宋体" w:cs="宋体"/>
          <w:b/>
          <w:sz w:val="48"/>
          <w:szCs w:val="48"/>
        </w:rPr>
        <w:t>目  录</w:t>
      </w:r>
    </w:p>
    <w:p w14:paraId="0D87CAB0">
      <w:pPr>
        <w:spacing w:line="360" w:lineRule="auto"/>
        <w:rPr>
          <w:rFonts w:ascii="宋体" w:hAnsi="宋体" w:cs="宋体"/>
          <w:sz w:val="32"/>
          <w:szCs w:val="32"/>
        </w:rPr>
      </w:pPr>
    </w:p>
    <w:p w14:paraId="6FDDD2D2">
      <w:pPr>
        <w:spacing w:line="360" w:lineRule="auto"/>
        <w:rPr>
          <w:rFonts w:ascii="宋体" w:hAnsi="宋体" w:cs="宋体"/>
          <w:sz w:val="32"/>
          <w:szCs w:val="32"/>
        </w:rPr>
      </w:pPr>
    </w:p>
    <w:p w14:paraId="22581749">
      <w:pPr>
        <w:spacing w:line="360" w:lineRule="auto"/>
        <w:ind w:firstLine="1280" w:firstLineChars="400"/>
        <w:rPr>
          <w:rFonts w:ascii="宋体" w:hAnsi="宋体" w:cs="宋体"/>
          <w:sz w:val="32"/>
          <w:szCs w:val="32"/>
        </w:rPr>
      </w:pPr>
      <w:r>
        <w:rPr>
          <w:rFonts w:hint="eastAsia" w:ascii="宋体" w:hAnsi="宋体" w:cs="宋体"/>
          <w:sz w:val="32"/>
          <w:szCs w:val="32"/>
        </w:rPr>
        <w:t>第一部分      招标公告</w:t>
      </w:r>
    </w:p>
    <w:p w14:paraId="4991634E">
      <w:pPr>
        <w:spacing w:line="360" w:lineRule="auto"/>
        <w:ind w:firstLine="1280" w:firstLineChars="400"/>
        <w:rPr>
          <w:rFonts w:ascii="宋体" w:hAnsi="宋体" w:cs="宋体"/>
          <w:sz w:val="32"/>
          <w:szCs w:val="32"/>
        </w:rPr>
      </w:pPr>
      <w:r>
        <w:rPr>
          <w:rFonts w:hint="eastAsia" w:ascii="宋体" w:hAnsi="宋体" w:cs="宋体"/>
          <w:sz w:val="32"/>
          <w:szCs w:val="32"/>
        </w:rPr>
        <w:t>第二部分      投标人须知</w:t>
      </w:r>
    </w:p>
    <w:p w14:paraId="40D549F7">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14:paraId="1595C934">
      <w:pPr>
        <w:spacing w:line="360" w:lineRule="auto"/>
        <w:ind w:firstLine="1280" w:firstLineChars="400"/>
        <w:rPr>
          <w:rFonts w:ascii="宋体" w:hAnsi="宋体" w:cs="宋体"/>
          <w:sz w:val="32"/>
          <w:szCs w:val="32"/>
        </w:rPr>
      </w:pPr>
      <w:r>
        <w:rPr>
          <w:rFonts w:hint="eastAsia" w:ascii="宋体" w:hAnsi="宋体" w:cs="宋体"/>
          <w:sz w:val="32"/>
          <w:szCs w:val="32"/>
        </w:rPr>
        <w:t>第四部分      评标办法</w:t>
      </w:r>
    </w:p>
    <w:p w14:paraId="51AEE57D">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14:paraId="18A9B69B">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14:paraId="4E4B7C0B">
      <w:pPr>
        <w:spacing w:line="360" w:lineRule="auto"/>
        <w:ind w:firstLine="549" w:firstLineChars="229"/>
        <w:rPr>
          <w:rFonts w:ascii="宋体" w:hAnsi="宋体" w:cs="宋体"/>
          <w:sz w:val="24"/>
        </w:rPr>
      </w:pPr>
      <w:bookmarkStart w:id="1" w:name="_Hlt91233176"/>
      <w:bookmarkEnd w:id="1"/>
      <w:bookmarkStart w:id="2" w:name="_Toc91899869"/>
    </w:p>
    <w:p w14:paraId="4826A57D">
      <w:pPr>
        <w:spacing w:line="360" w:lineRule="auto"/>
        <w:ind w:firstLine="549" w:firstLineChars="229"/>
        <w:rPr>
          <w:rFonts w:ascii="宋体" w:hAnsi="宋体" w:cs="宋体"/>
          <w:sz w:val="24"/>
        </w:rPr>
      </w:pPr>
    </w:p>
    <w:p w14:paraId="47F5050F">
      <w:pPr>
        <w:spacing w:line="360" w:lineRule="auto"/>
        <w:ind w:firstLine="549" w:firstLineChars="229"/>
        <w:rPr>
          <w:rFonts w:ascii="宋体" w:hAnsi="宋体" w:cs="宋体"/>
          <w:sz w:val="24"/>
        </w:rPr>
      </w:pPr>
    </w:p>
    <w:p w14:paraId="6D369275">
      <w:pPr>
        <w:spacing w:line="360" w:lineRule="auto"/>
        <w:ind w:firstLine="549" w:firstLineChars="229"/>
        <w:rPr>
          <w:rFonts w:ascii="宋体" w:hAnsi="宋体" w:cs="宋体"/>
          <w:sz w:val="24"/>
        </w:rPr>
      </w:pPr>
    </w:p>
    <w:p w14:paraId="257DB123">
      <w:pPr>
        <w:spacing w:line="360" w:lineRule="auto"/>
        <w:ind w:firstLine="549" w:firstLineChars="229"/>
        <w:rPr>
          <w:rFonts w:ascii="宋体" w:hAnsi="宋体" w:cs="宋体"/>
          <w:sz w:val="24"/>
        </w:rPr>
      </w:pPr>
    </w:p>
    <w:p w14:paraId="4FC50E61">
      <w:pPr>
        <w:spacing w:line="360" w:lineRule="auto"/>
        <w:ind w:firstLine="549" w:firstLineChars="229"/>
        <w:rPr>
          <w:rFonts w:ascii="宋体" w:hAnsi="宋体" w:cs="宋体"/>
          <w:sz w:val="24"/>
        </w:rPr>
      </w:pPr>
    </w:p>
    <w:p w14:paraId="7A63A6AA">
      <w:pPr>
        <w:spacing w:line="360" w:lineRule="auto"/>
        <w:ind w:firstLine="549" w:firstLineChars="229"/>
        <w:rPr>
          <w:rFonts w:ascii="宋体" w:hAnsi="宋体" w:cs="宋体"/>
          <w:sz w:val="24"/>
        </w:rPr>
      </w:pPr>
    </w:p>
    <w:p w14:paraId="3E2A3346">
      <w:pPr>
        <w:spacing w:line="360" w:lineRule="auto"/>
        <w:ind w:firstLine="549" w:firstLineChars="229"/>
        <w:rPr>
          <w:rFonts w:ascii="宋体" w:hAnsi="宋体" w:cs="宋体"/>
          <w:sz w:val="24"/>
        </w:rPr>
      </w:pPr>
    </w:p>
    <w:p w14:paraId="0EE1257C">
      <w:pPr>
        <w:spacing w:line="360" w:lineRule="auto"/>
        <w:ind w:firstLine="549" w:firstLineChars="229"/>
        <w:rPr>
          <w:rFonts w:ascii="宋体" w:hAnsi="宋体" w:cs="宋体"/>
          <w:sz w:val="24"/>
        </w:rPr>
      </w:pPr>
    </w:p>
    <w:p w14:paraId="35F9692F">
      <w:pPr>
        <w:spacing w:line="360" w:lineRule="auto"/>
        <w:ind w:firstLine="549" w:firstLineChars="229"/>
        <w:rPr>
          <w:rFonts w:ascii="宋体" w:hAnsi="宋体" w:cs="宋体"/>
          <w:sz w:val="24"/>
        </w:rPr>
      </w:pPr>
    </w:p>
    <w:p w14:paraId="782D557C">
      <w:pPr>
        <w:spacing w:line="360" w:lineRule="auto"/>
        <w:ind w:firstLine="549" w:firstLineChars="229"/>
        <w:rPr>
          <w:rFonts w:ascii="宋体" w:hAnsi="宋体" w:cs="宋体"/>
          <w:sz w:val="24"/>
        </w:rPr>
      </w:pPr>
    </w:p>
    <w:p w14:paraId="6D7B73EF">
      <w:pPr>
        <w:spacing w:line="360" w:lineRule="auto"/>
        <w:ind w:firstLine="549" w:firstLineChars="229"/>
        <w:rPr>
          <w:rFonts w:ascii="宋体" w:hAnsi="宋体" w:cs="宋体"/>
          <w:sz w:val="24"/>
        </w:rPr>
      </w:pPr>
    </w:p>
    <w:p w14:paraId="3DC29EDE">
      <w:pPr>
        <w:spacing w:line="360" w:lineRule="auto"/>
        <w:ind w:firstLine="549" w:firstLineChars="229"/>
        <w:rPr>
          <w:rFonts w:ascii="宋体" w:hAnsi="宋体" w:cs="宋体"/>
          <w:sz w:val="24"/>
        </w:rPr>
      </w:pPr>
    </w:p>
    <w:p w14:paraId="307C99F5">
      <w:pPr>
        <w:spacing w:line="360" w:lineRule="auto"/>
        <w:rPr>
          <w:rFonts w:ascii="宋体" w:hAnsi="宋体" w:cs="宋体"/>
          <w:sz w:val="24"/>
        </w:rPr>
      </w:pPr>
    </w:p>
    <w:p w14:paraId="489887F7">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729822"/>
      <w:bookmarkEnd w:id="4"/>
      <w:bookmarkStart w:id="5" w:name="_Hlt74728647"/>
      <w:bookmarkEnd w:id="5"/>
      <w:bookmarkStart w:id="6" w:name="_Hlt74649545"/>
      <w:bookmarkEnd w:id="6"/>
      <w:bookmarkStart w:id="7" w:name="_Hlt74707423"/>
      <w:bookmarkEnd w:id="7"/>
      <w:bookmarkStart w:id="8" w:name="第二部分"/>
      <w:bookmarkStart w:id="9" w:name="_Toc91899870"/>
      <w:bookmarkStart w:id="10" w:name="_Toc91899871"/>
      <w:r>
        <w:rPr>
          <w:rFonts w:hint="eastAsia" w:ascii="宋体" w:hAnsi="宋体" w:cs="宋体"/>
          <w:b/>
          <w:sz w:val="36"/>
          <w:szCs w:val="20"/>
        </w:rPr>
        <w:t>第一部分 招标公告</w:t>
      </w:r>
    </w:p>
    <w:p w14:paraId="74AE52D8">
      <w:pPr>
        <w:pBdr>
          <w:top w:val="single" w:color="auto" w:sz="4" w:space="1"/>
          <w:left w:val="single" w:color="auto" w:sz="4" w:space="4"/>
          <w:bottom w:val="single" w:color="auto" w:sz="4" w:space="2"/>
          <w:right w:val="single" w:color="auto" w:sz="4" w:space="4"/>
        </w:pBdr>
        <w:spacing w:line="360" w:lineRule="auto"/>
        <w:ind w:firstLine="480" w:firstLineChars="200"/>
        <w:rPr>
          <w:rFonts w:ascii="宋体" w:hAnsi="宋体" w:eastAsia="宋体"/>
          <w:sz w:val="24"/>
        </w:rPr>
      </w:pPr>
      <w:r>
        <w:rPr>
          <w:rFonts w:hint="eastAsia" w:ascii="宋体" w:hAnsi="宋体" w:eastAsia="宋体"/>
          <w:sz w:val="24"/>
        </w:rPr>
        <w:t>项目概况</w:t>
      </w:r>
    </w:p>
    <w:p w14:paraId="3DFF8D77">
      <w:pPr>
        <w:pBdr>
          <w:top w:val="single" w:color="auto" w:sz="4" w:space="1"/>
          <w:left w:val="single" w:color="auto" w:sz="4" w:space="4"/>
          <w:bottom w:val="single" w:color="auto" w:sz="4" w:space="2"/>
          <w:right w:val="single" w:color="auto" w:sz="4" w:space="4"/>
        </w:pBdr>
        <w:spacing w:line="360" w:lineRule="auto"/>
        <w:ind w:firstLine="480" w:firstLineChars="200"/>
        <w:rPr>
          <w:rFonts w:ascii="宋体" w:hAnsi="宋体" w:eastAsia="宋体"/>
          <w:sz w:val="24"/>
          <w:u w:val="single"/>
        </w:rPr>
      </w:pPr>
      <w:r>
        <w:rPr>
          <w:rFonts w:hint="eastAsia" w:ascii="宋体" w:hAnsi="宋体" w:eastAsia="宋体" w:cs="仿宋_GB2312"/>
          <w:sz w:val="24"/>
          <w:u w:val="single"/>
        </w:rPr>
        <w:t>杭州职业技术大学</w:t>
      </w:r>
      <w:r>
        <w:rPr>
          <w:rFonts w:hint="eastAsia" w:ascii="宋体" w:hAnsi="宋体" w:eastAsia="宋体" w:cs="仿宋_GB2312"/>
          <w:sz w:val="24"/>
          <w:u w:val="single"/>
          <w:lang w:val="en-US" w:eastAsia="zh-CN"/>
        </w:rPr>
        <w:t>新安江校区通用机房</w:t>
      </w:r>
      <w:r>
        <w:rPr>
          <w:rFonts w:hint="eastAsia" w:ascii="宋体" w:hAnsi="宋体" w:eastAsia="宋体" w:cs="仿宋_GB2312"/>
          <w:sz w:val="24"/>
          <w:u w:val="single"/>
        </w:rPr>
        <w:t>建设项目</w:t>
      </w:r>
      <w:r>
        <w:rPr>
          <w:rFonts w:hint="eastAsia" w:ascii="宋体" w:hAnsi="宋体" w:eastAsia="宋体"/>
          <w:sz w:val="24"/>
        </w:rPr>
        <w:t>招标项目的潜在投标人应在政采云平台（</w:t>
      </w:r>
      <w:r>
        <w:fldChar w:fldCharType="begin"/>
      </w:r>
      <w:r>
        <w:instrText xml:space="preserve"> HYPERLINK "https://www.zcygov.cn/）获取（下载）招标文件，并于2026年5月" </w:instrText>
      </w:r>
      <w:r>
        <w:fldChar w:fldCharType="separate"/>
      </w:r>
      <w:r>
        <w:rPr>
          <w:rStyle w:val="77"/>
          <w:rFonts w:ascii="宋体" w:hAnsi="宋体" w:eastAsia="宋体" w:cs="Times New Roman"/>
          <w:snapToGrid/>
          <w:kern w:val="2"/>
          <w:sz w:val="24"/>
          <w:szCs w:val="24"/>
        </w:rPr>
        <w:t>https://www.zcygov.cn/）获取（下载）招标文件，并于</w:t>
      </w:r>
      <w:r>
        <w:rPr>
          <w:rStyle w:val="77"/>
          <w:rFonts w:hint="eastAsia" w:ascii="宋体" w:hAnsi="宋体" w:eastAsia="宋体" w:cs="仿宋_GB2312"/>
          <w:snapToGrid/>
          <w:kern w:val="2"/>
          <w:sz w:val="24"/>
          <w:szCs w:val="24"/>
          <w:u w:val="single"/>
        </w:rPr>
        <w:t>2026</w:t>
      </w:r>
      <w:r>
        <w:rPr>
          <w:rStyle w:val="77"/>
          <w:rFonts w:ascii="宋体" w:hAnsi="宋体" w:eastAsia="宋体" w:cs="仿宋_GB2312"/>
          <w:snapToGrid/>
          <w:kern w:val="2"/>
          <w:sz w:val="24"/>
          <w:szCs w:val="24"/>
          <w:u w:val="single"/>
        </w:rPr>
        <w:t>年</w:t>
      </w:r>
      <w:r>
        <w:rPr>
          <w:rStyle w:val="77"/>
          <w:rFonts w:hint="eastAsia" w:ascii="宋体" w:hAnsi="宋体" w:cs="仿宋_GB2312"/>
          <w:snapToGrid/>
          <w:kern w:val="2"/>
          <w:sz w:val="24"/>
          <w:szCs w:val="24"/>
          <w:u w:val="single"/>
          <w:lang w:val="en-US" w:eastAsia="zh-CN"/>
        </w:rPr>
        <w:t>6</w:t>
      </w:r>
      <w:r>
        <w:rPr>
          <w:rStyle w:val="77"/>
          <w:rFonts w:hint="eastAsia" w:ascii="宋体" w:hAnsi="宋体" w:eastAsia="宋体" w:cs="仿宋_GB2312"/>
          <w:snapToGrid/>
          <w:kern w:val="2"/>
          <w:sz w:val="24"/>
          <w:szCs w:val="24"/>
          <w:u w:val="single"/>
        </w:rPr>
        <w:t>月</w:t>
      </w:r>
      <w:r>
        <w:rPr>
          <w:rStyle w:val="77"/>
          <w:rFonts w:hint="eastAsia" w:ascii="宋体" w:hAnsi="宋体" w:eastAsia="宋体" w:cs="仿宋_GB2312"/>
          <w:snapToGrid/>
          <w:kern w:val="2"/>
          <w:sz w:val="24"/>
          <w:szCs w:val="24"/>
        </w:rPr>
        <w:fldChar w:fldCharType="end"/>
      </w:r>
      <w:r>
        <w:rPr>
          <w:rStyle w:val="77"/>
          <w:rFonts w:hint="eastAsia" w:ascii="宋体" w:hAnsi="宋体" w:cs="仿宋_GB2312"/>
          <w:snapToGrid/>
          <w:kern w:val="2"/>
          <w:sz w:val="24"/>
          <w:szCs w:val="24"/>
          <w:u w:val="single"/>
          <w:lang w:val="en-US" w:eastAsia="zh-CN"/>
        </w:rPr>
        <w:t>16</w:t>
      </w:r>
      <w:r>
        <w:rPr>
          <w:rFonts w:hint="eastAsia" w:ascii="宋体" w:hAnsi="宋体" w:eastAsia="宋体" w:cs="仿宋_GB2312"/>
          <w:sz w:val="24"/>
          <w:u w:val="single"/>
        </w:rPr>
        <w:t>日10点</w:t>
      </w:r>
      <w:r>
        <w:rPr>
          <w:rFonts w:hint="eastAsia" w:ascii="宋体" w:hAnsi="宋体" w:cs="仿宋_GB2312"/>
          <w:sz w:val="24"/>
          <w:u w:val="single"/>
          <w:lang w:val="en-US" w:eastAsia="zh-CN"/>
        </w:rPr>
        <w:t>3</w:t>
      </w:r>
      <w:r>
        <w:rPr>
          <w:rFonts w:hint="eastAsia" w:ascii="宋体" w:hAnsi="宋体" w:eastAsia="宋体" w:cs="仿宋_GB2312"/>
          <w:sz w:val="24"/>
          <w:u w:val="single"/>
        </w:rPr>
        <w:t>0分00秒</w:t>
      </w:r>
      <w:r>
        <w:rPr>
          <w:rFonts w:hint="eastAsia" w:ascii="宋体" w:hAnsi="宋体" w:eastAsia="宋体"/>
          <w:bCs/>
          <w:sz w:val="24"/>
        </w:rPr>
        <w:t>（北京时间）前</w:t>
      </w:r>
      <w:r>
        <w:rPr>
          <w:rFonts w:hint="eastAsia" w:ascii="宋体" w:hAnsi="宋体" w:eastAsia="宋体"/>
          <w:sz w:val="24"/>
        </w:rPr>
        <w:t>递交（上传）投标文件。</w:t>
      </w:r>
    </w:p>
    <w:p w14:paraId="2E6CF59A">
      <w:pPr>
        <w:spacing w:line="360" w:lineRule="auto"/>
        <w:rPr>
          <w:rFonts w:ascii="宋体" w:hAnsi="宋体" w:cs="宋体"/>
          <w:b/>
          <w:color w:val="auto"/>
          <w:sz w:val="24"/>
        </w:rPr>
      </w:pPr>
      <w:r>
        <w:rPr>
          <w:rFonts w:hint="eastAsia" w:ascii="宋体" w:hAnsi="宋体" w:cs="宋体"/>
          <w:b/>
          <w:color w:val="auto"/>
          <w:sz w:val="24"/>
        </w:rPr>
        <w:t xml:space="preserve">一、项目基本情况                                            </w:t>
      </w:r>
    </w:p>
    <w:p w14:paraId="26A57B9E">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项目编号：</w:t>
      </w:r>
      <w:r>
        <w:rPr>
          <w:rFonts w:hint="eastAsia" w:ascii="宋体" w:hAnsi="宋体" w:cs="宋体"/>
          <w:color w:val="auto"/>
          <w:sz w:val="24"/>
        </w:rPr>
        <w:t>HZZFCG-2026-074</w:t>
      </w:r>
    </w:p>
    <w:p w14:paraId="3AFF2CBB">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项目名称：</w:t>
      </w:r>
      <w:r>
        <w:rPr>
          <w:rFonts w:hint="eastAsia" w:ascii="宋体" w:hAnsi="宋体" w:cs="宋体"/>
          <w:color w:val="auto"/>
          <w:sz w:val="24"/>
        </w:rPr>
        <w:t>杭州职业技术大学</w:t>
      </w:r>
      <w:r>
        <w:rPr>
          <w:rFonts w:hint="eastAsia" w:ascii="宋体" w:hAnsi="宋体" w:cs="宋体"/>
          <w:color w:val="auto"/>
          <w:sz w:val="24"/>
          <w:lang w:val="en-US" w:eastAsia="zh-CN"/>
        </w:rPr>
        <w:t>新安江校区通用机房</w:t>
      </w:r>
      <w:r>
        <w:rPr>
          <w:rFonts w:hint="eastAsia" w:ascii="宋体" w:hAnsi="宋体" w:cs="宋体"/>
          <w:color w:val="auto"/>
          <w:sz w:val="24"/>
        </w:rPr>
        <w:t>建设项目</w:t>
      </w:r>
    </w:p>
    <w:p w14:paraId="62379A48">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预算金额（元）：</w:t>
      </w:r>
      <w:r>
        <w:rPr>
          <w:rFonts w:hint="eastAsia" w:ascii="宋体" w:hAnsi="宋体" w:cs="宋体"/>
          <w:bCs/>
          <w:color w:val="auto"/>
          <w:sz w:val="22"/>
          <w:szCs w:val="22"/>
        </w:rPr>
        <w:t>7925000</w:t>
      </w:r>
      <w:r>
        <w:rPr>
          <w:rFonts w:hint="eastAsia" w:ascii="宋体" w:hAnsi="宋体" w:cs="宋体"/>
          <w:color w:val="auto"/>
          <w:sz w:val="24"/>
        </w:rPr>
        <w:t xml:space="preserve"> </w:t>
      </w:r>
    </w:p>
    <w:p w14:paraId="2E33D031">
      <w:pPr>
        <w:spacing w:line="360" w:lineRule="auto"/>
        <w:ind w:firstLine="480"/>
        <w:rPr>
          <w:rFonts w:ascii="宋体" w:hAnsi="宋体" w:cs="宋体"/>
          <w:color w:val="auto"/>
          <w:sz w:val="24"/>
        </w:rPr>
      </w:pPr>
      <w:r>
        <w:rPr>
          <w:rFonts w:hint="eastAsia" w:ascii="宋体" w:hAnsi="宋体" w:cs="宋体"/>
          <w:b/>
          <w:color w:val="auto"/>
          <w:sz w:val="24"/>
        </w:rPr>
        <w:t>最高限价（元）：</w:t>
      </w:r>
      <w:r>
        <w:rPr>
          <w:rFonts w:hint="eastAsia" w:ascii="宋体" w:hAnsi="宋体" w:cs="宋体"/>
          <w:bCs/>
          <w:color w:val="auto"/>
          <w:sz w:val="22"/>
          <w:szCs w:val="22"/>
          <w:lang w:val="en-US" w:eastAsia="zh-CN"/>
        </w:rPr>
        <w:t>7593800</w:t>
      </w:r>
      <w:r>
        <w:rPr>
          <w:rFonts w:hint="eastAsia" w:ascii="宋体" w:hAnsi="宋体" w:cs="宋体"/>
          <w:color w:val="auto"/>
          <w:sz w:val="24"/>
        </w:rPr>
        <w:t xml:space="preserve"> </w:t>
      </w:r>
    </w:p>
    <w:p w14:paraId="671D440E">
      <w:pPr>
        <w:pStyle w:val="5"/>
        <w:spacing w:line="360" w:lineRule="auto"/>
        <w:ind w:firstLine="482"/>
        <w:rPr>
          <w:rFonts w:hAnsi="宋体" w:cs="宋体"/>
          <w:bCs/>
          <w:snapToGrid/>
          <w:color w:val="auto"/>
          <w:kern w:val="2"/>
          <w:sz w:val="24"/>
          <w:szCs w:val="24"/>
        </w:rPr>
      </w:pPr>
      <w:r>
        <w:rPr>
          <w:rFonts w:hint="eastAsia" w:hAnsi="宋体" w:cs="宋体"/>
          <w:b/>
          <w:color w:val="auto"/>
          <w:sz w:val="24"/>
        </w:rPr>
        <w:t>采购需求：</w:t>
      </w:r>
      <w:r>
        <w:rPr>
          <w:rFonts w:hint="eastAsia" w:hAnsi="宋体" w:cs="宋体"/>
          <w:bCs/>
          <w:snapToGrid/>
          <w:color w:val="auto"/>
          <w:kern w:val="2"/>
          <w:sz w:val="24"/>
          <w:szCs w:val="24"/>
        </w:rPr>
        <w:t>杭州职业技术大学</w:t>
      </w:r>
      <w:r>
        <w:rPr>
          <w:rFonts w:hint="eastAsia" w:hAnsi="宋体" w:cs="宋体"/>
          <w:bCs/>
          <w:snapToGrid/>
          <w:color w:val="auto"/>
          <w:kern w:val="2"/>
          <w:sz w:val="24"/>
          <w:szCs w:val="24"/>
          <w:u w:val="none"/>
          <w:lang w:val="en-US" w:eastAsia="zh-CN"/>
        </w:rPr>
        <w:t>新</w:t>
      </w:r>
      <w:r>
        <w:rPr>
          <w:rFonts w:hint="eastAsia" w:hAnsi="宋体" w:cs="宋体"/>
          <w:bCs/>
          <w:snapToGrid/>
          <w:color w:val="auto"/>
          <w:kern w:val="2"/>
          <w:sz w:val="24"/>
          <w:szCs w:val="24"/>
        </w:rPr>
        <w:t>校区机房建设项目主要内容：</w:t>
      </w:r>
      <w:r>
        <w:rPr>
          <w:rFonts w:hint="eastAsia"/>
          <w:color w:val="auto"/>
          <w:sz w:val="24"/>
          <w:szCs w:val="24"/>
        </w:rPr>
        <w:t>教学用台式计算机1、教学用台式计算机2、教学用笔记本电脑、移动图形工作站、服务器、交换机、实训桌1、实训桌2、教师椅、实训椅、智慧物联设备、耳麦、实训室布线、移动隔板等硬件设备及其服务要求</w:t>
      </w:r>
      <w:r>
        <w:rPr>
          <w:rFonts w:hint="eastAsia" w:ascii="宋体" w:hAnsi="宋体" w:eastAsia="宋体" w:cs="宋体"/>
          <w:color w:val="auto"/>
          <w:sz w:val="24"/>
          <w:szCs w:val="24"/>
        </w:rPr>
        <w:t>。</w:t>
      </w:r>
      <w:r>
        <w:rPr>
          <w:rFonts w:hint="eastAsia" w:ascii="宋体" w:hAnsi="宋体" w:eastAsia="宋体"/>
          <w:snapToGrid/>
          <w:color w:val="auto"/>
          <w:kern w:val="2"/>
          <w:sz w:val="24"/>
          <w:szCs w:val="24"/>
        </w:rPr>
        <w:t>具体以招标文件第三部分采购需求为准。</w:t>
      </w:r>
      <w:bookmarkStart w:id="428" w:name="_GoBack"/>
      <w:bookmarkEnd w:id="428"/>
    </w:p>
    <w:p w14:paraId="32C735A7">
      <w:pPr>
        <w:pStyle w:val="143"/>
        <w:ind w:firstLine="482"/>
        <w:outlineLvl w:val="2"/>
        <w:rPr>
          <w:rFonts w:ascii="宋体" w:hAnsi="宋体" w:cs="宋体"/>
          <w:color w:val="auto"/>
        </w:rPr>
      </w:pPr>
      <w:r>
        <w:rPr>
          <w:rFonts w:hint="eastAsia" w:ascii="宋体" w:hAnsi="宋体" w:cs="宋体"/>
          <w:b/>
          <w:color w:val="auto"/>
        </w:rPr>
        <w:t>合同履约期限：</w:t>
      </w:r>
      <w:r>
        <w:rPr>
          <w:rFonts w:hint="eastAsia" w:ascii="宋体" w:hAnsi="宋体" w:cs="宋体"/>
          <w:color w:val="auto"/>
          <w:kern w:val="0"/>
          <w:szCs w:val="24"/>
        </w:rPr>
        <w:t>合同签订且接到甲方进场指令后45天内完成交付及安装调试</w:t>
      </w:r>
      <w:r>
        <w:rPr>
          <w:rFonts w:hint="eastAsia" w:ascii="宋体" w:hAnsi="宋体" w:cs="宋体"/>
          <w:color w:val="auto"/>
          <w:kern w:val="0"/>
          <w:szCs w:val="24"/>
          <w:lang w:eastAsia="zh-CN"/>
        </w:rPr>
        <w:t>，</w:t>
      </w:r>
      <w:r>
        <w:rPr>
          <w:rFonts w:hint="eastAsia" w:ascii="宋体" w:hAnsi="宋体" w:cs="宋体"/>
          <w:color w:val="auto"/>
          <w:kern w:val="0"/>
          <w:szCs w:val="24"/>
          <w:lang w:val="en-US" w:eastAsia="zh-CN"/>
        </w:rPr>
        <w:t>如果由于采购人工程进度原因延期，则工期顺延</w:t>
      </w:r>
      <w:r>
        <w:rPr>
          <w:rFonts w:hint="eastAsia" w:ascii="宋体" w:hAnsi="宋体" w:cs="宋体"/>
          <w:color w:val="auto"/>
          <w:kern w:val="0"/>
          <w:szCs w:val="24"/>
        </w:rPr>
        <w:t>。</w:t>
      </w:r>
    </w:p>
    <w:p w14:paraId="3A26F9FC">
      <w:pPr>
        <w:pStyle w:val="5"/>
        <w:spacing w:line="360" w:lineRule="auto"/>
        <w:ind w:firstLine="480"/>
        <w:rPr>
          <w:rFonts w:hAnsi="宋体" w:cs="宋体"/>
          <w:color w:val="auto"/>
          <w:kern w:val="0"/>
          <w:sz w:val="24"/>
        </w:rPr>
      </w:pPr>
      <w:r>
        <w:rPr>
          <w:rFonts w:hint="eastAsia" w:hAnsi="宋体" w:cs="宋体"/>
          <w:b/>
          <w:color w:val="auto"/>
          <w:sz w:val="24"/>
        </w:rPr>
        <w:t>本项目接受联合体投标：</w:t>
      </w:r>
      <w:r>
        <w:rPr>
          <w:rFonts w:hint="eastAsia" w:hAnsi="宋体" w:cs="宋体"/>
          <w:color w:val="auto"/>
          <w:kern w:val="0"/>
          <w:sz w:val="24"/>
        </w:rPr>
        <w:sym w:font="Wingdings" w:char="F0FE"/>
      </w:r>
      <w:r>
        <w:rPr>
          <w:rFonts w:hint="eastAsia" w:hAnsi="宋体" w:cs="宋体"/>
          <w:b/>
          <w:color w:val="auto"/>
          <w:sz w:val="24"/>
        </w:rPr>
        <w:t>是</w:t>
      </w:r>
      <w:r>
        <w:rPr>
          <w:rFonts w:hint="eastAsia" w:hAnsi="宋体" w:cs="宋体"/>
          <w:b/>
          <w:snapToGrid/>
          <w:color w:val="auto"/>
          <w:kern w:val="2"/>
          <w:sz w:val="24"/>
        </w:rPr>
        <w:t>；</w:t>
      </w:r>
      <w:r>
        <w:rPr>
          <w:rFonts w:hint="eastAsia" w:hAnsi="宋体" w:cs="宋体"/>
          <w:color w:val="auto"/>
          <w:kern w:val="0"/>
          <w:sz w:val="24"/>
        </w:rPr>
        <w:t>☐</w:t>
      </w:r>
      <w:r>
        <w:rPr>
          <w:rFonts w:hint="eastAsia" w:hAnsi="宋体" w:cs="宋体"/>
          <w:b/>
          <w:color w:val="auto"/>
          <w:sz w:val="24"/>
        </w:rPr>
        <w:t>否</w:t>
      </w:r>
      <w:r>
        <w:rPr>
          <w:rFonts w:hint="eastAsia" w:hAnsi="宋体" w:cs="宋体"/>
          <w:color w:val="auto"/>
          <w:kern w:val="0"/>
          <w:sz w:val="24"/>
        </w:rPr>
        <w:t>。</w:t>
      </w:r>
    </w:p>
    <w:p w14:paraId="1055E543">
      <w:pPr>
        <w:spacing w:line="360" w:lineRule="auto"/>
        <w:rPr>
          <w:rFonts w:ascii="宋体" w:hAnsi="宋体" w:cs="宋体"/>
          <w:b/>
          <w:color w:val="auto"/>
          <w:sz w:val="24"/>
        </w:rPr>
      </w:pPr>
      <w:r>
        <w:rPr>
          <w:rFonts w:hint="eastAsia" w:ascii="宋体" w:hAnsi="宋体" w:cs="宋体"/>
          <w:b/>
          <w:color w:val="auto"/>
          <w:sz w:val="24"/>
        </w:rPr>
        <w:t>二、</w:t>
      </w:r>
      <w:bookmarkStart w:id="11" w:name="_Hlk101132948"/>
      <w:r>
        <w:rPr>
          <w:rFonts w:hint="eastAsia" w:ascii="宋体" w:hAnsi="宋体" w:cs="宋体"/>
          <w:b/>
          <w:color w:val="auto"/>
          <w:sz w:val="24"/>
        </w:rPr>
        <w:t>申请人的资格要求</w:t>
      </w:r>
      <w:bookmarkEnd w:id="11"/>
      <w:r>
        <w:rPr>
          <w:rFonts w:hint="eastAsia" w:ascii="宋体" w:hAnsi="宋体" w:cs="宋体"/>
          <w:b/>
          <w:color w:val="auto"/>
          <w:sz w:val="24"/>
        </w:rPr>
        <w:t>：</w:t>
      </w:r>
    </w:p>
    <w:p w14:paraId="6E67CB6D">
      <w:pPr>
        <w:spacing w:line="360" w:lineRule="auto"/>
        <w:ind w:firstLine="480"/>
        <w:rPr>
          <w:rFonts w:ascii="宋体" w:hAnsi="宋体" w:cs="宋体"/>
          <w:snapToGrid w:val="0"/>
          <w:color w:val="auto"/>
          <w:kern w:val="28"/>
          <w:sz w:val="24"/>
          <w:szCs w:val="20"/>
        </w:rPr>
      </w:pPr>
      <w:r>
        <w:rPr>
          <w:rFonts w:hint="eastAsia" w:ascii="宋体" w:hAnsi="宋体" w:cs="宋体"/>
          <w:snapToGrid w:val="0"/>
          <w:color w:val="auto"/>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210BF9E5">
      <w:pPr>
        <w:spacing w:line="360" w:lineRule="auto"/>
        <w:rPr>
          <w:rFonts w:ascii="宋体" w:hAnsi="宋体" w:cs="宋体"/>
          <w:snapToGrid w:val="0"/>
          <w:color w:val="auto"/>
          <w:kern w:val="28"/>
          <w:sz w:val="24"/>
          <w:szCs w:val="20"/>
        </w:rPr>
      </w:pPr>
      <w:r>
        <w:rPr>
          <w:rFonts w:hint="eastAsia" w:ascii="宋体" w:hAnsi="宋体" w:cs="宋体"/>
          <w:snapToGrid w:val="0"/>
          <w:color w:val="auto"/>
          <w:kern w:val="28"/>
          <w:sz w:val="24"/>
          <w:szCs w:val="20"/>
        </w:rPr>
        <w:t xml:space="preserve">    </w:t>
      </w:r>
      <w:r>
        <w:rPr>
          <w:rFonts w:ascii="宋体" w:hAnsi="宋体" w:cs="宋体"/>
          <w:snapToGrid w:val="0"/>
          <w:color w:val="auto"/>
          <w:kern w:val="28"/>
          <w:sz w:val="24"/>
          <w:szCs w:val="20"/>
        </w:rPr>
        <w:t>2</w:t>
      </w:r>
      <w:r>
        <w:rPr>
          <w:rFonts w:hint="eastAsia" w:ascii="宋体" w:hAnsi="宋体" w:cs="宋体"/>
          <w:snapToGrid w:val="0"/>
          <w:color w:val="auto"/>
          <w:kern w:val="28"/>
          <w:sz w:val="24"/>
          <w:szCs w:val="20"/>
        </w:rPr>
        <w:t>.</w:t>
      </w:r>
      <w:r>
        <w:rPr>
          <w:rFonts w:hint="eastAsia"/>
          <w:color w:val="auto"/>
        </w:rPr>
        <w:t xml:space="preserve"> </w:t>
      </w:r>
      <w:r>
        <w:rPr>
          <w:rFonts w:hint="eastAsia" w:ascii="宋体" w:hAnsi="宋体" w:cs="宋体"/>
          <w:snapToGrid w:val="0"/>
          <w:color w:val="auto"/>
          <w:kern w:val="28"/>
          <w:sz w:val="24"/>
          <w:szCs w:val="20"/>
        </w:rPr>
        <w:t>以联合体形式投标的，提供联合协议(本项目不接受联合体投标或者投标人不以联合体形式投标的，则不需要提供) ；</w:t>
      </w:r>
    </w:p>
    <w:p w14:paraId="5CDA509B">
      <w:pPr>
        <w:spacing w:line="360" w:lineRule="auto"/>
        <w:ind w:firstLine="480" w:firstLineChars="200"/>
        <w:rPr>
          <w:rFonts w:ascii="宋体" w:hAnsi="宋体" w:cs="宋体"/>
          <w:snapToGrid w:val="0"/>
          <w:color w:val="auto"/>
          <w:kern w:val="28"/>
          <w:sz w:val="24"/>
          <w:szCs w:val="20"/>
        </w:rPr>
      </w:pPr>
      <w:r>
        <w:rPr>
          <w:rFonts w:ascii="宋体" w:hAnsi="宋体" w:cs="宋体"/>
          <w:snapToGrid w:val="0"/>
          <w:color w:val="auto"/>
          <w:kern w:val="28"/>
          <w:sz w:val="24"/>
          <w:szCs w:val="20"/>
        </w:rPr>
        <w:t>3</w:t>
      </w:r>
      <w:r>
        <w:rPr>
          <w:rFonts w:hint="eastAsia" w:ascii="宋体" w:hAnsi="宋体" w:cs="宋体"/>
          <w:snapToGrid w:val="0"/>
          <w:color w:val="auto"/>
          <w:kern w:val="28"/>
          <w:sz w:val="24"/>
          <w:szCs w:val="20"/>
        </w:rPr>
        <w:t>.落实政府采购政策需满足的资格要求：</w:t>
      </w:r>
    </w:p>
    <w:p w14:paraId="1BABE830">
      <w:pPr>
        <w:spacing w:line="360" w:lineRule="auto"/>
        <w:ind w:firstLine="480" w:firstLineChars="200"/>
        <w:rPr>
          <w:rFonts w:ascii="宋体" w:hAnsi="宋体" w:cs="宋体"/>
          <w:color w:val="auto"/>
          <w:sz w:val="24"/>
        </w:rPr>
      </w:pPr>
      <w:r>
        <w:rPr>
          <w:rFonts w:ascii="Wingdings" w:hAnsi="Wingdings" w:eastAsia="MS Gothic" w:cs="宋体"/>
          <w:color w:val="auto"/>
          <w:kern w:val="0"/>
          <w:sz w:val="24"/>
        </w:rPr>
        <w:t></w:t>
      </w:r>
      <w:r>
        <w:rPr>
          <w:rFonts w:hint="eastAsia" w:ascii="宋体" w:hAnsi="宋体" w:cs="宋体"/>
          <w:color w:val="auto"/>
          <w:sz w:val="24"/>
        </w:rPr>
        <w:t>无</w:t>
      </w:r>
      <w:r>
        <w:rPr>
          <w:rFonts w:hint="eastAsia" w:ascii="宋体" w:hAnsi="宋体" w:cs="宋体"/>
          <w:snapToGrid w:val="0"/>
          <w:color w:val="auto"/>
          <w:kern w:val="28"/>
          <w:sz w:val="24"/>
          <w:szCs w:val="20"/>
        </w:rPr>
        <w:t>（注：不得限制大中型企业与小微企业组成联合体参与投标）</w:t>
      </w:r>
      <w:r>
        <w:rPr>
          <w:rFonts w:hint="eastAsia" w:ascii="宋体" w:hAnsi="宋体" w:cs="宋体"/>
          <w:color w:val="auto"/>
          <w:sz w:val="24"/>
        </w:rPr>
        <w:t>；</w:t>
      </w:r>
    </w:p>
    <w:p w14:paraId="74D4EC11">
      <w:pPr>
        <w:spacing w:line="360" w:lineRule="auto"/>
        <w:ind w:firstLine="480" w:firstLineChars="200"/>
        <w:rPr>
          <w:rFonts w:ascii="宋体" w:hAnsi="宋体" w:cs="宋体"/>
          <w:color w:val="auto"/>
          <w:sz w:val="24"/>
        </w:rPr>
      </w:pPr>
      <w:r>
        <w:rPr>
          <w:rFonts w:hint="eastAsia" w:ascii="MS Gothic" w:hAnsi="MS Gothic" w:eastAsia="MS Gothic" w:cs="宋体"/>
          <w:color w:val="auto"/>
          <w:kern w:val="0"/>
          <w:sz w:val="24"/>
        </w:rPr>
        <w:t>☐</w:t>
      </w:r>
      <w:r>
        <w:rPr>
          <w:rFonts w:hint="eastAsia" w:ascii="宋体" w:hAnsi="宋体" w:cs="宋体"/>
          <w:color w:val="auto"/>
          <w:kern w:val="0"/>
          <w:sz w:val="24"/>
        </w:rPr>
        <w:t>专</w:t>
      </w:r>
      <w:r>
        <w:rPr>
          <w:rFonts w:hint="eastAsia" w:ascii="宋体" w:hAnsi="宋体" w:cs="宋体"/>
          <w:color w:val="auto"/>
          <w:sz w:val="24"/>
        </w:rPr>
        <w:t>门面向中小企业</w:t>
      </w:r>
    </w:p>
    <w:p w14:paraId="5EA20D69">
      <w:pPr>
        <w:spacing w:line="360" w:lineRule="auto"/>
        <w:ind w:firstLine="897" w:firstLineChars="374"/>
        <w:rPr>
          <w:rFonts w:ascii="宋体" w:hAnsi="宋体" w:cs="宋体"/>
          <w:color w:val="auto"/>
          <w:sz w:val="24"/>
          <w:u w:val="single"/>
        </w:rPr>
      </w:pPr>
      <w:r>
        <w:rPr>
          <w:rFonts w:hint="eastAsia" w:ascii="MS Gothic" w:hAnsi="MS Gothic" w:eastAsia="MS Gothic" w:cs="宋体"/>
          <w:color w:val="auto"/>
          <w:kern w:val="0"/>
          <w:sz w:val="24"/>
        </w:rPr>
        <w:t>☐</w:t>
      </w:r>
      <w:r>
        <w:rPr>
          <w:rFonts w:hint="eastAsia" w:ascii="宋体" w:hAnsi="宋体" w:cs="宋体"/>
          <w:color w:val="auto"/>
          <w:sz w:val="24"/>
        </w:rPr>
        <w:t>货物全部由符合政策要求的中小微企业制造，按要求提供中小企业声明函；</w:t>
      </w:r>
    </w:p>
    <w:p w14:paraId="4E015D07">
      <w:pPr>
        <w:spacing w:line="360" w:lineRule="auto"/>
        <w:ind w:firstLine="897" w:firstLineChars="374"/>
        <w:rPr>
          <w:rFonts w:ascii="宋体" w:hAnsi="宋体" w:cs="宋体"/>
          <w:color w:val="auto"/>
          <w:sz w:val="24"/>
        </w:rPr>
      </w:pPr>
      <w:r>
        <w:rPr>
          <w:rFonts w:hint="eastAsia" w:ascii="宋体" w:hAnsi="宋体" w:cs="宋体"/>
          <w:color w:val="auto"/>
          <w:kern w:val="0"/>
          <w:sz w:val="24"/>
        </w:rPr>
        <w:t>☐</w:t>
      </w:r>
      <w:r>
        <w:rPr>
          <w:rFonts w:hint="eastAsia" w:ascii="宋体" w:hAnsi="宋体" w:cs="宋体"/>
          <w:color w:val="auto"/>
          <w:sz w:val="24"/>
        </w:rPr>
        <w:t>货物全部由符合政策要求的小微企业制造，按要求提供中小企业声明函；</w:t>
      </w:r>
    </w:p>
    <w:p w14:paraId="2338D4AA">
      <w:pPr>
        <w:spacing w:line="360" w:lineRule="auto"/>
        <w:ind w:firstLine="480" w:firstLineChars="200"/>
        <w:rPr>
          <w:rFonts w:ascii="宋体" w:hAnsi="宋体" w:cs="宋体"/>
          <w:color w:val="auto"/>
          <w:sz w:val="24"/>
        </w:rPr>
      </w:pPr>
      <w:r>
        <w:rPr>
          <w:rFonts w:hint="eastAsia" w:ascii="宋体" w:hAnsi="宋体" w:cs="宋体"/>
          <w:color w:val="auto"/>
          <w:kern w:val="0"/>
          <w:sz w:val="24"/>
        </w:rPr>
        <w:t>☐</w:t>
      </w:r>
      <w:bookmarkStart w:id="12" w:name="_Hlk101132524"/>
      <w:r>
        <w:rPr>
          <w:rFonts w:hint="eastAsia" w:ascii="宋体" w:hAnsi="宋体" w:cs="宋体"/>
          <w:color w:val="auto"/>
          <w:sz w:val="24"/>
        </w:rPr>
        <w:t>供应商应以联合体形式参加，并按要求提供联合协议和中小企业声明函，联合协议中，中小企业合同金额应当达到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%，其中小微企业合同金额应当达到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pacing w:val="8"/>
          <w:kern w:val="0"/>
          <w:sz w:val="24"/>
        </w:rPr>
        <w:t>如果供应商提供的所有标的均由中小企业制造、承建或承接，并相应达到了前述比例要求，无需再与其他中小企业组成联合体参加政府采购活动，</w:t>
      </w:r>
      <w:r>
        <w:rPr>
          <w:rFonts w:hint="eastAsia" w:ascii="宋体" w:hAnsi="宋体" w:cs="宋体"/>
          <w:color w:val="auto"/>
          <w:sz w:val="24"/>
        </w:rPr>
        <w:t>按要求提供中小企业声明函；</w:t>
      </w:r>
    </w:p>
    <w:bookmarkEnd w:id="12"/>
    <w:p w14:paraId="4CDBB94F">
      <w:pPr>
        <w:spacing w:line="360" w:lineRule="auto"/>
        <w:ind w:firstLine="480" w:firstLineChars="200"/>
        <w:rPr>
          <w:rFonts w:ascii="宋体" w:hAnsi="宋体" w:cs="宋体"/>
          <w:color w:val="auto"/>
          <w:sz w:val="24"/>
        </w:rPr>
      </w:pPr>
      <w:r>
        <w:rPr>
          <w:rFonts w:hint="eastAsia" w:ascii="宋体" w:hAnsi="宋体" w:cs="宋体"/>
          <w:color w:val="auto"/>
          <w:kern w:val="0"/>
          <w:sz w:val="24"/>
        </w:rPr>
        <w:t>☐</w:t>
      </w:r>
      <w:r>
        <w:rPr>
          <w:rFonts w:hint="eastAsia" w:ascii="宋体" w:hAnsi="宋体" w:cs="宋体"/>
          <w:color w:val="auto"/>
          <w:sz w:val="24"/>
        </w:rPr>
        <w:t>供应商应以合同分包形式参加，并按要求提供分包意向协议和中小企业声明函，分包意向协议中，中小企业合同金额应当达到</w:t>
      </w:r>
      <w:r>
        <w:rPr>
          <w:rFonts w:hint="eastAsia" w:ascii="宋体" w:hAnsi="宋体" w:cs="宋体"/>
          <w:color w:val="auto"/>
          <w:sz w:val="24"/>
          <w:u w:val="single"/>
        </w:rPr>
        <w:t xml:space="preserve">  </w:t>
      </w:r>
      <w:r>
        <w:rPr>
          <w:rFonts w:hint="eastAsia" w:ascii="宋体" w:hAnsi="宋体" w:cs="宋体"/>
          <w:color w:val="auto"/>
          <w:sz w:val="24"/>
        </w:rPr>
        <w:t>% ，其中小微企业合同金额应当达到</w:t>
      </w:r>
      <w:r>
        <w:rPr>
          <w:rFonts w:hint="eastAsia" w:ascii="宋体" w:hAnsi="宋体" w:cs="宋体"/>
          <w:color w:val="auto"/>
          <w:sz w:val="24"/>
          <w:u w:val="single"/>
        </w:rPr>
        <w:t xml:space="preserve"> </w:t>
      </w:r>
      <w:r>
        <w:rPr>
          <w:rFonts w:hint="eastAsia" w:ascii="宋体" w:hAnsi="宋体" w:cs="宋体"/>
          <w:color w:val="auto"/>
          <w:sz w:val="24"/>
        </w:rPr>
        <w:t>% ;</w:t>
      </w:r>
      <w:r>
        <w:rPr>
          <w:rFonts w:hint="eastAsia" w:ascii="宋体" w:hAnsi="宋体" w:cs="宋体"/>
          <w:color w:val="auto"/>
          <w:spacing w:val="8"/>
          <w:kern w:val="0"/>
          <w:sz w:val="24"/>
        </w:rPr>
        <w:t>如果供应商提供的所有标的均由中小企业制造、承建或承接，并相应达到了前述比例要求，无需再向中小企业分包，</w:t>
      </w:r>
      <w:r>
        <w:rPr>
          <w:rFonts w:hint="eastAsia" w:ascii="宋体" w:hAnsi="宋体" w:cs="宋体"/>
          <w:color w:val="auto"/>
          <w:sz w:val="24"/>
        </w:rPr>
        <w:t>按要求提供中小企业声明函；</w:t>
      </w:r>
    </w:p>
    <w:p w14:paraId="3B7B398D">
      <w:pPr>
        <w:snapToGrid w:val="0"/>
        <w:spacing w:line="360" w:lineRule="auto"/>
        <w:ind w:firstLine="480" w:firstLineChars="200"/>
        <w:rPr>
          <w:rFonts w:ascii="宋体" w:hAnsi="宋体" w:cs="宋体"/>
          <w:color w:val="auto"/>
          <w:sz w:val="24"/>
        </w:rPr>
      </w:pPr>
      <w:r>
        <w:rPr>
          <w:rFonts w:ascii="宋体" w:hAnsi="宋体" w:cs="宋体"/>
          <w:color w:val="auto"/>
          <w:sz w:val="24"/>
        </w:rPr>
        <w:t>4</w:t>
      </w:r>
      <w:r>
        <w:rPr>
          <w:rFonts w:hint="eastAsia" w:ascii="宋体" w:hAnsi="宋体" w:cs="宋体"/>
          <w:color w:val="auto"/>
          <w:sz w:val="24"/>
        </w:rPr>
        <w:t>.本项目的特定资格要求：</w:t>
      </w:r>
    </w:p>
    <w:p w14:paraId="5E669460">
      <w:pPr>
        <w:snapToGrid w:val="0"/>
        <w:spacing w:line="360" w:lineRule="auto"/>
        <w:ind w:firstLine="480" w:firstLineChars="200"/>
        <w:rPr>
          <w:rFonts w:ascii="宋体" w:hAnsi="宋体" w:cs="宋体"/>
          <w:color w:val="auto"/>
          <w:sz w:val="24"/>
        </w:rPr>
      </w:pPr>
      <w:r>
        <w:rPr>
          <w:rFonts w:ascii="Wingdings" w:hAnsi="Wingdings" w:eastAsia="MS Gothic" w:cs="宋体"/>
          <w:color w:val="auto"/>
          <w:kern w:val="0"/>
          <w:sz w:val="24"/>
        </w:rPr>
        <w:t></w:t>
      </w:r>
      <w:r>
        <w:rPr>
          <w:rFonts w:hint="eastAsia" w:ascii="宋体" w:hAnsi="宋体" w:cs="宋体"/>
          <w:color w:val="auto"/>
          <w:sz w:val="24"/>
        </w:rPr>
        <w:t>无。</w:t>
      </w:r>
    </w:p>
    <w:p w14:paraId="6676E1AB">
      <w:pPr>
        <w:snapToGrid w:val="0"/>
        <w:spacing w:line="360" w:lineRule="auto"/>
        <w:ind w:firstLine="480" w:firstLineChars="200"/>
        <w:rPr>
          <w:rFonts w:ascii="宋体" w:hAnsi="宋体" w:cs="宋体"/>
          <w:color w:val="auto"/>
          <w:sz w:val="24"/>
          <w:u w:val="single"/>
        </w:rPr>
      </w:pPr>
      <w:r>
        <w:rPr>
          <w:rFonts w:hint="eastAsia" w:ascii="MS Gothic" w:hAnsi="MS Gothic" w:eastAsia="MS Gothic" w:cs="宋体"/>
          <w:color w:val="auto"/>
          <w:kern w:val="0"/>
          <w:sz w:val="24"/>
        </w:rPr>
        <w:t>☐</w:t>
      </w:r>
      <w:r>
        <w:rPr>
          <w:rFonts w:hint="eastAsia" w:ascii="宋体" w:hAnsi="宋体" w:cs="宋体"/>
          <w:color w:val="auto"/>
          <w:sz w:val="24"/>
        </w:rPr>
        <w:t>有特定资格要求：</w:t>
      </w:r>
      <w:r>
        <w:rPr>
          <w:rFonts w:hint="eastAsia" w:ascii="宋体" w:hAnsi="宋体" w:cs="宋体"/>
          <w:color w:val="auto"/>
          <w:sz w:val="24"/>
          <w:u w:val="single"/>
        </w:rPr>
        <w:t xml:space="preserve">      </w:t>
      </w:r>
      <w:r>
        <w:rPr>
          <w:rFonts w:hint="eastAsia" w:ascii="宋体" w:hAnsi="宋体" w:cs="宋体"/>
          <w:color w:val="auto"/>
          <w:sz w:val="24"/>
        </w:rPr>
        <w:t>，该特定条件的法律法规依据：</w:t>
      </w:r>
      <w:r>
        <w:rPr>
          <w:rFonts w:hint="eastAsia" w:ascii="宋体" w:hAnsi="宋体" w:cs="宋体"/>
          <w:color w:val="auto"/>
          <w:sz w:val="24"/>
          <w:u w:val="single"/>
        </w:rPr>
        <w:t xml:space="preserve">        </w:t>
      </w:r>
      <w:r>
        <w:rPr>
          <w:rFonts w:hint="eastAsia" w:ascii="宋体" w:hAnsi="宋体" w:cs="宋体"/>
          <w:color w:val="auto"/>
          <w:sz w:val="24"/>
        </w:rPr>
        <w:t>。</w:t>
      </w:r>
    </w:p>
    <w:p w14:paraId="6371E068">
      <w:pPr>
        <w:snapToGrid w:val="0"/>
        <w:spacing w:line="360" w:lineRule="auto"/>
        <w:ind w:firstLine="480" w:firstLineChars="200"/>
        <w:rPr>
          <w:rFonts w:ascii="宋体" w:hAnsi="宋体" w:cs="宋体"/>
          <w:color w:val="auto"/>
          <w:sz w:val="24"/>
        </w:rPr>
      </w:pPr>
      <w:r>
        <w:rPr>
          <w:rFonts w:ascii="宋体" w:hAnsi="宋体" w:cs="宋体"/>
          <w:color w:val="auto"/>
          <w:sz w:val="24"/>
        </w:rPr>
        <w:t>5</w:t>
      </w:r>
      <w:r>
        <w:rPr>
          <w:rFonts w:hint="eastAsia" w:ascii="宋体" w:hAnsi="宋体" w:cs="宋体"/>
          <w:color w:val="auto"/>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20A0E6E">
      <w:pPr>
        <w:spacing w:line="360" w:lineRule="auto"/>
        <w:rPr>
          <w:rFonts w:ascii="宋体" w:hAnsi="宋体" w:cs="宋体"/>
          <w:b/>
          <w:color w:val="auto"/>
          <w:sz w:val="24"/>
        </w:rPr>
      </w:pPr>
      <w:r>
        <w:rPr>
          <w:rFonts w:hint="eastAsia" w:ascii="宋体" w:hAnsi="宋体" w:cs="宋体"/>
          <w:b/>
          <w:color w:val="auto"/>
          <w:sz w:val="24"/>
        </w:rPr>
        <w:t xml:space="preserve">三、获取招标文件 </w:t>
      </w:r>
    </w:p>
    <w:p w14:paraId="7563ECA5">
      <w:pPr>
        <w:spacing w:line="360" w:lineRule="auto"/>
        <w:ind w:firstLine="482" w:firstLineChars="200"/>
        <w:rPr>
          <w:rFonts w:ascii="宋体" w:hAnsi="宋体" w:cs="宋体"/>
          <w:color w:val="auto"/>
          <w:sz w:val="24"/>
        </w:rPr>
      </w:pPr>
      <w:r>
        <w:rPr>
          <w:rFonts w:hint="eastAsia" w:ascii="宋体" w:hAnsi="宋体" w:cs="宋体"/>
          <w:b/>
          <w:color w:val="auto"/>
          <w:sz w:val="24"/>
        </w:rPr>
        <w:t>时间：</w:t>
      </w:r>
      <w:r>
        <w:rPr>
          <w:rFonts w:hint="eastAsia" w:ascii="宋体" w:hAnsi="宋体" w:cs="宋体"/>
          <w:color w:val="auto"/>
          <w:sz w:val="24"/>
        </w:rPr>
        <w:t>/至</w:t>
      </w:r>
      <w:r>
        <w:rPr>
          <w:rFonts w:hint="eastAsia" w:ascii="宋体" w:hAnsi="宋体" w:cs="宋体"/>
          <w:color w:val="auto"/>
          <w:sz w:val="24"/>
          <w:u w:val="single"/>
        </w:rPr>
        <w:t>2026年</w:t>
      </w:r>
      <w:r>
        <w:rPr>
          <w:rFonts w:hint="eastAsia" w:ascii="宋体" w:hAnsi="宋体" w:cs="宋体"/>
          <w:color w:val="auto"/>
          <w:sz w:val="24"/>
          <w:u w:val="single"/>
          <w:lang w:val="en-US" w:eastAsia="zh-CN"/>
        </w:rPr>
        <w:t>6</w:t>
      </w:r>
      <w:r>
        <w:rPr>
          <w:rFonts w:hint="eastAsia" w:ascii="宋体" w:hAnsi="宋体" w:cs="宋体"/>
          <w:color w:val="auto"/>
          <w:sz w:val="24"/>
          <w:u w:val="single"/>
        </w:rPr>
        <w:t>月</w:t>
      </w:r>
      <w:r>
        <w:rPr>
          <w:rFonts w:hint="eastAsia" w:ascii="宋体" w:hAnsi="宋体" w:cs="宋体"/>
          <w:color w:val="auto"/>
          <w:sz w:val="24"/>
          <w:u w:val="single"/>
          <w:lang w:val="en-US" w:eastAsia="zh-CN"/>
        </w:rPr>
        <w:t>16</w:t>
      </w:r>
      <w:r>
        <w:rPr>
          <w:rFonts w:hint="eastAsia" w:ascii="宋体" w:hAnsi="宋体" w:cs="宋体"/>
          <w:color w:val="auto"/>
          <w:sz w:val="24"/>
          <w:u w:val="single"/>
        </w:rPr>
        <w:t>日</w:t>
      </w:r>
      <w:r>
        <w:rPr>
          <w:rFonts w:hint="eastAsia" w:ascii="宋体" w:hAnsi="宋体" w:cs="宋体"/>
          <w:color w:val="auto"/>
          <w:sz w:val="24"/>
        </w:rPr>
        <w:t>，每天上午00:00至12:00 ，下午12:00至23:59（北京时间，线上获取法定节假日均可，线下获取文件法定节假日除外）</w:t>
      </w:r>
    </w:p>
    <w:p w14:paraId="2DADA8C7">
      <w:pPr>
        <w:spacing w:line="360" w:lineRule="auto"/>
        <w:ind w:firstLine="482" w:firstLineChars="200"/>
        <w:rPr>
          <w:rFonts w:ascii="宋体" w:hAnsi="宋体" w:cs="宋体"/>
          <w:color w:val="auto"/>
          <w:sz w:val="24"/>
        </w:rPr>
      </w:pPr>
      <w:r>
        <w:rPr>
          <w:rFonts w:hint="eastAsia" w:ascii="宋体" w:hAnsi="宋体" w:cs="宋体"/>
          <w:b/>
          <w:color w:val="auto"/>
          <w:sz w:val="24"/>
        </w:rPr>
        <w:t>地点（网址）：</w:t>
      </w:r>
      <w:r>
        <w:rPr>
          <w:rFonts w:hint="eastAsia" w:ascii="宋体" w:hAnsi="宋体" w:cs="宋体"/>
          <w:color w:val="auto"/>
          <w:sz w:val="24"/>
        </w:rPr>
        <w:t xml:space="preserve">政采云平台（https://www.zcygov.cn/） </w:t>
      </w:r>
    </w:p>
    <w:p w14:paraId="2AD7451B">
      <w:pPr>
        <w:spacing w:line="360" w:lineRule="auto"/>
        <w:ind w:firstLine="482" w:firstLineChars="200"/>
        <w:rPr>
          <w:rFonts w:ascii="宋体" w:hAnsi="宋体" w:cs="宋体"/>
          <w:color w:val="auto"/>
          <w:sz w:val="24"/>
        </w:rPr>
      </w:pPr>
      <w:r>
        <w:rPr>
          <w:rFonts w:hint="eastAsia" w:ascii="宋体" w:hAnsi="宋体" w:cs="宋体"/>
          <w:b/>
          <w:color w:val="auto"/>
          <w:sz w:val="24"/>
        </w:rPr>
        <w:t>方式：</w:t>
      </w:r>
      <w:r>
        <w:rPr>
          <w:rFonts w:hint="eastAsia" w:ascii="宋体" w:hAnsi="宋体" w:cs="宋体"/>
          <w:color w:val="auto"/>
          <w:sz w:val="24"/>
        </w:rPr>
        <w:t xml:space="preserve">供应商登录政采云平台https://www.zcygov.cn/在线申请获取采购文件（进入“项目采购”应用，在获取采购文件菜单中选择项目，申请获取采购文件）。 </w:t>
      </w:r>
    </w:p>
    <w:p w14:paraId="3E5A26DD">
      <w:pPr>
        <w:spacing w:line="360" w:lineRule="auto"/>
        <w:ind w:firstLine="482" w:firstLineChars="200"/>
        <w:rPr>
          <w:rFonts w:ascii="宋体" w:hAnsi="宋体" w:cs="宋体"/>
          <w:color w:val="auto"/>
          <w:sz w:val="24"/>
        </w:rPr>
      </w:pPr>
      <w:r>
        <w:rPr>
          <w:rFonts w:hint="eastAsia" w:ascii="宋体" w:hAnsi="宋体" w:cs="宋体"/>
          <w:b/>
          <w:color w:val="auto"/>
          <w:sz w:val="24"/>
        </w:rPr>
        <w:t>售价（元）：</w:t>
      </w:r>
      <w:r>
        <w:rPr>
          <w:rFonts w:hint="eastAsia" w:ascii="宋体" w:hAnsi="宋体" w:cs="宋体"/>
          <w:color w:val="auto"/>
          <w:sz w:val="24"/>
        </w:rPr>
        <w:t xml:space="preserve">0 </w:t>
      </w:r>
      <w:r>
        <w:rPr>
          <w:rFonts w:hint="eastAsia" w:ascii="宋体" w:hAnsi="宋体" w:cs="宋体"/>
          <w:color w:val="auto"/>
          <w:sz w:val="24"/>
        </w:rPr>
        <w:tab/>
      </w:r>
    </w:p>
    <w:p w14:paraId="43689E44">
      <w:pPr>
        <w:spacing w:line="360" w:lineRule="auto"/>
        <w:rPr>
          <w:rFonts w:ascii="宋体" w:hAnsi="宋体" w:cs="宋体"/>
          <w:b/>
          <w:color w:val="auto"/>
          <w:sz w:val="24"/>
        </w:rPr>
      </w:pPr>
      <w:r>
        <w:rPr>
          <w:rFonts w:hint="eastAsia" w:ascii="宋体" w:hAnsi="宋体" w:cs="宋体"/>
          <w:b/>
          <w:color w:val="auto"/>
          <w:sz w:val="24"/>
        </w:rPr>
        <w:t>四、提交投标文件截止时间、开标时间和地点</w:t>
      </w:r>
    </w:p>
    <w:p w14:paraId="0700DC1A">
      <w:pPr>
        <w:spacing w:line="360" w:lineRule="auto"/>
        <w:ind w:firstLine="482" w:firstLineChars="200"/>
        <w:rPr>
          <w:rFonts w:ascii="宋体" w:hAnsi="宋体" w:cs="宋体"/>
          <w:color w:val="auto"/>
          <w:sz w:val="24"/>
        </w:rPr>
      </w:pPr>
      <w:r>
        <w:rPr>
          <w:rFonts w:hint="eastAsia" w:ascii="宋体" w:hAnsi="宋体" w:cs="宋体"/>
          <w:b/>
          <w:color w:val="auto"/>
          <w:sz w:val="24"/>
        </w:rPr>
        <w:t>提交投标文件截止时间：</w:t>
      </w:r>
      <w:r>
        <w:rPr>
          <w:rFonts w:hint="eastAsia" w:ascii="宋体" w:hAnsi="宋体" w:cs="宋体"/>
          <w:color w:val="auto"/>
          <w:sz w:val="24"/>
          <w:u w:val="single"/>
        </w:rPr>
        <w:t xml:space="preserve"> 2026年</w:t>
      </w:r>
      <w:r>
        <w:rPr>
          <w:rFonts w:hint="eastAsia" w:ascii="宋体" w:hAnsi="宋体" w:cs="宋体"/>
          <w:color w:val="auto"/>
          <w:sz w:val="24"/>
          <w:u w:val="single"/>
          <w:lang w:val="en-US" w:eastAsia="zh-CN"/>
        </w:rPr>
        <w:t>6</w:t>
      </w:r>
      <w:r>
        <w:rPr>
          <w:rFonts w:hint="eastAsia" w:ascii="宋体" w:hAnsi="宋体" w:cs="宋体"/>
          <w:color w:val="auto"/>
          <w:sz w:val="24"/>
          <w:u w:val="single"/>
        </w:rPr>
        <w:t>月</w:t>
      </w:r>
      <w:r>
        <w:rPr>
          <w:rFonts w:hint="eastAsia" w:ascii="宋体" w:hAnsi="宋体" w:cs="宋体"/>
          <w:color w:val="auto"/>
          <w:sz w:val="24"/>
          <w:u w:val="single"/>
          <w:lang w:val="en-US" w:eastAsia="zh-CN"/>
        </w:rPr>
        <w:t>16</w:t>
      </w:r>
      <w:r>
        <w:rPr>
          <w:rFonts w:hint="eastAsia" w:ascii="宋体" w:hAnsi="宋体" w:cs="宋体"/>
          <w:color w:val="auto"/>
          <w:sz w:val="24"/>
          <w:u w:val="single"/>
        </w:rPr>
        <w:t>日10点</w:t>
      </w:r>
      <w:r>
        <w:rPr>
          <w:rFonts w:hint="eastAsia" w:ascii="宋体" w:hAnsi="宋体" w:cs="宋体"/>
          <w:color w:val="auto"/>
          <w:sz w:val="24"/>
          <w:u w:val="single"/>
          <w:lang w:val="en-US" w:eastAsia="zh-CN"/>
        </w:rPr>
        <w:t>3</w:t>
      </w:r>
      <w:r>
        <w:rPr>
          <w:rFonts w:hint="eastAsia" w:ascii="宋体" w:hAnsi="宋体" w:cs="宋体"/>
          <w:color w:val="auto"/>
          <w:sz w:val="24"/>
          <w:u w:val="single"/>
        </w:rPr>
        <w:t>0分00秒</w:t>
      </w:r>
      <w:r>
        <w:rPr>
          <w:rFonts w:hint="eastAsia" w:ascii="宋体" w:hAnsi="宋体" w:cs="宋体"/>
          <w:color w:val="auto"/>
          <w:sz w:val="24"/>
        </w:rPr>
        <w:t>（北京时间）</w:t>
      </w:r>
    </w:p>
    <w:p w14:paraId="08E877CA">
      <w:pPr>
        <w:spacing w:line="360" w:lineRule="auto"/>
        <w:ind w:firstLine="482" w:firstLineChars="200"/>
        <w:rPr>
          <w:rFonts w:ascii="宋体" w:hAnsi="宋体" w:cs="宋体"/>
          <w:b/>
          <w:color w:val="auto"/>
          <w:sz w:val="24"/>
        </w:rPr>
      </w:pPr>
      <w:r>
        <w:rPr>
          <w:rFonts w:hint="eastAsia" w:ascii="宋体" w:hAnsi="宋体" w:cs="宋体"/>
          <w:b/>
          <w:color w:val="auto"/>
          <w:sz w:val="24"/>
        </w:rPr>
        <w:t>投标地点（网址）：</w:t>
      </w:r>
      <w:r>
        <w:rPr>
          <w:rFonts w:hint="eastAsia" w:ascii="宋体" w:hAnsi="宋体" w:cs="宋体"/>
          <w:color w:val="auto"/>
          <w:sz w:val="24"/>
        </w:rPr>
        <w:t xml:space="preserve">政采云平台（https://www.zcygov.cn/） </w:t>
      </w:r>
    </w:p>
    <w:p w14:paraId="0D4EF2AC">
      <w:pPr>
        <w:spacing w:line="360" w:lineRule="auto"/>
        <w:ind w:firstLine="482" w:firstLineChars="200"/>
        <w:rPr>
          <w:rFonts w:ascii="宋体" w:hAnsi="宋体" w:cs="宋体"/>
          <w:bCs/>
          <w:color w:val="auto"/>
          <w:sz w:val="24"/>
          <w:u w:val="single"/>
        </w:rPr>
      </w:pPr>
      <w:r>
        <w:rPr>
          <w:rFonts w:hint="eastAsia" w:ascii="宋体" w:hAnsi="宋体" w:cs="宋体"/>
          <w:b/>
          <w:color w:val="auto"/>
          <w:sz w:val="24"/>
        </w:rPr>
        <w:t>开标时间：</w:t>
      </w:r>
      <w:r>
        <w:rPr>
          <w:rFonts w:hint="eastAsia" w:ascii="宋体" w:hAnsi="宋体" w:cs="宋体"/>
          <w:color w:val="auto"/>
          <w:sz w:val="24"/>
          <w:u w:val="single"/>
        </w:rPr>
        <w:t>2026年</w:t>
      </w:r>
      <w:r>
        <w:rPr>
          <w:rFonts w:hint="eastAsia" w:ascii="宋体" w:hAnsi="宋体" w:cs="宋体"/>
          <w:color w:val="auto"/>
          <w:sz w:val="24"/>
          <w:u w:val="single"/>
          <w:lang w:val="en-US" w:eastAsia="zh-CN"/>
        </w:rPr>
        <w:t>6</w:t>
      </w:r>
      <w:r>
        <w:rPr>
          <w:rFonts w:hint="eastAsia" w:ascii="宋体" w:hAnsi="宋体" w:cs="宋体"/>
          <w:color w:val="auto"/>
          <w:sz w:val="24"/>
          <w:u w:val="single"/>
        </w:rPr>
        <w:t>月</w:t>
      </w:r>
      <w:r>
        <w:rPr>
          <w:rFonts w:hint="eastAsia" w:ascii="宋体" w:hAnsi="宋体" w:cs="宋体"/>
          <w:color w:val="auto"/>
          <w:sz w:val="24"/>
          <w:u w:val="single"/>
          <w:lang w:val="en-US" w:eastAsia="zh-CN"/>
        </w:rPr>
        <w:t>16</w:t>
      </w:r>
      <w:r>
        <w:rPr>
          <w:rFonts w:hint="eastAsia" w:ascii="宋体" w:hAnsi="宋体" w:cs="宋体"/>
          <w:color w:val="auto"/>
          <w:sz w:val="24"/>
          <w:u w:val="single"/>
        </w:rPr>
        <w:t>日10点</w:t>
      </w:r>
      <w:r>
        <w:rPr>
          <w:rFonts w:hint="eastAsia" w:ascii="宋体" w:hAnsi="宋体" w:cs="宋体"/>
          <w:color w:val="auto"/>
          <w:sz w:val="24"/>
          <w:u w:val="single"/>
          <w:lang w:val="en-US" w:eastAsia="zh-CN"/>
        </w:rPr>
        <w:t>3</w:t>
      </w:r>
      <w:r>
        <w:rPr>
          <w:rFonts w:hint="eastAsia" w:ascii="宋体" w:hAnsi="宋体" w:cs="宋体"/>
          <w:color w:val="auto"/>
          <w:sz w:val="24"/>
          <w:u w:val="single"/>
        </w:rPr>
        <w:t>0分00秒</w:t>
      </w:r>
    </w:p>
    <w:p w14:paraId="4239ABE1">
      <w:pPr>
        <w:spacing w:line="360" w:lineRule="auto"/>
        <w:ind w:firstLine="482" w:firstLineChars="200"/>
        <w:rPr>
          <w:rFonts w:ascii="宋体" w:hAnsi="宋体" w:cs="宋体"/>
          <w:color w:val="auto"/>
          <w:sz w:val="24"/>
        </w:rPr>
      </w:pPr>
      <w:r>
        <w:rPr>
          <w:rFonts w:hint="eastAsia" w:ascii="宋体" w:hAnsi="宋体" w:cs="宋体"/>
          <w:b/>
          <w:color w:val="auto"/>
          <w:sz w:val="24"/>
        </w:rPr>
        <w:t>开标地点（网址）：</w:t>
      </w:r>
      <w:r>
        <w:rPr>
          <w:rFonts w:hint="eastAsia" w:ascii="宋体" w:hAnsi="宋体" w:cs="宋体"/>
          <w:color w:val="auto"/>
          <w:sz w:val="24"/>
        </w:rPr>
        <w:t>政采云平台（https://www.zcygov.cn/）</w:t>
      </w:r>
    </w:p>
    <w:p w14:paraId="17057FD3">
      <w:pPr>
        <w:spacing w:line="360" w:lineRule="auto"/>
        <w:rPr>
          <w:rFonts w:ascii="宋体" w:hAnsi="宋体" w:cs="宋体"/>
          <w:color w:val="auto"/>
          <w:sz w:val="24"/>
        </w:rPr>
      </w:pPr>
      <w:r>
        <w:rPr>
          <w:rFonts w:hint="eastAsia" w:ascii="宋体" w:hAnsi="宋体" w:cs="宋体"/>
          <w:b/>
          <w:color w:val="auto"/>
          <w:sz w:val="24"/>
        </w:rPr>
        <w:t xml:space="preserve">五、公告期限 </w:t>
      </w:r>
    </w:p>
    <w:p w14:paraId="7D8BE9DF">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自本公告发布之日起5个工作日。</w:t>
      </w:r>
    </w:p>
    <w:p w14:paraId="146F40BD">
      <w:pPr>
        <w:spacing w:line="360" w:lineRule="auto"/>
        <w:rPr>
          <w:rFonts w:ascii="宋体" w:hAnsi="宋体" w:cs="宋体"/>
          <w:b/>
          <w:color w:val="auto"/>
          <w:sz w:val="24"/>
        </w:rPr>
      </w:pPr>
      <w:r>
        <w:rPr>
          <w:rFonts w:hint="eastAsia" w:ascii="宋体" w:hAnsi="宋体" w:cs="宋体"/>
          <w:b/>
          <w:color w:val="auto"/>
          <w:sz w:val="24"/>
        </w:rPr>
        <w:t>六、其他补充事宜</w:t>
      </w:r>
    </w:p>
    <w:p w14:paraId="4084C5CF">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1. </w:t>
      </w:r>
      <w:r>
        <w:rPr>
          <w:rFonts w:ascii="宋体" w:hAnsi="宋体" w:cs="宋体"/>
          <w:color w:val="auto"/>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rPr>
        <w:t>。</w:t>
      </w:r>
    </w:p>
    <w:p w14:paraId="1ABCBCD9">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172709F9">
      <w:pPr>
        <w:spacing w:line="360" w:lineRule="auto"/>
        <w:ind w:firstLine="480" w:firstLineChars="200"/>
        <w:rPr>
          <w:rFonts w:ascii="宋体" w:hAnsi="宋体" w:cs="宋体"/>
          <w:color w:val="auto"/>
          <w:sz w:val="24"/>
        </w:rPr>
      </w:pPr>
      <w:r>
        <w:rPr>
          <w:rFonts w:hint="eastAsia" w:ascii="宋体" w:hAnsi="宋体" w:cs="宋体"/>
          <w:color w:val="auto"/>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94E6281">
      <w:pPr>
        <w:spacing w:line="360" w:lineRule="auto"/>
        <w:ind w:firstLine="480" w:firstLineChars="200"/>
        <w:rPr>
          <w:rFonts w:ascii="宋体" w:hAnsi="宋体" w:cs="宋体"/>
          <w:color w:val="auto"/>
          <w:sz w:val="24"/>
        </w:rPr>
      </w:pPr>
      <w:r>
        <w:rPr>
          <w:rFonts w:hint="eastAsia" w:ascii="宋体" w:hAnsi="宋体" w:cs="宋体"/>
          <w:color w:val="auto"/>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4）询问及质疑答复主体详见招标文件《询问、质疑答复责任主体一览表》。（5）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14:paraId="762F02D8">
      <w:pPr>
        <w:spacing w:line="360" w:lineRule="auto"/>
        <w:rPr>
          <w:rFonts w:ascii="宋体" w:hAnsi="宋体" w:cs="宋体"/>
          <w:b/>
          <w:color w:val="auto"/>
          <w:sz w:val="24"/>
        </w:rPr>
      </w:pPr>
      <w:r>
        <w:rPr>
          <w:rFonts w:hint="eastAsia" w:ascii="宋体" w:hAnsi="宋体" w:cs="宋体"/>
          <w:b/>
          <w:color w:val="auto"/>
          <w:sz w:val="24"/>
        </w:rPr>
        <w:t>七、对本次采购提出询问、质疑、投诉，请按以下方式联系</w:t>
      </w:r>
    </w:p>
    <w:p w14:paraId="58C77A9E">
      <w:pPr>
        <w:spacing w:line="360" w:lineRule="auto"/>
        <w:rPr>
          <w:rFonts w:ascii="宋体" w:hAnsi="宋体" w:cs="宋体"/>
          <w:color w:val="auto"/>
          <w:sz w:val="24"/>
        </w:rPr>
      </w:pPr>
      <w:r>
        <w:rPr>
          <w:rFonts w:hint="eastAsia" w:ascii="宋体" w:hAnsi="宋体" w:cs="宋体"/>
          <w:color w:val="auto"/>
          <w:sz w:val="24"/>
        </w:rPr>
        <w:t xml:space="preserve">    1.采购人信息</w:t>
      </w:r>
    </w:p>
    <w:p w14:paraId="05635500">
      <w:pPr>
        <w:spacing w:line="360" w:lineRule="auto"/>
        <w:rPr>
          <w:rFonts w:ascii="宋体" w:hAnsi="宋体" w:cs="宋体"/>
          <w:color w:val="auto"/>
          <w:sz w:val="24"/>
        </w:rPr>
      </w:pPr>
      <w:r>
        <w:rPr>
          <w:rFonts w:hint="eastAsia" w:ascii="宋体" w:hAnsi="宋体" w:cs="宋体"/>
          <w:color w:val="auto"/>
          <w:sz w:val="24"/>
        </w:rPr>
        <w:t xml:space="preserve">    名    称：杭州职业技术大学 </w:t>
      </w:r>
    </w:p>
    <w:p w14:paraId="33AF442B">
      <w:pPr>
        <w:adjustRightInd/>
        <w:spacing w:line="360" w:lineRule="auto"/>
        <w:ind w:firstLine="480" w:firstLineChars="200"/>
        <w:rPr>
          <w:rFonts w:hint="eastAsia" w:ascii="宋体" w:hAnsi="宋体" w:cs="宋体"/>
          <w:color w:val="auto"/>
          <w:sz w:val="24"/>
        </w:rPr>
      </w:pPr>
      <w:r>
        <w:rPr>
          <w:rFonts w:hint="eastAsia" w:ascii="宋体" w:hAnsi="宋体" w:cs="宋体"/>
          <w:color w:val="auto"/>
          <w:sz w:val="24"/>
        </w:rPr>
        <w:t>地址：杭州市钱塘区学源街68号</w:t>
      </w:r>
    </w:p>
    <w:p w14:paraId="587AB7F1">
      <w:pPr>
        <w:adjustRightInd/>
        <w:spacing w:line="360" w:lineRule="auto"/>
        <w:ind w:firstLine="480" w:firstLineChars="200"/>
        <w:rPr>
          <w:rFonts w:hint="eastAsia" w:ascii="宋体" w:hAnsi="宋体" w:cs="宋体"/>
          <w:color w:val="auto"/>
          <w:sz w:val="24"/>
        </w:rPr>
      </w:pPr>
      <w:r>
        <w:rPr>
          <w:rFonts w:hint="eastAsia" w:ascii="宋体" w:hAnsi="宋体" w:cs="宋体"/>
          <w:color w:val="auto"/>
          <w:sz w:val="24"/>
        </w:rPr>
        <w:t>传真：/</w:t>
      </w:r>
    </w:p>
    <w:p w14:paraId="61C9274F">
      <w:pPr>
        <w:adjustRightInd/>
        <w:spacing w:line="360" w:lineRule="auto"/>
        <w:ind w:firstLine="480" w:firstLineChars="200"/>
        <w:rPr>
          <w:rFonts w:hint="eastAsia" w:ascii="宋体" w:hAnsi="宋体" w:cs="宋体"/>
          <w:color w:val="auto"/>
          <w:sz w:val="24"/>
        </w:rPr>
      </w:pPr>
      <w:r>
        <w:rPr>
          <w:rFonts w:hint="eastAsia" w:ascii="宋体" w:hAnsi="宋体" w:cs="宋体"/>
          <w:color w:val="auto"/>
          <w:sz w:val="24"/>
        </w:rPr>
        <w:t>项目联系人（询问）：倪老师</w:t>
      </w:r>
    </w:p>
    <w:p w14:paraId="5174F70D">
      <w:pPr>
        <w:adjustRightInd/>
        <w:spacing w:line="360" w:lineRule="auto"/>
        <w:ind w:firstLine="480" w:firstLineChars="200"/>
        <w:rPr>
          <w:rFonts w:hint="eastAsia" w:ascii="宋体" w:hAnsi="宋体" w:cs="宋体"/>
          <w:color w:val="auto"/>
          <w:sz w:val="24"/>
        </w:rPr>
      </w:pPr>
      <w:r>
        <w:rPr>
          <w:rFonts w:hint="eastAsia" w:ascii="宋体" w:hAnsi="宋体" w:cs="宋体"/>
          <w:color w:val="auto"/>
          <w:sz w:val="24"/>
        </w:rPr>
        <w:t>项目联系方式（询问）：0571-56700537</w:t>
      </w:r>
    </w:p>
    <w:p w14:paraId="296105CE">
      <w:pPr>
        <w:adjustRightInd/>
        <w:spacing w:line="360" w:lineRule="auto"/>
        <w:ind w:firstLine="480" w:firstLineChars="200"/>
        <w:rPr>
          <w:rFonts w:hint="eastAsia" w:ascii="宋体" w:hAnsi="宋体" w:cs="宋体"/>
          <w:color w:val="auto"/>
          <w:sz w:val="24"/>
        </w:rPr>
      </w:pPr>
      <w:r>
        <w:rPr>
          <w:rFonts w:hint="eastAsia" w:ascii="宋体" w:hAnsi="宋体" w:cs="宋体"/>
          <w:color w:val="auto"/>
          <w:sz w:val="24"/>
        </w:rPr>
        <w:t>质疑联系人：</w:t>
      </w:r>
      <w:r>
        <w:rPr>
          <w:rFonts w:hint="eastAsia" w:ascii="宋体" w:hAnsi="宋体" w:cs="宋体"/>
          <w:color w:val="auto"/>
          <w:sz w:val="24"/>
          <w:lang w:val="en-US" w:eastAsia="zh-CN"/>
        </w:rPr>
        <w:t>邹</w:t>
      </w:r>
      <w:r>
        <w:rPr>
          <w:rFonts w:hint="eastAsia" w:ascii="宋体" w:hAnsi="宋体" w:cs="宋体"/>
          <w:color w:val="auto"/>
          <w:sz w:val="24"/>
        </w:rPr>
        <w:t>老师</w:t>
      </w:r>
    </w:p>
    <w:p w14:paraId="7DE73886">
      <w:pPr>
        <w:spacing w:line="360" w:lineRule="auto"/>
        <w:ind w:firstLine="480" w:firstLineChars="200"/>
        <w:rPr>
          <w:rFonts w:ascii="宋体" w:hAnsi="宋体" w:cs="宋体"/>
          <w:color w:val="auto"/>
          <w:sz w:val="24"/>
        </w:rPr>
      </w:pPr>
      <w:r>
        <w:rPr>
          <w:rFonts w:hint="eastAsia" w:ascii="宋体" w:hAnsi="宋体" w:cs="宋体"/>
          <w:color w:val="auto"/>
          <w:sz w:val="24"/>
        </w:rPr>
        <w:t>质疑联系方式：0571-567000</w:t>
      </w:r>
      <w:r>
        <w:rPr>
          <w:rFonts w:hint="eastAsia" w:ascii="宋体" w:hAnsi="宋体" w:cs="宋体"/>
          <w:color w:val="auto"/>
          <w:sz w:val="24"/>
          <w:lang w:val="en-US" w:eastAsia="zh-CN"/>
        </w:rPr>
        <w:t>17</w:t>
      </w:r>
      <w:r>
        <w:rPr>
          <w:rFonts w:hint="eastAsia" w:ascii="宋体" w:hAnsi="宋体" w:cs="宋体"/>
          <w:color w:val="auto"/>
          <w:sz w:val="24"/>
        </w:rPr>
        <w:t>（请通过以下路径在线提起质疑：政采云-项目采购-询问质疑投诉-质疑列表）</w:t>
      </w:r>
    </w:p>
    <w:p w14:paraId="4E9127F8">
      <w:pPr>
        <w:spacing w:line="360" w:lineRule="auto"/>
        <w:rPr>
          <w:rFonts w:ascii="宋体" w:hAnsi="宋体" w:cs="宋体"/>
          <w:color w:val="auto"/>
          <w:sz w:val="24"/>
        </w:rPr>
      </w:pPr>
      <w:r>
        <w:rPr>
          <w:rFonts w:hint="eastAsia" w:ascii="宋体" w:hAnsi="宋体" w:cs="宋体"/>
          <w:color w:val="auto"/>
          <w:sz w:val="24"/>
        </w:rPr>
        <w:t xml:space="preserve">    2.采购代理机构信息 </w:t>
      </w:r>
    </w:p>
    <w:p w14:paraId="4682F141">
      <w:pPr>
        <w:spacing w:line="360" w:lineRule="auto"/>
        <w:ind w:firstLine="480"/>
        <w:rPr>
          <w:rFonts w:ascii="宋体" w:hAnsi="宋体" w:cs="宋体"/>
          <w:color w:val="auto"/>
          <w:sz w:val="24"/>
        </w:rPr>
      </w:pPr>
      <w:r>
        <w:rPr>
          <w:rFonts w:hint="eastAsia" w:ascii="宋体" w:hAnsi="宋体" w:cs="宋体"/>
          <w:color w:val="auto"/>
          <w:sz w:val="24"/>
        </w:rPr>
        <w:t>名    称：杭州市公共资源交易中心</w:t>
      </w:r>
    </w:p>
    <w:p w14:paraId="1E0C3095">
      <w:pPr>
        <w:spacing w:line="360" w:lineRule="auto"/>
        <w:ind w:firstLine="480"/>
        <w:rPr>
          <w:rFonts w:ascii="宋体" w:hAnsi="宋体" w:cs="宋体"/>
          <w:color w:val="auto"/>
          <w:sz w:val="24"/>
        </w:rPr>
      </w:pPr>
      <w:r>
        <w:rPr>
          <w:rFonts w:hint="eastAsia" w:ascii="宋体" w:hAnsi="宋体" w:cs="宋体"/>
          <w:color w:val="auto"/>
          <w:sz w:val="24"/>
        </w:rPr>
        <w:t>地    址：杭州市上城区之江路925号</w:t>
      </w:r>
    </w:p>
    <w:p w14:paraId="0F1131CD">
      <w:pPr>
        <w:spacing w:line="360" w:lineRule="auto"/>
        <w:rPr>
          <w:rFonts w:ascii="宋体" w:hAnsi="宋体" w:cs="宋体"/>
          <w:color w:val="auto"/>
          <w:sz w:val="24"/>
        </w:rPr>
      </w:pPr>
      <w:r>
        <w:rPr>
          <w:rFonts w:hint="eastAsia" w:ascii="宋体" w:hAnsi="宋体" w:cs="宋体"/>
          <w:color w:val="auto"/>
          <w:sz w:val="24"/>
        </w:rPr>
        <w:t xml:space="preserve">    传    真： /</w:t>
      </w:r>
    </w:p>
    <w:p w14:paraId="109C07A3">
      <w:pPr>
        <w:spacing w:line="360" w:lineRule="auto"/>
        <w:rPr>
          <w:rFonts w:ascii="宋体" w:hAnsi="宋体" w:cs="宋体"/>
          <w:color w:val="auto"/>
          <w:sz w:val="24"/>
        </w:rPr>
      </w:pPr>
      <w:r>
        <w:rPr>
          <w:rFonts w:hint="eastAsia" w:ascii="宋体" w:hAnsi="宋体" w:cs="宋体"/>
          <w:color w:val="auto"/>
          <w:sz w:val="24"/>
        </w:rPr>
        <w:t xml:space="preserve">    项目联系人（询问）： 潘工、张工</w:t>
      </w:r>
    </w:p>
    <w:p w14:paraId="1A76CF9E">
      <w:pPr>
        <w:spacing w:line="360" w:lineRule="auto"/>
        <w:rPr>
          <w:rFonts w:ascii="宋体" w:hAnsi="宋体" w:cs="宋体"/>
          <w:color w:val="auto"/>
          <w:sz w:val="24"/>
        </w:rPr>
      </w:pPr>
      <w:r>
        <w:rPr>
          <w:rFonts w:hint="eastAsia" w:ascii="宋体" w:hAnsi="宋体" w:cs="宋体"/>
          <w:color w:val="auto"/>
          <w:sz w:val="24"/>
        </w:rPr>
        <w:t xml:space="preserve">    项目联系方式（询问）：0571-89587861、89587802</w:t>
      </w:r>
    </w:p>
    <w:p w14:paraId="4253DC3A">
      <w:pPr>
        <w:spacing w:line="360" w:lineRule="auto"/>
        <w:rPr>
          <w:rFonts w:ascii="宋体" w:hAnsi="宋体" w:cs="宋体"/>
          <w:color w:val="auto"/>
          <w:sz w:val="24"/>
        </w:rPr>
      </w:pPr>
      <w:r>
        <w:rPr>
          <w:rFonts w:hint="eastAsia" w:ascii="宋体" w:hAnsi="宋体" w:cs="宋体"/>
          <w:color w:val="auto"/>
          <w:sz w:val="24"/>
        </w:rPr>
        <w:t xml:space="preserve">    质疑联系人：谢栋华</w:t>
      </w:r>
    </w:p>
    <w:p w14:paraId="4F05DD41">
      <w:pPr>
        <w:spacing w:line="360" w:lineRule="auto"/>
        <w:rPr>
          <w:rFonts w:ascii="宋体" w:hAnsi="宋体" w:cs="宋体"/>
          <w:color w:val="auto"/>
          <w:sz w:val="24"/>
        </w:rPr>
      </w:pPr>
      <w:r>
        <w:rPr>
          <w:rFonts w:hint="eastAsia" w:ascii="宋体" w:hAnsi="宋体" w:cs="宋体"/>
          <w:color w:val="auto"/>
          <w:sz w:val="24"/>
        </w:rPr>
        <w:t xml:space="preserve">    质疑联系方式：0571-</w:t>
      </w:r>
      <w:r>
        <w:rPr>
          <w:rFonts w:ascii="宋体" w:hAnsi="宋体" w:cs="宋体"/>
          <w:color w:val="auto"/>
          <w:sz w:val="24"/>
        </w:rPr>
        <w:t>89587838</w:t>
      </w:r>
      <w:r>
        <w:rPr>
          <w:rFonts w:hint="eastAsia" w:ascii="宋体" w:hAnsi="宋体" w:cs="宋体"/>
          <w:color w:val="auto"/>
          <w:sz w:val="24"/>
        </w:rPr>
        <w:t>（请通过以下路径在线提起质疑：政采云-项目采购-询问质疑投诉-质疑列表）</w:t>
      </w:r>
    </w:p>
    <w:p w14:paraId="4BA5E991">
      <w:pPr>
        <w:spacing w:line="360" w:lineRule="auto"/>
        <w:rPr>
          <w:rFonts w:ascii="宋体" w:hAnsi="宋体" w:cs="宋体"/>
          <w:color w:val="auto"/>
          <w:sz w:val="24"/>
        </w:rPr>
      </w:pPr>
      <w:r>
        <w:rPr>
          <w:rFonts w:hint="eastAsia" w:ascii="宋体" w:hAnsi="宋体" w:cs="宋体"/>
          <w:color w:val="auto"/>
          <w:sz w:val="24"/>
        </w:rPr>
        <w:t xml:space="preserve">    3.</w:t>
      </w:r>
      <w:r>
        <w:rPr>
          <w:rFonts w:hint="eastAsia"/>
          <w:color w:val="auto"/>
        </w:rPr>
        <w:t xml:space="preserve"> </w:t>
      </w:r>
      <w:r>
        <w:rPr>
          <w:rFonts w:hint="eastAsia" w:ascii="宋体" w:hAnsi="宋体" w:cs="宋体"/>
          <w:color w:val="auto"/>
          <w:sz w:val="24"/>
        </w:rPr>
        <w:t xml:space="preserve">同级政府采购监督管理部门 </w:t>
      </w:r>
    </w:p>
    <w:p w14:paraId="10BBDDC0">
      <w:pPr>
        <w:spacing w:line="360" w:lineRule="auto"/>
        <w:rPr>
          <w:rFonts w:ascii="宋体" w:hAnsi="宋体" w:cs="宋体"/>
          <w:color w:val="auto"/>
          <w:sz w:val="24"/>
        </w:rPr>
      </w:pPr>
      <w:r>
        <w:rPr>
          <w:rFonts w:hint="eastAsia" w:ascii="宋体" w:hAnsi="宋体" w:cs="宋体"/>
          <w:color w:val="auto"/>
          <w:sz w:val="24"/>
        </w:rPr>
        <w:t xml:space="preserve">    名    称：杭州市财政局政府采购监管处 /浙江省政府采购行政裁决服务中心（杭州）</w:t>
      </w:r>
    </w:p>
    <w:p w14:paraId="22B59DDD">
      <w:pPr>
        <w:spacing w:line="360" w:lineRule="auto"/>
        <w:rPr>
          <w:rFonts w:ascii="宋体" w:hAnsi="宋体" w:cs="宋体"/>
          <w:color w:val="auto"/>
          <w:sz w:val="24"/>
        </w:rPr>
      </w:pPr>
      <w:r>
        <w:rPr>
          <w:rFonts w:hint="eastAsia" w:ascii="宋体" w:hAnsi="宋体" w:cs="宋体"/>
          <w:color w:val="auto"/>
          <w:sz w:val="24"/>
        </w:rPr>
        <w:t xml:space="preserve">    地    址：杭州市上城区清泰街549号城建综合大楼11楼（快递仅限ems或顺丰）  </w:t>
      </w:r>
    </w:p>
    <w:p w14:paraId="31B8B4ED">
      <w:pPr>
        <w:spacing w:line="360" w:lineRule="auto"/>
        <w:rPr>
          <w:rFonts w:ascii="宋体" w:hAnsi="宋体" w:cs="宋体"/>
          <w:color w:val="auto"/>
          <w:sz w:val="24"/>
        </w:rPr>
      </w:pPr>
      <w:r>
        <w:rPr>
          <w:rFonts w:hint="eastAsia" w:ascii="宋体" w:hAnsi="宋体" w:cs="宋体"/>
          <w:color w:val="auto"/>
          <w:sz w:val="24"/>
        </w:rPr>
        <w:t xml:space="preserve">    传    真： /</w:t>
      </w:r>
    </w:p>
    <w:p w14:paraId="56226AE9">
      <w:pPr>
        <w:spacing w:line="360" w:lineRule="auto"/>
        <w:rPr>
          <w:rFonts w:ascii="宋体" w:hAnsi="宋体" w:cs="宋体"/>
          <w:color w:val="auto"/>
          <w:sz w:val="24"/>
        </w:rPr>
      </w:pPr>
      <w:r>
        <w:rPr>
          <w:rFonts w:hint="eastAsia" w:ascii="宋体" w:hAnsi="宋体" w:cs="宋体"/>
          <w:color w:val="auto"/>
          <w:sz w:val="24"/>
        </w:rPr>
        <w:t xml:space="preserve">    联系人 ：朱女士、王女士</w:t>
      </w:r>
    </w:p>
    <w:p w14:paraId="6E0674D5">
      <w:pPr>
        <w:spacing w:line="360" w:lineRule="auto"/>
        <w:rPr>
          <w:rFonts w:ascii="宋体" w:hAnsi="宋体" w:cs="宋体"/>
          <w:color w:val="auto"/>
          <w:sz w:val="24"/>
        </w:rPr>
      </w:pPr>
      <w:r>
        <w:rPr>
          <w:rFonts w:hint="eastAsia" w:ascii="宋体" w:hAnsi="宋体" w:cs="宋体"/>
          <w:color w:val="auto"/>
          <w:sz w:val="24"/>
        </w:rPr>
        <w:t xml:space="preserve">    监督投诉电话：0571-87227671,0571-87800218    </w:t>
      </w:r>
    </w:p>
    <w:p w14:paraId="78536785">
      <w:pPr>
        <w:spacing w:line="360" w:lineRule="auto"/>
        <w:ind w:firstLine="480"/>
        <w:rPr>
          <w:rFonts w:ascii="宋体" w:hAnsi="宋体" w:cs="宋体"/>
          <w:color w:val="auto"/>
          <w:sz w:val="24"/>
        </w:rPr>
      </w:pPr>
      <w:r>
        <w:rPr>
          <w:rFonts w:hint="eastAsia" w:ascii="宋体" w:hAnsi="宋体" w:cs="宋体"/>
          <w:color w:val="auto"/>
          <w:sz w:val="24"/>
        </w:rPr>
        <w:t>政策咨询：沈先生、陈先生，0571-89580457、89580460</w:t>
      </w:r>
    </w:p>
    <w:p w14:paraId="7CE361E9">
      <w:pPr>
        <w:spacing w:line="360" w:lineRule="auto"/>
        <w:ind w:firstLine="480" w:firstLineChars="200"/>
        <w:rPr>
          <w:rFonts w:ascii="宋体" w:hAnsi="宋体" w:cs="宋体"/>
          <w:color w:val="auto"/>
          <w:sz w:val="24"/>
        </w:rPr>
      </w:pPr>
      <w:r>
        <w:rPr>
          <w:rFonts w:hint="eastAsia" w:ascii="宋体" w:hAnsi="宋体" w:cs="宋体"/>
          <w:color w:val="auto"/>
          <w:sz w:val="24"/>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shd w:val="clear" w:color="auto" w:fill="FFFFFF"/>
        </w:rPr>
        <w:t>95763</w:t>
      </w:r>
      <w:r>
        <w:rPr>
          <w:rFonts w:hint="eastAsia" w:ascii="宋体" w:hAnsi="宋体" w:cs="宋体"/>
          <w:color w:val="auto"/>
          <w:sz w:val="24"/>
        </w:rPr>
        <w:t>获取热线服务帮助。</w:t>
      </w:r>
    </w:p>
    <w:p w14:paraId="0806C156">
      <w:pPr>
        <w:spacing w:line="360" w:lineRule="auto"/>
        <w:ind w:firstLine="480" w:firstLineChars="200"/>
        <w:rPr>
          <w:rFonts w:ascii="宋体" w:hAnsi="宋体" w:cs="宋体"/>
          <w:color w:val="auto"/>
          <w:sz w:val="24"/>
        </w:rPr>
      </w:pPr>
      <w:r>
        <w:rPr>
          <w:rFonts w:hint="eastAsia" w:ascii="宋体" w:hAnsi="宋体" w:cs="宋体"/>
          <w:color w:val="auto"/>
          <w:sz w:val="24"/>
        </w:rPr>
        <w:t>CA问题联系电话（人工）：汇信CA 400-888-4636；天谷CA 400-087-8198。</w:t>
      </w:r>
    </w:p>
    <w:p w14:paraId="4657FAB0">
      <w:pPr>
        <w:pStyle w:val="32"/>
        <w:spacing w:line="360" w:lineRule="auto"/>
        <w:rPr>
          <w:rFonts w:hAnsi="宋体" w:cs="宋体"/>
          <w:b/>
          <w:color w:val="auto"/>
          <w:sz w:val="36"/>
          <w:szCs w:val="20"/>
        </w:rPr>
      </w:pPr>
      <w:r>
        <w:rPr>
          <w:rFonts w:hint="eastAsia" w:hAnsi="宋体" w:cs="宋体"/>
          <w:color w:val="auto"/>
          <w:sz w:val="24"/>
        </w:rPr>
        <w:t xml:space="preserve">                        </w:t>
      </w:r>
      <w:r>
        <w:rPr>
          <w:rFonts w:hAnsi="宋体" w:cs="宋体"/>
          <w:b/>
          <w:color w:val="auto"/>
          <w:sz w:val="36"/>
          <w:szCs w:val="20"/>
        </w:rPr>
        <w:t xml:space="preserve"> </w:t>
      </w:r>
    </w:p>
    <w:p w14:paraId="09417052">
      <w:pPr>
        <w:pStyle w:val="3"/>
        <w:rPr>
          <w:rFonts w:ascii="宋体"/>
          <w:snapToGrid w:val="0"/>
          <w:color w:val="auto"/>
        </w:rPr>
      </w:pPr>
      <w:r>
        <w:rPr>
          <w:color w:val="auto"/>
        </w:rPr>
        <w:br w:type="page"/>
      </w:r>
    </w:p>
    <w:p w14:paraId="42A061BB">
      <w:pPr>
        <w:adjustRightInd/>
        <w:spacing w:line="360" w:lineRule="auto"/>
        <w:jc w:val="center"/>
        <w:outlineLvl w:val="0"/>
        <w:rPr>
          <w:rFonts w:ascii="宋体" w:hAnsi="宋体" w:cs="宋体"/>
          <w:b/>
          <w:color w:val="auto"/>
          <w:sz w:val="36"/>
          <w:szCs w:val="20"/>
        </w:rPr>
      </w:pPr>
      <w:r>
        <w:rPr>
          <w:rFonts w:hint="eastAsia" w:ascii="宋体" w:hAnsi="宋体" w:cs="宋体"/>
          <w:b/>
          <w:color w:val="auto"/>
          <w:sz w:val="36"/>
          <w:szCs w:val="20"/>
        </w:rPr>
        <w:t>第二部分</w:t>
      </w:r>
      <w:bookmarkEnd w:id="8"/>
      <w:r>
        <w:rPr>
          <w:rFonts w:hint="eastAsia" w:ascii="宋体" w:hAnsi="宋体" w:cs="宋体"/>
          <w:b/>
          <w:color w:val="auto"/>
          <w:sz w:val="36"/>
          <w:szCs w:val="20"/>
        </w:rPr>
        <w:t xml:space="preserve"> 投标人须知</w:t>
      </w:r>
      <w:bookmarkEnd w:id="9"/>
    </w:p>
    <w:p w14:paraId="1A85F6BD">
      <w:pPr>
        <w:adjustRightInd/>
        <w:spacing w:line="360" w:lineRule="auto"/>
        <w:ind w:firstLine="3845" w:firstLineChars="1197"/>
        <w:outlineLvl w:val="0"/>
        <w:rPr>
          <w:rFonts w:ascii="宋体" w:hAnsi="宋体" w:cs="宋体"/>
          <w:b/>
          <w:color w:val="auto"/>
          <w:sz w:val="32"/>
          <w:szCs w:val="20"/>
        </w:rPr>
      </w:pPr>
      <w:r>
        <w:rPr>
          <w:rFonts w:hint="eastAsia" w:ascii="宋体" w:hAnsi="宋体" w:cs="宋体"/>
          <w:b/>
          <w:color w:val="auto"/>
          <w:sz w:val="32"/>
          <w:szCs w:val="20"/>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14:paraId="6686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29" w:type="dxa"/>
            <w:vAlign w:val="center"/>
          </w:tcPr>
          <w:p w14:paraId="0C5F6E20">
            <w:pPr>
              <w:snapToGrid w:val="0"/>
              <w:spacing w:line="360" w:lineRule="auto"/>
              <w:jc w:val="center"/>
              <w:rPr>
                <w:rFonts w:ascii="宋体" w:hAnsi="宋体" w:cs="宋体"/>
                <w:b/>
                <w:color w:val="auto"/>
                <w:sz w:val="24"/>
              </w:rPr>
            </w:pPr>
            <w:r>
              <w:rPr>
                <w:rFonts w:hint="eastAsia" w:ascii="宋体" w:hAnsi="宋体" w:cs="宋体"/>
                <w:b/>
                <w:color w:val="auto"/>
                <w:sz w:val="24"/>
              </w:rPr>
              <w:t>序号</w:t>
            </w:r>
          </w:p>
        </w:tc>
        <w:tc>
          <w:tcPr>
            <w:tcW w:w="1843" w:type="dxa"/>
            <w:vAlign w:val="center"/>
          </w:tcPr>
          <w:p w14:paraId="70587D77">
            <w:pPr>
              <w:snapToGrid w:val="0"/>
              <w:spacing w:line="360" w:lineRule="auto"/>
              <w:jc w:val="center"/>
              <w:rPr>
                <w:rFonts w:ascii="宋体" w:hAnsi="宋体" w:cs="宋体"/>
                <w:b/>
                <w:color w:val="auto"/>
                <w:sz w:val="24"/>
              </w:rPr>
            </w:pPr>
            <w:r>
              <w:rPr>
                <w:rFonts w:hint="eastAsia" w:ascii="宋体" w:hAnsi="宋体" w:cs="宋体"/>
                <w:b/>
                <w:color w:val="auto"/>
                <w:sz w:val="24"/>
              </w:rPr>
              <w:t>事项</w:t>
            </w:r>
          </w:p>
        </w:tc>
        <w:tc>
          <w:tcPr>
            <w:tcW w:w="6095" w:type="dxa"/>
            <w:vAlign w:val="center"/>
          </w:tcPr>
          <w:p w14:paraId="7794CEB0">
            <w:pPr>
              <w:snapToGrid w:val="0"/>
              <w:spacing w:line="360" w:lineRule="auto"/>
              <w:jc w:val="center"/>
              <w:rPr>
                <w:rFonts w:ascii="宋体" w:hAnsi="宋体" w:cs="宋体"/>
                <w:b/>
                <w:color w:val="auto"/>
                <w:sz w:val="24"/>
              </w:rPr>
            </w:pPr>
            <w:r>
              <w:rPr>
                <w:rFonts w:hint="eastAsia" w:ascii="宋体" w:hAnsi="宋体" w:cs="宋体"/>
                <w:b/>
                <w:color w:val="auto"/>
                <w:sz w:val="24"/>
              </w:rPr>
              <w:t>本项目的特别规定</w:t>
            </w:r>
          </w:p>
        </w:tc>
      </w:tr>
      <w:tr w14:paraId="02E4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5" w:hRule="atLeast"/>
        </w:trPr>
        <w:tc>
          <w:tcPr>
            <w:tcW w:w="629" w:type="dxa"/>
            <w:vAlign w:val="center"/>
          </w:tcPr>
          <w:p w14:paraId="1133BB41">
            <w:pPr>
              <w:snapToGrid w:val="0"/>
              <w:spacing w:line="360" w:lineRule="auto"/>
              <w:jc w:val="center"/>
              <w:rPr>
                <w:rFonts w:ascii="宋体" w:hAnsi="宋体" w:cs="宋体"/>
                <w:color w:val="auto"/>
                <w:sz w:val="24"/>
              </w:rPr>
            </w:pPr>
            <w:r>
              <w:rPr>
                <w:rFonts w:hint="eastAsia" w:ascii="宋体" w:hAnsi="宋体" w:cs="宋体"/>
                <w:color w:val="auto"/>
                <w:sz w:val="24"/>
              </w:rPr>
              <w:t>1</w:t>
            </w:r>
          </w:p>
        </w:tc>
        <w:tc>
          <w:tcPr>
            <w:tcW w:w="1843" w:type="dxa"/>
            <w:vAlign w:val="center"/>
          </w:tcPr>
          <w:p w14:paraId="1BE5DE23">
            <w:pPr>
              <w:snapToGrid w:val="0"/>
              <w:spacing w:line="360" w:lineRule="auto"/>
              <w:jc w:val="center"/>
              <w:rPr>
                <w:rFonts w:ascii="宋体" w:hAnsi="宋体" w:cs="宋体"/>
                <w:b/>
                <w:color w:val="auto"/>
                <w:sz w:val="24"/>
              </w:rPr>
            </w:pPr>
            <w:r>
              <w:rPr>
                <w:rFonts w:hint="eastAsia" w:ascii="宋体" w:hAnsi="宋体" w:cs="宋体"/>
                <w:b/>
                <w:color w:val="auto"/>
                <w:sz w:val="24"/>
              </w:rPr>
              <w:t>项目属性与核心产品</w:t>
            </w:r>
          </w:p>
        </w:tc>
        <w:tc>
          <w:tcPr>
            <w:tcW w:w="6095" w:type="dxa"/>
            <w:vAlign w:val="center"/>
          </w:tcPr>
          <w:p w14:paraId="3338901F">
            <w:pPr>
              <w:spacing w:line="360" w:lineRule="auto"/>
              <w:rPr>
                <w:rFonts w:ascii="宋体" w:hAnsi="宋体" w:cs="宋体"/>
                <w:color w:val="auto"/>
                <w:sz w:val="24"/>
              </w:rPr>
            </w:pPr>
            <w:r>
              <w:rPr>
                <w:rFonts w:hint="eastAsia" w:ascii="宋体" w:hAnsi="宋体" w:cs="宋体"/>
                <w:color w:val="auto"/>
                <w:sz w:val="24"/>
              </w:rPr>
              <w:t>货物类。</w:t>
            </w:r>
          </w:p>
          <w:p w14:paraId="4352C6F6">
            <w:pPr>
              <w:spacing w:line="360" w:lineRule="auto"/>
              <w:rPr>
                <w:rFonts w:ascii="宋体" w:hAnsi="宋体" w:cs="宋体"/>
                <w:color w:val="auto"/>
                <w:sz w:val="24"/>
              </w:rPr>
            </w:pPr>
            <w:r>
              <w:rPr>
                <w:rFonts w:hint="eastAsia" w:ascii="宋体" w:hAnsi="宋体" w:cs="宋体"/>
                <w:color w:val="auto"/>
                <w:sz w:val="24"/>
              </w:rPr>
              <w:t>单一产品或</w:t>
            </w:r>
            <w:r>
              <w:rPr>
                <w:rFonts w:hint="eastAsia" w:ascii="宋体" w:hAnsi="宋体" w:cs="宋体"/>
                <w:color w:val="auto"/>
                <w:kern w:val="0"/>
                <w:sz w:val="24"/>
              </w:rPr>
              <w:t>核心产品为：</w:t>
            </w:r>
            <w:r>
              <w:rPr>
                <w:rFonts w:hint="eastAsia" w:ascii="宋体" w:hAnsi="宋体" w:cs="宋体"/>
                <w:b/>
                <w:bCs/>
                <w:color w:val="auto"/>
                <w:kern w:val="0"/>
                <w:sz w:val="24"/>
                <w:u w:val="single"/>
              </w:rPr>
              <w:t>教学用台式计算机</w:t>
            </w:r>
            <w:r>
              <w:rPr>
                <w:rFonts w:hint="eastAsia" w:ascii="宋体" w:hAnsi="宋体" w:cs="宋体"/>
                <w:b/>
                <w:bCs/>
                <w:color w:val="auto"/>
                <w:sz w:val="24"/>
                <w:u w:val="single"/>
              </w:rPr>
              <w:t>1、实训桌1</w:t>
            </w:r>
            <w:r>
              <w:rPr>
                <w:rFonts w:hint="eastAsia" w:ascii="宋体" w:hAnsi="宋体" w:cs="宋体"/>
                <w:color w:val="auto"/>
                <w:sz w:val="24"/>
                <w:u w:val="single"/>
              </w:rPr>
              <w:t xml:space="preserve">    </w:t>
            </w:r>
            <w:r>
              <w:rPr>
                <w:rFonts w:hint="eastAsia" w:ascii="宋体" w:hAnsi="宋体" w:cs="宋体"/>
                <w:color w:val="auto"/>
                <w:sz w:val="24"/>
              </w:rPr>
              <w:t>。</w:t>
            </w:r>
          </w:p>
        </w:tc>
      </w:tr>
      <w:tr w14:paraId="75CC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29" w:type="dxa"/>
            <w:vAlign w:val="center"/>
          </w:tcPr>
          <w:p w14:paraId="68A30509">
            <w:pPr>
              <w:snapToGrid w:val="0"/>
              <w:spacing w:line="360" w:lineRule="auto"/>
              <w:jc w:val="center"/>
              <w:rPr>
                <w:rFonts w:ascii="宋体" w:hAnsi="宋体" w:cs="宋体"/>
                <w:color w:val="auto"/>
                <w:sz w:val="24"/>
              </w:rPr>
            </w:pPr>
            <w:r>
              <w:rPr>
                <w:rFonts w:hint="eastAsia" w:ascii="宋体" w:hAnsi="宋体" w:cs="宋体"/>
                <w:color w:val="auto"/>
                <w:sz w:val="24"/>
              </w:rPr>
              <w:t>2</w:t>
            </w:r>
          </w:p>
        </w:tc>
        <w:tc>
          <w:tcPr>
            <w:tcW w:w="1843" w:type="dxa"/>
            <w:vAlign w:val="center"/>
          </w:tcPr>
          <w:p w14:paraId="220210C7">
            <w:pPr>
              <w:snapToGrid w:val="0"/>
              <w:spacing w:line="360" w:lineRule="auto"/>
              <w:jc w:val="center"/>
              <w:rPr>
                <w:rFonts w:ascii="宋体" w:hAnsi="宋体" w:cs="宋体"/>
                <w:b/>
                <w:color w:val="auto"/>
                <w:sz w:val="24"/>
              </w:rPr>
            </w:pPr>
            <w:r>
              <w:rPr>
                <w:rFonts w:hint="eastAsia" w:ascii="宋体" w:hAnsi="宋体" w:cs="宋体"/>
                <w:b/>
                <w:color w:val="auto"/>
                <w:sz w:val="24"/>
              </w:rPr>
              <w:t>采购标的及其对应的中小企业划分标准所属行业</w:t>
            </w:r>
          </w:p>
        </w:tc>
        <w:tc>
          <w:tcPr>
            <w:tcW w:w="6095" w:type="dxa"/>
            <w:vAlign w:val="center"/>
          </w:tcPr>
          <w:p w14:paraId="0A92C5D1">
            <w:pPr>
              <w:numPr>
                <w:ilvl w:val="255"/>
                <w:numId w:val="0"/>
              </w:numPr>
              <w:rPr>
                <w:rFonts w:ascii="宋体" w:hAnsi="宋体" w:cs="宋体"/>
                <w:color w:val="auto"/>
                <w:kern w:val="0"/>
                <w:sz w:val="24"/>
              </w:rPr>
            </w:pPr>
            <w:r>
              <w:rPr>
                <w:rFonts w:hint="eastAsia" w:ascii="宋体" w:hAnsi="宋体" w:cs="宋体"/>
                <w:color w:val="auto"/>
                <w:kern w:val="0"/>
                <w:sz w:val="24"/>
              </w:rPr>
              <w:t>（1）标的：</w:t>
            </w:r>
            <w:r>
              <w:rPr>
                <w:rFonts w:hint="eastAsia"/>
                <w:b/>
                <w:bCs/>
                <w:color w:val="auto"/>
                <w:sz w:val="24"/>
                <w:u w:val="single"/>
              </w:rPr>
              <w:t>教学用台式计算机</w:t>
            </w:r>
            <w:r>
              <w:rPr>
                <w:b/>
                <w:bCs/>
                <w:color w:val="auto"/>
                <w:sz w:val="24"/>
                <w:u w:val="single"/>
              </w:rPr>
              <w:t>1</w:t>
            </w:r>
            <w:r>
              <w:rPr>
                <w:rFonts w:hint="eastAsia"/>
                <w:b/>
                <w:bCs/>
                <w:color w:val="auto"/>
                <w:sz w:val="24"/>
                <w:u w:val="single"/>
              </w:rPr>
              <w:t>、教学用台式计算机</w:t>
            </w:r>
            <w:r>
              <w:rPr>
                <w:b/>
                <w:bCs/>
                <w:color w:val="auto"/>
                <w:sz w:val="24"/>
                <w:u w:val="single"/>
              </w:rPr>
              <w:t>2</w:t>
            </w:r>
            <w:r>
              <w:rPr>
                <w:rFonts w:hint="eastAsia"/>
                <w:b/>
                <w:bCs/>
                <w:color w:val="auto"/>
                <w:sz w:val="24"/>
                <w:u w:val="single"/>
              </w:rPr>
              <w:t>、耳麦、交换机、教师椅、实训桌1、实训桌2、实训椅、智慧物联设备、实训室布线、教学用笔记本电脑、移动图形工作站、移动隔板、服务器</w:t>
            </w:r>
            <w:r>
              <w:rPr>
                <w:rFonts w:hint="eastAsia" w:ascii="宋体" w:hAnsi="宋体" w:cs="宋体"/>
                <w:color w:val="auto"/>
                <w:kern w:val="0"/>
                <w:sz w:val="24"/>
              </w:rPr>
              <w:t>，属于</w:t>
            </w:r>
            <w:r>
              <w:rPr>
                <w:rFonts w:hint="eastAsia" w:ascii="宋体" w:hAnsi="宋体" w:cs="宋体"/>
                <w:color w:val="auto"/>
                <w:kern w:val="0"/>
                <w:sz w:val="24"/>
                <w:u w:val="single"/>
              </w:rPr>
              <w:t>工业</w:t>
            </w:r>
            <w:r>
              <w:rPr>
                <w:rFonts w:hint="eastAsia" w:ascii="宋体" w:hAnsi="宋体" w:cs="宋体"/>
                <w:color w:val="auto"/>
                <w:kern w:val="0"/>
                <w:sz w:val="24"/>
              </w:rPr>
              <w:t>行业；</w:t>
            </w:r>
          </w:p>
          <w:p w14:paraId="237F16C8">
            <w:pPr>
              <w:rPr>
                <w:rFonts w:ascii="宋体" w:hAnsi="宋体" w:cs="宋体"/>
                <w:color w:val="auto"/>
                <w:sz w:val="24"/>
              </w:rPr>
            </w:pPr>
            <w:r>
              <w:rPr>
                <w:rFonts w:hint="eastAsia" w:ascii="宋体" w:hAnsi="宋体" w:cs="宋体"/>
                <w:color w:val="auto"/>
                <w:kern w:val="0"/>
                <w:sz w:val="24"/>
              </w:rPr>
              <w:t>（2）标的：</w:t>
            </w:r>
            <w:r>
              <w:rPr>
                <w:rFonts w:hint="eastAsia" w:ascii="宋体" w:hAnsi="宋体" w:cs="宋体"/>
                <w:b/>
                <w:bCs/>
                <w:color w:val="auto"/>
                <w:sz w:val="24"/>
                <w:u w:val="single"/>
              </w:rPr>
              <w:t>计算机实训室数据决策分析平台、融合桌面云平台、电子教室软件</w:t>
            </w:r>
            <w:r>
              <w:rPr>
                <w:rFonts w:hint="eastAsia" w:ascii="宋体" w:hAnsi="宋体" w:cs="宋体"/>
                <w:color w:val="auto"/>
                <w:kern w:val="0"/>
                <w:sz w:val="24"/>
              </w:rPr>
              <w:t>，属于</w:t>
            </w:r>
            <w:r>
              <w:rPr>
                <w:rFonts w:hint="eastAsia" w:ascii="宋体" w:hAnsi="宋体" w:cs="宋体"/>
                <w:color w:val="auto"/>
                <w:kern w:val="0"/>
                <w:sz w:val="24"/>
                <w:u w:val="single"/>
              </w:rPr>
              <w:t>软件和信息技术服务业行业；</w:t>
            </w:r>
          </w:p>
          <w:p w14:paraId="23FA1894">
            <w:pPr>
              <w:rPr>
                <w:rFonts w:ascii="宋体" w:hAnsi="宋体" w:cs="宋体"/>
                <w:color w:val="auto"/>
              </w:rPr>
            </w:pPr>
            <w:r>
              <w:rPr>
                <w:rFonts w:hint="eastAsia" w:ascii="宋体" w:hAnsi="宋体" w:cs="宋体"/>
                <w:color w:val="auto"/>
                <w:sz w:val="24"/>
              </w:rPr>
              <w:t>注：中小企业划型标准详见附件8。</w:t>
            </w:r>
          </w:p>
        </w:tc>
      </w:tr>
      <w:tr w14:paraId="5F30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082882E7">
            <w:pPr>
              <w:snapToGrid w:val="0"/>
              <w:spacing w:line="360" w:lineRule="auto"/>
              <w:jc w:val="center"/>
              <w:rPr>
                <w:rFonts w:ascii="宋体" w:hAnsi="宋体" w:cs="宋体"/>
                <w:color w:val="auto"/>
                <w:sz w:val="24"/>
              </w:rPr>
            </w:pPr>
            <w:r>
              <w:rPr>
                <w:rFonts w:hint="eastAsia" w:ascii="宋体" w:hAnsi="宋体" w:cs="宋体"/>
                <w:color w:val="auto"/>
                <w:sz w:val="24"/>
              </w:rPr>
              <w:t>3</w:t>
            </w:r>
          </w:p>
        </w:tc>
        <w:tc>
          <w:tcPr>
            <w:tcW w:w="1843" w:type="dxa"/>
            <w:vAlign w:val="center"/>
          </w:tcPr>
          <w:p w14:paraId="0A7B999A">
            <w:pPr>
              <w:snapToGrid w:val="0"/>
              <w:spacing w:line="360" w:lineRule="auto"/>
              <w:jc w:val="center"/>
              <w:rPr>
                <w:rFonts w:ascii="宋体" w:hAnsi="宋体" w:cs="宋体"/>
                <w:b/>
                <w:color w:val="auto"/>
                <w:sz w:val="24"/>
              </w:rPr>
            </w:pPr>
            <w:r>
              <w:rPr>
                <w:rFonts w:hint="eastAsia" w:ascii="宋体" w:hAnsi="宋体" w:cs="宋体"/>
                <w:b/>
                <w:color w:val="auto"/>
                <w:sz w:val="24"/>
              </w:rPr>
              <w:t>是否允许采购进口产品</w:t>
            </w:r>
          </w:p>
        </w:tc>
        <w:tc>
          <w:tcPr>
            <w:tcW w:w="6095" w:type="dxa"/>
            <w:vAlign w:val="center"/>
          </w:tcPr>
          <w:p w14:paraId="4E2A6C27">
            <w:pPr>
              <w:spacing w:line="360" w:lineRule="auto"/>
              <w:rPr>
                <w:rFonts w:ascii="宋体" w:hAnsi="宋体" w:cs="宋体"/>
                <w:color w:val="auto"/>
                <w:kern w:val="0"/>
                <w:sz w:val="24"/>
              </w:rPr>
            </w:pPr>
            <w:r>
              <w:rPr>
                <w:rFonts w:hint="eastAsia" w:ascii="宋体" w:hAnsi="宋体" w:cs="宋体"/>
                <w:color w:val="auto"/>
                <w:kern w:val="0"/>
                <w:sz w:val="24"/>
              </w:rPr>
              <w:sym w:font="Wingdings" w:char="F0FE"/>
            </w:r>
            <w:r>
              <w:rPr>
                <w:rFonts w:hint="eastAsia" w:ascii="宋体" w:hAnsi="宋体" w:cs="宋体"/>
                <w:color w:val="auto"/>
                <w:kern w:val="0"/>
                <w:sz w:val="24"/>
              </w:rPr>
              <w:t>本项目不允许采购进口产品。</w:t>
            </w:r>
          </w:p>
          <w:p w14:paraId="54759C65">
            <w:pPr>
              <w:spacing w:line="360" w:lineRule="auto"/>
              <w:rPr>
                <w:rFonts w:ascii="宋体" w:hAnsi="宋体" w:cs="宋体"/>
                <w:color w:val="auto"/>
              </w:rPr>
            </w:pPr>
            <w:r>
              <w:rPr>
                <w:rFonts w:hint="eastAsia" w:ascii="MS Mincho" w:hAnsi="MS Mincho" w:eastAsia="MS Mincho" w:cs="MS Mincho"/>
                <w:color w:val="auto"/>
                <w:kern w:val="0"/>
                <w:sz w:val="24"/>
              </w:rPr>
              <w:t>☐</w:t>
            </w:r>
            <w:r>
              <w:rPr>
                <w:rFonts w:hint="eastAsia" w:ascii="宋体" w:hAnsi="宋体" w:cs="宋体"/>
                <w:color w:val="auto"/>
                <w:kern w:val="0"/>
                <w:sz w:val="24"/>
              </w:rPr>
              <w:t>可以就</w:t>
            </w:r>
            <w:r>
              <w:rPr>
                <w:rFonts w:hint="eastAsia" w:ascii="宋体" w:hAnsi="宋体" w:cs="宋体"/>
                <w:color w:val="auto"/>
                <w:sz w:val="24"/>
                <w:u w:val="single"/>
              </w:rPr>
              <w:t xml:space="preserve">    </w:t>
            </w:r>
            <w:r>
              <w:rPr>
                <w:rFonts w:hint="eastAsia" w:ascii="宋体" w:hAnsi="宋体" w:cs="宋体"/>
                <w:color w:val="auto"/>
                <w:kern w:val="0"/>
                <w:sz w:val="24"/>
              </w:rPr>
              <w:t>采购进口产品。优先采购向我国企业转让技术、与我国企业签订消化吸收再创新方案的供应商的进口产品，详见</w:t>
            </w:r>
            <w:r>
              <w:rPr>
                <w:rFonts w:hint="eastAsia" w:ascii="宋体" w:hAnsi="宋体" w:cs="宋体"/>
                <w:color w:val="auto"/>
                <w:kern w:val="0"/>
                <w:sz w:val="24"/>
                <w:u w:val="single"/>
              </w:rPr>
              <w:t>评分标准</w:t>
            </w:r>
            <w:r>
              <w:rPr>
                <w:rFonts w:hint="eastAsia" w:ascii="宋体" w:hAnsi="宋体" w:cs="宋体"/>
                <w:color w:val="auto"/>
                <w:kern w:val="0"/>
                <w:sz w:val="24"/>
              </w:rPr>
              <w:t>。</w:t>
            </w:r>
          </w:p>
        </w:tc>
      </w:tr>
      <w:tr w14:paraId="77DE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13897592">
            <w:pPr>
              <w:snapToGrid w:val="0"/>
              <w:spacing w:line="360" w:lineRule="auto"/>
              <w:jc w:val="center"/>
              <w:rPr>
                <w:rFonts w:ascii="宋体" w:hAnsi="宋体" w:cs="宋体"/>
                <w:color w:val="auto"/>
                <w:sz w:val="24"/>
              </w:rPr>
            </w:pPr>
            <w:r>
              <w:rPr>
                <w:rFonts w:hint="eastAsia" w:ascii="宋体" w:hAnsi="宋体" w:cs="宋体"/>
                <w:color w:val="auto"/>
                <w:sz w:val="24"/>
              </w:rPr>
              <w:t>4</w:t>
            </w:r>
          </w:p>
        </w:tc>
        <w:tc>
          <w:tcPr>
            <w:tcW w:w="1843" w:type="dxa"/>
            <w:vAlign w:val="center"/>
          </w:tcPr>
          <w:p w14:paraId="080FC851">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分包</w:t>
            </w:r>
          </w:p>
        </w:tc>
        <w:tc>
          <w:tcPr>
            <w:tcW w:w="6095" w:type="dxa"/>
            <w:vAlign w:val="center"/>
          </w:tcPr>
          <w:p w14:paraId="042CB2A9">
            <w:pPr>
              <w:spacing w:line="360" w:lineRule="auto"/>
              <w:rPr>
                <w:rFonts w:ascii="宋体" w:hAnsi="宋体" w:cs="宋体"/>
                <w:color w:val="auto"/>
                <w:sz w:val="24"/>
              </w:rPr>
            </w:pPr>
            <w:r>
              <w:rPr>
                <w:rFonts w:ascii="Wingdings" w:hAnsi="Wingdings" w:cs="宋体"/>
                <w:color w:val="auto"/>
                <w:kern w:val="0"/>
                <w:sz w:val="24"/>
              </w:rPr>
              <w:t></w:t>
            </w:r>
            <w:r>
              <w:rPr>
                <w:rFonts w:hint="eastAsia" w:ascii="宋体" w:hAnsi="宋体" w:cs="宋体"/>
                <w:color w:val="auto"/>
                <w:kern w:val="0"/>
                <w:sz w:val="24"/>
              </w:rPr>
              <w:t xml:space="preserve"> A采购人仅</w:t>
            </w:r>
            <w:r>
              <w:rPr>
                <w:rFonts w:hint="eastAsia" w:ascii="宋体" w:hAnsi="宋体" w:cs="宋体"/>
                <w:color w:val="auto"/>
                <w:sz w:val="24"/>
              </w:rPr>
              <w:t>同意将非主体、非关键性的</w:t>
            </w:r>
            <w:r>
              <w:rPr>
                <w:rFonts w:hint="eastAsia" w:ascii="宋体" w:hAnsi="宋体" w:cs="宋体"/>
                <w:color w:val="auto"/>
                <w:sz w:val="24"/>
                <w:u w:val="single"/>
              </w:rPr>
              <w:t xml:space="preserve">   运输   </w:t>
            </w:r>
            <w:r>
              <w:rPr>
                <w:rFonts w:hint="eastAsia" w:ascii="宋体" w:hAnsi="宋体" w:cs="宋体"/>
                <w:color w:val="auto"/>
                <w:sz w:val="24"/>
              </w:rPr>
              <w:t>工作分包。供应商将其他内容分包的视为“</w:t>
            </w:r>
            <w:r>
              <w:rPr>
                <w:rFonts w:hint="eastAsia" w:ascii="宋体" w:hAnsi="宋体" w:cs="宋体"/>
                <w:color w:val="auto"/>
                <w:kern w:val="0"/>
                <w:sz w:val="24"/>
              </w:rPr>
              <w:t>投标文件含有采购人不能接受的附加条件”，投标无效。</w:t>
            </w:r>
          </w:p>
          <w:p w14:paraId="2A778EB3">
            <w:pPr>
              <w:spacing w:line="360" w:lineRule="auto"/>
              <w:rPr>
                <w:rFonts w:ascii="宋体" w:hAnsi="宋体" w:cs="宋体"/>
                <w:color w:val="auto"/>
                <w:sz w:val="24"/>
              </w:rPr>
            </w:pPr>
            <w:r>
              <w:rPr>
                <w:rFonts w:hint="eastAsia" w:ascii="MS Gothic" w:hAnsi="MS Gothic" w:cs="宋体"/>
                <w:color w:val="auto"/>
                <w:kern w:val="0"/>
                <w:sz w:val="24"/>
              </w:rPr>
              <w:t>☐</w:t>
            </w:r>
            <w:r>
              <w:rPr>
                <w:rFonts w:hint="eastAsia" w:ascii="宋体" w:hAnsi="宋体" w:cs="宋体"/>
                <w:color w:val="auto"/>
                <w:kern w:val="0"/>
                <w:sz w:val="24"/>
              </w:rPr>
              <w:t xml:space="preserve"> B</w:t>
            </w:r>
            <w:r>
              <w:rPr>
                <w:rFonts w:hint="eastAsia" w:ascii="宋体" w:hAnsi="宋体" w:cs="宋体"/>
                <w:color w:val="auto"/>
                <w:sz w:val="24"/>
              </w:rPr>
              <w:t>不同意分包。</w:t>
            </w:r>
          </w:p>
          <w:p w14:paraId="7C58ED7C">
            <w:pPr>
              <w:spacing w:line="360" w:lineRule="auto"/>
              <w:rPr>
                <w:rFonts w:ascii="宋体" w:hAnsi="宋体" w:cs="宋体"/>
                <w:color w:val="auto"/>
                <w:sz w:val="24"/>
              </w:rPr>
            </w:pPr>
            <w:r>
              <w:rPr>
                <w:rFonts w:hint="eastAsia" w:ascii="宋体" w:hAnsi="宋体" w:cs="宋体"/>
                <w:color w:val="auto"/>
                <w:sz w:val="24"/>
              </w:rPr>
              <w:t>注：不得限制大中型企业向小微企业合理分包。</w:t>
            </w:r>
          </w:p>
        </w:tc>
      </w:tr>
      <w:tr w14:paraId="7E43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102F74E3">
            <w:pPr>
              <w:snapToGrid w:val="0"/>
              <w:spacing w:line="360" w:lineRule="auto"/>
              <w:jc w:val="center"/>
              <w:rPr>
                <w:rFonts w:ascii="宋体" w:hAnsi="宋体" w:cs="宋体"/>
                <w:color w:val="auto"/>
                <w:sz w:val="24"/>
              </w:rPr>
            </w:pPr>
            <w:r>
              <w:rPr>
                <w:rFonts w:hint="eastAsia" w:ascii="宋体" w:hAnsi="宋体" w:cs="宋体"/>
                <w:color w:val="auto"/>
                <w:sz w:val="24"/>
              </w:rPr>
              <w:t>5</w:t>
            </w:r>
          </w:p>
        </w:tc>
        <w:tc>
          <w:tcPr>
            <w:tcW w:w="1843" w:type="dxa"/>
            <w:vAlign w:val="center"/>
          </w:tcPr>
          <w:p w14:paraId="5443FE72">
            <w:pPr>
              <w:snapToGrid w:val="0"/>
              <w:spacing w:line="360" w:lineRule="auto"/>
              <w:jc w:val="center"/>
              <w:rPr>
                <w:rFonts w:ascii="宋体" w:hAnsi="宋体" w:cs="宋体"/>
                <w:b/>
                <w:color w:val="auto"/>
                <w:sz w:val="24"/>
              </w:rPr>
            </w:pPr>
            <w:r>
              <w:rPr>
                <w:rFonts w:hint="eastAsia" w:ascii="宋体" w:hAnsi="宋体" w:cs="宋体"/>
                <w:b/>
                <w:color w:val="auto"/>
                <w:sz w:val="24"/>
              </w:rPr>
              <w:t>开标前答疑会或现场考察</w:t>
            </w:r>
          </w:p>
        </w:tc>
        <w:tc>
          <w:tcPr>
            <w:tcW w:w="6095" w:type="dxa"/>
            <w:vAlign w:val="center"/>
          </w:tcPr>
          <w:p w14:paraId="5F913319">
            <w:pPr>
              <w:spacing w:line="360" w:lineRule="auto"/>
              <w:rPr>
                <w:rFonts w:ascii="宋体" w:hAnsi="宋体" w:cs="宋体"/>
                <w:color w:val="auto"/>
                <w:sz w:val="24"/>
              </w:rPr>
            </w:pPr>
            <w:r>
              <w:rPr>
                <w:rFonts w:ascii="Wingdings" w:hAnsi="Wingdings" w:eastAsia="MS Gothic" w:cs="宋体"/>
                <w:color w:val="auto"/>
                <w:kern w:val="0"/>
                <w:sz w:val="24"/>
              </w:rPr>
              <w:t></w:t>
            </w:r>
            <w:r>
              <w:rPr>
                <w:rFonts w:hint="eastAsia" w:ascii="宋体" w:hAnsi="宋体" w:cs="宋体"/>
                <w:color w:val="auto"/>
                <w:kern w:val="0"/>
                <w:sz w:val="24"/>
              </w:rPr>
              <w:t>A</w:t>
            </w:r>
            <w:r>
              <w:rPr>
                <w:rFonts w:hint="eastAsia" w:ascii="宋体" w:hAnsi="宋体" w:cs="宋体"/>
                <w:color w:val="auto"/>
                <w:sz w:val="24"/>
              </w:rPr>
              <w:t>不组织。</w:t>
            </w:r>
          </w:p>
          <w:p w14:paraId="056B2CEE">
            <w:pPr>
              <w:spacing w:line="360" w:lineRule="auto"/>
              <w:rPr>
                <w:rFonts w:ascii="宋体" w:hAnsi="宋体" w:cs="宋体"/>
                <w:color w:val="auto"/>
                <w:sz w:val="24"/>
                <w:szCs w:val="20"/>
              </w:rPr>
            </w:pPr>
            <w:r>
              <w:rPr>
                <w:rFonts w:hint="eastAsia" w:ascii="MS Gothic" w:hAnsi="MS Gothic" w:cs="宋体"/>
                <w:color w:val="auto"/>
                <w:kern w:val="0"/>
                <w:sz w:val="24"/>
              </w:rPr>
              <w:t>☐</w:t>
            </w:r>
            <w:r>
              <w:rPr>
                <w:rFonts w:hint="eastAsia" w:ascii="宋体" w:hAnsi="宋体" w:cs="宋体"/>
                <w:color w:val="auto"/>
                <w:kern w:val="0"/>
                <w:sz w:val="24"/>
              </w:rPr>
              <w:t>B组织，</w:t>
            </w:r>
            <w:r>
              <w:rPr>
                <w:rFonts w:hint="eastAsia" w:ascii="宋体" w:hAnsi="宋体" w:cs="宋体"/>
                <w:color w:val="auto"/>
                <w:sz w:val="24"/>
              </w:rPr>
              <w:t>时间：</w:t>
            </w:r>
            <w:r>
              <w:rPr>
                <w:rFonts w:hint="eastAsia" w:ascii="宋体" w:hAnsi="宋体" w:cs="宋体"/>
                <w:color w:val="auto"/>
                <w:sz w:val="24"/>
                <w:u w:val="single"/>
              </w:rPr>
              <w:t xml:space="preserve">      </w:t>
            </w:r>
            <w:r>
              <w:rPr>
                <w:rFonts w:hint="eastAsia" w:ascii="宋体" w:hAnsi="宋体" w:cs="宋体"/>
                <w:color w:val="auto"/>
                <w:sz w:val="24"/>
              </w:rPr>
              <w:t>,地点：</w:t>
            </w:r>
            <w:r>
              <w:rPr>
                <w:rFonts w:hint="eastAsia" w:ascii="宋体" w:hAnsi="宋体" w:cs="宋体"/>
                <w:color w:val="auto"/>
                <w:sz w:val="24"/>
                <w:u w:val="single"/>
              </w:rPr>
              <w:t xml:space="preserve">      </w:t>
            </w:r>
            <w:r>
              <w:rPr>
                <w:rFonts w:hint="eastAsia" w:ascii="宋体" w:hAnsi="宋体" w:cs="宋体"/>
                <w:color w:val="auto"/>
                <w:sz w:val="24"/>
              </w:rPr>
              <w:t>，联系人：</w:t>
            </w:r>
            <w:r>
              <w:rPr>
                <w:rFonts w:hint="eastAsia" w:ascii="宋体" w:hAnsi="宋体" w:cs="宋体"/>
                <w:color w:val="auto"/>
                <w:sz w:val="24"/>
                <w:u w:val="single"/>
              </w:rPr>
              <w:t xml:space="preserve">      </w:t>
            </w:r>
            <w:r>
              <w:rPr>
                <w:rFonts w:hint="eastAsia" w:ascii="宋体" w:hAnsi="宋体" w:cs="宋体"/>
                <w:color w:val="auto"/>
                <w:sz w:val="24"/>
              </w:rPr>
              <w:t>，联系方式：</w:t>
            </w:r>
            <w:r>
              <w:rPr>
                <w:rFonts w:hint="eastAsia" w:ascii="宋体" w:hAnsi="宋体" w:cs="宋体"/>
                <w:color w:val="auto"/>
                <w:sz w:val="24"/>
                <w:u w:val="single"/>
              </w:rPr>
              <w:t xml:space="preserve">      </w:t>
            </w:r>
            <w:r>
              <w:rPr>
                <w:rFonts w:hint="eastAsia" w:ascii="宋体" w:hAnsi="宋体" w:cs="宋体"/>
                <w:color w:val="auto"/>
                <w:sz w:val="24"/>
                <w:szCs w:val="20"/>
              </w:rPr>
              <w:t>。</w:t>
            </w:r>
          </w:p>
          <w:p w14:paraId="3B00BEFB">
            <w:pPr>
              <w:spacing w:line="360" w:lineRule="auto"/>
              <w:rPr>
                <w:rFonts w:ascii="宋体" w:hAnsi="宋体" w:cs="宋体"/>
                <w:color w:val="auto"/>
                <w:sz w:val="24"/>
                <w:szCs w:val="20"/>
              </w:rPr>
            </w:pPr>
            <w:r>
              <w:rPr>
                <w:rFonts w:hint="eastAsia" w:ascii="宋体" w:hAnsi="宋体" w:cs="宋体"/>
                <w:color w:val="auto"/>
                <w:kern w:val="0"/>
                <w:sz w:val="24"/>
              </w:rPr>
              <w:t>☐</w:t>
            </w:r>
            <w:r>
              <w:rPr>
                <w:rFonts w:hint="eastAsia" w:ascii="宋体" w:hAnsi="宋体" w:cs="宋体"/>
                <w:color w:val="auto"/>
                <w:sz w:val="24"/>
              </w:rPr>
              <w:t>C不统一组织，供应商在获取采购文件后，自行至项目现场考察。地点：</w:t>
            </w:r>
            <w:r>
              <w:rPr>
                <w:rFonts w:hint="eastAsia" w:ascii="宋体" w:hAnsi="宋体" w:cs="宋体"/>
                <w:color w:val="auto"/>
                <w:sz w:val="24"/>
                <w:u w:val="single"/>
              </w:rPr>
              <w:t xml:space="preserve">      </w:t>
            </w:r>
            <w:r>
              <w:rPr>
                <w:rFonts w:hint="eastAsia" w:ascii="宋体" w:hAnsi="宋体" w:cs="宋体"/>
                <w:color w:val="auto"/>
                <w:sz w:val="24"/>
              </w:rPr>
              <w:t>，联系人：</w:t>
            </w:r>
            <w:r>
              <w:rPr>
                <w:rFonts w:hint="eastAsia" w:ascii="宋体" w:hAnsi="宋体" w:cs="宋体"/>
                <w:color w:val="auto"/>
                <w:sz w:val="24"/>
                <w:u w:val="single"/>
              </w:rPr>
              <w:t xml:space="preserve">      </w:t>
            </w:r>
            <w:r>
              <w:rPr>
                <w:rFonts w:hint="eastAsia" w:ascii="宋体" w:hAnsi="宋体" w:cs="宋体"/>
                <w:color w:val="auto"/>
                <w:sz w:val="24"/>
              </w:rPr>
              <w:t>，联系方式：</w:t>
            </w:r>
            <w:r>
              <w:rPr>
                <w:rFonts w:hint="eastAsia" w:ascii="宋体" w:hAnsi="宋体" w:cs="宋体"/>
                <w:color w:val="auto"/>
                <w:sz w:val="24"/>
                <w:u w:val="single"/>
              </w:rPr>
              <w:t xml:space="preserve">      </w:t>
            </w:r>
            <w:r>
              <w:rPr>
                <w:rFonts w:hint="eastAsia" w:ascii="宋体" w:hAnsi="宋体" w:cs="宋体"/>
                <w:color w:val="auto"/>
                <w:sz w:val="24"/>
              </w:rPr>
              <w:t>。</w:t>
            </w:r>
          </w:p>
        </w:tc>
      </w:tr>
      <w:tr w14:paraId="220B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4A54E777">
            <w:pPr>
              <w:snapToGrid w:val="0"/>
              <w:spacing w:line="360" w:lineRule="auto"/>
              <w:jc w:val="center"/>
              <w:rPr>
                <w:rFonts w:ascii="宋体" w:hAnsi="宋体" w:cs="宋体"/>
                <w:color w:val="auto"/>
                <w:sz w:val="24"/>
              </w:rPr>
            </w:pPr>
            <w:r>
              <w:rPr>
                <w:rFonts w:hint="eastAsia" w:ascii="宋体" w:hAnsi="宋体" w:cs="宋体"/>
                <w:color w:val="auto"/>
                <w:sz w:val="24"/>
              </w:rPr>
              <w:t>6</w:t>
            </w:r>
          </w:p>
        </w:tc>
        <w:tc>
          <w:tcPr>
            <w:tcW w:w="1843" w:type="dxa"/>
            <w:vAlign w:val="center"/>
          </w:tcPr>
          <w:p w14:paraId="04BFBE7A">
            <w:pPr>
              <w:snapToGrid w:val="0"/>
              <w:spacing w:line="360" w:lineRule="auto"/>
              <w:jc w:val="center"/>
              <w:rPr>
                <w:rFonts w:ascii="宋体" w:hAnsi="宋体" w:cs="宋体"/>
                <w:b/>
                <w:color w:val="auto"/>
                <w:sz w:val="24"/>
              </w:rPr>
            </w:pPr>
            <w:r>
              <w:rPr>
                <w:rFonts w:hint="eastAsia" w:ascii="宋体" w:hAnsi="宋体" w:cs="宋体"/>
                <w:b/>
                <w:color w:val="auto"/>
                <w:sz w:val="24"/>
              </w:rPr>
              <w:t>样品提供</w:t>
            </w:r>
          </w:p>
        </w:tc>
        <w:tc>
          <w:tcPr>
            <w:tcW w:w="6095" w:type="dxa"/>
            <w:vAlign w:val="center"/>
          </w:tcPr>
          <w:p w14:paraId="4FF978C1">
            <w:pPr>
              <w:spacing w:line="360" w:lineRule="auto"/>
              <w:rPr>
                <w:rFonts w:ascii="宋体" w:hAnsi="宋体" w:cs="宋体"/>
                <w:color w:val="auto"/>
                <w:sz w:val="24"/>
              </w:rPr>
            </w:pPr>
            <w:r>
              <w:rPr>
                <w:rFonts w:hint="eastAsia" w:ascii="MS Gothic" w:hAnsi="MS Gothic" w:eastAsia="MS Gothic" w:cs="宋体"/>
                <w:color w:val="auto"/>
                <w:kern w:val="0"/>
                <w:sz w:val="24"/>
              </w:rPr>
              <w:t>☐</w:t>
            </w:r>
            <w:r>
              <w:rPr>
                <w:rFonts w:hint="eastAsia" w:ascii="宋体" w:hAnsi="宋体" w:cs="宋体"/>
                <w:color w:val="auto"/>
                <w:kern w:val="0"/>
                <w:sz w:val="24"/>
              </w:rPr>
              <w:t>A</w:t>
            </w:r>
            <w:r>
              <w:rPr>
                <w:rFonts w:hint="eastAsia" w:ascii="宋体" w:hAnsi="宋体" w:cs="宋体"/>
                <w:color w:val="auto"/>
                <w:sz w:val="24"/>
              </w:rPr>
              <w:t>不要求提供。</w:t>
            </w:r>
          </w:p>
          <w:p w14:paraId="794F69B4">
            <w:pPr>
              <w:spacing w:line="360" w:lineRule="auto"/>
              <w:rPr>
                <w:rFonts w:ascii="宋体" w:hAnsi="宋体" w:cs="宋体"/>
                <w:color w:val="auto"/>
                <w:kern w:val="0"/>
                <w:sz w:val="24"/>
              </w:rPr>
            </w:pPr>
            <w:r>
              <w:rPr>
                <w:rFonts w:hint="eastAsia" w:ascii="宋体" w:hAnsi="宋体" w:cs="宋体"/>
                <w:color w:val="auto"/>
                <w:kern w:val="0"/>
                <w:sz w:val="24"/>
              </w:rPr>
              <w:sym w:font="Wingdings" w:char="F0FE"/>
            </w:r>
            <w:r>
              <w:rPr>
                <w:rFonts w:hint="eastAsia" w:ascii="宋体" w:hAnsi="宋体" w:cs="宋体"/>
                <w:color w:val="auto"/>
                <w:kern w:val="0"/>
                <w:sz w:val="24"/>
              </w:rPr>
              <w:t>B要求提供（未提供样品或提供样品不满足采购需求实质性条件的供应商，投标无效）：</w:t>
            </w:r>
          </w:p>
          <w:p w14:paraId="60F7D801">
            <w:pPr>
              <w:spacing w:line="360" w:lineRule="auto"/>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snapToGrid w:val="0"/>
                <w:color w:val="auto"/>
                <w:kern w:val="28"/>
                <w:sz w:val="24"/>
              </w:rPr>
              <w:t>样品：</w:t>
            </w:r>
            <w:r>
              <w:rPr>
                <w:rFonts w:hint="eastAsia" w:ascii="宋体" w:hAnsi="宋体" w:cs="宋体"/>
                <w:color w:val="auto"/>
                <w:sz w:val="22"/>
                <w:szCs w:val="22"/>
                <w:u w:val="single"/>
              </w:rPr>
              <w:t>实训桌</w:t>
            </w:r>
            <w:r>
              <w:rPr>
                <w:rFonts w:ascii="宋体" w:hAnsi="宋体" w:cs="宋体"/>
                <w:color w:val="auto"/>
                <w:sz w:val="22"/>
                <w:szCs w:val="22"/>
                <w:u w:val="single"/>
              </w:rPr>
              <w:t>1</w:t>
            </w:r>
            <w:r>
              <w:rPr>
                <w:rFonts w:hint="eastAsia" w:ascii="宋体" w:hAnsi="宋体" w:cs="宋体"/>
                <w:color w:val="auto"/>
                <w:sz w:val="24"/>
                <w:u w:val="single"/>
              </w:rPr>
              <w:t xml:space="preserve"> </w:t>
            </w:r>
            <w:r>
              <w:rPr>
                <w:rFonts w:hint="eastAsia" w:ascii="宋体" w:hAnsi="宋体" w:cs="宋体"/>
                <w:color w:val="auto"/>
                <w:kern w:val="0"/>
                <w:sz w:val="24"/>
              </w:rPr>
              <w:t>；（注：非核心产品不能设置为样品）</w:t>
            </w:r>
            <w:r>
              <w:rPr>
                <w:rFonts w:ascii="宋体" w:hAnsi="宋体" w:cs="宋体"/>
                <w:color w:val="auto"/>
                <w:kern w:val="0"/>
                <w:sz w:val="24"/>
              </w:rPr>
              <w:t xml:space="preserve"> </w:t>
            </w:r>
          </w:p>
          <w:p w14:paraId="0255A8C5">
            <w:pPr>
              <w:spacing w:line="360" w:lineRule="auto"/>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snapToGrid w:val="0"/>
                <w:color w:val="auto"/>
                <w:kern w:val="28"/>
                <w:sz w:val="24"/>
              </w:rPr>
              <w:t>样品制作的标准和要求：</w:t>
            </w:r>
            <w:r>
              <w:rPr>
                <w:rFonts w:hint="eastAsia" w:ascii="宋体" w:hAnsi="宋体" w:cs="宋体"/>
                <w:snapToGrid w:val="0"/>
                <w:color w:val="auto"/>
                <w:kern w:val="28"/>
                <w:sz w:val="22"/>
                <w:szCs w:val="22"/>
                <w:u w:val="single"/>
              </w:rPr>
              <w:t>符合本招标文件第三部分“采购清单及要求”对应参数要求</w:t>
            </w:r>
            <w:r>
              <w:rPr>
                <w:rFonts w:hint="eastAsia" w:ascii="宋体" w:hAnsi="宋体" w:cs="宋体"/>
                <w:color w:val="auto"/>
                <w:sz w:val="24"/>
                <w:u w:val="single"/>
              </w:rPr>
              <w:t xml:space="preserve">    </w:t>
            </w:r>
            <w:r>
              <w:rPr>
                <w:rFonts w:hint="eastAsia" w:ascii="宋体" w:hAnsi="宋体" w:cs="宋体"/>
                <w:color w:val="auto"/>
                <w:kern w:val="0"/>
                <w:sz w:val="24"/>
              </w:rPr>
              <w:t>；</w:t>
            </w:r>
          </w:p>
          <w:p w14:paraId="421495B6">
            <w:pPr>
              <w:spacing w:line="360" w:lineRule="auto"/>
              <w:rPr>
                <w:rFonts w:ascii="宋体" w:hAnsi="宋体" w:cs="宋体"/>
                <w:snapToGrid w:val="0"/>
                <w:color w:val="auto"/>
                <w:kern w:val="28"/>
                <w:sz w:val="24"/>
              </w:rPr>
            </w:pPr>
            <w:r>
              <w:rPr>
                <w:rFonts w:hint="eastAsia" w:ascii="宋体" w:hAnsi="宋体" w:cs="宋体"/>
                <w:color w:val="auto"/>
                <w:kern w:val="0"/>
                <w:sz w:val="24"/>
              </w:rPr>
              <w:t>（3）样品的评审方法以及评审标准</w:t>
            </w:r>
            <w:r>
              <w:rPr>
                <w:rFonts w:hint="eastAsia" w:ascii="宋体" w:hAnsi="宋体" w:cs="宋体"/>
                <w:snapToGrid w:val="0"/>
                <w:color w:val="auto"/>
                <w:kern w:val="28"/>
                <w:sz w:val="24"/>
              </w:rPr>
              <w:t>：</w:t>
            </w:r>
          </w:p>
          <w:p w14:paraId="02ACA56B">
            <w:pPr>
              <w:spacing w:line="360" w:lineRule="auto"/>
              <w:ind w:firstLine="240" w:firstLineChars="100"/>
              <w:rPr>
                <w:rFonts w:ascii="宋体" w:hAnsi="宋体" w:cs="宋体"/>
                <w:color w:val="auto"/>
                <w:sz w:val="24"/>
              </w:rPr>
            </w:pPr>
            <w:r>
              <w:rPr>
                <w:rFonts w:hint="eastAsia" w:ascii="Wingdings" w:hAnsi="Wingdings" w:eastAsia="MS Gothic" w:cs="宋体"/>
                <w:color w:val="auto"/>
                <w:kern w:val="0"/>
                <w:sz w:val="24"/>
                <w:szCs w:val="24"/>
                <w:lang w:val="en-US" w:eastAsia="zh-CN" w:bidi="ar-SA"/>
              </w:rPr>
              <w:t>þ</w:t>
            </w:r>
            <w:r>
              <w:rPr>
                <w:rFonts w:hint="eastAsia" w:ascii="宋体" w:hAnsi="宋体" w:cs="宋体"/>
                <w:color w:val="auto"/>
                <w:sz w:val="24"/>
              </w:rPr>
              <w:t>样品分未超过价格分的50%；</w:t>
            </w:r>
          </w:p>
          <w:p w14:paraId="4E80F7EA">
            <w:pPr>
              <w:spacing w:line="360" w:lineRule="auto"/>
              <w:ind w:firstLine="240" w:firstLineChars="100"/>
              <w:rPr>
                <w:rFonts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sz w:val="24"/>
              </w:rPr>
              <w:t>样品分超过价格分的50%，理由</w:t>
            </w:r>
            <w:r>
              <w:rPr>
                <w:rFonts w:hint="eastAsia" w:ascii="宋体" w:hAnsi="宋体" w:cs="宋体"/>
                <w:color w:val="auto"/>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0515B41">
            <w:pPr>
              <w:spacing w:line="360" w:lineRule="auto"/>
              <w:ind w:firstLine="240" w:firstLineChars="100"/>
              <w:rPr>
                <w:rFonts w:ascii="宋体" w:hAnsi="宋体" w:cs="宋体"/>
                <w:color w:val="auto"/>
                <w:kern w:val="0"/>
                <w:sz w:val="24"/>
              </w:rPr>
            </w:pPr>
            <w:r>
              <w:rPr>
                <w:rFonts w:hint="eastAsia" w:ascii="宋体" w:hAnsi="宋体" w:cs="宋体"/>
                <w:snapToGrid w:val="0"/>
                <w:color w:val="auto"/>
                <w:kern w:val="28"/>
                <w:sz w:val="24"/>
              </w:rPr>
              <w:t>详见招标文件第四部分</w:t>
            </w:r>
            <w:r>
              <w:rPr>
                <w:rFonts w:hint="eastAsia" w:ascii="宋体" w:hAnsi="宋体" w:cs="宋体"/>
                <w:color w:val="auto"/>
                <w:sz w:val="24"/>
                <w:u w:val="single"/>
              </w:rPr>
              <w:t>评标办法</w:t>
            </w:r>
            <w:r>
              <w:rPr>
                <w:rFonts w:hint="eastAsia" w:ascii="宋体" w:hAnsi="宋体" w:cs="宋体"/>
                <w:color w:val="auto"/>
                <w:kern w:val="0"/>
                <w:sz w:val="24"/>
              </w:rPr>
              <w:t xml:space="preserve">。 </w:t>
            </w:r>
          </w:p>
          <w:p w14:paraId="1D08663A">
            <w:pPr>
              <w:spacing w:line="360" w:lineRule="auto"/>
              <w:rPr>
                <w:rFonts w:ascii="宋体" w:hAnsi="宋体" w:cs="宋体"/>
                <w:color w:val="auto"/>
                <w:kern w:val="0"/>
                <w:sz w:val="24"/>
                <w:highlight w:val="none"/>
              </w:rPr>
            </w:pPr>
            <w:r>
              <w:rPr>
                <w:rFonts w:hint="eastAsia" w:ascii="宋体" w:hAnsi="宋体" w:cs="宋体"/>
                <w:color w:val="auto"/>
                <w:kern w:val="0"/>
                <w:sz w:val="24"/>
              </w:rPr>
              <w:t>（4）是否需要随样品提交检测报告：</w:t>
            </w:r>
            <w:r>
              <w:rPr>
                <w:rFonts w:hint="eastAsia" w:ascii="宋体" w:hAnsi="宋体" w:cs="宋体"/>
                <w:color w:val="auto"/>
                <w:kern w:val="0"/>
                <w:sz w:val="24"/>
              </w:rPr>
              <w:sym w:font="Wingdings" w:char="F0FE"/>
            </w:r>
            <w:r>
              <w:rPr>
                <w:rFonts w:hint="eastAsia" w:ascii="宋体" w:hAnsi="宋体" w:cs="宋体"/>
                <w:color w:val="auto"/>
                <w:kern w:val="0"/>
                <w:sz w:val="24"/>
              </w:rPr>
              <w:t>否；</w:t>
            </w:r>
            <w:r>
              <w:rPr>
                <w:rFonts w:hint="eastAsia" w:ascii="MS Gothic" w:hAnsi="MS Gothic" w:eastAsia="MS Gothic" w:cs="宋体"/>
                <w:color w:val="auto"/>
                <w:kern w:val="0"/>
                <w:sz w:val="24"/>
              </w:rPr>
              <w:t>☐</w:t>
            </w:r>
            <w:r>
              <w:rPr>
                <w:rFonts w:hint="eastAsia" w:ascii="宋体" w:hAnsi="宋体" w:cs="宋体"/>
                <w:color w:val="auto"/>
                <w:kern w:val="0"/>
                <w:sz w:val="24"/>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24762526">
            <w:pPr>
              <w:spacing w:line="360" w:lineRule="auto"/>
              <w:rPr>
                <w:rFonts w:ascii="宋体" w:hAnsi="宋体" w:cs="宋体"/>
                <w:color w:val="auto"/>
                <w:sz w:val="24"/>
              </w:rPr>
            </w:pPr>
            <w:r>
              <w:rPr>
                <w:rFonts w:hint="eastAsia" w:ascii="宋体" w:hAnsi="宋体" w:cs="宋体"/>
                <w:color w:val="auto"/>
                <w:sz w:val="24"/>
                <w:highlight w:val="none"/>
              </w:rPr>
              <w:t>（5）提供样品的时间：</w:t>
            </w:r>
            <w:r>
              <w:rPr>
                <w:rFonts w:ascii="宋体" w:hAnsi="宋体"/>
                <w:color w:val="auto"/>
                <w:sz w:val="24"/>
                <w:highlight w:val="none"/>
                <w:u w:val="single"/>
              </w:rPr>
              <w:t>投标截止时间前</w:t>
            </w:r>
            <w:r>
              <w:rPr>
                <w:rFonts w:ascii="宋体" w:hAnsi="宋体"/>
                <w:color w:val="auto"/>
                <w:kern w:val="0"/>
                <w:sz w:val="24"/>
                <w:highlight w:val="none"/>
              </w:rPr>
              <w:t>；地点：</w:t>
            </w:r>
            <w:r>
              <w:rPr>
                <w:rFonts w:hint="eastAsia" w:ascii="宋体" w:hAnsi="宋体" w:cs="宋体"/>
                <w:color w:val="auto"/>
                <w:sz w:val="24"/>
                <w:highlight w:val="none"/>
                <w:u w:val="single"/>
              </w:rPr>
              <w:t>杭州市公共资源交易</w:t>
            </w:r>
            <w:r>
              <w:rPr>
                <w:rFonts w:hint="eastAsia" w:ascii="宋体" w:hAnsi="宋体" w:eastAsia="宋体" w:cs="宋体"/>
                <w:color w:val="auto"/>
                <w:sz w:val="24"/>
                <w:highlight w:val="none"/>
                <w:u w:val="single"/>
              </w:rPr>
              <w:t>中心3楼样品室</w:t>
            </w:r>
            <w:r>
              <w:rPr>
                <w:rFonts w:hint="eastAsia" w:ascii="宋体" w:hAnsi="宋体" w:eastAsia="宋体" w:cs="宋体"/>
                <w:color w:val="auto"/>
                <w:kern w:val="0"/>
                <w:sz w:val="24"/>
                <w:highlight w:val="none"/>
              </w:rPr>
              <w:t>；联系人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徐莉  </w:t>
            </w:r>
            <w:r>
              <w:rPr>
                <w:rFonts w:hint="eastAsia" w:ascii="宋体" w:hAnsi="宋体" w:eastAsia="宋体" w:cs="宋体"/>
                <w:color w:val="auto"/>
                <w:sz w:val="24"/>
                <w:highlight w:val="none"/>
              </w:rPr>
              <w:t>，</w:t>
            </w:r>
            <w:r>
              <w:rPr>
                <w:rFonts w:hint="eastAsia" w:ascii="宋体" w:hAnsi="宋体" w:eastAsia="宋体" w:cs="宋体"/>
                <w:color w:val="auto"/>
                <w:kern w:val="28"/>
                <w:sz w:val="24"/>
                <w:highlight w:val="none"/>
              </w:rPr>
              <w:t>联系电话：</w:t>
            </w:r>
            <w:r>
              <w:rPr>
                <w:rFonts w:hint="eastAsia" w:ascii="宋体" w:hAnsi="宋体" w:eastAsia="宋体" w:cs="宋体"/>
                <w:color w:val="auto"/>
                <w:sz w:val="24"/>
                <w:highlight w:val="none"/>
                <w:u w:val="single"/>
              </w:rPr>
              <w:t xml:space="preserve"> 0571-89587880 </w:t>
            </w:r>
            <w:r>
              <w:rPr>
                <w:rFonts w:hint="eastAsia" w:ascii="宋体" w:hAnsi="宋体" w:eastAsia="宋体" w:cs="宋体"/>
                <w:color w:val="auto"/>
                <w:sz w:val="24"/>
                <w:highlight w:val="none"/>
              </w:rPr>
              <w:t>。</w:t>
            </w:r>
            <w:r>
              <w:rPr>
                <w:rFonts w:hint="eastAsia" w:ascii="宋体" w:hAnsi="宋体" w:cs="宋体"/>
                <w:color w:val="auto"/>
                <w:sz w:val="24"/>
                <w:highlight w:val="none"/>
              </w:rPr>
              <w:t>请投标人在上述</w:t>
            </w:r>
            <w:r>
              <w:rPr>
                <w:rFonts w:hint="eastAsia" w:ascii="宋体" w:hAnsi="宋体" w:cs="宋体"/>
                <w:color w:val="auto"/>
                <w:sz w:val="24"/>
              </w:rPr>
              <w:t>时间内提供样品并按规定位置安装完毕。超过截止时间的，采购人或采购代理机构将不予接收，并将清场并封闭样品现场。</w:t>
            </w:r>
          </w:p>
          <w:p w14:paraId="797F1DA5">
            <w:pPr>
              <w:spacing w:line="360" w:lineRule="auto"/>
              <w:rPr>
                <w:rFonts w:ascii="宋体" w:hAnsi="宋体" w:cs="宋体"/>
                <w:color w:val="auto"/>
                <w:sz w:val="24"/>
              </w:rPr>
            </w:pPr>
            <w:r>
              <w:rPr>
                <w:rFonts w:hint="eastAsia" w:ascii="宋体" w:hAnsi="宋体" w:cs="宋体"/>
                <w:color w:val="auto"/>
                <w:sz w:val="24"/>
              </w:rPr>
              <w:t>（6）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68304056">
            <w:pPr>
              <w:spacing w:line="360" w:lineRule="auto"/>
              <w:rPr>
                <w:rFonts w:ascii="宋体" w:hAnsi="宋体" w:cs="宋体"/>
                <w:b/>
                <w:color w:val="auto"/>
                <w:sz w:val="24"/>
              </w:rPr>
            </w:pPr>
            <w:r>
              <w:rPr>
                <w:rFonts w:hint="eastAsia" w:ascii="宋体" w:hAnsi="宋体" w:cs="宋体"/>
                <w:color w:val="auto"/>
                <w:sz w:val="24"/>
              </w:rPr>
              <w:t>（7）制作、运输、安装和保管样品所发生的一切费用由投标人自理。</w:t>
            </w:r>
          </w:p>
        </w:tc>
      </w:tr>
      <w:tr w14:paraId="7106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72FB9BF0">
            <w:pPr>
              <w:snapToGrid w:val="0"/>
              <w:spacing w:line="360" w:lineRule="auto"/>
              <w:jc w:val="center"/>
              <w:rPr>
                <w:rFonts w:ascii="宋体" w:hAnsi="宋体" w:cs="宋体"/>
                <w:color w:val="auto"/>
                <w:sz w:val="24"/>
              </w:rPr>
            </w:pPr>
            <w:r>
              <w:rPr>
                <w:rFonts w:hint="eastAsia" w:ascii="宋体" w:hAnsi="宋体" w:cs="宋体"/>
                <w:color w:val="auto"/>
                <w:sz w:val="24"/>
              </w:rPr>
              <w:t>7</w:t>
            </w:r>
          </w:p>
        </w:tc>
        <w:tc>
          <w:tcPr>
            <w:tcW w:w="1843" w:type="dxa"/>
            <w:vAlign w:val="center"/>
          </w:tcPr>
          <w:p w14:paraId="69F2EC78">
            <w:pPr>
              <w:snapToGrid w:val="0"/>
              <w:spacing w:line="360" w:lineRule="auto"/>
              <w:jc w:val="center"/>
              <w:rPr>
                <w:rFonts w:ascii="宋体" w:hAnsi="宋体" w:cs="宋体"/>
                <w:bCs/>
                <w:color w:val="auto"/>
                <w:sz w:val="24"/>
              </w:rPr>
            </w:pPr>
            <w:r>
              <w:rPr>
                <w:rFonts w:hint="eastAsia" w:ascii="宋体" w:hAnsi="宋体" w:cs="宋体"/>
                <w:b/>
                <w:color w:val="auto"/>
                <w:sz w:val="24"/>
              </w:rPr>
              <w:t>方案讲解演示</w:t>
            </w:r>
          </w:p>
        </w:tc>
        <w:tc>
          <w:tcPr>
            <w:tcW w:w="6095" w:type="dxa"/>
            <w:vAlign w:val="center"/>
          </w:tcPr>
          <w:p w14:paraId="65721BA6">
            <w:pPr>
              <w:spacing w:line="360" w:lineRule="auto"/>
              <w:rPr>
                <w:rFonts w:ascii="宋体" w:hAnsi="宋体" w:cs="宋体"/>
                <w:color w:val="auto"/>
                <w:sz w:val="24"/>
              </w:rPr>
            </w:pPr>
            <w:r>
              <w:rPr>
                <w:rFonts w:hint="eastAsia" w:ascii="宋体" w:hAnsi="宋体" w:cs="宋体"/>
                <w:color w:val="auto"/>
                <w:kern w:val="0"/>
                <w:sz w:val="24"/>
              </w:rPr>
              <w:sym w:font="Wingdings" w:char="F0FE"/>
            </w:r>
            <w:r>
              <w:rPr>
                <w:rFonts w:hint="eastAsia" w:ascii="宋体" w:hAnsi="宋体" w:cs="宋体"/>
                <w:color w:val="auto"/>
                <w:kern w:val="0"/>
                <w:sz w:val="24"/>
              </w:rPr>
              <w:t>A</w:t>
            </w:r>
            <w:r>
              <w:rPr>
                <w:rFonts w:hint="eastAsia" w:ascii="宋体" w:hAnsi="宋体" w:cs="宋体"/>
                <w:color w:val="auto"/>
                <w:sz w:val="24"/>
              </w:rPr>
              <w:t>不组织。</w:t>
            </w:r>
          </w:p>
          <w:p w14:paraId="2DC7D75D">
            <w:pPr>
              <w:spacing w:line="360" w:lineRule="auto"/>
              <w:rPr>
                <w:rFonts w:ascii="宋体" w:hAnsi="宋体" w:cs="宋体"/>
                <w:color w:val="auto"/>
                <w:kern w:val="0"/>
                <w:sz w:val="24"/>
              </w:rPr>
            </w:pPr>
            <w:r>
              <w:rPr>
                <w:rFonts w:hint="eastAsia" w:ascii="MS Gothic" w:hAnsi="MS Gothic" w:eastAsia="MS Gothic" w:cs="宋体"/>
                <w:color w:val="auto"/>
                <w:kern w:val="0"/>
                <w:sz w:val="24"/>
              </w:rPr>
              <w:t>☐</w:t>
            </w:r>
            <w:r>
              <w:rPr>
                <w:rFonts w:hint="eastAsia" w:ascii="宋体" w:hAnsi="宋体" w:cs="宋体"/>
                <w:color w:val="auto"/>
                <w:kern w:val="0"/>
                <w:sz w:val="24"/>
              </w:rPr>
              <w:t>B组织。</w:t>
            </w:r>
          </w:p>
          <w:p w14:paraId="375F271F">
            <w:pPr>
              <w:snapToGrid w:val="0"/>
              <w:spacing w:line="360" w:lineRule="auto"/>
              <w:rPr>
                <w:rFonts w:ascii="宋体" w:hAnsi="宋体" w:cs="宋体"/>
                <w:color w:val="auto"/>
                <w:kern w:val="0"/>
                <w:sz w:val="24"/>
              </w:rPr>
            </w:pPr>
            <w:r>
              <w:rPr>
                <w:rFonts w:hint="eastAsia" w:ascii="宋体" w:hAnsi="宋体" w:cs="宋体"/>
                <w:color w:val="auto"/>
                <w:kern w:val="0"/>
                <w:sz w:val="24"/>
              </w:rPr>
              <w:t>（1）在评标时安排每个投标人进行方案讲解演示。每个投标人时间不超过20分钟，讲解次序以投标文件解密时间先后次序为准，讲解演示人员不超过3人。讲解演示结束后按要求解答评标委员会提问。</w:t>
            </w:r>
          </w:p>
          <w:p w14:paraId="1AC7A574">
            <w:pPr>
              <w:snapToGrid w:val="0"/>
              <w:spacing w:line="360" w:lineRule="auto"/>
              <w:rPr>
                <w:rFonts w:ascii="宋体" w:hAnsi="宋体" w:cs="宋体"/>
                <w:color w:val="auto"/>
                <w:kern w:val="0"/>
                <w:sz w:val="24"/>
              </w:rPr>
            </w:pPr>
            <w:r>
              <w:rPr>
                <w:rFonts w:hint="eastAsia" w:ascii="宋体" w:hAnsi="宋体" w:cs="宋体"/>
                <w:color w:val="auto"/>
                <w:kern w:val="0"/>
                <w:sz w:val="24"/>
              </w:rPr>
              <w:t>（2）方案讲解演示可选择以下其中一种方式：</w:t>
            </w:r>
          </w:p>
          <w:p w14:paraId="3B15BE77">
            <w:pPr>
              <w:snapToGrid w:val="0"/>
              <w:spacing w:line="360" w:lineRule="auto"/>
              <w:rPr>
                <w:rFonts w:ascii="宋体" w:hAnsi="宋体" w:cs="宋体"/>
                <w:color w:val="auto"/>
                <w:kern w:val="0"/>
                <w:sz w:val="24"/>
              </w:rPr>
            </w:pPr>
            <w:r>
              <w:rPr>
                <w:rFonts w:hint="eastAsia" w:ascii="宋体" w:hAnsi="宋体" w:cs="宋体"/>
                <w:color w:val="auto"/>
                <w:kern w:val="0"/>
                <w:sz w:val="24"/>
              </w:rPr>
              <w:t>方式一：政采云平台在线讲解演示。政采云平台在线讲解需投标人根据政采云平台操作要求做好准备工作，提前完善软硬件配置环境。</w:t>
            </w:r>
          </w:p>
          <w:p w14:paraId="5DDE9365">
            <w:pPr>
              <w:snapToGrid w:val="0"/>
              <w:spacing w:line="360" w:lineRule="auto"/>
              <w:rPr>
                <w:rFonts w:ascii="宋体" w:hAnsi="宋体" w:cs="宋体"/>
                <w:color w:val="auto"/>
                <w:kern w:val="0"/>
                <w:sz w:val="24"/>
              </w:rPr>
            </w:pPr>
            <w:r>
              <w:rPr>
                <w:rFonts w:hint="eastAsia" w:ascii="宋体" w:hAnsi="宋体" w:cs="宋体"/>
                <w:color w:val="auto"/>
                <w:kern w:val="0"/>
                <w:sz w:val="24"/>
              </w:rPr>
              <w:t>方式二：交易中心现场讲解演示。现场讲解地点为</w:t>
            </w:r>
            <w:r>
              <w:rPr>
                <w:rFonts w:hint="eastAsia" w:ascii="宋体" w:hAnsi="宋体" w:cs="宋体"/>
                <w:color w:val="auto"/>
                <w:sz w:val="24"/>
                <w:u w:val="single"/>
              </w:rPr>
              <w:t xml:space="preserve">杭州市公共资源交易中心4楼答疑室（讲标室） </w:t>
            </w:r>
            <w:r>
              <w:rPr>
                <w:rFonts w:hint="eastAsia" w:ascii="宋体" w:hAnsi="宋体" w:cs="宋体"/>
                <w:color w:val="auto"/>
                <w:kern w:val="0"/>
                <w:sz w:val="24"/>
              </w:rPr>
              <w:t>，讲解演示所用电脑等设备由投标人自备。现场讲解演示人员进场时提供讲解人员名单（加盖公章或授权代表签名）及身份证明，否则不得讲解演示。</w:t>
            </w:r>
          </w:p>
          <w:p w14:paraId="517261C2">
            <w:pPr>
              <w:snapToGrid w:val="0"/>
              <w:spacing w:line="360" w:lineRule="auto"/>
              <w:rPr>
                <w:rFonts w:ascii="宋体" w:hAnsi="宋体" w:cs="宋体"/>
                <w:b/>
                <w:color w:val="auto"/>
                <w:kern w:val="0"/>
                <w:sz w:val="24"/>
                <w:lang w:val="zh-CN"/>
              </w:rPr>
            </w:pPr>
            <w:r>
              <w:rPr>
                <w:rFonts w:hint="eastAsia" w:ascii="宋体" w:hAnsi="宋体" w:cs="宋体"/>
                <w:color w:val="auto"/>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14:paraId="31B6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rPr>
        <w:tc>
          <w:tcPr>
            <w:tcW w:w="629" w:type="dxa"/>
            <w:vMerge w:val="restart"/>
            <w:vAlign w:val="center"/>
          </w:tcPr>
          <w:p w14:paraId="60799DCD">
            <w:pPr>
              <w:snapToGrid w:val="0"/>
              <w:spacing w:line="360" w:lineRule="auto"/>
              <w:jc w:val="center"/>
              <w:rPr>
                <w:rFonts w:ascii="宋体" w:hAnsi="宋体" w:cs="宋体"/>
                <w:color w:val="auto"/>
                <w:sz w:val="24"/>
              </w:rPr>
            </w:pPr>
            <w:r>
              <w:rPr>
                <w:rFonts w:hint="eastAsia" w:ascii="宋体" w:hAnsi="宋体" w:cs="宋体"/>
                <w:color w:val="auto"/>
                <w:sz w:val="24"/>
              </w:rPr>
              <w:t>8</w:t>
            </w:r>
          </w:p>
        </w:tc>
        <w:tc>
          <w:tcPr>
            <w:tcW w:w="1843" w:type="dxa"/>
            <w:vMerge w:val="restart"/>
            <w:vAlign w:val="center"/>
          </w:tcPr>
          <w:p w14:paraId="3C1CAE9D">
            <w:pPr>
              <w:snapToGrid w:val="0"/>
              <w:spacing w:line="360" w:lineRule="auto"/>
              <w:jc w:val="center"/>
              <w:rPr>
                <w:rFonts w:ascii="宋体" w:hAnsi="宋体" w:cs="宋体"/>
                <w:b/>
                <w:color w:val="auto"/>
                <w:sz w:val="24"/>
              </w:rPr>
            </w:pPr>
            <w:r>
              <w:rPr>
                <w:rFonts w:hint="eastAsia" w:ascii="宋体" w:hAnsi="宋体" w:cs="宋体"/>
                <w:b/>
                <w:color w:val="auto"/>
                <w:sz w:val="24"/>
              </w:rPr>
              <w:t>投标人应当提供的资格、资信、资质等证明文件</w:t>
            </w:r>
          </w:p>
        </w:tc>
        <w:tc>
          <w:tcPr>
            <w:tcW w:w="6095" w:type="dxa"/>
            <w:vAlign w:val="center"/>
          </w:tcPr>
          <w:p w14:paraId="7FE310E0">
            <w:pPr>
              <w:spacing w:line="360" w:lineRule="auto"/>
              <w:rPr>
                <w:rFonts w:ascii="宋体" w:hAnsi="宋体" w:cs="宋体"/>
                <w:color w:val="auto"/>
                <w:sz w:val="24"/>
              </w:rPr>
            </w:pPr>
            <w:r>
              <w:rPr>
                <w:rFonts w:hint="eastAsia" w:ascii="宋体" w:hAnsi="宋体" w:cs="宋体"/>
                <w:color w:val="auto"/>
                <w:sz w:val="24"/>
              </w:rPr>
              <w:t>（1）资格证明文件：见招标文件第二部分11.1。</w:t>
            </w:r>
          </w:p>
          <w:p w14:paraId="576CE4A2">
            <w:pPr>
              <w:spacing w:line="360" w:lineRule="auto"/>
              <w:rPr>
                <w:rFonts w:ascii="宋体" w:hAnsi="宋体" w:cs="宋体"/>
                <w:snapToGrid w:val="0"/>
                <w:color w:val="auto"/>
                <w:kern w:val="0"/>
                <w:szCs w:val="21"/>
              </w:rPr>
            </w:pPr>
            <w:r>
              <w:rPr>
                <w:rFonts w:hint="eastAsia" w:ascii="宋体" w:hAnsi="宋体" w:cs="宋体"/>
                <w:color w:val="auto"/>
                <w:kern w:val="0"/>
                <w:sz w:val="24"/>
                <w:lang w:val="zh-CN"/>
              </w:rPr>
              <w:t>投标人未提供有效的资格证明文件的，视为投标人不具备招标文件中规定的资格要求，投标无效。</w:t>
            </w:r>
          </w:p>
        </w:tc>
      </w:tr>
      <w:tr w14:paraId="3AA5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1" w:hRule="atLeast"/>
        </w:trPr>
        <w:tc>
          <w:tcPr>
            <w:tcW w:w="629" w:type="dxa"/>
            <w:vMerge w:val="continue"/>
            <w:vAlign w:val="center"/>
          </w:tcPr>
          <w:p w14:paraId="02480935">
            <w:pPr>
              <w:snapToGrid w:val="0"/>
              <w:spacing w:line="360" w:lineRule="auto"/>
              <w:jc w:val="center"/>
              <w:rPr>
                <w:rFonts w:ascii="宋体" w:hAnsi="宋体" w:cs="宋体"/>
                <w:color w:val="auto"/>
                <w:sz w:val="24"/>
              </w:rPr>
            </w:pPr>
          </w:p>
        </w:tc>
        <w:tc>
          <w:tcPr>
            <w:tcW w:w="1843" w:type="dxa"/>
            <w:vMerge w:val="continue"/>
            <w:vAlign w:val="center"/>
          </w:tcPr>
          <w:p w14:paraId="389EAE0D">
            <w:pPr>
              <w:snapToGrid w:val="0"/>
              <w:spacing w:line="360" w:lineRule="auto"/>
              <w:jc w:val="center"/>
              <w:rPr>
                <w:rFonts w:ascii="宋体" w:hAnsi="宋体" w:cs="宋体"/>
                <w:b/>
                <w:color w:val="auto"/>
                <w:sz w:val="24"/>
              </w:rPr>
            </w:pPr>
          </w:p>
        </w:tc>
        <w:tc>
          <w:tcPr>
            <w:tcW w:w="6095" w:type="dxa"/>
            <w:vAlign w:val="center"/>
          </w:tcPr>
          <w:p w14:paraId="26886697">
            <w:pPr>
              <w:spacing w:line="360" w:lineRule="auto"/>
              <w:rPr>
                <w:rFonts w:ascii="宋体" w:hAnsi="宋体" w:cs="宋体"/>
                <w:color w:val="auto"/>
                <w:sz w:val="24"/>
              </w:rPr>
            </w:pPr>
            <w:r>
              <w:rPr>
                <w:rFonts w:hint="eastAsia" w:ascii="宋体" w:hAnsi="宋体" w:cs="宋体"/>
                <w:color w:val="auto"/>
                <w:sz w:val="24"/>
              </w:rPr>
              <w:t>（2）资信、资质等证明文件：根据招标文件第四部分评标标准提供有效的资信、资质等证明文件。</w:t>
            </w:r>
          </w:p>
        </w:tc>
      </w:tr>
      <w:tr w14:paraId="7F0C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4" w:hRule="atLeast"/>
        </w:trPr>
        <w:tc>
          <w:tcPr>
            <w:tcW w:w="629" w:type="dxa"/>
            <w:vAlign w:val="center"/>
          </w:tcPr>
          <w:p w14:paraId="5D7AB635">
            <w:pPr>
              <w:snapToGrid w:val="0"/>
              <w:spacing w:line="360" w:lineRule="auto"/>
              <w:jc w:val="center"/>
              <w:rPr>
                <w:rFonts w:ascii="宋体" w:hAnsi="宋体" w:cs="宋体"/>
                <w:color w:val="auto"/>
                <w:sz w:val="24"/>
              </w:rPr>
            </w:pPr>
            <w:r>
              <w:rPr>
                <w:rFonts w:hint="eastAsia" w:ascii="宋体" w:hAnsi="宋体" w:cs="宋体"/>
                <w:color w:val="auto"/>
                <w:sz w:val="24"/>
              </w:rPr>
              <w:t>9</w:t>
            </w:r>
          </w:p>
        </w:tc>
        <w:tc>
          <w:tcPr>
            <w:tcW w:w="1843" w:type="dxa"/>
            <w:vAlign w:val="center"/>
          </w:tcPr>
          <w:p w14:paraId="71FAC1DB">
            <w:pPr>
              <w:snapToGrid w:val="0"/>
              <w:spacing w:line="360" w:lineRule="auto"/>
              <w:jc w:val="center"/>
              <w:rPr>
                <w:rFonts w:ascii="宋体" w:hAnsi="宋体" w:cs="宋体"/>
                <w:b/>
                <w:color w:val="auto"/>
                <w:sz w:val="24"/>
              </w:rPr>
            </w:pPr>
            <w:r>
              <w:rPr>
                <w:rFonts w:hint="eastAsia" w:ascii="宋体" w:hAnsi="宋体" w:cs="宋体"/>
                <w:b/>
                <w:color w:val="auto"/>
                <w:sz w:val="24"/>
              </w:rPr>
              <w:t>节能产品、环境标志产品政府优先采购或强制采购</w:t>
            </w:r>
          </w:p>
        </w:tc>
        <w:tc>
          <w:tcPr>
            <w:tcW w:w="6095" w:type="dxa"/>
            <w:vAlign w:val="center"/>
          </w:tcPr>
          <w:p w14:paraId="2CB6E619">
            <w:pPr>
              <w:spacing w:line="360" w:lineRule="auto"/>
              <w:rPr>
                <w:rFonts w:ascii="宋体" w:hAnsi="宋体" w:cs="宋体"/>
                <w:color w:val="auto"/>
                <w:sz w:val="24"/>
              </w:rPr>
            </w:pPr>
            <w:r>
              <w:rPr>
                <w:rFonts w:hint="eastAsia" w:ascii="宋体" w:hAnsi="宋体" w:cs="宋体"/>
                <w:color w:val="auto"/>
                <w:sz w:val="24"/>
              </w:rPr>
              <w:t>采购人将依据国家确定的认证机构出具的、处于有效期之内的节能产品、环境标志产品认证证书，对获得证书的产品实施政府优先采购或强制采购。</w:t>
            </w:r>
          </w:p>
          <w:p w14:paraId="27287A1D">
            <w:pPr>
              <w:pStyle w:val="966"/>
              <w:spacing w:line="360" w:lineRule="auto"/>
              <w:ind w:firstLine="480"/>
              <w:jc w:val="both"/>
              <w:rPr>
                <w:rFonts w:ascii="宋体" w:hAnsi="宋体" w:eastAsia="宋体" w:cs="宋体"/>
                <w:color w:val="auto"/>
                <w:sz w:val="24"/>
                <w:lang w:val="zh-CN"/>
              </w:rPr>
            </w:pPr>
            <w:r>
              <w:rPr>
                <w:rFonts w:ascii="Wingdings" w:hAnsi="Wingdings" w:eastAsia="宋体" w:cs="宋体"/>
                <w:color w:val="auto"/>
                <w:kern w:val="2"/>
                <w:sz w:val="24"/>
                <w:szCs w:val="24"/>
              </w:rPr>
              <w:t></w:t>
            </w:r>
            <w:r>
              <w:rPr>
                <w:rFonts w:hint="eastAsia" w:ascii="宋体" w:hAnsi="宋体" w:eastAsia="宋体" w:cs="宋体"/>
                <w:color w:val="auto"/>
                <w:kern w:val="2"/>
                <w:sz w:val="24"/>
                <w:szCs w:val="24"/>
              </w:rPr>
              <w:t>强制采购。产品：</w:t>
            </w:r>
            <w:r>
              <w:rPr>
                <w:rFonts w:hint="eastAsia" w:ascii="宋体" w:hAnsi="宋体" w:eastAsia="宋体" w:cs="宋体"/>
                <w:color w:val="auto"/>
                <w:kern w:val="2"/>
                <w:sz w:val="24"/>
                <w:szCs w:val="24"/>
                <w:u w:val="single"/>
              </w:rPr>
              <w:t xml:space="preserve">   教学用台式计算机1、教学用台式计算机2、教学用笔记本电脑。</w:t>
            </w:r>
            <w:r>
              <w:rPr>
                <w:rFonts w:hint="eastAsia" w:ascii="宋体" w:hAnsi="宋体" w:eastAsia="宋体" w:cs="宋体"/>
                <w:color w:val="auto"/>
                <w:sz w:val="24"/>
              </w:rPr>
              <w:t>▲</w:t>
            </w:r>
            <w:r>
              <w:rPr>
                <w:rFonts w:hint="eastAsia" w:ascii="宋体" w:hAnsi="宋体" w:eastAsia="宋体" w:cs="宋体"/>
                <w:color w:val="auto"/>
                <w:sz w:val="24"/>
                <w:lang w:val="zh-CN"/>
              </w:rPr>
              <w:t>实施政府强制采购，</w:t>
            </w:r>
            <w:r>
              <w:rPr>
                <w:rFonts w:hint="eastAsia" w:ascii="宋体" w:hAnsi="宋体" w:eastAsia="宋体" w:cs="宋体"/>
                <w:b/>
                <w:bCs/>
                <w:color w:val="auto"/>
                <w:sz w:val="24"/>
                <w:lang w:val="zh-CN"/>
              </w:rPr>
              <w:t>投标人</w:t>
            </w:r>
            <w:r>
              <w:rPr>
                <w:rFonts w:hint="eastAsia" w:ascii="宋体" w:hAnsi="宋体" w:eastAsia="宋体" w:cs="宋体"/>
                <w:b/>
                <w:bCs/>
                <w:color w:val="auto"/>
                <w:sz w:val="24"/>
              </w:rPr>
              <w:t>就</w:t>
            </w:r>
            <w:r>
              <w:rPr>
                <w:rFonts w:hint="eastAsia" w:ascii="宋体" w:hAnsi="宋体" w:eastAsia="宋体" w:cs="宋体"/>
                <w:b/>
                <w:bCs/>
                <w:color w:val="auto"/>
                <w:sz w:val="24"/>
                <w:lang w:val="zh-CN"/>
              </w:rPr>
              <w:t>相应的投标产品未</w:t>
            </w:r>
            <w:r>
              <w:rPr>
                <w:rFonts w:hint="eastAsia" w:ascii="宋体" w:hAnsi="宋体" w:eastAsia="宋体" w:cs="宋体"/>
                <w:b/>
                <w:bCs/>
                <w:color w:val="auto"/>
                <w:sz w:val="24"/>
              </w:rPr>
              <w:t>提供</w:t>
            </w:r>
            <w:r>
              <w:rPr>
                <w:rFonts w:hint="eastAsia" w:ascii="宋体" w:hAnsi="宋体" w:eastAsia="宋体" w:cs="宋体"/>
                <w:b/>
                <w:bCs/>
                <w:color w:val="auto"/>
                <w:sz w:val="24"/>
                <w:lang w:val="zh-CN"/>
              </w:rPr>
              <w:t>国家确定的认证机构出具的、处于有效期之内的节能产品认证证书的，投标无效</w:t>
            </w:r>
            <w:r>
              <w:rPr>
                <w:rFonts w:hint="eastAsia" w:ascii="宋体" w:hAnsi="宋体" w:eastAsia="宋体" w:cs="宋体"/>
                <w:color w:val="auto"/>
                <w:sz w:val="24"/>
                <w:lang w:val="zh-CN"/>
              </w:rPr>
              <w:t>。</w:t>
            </w:r>
          </w:p>
          <w:p w14:paraId="0B7E872C">
            <w:pPr>
              <w:pStyle w:val="966"/>
              <w:spacing w:line="360" w:lineRule="auto"/>
              <w:ind w:firstLine="480"/>
              <w:jc w:val="both"/>
              <w:rPr>
                <w:rFonts w:ascii="宋体" w:hAnsi="宋体" w:eastAsia="宋体" w:cs="宋体"/>
                <w:color w:val="auto"/>
                <w:kern w:val="2"/>
                <w:sz w:val="24"/>
                <w:szCs w:val="24"/>
                <w:u w:val="single"/>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优先采购节能产品。产品：</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p>
          <w:p w14:paraId="5596D1E3">
            <w:pPr>
              <w:pStyle w:val="966"/>
              <w:spacing w:line="360" w:lineRule="auto"/>
              <w:ind w:firstLine="480"/>
              <w:jc w:val="both"/>
              <w:rPr>
                <w:rFonts w:ascii="宋体" w:hAnsi="宋体" w:eastAsia="宋体" w:cs="宋体"/>
                <w:color w:val="auto"/>
                <w:kern w:val="2"/>
                <w:sz w:val="24"/>
                <w:szCs w:val="24"/>
                <w:u w:val="single"/>
              </w:rPr>
            </w:pPr>
            <w:r>
              <w:rPr>
                <w:rFonts w:hint="eastAsia" w:ascii="宋体" w:hAnsi="宋体" w:eastAsia="宋体" w:cs="宋体"/>
                <w:color w:val="auto"/>
                <w:kern w:val="2"/>
                <w:sz w:val="24"/>
                <w:szCs w:val="24"/>
              </w:rPr>
              <w:t>☑优先采购环保产品。产品：</w:t>
            </w:r>
            <w:bookmarkStart w:id="13" w:name="OLE_LINK41"/>
            <w:bookmarkStart w:id="14" w:name="OLE_LINK42"/>
            <w:r>
              <w:rPr>
                <w:rFonts w:hint="eastAsia" w:ascii="宋体" w:hAnsi="宋体" w:eastAsia="宋体" w:cs="宋体"/>
                <w:color w:val="auto"/>
                <w:kern w:val="2"/>
                <w:sz w:val="24"/>
                <w:szCs w:val="24"/>
                <w:u w:val="single"/>
              </w:rPr>
              <w:t>教师椅、实训桌1、实训桌2、实训椅</w:t>
            </w:r>
            <w:bookmarkEnd w:id="13"/>
            <w:bookmarkEnd w:id="14"/>
            <w:r>
              <w:rPr>
                <w:rFonts w:hint="eastAsia" w:ascii="宋体" w:hAnsi="宋体" w:eastAsia="宋体" w:cs="宋体"/>
                <w:color w:val="auto"/>
                <w:kern w:val="2"/>
                <w:sz w:val="24"/>
                <w:szCs w:val="24"/>
                <w:u w:val="single"/>
              </w:rPr>
              <w:t>。</w:t>
            </w:r>
          </w:p>
          <w:p w14:paraId="76E86005">
            <w:pPr>
              <w:pStyle w:val="3"/>
              <w:ind w:left="0" w:firstLine="482" w:firstLineChars="200"/>
              <w:rPr>
                <w:color w:val="auto"/>
              </w:rPr>
            </w:pPr>
            <w:r>
              <w:rPr>
                <w:rFonts w:hint="eastAsia" w:ascii="宋体" w:hAnsi="宋体" w:cs="宋体"/>
                <w:color w:val="auto"/>
                <w:sz w:val="24"/>
                <w:szCs w:val="24"/>
                <w:lang w:val="en-US"/>
              </w:rPr>
              <w:t>□</w:t>
            </w:r>
            <w:r>
              <w:rPr>
                <w:rFonts w:hint="eastAsia" w:ascii="宋体" w:hAnsi="宋体" w:eastAsia="宋体" w:cs="宋体"/>
                <w:color w:val="auto"/>
                <w:sz w:val="24"/>
                <w:szCs w:val="24"/>
                <w:lang w:val="en-US"/>
              </w:rPr>
              <w:t>无。</w:t>
            </w:r>
          </w:p>
        </w:tc>
      </w:tr>
      <w:tr w14:paraId="72BD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629" w:type="dxa"/>
            <w:vAlign w:val="center"/>
          </w:tcPr>
          <w:p w14:paraId="7E379627">
            <w:pPr>
              <w:snapToGrid w:val="0"/>
              <w:spacing w:line="360" w:lineRule="auto"/>
              <w:jc w:val="center"/>
              <w:rPr>
                <w:rFonts w:ascii="宋体" w:hAnsi="宋体" w:cs="宋体"/>
                <w:color w:val="auto"/>
                <w:sz w:val="24"/>
              </w:rPr>
            </w:pPr>
            <w:r>
              <w:rPr>
                <w:rFonts w:hint="eastAsia" w:ascii="宋体" w:hAnsi="宋体" w:cs="宋体"/>
                <w:color w:val="auto"/>
                <w:sz w:val="24"/>
              </w:rPr>
              <w:t>10</w:t>
            </w:r>
          </w:p>
        </w:tc>
        <w:tc>
          <w:tcPr>
            <w:tcW w:w="1843" w:type="dxa"/>
            <w:vAlign w:val="center"/>
          </w:tcPr>
          <w:p w14:paraId="6A237A0F">
            <w:pPr>
              <w:snapToGrid w:val="0"/>
              <w:spacing w:line="360" w:lineRule="auto"/>
              <w:jc w:val="center"/>
              <w:rPr>
                <w:rFonts w:ascii="宋体" w:hAnsi="宋体" w:cs="宋体"/>
                <w:b/>
                <w:color w:val="auto"/>
                <w:sz w:val="24"/>
              </w:rPr>
            </w:pPr>
            <w:r>
              <w:rPr>
                <w:rFonts w:hint="eastAsia" w:ascii="宋体" w:hAnsi="宋体" w:cs="宋体"/>
                <w:b/>
                <w:color w:val="auto"/>
                <w:sz w:val="24"/>
              </w:rPr>
              <w:t>报价要求</w:t>
            </w:r>
          </w:p>
        </w:tc>
        <w:tc>
          <w:tcPr>
            <w:tcW w:w="6095" w:type="dxa"/>
            <w:vAlign w:val="center"/>
          </w:tcPr>
          <w:p w14:paraId="56D93CD6">
            <w:pPr>
              <w:snapToGrid w:val="0"/>
              <w:spacing w:line="360" w:lineRule="auto"/>
              <w:jc w:val="left"/>
              <w:rPr>
                <w:rFonts w:ascii="宋体" w:hAnsi="宋体" w:cs="宋体"/>
                <w:b/>
                <w:color w:val="auto"/>
                <w:kern w:val="0"/>
                <w:sz w:val="24"/>
                <w:lang w:val="zh-CN"/>
              </w:rPr>
            </w:pPr>
            <w:r>
              <w:rPr>
                <w:rFonts w:hint="eastAsia" w:ascii="宋体" w:hAnsi="宋体" w:cs="宋体"/>
                <w:color w:val="auto"/>
                <w:kern w:val="0"/>
                <w:sz w:val="24"/>
                <w:lang w:val="zh-CN"/>
              </w:rPr>
              <w:t>（</w:t>
            </w:r>
            <w:r>
              <w:rPr>
                <w:rFonts w:hint="eastAsia" w:ascii="宋体" w:hAnsi="宋体" w:cs="宋体"/>
                <w:color w:val="auto"/>
                <w:kern w:val="0"/>
                <w:sz w:val="24"/>
              </w:rPr>
              <w:t>1</w:t>
            </w:r>
            <w:r>
              <w:rPr>
                <w:rFonts w:hint="eastAsia" w:ascii="宋体" w:hAnsi="宋体" w:cs="宋体"/>
                <w:color w:val="auto"/>
                <w:kern w:val="0"/>
                <w:sz w:val="24"/>
                <w:lang w:val="zh-CN"/>
              </w:rPr>
              <w:t>）有关本项目实施所需的所有费用（含税费）均计入报价。</w:t>
            </w:r>
            <w:r>
              <w:rPr>
                <w:rFonts w:hint="eastAsia" w:ascii="宋体" w:hAnsi="宋体" w:cs="宋体"/>
                <w:b/>
                <w:bCs/>
                <w:color w:val="auto"/>
                <w:kern w:val="0"/>
                <w:sz w:val="24"/>
                <w:lang w:val="zh-CN"/>
              </w:rPr>
              <w:t>投标文件</w:t>
            </w:r>
            <w:r>
              <w:rPr>
                <w:rFonts w:hint="eastAsia" w:ascii="宋体" w:hAnsi="宋体" w:cs="宋体"/>
                <w:b/>
                <w:bCs/>
                <w:color w:val="auto"/>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lang w:val="zh-CN"/>
              </w:rPr>
              <w:t>投标文件中价格全部采用人民币报价。招标文件未列明，而投标人认为必需的费用也需列入报价。</w:t>
            </w:r>
            <w:r>
              <w:rPr>
                <w:rFonts w:hint="eastAsia" w:ascii="宋体" w:hAnsi="宋体" w:cs="宋体"/>
                <w:b/>
                <w:color w:val="auto"/>
                <w:kern w:val="0"/>
                <w:sz w:val="24"/>
                <w:lang w:val="zh-CN"/>
              </w:rPr>
              <w:t>提醒：验收时检测费用由采购人承担，不包含在投标总价中。</w:t>
            </w:r>
          </w:p>
          <w:p w14:paraId="35AF7885">
            <w:pPr>
              <w:widowControl/>
              <w:shd w:val="clear" w:color="auto" w:fill="FFFFFF"/>
              <w:spacing w:line="480" w:lineRule="atLeast"/>
              <w:textAlignment w:val="baseline"/>
              <w:rPr>
                <w:rFonts w:ascii="Calibri" w:hAnsi="Calibri" w:cs="Calibri"/>
                <w:b/>
                <w:bCs/>
                <w:color w:val="auto"/>
                <w:szCs w:val="21"/>
              </w:rPr>
            </w:pPr>
            <w:r>
              <w:rPr>
                <w:rFonts w:hint="eastAsia" w:ascii="宋体" w:hAnsi="宋体" w:cs="宋体"/>
                <w:b/>
                <w:bCs/>
                <w:color w:val="auto"/>
                <w:kern w:val="0"/>
                <w:sz w:val="24"/>
                <w:shd w:val="clear" w:color="auto" w:fill="FFFFFF"/>
              </w:rPr>
              <w:t>（2）政府采购评审中出现下列情形之一的，评审委员会应当启动异常低价投标（响应）审查程序：</w:t>
            </w:r>
          </w:p>
          <w:p w14:paraId="444D5236">
            <w:pPr>
              <w:widowControl/>
              <w:shd w:val="clear" w:color="auto" w:fill="FFFFFF"/>
              <w:spacing w:line="480" w:lineRule="atLeast"/>
              <w:textAlignment w:val="baseline"/>
              <w:rPr>
                <w:rFonts w:ascii="Calibri" w:hAnsi="Calibri" w:cs="Calibri"/>
                <w:b/>
                <w:bCs/>
                <w:color w:val="auto"/>
                <w:szCs w:val="21"/>
              </w:rPr>
            </w:pPr>
            <w:r>
              <w:rPr>
                <w:rFonts w:hint="eastAsia" w:ascii="宋体" w:hAnsi="宋体" w:cs="宋体"/>
                <w:b/>
                <w:bCs/>
                <w:color w:val="auto"/>
                <w:kern w:val="0"/>
                <w:sz w:val="24"/>
                <w:shd w:val="clear" w:color="auto" w:fill="FFFFFF"/>
              </w:rPr>
              <w:t>1.投标（响应）报价低于全部通过符合性审查供应商投标（响应）报价平均值</w:t>
            </w:r>
            <w:r>
              <w:rPr>
                <w:rFonts w:hint="eastAsia" w:ascii="宋体" w:hAnsi="宋体" w:cs="宋体"/>
                <w:b/>
                <w:bCs/>
                <w:color w:val="auto"/>
                <w:kern w:val="0"/>
                <w:sz w:val="24"/>
                <w:u w:val="single"/>
                <w:shd w:val="clear" w:color="auto" w:fill="FFFFFF"/>
              </w:rPr>
              <w:t xml:space="preserve"> 50 %</w:t>
            </w:r>
            <w:r>
              <w:rPr>
                <w:rFonts w:hint="eastAsia" w:ascii="宋体" w:hAnsi="宋体" w:cs="宋体"/>
                <w:b/>
                <w:bCs/>
                <w:color w:val="auto"/>
                <w:kern w:val="0"/>
                <w:sz w:val="24"/>
                <w:shd w:val="clear" w:color="auto" w:fill="FFFFFF"/>
              </w:rPr>
              <w:t>的，即投标（响应）报价&lt;全部通过符合性审查供应商投标（响应）报价平均值×</w:t>
            </w:r>
            <w:r>
              <w:rPr>
                <w:rFonts w:hint="eastAsia" w:ascii="宋体" w:hAnsi="宋体" w:cs="宋体"/>
                <w:b/>
                <w:bCs/>
                <w:color w:val="auto"/>
                <w:kern w:val="0"/>
                <w:sz w:val="24"/>
                <w:u w:val="single"/>
                <w:shd w:val="clear" w:color="auto" w:fill="FFFFFF"/>
              </w:rPr>
              <w:t xml:space="preserve"> 50 %</w:t>
            </w:r>
            <w:r>
              <w:rPr>
                <w:rFonts w:hint="eastAsia" w:ascii="宋体" w:hAnsi="宋体" w:cs="宋体"/>
                <w:b/>
                <w:bCs/>
                <w:color w:val="auto"/>
                <w:kern w:val="0"/>
                <w:sz w:val="24"/>
                <w:shd w:val="clear" w:color="auto" w:fill="FFFFFF"/>
              </w:rPr>
              <w:t>；</w:t>
            </w:r>
          </w:p>
          <w:p w14:paraId="1F8C1A6D">
            <w:pPr>
              <w:widowControl/>
              <w:shd w:val="clear" w:color="auto" w:fill="FFFFFF"/>
              <w:spacing w:line="480" w:lineRule="atLeast"/>
              <w:textAlignment w:val="baseline"/>
              <w:rPr>
                <w:rFonts w:ascii="Calibri" w:hAnsi="Calibri" w:cs="Calibri"/>
                <w:b/>
                <w:bCs/>
                <w:color w:val="auto"/>
                <w:szCs w:val="21"/>
              </w:rPr>
            </w:pPr>
            <w:r>
              <w:rPr>
                <w:rFonts w:hint="eastAsia" w:ascii="宋体" w:hAnsi="宋体" w:cs="宋体"/>
                <w:b/>
                <w:bCs/>
                <w:color w:val="auto"/>
                <w:kern w:val="0"/>
                <w:sz w:val="24"/>
                <w:shd w:val="clear" w:color="auto" w:fill="FFFFFF"/>
              </w:rPr>
              <w:t>2.投标（响应）报价低于通过符合性审查的次低报价供应商投标（响应）报价</w:t>
            </w:r>
            <w:r>
              <w:rPr>
                <w:rFonts w:hint="eastAsia" w:ascii="宋体" w:hAnsi="宋体" w:cs="宋体"/>
                <w:b/>
                <w:bCs/>
                <w:color w:val="auto"/>
                <w:kern w:val="0"/>
                <w:sz w:val="24"/>
                <w:u w:val="single"/>
                <w:shd w:val="clear" w:color="auto" w:fill="FFFFFF"/>
              </w:rPr>
              <w:t xml:space="preserve"> 50 %</w:t>
            </w:r>
            <w:r>
              <w:rPr>
                <w:rFonts w:hint="eastAsia" w:ascii="宋体" w:hAnsi="宋体" w:cs="宋体"/>
                <w:b/>
                <w:bCs/>
                <w:color w:val="auto"/>
                <w:kern w:val="0"/>
                <w:sz w:val="24"/>
                <w:shd w:val="clear" w:color="auto" w:fill="FFFFFF"/>
              </w:rPr>
              <w:t>的，即投标（响应）报价&lt;通过符合性审查的次低报价供应商投标（响应）报价×</w:t>
            </w:r>
            <w:r>
              <w:rPr>
                <w:rFonts w:hint="eastAsia" w:ascii="宋体" w:hAnsi="宋体" w:cs="宋体"/>
                <w:b/>
                <w:bCs/>
                <w:color w:val="auto"/>
                <w:kern w:val="0"/>
                <w:sz w:val="24"/>
                <w:u w:val="single"/>
                <w:shd w:val="clear" w:color="auto" w:fill="FFFFFF"/>
              </w:rPr>
              <w:t xml:space="preserve"> 50 %</w:t>
            </w:r>
            <w:r>
              <w:rPr>
                <w:rFonts w:hint="eastAsia" w:ascii="宋体" w:hAnsi="宋体" w:cs="宋体"/>
                <w:b/>
                <w:bCs/>
                <w:color w:val="auto"/>
                <w:kern w:val="0"/>
                <w:sz w:val="24"/>
                <w:shd w:val="clear" w:color="auto" w:fill="FFFFFF"/>
              </w:rPr>
              <w:t>；</w:t>
            </w:r>
          </w:p>
          <w:p w14:paraId="2F8622DF">
            <w:pPr>
              <w:widowControl/>
              <w:shd w:val="clear" w:color="auto" w:fill="FFFFFF"/>
              <w:spacing w:line="480" w:lineRule="atLeast"/>
              <w:textAlignment w:val="baseline"/>
              <w:rPr>
                <w:rFonts w:ascii="宋体" w:hAnsi="宋体" w:cs="宋体"/>
                <w:b/>
                <w:bCs/>
                <w:color w:val="auto"/>
                <w:kern w:val="0"/>
                <w:sz w:val="24"/>
                <w:shd w:val="clear" w:color="auto" w:fill="FFFFFF"/>
              </w:rPr>
            </w:pPr>
            <w:r>
              <w:rPr>
                <w:rFonts w:hint="eastAsia" w:ascii="宋体" w:hAnsi="宋体" w:cs="宋体"/>
                <w:b/>
                <w:bCs/>
                <w:color w:val="auto"/>
                <w:kern w:val="0"/>
                <w:sz w:val="24"/>
                <w:shd w:val="clear" w:color="auto" w:fill="FFFFFF"/>
              </w:rPr>
              <w:t>3.投标（响应）报价低于采购项目最高限价</w:t>
            </w:r>
            <w:r>
              <w:rPr>
                <w:rFonts w:hint="eastAsia" w:ascii="宋体" w:hAnsi="宋体" w:cs="宋体"/>
                <w:b/>
                <w:bCs/>
                <w:color w:val="auto"/>
                <w:kern w:val="0"/>
                <w:sz w:val="24"/>
                <w:u w:val="single"/>
                <w:shd w:val="clear" w:color="auto" w:fill="FFFFFF"/>
              </w:rPr>
              <w:t xml:space="preserve"> 65 %</w:t>
            </w:r>
            <w:r>
              <w:rPr>
                <w:rFonts w:hint="eastAsia" w:ascii="宋体" w:hAnsi="宋体" w:cs="宋体"/>
                <w:b/>
                <w:bCs/>
                <w:color w:val="auto"/>
                <w:kern w:val="0"/>
                <w:sz w:val="24"/>
                <w:shd w:val="clear" w:color="auto" w:fill="FFFFFF"/>
              </w:rPr>
              <w:t>的，即投标（响应）报价&lt;采购项目最高限价×</w:t>
            </w:r>
            <w:r>
              <w:rPr>
                <w:rFonts w:hint="eastAsia" w:ascii="宋体" w:hAnsi="宋体" w:cs="宋体"/>
                <w:b/>
                <w:bCs/>
                <w:color w:val="auto"/>
                <w:kern w:val="0"/>
                <w:sz w:val="24"/>
                <w:u w:val="single"/>
                <w:shd w:val="clear" w:color="auto" w:fill="FFFFFF"/>
              </w:rPr>
              <w:t xml:space="preserve"> 65 %</w:t>
            </w:r>
            <w:r>
              <w:rPr>
                <w:rFonts w:hint="eastAsia" w:ascii="宋体" w:hAnsi="宋体" w:cs="宋体"/>
                <w:b/>
                <w:bCs/>
                <w:color w:val="auto"/>
                <w:kern w:val="0"/>
                <w:sz w:val="24"/>
                <w:shd w:val="clear" w:color="auto" w:fill="FFFFFF"/>
              </w:rPr>
              <w:t>；</w:t>
            </w:r>
          </w:p>
          <w:p w14:paraId="47A6BB3F">
            <w:pPr>
              <w:widowControl/>
              <w:shd w:val="clear" w:color="auto" w:fill="FFFFFF"/>
              <w:spacing w:after="120" w:afterLines="50" w:line="480" w:lineRule="atLeast"/>
              <w:textAlignment w:val="baseline"/>
              <w:rPr>
                <w:rFonts w:ascii="宋体" w:hAnsi="宋体" w:cs="宋体"/>
                <w:b/>
                <w:bCs/>
                <w:color w:val="auto"/>
                <w:kern w:val="0"/>
                <w:sz w:val="24"/>
              </w:rPr>
            </w:pPr>
            <w:r>
              <w:rPr>
                <w:rFonts w:hint="eastAsia" w:ascii="宋体" w:hAnsi="宋体" w:cs="宋体"/>
                <w:b/>
                <w:bCs/>
                <w:color w:val="auto"/>
                <w:kern w:val="0"/>
                <w:sz w:val="24"/>
                <w:shd w:val="clear" w:color="auto" w:fill="FFFFFF"/>
              </w:rPr>
              <w:t>4.评审委员会基于专业判断，</w:t>
            </w:r>
            <w:r>
              <w:rPr>
                <w:rFonts w:hint="eastAsia" w:ascii="宋体" w:hAnsi="宋体" w:cs="宋体"/>
                <w:b/>
                <w:bCs/>
                <w:color w:val="auto"/>
                <w:kern w:val="0"/>
                <w:sz w:val="24"/>
              </w:rPr>
              <w:t>认为供应商报价过低，有可能影响产品质量或者不能诚信履约的其他情形。</w:t>
            </w:r>
          </w:p>
          <w:p w14:paraId="09384C79">
            <w:pPr>
              <w:widowControl/>
              <w:shd w:val="clear" w:color="auto" w:fill="FFFFFF"/>
              <w:spacing w:after="120" w:afterLines="50" w:line="480" w:lineRule="atLeast"/>
              <w:textAlignment w:val="baseline"/>
              <w:rPr>
                <w:color w:val="auto"/>
              </w:rPr>
            </w:pPr>
            <w:r>
              <w:rPr>
                <w:rFonts w:hint="eastAsia" w:ascii="宋体" w:hAnsi="宋体" w:cs="宋体"/>
                <w:b/>
                <w:bCs/>
                <w:color w:val="auto"/>
                <w:kern w:val="0"/>
                <w:sz w:val="24"/>
              </w:rPr>
              <w:t>注：采购人可以结合具体项目实际情况，提高上述第1项至第3项中启动异常低价投标（响应）审查的数值标准，并在招标文件中予以明确，但是最高不得超过65%。</w:t>
            </w:r>
          </w:p>
          <w:p w14:paraId="59D5E86F">
            <w:pPr>
              <w:widowControl/>
              <w:shd w:val="clear" w:color="auto" w:fill="FFFFFF"/>
              <w:spacing w:after="120" w:afterLines="50" w:line="480" w:lineRule="atLeast"/>
              <w:textAlignment w:val="baseline"/>
              <w:rPr>
                <w:color w:val="auto"/>
              </w:rPr>
            </w:pPr>
            <w:r>
              <w:rPr>
                <w:rFonts w:hint="eastAsia" w:ascii="宋体" w:hAnsi="宋体" w:cs="宋体"/>
                <w:b/>
                <w:bCs/>
                <w:color w:val="auto"/>
                <w:kern w:val="0"/>
                <w:sz w:val="24"/>
              </w:rPr>
              <w:t>相关法律法规对供应商报价有规定的，从其规定。</w:t>
            </w:r>
          </w:p>
          <w:p w14:paraId="702A0D64">
            <w:pPr>
              <w:snapToGrid w:val="0"/>
              <w:spacing w:line="360" w:lineRule="auto"/>
              <w:jc w:val="left"/>
              <w:rPr>
                <w:rFonts w:ascii="宋体" w:hAnsi="宋体" w:cs="宋体"/>
                <w:b/>
                <w:color w:val="auto"/>
                <w:kern w:val="0"/>
                <w:sz w:val="24"/>
                <w:lang w:val="zh-CN"/>
              </w:rPr>
            </w:pPr>
            <w:r>
              <w:rPr>
                <w:rFonts w:hint="eastAsia" w:ascii="宋体" w:hAnsi="宋体" w:cs="宋体"/>
                <w:b/>
                <w:color w:val="auto"/>
                <w:kern w:val="0"/>
                <w:sz w:val="24"/>
                <w:lang w:val="zh-CN"/>
              </w:rPr>
              <w:t>（</w:t>
            </w:r>
            <w:r>
              <w:rPr>
                <w:rFonts w:hint="eastAsia" w:ascii="宋体" w:hAnsi="宋体" w:cs="宋体"/>
                <w:b/>
                <w:color w:val="auto"/>
                <w:kern w:val="0"/>
                <w:sz w:val="24"/>
              </w:rPr>
              <w:t>3</w:t>
            </w:r>
            <w:r>
              <w:rPr>
                <w:rFonts w:hint="eastAsia" w:ascii="宋体" w:hAnsi="宋体" w:cs="宋体"/>
                <w:b/>
                <w:color w:val="auto"/>
                <w:kern w:val="0"/>
                <w:sz w:val="24"/>
                <w:lang w:val="zh-CN"/>
              </w:rPr>
              <w:t>）投标报价出现下列情形的，投标无效：</w:t>
            </w:r>
          </w:p>
          <w:p w14:paraId="453E926D">
            <w:pPr>
              <w:snapToGrid w:val="0"/>
              <w:spacing w:line="360" w:lineRule="auto"/>
              <w:ind w:firstLine="241" w:firstLineChars="100"/>
              <w:jc w:val="left"/>
              <w:rPr>
                <w:rFonts w:ascii="宋体" w:hAnsi="宋体" w:cs="宋体"/>
                <w:b/>
                <w:color w:val="auto"/>
                <w:kern w:val="0"/>
                <w:sz w:val="24"/>
                <w:lang w:val="zh-CN"/>
              </w:rPr>
            </w:pPr>
            <w:r>
              <w:rPr>
                <w:rFonts w:hint="eastAsia" w:ascii="宋体" w:hAnsi="宋体" w:cs="宋体"/>
                <w:b/>
                <w:color w:val="auto"/>
                <w:kern w:val="0"/>
                <w:sz w:val="24"/>
                <w:lang w:val="zh-CN"/>
              </w:rPr>
              <w:t>投标文件出现不是唯一的、有选择性投标报价的；</w:t>
            </w:r>
          </w:p>
          <w:p w14:paraId="60BA72C0">
            <w:pPr>
              <w:snapToGrid w:val="0"/>
              <w:spacing w:line="360" w:lineRule="auto"/>
              <w:ind w:firstLine="241" w:firstLineChars="100"/>
              <w:jc w:val="left"/>
              <w:rPr>
                <w:rFonts w:ascii="宋体" w:hAnsi="宋体" w:cs="宋体"/>
                <w:color w:val="auto"/>
                <w:kern w:val="0"/>
                <w:sz w:val="24"/>
                <w:lang w:val="zh-CN"/>
              </w:rPr>
            </w:pPr>
            <w:r>
              <w:rPr>
                <w:rFonts w:hint="eastAsia" w:ascii="宋体" w:hAnsi="宋体" w:cs="宋体"/>
                <w:b/>
                <w:color w:val="auto"/>
                <w:kern w:val="0"/>
                <w:sz w:val="24"/>
                <w:lang w:val="zh-CN"/>
              </w:rPr>
              <w:t>投标报价超过招标文件中规定的预算金额或者最高限价的;</w:t>
            </w:r>
          </w:p>
          <w:p w14:paraId="46B88184">
            <w:pPr>
              <w:spacing w:line="360" w:lineRule="auto"/>
              <w:ind w:firstLine="241" w:firstLineChars="100"/>
              <w:rPr>
                <w:rFonts w:ascii="宋体" w:hAnsi="宋体" w:cs="宋体"/>
                <w:b/>
                <w:color w:val="auto"/>
                <w:sz w:val="24"/>
              </w:rPr>
            </w:pPr>
            <w:r>
              <w:rPr>
                <w:rFonts w:hint="eastAsia" w:ascii="宋体" w:hAnsi="宋体" w:cs="宋体"/>
                <w:b/>
                <w:bCs/>
                <w:color w:val="auto"/>
                <w:kern w:val="0"/>
                <w:sz w:val="24"/>
                <w:shd w:val="clear" w:color="auto" w:fill="FFFFFF"/>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sz w:val="24"/>
                <w:szCs w:val="21"/>
              </w:rPr>
              <w:t>;</w:t>
            </w:r>
          </w:p>
          <w:p w14:paraId="3978D4AE">
            <w:pPr>
              <w:spacing w:line="360" w:lineRule="auto"/>
              <w:ind w:firstLine="241" w:firstLineChars="100"/>
              <w:rPr>
                <w:rFonts w:ascii="宋体" w:hAnsi="宋体" w:cs="宋体"/>
                <w:color w:val="auto"/>
                <w:sz w:val="24"/>
              </w:rPr>
            </w:pPr>
            <w:r>
              <w:rPr>
                <w:rFonts w:hint="eastAsia" w:ascii="宋体" w:hAnsi="宋体" w:cs="宋体"/>
                <w:b/>
                <w:color w:val="auto"/>
                <w:kern w:val="0"/>
                <w:sz w:val="24"/>
              </w:rPr>
              <w:t>投标人对根据修正原则修正后的报价不确认的</w:t>
            </w:r>
            <w:r>
              <w:rPr>
                <w:rFonts w:hint="eastAsia" w:ascii="宋体" w:hAnsi="宋体" w:cs="宋体"/>
                <w:b/>
                <w:color w:val="auto"/>
                <w:sz w:val="24"/>
              </w:rPr>
              <w:t>。</w:t>
            </w:r>
          </w:p>
        </w:tc>
      </w:tr>
      <w:tr w14:paraId="40F6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85" w:hRule="atLeast"/>
        </w:trPr>
        <w:tc>
          <w:tcPr>
            <w:tcW w:w="629" w:type="dxa"/>
            <w:vAlign w:val="center"/>
          </w:tcPr>
          <w:p w14:paraId="6493D93F">
            <w:pPr>
              <w:snapToGrid w:val="0"/>
              <w:spacing w:line="360" w:lineRule="auto"/>
              <w:jc w:val="center"/>
              <w:rPr>
                <w:rFonts w:ascii="宋体" w:hAnsi="宋体" w:cs="宋体"/>
                <w:color w:val="auto"/>
                <w:sz w:val="24"/>
              </w:rPr>
            </w:pPr>
            <w:r>
              <w:rPr>
                <w:rFonts w:hint="eastAsia" w:ascii="宋体" w:hAnsi="宋体" w:cs="宋体"/>
                <w:color w:val="auto"/>
                <w:sz w:val="24"/>
              </w:rPr>
              <w:t>11</w:t>
            </w:r>
          </w:p>
        </w:tc>
        <w:tc>
          <w:tcPr>
            <w:tcW w:w="1843" w:type="dxa"/>
            <w:vAlign w:val="center"/>
          </w:tcPr>
          <w:p w14:paraId="0E20AB69">
            <w:pPr>
              <w:snapToGrid w:val="0"/>
              <w:spacing w:line="360" w:lineRule="auto"/>
              <w:jc w:val="center"/>
              <w:rPr>
                <w:rFonts w:ascii="宋体" w:hAnsi="宋体" w:cs="宋体"/>
                <w:b/>
                <w:color w:val="auto"/>
                <w:sz w:val="24"/>
              </w:rPr>
            </w:pPr>
            <w:r>
              <w:rPr>
                <w:rFonts w:hint="eastAsia" w:ascii="宋体" w:hAnsi="宋体" w:cs="宋体"/>
                <w:b/>
                <w:color w:val="auto"/>
                <w:sz w:val="24"/>
              </w:rPr>
              <w:t>中小企业信用融资</w:t>
            </w:r>
          </w:p>
        </w:tc>
        <w:tc>
          <w:tcPr>
            <w:tcW w:w="6095" w:type="dxa"/>
            <w:vAlign w:val="center"/>
          </w:tcPr>
          <w:p w14:paraId="5106913B">
            <w:pPr>
              <w:spacing w:line="360" w:lineRule="auto"/>
              <w:ind w:firstLine="480" w:firstLineChars="200"/>
              <w:rPr>
                <w:rFonts w:ascii="宋体" w:hAnsi="宋体" w:cs="宋体"/>
                <w:color w:val="auto"/>
                <w:sz w:val="24"/>
              </w:rPr>
            </w:pPr>
            <w:r>
              <w:rPr>
                <w:rFonts w:hint="eastAsia" w:ascii="宋体" w:hAnsi="宋体" w:cs="宋体"/>
                <w:snapToGrid w:val="0"/>
                <w:color w:val="auto"/>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5EE1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trPr>
        <w:tc>
          <w:tcPr>
            <w:tcW w:w="629" w:type="dxa"/>
            <w:vAlign w:val="center"/>
          </w:tcPr>
          <w:p w14:paraId="68B8A220">
            <w:pPr>
              <w:snapToGrid w:val="0"/>
              <w:spacing w:line="360" w:lineRule="auto"/>
              <w:jc w:val="center"/>
              <w:rPr>
                <w:rFonts w:ascii="宋体" w:hAnsi="宋体" w:cs="宋体"/>
                <w:color w:val="auto"/>
                <w:sz w:val="24"/>
              </w:rPr>
            </w:pPr>
            <w:r>
              <w:rPr>
                <w:rFonts w:hint="eastAsia" w:ascii="宋体" w:hAnsi="宋体" w:cs="宋体"/>
                <w:color w:val="auto"/>
                <w:sz w:val="24"/>
              </w:rPr>
              <w:t>12</w:t>
            </w:r>
          </w:p>
        </w:tc>
        <w:tc>
          <w:tcPr>
            <w:tcW w:w="1843" w:type="dxa"/>
            <w:vAlign w:val="center"/>
          </w:tcPr>
          <w:p w14:paraId="6C8440F1">
            <w:pPr>
              <w:snapToGrid w:val="0"/>
              <w:spacing w:line="360" w:lineRule="auto"/>
              <w:jc w:val="center"/>
              <w:rPr>
                <w:rFonts w:ascii="宋体" w:hAnsi="宋体" w:cs="宋体"/>
                <w:b/>
                <w:color w:val="auto"/>
                <w:sz w:val="24"/>
              </w:rPr>
            </w:pPr>
            <w:r>
              <w:rPr>
                <w:rFonts w:hint="eastAsia" w:ascii="宋体" w:hAnsi="宋体" w:cs="宋体"/>
                <w:b/>
                <w:color w:val="auto"/>
                <w:sz w:val="24"/>
              </w:rPr>
              <w:t xml:space="preserve">备份投标文件送达地点和签收人员 </w:t>
            </w:r>
          </w:p>
        </w:tc>
        <w:tc>
          <w:tcPr>
            <w:tcW w:w="6095" w:type="dxa"/>
            <w:vAlign w:val="center"/>
          </w:tcPr>
          <w:p w14:paraId="1516AC7A">
            <w:pPr>
              <w:pStyle w:val="32"/>
              <w:spacing w:line="360" w:lineRule="auto"/>
              <w:rPr>
                <w:rFonts w:hAnsi="宋体" w:cs="宋体"/>
                <w:color w:val="auto"/>
                <w:kern w:val="28"/>
                <w:sz w:val="24"/>
              </w:rPr>
            </w:pPr>
            <w:r>
              <w:rPr>
                <w:rFonts w:hint="eastAsia" w:hAnsi="宋体" w:cs="宋体"/>
                <w:color w:val="auto"/>
                <w:kern w:val="28"/>
                <w:sz w:val="24"/>
                <w:szCs w:val="24"/>
              </w:rPr>
              <w:t>备份投标文件送达地点：</w:t>
            </w:r>
            <w:r>
              <w:rPr>
                <w:rFonts w:hint="eastAsia" w:hAnsi="宋体" w:cs="宋体"/>
                <w:color w:val="auto"/>
                <w:sz w:val="24"/>
                <w:u w:val="single"/>
              </w:rPr>
              <w:t xml:space="preserve">杭州市之江路925号临江金座2号楼1010室（杭州市公共资源交易中心政府采购处） </w:t>
            </w:r>
            <w:r>
              <w:rPr>
                <w:rFonts w:hint="eastAsia" w:hAnsi="宋体" w:cs="宋体"/>
                <w:color w:val="auto"/>
                <w:kern w:val="28"/>
                <w:sz w:val="24"/>
                <w:szCs w:val="24"/>
              </w:rPr>
              <w:t>；备份投标文件签收人员联系电话：</w:t>
            </w:r>
            <w:r>
              <w:rPr>
                <w:rFonts w:hint="eastAsia" w:hAnsi="宋体" w:cs="宋体"/>
                <w:color w:val="auto"/>
                <w:sz w:val="24"/>
                <w:u w:val="single"/>
              </w:rPr>
              <w:t xml:space="preserve">  0571-89587880</w:t>
            </w:r>
            <w:r>
              <w:rPr>
                <w:rFonts w:hint="eastAsia" w:hAnsi="宋体" w:cs="宋体"/>
                <w:color w:val="auto"/>
                <w:sz w:val="24"/>
                <w:szCs w:val="24"/>
              </w:rPr>
              <w:t>。</w:t>
            </w:r>
            <w:r>
              <w:rPr>
                <w:rFonts w:hint="eastAsia" w:hAnsi="宋体" w:cs="宋体"/>
                <w:b/>
                <w:color w:val="auto"/>
                <w:sz w:val="24"/>
                <w:szCs w:val="24"/>
              </w:rPr>
              <w:t>采购人、采购机构不强制或变相强制投标人提交备份投标文件。</w:t>
            </w:r>
          </w:p>
        </w:tc>
      </w:tr>
      <w:tr w14:paraId="4FA2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restart"/>
            <w:vAlign w:val="center"/>
          </w:tcPr>
          <w:p w14:paraId="2486031D">
            <w:pPr>
              <w:snapToGrid w:val="0"/>
              <w:spacing w:line="360" w:lineRule="auto"/>
              <w:jc w:val="center"/>
              <w:rPr>
                <w:rFonts w:ascii="宋体" w:hAnsi="宋体" w:cs="宋体"/>
                <w:color w:val="auto"/>
                <w:sz w:val="24"/>
              </w:rPr>
            </w:pPr>
            <w:r>
              <w:rPr>
                <w:rFonts w:hint="eastAsia" w:ascii="宋体" w:hAnsi="宋体" w:cs="宋体"/>
                <w:color w:val="auto"/>
                <w:sz w:val="24"/>
              </w:rPr>
              <w:t>13</w:t>
            </w:r>
          </w:p>
        </w:tc>
        <w:tc>
          <w:tcPr>
            <w:tcW w:w="1843" w:type="dxa"/>
            <w:vMerge w:val="restart"/>
            <w:vAlign w:val="center"/>
          </w:tcPr>
          <w:p w14:paraId="54927323">
            <w:pPr>
              <w:snapToGrid w:val="0"/>
              <w:spacing w:line="360" w:lineRule="auto"/>
              <w:jc w:val="center"/>
              <w:rPr>
                <w:rFonts w:ascii="宋体" w:hAnsi="宋体" w:cs="宋体"/>
                <w:b/>
                <w:color w:val="auto"/>
                <w:sz w:val="24"/>
              </w:rPr>
            </w:pPr>
            <w:r>
              <w:rPr>
                <w:rFonts w:hint="eastAsia" w:ascii="宋体" w:hAnsi="宋体" w:eastAsia="宋体" w:cs="仿宋_GB2312"/>
                <w:b/>
                <w:color w:val="auto"/>
                <w:sz w:val="24"/>
              </w:rPr>
              <w:t>特别说明</w:t>
            </w:r>
          </w:p>
        </w:tc>
        <w:tc>
          <w:tcPr>
            <w:tcW w:w="6095" w:type="dxa"/>
            <w:vAlign w:val="center"/>
          </w:tcPr>
          <w:p w14:paraId="34FDEE83">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联合体投标的，联合体各方分别提供与联合体协议中规定的分工内容相应的业绩证明材料，业绩数量以提供材料较少的一方为准。招标文件第四部分评分标准有其他规定的，从其规定。</w:t>
            </w:r>
          </w:p>
        </w:tc>
      </w:tr>
      <w:tr w14:paraId="3CC0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continue"/>
            <w:vAlign w:val="center"/>
          </w:tcPr>
          <w:p w14:paraId="33CCB122">
            <w:pPr>
              <w:snapToGrid w:val="0"/>
              <w:spacing w:line="360" w:lineRule="auto"/>
              <w:jc w:val="center"/>
              <w:rPr>
                <w:rFonts w:ascii="宋体" w:hAnsi="宋体" w:cs="宋体"/>
                <w:color w:val="auto"/>
                <w:sz w:val="24"/>
              </w:rPr>
            </w:pPr>
          </w:p>
        </w:tc>
        <w:tc>
          <w:tcPr>
            <w:tcW w:w="1843" w:type="dxa"/>
            <w:vMerge w:val="continue"/>
            <w:vAlign w:val="center"/>
          </w:tcPr>
          <w:p w14:paraId="6880836C">
            <w:pPr>
              <w:snapToGrid w:val="0"/>
              <w:spacing w:line="360" w:lineRule="auto"/>
              <w:jc w:val="center"/>
              <w:rPr>
                <w:rFonts w:ascii="宋体" w:hAnsi="宋体" w:cs="宋体"/>
                <w:b/>
                <w:color w:val="auto"/>
                <w:sz w:val="24"/>
              </w:rPr>
            </w:pPr>
          </w:p>
        </w:tc>
        <w:tc>
          <w:tcPr>
            <w:tcW w:w="6095" w:type="dxa"/>
            <w:vAlign w:val="center"/>
          </w:tcPr>
          <w:p w14:paraId="19F206B2">
            <w:pPr>
              <w:spacing w:line="360" w:lineRule="auto"/>
              <w:rPr>
                <w:rFonts w:ascii="宋体" w:hAnsi="宋体" w:cs="宋体"/>
                <w:snapToGrid w:val="0"/>
                <w:color w:val="auto"/>
                <w:kern w:val="28"/>
                <w:sz w:val="24"/>
              </w:rPr>
            </w:pPr>
            <w:r>
              <w:rPr>
                <w:rFonts w:hint="eastAsia" w:ascii="MS Mincho" w:hAnsi="MS Mincho" w:eastAsia="MS Mincho" w:cs="MS Mincho"/>
                <w:color w:val="auto"/>
                <w:kern w:val="0"/>
                <w:sz w:val="24"/>
              </w:rPr>
              <w:t>☐</w:t>
            </w:r>
            <w:r>
              <w:rPr>
                <w:rFonts w:hint="eastAsia" w:ascii="宋体" w:hAnsi="宋体" w:cs="宋体"/>
                <w:snapToGrid w:val="0"/>
                <w:color w:val="auto"/>
                <w:kern w:val="28"/>
                <w:sz w:val="24"/>
              </w:rPr>
              <w:t>联合体投标的，联合体各方均需按招标文件第四部分评标标准要求提供资信证明文件，否则视为不符合相关要求。招标文件第四部分评分标准有其他规定的，从其规定。</w:t>
            </w:r>
          </w:p>
          <w:p w14:paraId="0750C8E8">
            <w:pPr>
              <w:spacing w:line="360" w:lineRule="auto"/>
              <w:rPr>
                <w:rFonts w:ascii="宋体" w:hAnsi="宋体" w:cs="宋体"/>
                <w:snapToGrid w:val="0"/>
                <w:color w:val="auto"/>
                <w:kern w:val="28"/>
                <w:sz w:val="24"/>
              </w:rPr>
            </w:pPr>
            <w:r>
              <w:rPr>
                <w:rFonts w:hint="eastAsia" w:ascii="宋体" w:hAnsi="宋体" w:eastAsia="宋体" w:cs="Arial"/>
                <w:color w:val="auto"/>
                <w:kern w:val="0"/>
                <w:sz w:val="24"/>
              </w:rPr>
              <w:sym w:font="Wingdings" w:char="F0FE"/>
            </w:r>
            <w:r>
              <w:rPr>
                <w:rFonts w:hint="eastAsia" w:ascii="宋体" w:hAnsi="宋体" w:cs="宋体"/>
                <w:snapToGrid w:val="0"/>
                <w:color w:val="auto"/>
                <w:kern w:val="28"/>
                <w:sz w:val="24"/>
              </w:rPr>
              <w:t>联合体投标的，联合体中有一方或者联合体成员根据分工按招标文件第四部分评标标准要求提供资信证明文件的，视为符合了相关要求。招标文件第四部分评分标准有其他规定的，从其规定。</w:t>
            </w:r>
          </w:p>
        </w:tc>
      </w:tr>
      <w:tr w14:paraId="17D6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Merge w:val="continue"/>
            <w:vAlign w:val="center"/>
          </w:tcPr>
          <w:p w14:paraId="4CE18E8F">
            <w:pPr>
              <w:snapToGrid w:val="0"/>
              <w:spacing w:line="360" w:lineRule="auto"/>
              <w:jc w:val="center"/>
              <w:rPr>
                <w:rFonts w:ascii="宋体" w:hAnsi="宋体" w:cs="宋体"/>
                <w:color w:val="auto"/>
                <w:sz w:val="24"/>
              </w:rPr>
            </w:pPr>
          </w:p>
        </w:tc>
        <w:tc>
          <w:tcPr>
            <w:tcW w:w="1843" w:type="dxa"/>
            <w:vMerge w:val="continue"/>
            <w:vAlign w:val="center"/>
          </w:tcPr>
          <w:p w14:paraId="13C52858">
            <w:pPr>
              <w:snapToGrid w:val="0"/>
              <w:spacing w:line="360" w:lineRule="auto"/>
              <w:jc w:val="center"/>
              <w:rPr>
                <w:rFonts w:ascii="宋体" w:hAnsi="宋体" w:cs="宋体"/>
                <w:b/>
                <w:color w:val="auto"/>
                <w:sz w:val="24"/>
              </w:rPr>
            </w:pPr>
          </w:p>
        </w:tc>
        <w:tc>
          <w:tcPr>
            <w:tcW w:w="6095" w:type="dxa"/>
            <w:vAlign w:val="center"/>
          </w:tcPr>
          <w:p w14:paraId="79EABD6C">
            <w:pPr>
              <w:spacing w:line="360" w:lineRule="auto"/>
              <w:rPr>
                <w:rFonts w:ascii="宋体" w:hAnsi="宋体" w:eastAsia="宋体" w:cs="Arial"/>
                <w:color w:val="auto"/>
                <w:kern w:val="0"/>
                <w:sz w:val="24"/>
              </w:rPr>
            </w:pPr>
            <w:r>
              <w:rPr>
                <w:rFonts w:hint="eastAsia" w:ascii="宋体" w:hAnsi="宋体" w:cs="Arial"/>
                <w:color w:val="auto"/>
                <w:kern w:val="0"/>
                <w:sz w:val="24"/>
              </w:rPr>
              <w:t>招标文件第四部分</w:t>
            </w:r>
            <w:r>
              <w:rPr>
                <w:rFonts w:hint="eastAsia" w:ascii="宋体" w:hAnsi="宋体" w:eastAsia="宋体" w:cs="Arial"/>
                <w:color w:val="auto"/>
                <w:kern w:val="0"/>
                <w:sz w:val="24"/>
              </w:rPr>
              <w:t>评审因素对应的要求</w:t>
            </w:r>
            <w:r>
              <w:rPr>
                <w:rFonts w:hint="eastAsia" w:ascii="宋体" w:hAnsi="宋体" w:cs="Arial"/>
                <w:color w:val="auto"/>
                <w:kern w:val="0"/>
                <w:sz w:val="24"/>
              </w:rPr>
              <w:t>及第五部分采购合同的内容</w:t>
            </w:r>
            <w:r>
              <w:rPr>
                <w:rFonts w:hint="eastAsia" w:ascii="宋体" w:hAnsi="宋体" w:eastAsia="宋体" w:cs="Arial"/>
                <w:color w:val="auto"/>
                <w:kern w:val="0"/>
                <w:sz w:val="24"/>
              </w:rPr>
              <w:t>视为采购需求的一部分。</w:t>
            </w:r>
          </w:p>
        </w:tc>
      </w:tr>
      <w:tr w14:paraId="6319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Align w:val="center"/>
          </w:tcPr>
          <w:p w14:paraId="21C0474B">
            <w:pPr>
              <w:snapToGrid w:val="0"/>
              <w:spacing w:line="360" w:lineRule="auto"/>
              <w:jc w:val="center"/>
              <w:rPr>
                <w:rFonts w:ascii="宋体" w:hAnsi="宋体" w:cs="宋体"/>
                <w:color w:val="auto"/>
                <w:sz w:val="24"/>
              </w:rPr>
            </w:pPr>
            <w:r>
              <w:rPr>
                <w:rFonts w:hint="eastAsia" w:ascii="宋体" w:hAnsi="宋体" w:cs="宋体"/>
                <w:color w:val="auto"/>
                <w:sz w:val="24"/>
              </w:rPr>
              <w:t>14</w:t>
            </w:r>
          </w:p>
        </w:tc>
        <w:tc>
          <w:tcPr>
            <w:tcW w:w="1843" w:type="dxa"/>
            <w:vAlign w:val="center"/>
          </w:tcPr>
          <w:p w14:paraId="7EE94FAD">
            <w:pPr>
              <w:snapToGrid w:val="0"/>
              <w:spacing w:line="360" w:lineRule="auto"/>
              <w:jc w:val="center"/>
              <w:rPr>
                <w:rFonts w:ascii="宋体" w:hAnsi="宋体" w:cs="宋体"/>
                <w:b/>
                <w:color w:val="auto"/>
                <w:sz w:val="24"/>
              </w:rPr>
            </w:pPr>
            <w:r>
              <w:rPr>
                <w:rFonts w:hint="eastAsia" w:ascii="宋体" w:hAnsi="宋体" w:eastAsia="宋体" w:cs="仿宋_GB2312"/>
                <w:b/>
                <w:color w:val="auto"/>
                <w:sz w:val="24"/>
              </w:rPr>
              <w:t>中标候选人数量</w:t>
            </w:r>
          </w:p>
        </w:tc>
        <w:tc>
          <w:tcPr>
            <w:tcW w:w="6095" w:type="dxa"/>
            <w:vAlign w:val="center"/>
          </w:tcPr>
          <w:p w14:paraId="588AF0A7">
            <w:pPr>
              <w:spacing w:line="360" w:lineRule="auto"/>
              <w:jc w:val="left"/>
              <w:rPr>
                <w:rFonts w:ascii="宋体" w:hAnsi="宋体" w:cs="宋体"/>
                <w:color w:val="auto"/>
                <w:kern w:val="0"/>
                <w:sz w:val="24"/>
              </w:rPr>
            </w:pPr>
            <w:r>
              <w:rPr>
                <w:rFonts w:hint="eastAsia" w:ascii="宋体" w:hAnsi="宋体" w:cs="Arial"/>
                <w:color w:val="auto"/>
                <w:kern w:val="0"/>
                <w:sz w:val="24"/>
              </w:rPr>
              <w:t>本项目推荐的中标候选人数：</w:t>
            </w:r>
            <w:r>
              <w:rPr>
                <w:rFonts w:hint="eastAsia" w:ascii="宋体" w:hAnsi="宋体" w:cs="Arial"/>
                <w:color w:val="auto"/>
                <w:kern w:val="0"/>
                <w:sz w:val="24"/>
                <w:u w:val="single"/>
              </w:rPr>
              <w:t xml:space="preserve">   1    </w:t>
            </w:r>
            <w:r>
              <w:rPr>
                <w:rFonts w:hint="eastAsia" w:ascii="宋体" w:hAnsi="宋体" w:cs="Arial"/>
                <w:color w:val="auto"/>
                <w:kern w:val="0"/>
                <w:sz w:val="24"/>
              </w:rPr>
              <w:t>。</w:t>
            </w:r>
          </w:p>
        </w:tc>
      </w:tr>
      <w:tr w14:paraId="721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Align w:val="center"/>
          </w:tcPr>
          <w:p w14:paraId="68D65CCD">
            <w:pPr>
              <w:snapToGrid w:val="0"/>
              <w:spacing w:line="360" w:lineRule="auto"/>
              <w:jc w:val="center"/>
              <w:rPr>
                <w:rFonts w:ascii="宋体" w:hAnsi="宋体" w:cs="宋体"/>
                <w:color w:val="auto"/>
                <w:sz w:val="24"/>
              </w:rPr>
            </w:pPr>
            <w:r>
              <w:rPr>
                <w:rFonts w:hint="eastAsia" w:ascii="宋体" w:hAnsi="宋体" w:cs="宋体"/>
                <w:color w:val="auto"/>
                <w:sz w:val="24"/>
              </w:rPr>
              <w:t>15</w:t>
            </w:r>
          </w:p>
        </w:tc>
        <w:tc>
          <w:tcPr>
            <w:tcW w:w="1843" w:type="dxa"/>
            <w:vAlign w:val="center"/>
          </w:tcPr>
          <w:p w14:paraId="60C45FCF">
            <w:pPr>
              <w:snapToGrid w:val="0"/>
              <w:spacing w:line="360" w:lineRule="auto"/>
              <w:jc w:val="center"/>
              <w:rPr>
                <w:rFonts w:ascii="宋体" w:hAnsi="宋体" w:cs="宋体"/>
                <w:b/>
                <w:color w:val="auto"/>
                <w:sz w:val="24"/>
              </w:rPr>
            </w:pPr>
            <w:r>
              <w:rPr>
                <w:rFonts w:hint="eastAsia" w:ascii="宋体" w:hAnsi="宋体" w:eastAsia="宋体" w:cs="仿宋_GB2312"/>
                <w:b/>
                <w:color w:val="auto"/>
                <w:sz w:val="24"/>
              </w:rPr>
              <w:t>代理费用收取方式及标准</w:t>
            </w:r>
          </w:p>
        </w:tc>
        <w:tc>
          <w:tcPr>
            <w:tcW w:w="6095" w:type="dxa"/>
            <w:vAlign w:val="center"/>
          </w:tcPr>
          <w:p w14:paraId="330DAF89">
            <w:pPr>
              <w:spacing w:line="360" w:lineRule="auto"/>
              <w:jc w:val="left"/>
              <w:rPr>
                <w:rFonts w:ascii="宋体" w:hAnsi="宋体" w:cs="宋体"/>
                <w:color w:val="auto"/>
                <w:kern w:val="0"/>
                <w:sz w:val="24"/>
              </w:rPr>
            </w:pPr>
            <w:r>
              <w:rPr>
                <w:rFonts w:hint="eastAsia" w:ascii="宋体" w:hAnsi="宋体" w:cs="Arial"/>
                <w:color w:val="auto"/>
                <w:kern w:val="0"/>
                <w:sz w:val="24"/>
              </w:rPr>
              <w:t>本项目不收取代理费。</w:t>
            </w:r>
          </w:p>
        </w:tc>
      </w:tr>
    </w:tbl>
    <w:p w14:paraId="51B9C125">
      <w:pPr>
        <w:snapToGrid w:val="0"/>
        <w:spacing w:line="360" w:lineRule="auto"/>
        <w:jc w:val="center"/>
        <w:rPr>
          <w:rFonts w:ascii="宋体" w:hAnsi="宋体" w:cs="宋体"/>
          <w:b/>
          <w:color w:val="auto"/>
          <w:sz w:val="32"/>
          <w:szCs w:val="20"/>
        </w:rPr>
      </w:pPr>
    </w:p>
    <w:bookmarkEnd w:id="10"/>
    <w:p w14:paraId="03A2110F">
      <w:pPr>
        <w:adjustRightInd/>
        <w:spacing w:line="360" w:lineRule="auto"/>
        <w:ind w:firstLine="3845" w:firstLineChars="1197"/>
        <w:outlineLvl w:val="0"/>
        <w:rPr>
          <w:rFonts w:ascii="宋体" w:hAnsi="宋体" w:cs="宋体"/>
          <w:b/>
          <w:color w:val="auto"/>
          <w:sz w:val="32"/>
          <w:szCs w:val="20"/>
        </w:rPr>
      </w:pPr>
      <w:bookmarkStart w:id="15" w:name="第三部分"/>
      <w:bookmarkStart w:id="16" w:name="_Toc164416483"/>
      <w:r>
        <w:rPr>
          <w:rFonts w:hint="eastAsia" w:ascii="宋体" w:hAnsi="宋体" w:cs="宋体"/>
          <w:b/>
          <w:color w:val="auto"/>
          <w:sz w:val="32"/>
          <w:szCs w:val="20"/>
        </w:rPr>
        <w:t>一、总则</w:t>
      </w:r>
    </w:p>
    <w:p w14:paraId="41F032DA">
      <w:pPr>
        <w:snapToGrid w:val="0"/>
        <w:spacing w:line="360" w:lineRule="auto"/>
        <w:ind w:firstLine="361" w:firstLineChars="150"/>
        <w:jc w:val="left"/>
        <w:outlineLvl w:val="1"/>
        <w:rPr>
          <w:rFonts w:ascii="宋体" w:hAnsi="宋体" w:cs="宋体"/>
          <w:b/>
          <w:color w:val="auto"/>
          <w:sz w:val="24"/>
        </w:rPr>
      </w:pPr>
      <w:r>
        <w:rPr>
          <w:rFonts w:hint="eastAsia" w:ascii="宋体" w:hAnsi="宋体" w:cs="宋体"/>
          <w:b/>
          <w:color w:val="auto"/>
          <w:sz w:val="24"/>
        </w:rPr>
        <w:t>1. 适用范围</w:t>
      </w:r>
    </w:p>
    <w:p w14:paraId="5D3B9B31">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本招标文件适用于该项目的招标、投标、开标、资格审查及信用信息查询、评标、定标、合同、验收等行为（法律、法规另有规定的，从其规定）。</w:t>
      </w:r>
    </w:p>
    <w:p w14:paraId="44CB6ED7">
      <w:pPr>
        <w:adjustRightInd/>
        <w:spacing w:line="360" w:lineRule="auto"/>
        <w:outlineLvl w:val="0"/>
        <w:rPr>
          <w:rFonts w:ascii="宋体" w:hAnsi="宋体" w:cs="宋体"/>
          <w:b/>
          <w:color w:val="auto"/>
          <w:sz w:val="24"/>
        </w:rPr>
      </w:pPr>
      <w:r>
        <w:rPr>
          <w:rFonts w:hint="eastAsia" w:ascii="宋体" w:hAnsi="宋体" w:cs="宋体"/>
          <w:b/>
          <w:color w:val="auto"/>
          <w:sz w:val="24"/>
        </w:rPr>
        <w:t xml:space="preserve">   2.定义</w:t>
      </w:r>
    </w:p>
    <w:p w14:paraId="0800AFBA">
      <w:pPr>
        <w:spacing w:line="360" w:lineRule="auto"/>
        <w:ind w:firstLine="480" w:firstLineChars="200"/>
        <w:rPr>
          <w:rFonts w:ascii="宋体" w:hAnsi="宋体" w:cs="宋体"/>
          <w:color w:val="auto"/>
          <w:sz w:val="24"/>
        </w:rPr>
      </w:pPr>
      <w:r>
        <w:rPr>
          <w:rFonts w:hint="eastAsia" w:ascii="宋体" w:hAnsi="宋体" w:cs="宋体"/>
          <w:color w:val="auto"/>
          <w:sz w:val="24"/>
        </w:rPr>
        <w:t>2.1 “采购人”系指招标公告中载明的本项目的采购人。</w:t>
      </w:r>
    </w:p>
    <w:p w14:paraId="72661CB2">
      <w:pPr>
        <w:spacing w:line="360" w:lineRule="auto"/>
        <w:ind w:firstLine="480" w:firstLineChars="200"/>
        <w:rPr>
          <w:rFonts w:ascii="宋体" w:hAnsi="宋体" w:cs="宋体"/>
          <w:color w:val="auto"/>
          <w:sz w:val="24"/>
        </w:rPr>
      </w:pPr>
      <w:r>
        <w:rPr>
          <w:rFonts w:hint="eastAsia" w:ascii="宋体" w:hAnsi="宋体" w:cs="宋体"/>
          <w:color w:val="auto"/>
          <w:sz w:val="24"/>
        </w:rPr>
        <w:t>2.2 “采购机构”系指招标公告中载明的本项目的采购机构。</w:t>
      </w:r>
    </w:p>
    <w:p w14:paraId="0E858467">
      <w:pPr>
        <w:spacing w:line="360" w:lineRule="auto"/>
        <w:ind w:firstLine="480" w:firstLineChars="200"/>
        <w:rPr>
          <w:rFonts w:ascii="宋体" w:hAnsi="宋体" w:cs="宋体"/>
          <w:color w:val="auto"/>
          <w:sz w:val="24"/>
        </w:rPr>
      </w:pPr>
      <w:r>
        <w:rPr>
          <w:rFonts w:hint="eastAsia" w:ascii="宋体" w:hAnsi="宋体" w:cs="宋体"/>
          <w:color w:val="auto"/>
          <w:sz w:val="24"/>
        </w:rPr>
        <w:t>2.3 “投标人”系指是指响应招标、参加投标竞争的法人、其他组织或者自然人。</w:t>
      </w:r>
    </w:p>
    <w:p w14:paraId="0864EDE2">
      <w:pPr>
        <w:spacing w:line="360" w:lineRule="auto"/>
        <w:ind w:firstLine="480" w:firstLineChars="200"/>
        <w:rPr>
          <w:rFonts w:ascii="宋体" w:hAnsi="宋体" w:cs="宋体"/>
          <w:color w:val="auto"/>
          <w:sz w:val="24"/>
        </w:rPr>
      </w:pPr>
      <w:r>
        <w:rPr>
          <w:rFonts w:hint="eastAsia" w:ascii="宋体" w:hAnsi="宋体" w:cs="宋体"/>
          <w:color w:val="auto"/>
          <w:sz w:val="24"/>
        </w:rPr>
        <w:t>2.4 “负责人”系指法人企业的法定负责人，或其他组织为法律、行政法规规定代表单位行使职权的主要负责人，或自然人本人。</w:t>
      </w:r>
    </w:p>
    <w:p w14:paraId="51C163B9">
      <w:pPr>
        <w:spacing w:line="360" w:lineRule="auto"/>
        <w:ind w:firstLine="480" w:firstLineChars="200"/>
        <w:rPr>
          <w:rFonts w:ascii="宋体" w:hAnsi="宋体" w:cs="宋体"/>
          <w:color w:val="auto"/>
          <w:sz w:val="24"/>
        </w:rPr>
      </w:pPr>
      <w:r>
        <w:rPr>
          <w:rFonts w:hint="eastAsia" w:ascii="宋体" w:hAnsi="宋体" w:cs="宋体"/>
          <w:color w:val="auto"/>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47F9013E">
      <w:pPr>
        <w:spacing w:line="360" w:lineRule="auto"/>
        <w:ind w:firstLine="480" w:firstLineChars="200"/>
        <w:rPr>
          <w:rFonts w:ascii="宋体" w:hAnsi="宋体" w:cs="宋体"/>
          <w:color w:val="auto"/>
          <w:sz w:val="24"/>
        </w:rPr>
      </w:pPr>
      <w:r>
        <w:rPr>
          <w:rFonts w:hint="eastAsia" w:ascii="宋体" w:hAnsi="宋体" w:cs="宋体"/>
          <w:color w:val="auto"/>
          <w:sz w:val="24"/>
        </w:rPr>
        <w:t>2.6“电子交易平台”是指本项目政府采购活动所依托的政府采购云平台（https://www.zcygov.cn/）。</w:t>
      </w:r>
    </w:p>
    <w:p w14:paraId="0A18B9FA">
      <w:pPr>
        <w:spacing w:line="360" w:lineRule="auto"/>
        <w:ind w:firstLine="480" w:firstLineChars="200"/>
        <w:rPr>
          <w:rFonts w:ascii="宋体" w:hAnsi="宋体" w:cs="宋体"/>
          <w:color w:val="auto"/>
          <w:sz w:val="24"/>
        </w:rPr>
      </w:pPr>
      <w:r>
        <w:rPr>
          <w:rFonts w:hint="eastAsia" w:ascii="宋体" w:hAnsi="宋体" w:cs="宋体"/>
          <w:color w:val="auto"/>
          <w:sz w:val="24"/>
        </w:rPr>
        <w:t>2.7 “▲” 系指实质性要求条款，“</w:t>
      </w:r>
      <w:r>
        <w:rPr>
          <w:rFonts w:ascii="Wingdings" w:hAnsi="Wingdings" w:cs="宋体"/>
          <w:color w:val="auto"/>
          <w:kern w:val="0"/>
          <w:sz w:val="24"/>
        </w:rPr>
        <w:t></w:t>
      </w:r>
      <w:r>
        <w:rPr>
          <w:rFonts w:hint="eastAsia" w:ascii="宋体" w:hAnsi="宋体" w:cs="宋体"/>
          <w:color w:val="auto"/>
          <w:sz w:val="24"/>
        </w:rPr>
        <w:t>” 系指适用本项目的要求，“</w:t>
      </w:r>
      <w:r>
        <w:rPr>
          <w:rFonts w:hint="eastAsia" w:ascii="宋体" w:hAnsi="宋体" w:cs="宋体"/>
          <w:color w:val="auto"/>
          <w:kern w:val="0"/>
          <w:sz w:val="24"/>
        </w:rPr>
        <w:t>☐</w:t>
      </w:r>
      <w:r>
        <w:rPr>
          <w:rFonts w:hint="eastAsia" w:ascii="宋体" w:hAnsi="宋体" w:cs="宋体"/>
          <w:color w:val="auto"/>
          <w:sz w:val="24"/>
        </w:rPr>
        <w:t>” 系指不适用本项目的要求。</w:t>
      </w:r>
    </w:p>
    <w:p w14:paraId="3B631A5D">
      <w:pPr>
        <w:spacing w:line="360" w:lineRule="auto"/>
        <w:ind w:firstLine="480" w:firstLineChars="200"/>
        <w:rPr>
          <w:rFonts w:ascii="宋体" w:hAnsi="宋体" w:cs="宋体"/>
          <w:color w:val="auto"/>
          <w:sz w:val="24"/>
        </w:rPr>
      </w:pPr>
      <w:r>
        <w:rPr>
          <w:rFonts w:hint="eastAsia" w:ascii="宋体" w:hAnsi="宋体" w:cs="宋体"/>
          <w:color w:val="auto"/>
          <w:sz w:val="24"/>
        </w:rPr>
        <w:t>2.8本招标文件所称的“以上”、“以下”、“以内”、“届满”、“含”、“及”，若无特别说明，则包括本数（如：45周岁以下，指不满46周岁生日当天，即“45周岁生日当天至46周岁生日前一天”均属于45周岁以下的范围）；所称的“不满”、“超过”、“以外”，若无特别说明，则不包括本数。</w:t>
      </w:r>
    </w:p>
    <w:p w14:paraId="7F1C4E23">
      <w:pPr>
        <w:spacing w:line="360" w:lineRule="auto"/>
        <w:ind w:firstLine="241" w:firstLineChars="100"/>
        <w:rPr>
          <w:rFonts w:ascii="宋体" w:hAnsi="宋体" w:cs="宋体"/>
          <w:b/>
          <w:color w:val="auto"/>
          <w:sz w:val="24"/>
        </w:rPr>
      </w:pPr>
      <w:r>
        <w:rPr>
          <w:rFonts w:hint="eastAsia" w:ascii="宋体" w:hAnsi="宋体" w:cs="宋体"/>
          <w:b/>
          <w:color w:val="auto"/>
          <w:sz w:val="24"/>
        </w:rPr>
        <w:t>3.</w:t>
      </w:r>
      <w:r>
        <w:rPr>
          <w:rFonts w:hint="eastAsia" w:ascii="宋体" w:hAnsi="宋体" w:cs="宋体"/>
          <w:color w:val="auto"/>
        </w:rPr>
        <w:t xml:space="preserve"> </w:t>
      </w:r>
      <w:r>
        <w:rPr>
          <w:rFonts w:hint="eastAsia" w:ascii="宋体" w:hAnsi="宋体" w:cs="宋体"/>
          <w:b/>
          <w:color w:val="auto"/>
          <w:sz w:val="24"/>
        </w:rPr>
        <w:t>采购项目需要落实的政府采购政策</w:t>
      </w:r>
    </w:p>
    <w:p w14:paraId="6F27F8A0">
      <w:pPr>
        <w:spacing w:line="360" w:lineRule="auto"/>
        <w:ind w:firstLine="240" w:firstLineChars="100"/>
        <w:rPr>
          <w:rFonts w:ascii="宋体" w:hAnsi="宋体" w:cs="宋体"/>
          <w:color w:val="auto"/>
          <w:sz w:val="24"/>
        </w:rPr>
      </w:pPr>
      <w:r>
        <w:rPr>
          <w:rFonts w:hint="eastAsia" w:ascii="宋体" w:hAnsi="宋体" w:cs="宋体"/>
          <w:color w:val="auto"/>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color w:val="auto"/>
          <w:kern w:val="0"/>
          <w:sz w:val="24"/>
        </w:rPr>
        <w:t>优先采购向我国企业转让技术、与我国企业签订消化吸收再创新方案的供应商的进口产品</w:t>
      </w:r>
      <w:r>
        <w:rPr>
          <w:rFonts w:hint="eastAsia" w:ascii="宋体" w:hAnsi="宋体" w:cs="宋体"/>
          <w:color w:val="auto"/>
          <w:sz w:val="24"/>
        </w:rPr>
        <w:t>。</w:t>
      </w:r>
    </w:p>
    <w:p w14:paraId="524130C3">
      <w:pPr>
        <w:spacing w:line="360" w:lineRule="auto"/>
        <w:ind w:firstLine="240" w:firstLineChars="100"/>
        <w:rPr>
          <w:rFonts w:ascii="宋体" w:hAnsi="宋体" w:cs="宋体"/>
          <w:color w:val="auto"/>
          <w:sz w:val="24"/>
        </w:rPr>
      </w:pPr>
      <w:r>
        <w:rPr>
          <w:rFonts w:hint="eastAsia" w:ascii="宋体" w:hAnsi="宋体" w:cs="宋体"/>
          <w:color w:val="auto"/>
          <w:sz w:val="24"/>
        </w:rPr>
        <w:t>3.2 支持绿色发展</w:t>
      </w:r>
    </w:p>
    <w:p w14:paraId="77B64091">
      <w:pPr>
        <w:spacing w:line="360" w:lineRule="auto"/>
        <w:ind w:firstLine="480" w:firstLineChars="200"/>
        <w:rPr>
          <w:rFonts w:ascii="宋体" w:hAnsi="宋体" w:cs="宋体"/>
          <w:b/>
          <w:color w:val="auto"/>
          <w:sz w:val="24"/>
        </w:rPr>
      </w:pPr>
      <w:r>
        <w:rPr>
          <w:rFonts w:hint="eastAsia" w:ascii="宋体" w:hAnsi="宋体" w:cs="宋体"/>
          <w:color w:val="auto"/>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rPr>
        <w:t>▲按要求</w:t>
      </w:r>
      <w:r>
        <w:rPr>
          <w:rFonts w:hint="eastAsia" w:ascii="宋体" w:hAnsi="宋体" w:cs="宋体"/>
          <w:b/>
          <w:bCs/>
          <w:color w:val="auto"/>
          <w:kern w:val="0"/>
          <w:sz w:val="24"/>
          <w:lang w:val="zh-CN"/>
        </w:rPr>
        <w:t>实施政府强制采购的</w:t>
      </w:r>
      <w:r>
        <w:rPr>
          <w:rFonts w:hint="eastAsia" w:ascii="宋体" w:hAnsi="宋体" w:cs="宋体"/>
          <w:color w:val="auto"/>
          <w:kern w:val="0"/>
          <w:sz w:val="24"/>
          <w:lang w:val="zh-CN"/>
        </w:rPr>
        <w:t>，</w:t>
      </w:r>
      <w:r>
        <w:rPr>
          <w:rFonts w:hint="eastAsia" w:ascii="宋体" w:hAnsi="宋体" w:cs="宋体"/>
          <w:b/>
          <w:bCs/>
          <w:color w:val="auto"/>
          <w:kern w:val="0"/>
          <w:sz w:val="24"/>
          <w:lang w:val="zh-CN"/>
        </w:rPr>
        <w:t>投标人</w:t>
      </w:r>
      <w:r>
        <w:rPr>
          <w:rFonts w:hint="eastAsia" w:ascii="宋体" w:hAnsi="宋体" w:cs="宋体"/>
          <w:b/>
          <w:bCs/>
          <w:color w:val="auto"/>
          <w:kern w:val="0"/>
          <w:sz w:val="24"/>
        </w:rPr>
        <w:t>就</w:t>
      </w:r>
      <w:r>
        <w:rPr>
          <w:rFonts w:hint="eastAsia" w:ascii="宋体" w:hAnsi="宋体" w:cs="宋体"/>
          <w:b/>
          <w:bCs/>
          <w:color w:val="auto"/>
          <w:kern w:val="0"/>
          <w:sz w:val="24"/>
          <w:lang w:val="zh-CN"/>
        </w:rPr>
        <w:t>相应的投标产品未</w:t>
      </w:r>
      <w:r>
        <w:rPr>
          <w:rFonts w:hint="eastAsia" w:ascii="宋体" w:hAnsi="宋体" w:cs="宋体"/>
          <w:b/>
          <w:bCs/>
          <w:color w:val="auto"/>
          <w:kern w:val="0"/>
          <w:sz w:val="24"/>
        </w:rPr>
        <w:t>提供</w:t>
      </w:r>
      <w:r>
        <w:rPr>
          <w:rFonts w:hint="eastAsia" w:ascii="宋体" w:hAnsi="宋体" w:cs="宋体"/>
          <w:b/>
          <w:bCs/>
          <w:color w:val="auto"/>
          <w:kern w:val="0"/>
          <w:sz w:val="24"/>
          <w:lang w:val="zh-CN"/>
        </w:rPr>
        <w:t>国家确定的认证机构出具的、处于有效期之内的节能产品认证证书的，投标无效</w:t>
      </w:r>
      <w:r>
        <w:rPr>
          <w:rFonts w:hint="eastAsia" w:ascii="宋体" w:hAnsi="宋体" w:cs="宋体"/>
          <w:b/>
          <w:color w:val="auto"/>
          <w:sz w:val="24"/>
        </w:rPr>
        <w:t>。</w:t>
      </w:r>
    </w:p>
    <w:p w14:paraId="565B5000">
      <w:pPr>
        <w:spacing w:line="360" w:lineRule="auto"/>
        <w:ind w:firstLine="480" w:firstLineChars="200"/>
        <w:rPr>
          <w:rFonts w:ascii="宋体" w:hAnsi="宋体" w:cs="宋体"/>
          <w:color w:val="auto"/>
          <w:sz w:val="24"/>
        </w:rPr>
      </w:pPr>
      <w:r>
        <w:rPr>
          <w:rFonts w:hint="eastAsia" w:ascii="宋体" w:hAnsi="宋体" w:cs="宋体"/>
          <w:color w:val="auto"/>
          <w:sz w:val="24"/>
        </w:rPr>
        <w:t>3.2.2 纳入政府采购管理的修缮、装修类项目采购建材的，鼓励采购单位将绿色建材性能、指标等作为实质性条件纳入采购文件和合同，具体性能指标要求参考相关绿色建材政府采购需求标准。</w:t>
      </w:r>
    </w:p>
    <w:p w14:paraId="5A099763">
      <w:pPr>
        <w:spacing w:line="360" w:lineRule="auto"/>
        <w:ind w:firstLine="480" w:firstLineChars="200"/>
        <w:rPr>
          <w:rFonts w:ascii="宋体" w:hAnsi="宋体" w:cs="宋体"/>
          <w:color w:val="auto"/>
          <w:sz w:val="24"/>
        </w:rPr>
      </w:pPr>
      <w:r>
        <w:rPr>
          <w:rFonts w:hint="eastAsia" w:ascii="宋体" w:hAnsi="宋体" w:cs="宋体"/>
          <w:color w:val="auto"/>
          <w:sz w:val="24"/>
        </w:rPr>
        <w:t>3.2.3为助力打好污染防治攻坚战，推广使用绿色包装，政府采购货物、工程和服务项目中涉及商品包装和快递包装的，供应商提供产品及相关快递服务的具体包装要求鼓励采购单位优先采购秸秆环保板材等资源综合利用产品。鼓励采购单位优先采购绿色物流配送服务、提供新能源交通工具的租赁服务。</w:t>
      </w:r>
    </w:p>
    <w:p w14:paraId="0402B852">
      <w:pPr>
        <w:spacing w:line="360" w:lineRule="auto"/>
        <w:ind w:firstLine="480" w:firstLineChars="200"/>
        <w:rPr>
          <w:rFonts w:ascii="宋体" w:hAnsi="宋体" w:cs="宋体"/>
          <w:color w:val="auto"/>
          <w:sz w:val="24"/>
        </w:rPr>
      </w:pPr>
      <w:r>
        <w:rPr>
          <w:rFonts w:ascii="宋体" w:hAnsi="宋体" w:cs="宋体"/>
          <w:color w:val="auto"/>
          <w:sz w:val="24"/>
        </w:rPr>
        <w:t xml:space="preserve">3.2.4 </w:t>
      </w:r>
      <w:r>
        <w:rPr>
          <w:rFonts w:hint="eastAsia" w:ascii="宋体" w:hAnsi="宋体" w:cs="宋体"/>
          <w:color w:val="auto"/>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D5ED41F">
      <w:pPr>
        <w:spacing w:line="360" w:lineRule="auto"/>
        <w:ind w:firstLine="240" w:firstLineChars="100"/>
        <w:rPr>
          <w:rFonts w:ascii="宋体" w:hAnsi="宋体" w:cs="宋体"/>
          <w:color w:val="auto"/>
          <w:sz w:val="24"/>
        </w:rPr>
      </w:pPr>
      <w:r>
        <w:rPr>
          <w:rFonts w:hint="eastAsia" w:ascii="宋体" w:hAnsi="宋体" w:cs="宋体"/>
          <w:color w:val="auto"/>
          <w:sz w:val="24"/>
        </w:rPr>
        <w:t>3.3支持中小企业发展</w:t>
      </w:r>
    </w:p>
    <w:p w14:paraId="6AA56BEC">
      <w:pPr>
        <w:spacing w:line="360" w:lineRule="auto"/>
        <w:ind w:firstLine="480" w:firstLineChars="200"/>
        <w:rPr>
          <w:rFonts w:ascii="宋体" w:hAnsi="宋体" w:cs="宋体"/>
          <w:color w:val="auto"/>
          <w:sz w:val="24"/>
        </w:rPr>
      </w:pPr>
      <w:r>
        <w:rPr>
          <w:rFonts w:hint="eastAsia" w:ascii="宋体" w:hAnsi="宋体" w:cs="宋体"/>
          <w:color w:val="auto"/>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48418A6">
      <w:pPr>
        <w:spacing w:line="360" w:lineRule="auto"/>
        <w:ind w:firstLine="480" w:firstLineChars="200"/>
        <w:rPr>
          <w:rFonts w:ascii="宋体" w:hAnsi="宋体" w:cs="宋体"/>
          <w:color w:val="auto"/>
          <w:sz w:val="24"/>
        </w:rPr>
      </w:pPr>
      <w:r>
        <w:rPr>
          <w:rFonts w:hint="eastAsia" w:ascii="宋体" w:hAnsi="宋体" w:cs="宋体"/>
          <w:color w:val="auto"/>
          <w:sz w:val="24"/>
        </w:rPr>
        <w:t>符合中小企业划分标准的个体工商户，在政府采购活动中视同中小企业。</w:t>
      </w:r>
    </w:p>
    <w:p w14:paraId="764B0868">
      <w:pPr>
        <w:widowControl/>
        <w:spacing w:line="360" w:lineRule="auto"/>
        <w:ind w:firstLine="480" w:firstLineChars="200"/>
        <w:jc w:val="left"/>
        <w:rPr>
          <w:rFonts w:ascii="宋体" w:hAnsi="宋体" w:cs="宋体"/>
          <w:color w:val="auto"/>
          <w:kern w:val="0"/>
          <w:sz w:val="24"/>
        </w:rPr>
      </w:pPr>
      <w:r>
        <w:rPr>
          <w:rFonts w:ascii="宋体" w:hAnsi="宋体" w:cs="宋体"/>
          <w:bCs/>
          <w:color w:val="auto"/>
          <w:sz w:val="24"/>
        </w:rPr>
        <w:t>3.3.2</w:t>
      </w:r>
      <w:r>
        <w:rPr>
          <w:rFonts w:hint="eastAsia" w:ascii="宋体" w:hAnsi="宋体" w:cs="宋体"/>
          <w:color w:val="auto"/>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2A8A5636">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以联合体形式参加政府采购活动，联合体各方均为中小企业的，联合体视同中小企业。其中，联合体各方均为小微企业的，联合体视同小微企业。</w:t>
      </w:r>
    </w:p>
    <w:p w14:paraId="2DB3BE20">
      <w:pPr>
        <w:spacing w:line="360" w:lineRule="auto"/>
        <w:ind w:firstLine="480" w:firstLineChars="200"/>
        <w:rPr>
          <w:rFonts w:ascii="宋体" w:hAnsi="宋体" w:cs="宋体"/>
          <w:color w:val="auto"/>
          <w:sz w:val="24"/>
        </w:rPr>
      </w:pPr>
      <w:r>
        <w:rPr>
          <w:rFonts w:hint="eastAsia" w:ascii="宋体" w:hAnsi="宋体" w:cs="宋体"/>
          <w:color w:val="auto"/>
          <w:sz w:val="24"/>
        </w:rPr>
        <w:t>3.3.3对于未预留份额专门面向中小企业的政府采购货物项目，以及预留份额政府采购货物项目中的非预留部分标项，对小型和微型企业的投标报价给予10%-</w:t>
      </w:r>
      <w:r>
        <w:rPr>
          <w:rFonts w:ascii="宋体" w:hAnsi="宋体" w:cs="宋体"/>
          <w:color w:val="auto"/>
          <w:sz w:val="24"/>
        </w:rPr>
        <w:t>20</w:t>
      </w:r>
      <w:r>
        <w:rPr>
          <w:rFonts w:hint="eastAsia" w:ascii="宋体" w:hAnsi="宋体" w:cs="宋体"/>
          <w:color w:val="auto"/>
          <w:sz w:val="24"/>
        </w:rPr>
        <w:t>%（</w:t>
      </w:r>
      <w:r>
        <w:rPr>
          <w:rFonts w:hint="eastAsia" w:ascii="宋体" w:hAnsi="宋体" w:cs="宋体"/>
          <w:snapToGrid w:val="0"/>
          <w:color w:val="auto"/>
          <w:kern w:val="28"/>
          <w:sz w:val="24"/>
        </w:rPr>
        <w:t>招标文件第四部分</w:t>
      </w:r>
      <w:r>
        <w:rPr>
          <w:rFonts w:hint="eastAsia" w:ascii="宋体" w:hAnsi="宋体" w:cs="宋体"/>
          <w:color w:val="auto"/>
          <w:sz w:val="24"/>
        </w:rPr>
        <w:t>评标办法明确具体的扣除比例，未明确的，给予</w:t>
      </w:r>
      <w:r>
        <w:rPr>
          <w:rFonts w:ascii="宋体" w:hAnsi="宋体" w:cs="宋体"/>
          <w:color w:val="auto"/>
          <w:sz w:val="24"/>
        </w:rPr>
        <w:t>20</w:t>
      </w:r>
      <w:r>
        <w:rPr>
          <w:rFonts w:hint="eastAsia" w:ascii="宋体" w:hAnsi="宋体" w:cs="宋体"/>
          <w:color w:val="auto"/>
          <w:sz w:val="24"/>
        </w:rPr>
        <w:t>%的扣除）的扣除，用扣除后的价格参与评审。接受大中型企业与小微企业组成联合体或者允许大中型企业向一家或者多家小微企业分包的政府采购货物项目，对于</w:t>
      </w:r>
      <w:bookmarkStart w:id="17" w:name="_Hlk101132181"/>
      <w:r>
        <w:rPr>
          <w:rFonts w:hint="eastAsia" w:ascii="宋体" w:hAnsi="宋体" w:cs="宋体"/>
          <w:color w:val="auto"/>
          <w:sz w:val="24"/>
        </w:rPr>
        <w:t>联合协议或者分包意向协议约定小微企业的合同份额占到合同总金额30%以上的</w:t>
      </w:r>
      <w:bookmarkEnd w:id="17"/>
      <w:r>
        <w:rPr>
          <w:rFonts w:hint="eastAsia" w:ascii="宋体" w:hAnsi="宋体" w:cs="宋体"/>
          <w:color w:val="auto"/>
          <w:sz w:val="24"/>
        </w:rPr>
        <w:t>，对联合体或者大中型企业的报价给予4%-</w:t>
      </w:r>
      <w:r>
        <w:rPr>
          <w:rFonts w:ascii="宋体" w:hAnsi="宋体" w:cs="宋体"/>
          <w:color w:val="auto"/>
          <w:sz w:val="24"/>
        </w:rPr>
        <w:t>6</w:t>
      </w:r>
      <w:r>
        <w:rPr>
          <w:rFonts w:hint="eastAsia" w:ascii="宋体" w:hAnsi="宋体" w:cs="宋体"/>
          <w:color w:val="auto"/>
          <w:sz w:val="24"/>
        </w:rPr>
        <w:t>%（</w:t>
      </w:r>
      <w:r>
        <w:rPr>
          <w:rFonts w:hint="eastAsia" w:ascii="宋体" w:hAnsi="宋体" w:cs="宋体"/>
          <w:snapToGrid w:val="0"/>
          <w:color w:val="auto"/>
          <w:kern w:val="28"/>
          <w:sz w:val="24"/>
        </w:rPr>
        <w:t>招标文件第四部分</w:t>
      </w:r>
      <w:r>
        <w:rPr>
          <w:rFonts w:hint="eastAsia" w:ascii="宋体" w:hAnsi="宋体" w:cs="宋体"/>
          <w:color w:val="auto"/>
          <w:sz w:val="24"/>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14:paraId="2B140EE5">
      <w:pPr>
        <w:spacing w:line="360" w:lineRule="auto"/>
        <w:ind w:firstLine="480" w:firstLineChars="200"/>
        <w:rPr>
          <w:rFonts w:ascii="宋体" w:hAnsi="宋体" w:cs="宋体"/>
          <w:color w:val="auto"/>
          <w:sz w:val="24"/>
        </w:rPr>
      </w:pPr>
      <w:r>
        <w:rPr>
          <w:rFonts w:hint="eastAsia" w:ascii="宋体" w:hAnsi="宋体" w:cs="宋体"/>
          <w:color w:val="auto"/>
          <w:sz w:val="24"/>
        </w:rPr>
        <w:t>3.3.4符合《关于促进残疾人就业政府采购政策的通知》（财库〔2017〕141号）规定的条件并提供《残疾人福利性单位声明函》（附件1）的残疾人福利性单位视同小型、微型企业；</w:t>
      </w:r>
    </w:p>
    <w:p w14:paraId="592C26E8">
      <w:pPr>
        <w:spacing w:line="360" w:lineRule="auto"/>
        <w:ind w:firstLine="480" w:firstLineChars="200"/>
        <w:rPr>
          <w:rFonts w:ascii="宋体" w:hAnsi="宋体" w:cs="宋体"/>
          <w:color w:val="auto"/>
          <w:sz w:val="24"/>
        </w:rPr>
      </w:pPr>
      <w:r>
        <w:rPr>
          <w:rFonts w:hint="eastAsia" w:ascii="宋体" w:hAnsi="宋体" w:cs="宋体"/>
          <w:color w:val="auto"/>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134DC59">
      <w:pPr>
        <w:spacing w:line="360" w:lineRule="auto"/>
        <w:ind w:firstLine="480" w:firstLineChars="200"/>
        <w:rPr>
          <w:rFonts w:ascii="宋体" w:hAnsi="宋体" w:cs="宋体"/>
          <w:color w:val="auto"/>
          <w:sz w:val="24"/>
        </w:rPr>
      </w:pPr>
      <w:r>
        <w:rPr>
          <w:rFonts w:hint="eastAsia" w:ascii="宋体" w:hAnsi="宋体" w:cs="宋体"/>
          <w:color w:val="auto"/>
          <w:sz w:val="24"/>
        </w:rPr>
        <w:t>3.3.6可享受中小企业扶持政策的投标人应按照招标文件格式要求提供《中小企业声明函》，《中小企业声明函》填写企业类型错误，导致该企业享受本不能享受的中小企业扶持政策，投标无效并依法承担法律责任。</w:t>
      </w:r>
    </w:p>
    <w:p w14:paraId="525DB80E">
      <w:pPr>
        <w:spacing w:line="360" w:lineRule="auto"/>
        <w:ind w:firstLine="480" w:firstLineChars="200"/>
        <w:rPr>
          <w:rFonts w:ascii="宋体" w:hAnsi="宋体" w:cs="宋体"/>
          <w:color w:val="auto"/>
          <w:sz w:val="24"/>
        </w:rPr>
      </w:pPr>
      <w:r>
        <w:rPr>
          <w:rFonts w:hint="eastAsia" w:ascii="宋体" w:hAnsi="宋体" w:cs="宋体"/>
          <w:color w:val="auto"/>
          <w:sz w:val="24"/>
        </w:rPr>
        <w:t>3.3.7中小企业享受扶持政策获得政府采购合同的，小微企业不得将合同分包给大中型企业，中型企业不得将合同分包给大型企业。</w:t>
      </w:r>
    </w:p>
    <w:p w14:paraId="14AD7F5B">
      <w:pPr>
        <w:spacing w:line="360" w:lineRule="auto"/>
        <w:ind w:firstLine="240" w:firstLineChars="100"/>
        <w:rPr>
          <w:rFonts w:ascii="宋体" w:hAnsi="宋体" w:cs="宋体"/>
          <w:color w:val="auto"/>
          <w:sz w:val="24"/>
        </w:rPr>
      </w:pPr>
      <w:r>
        <w:rPr>
          <w:rFonts w:hint="eastAsia" w:ascii="宋体" w:hAnsi="宋体" w:cs="宋体"/>
          <w:color w:val="auto"/>
          <w:sz w:val="24"/>
        </w:rPr>
        <w:t>3.4</w:t>
      </w:r>
      <w:r>
        <w:rPr>
          <w:rFonts w:hint="eastAsia" w:ascii="宋体" w:hAnsi="宋体" w:cs="宋体"/>
          <w:bCs/>
          <w:color w:val="auto"/>
          <w:sz w:val="24"/>
        </w:rPr>
        <w:t>支持创新发展</w:t>
      </w:r>
    </w:p>
    <w:p w14:paraId="68416FBD">
      <w:pPr>
        <w:spacing w:line="360" w:lineRule="auto"/>
        <w:ind w:firstLine="480" w:firstLineChars="200"/>
        <w:rPr>
          <w:rFonts w:ascii="宋体" w:hAnsi="宋体" w:cs="宋体"/>
          <w:color w:val="auto"/>
          <w:sz w:val="24"/>
        </w:rPr>
      </w:pPr>
      <w:r>
        <w:rPr>
          <w:rFonts w:hint="eastAsia" w:ascii="宋体" w:hAnsi="宋体" w:cs="宋体"/>
          <w:color w:val="auto"/>
          <w:sz w:val="24"/>
        </w:rPr>
        <w:t>3.4.1 首台套、“制造精品”、“专精特新”等创新产品按规定享受政府采购支持政策。</w:t>
      </w:r>
    </w:p>
    <w:p w14:paraId="133D99D4">
      <w:pPr>
        <w:pStyle w:val="3"/>
        <w:adjustRightInd w:val="0"/>
        <w:ind w:left="0" w:firstLine="480" w:firstLineChars="200"/>
        <w:rPr>
          <w:color w:val="auto"/>
        </w:rPr>
      </w:pPr>
      <w:r>
        <w:rPr>
          <w:rFonts w:hint="eastAsia" w:ascii="宋体" w:hAnsi="宋体" w:eastAsia="宋体" w:cs="仿宋"/>
          <w:b w:val="0"/>
          <w:bCs w:val="0"/>
          <w:color w:val="auto"/>
          <w:sz w:val="24"/>
          <w:szCs w:val="24"/>
          <w:lang w:val="en-US"/>
        </w:rPr>
        <w:t>3.4.</w:t>
      </w:r>
      <w:r>
        <w:rPr>
          <w:rFonts w:hint="eastAsia" w:ascii="宋体" w:hAnsi="宋体" w:cs="仿宋"/>
          <w:b w:val="0"/>
          <w:bCs w:val="0"/>
          <w:color w:val="auto"/>
          <w:sz w:val="24"/>
          <w:szCs w:val="24"/>
          <w:lang w:val="en-US"/>
        </w:rPr>
        <w:t>2</w:t>
      </w:r>
      <w:r>
        <w:rPr>
          <w:rFonts w:hint="eastAsia" w:ascii="宋体" w:hAnsi="宋体" w:eastAsia="宋体" w:cs="仿宋"/>
          <w:b w:val="0"/>
          <w:bCs w:val="0"/>
          <w:color w:val="auto"/>
          <w:sz w:val="24"/>
          <w:szCs w:val="24"/>
          <w:lang w:val="en-US"/>
        </w:rPr>
        <w:t xml:space="preserve"> 采购人应当贯彻落实知识产权保护相关法律法规，应当采购使用正版软件。</w:t>
      </w:r>
    </w:p>
    <w:p w14:paraId="30DDA8E8">
      <w:pPr>
        <w:spacing w:line="360" w:lineRule="auto"/>
        <w:ind w:firstLine="240" w:firstLineChars="100"/>
        <w:rPr>
          <w:rFonts w:ascii="宋体" w:hAnsi="宋体" w:cs="宋体"/>
          <w:color w:val="auto"/>
          <w:sz w:val="24"/>
        </w:rPr>
      </w:pPr>
      <w:r>
        <w:rPr>
          <w:rFonts w:hint="eastAsia" w:ascii="宋体" w:hAnsi="宋体" w:cs="宋体"/>
          <w:color w:val="auto"/>
          <w:sz w:val="24"/>
        </w:rPr>
        <w:t>3.5平等对待内外资企业和符合条件的破产重整企业</w:t>
      </w:r>
    </w:p>
    <w:p w14:paraId="651E50BF">
      <w:pPr>
        <w:spacing w:line="360" w:lineRule="auto"/>
        <w:ind w:firstLine="240" w:firstLineChars="100"/>
        <w:rPr>
          <w:rFonts w:ascii="宋体" w:hAnsi="宋体" w:cs="宋体"/>
          <w:color w:val="auto"/>
          <w:sz w:val="24"/>
        </w:rPr>
      </w:pPr>
      <w:r>
        <w:rPr>
          <w:rFonts w:hint="eastAsia" w:ascii="宋体" w:hAnsi="宋体" w:cs="宋体"/>
          <w:color w:val="auto"/>
          <w:sz w:val="24"/>
        </w:rPr>
        <w:t>平等对待内外资企业和符合条件的破产重整企业，切实保障企业公平竞争，平等维护企业的合法利益。</w:t>
      </w:r>
      <w:r>
        <w:rPr>
          <w:rFonts w:hint="eastAsia" w:ascii="宋体" w:hAnsi="宋体" w:cs="宋体"/>
          <w:color w:val="auto"/>
          <w:sz w:val="24"/>
        </w:rPr>
        <w:cr/>
      </w:r>
      <w:r>
        <w:rPr>
          <w:rFonts w:hint="eastAsia" w:ascii="宋体" w:hAnsi="宋体" w:cs="宋体"/>
          <w:color w:val="auto"/>
          <w:sz w:val="24"/>
        </w:rPr>
        <w:t xml:space="preserve">  3.6 支持本国产品</w:t>
      </w:r>
    </w:p>
    <w:p w14:paraId="44273BC1">
      <w:pPr>
        <w:spacing w:line="360" w:lineRule="auto"/>
        <w:ind w:firstLine="480" w:firstLineChars="200"/>
        <w:jc w:val="left"/>
        <w:rPr>
          <w:rFonts w:ascii="宋体" w:hAnsi="宋体" w:cs="宋体"/>
          <w:color w:val="auto"/>
          <w:sz w:val="24"/>
        </w:rPr>
      </w:pPr>
      <w:r>
        <w:rPr>
          <w:rFonts w:hint="eastAsia" w:ascii="宋体" w:hAnsi="宋体" w:cs="宋体"/>
          <w:color w:val="auto"/>
          <w:sz w:val="24"/>
        </w:rPr>
        <w:t>3.6.1 本国产品标准适用于货物，包括政府采购货物项目和服务项目中涉及的货物。</w:t>
      </w:r>
    </w:p>
    <w:p w14:paraId="61966970">
      <w:pPr>
        <w:spacing w:line="360" w:lineRule="auto"/>
        <w:ind w:firstLine="480" w:firstLineChars="200"/>
        <w:jc w:val="left"/>
        <w:rPr>
          <w:rFonts w:ascii="宋体" w:hAnsi="宋体" w:cs="宋体"/>
          <w:color w:val="auto"/>
          <w:sz w:val="24"/>
        </w:rPr>
      </w:pPr>
      <w:r>
        <w:rPr>
          <w:rFonts w:hint="eastAsia" w:ascii="宋体" w:hAnsi="宋体" w:cs="宋体"/>
          <w:color w:val="auto"/>
          <w:sz w:val="24"/>
        </w:rPr>
        <w:t>3.6.2 本项目既有本国产品又有非本国产品参与竞争的，对本国产品的报价给予20%的价格扣除，用扣除后的价格参与评审。</w:t>
      </w:r>
    </w:p>
    <w:p w14:paraId="5A8AAB3B">
      <w:pPr>
        <w:spacing w:line="360" w:lineRule="auto"/>
        <w:ind w:firstLine="480" w:firstLineChars="200"/>
        <w:jc w:val="left"/>
        <w:rPr>
          <w:rFonts w:ascii="宋体" w:hAnsi="宋体" w:cs="宋体"/>
          <w:color w:val="auto"/>
          <w:sz w:val="24"/>
        </w:rPr>
      </w:pPr>
      <w:r>
        <w:rPr>
          <w:rFonts w:hint="eastAsia" w:ascii="宋体" w:hAnsi="宋体" w:cs="宋体"/>
          <w:color w:val="auto"/>
          <w:sz w:val="24"/>
        </w:rPr>
        <w:t>3.6.3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5AED7AE0">
      <w:pPr>
        <w:spacing w:line="360" w:lineRule="auto"/>
        <w:ind w:firstLine="480" w:firstLineChars="200"/>
        <w:jc w:val="left"/>
        <w:rPr>
          <w:rFonts w:ascii="宋体" w:hAnsi="宋体" w:cs="宋体"/>
          <w:color w:val="auto"/>
          <w:sz w:val="24"/>
        </w:rPr>
      </w:pPr>
      <w:r>
        <w:rPr>
          <w:rFonts w:hint="eastAsia" w:ascii="宋体" w:hAnsi="宋体" w:cs="宋体"/>
          <w:color w:val="auto"/>
          <w:sz w:val="24"/>
        </w:rPr>
        <w:t>3.6.4 评审委员会</w:t>
      </w:r>
      <w:r>
        <w:rPr>
          <w:rFonts w:hint="eastAsia" w:ascii="宋体" w:hAnsi="宋体" w:cs="宋体"/>
          <w:color w:val="auto"/>
          <w:sz w:val="24"/>
          <w:shd w:val="clear" w:color="auto" w:fill="FFFFFF"/>
        </w:rPr>
        <w:t>应当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国务院办公厅关于在政府采购中实施本国产品标准及相关政策的通知》规定要求的，供应商提供的相关产品视为不符合本国产品标准</w:t>
      </w:r>
      <w:r>
        <w:rPr>
          <w:rFonts w:hint="eastAsia" w:ascii="宋体" w:hAnsi="宋体" w:cs="宋体"/>
          <w:color w:val="auto"/>
          <w:sz w:val="24"/>
        </w:rPr>
        <w:t>。</w:t>
      </w:r>
    </w:p>
    <w:p w14:paraId="48561882">
      <w:pPr>
        <w:spacing w:line="360" w:lineRule="auto"/>
        <w:ind w:firstLine="482" w:firstLineChars="200"/>
        <w:rPr>
          <w:b/>
          <w:color w:val="auto"/>
          <w:sz w:val="24"/>
        </w:rPr>
      </w:pPr>
      <w:r>
        <w:rPr>
          <w:rFonts w:hint="eastAsia"/>
          <w:b/>
          <w:color w:val="auto"/>
          <w:sz w:val="24"/>
        </w:rPr>
        <w:t>4. 询问、质疑、投诉、补偿救济</w:t>
      </w:r>
    </w:p>
    <w:p w14:paraId="1798505C">
      <w:pPr>
        <w:pStyle w:val="891"/>
        <w:shd w:val="clear" w:color="auto" w:fill="FFFFFF"/>
        <w:snapToGrid w:val="0"/>
        <w:spacing w:after="240" w:afterAutospacing="0" w:line="360" w:lineRule="auto"/>
        <w:ind w:firstLine="400"/>
        <w:contextualSpacing/>
        <w:rPr>
          <w:color w:val="auto"/>
          <w:lang w:val="zh-CN"/>
        </w:rPr>
      </w:pPr>
      <w:r>
        <w:rPr>
          <w:rFonts w:hint="eastAsia"/>
          <w:color w:val="auto"/>
          <w:lang w:val="zh-CN"/>
        </w:rPr>
        <w:t>4.1在线询问、质疑、投诉</w:t>
      </w:r>
    </w:p>
    <w:p w14:paraId="7BE82865">
      <w:pPr>
        <w:pStyle w:val="891"/>
        <w:shd w:val="clear" w:color="auto" w:fill="FFFFFF"/>
        <w:snapToGrid w:val="0"/>
        <w:spacing w:after="240" w:afterAutospacing="0" w:line="360" w:lineRule="auto"/>
        <w:ind w:firstLine="400"/>
        <w:contextualSpacing/>
        <w:rPr>
          <w:color w:val="auto"/>
          <w:lang w:val="zh-CN"/>
        </w:rPr>
      </w:pPr>
      <w:r>
        <w:rPr>
          <w:rFonts w:hint="eastAsia"/>
          <w:color w:val="auto"/>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w:t>
      </w:r>
      <w:r>
        <w:rPr>
          <w:rFonts w:hint="eastAsia"/>
          <w:color w:val="auto"/>
        </w:rPr>
        <w:t>政采云平台-项目采购-询问质疑投诉-投诉列表</w:t>
      </w:r>
      <w:r>
        <w:rPr>
          <w:rFonts w:hint="eastAsia"/>
          <w:color w:val="auto"/>
          <w:lang w:val="zh-CN"/>
        </w:rPr>
        <w:t>。</w:t>
      </w:r>
    </w:p>
    <w:p w14:paraId="5F8FB625">
      <w:pPr>
        <w:autoSpaceDE w:val="0"/>
        <w:autoSpaceDN w:val="0"/>
        <w:spacing w:line="360" w:lineRule="auto"/>
        <w:ind w:firstLine="240" w:firstLineChars="100"/>
        <w:jc w:val="left"/>
        <w:rPr>
          <w:rFonts w:ascii="宋体" w:hAnsi="宋体" w:cs="宋体"/>
          <w:color w:val="auto"/>
          <w:kern w:val="0"/>
          <w:sz w:val="24"/>
          <w:lang w:val="zh-CN"/>
        </w:rPr>
      </w:pPr>
      <w:r>
        <w:rPr>
          <w:rFonts w:hint="eastAsia" w:ascii="宋体" w:hAnsi="宋体" w:cs="宋体"/>
          <w:color w:val="auto"/>
          <w:kern w:val="0"/>
          <w:sz w:val="24"/>
          <w:lang w:val="zh-CN"/>
        </w:rPr>
        <w:t>4.2供应商询问</w:t>
      </w:r>
    </w:p>
    <w:p w14:paraId="4F2C9227">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3387D78">
      <w:pPr>
        <w:autoSpaceDE w:val="0"/>
        <w:autoSpaceDN w:val="0"/>
        <w:spacing w:line="360" w:lineRule="auto"/>
        <w:ind w:firstLine="240" w:firstLineChars="100"/>
        <w:jc w:val="left"/>
        <w:rPr>
          <w:rFonts w:ascii="宋体" w:hAnsi="宋体" w:cs="宋体"/>
          <w:color w:val="auto"/>
          <w:kern w:val="0"/>
          <w:sz w:val="24"/>
          <w:lang w:val="zh-CN"/>
        </w:rPr>
      </w:pPr>
      <w:r>
        <w:rPr>
          <w:rFonts w:hint="eastAsia" w:ascii="宋体" w:hAnsi="宋体" w:cs="宋体"/>
          <w:color w:val="auto"/>
          <w:kern w:val="0"/>
          <w:sz w:val="24"/>
          <w:lang w:val="zh-CN"/>
        </w:rPr>
        <w:t>4.3供应商质疑</w:t>
      </w:r>
    </w:p>
    <w:p w14:paraId="3B5B88D0">
      <w:pPr>
        <w:pStyle w:val="32"/>
        <w:spacing w:line="360" w:lineRule="auto"/>
        <w:ind w:firstLine="480" w:firstLineChars="200"/>
        <w:rPr>
          <w:rFonts w:hAnsi="宋体" w:cs="宋体"/>
          <w:color w:val="auto"/>
          <w:sz w:val="24"/>
        </w:rPr>
      </w:pPr>
      <w:r>
        <w:rPr>
          <w:rFonts w:hint="eastAsia" w:hAnsi="宋体" w:cs="宋体"/>
          <w:color w:val="auto"/>
          <w:kern w:val="0"/>
          <w:sz w:val="24"/>
          <w:lang w:val="zh-CN"/>
        </w:rPr>
        <w:t>4.3</w:t>
      </w:r>
      <w:r>
        <w:rPr>
          <w:rFonts w:hint="eastAsia" w:hAnsi="宋体" w:cs="宋体"/>
          <w:color w:val="auto"/>
          <w:sz w:val="24"/>
        </w:rPr>
        <w:t>.1提出质疑的供应商应当是参与所质疑项目采购活动的供应商。潜在供应商已依法获取其可质疑的招标文件的，可以对该文件提出质疑。</w:t>
      </w:r>
    </w:p>
    <w:p w14:paraId="1F89CD98">
      <w:pPr>
        <w:pStyle w:val="32"/>
        <w:spacing w:line="360" w:lineRule="auto"/>
        <w:ind w:firstLine="480" w:firstLineChars="200"/>
        <w:rPr>
          <w:rFonts w:hAnsi="宋体" w:cs="宋体"/>
          <w:color w:val="auto"/>
          <w:sz w:val="24"/>
        </w:rPr>
      </w:pPr>
      <w:r>
        <w:rPr>
          <w:rFonts w:hint="eastAsia" w:hAnsi="宋体" w:cs="宋体"/>
          <w:color w:val="auto"/>
          <w:kern w:val="0"/>
          <w:sz w:val="24"/>
          <w:lang w:val="zh-CN"/>
        </w:rPr>
        <w:t>4.3</w:t>
      </w:r>
      <w:r>
        <w:rPr>
          <w:rFonts w:hint="eastAsia" w:hAnsi="宋体" w:cs="宋体"/>
          <w:color w:val="auto"/>
          <w:sz w:val="24"/>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3C78E788">
      <w:pPr>
        <w:pStyle w:val="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0D15B6DA">
      <w:pPr>
        <w:pStyle w:val="32"/>
        <w:spacing w:line="360" w:lineRule="auto"/>
        <w:ind w:left="479" w:leftChars="228"/>
        <w:rPr>
          <w:rFonts w:hAnsi="宋体" w:cs="宋体"/>
          <w:color w:val="auto"/>
          <w:sz w:val="24"/>
        </w:rPr>
      </w:pPr>
      <w:r>
        <w:rPr>
          <w:rFonts w:hint="eastAsia" w:hAnsi="宋体" w:cs="宋体"/>
          <w:color w:val="auto"/>
          <w:sz w:val="24"/>
        </w:rPr>
        <w:t>4.3.2.2对采购过程提出质疑的，质疑期限为各采购程序环节结束之日起计算。4.3.2.3对采购结果提出质疑的，质疑期限自采购结果公告期限届满之日起计算。</w:t>
      </w:r>
    </w:p>
    <w:p w14:paraId="2CCF8A41">
      <w:pPr>
        <w:pStyle w:val="32"/>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w:t>
      </w:r>
      <w:r>
        <w:rPr>
          <w:rFonts w:hint="eastAsia" w:hAnsi="宋体" w:cs="宋体"/>
          <w:color w:val="auto"/>
          <w:sz w:val="24"/>
        </w:rPr>
        <w:t>供应商提出质疑应当提交质疑函和必要的证明材料。质疑函应当包括下列内容：</w:t>
      </w:r>
    </w:p>
    <w:p w14:paraId="2370BBDC">
      <w:pPr>
        <w:pStyle w:val="32"/>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　　4.3.3.1供应商的姓名或者名称、地址、邮编、联系人及联系电话；</w:t>
      </w:r>
    </w:p>
    <w:p w14:paraId="16C78C50">
      <w:pPr>
        <w:pStyle w:val="32"/>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　　4.3.3.2质疑项目的名称、编号；</w:t>
      </w:r>
    </w:p>
    <w:p w14:paraId="75F0258B">
      <w:pPr>
        <w:pStyle w:val="32"/>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　　4.3.3.3具体、明确的质疑事项和与质疑事项相关的请求；</w:t>
      </w:r>
    </w:p>
    <w:p w14:paraId="3D21B55F">
      <w:pPr>
        <w:pStyle w:val="32"/>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　　4.3.3.4事实依据；</w:t>
      </w:r>
    </w:p>
    <w:p w14:paraId="3F84D522">
      <w:pPr>
        <w:pStyle w:val="32"/>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　　4.3.3.5必要的法律依据；</w:t>
      </w:r>
    </w:p>
    <w:p w14:paraId="1A0DD994">
      <w:pPr>
        <w:pStyle w:val="32"/>
        <w:spacing w:line="360" w:lineRule="auto"/>
        <w:ind w:firstLine="960" w:firstLineChars="400"/>
        <w:rPr>
          <w:rFonts w:hAnsi="宋体" w:cs="宋体"/>
          <w:color w:val="auto"/>
          <w:kern w:val="0"/>
          <w:sz w:val="24"/>
          <w:lang w:val="zh-CN"/>
        </w:rPr>
      </w:pPr>
      <w:r>
        <w:rPr>
          <w:rFonts w:hint="eastAsia" w:hAnsi="宋体" w:cs="宋体"/>
          <w:color w:val="auto"/>
          <w:kern w:val="0"/>
          <w:sz w:val="24"/>
          <w:lang w:val="zh-CN"/>
        </w:rPr>
        <w:t>4.3.3.6提出质疑的日期。</w:t>
      </w:r>
    </w:p>
    <w:p w14:paraId="568C672B">
      <w:pPr>
        <w:pStyle w:val="891"/>
        <w:shd w:val="clear" w:color="auto" w:fill="FFFFFF"/>
        <w:snapToGrid w:val="0"/>
        <w:spacing w:after="240" w:afterAutospacing="0" w:line="360" w:lineRule="auto"/>
        <w:ind w:firstLine="400"/>
        <w:contextualSpacing/>
        <w:rPr>
          <w:color w:val="auto"/>
        </w:rPr>
      </w:pPr>
      <w:r>
        <w:rPr>
          <w:rFonts w:hint="eastAsia"/>
          <w:color w:val="auto"/>
        </w:rPr>
        <w:t>供应商提交的质疑函需一式三份。供应商为自然人的，应当由本人签字；供应商为法人或者其他组织的，应当由法定代表人、主要负责人，或者其授权代表签字或者盖章，并加盖公章。</w:t>
      </w:r>
    </w:p>
    <w:p w14:paraId="45FCA4F2">
      <w:pPr>
        <w:pStyle w:val="891"/>
        <w:shd w:val="clear" w:color="auto" w:fill="FFFFFF"/>
        <w:snapToGrid w:val="0"/>
        <w:spacing w:after="240" w:afterAutospacing="0" w:line="360" w:lineRule="auto"/>
        <w:ind w:firstLine="400"/>
        <w:contextualSpacing/>
        <w:rPr>
          <w:color w:val="auto"/>
        </w:rPr>
      </w:pPr>
      <w:r>
        <w:rPr>
          <w:rFonts w:hint="eastAsia"/>
          <w:color w:val="auto"/>
        </w:rPr>
        <w:t>质疑函范本及制作说明详见附件2。</w:t>
      </w:r>
    </w:p>
    <w:p w14:paraId="61DDF80D">
      <w:pPr>
        <w:pStyle w:val="891"/>
        <w:shd w:val="clear" w:color="auto" w:fill="FFFFFF"/>
        <w:snapToGrid w:val="0"/>
        <w:spacing w:after="240" w:afterAutospacing="0" w:line="360" w:lineRule="auto"/>
        <w:ind w:firstLine="400"/>
        <w:contextualSpacing/>
        <w:rPr>
          <w:color w:val="auto"/>
        </w:rPr>
      </w:pPr>
      <w:r>
        <w:rPr>
          <w:rFonts w:hint="eastAsia"/>
          <w:color w:val="auto"/>
        </w:rPr>
        <w:t>4.3.4对同一采购程序环节的质疑，供应商须在法定质疑期内一次性提出。</w:t>
      </w:r>
    </w:p>
    <w:p w14:paraId="32236167">
      <w:pPr>
        <w:pStyle w:val="891"/>
        <w:shd w:val="clear" w:color="auto" w:fill="FFFFFF"/>
        <w:snapToGrid w:val="0"/>
        <w:spacing w:after="240" w:afterAutospacing="0" w:line="360" w:lineRule="auto"/>
        <w:ind w:firstLine="400"/>
        <w:contextualSpacing/>
        <w:rPr>
          <w:color w:val="auto"/>
        </w:rPr>
      </w:pPr>
      <w:r>
        <w:rPr>
          <w:rFonts w:hint="eastAsia"/>
          <w:color w:val="auto"/>
          <w:lang w:val="zh-CN"/>
        </w:rPr>
        <w:t>4.3</w:t>
      </w:r>
      <w:r>
        <w:rPr>
          <w:rFonts w:hint="eastAsia"/>
          <w:color w:val="auto"/>
        </w:rPr>
        <w:t>.5采购人或者采购机构应当在根据</w:t>
      </w:r>
      <w:r>
        <w:rPr>
          <w:rFonts w:hint="eastAsia" w:ascii="宋体" w:hAnsi="宋体" w:eastAsia="宋体"/>
          <w:color w:val="auto"/>
        </w:rPr>
        <w:t>《杭州市集中采购委托协议》的约定，</w:t>
      </w:r>
      <w:r>
        <w:rPr>
          <w:rFonts w:hint="eastAsia"/>
          <w:color w:val="auto"/>
        </w:rPr>
        <w:t>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质疑答复按照相关规定留存，答复内容应当完整。质疑函作为附件上传。</w:t>
      </w:r>
    </w:p>
    <w:p w14:paraId="1C8A20DD">
      <w:pPr>
        <w:pStyle w:val="891"/>
        <w:shd w:val="clear" w:color="auto" w:fill="FFFFFF"/>
        <w:snapToGrid w:val="0"/>
        <w:spacing w:after="240" w:line="360" w:lineRule="auto"/>
        <w:ind w:firstLine="400"/>
        <w:contextualSpacing/>
        <w:rPr>
          <w:color w:val="auto"/>
        </w:rPr>
      </w:pPr>
      <w:r>
        <w:rPr>
          <w:rFonts w:hint="eastAsia"/>
          <w:color w:val="auto"/>
        </w:rPr>
        <w:t>询问、质疑答复责任主体如下：</w:t>
      </w:r>
    </w:p>
    <w:p w14:paraId="7ECE23D9">
      <w:pPr>
        <w:widowControl/>
        <w:adjustRightInd/>
        <w:jc w:val="center"/>
        <w:rPr>
          <w:rFonts w:ascii="宋体" w:hAnsi="宋体" w:eastAsia="宋体"/>
          <w:b/>
          <w:color w:val="auto"/>
          <w:sz w:val="28"/>
          <w:szCs w:val="28"/>
        </w:rPr>
      </w:pPr>
      <w:r>
        <w:rPr>
          <w:rFonts w:hint="eastAsia" w:ascii="宋体" w:hAnsi="宋体" w:eastAsia="宋体"/>
          <w:b/>
          <w:color w:val="auto"/>
          <w:sz w:val="28"/>
          <w:szCs w:val="28"/>
        </w:rPr>
        <w:t>询问、质疑答复责任主体一览表</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5FB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6A2D59C1">
            <w:pPr>
              <w:pStyle w:val="32"/>
              <w:spacing w:line="360" w:lineRule="auto"/>
              <w:jc w:val="center"/>
              <w:rPr>
                <w:rFonts w:ascii="宋体" w:hAnsi="宋体" w:eastAsia="宋体"/>
                <w:b/>
                <w:bCs/>
                <w:color w:val="auto"/>
                <w:sz w:val="24"/>
              </w:rPr>
            </w:pPr>
            <w:r>
              <w:rPr>
                <w:rFonts w:hint="eastAsia" w:ascii="宋体" w:hAnsi="宋体" w:eastAsia="宋体"/>
                <w:b/>
                <w:bCs/>
                <w:color w:val="auto"/>
                <w:sz w:val="24"/>
              </w:rPr>
              <w:t>询问、质疑内容</w:t>
            </w:r>
          </w:p>
        </w:tc>
        <w:tc>
          <w:tcPr>
            <w:tcW w:w="2232" w:type="dxa"/>
            <w:vAlign w:val="center"/>
          </w:tcPr>
          <w:p w14:paraId="36BFFDAF">
            <w:pPr>
              <w:pStyle w:val="32"/>
              <w:spacing w:line="360" w:lineRule="auto"/>
              <w:jc w:val="center"/>
              <w:rPr>
                <w:rFonts w:ascii="宋体" w:hAnsi="宋体" w:eastAsia="宋体"/>
                <w:b/>
                <w:bCs/>
                <w:color w:val="auto"/>
                <w:sz w:val="24"/>
              </w:rPr>
            </w:pPr>
            <w:r>
              <w:rPr>
                <w:rFonts w:hint="eastAsia" w:ascii="宋体" w:hAnsi="宋体" w:eastAsia="宋体"/>
                <w:b/>
                <w:bCs/>
                <w:color w:val="auto"/>
                <w:sz w:val="24"/>
              </w:rPr>
              <w:t>询问、质疑答复</w:t>
            </w:r>
          </w:p>
          <w:p w14:paraId="28A81E93">
            <w:pPr>
              <w:pStyle w:val="32"/>
              <w:spacing w:line="360" w:lineRule="auto"/>
              <w:jc w:val="center"/>
              <w:rPr>
                <w:rFonts w:ascii="宋体" w:hAnsi="宋体" w:eastAsia="宋体"/>
                <w:b/>
                <w:bCs/>
                <w:color w:val="auto"/>
                <w:sz w:val="24"/>
              </w:rPr>
            </w:pPr>
            <w:r>
              <w:rPr>
                <w:rFonts w:hint="eastAsia" w:ascii="宋体" w:hAnsi="宋体" w:eastAsia="宋体"/>
                <w:b/>
                <w:bCs/>
                <w:color w:val="auto"/>
                <w:sz w:val="24"/>
              </w:rPr>
              <w:t>责任主体</w:t>
            </w:r>
          </w:p>
        </w:tc>
      </w:tr>
      <w:tr w14:paraId="0126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51076DC">
            <w:pPr>
              <w:pStyle w:val="32"/>
              <w:spacing w:line="360" w:lineRule="auto"/>
              <w:jc w:val="center"/>
              <w:rPr>
                <w:rFonts w:ascii="宋体" w:hAnsi="宋体" w:eastAsia="宋体"/>
                <w:color w:val="auto"/>
                <w:sz w:val="24"/>
              </w:rPr>
            </w:pPr>
            <w:r>
              <w:rPr>
                <w:rFonts w:hint="eastAsia" w:ascii="宋体" w:hAnsi="宋体" w:eastAsia="宋体"/>
                <w:color w:val="auto"/>
                <w:sz w:val="24"/>
              </w:rPr>
              <w:t>对采购文件提出询问、质疑</w:t>
            </w:r>
          </w:p>
        </w:tc>
        <w:tc>
          <w:tcPr>
            <w:tcW w:w="4536" w:type="dxa"/>
            <w:vAlign w:val="center"/>
          </w:tcPr>
          <w:p w14:paraId="1A8E4800">
            <w:pPr>
              <w:pStyle w:val="32"/>
              <w:spacing w:line="360" w:lineRule="auto"/>
              <w:jc w:val="left"/>
              <w:rPr>
                <w:rFonts w:ascii="宋体" w:hAnsi="宋体" w:eastAsia="宋体"/>
                <w:color w:val="auto"/>
                <w:sz w:val="24"/>
              </w:rPr>
            </w:pPr>
            <w:r>
              <w:rPr>
                <w:rFonts w:hint="eastAsia" w:ascii="宋体" w:hAnsi="宋体" w:eastAsia="宋体"/>
                <w:color w:val="auto"/>
                <w:sz w:val="24"/>
              </w:rPr>
              <w:t>对采购文件中“申请人的资格要求”、“采购需求”、“评审办法”、“采购合同的主要条款”、“采购文件前附表内容”、“报价内容”的询问、质疑</w:t>
            </w:r>
          </w:p>
        </w:tc>
        <w:tc>
          <w:tcPr>
            <w:tcW w:w="2232" w:type="dxa"/>
            <w:vAlign w:val="center"/>
          </w:tcPr>
          <w:p w14:paraId="1F7C9D5C">
            <w:pPr>
              <w:pStyle w:val="32"/>
              <w:spacing w:line="360" w:lineRule="auto"/>
              <w:jc w:val="center"/>
              <w:rPr>
                <w:rFonts w:ascii="宋体" w:hAnsi="宋体" w:eastAsia="宋体"/>
                <w:color w:val="auto"/>
                <w:sz w:val="24"/>
              </w:rPr>
            </w:pPr>
            <w:r>
              <w:rPr>
                <w:rFonts w:hint="eastAsia" w:ascii="宋体" w:hAnsi="宋体" w:eastAsia="宋体"/>
                <w:color w:val="auto"/>
                <w:sz w:val="24"/>
              </w:rPr>
              <w:t>采购人</w:t>
            </w:r>
          </w:p>
        </w:tc>
      </w:tr>
      <w:tr w14:paraId="666A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D21B1D1">
            <w:pPr>
              <w:pStyle w:val="32"/>
              <w:spacing w:line="360" w:lineRule="auto"/>
              <w:jc w:val="center"/>
              <w:rPr>
                <w:rFonts w:ascii="宋体" w:hAnsi="宋体" w:eastAsia="宋体"/>
                <w:color w:val="auto"/>
                <w:sz w:val="24"/>
              </w:rPr>
            </w:pPr>
          </w:p>
        </w:tc>
        <w:tc>
          <w:tcPr>
            <w:tcW w:w="4536" w:type="dxa"/>
            <w:vAlign w:val="center"/>
          </w:tcPr>
          <w:p w14:paraId="4C605403">
            <w:pPr>
              <w:pStyle w:val="32"/>
              <w:spacing w:line="360" w:lineRule="auto"/>
              <w:jc w:val="left"/>
              <w:rPr>
                <w:rFonts w:ascii="宋体" w:hAnsi="宋体" w:eastAsia="宋体"/>
                <w:color w:val="auto"/>
                <w:sz w:val="24"/>
              </w:rPr>
            </w:pPr>
            <w:r>
              <w:rPr>
                <w:rFonts w:hint="eastAsia" w:ascii="宋体" w:hAnsi="宋体" w:eastAsia="宋体"/>
                <w:color w:val="auto"/>
                <w:sz w:val="24"/>
              </w:rPr>
              <w:t>对采购文件中其他内容提出的询问、质疑</w:t>
            </w:r>
          </w:p>
        </w:tc>
        <w:tc>
          <w:tcPr>
            <w:tcW w:w="2232" w:type="dxa"/>
            <w:vAlign w:val="center"/>
          </w:tcPr>
          <w:p w14:paraId="5B0E1A1F">
            <w:pPr>
              <w:pStyle w:val="32"/>
              <w:spacing w:line="360" w:lineRule="auto"/>
              <w:jc w:val="center"/>
              <w:rPr>
                <w:rFonts w:ascii="宋体" w:hAnsi="宋体" w:eastAsia="宋体"/>
                <w:color w:val="auto"/>
                <w:sz w:val="24"/>
              </w:rPr>
            </w:pPr>
            <w:r>
              <w:rPr>
                <w:rFonts w:hint="eastAsia" w:ascii="宋体" w:hAnsi="宋体" w:eastAsia="宋体"/>
                <w:color w:val="auto"/>
                <w:sz w:val="24"/>
              </w:rPr>
              <w:t>采购机构</w:t>
            </w:r>
          </w:p>
        </w:tc>
      </w:tr>
      <w:tr w14:paraId="0FB5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F4402B3">
            <w:pPr>
              <w:pStyle w:val="32"/>
              <w:spacing w:line="360" w:lineRule="auto"/>
              <w:jc w:val="center"/>
              <w:rPr>
                <w:rFonts w:ascii="宋体" w:hAnsi="宋体" w:eastAsia="宋体"/>
                <w:color w:val="auto"/>
                <w:sz w:val="24"/>
              </w:rPr>
            </w:pPr>
            <w:r>
              <w:rPr>
                <w:rFonts w:hint="eastAsia" w:ascii="宋体" w:hAnsi="宋体" w:eastAsia="宋体"/>
                <w:color w:val="auto"/>
                <w:sz w:val="24"/>
              </w:rPr>
              <w:t>对采购过程、采购结果提出询问、质疑</w:t>
            </w:r>
          </w:p>
        </w:tc>
        <w:tc>
          <w:tcPr>
            <w:tcW w:w="4536" w:type="dxa"/>
            <w:vAlign w:val="center"/>
          </w:tcPr>
          <w:p w14:paraId="70F57090">
            <w:pPr>
              <w:pStyle w:val="32"/>
              <w:spacing w:line="360" w:lineRule="auto"/>
              <w:jc w:val="left"/>
              <w:rPr>
                <w:rFonts w:ascii="宋体" w:hAnsi="宋体" w:eastAsia="宋体"/>
                <w:color w:val="auto"/>
                <w:sz w:val="24"/>
              </w:rPr>
            </w:pPr>
            <w:r>
              <w:rPr>
                <w:rFonts w:hint="eastAsia" w:ascii="宋体" w:hAnsi="宋体" w:eastAsia="宋体"/>
                <w:color w:val="auto"/>
                <w:sz w:val="24"/>
              </w:rPr>
              <w:t>对“现场考察、答疑会”、 “甲方负责接收和保存的样品” 、“资格审查”、“评审”等环节的询问、质疑</w:t>
            </w:r>
          </w:p>
        </w:tc>
        <w:tc>
          <w:tcPr>
            <w:tcW w:w="2232" w:type="dxa"/>
            <w:vAlign w:val="center"/>
          </w:tcPr>
          <w:p w14:paraId="5C5CEE5D">
            <w:pPr>
              <w:pStyle w:val="32"/>
              <w:spacing w:line="360" w:lineRule="auto"/>
              <w:jc w:val="center"/>
              <w:rPr>
                <w:rFonts w:ascii="宋体" w:hAnsi="宋体" w:eastAsia="宋体"/>
                <w:color w:val="auto"/>
                <w:sz w:val="24"/>
              </w:rPr>
            </w:pPr>
            <w:r>
              <w:rPr>
                <w:rFonts w:hint="eastAsia" w:ascii="宋体" w:hAnsi="宋体" w:eastAsia="宋体"/>
                <w:color w:val="auto"/>
                <w:sz w:val="24"/>
              </w:rPr>
              <w:t>采购人</w:t>
            </w:r>
          </w:p>
        </w:tc>
      </w:tr>
      <w:tr w14:paraId="216C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6E8259DE">
            <w:pPr>
              <w:pStyle w:val="32"/>
              <w:spacing w:line="360" w:lineRule="auto"/>
              <w:jc w:val="center"/>
              <w:rPr>
                <w:rFonts w:ascii="宋体" w:hAnsi="宋体" w:eastAsia="宋体"/>
                <w:color w:val="auto"/>
                <w:sz w:val="24"/>
              </w:rPr>
            </w:pPr>
          </w:p>
        </w:tc>
        <w:tc>
          <w:tcPr>
            <w:tcW w:w="4536" w:type="dxa"/>
            <w:vAlign w:val="center"/>
          </w:tcPr>
          <w:p w14:paraId="3492CAAF">
            <w:pPr>
              <w:pStyle w:val="32"/>
              <w:spacing w:line="360" w:lineRule="auto"/>
              <w:jc w:val="left"/>
              <w:rPr>
                <w:rFonts w:ascii="宋体" w:hAnsi="宋体" w:eastAsia="宋体"/>
                <w:color w:val="auto"/>
                <w:sz w:val="24"/>
              </w:rPr>
            </w:pPr>
            <w:r>
              <w:rPr>
                <w:rFonts w:hint="eastAsia" w:ascii="宋体" w:hAnsi="宋体" w:eastAsia="宋体"/>
                <w:color w:val="auto"/>
                <w:sz w:val="24"/>
              </w:rPr>
              <w:t>对采购过程、采购结果其他环节的询问、质疑</w:t>
            </w:r>
          </w:p>
        </w:tc>
        <w:tc>
          <w:tcPr>
            <w:tcW w:w="2232" w:type="dxa"/>
            <w:vAlign w:val="center"/>
          </w:tcPr>
          <w:p w14:paraId="4361A3AE">
            <w:pPr>
              <w:pStyle w:val="32"/>
              <w:spacing w:line="360" w:lineRule="auto"/>
              <w:jc w:val="center"/>
              <w:rPr>
                <w:rFonts w:ascii="宋体" w:hAnsi="宋体" w:eastAsia="宋体"/>
                <w:color w:val="auto"/>
                <w:sz w:val="24"/>
              </w:rPr>
            </w:pPr>
            <w:r>
              <w:rPr>
                <w:rFonts w:hint="eastAsia" w:ascii="宋体" w:hAnsi="宋体" w:eastAsia="宋体"/>
                <w:color w:val="auto"/>
                <w:sz w:val="24"/>
              </w:rPr>
              <w:t>采购机构</w:t>
            </w:r>
          </w:p>
        </w:tc>
      </w:tr>
    </w:tbl>
    <w:p w14:paraId="4308F44A">
      <w:pPr>
        <w:pStyle w:val="891"/>
        <w:shd w:val="clear" w:color="auto" w:fill="FFFFFF"/>
        <w:snapToGrid w:val="0"/>
        <w:spacing w:after="240" w:afterAutospacing="0" w:line="360" w:lineRule="auto"/>
        <w:ind w:firstLine="400"/>
        <w:contextualSpacing/>
        <w:rPr>
          <w:color w:val="auto"/>
        </w:rPr>
      </w:pPr>
      <w:r>
        <w:rPr>
          <w:rFonts w:hint="eastAsia"/>
          <w:color w:val="auto"/>
          <w:lang w:val="zh-CN"/>
        </w:rPr>
        <w:t>4.3</w:t>
      </w:r>
      <w:r>
        <w:rPr>
          <w:rFonts w:hint="eastAsia"/>
          <w:color w:val="auto"/>
        </w:rPr>
        <w:t>.6询问或者质疑事项可能影响采购结果的，采购人应当暂停签订合同，已经签订合同的，应当中止履行合同。</w:t>
      </w:r>
    </w:p>
    <w:p w14:paraId="2F0F995D">
      <w:pPr>
        <w:pStyle w:val="891"/>
        <w:shd w:val="clear" w:color="auto" w:fill="FFFFFF"/>
        <w:snapToGrid w:val="0"/>
        <w:spacing w:after="240" w:afterAutospacing="0" w:line="360" w:lineRule="auto"/>
        <w:ind w:firstLine="480" w:firstLineChars="200"/>
        <w:contextualSpacing/>
        <w:rPr>
          <w:color w:val="auto"/>
          <w:lang w:val="zh-CN"/>
        </w:rPr>
      </w:pPr>
      <w:r>
        <w:rPr>
          <w:rFonts w:hint="eastAsia"/>
          <w:color w:val="auto"/>
          <w:lang w:val="zh-CN"/>
        </w:rPr>
        <w:t>4.4供应商投诉</w:t>
      </w:r>
    </w:p>
    <w:p w14:paraId="441D0472">
      <w:pPr>
        <w:pStyle w:val="891"/>
        <w:shd w:val="clear" w:color="auto" w:fill="FFFFFF"/>
        <w:snapToGrid w:val="0"/>
        <w:spacing w:after="240" w:afterAutospacing="0" w:line="360" w:lineRule="auto"/>
        <w:ind w:firstLine="400"/>
        <w:contextualSpacing/>
        <w:rPr>
          <w:color w:val="auto"/>
        </w:rPr>
      </w:pPr>
      <w:r>
        <w:rPr>
          <w:rFonts w:hint="eastAsia"/>
          <w:color w:val="auto"/>
        </w:rPr>
        <w:t>4.4.1质疑供应商对采购人、采购机构的答复不满意或者采购人、采购机构未在规定的时间内作出答复的，可以在答复期满后十五个工作日内向同级政府采购监督管理部门提出投诉。</w:t>
      </w:r>
    </w:p>
    <w:p w14:paraId="24D0C90B">
      <w:pPr>
        <w:pStyle w:val="891"/>
        <w:shd w:val="clear" w:color="auto" w:fill="FFFFFF"/>
        <w:snapToGrid w:val="0"/>
        <w:spacing w:after="240" w:afterAutospacing="0" w:line="360" w:lineRule="auto"/>
        <w:ind w:firstLine="400"/>
        <w:contextualSpacing/>
        <w:rPr>
          <w:color w:val="auto"/>
        </w:rPr>
      </w:pPr>
      <w:r>
        <w:rPr>
          <w:rFonts w:hint="eastAsia"/>
          <w:color w:val="auto"/>
        </w:rPr>
        <w:t>4.4.</w:t>
      </w:r>
      <w:r>
        <w:rPr>
          <w:rFonts w:hint="eastAsia"/>
          <w:color w:val="auto"/>
          <w:lang w:val="zh-CN"/>
        </w:rPr>
        <w:t>2</w:t>
      </w:r>
      <w:r>
        <w:rPr>
          <w:rFonts w:hint="eastAsia"/>
          <w:color w:val="auto"/>
        </w:rPr>
        <w:t>供应商投诉的事项不得超出已质疑事项的范围，基于质疑答复内容提出的投诉事项除外。</w:t>
      </w:r>
    </w:p>
    <w:p w14:paraId="01125997">
      <w:pPr>
        <w:pStyle w:val="891"/>
        <w:shd w:val="clear" w:color="auto" w:fill="FFFFFF"/>
        <w:snapToGrid w:val="0"/>
        <w:spacing w:after="240" w:afterAutospacing="0" w:line="360" w:lineRule="auto"/>
        <w:ind w:firstLine="400"/>
        <w:contextualSpacing/>
        <w:rPr>
          <w:color w:val="auto"/>
        </w:rPr>
      </w:pPr>
      <w:r>
        <w:rPr>
          <w:rFonts w:hint="eastAsia"/>
          <w:color w:val="auto"/>
        </w:rPr>
        <w:t>4.4.3供应商投诉应当有明确的请求和必要的证明材料。</w:t>
      </w:r>
    </w:p>
    <w:p w14:paraId="375BF375">
      <w:pPr>
        <w:pStyle w:val="891"/>
        <w:shd w:val="clear" w:color="auto" w:fill="FFFFFF"/>
        <w:snapToGrid w:val="0"/>
        <w:spacing w:after="240" w:afterAutospacing="0" w:line="360" w:lineRule="auto"/>
        <w:ind w:firstLine="400"/>
        <w:contextualSpacing/>
        <w:rPr>
          <w:color w:val="auto"/>
        </w:rPr>
      </w:pPr>
      <w:r>
        <w:rPr>
          <w:rFonts w:hint="eastAsia"/>
          <w:color w:val="auto"/>
        </w:rPr>
        <w:t>4.4.4 以联合体形式参加政府采购活动的，其投诉应当由组成联合体的所有供应商共同提出。</w:t>
      </w:r>
    </w:p>
    <w:p w14:paraId="41185ECE">
      <w:pPr>
        <w:pStyle w:val="891"/>
        <w:shd w:val="clear" w:color="auto" w:fill="FFFFFF"/>
        <w:snapToGrid w:val="0"/>
        <w:spacing w:after="240" w:afterAutospacing="0" w:line="360" w:lineRule="auto"/>
        <w:ind w:firstLine="400"/>
        <w:contextualSpacing/>
        <w:rPr>
          <w:color w:val="auto"/>
        </w:rPr>
      </w:pPr>
      <w:r>
        <w:rPr>
          <w:rFonts w:hint="eastAsia"/>
          <w:color w:val="auto"/>
        </w:rPr>
        <w:t>4.4.5根据政府采购行政裁决省市区三级联动试点工作安排，杭州市本级及各区、县（市）政府采购项目投诉材料可寄送浙江省政府采购行政裁决服务中心（杭州），地址：杭州市上城区清泰街549号城建综合大楼11楼（快递仅限ems或顺丰），收件人：朱女士、王女士，电话：0571-87227671,0571-87800218。</w:t>
      </w:r>
    </w:p>
    <w:p w14:paraId="44740D79">
      <w:pPr>
        <w:snapToGrid w:val="0"/>
        <w:spacing w:line="360" w:lineRule="auto"/>
        <w:ind w:firstLine="480" w:firstLineChars="200"/>
        <w:rPr>
          <w:rFonts w:ascii="宋体" w:hAnsi="宋体" w:cs="仿宋"/>
          <w:color w:val="auto"/>
          <w:sz w:val="24"/>
        </w:rPr>
      </w:pPr>
      <w:r>
        <w:rPr>
          <w:rFonts w:hint="eastAsia" w:ascii="宋体" w:hAnsi="宋体" w:cs="仿宋"/>
          <w:color w:val="auto"/>
          <w:sz w:val="24"/>
        </w:rPr>
        <w:t>4.5 补偿救济</w:t>
      </w:r>
    </w:p>
    <w:p w14:paraId="57259107">
      <w:pPr>
        <w:pStyle w:val="891"/>
        <w:shd w:val="clear" w:color="auto" w:fill="FFFFFF"/>
        <w:snapToGrid w:val="0"/>
        <w:spacing w:after="240" w:afterAutospacing="0" w:line="360" w:lineRule="auto"/>
        <w:ind w:firstLine="400"/>
        <w:contextualSpacing/>
        <w:rPr>
          <w:color w:val="auto"/>
        </w:rPr>
      </w:pPr>
      <w:r>
        <w:rPr>
          <w:rFonts w:hint="eastAsia" w:cs="仿宋"/>
          <w:color w:val="auto"/>
        </w:rPr>
        <w:t>采购人因政策变化、规划调整而不履行政府采购合同的，供应商可依据《杭州市涉企补偿救济实施办法（试行）》向采购人提起补偿申请。</w:t>
      </w:r>
    </w:p>
    <w:p w14:paraId="0304C5C5">
      <w:pPr>
        <w:pStyle w:val="891"/>
        <w:shd w:val="clear" w:color="auto" w:fill="FFFFFF"/>
        <w:snapToGrid w:val="0"/>
        <w:spacing w:after="240" w:afterAutospacing="0" w:line="360" w:lineRule="auto"/>
        <w:ind w:firstLine="400"/>
        <w:contextualSpacing/>
        <w:rPr>
          <w:color w:val="auto"/>
        </w:rPr>
      </w:pPr>
      <w:r>
        <w:rPr>
          <w:rFonts w:hint="eastAsia"/>
          <w:color w:val="auto"/>
        </w:rPr>
        <w:t>投诉书范本及制作说明详见附件3。</w:t>
      </w:r>
    </w:p>
    <w:p w14:paraId="38D3AAE1">
      <w:pPr>
        <w:pStyle w:val="143"/>
        <w:snapToGrid w:val="0"/>
        <w:spacing w:before="0"/>
        <w:ind w:firstLine="360"/>
        <w:rPr>
          <w:rFonts w:ascii="宋体" w:hAnsi="宋体" w:cs="宋体"/>
          <w:color w:val="auto"/>
          <w:sz w:val="18"/>
          <w:szCs w:val="18"/>
        </w:rPr>
      </w:pPr>
    </w:p>
    <w:p w14:paraId="18387036">
      <w:pPr>
        <w:adjustRightInd/>
        <w:spacing w:line="360" w:lineRule="auto"/>
        <w:jc w:val="center"/>
        <w:outlineLvl w:val="0"/>
        <w:rPr>
          <w:rFonts w:ascii="宋体" w:hAnsi="宋体" w:cs="宋体"/>
          <w:b/>
          <w:color w:val="auto"/>
          <w:sz w:val="32"/>
          <w:szCs w:val="20"/>
        </w:rPr>
      </w:pPr>
      <w:r>
        <w:rPr>
          <w:rFonts w:hint="eastAsia" w:ascii="宋体" w:hAnsi="宋体" w:cs="宋体"/>
          <w:b/>
          <w:color w:val="auto"/>
          <w:sz w:val="32"/>
          <w:szCs w:val="20"/>
        </w:rPr>
        <w:t xml:space="preserve">      二、招标文件的构成、澄清、修改</w:t>
      </w:r>
    </w:p>
    <w:p w14:paraId="0F8AA7C1">
      <w:pPr>
        <w:pStyle w:val="32"/>
        <w:spacing w:line="360" w:lineRule="auto"/>
        <w:rPr>
          <w:rFonts w:hAnsi="宋体" w:cs="宋体"/>
          <w:b/>
          <w:color w:val="auto"/>
          <w:sz w:val="24"/>
          <w:szCs w:val="24"/>
        </w:rPr>
      </w:pPr>
      <w:r>
        <w:rPr>
          <w:rFonts w:hint="eastAsia" w:hAnsi="宋体" w:cs="宋体"/>
          <w:b/>
          <w:color w:val="auto"/>
          <w:sz w:val="24"/>
          <w:szCs w:val="24"/>
        </w:rPr>
        <w:t>5．招标文件的构成</w:t>
      </w:r>
    </w:p>
    <w:p w14:paraId="0959CBE0">
      <w:pPr>
        <w:pStyle w:val="32"/>
        <w:spacing w:line="360" w:lineRule="auto"/>
        <w:ind w:firstLine="480" w:firstLineChars="200"/>
        <w:rPr>
          <w:rFonts w:hAnsi="宋体" w:cs="宋体"/>
          <w:color w:val="auto"/>
          <w:sz w:val="24"/>
          <w:szCs w:val="24"/>
        </w:rPr>
      </w:pPr>
      <w:r>
        <w:rPr>
          <w:rFonts w:hint="eastAsia" w:hAnsi="宋体" w:cs="宋体"/>
          <w:color w:val="auto"/>
          <w:sz w:val="24"/>
          <w:szCs w:val="24"/>
        </w:rPr>
        <w:t>5.1 招标文件包括下列文件及附件：</w:t>
      </w:r>
    </w:p>
    <w:p w14:paraId="34A55860">
      <w:pPr>
        <w:pStyle w:val="32"/>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rPr>
        <w:t>5.1.1招标公告；</w:t>
      </w:r>
    </w:p>
    <w:p w14:paraId="6E209814">
      <w:pPr>
        <w:pStyle w:val="32"/>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rPr>
        <w:t>5.1.2投标人须知；</w:t>
      </w:r>
    </w:p>
    <w:p w14:paraId="0A2599FF">
      <w:pPr>
        <w:pStyle w:val="32"/>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rPr>
        <w:t>5.1.3采购需求；</w:t>
      </w:r>
    </w:p>
    <w:p w14:paraId="58720FBE">
      <w:pPr>
        <w:pStyle w:val="32"/>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rPr>
        <w:t>5.1.4评标办法；</w:t>
      </w:r>
    </w:p>
    <w:p w14:paraId="33106B83">
      <w:pPr>
        <w:pStyle w:val="32"/>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rPr>
        <w:t>5.1.5拟签订的合同文本；</w:t>
      </w:r>
    </w:p>
    <w:p w14:paraId="14F07656">
      <w:pPr>
        <w:pStyle w:val="32"/>
        <w:tabs>
          <w:tab w:val="left" w:pos="840"/>
        </w:tabs>
        <w:spacing w:line="360" w:lineRule="auto"/>
        <w:ind w:firstLine="960" w:firstLineChars="400"/>
        <w:rPr>
          <w:rFonts w:hAnsi="宋体" w:cs="宋体"/>
          <w:color w:val="auto"/>
          <w:sz w:val="24"/>
          <w:szCs w:val="24"/>
        </w:rPr>
      </w:pPr>
      <w:r>
        <w:rPr>
          <w:rFonts w:hint="eastAsia" w:hAnsi="宋体" w:cs="宋体"/>
          <w:color w:val="auto"/>
          <w:sz w:val="24"/>
        </w:rPr>
        <w:t>5.1.6</w:t>
      </w:r>
      <w:r>
        <w:rPr>
          <w:rFonts w:hint="eastAsia" w:hAnsi="宋体" w:cs="宋体"/>
          <w:color w:val="auto"/>
          <w:sz w:val="24"/>
          <w:szCs w:val="24"/>
        </w:rPr>
        <w:t>应提交的有关格式范例。</w:t>
      </w:r>
    </w:p>
    <w:p w14:paraId="3EE355D7">
      <w:pPr>
        <w:spacing w:line="360" w:lineRule="auto"/>
        <w:ind w:firstLine="480" w:firstLineChars="200"/>
        <w:rPr>
          <w:rFonts w:ascii="宋体" w:hAnsi="宋体" w:cs="宋体"/>
          <w:color w:val="auto"/>
          <w:sz w:val="24"/>
        </w:rPr>
      </w:pPr>
      <w:r>
        <w:rPr>
          <w:rFonts w:hint="eastAsia" w:ascii="宋体" w:hAnsi="宋体" w:cs="宋体"/>
          <w:color w:val="auto"/>
          <w:sz w:val="24"/>
        </w:rPr>
        <w:t>5.2与本项目有关的</w:t>
      </w:r>
      <w:r>
        <w:rPr>
          <w:rFonts w:hint="eastAsia" w:ascii="宋体" w:hAnsi="宋体" w:cs="宋体"/>
          <w:bCs/>
          <w:color w:val="auto"/>
          <w:sz w:val="24"/>
        </w:rPr>
        <w:t>澄清或者修改的内容为招标文件的组成部分</w:t>
      </w:r>
      <w:r>
        <w:rPr>
          <w:rFonts w:hint="eastAsia" w:ascii="宋体" w:hAnsi="宋体" w:cs="宋体"/>
          <w:color w:val="auto"/>
          <w:sz w:val="24"/>
        </w:rPr>
        <w:t>。</w:t>
      </w:r>
    </w:p>
    <w:p w14:paraId="59BA318F">
      <w:pPr>
        <w:pStyle w:val="32"/>
        <w:spacing w:line="360" w:lineRule="auto"/>
        <w:rPr>
          <w:rFonts w:hAnsi="宋体" w:cs="宋体"/>
          <w:b/>
          <w:color w:val="auto"/>
          <w:sz w:val="24"/>
          <w:szCs w:val="24"/>
        </w:rPr>
      </w:pPr>
      <w:r>
        <w:rPr>
          <w:rFonts w:hint="eastAsia" w:hAnsi="宋体" w:cs="宋体"/>
          <w:b/>
          <w:color w:val="auto"/>
          <w:sz w:val="24"/>
          <w:szCs w:val="24"/>
        </w:rPr>
        <w:t>6. 招标文件的澄清、修改</w:t>
      </w:r>
    </w:p>
    <w:p w14:paraId="14E14F3F">
      <w:pPr>
        <w:pStyle w:val="143"/>
        <w:snapToGrid w:val="0"/>
        <w:spacing w:before="0"/>
        <w:ind w:firstLine="480"/>
        <w:rPr>
          <w:rFonts w:ascii="宋体" w:hAnsi="宋体" w:cs="宋体"/>
          <w:color w:val="auto"/>
        </w:rPr>
      </w:pPr>
      <w:r>
        <w:rPr>
          <w:rFonts w:hint="eastAsia" w:ascii="宋体" w:hAnsi="宋体" w:cs="宋体"/>
          <w:color w:val="auto"/>
        </w:rPr>
        <w:t>6.1已获取招标文件的潜在投标人，若有问题需要澄清，应于投标截止时间前，以书面形式向采购机构提出。</w:t>
      </w:r>
    </w:p>
    <w:p w14:paraId="1DFB47F4">
      <w:pPr>
        <w:pStyle w:val="143"/>
        <w:snapToGrid w:val="0"/>
        <w:spacing w:before="0"/>
        <w:ind w:firstLine="480"/>
        <w:rPr>
          <w:rFonts w:ascii="宋体" w:hAnsi="宋体" w:cs="宋体"/>
          <w:color w:val="auto"/>
        </w:rPr>
      </w:pPr>
      <w:r>
        <w:rPr>
          <w:rFonts w:hint="eastAsia" w:ascii="宋体" w:hAnsi="宋体" w:cs="宋体"/>
          <w:color w:val="auto"/>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1D47773">
      <w:pPr>
        <w:pStyle w:val="23"/>
        <w:rPr>
          <w:rFonts w:hAnsi="宋体" w:cs="宋体"/>
          <w:color w:val="auto"/>
          <w:sz w:val="18"/>
          <w:szCs w:val="18"/>
          <w:lang w:val="en-US"/>
        </w:rPr>
      </w:pPr>
      <w:r>
        <w:rPr>
          <w:rFonts w:hint="eastAsia" w:hAnsi="宋体" w:cs="宋体"/>
          <w:color w:val="auto"/>
          <w:szCs w:val="24"/>
          <w:lang w:val="en-US"/>
        </w:rPr>
        <w:t xml:space="preserve">    </w:t>
      </w:r>
    </w:p>
    <w:p w14:paraId="7F102398">
      <w:pPr>
        <w:adjustRightInd/>
        <w:spacing w:line="360" w:lineRule="auto"/>
        <w:jc w:val="center"/>
        <w:outlineLvl w:val="0"/>
        <w:rPr>
          <w:rFonts w:ascii="宋体" w:hAnsi="宋体" w:cs="宋体"/>
          <w:b/>
          <w:color w:val="auto"/>
          <w:sz w:val="30"/>
          <w:szCs w:val="20"/>
        </w:rPr>
      </w:pPr>
      <w:r>
        <w:rPr>
          <w:rFonts w:hint="eastAsia" w:ascii="宋体" w:hAnsi="宋体" w:cs="宋体"/>
          <w:b/>
          <w:color w:val="auto"/>
          <w:sz w:val="30"/>
          <w:szCs w:val="20"/>
        </w:rPr>
        <w:t>三、投标</w:t>
      </w:r>
    </w:p>
    <w:p w14:paraId="5CAF91D3">
      <w:pPr>
        <w:pStyle w:val="32"/>
        <w:spacing w:line="360" w:lineRule="auto"/>
        <w:rPr>
          <w:rFonts w:hAnsi="宋体" w:cs="宋体"/>
          <w:b/>
          <w:color w:val="auto"/>
          <w:sz w:val="24"/>
          <w:szCs w:val="24"/>
        </w:rPr>
      </w:pPr>
      <w:r>
        <w:rPr>
          <w:rFonts w:hint="eastAsia" w:hAnsi="宋体" w:cs="宋体"/>
          <w:b/>
          <w:color w:val="auto"/>
          <w:sz w:val="24"/>
          <w:szCs w:val="24"/>
        </w:rPr>
        <w:t>7. 招标文件的获取</w:t>
      </w:r>
    </w:p>
    <w:p w14:paraId="569F8A16">
      <w:pPr>
        <w:spacing w:line="360" w:lineRule="auto"/>
        <w:ind w:firstLine="480" w:firstLineChars="200"/>
        <w:rPr>
          <w:rFonts w:ascii="宋体" w:hAnsi="宋体" w:cs="宋体"/>
          <w:snapToGrid w:val="0"/>
          <w:color w:val="auto"/>
          <w:kern w:val="28"/>
          <w:sz w:val="24"/>
        </w:rPr>
      </w:pPr>
      <w:r>
        <w:rPr>
          <w:rFonts w:hint="eastAsia" w:ascii="宋体" w:hAnsi="宋体" w:cs="宋体"/>
          <w:snapToGrid w:val="0"/>
          <w:color w:val="auto"/>
          <w:kern w:val="28"/>
          <w:sz w:val="24"/>
        </w:rPr>
        <w:t>详见招标公告中获取招标文件的时间期限、地点、方式及招标文件售价。</w:t>
      </w:r>
    </w:p>
    <w:p w14:paraId="36E0C067">
      <w:pPr>
        <w:pStyle w:val="32"/>
        <w:spacing w:line="360" w:lineRule="auto"/>
        <w:rPr>
          <w:rFonts w:hAnsi="宋体" w:cs="宋体"/>
          <w:b/>
          <w:color w:val="auto"/>
          <w:sz w:val="24"/>
          <w:szCs w:val="24"/>
        </w:rPr>
      </w:pPr>
      <w:r>
        <w:rPr>
          <w:rFonts w:hint="eastAsia" w:hAnsi="宋体" w:cs="宋体"/>
          <w:b/>
          <w:color w:val="auto"/>
          <w:sz w:val="24"/>
          <w:szCs w:val="24"/>
        </w:rPr>
        <w:t>8.开标前答疑会或现场考察</w:t>
      </w:r>
    </w:p>
    <w:p w14:paraId="365481BB">
      <w:pPr>
        <w:pStyle w:val="32"/>
        <w:spacing w:line="360" w:lineRule="auto"/>
        <w:ind w:firstLine="480" w:firstLineChars="200"/>
        <w:rPr>
          <w:rFonts w:hAnsi="宋体" w:cs="宋体"/>
          <w:color w:val="auto"/>
          <w:sz w:val="24"/>
          <w:szCs w:val="24"/>
        </w:rPr>
      </w:pPr>
      <w:r>
        <w:rPr>
          <w:rFonts w:hint="eastAsia" w:hAnsi="宋体" w:cs="宋体"/>
          <w:color w:val="auto"/>
          <w:sz w:val="24"/>
          <w:szCs w:val="24"/>
        </w:rPr>
        <w:t>采购人组织潜在投标人现场考察或者召开开标前答疑会的，潜在投标人按第二部分投标人须知前附表的规定参加现场考察或者开标前答疑会。</w:t>
      </w:r>
    </w:p>
    <w:p w14:paraId="72A2755C">
      <w:pPr>
        <w:pStyle w:val="32"/>
        <w:spacing w:line="360" w:lineRule="auto"/>
        <w:rPr>
          <w:rFonts w:hAnsi="宋体" w:cs="宋体"/>
          <w:b/>
          <w:color w:val="auto"/>
          <w:szCs w:val="24"/>
        </w:rPr>
      </w:pPr>
      <w:r>
        <w:rPr>
          <w:rFonts w:hint="eastAsia" w:hAnsi="宋体" w:cs="宋体"/>
          <w:b/>
          <w:color w:val="auto"/>
          <w:kern w:val="28"/>
          <w:sz w:val="24"/>
          <w:szCs w:val="24"/>
        </w:rPr>
        <w:t>9.投标保证金</w:t>
      </w:r>
    </w:p>
    <w:p w14:paraId="5CCF4019">
      <w:pPr>
        <w:pStyle w:val="5"/>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7BF9BD92">
      <w:pPr>
        <w:pStyle w:val="32"/>
        <w:spacing w:line="360" w:lineRule="auto"/>
        <w:rPr>
          <w:rFonts w:hAnsi="宋体" w:cs="宋体"/>
          <w:b/>
          <w:color w:val="auto"/>
          <w:sz w:val="24"/>
          <w:szCs w:val="24"/>
        </w:rPr>
      </w:pPr>
      <w:r>
        <w:rPr>
          <w:rFonts w:hint="eastAsia" w:hAnsi="宋体" w:cs="宋体"/>
          <w:b/>
          <w:color w:val="auto"/>
          <w:sz w:val="24"/>
          <w:szCs w:val="24"/>
        </w:rPr>
        <w:t>10. 投标文件的语言</w:t>
      </w:r>
    </w:p>
    <w:p w14:paraId="6FD16545">
      <w:pPr>
        <w:autoSpaceDE w:val="0"/>
        <w:autoSpaceDN w:val="0"/>
        <w:spacing w:line="360" w:lineRule="auto"/>
        <w:ind w:firstLine="480" w:firstLineChars="200"/>
        <w:rPr>
          <w:rFonts w:ascii="宋体" w:hAnsi="宋体" w:cs="宋体"/>
          <w:color w:val="auto"/>
          <w:sz w:val="24"/>
          <w:lang w:val="zh-CN"/>
        </w:rPr>
      </w:pPr>
      <w:r>
        <w:rPr>
          <w:rFonts w:hint="eastAsia" w:ascii="宋体" w:hAnsi="宋体" w:cs="宋体"/>
          <w:color w:val="auto"/>
          <w:sz w:val="24"/>
        </w:rPr>
        <w:t>投标文件及投标人与采购有关的来往通知、函件和文件均应使用中文。</w:t>
      </w:r>
    </w:p>
    <w:p w14:paraId="5EC8223E">
      <w:pPr>
        <w:pStyle w:val="32"/>
        <w:spacing w:line="360" w:lineRule="auto"/>
        <w:rPr>
          <w:rFonts w:hAnsi="宋体" w:cs="宋体"/>
          <w:b/>
          <w:color w:val="auto"/>
          <w:sz w:val="24"/>
          <w:szCs w:val="24"/>
        </w:rPr>
      </w:pPr>
      <w:r>
        <w:rPr>
          <w:rFonts w:hint="eastAsia" w:hAnsi="宋体" w:cs="宋体"/>
          <w:b/>
          <w:color w:val="auto"/>
          <w:sz w:val="24"/>
          <w:szCs w:val="24"/>
        </w:rPr>
        <w:t>11. 投标文件的组成</w:t>
      </w:r>
    </w:p>
    <w:p w14:paraId="5D983884">
      <w:pPr>
        <w:snapToGrid w:val="0"/>
        <w:spacing w:line="360" w:lineRule="auto"/>
        <w:ind w:firstLine="482" w:firstLineChars="200"/>
        <w:rPr>
          <w:rFonts w:ascii="宋体" w:hAnsi="宋体" w:cs="宋体"/>
          <w:b/>
          <w:snapToGrid w:val="0"/>
          <w:color w:val="auto"/>
          <w:sz w:val="24"/>
        </w:rPr>
      </w:pPr>
      <w:r>
        <w:rPr>
          <w:rFonts w:hint="eastAsia" w:ascii="宋体" w:hAnsi="宋体" w:cs="宋体"/>
          <w:b/>
          <w:snapToGrid w:val="0"/>
          <w:color w:val="auto"/>
          <w:sz w:val="24"/>
        </w:rPr>
        <w:t>▲投标文件至少应包括以下文件。</w:t>
      </w:r>
    </w:p>
    <w:p w14:paraId="6F8A825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11.1</w:t>
      </w:r>
      <w:r>
        <w:rPr>
          <w:rFonts w:hint="eastAsia" w:ascii="宋体" w:hAnsi="宋体" w:cs="宋体"/>
          <w:b/>
          <w:color w:val="auto"/>
          <w:sz w:val="24"/>
        </w:rPr>
        <w:t>资格文件</w:t>
      </w:r>
      <w:r>
        <w:rPr>
          <w:rFonts w:hint="eastAsia" w:ascii="宋体" w:hAnsi="宋体" w:cs="宋体"/>
          <w:color w:val="auto"/>
          <w:sz w:val="24"/>
        </w:rPr>
        <w:t>：</w:t>
      </w:r>
    </w:p>
    <w:p w14:paraId="1FD0067C">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11.1.1符合参加政府采购活动应当具备的一般条件的承诺函；</w:t>
      </w:r>
    </w:p>
    <w:p w14:paraId="7E32542F">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1.1.2</w:t>
      </w:r>
      <w:bookmarkStart w:id="18" w:name="_Hlk101259339"/>
      <w:r>
        <w:rPr>
          <w:rFonts w:hint="eastAsia" w:ascii="宋体" w:hAnsi="宋体" w:cs="宋体"/>
          <w:snapToGrid w:val="0"/>
          <w:color w:val="auto"/>
          <w:kern w:val="28"/>
          <w:sz w:val="24"/>
          <w:szCs w:val="20"/>
        </w:rPr>
        <w:t>联合协议</w:t>
      </w:r>
      <w:bookmarkEnd w:id="18"/>
      <w:r>
        <w:rPr>
          <w:rFonts w:hint="eastAsia" w:ascii="宋体" w:hAnsi="宋体" w:cs="宋体"/>
          <w:snapToGrid w:val="0"/>
          <w:color w:val="auto"/>
          <w:kern w:val="28"/>
          <w:sz w:val="24"/>
          <w:szCs w:val="20"/>
        </w:rPr>
        <w:t>（如果有)；</w:t>
      </w:r>
    </w:p>
    <w:p w14:paraId="26E67DD6">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11.1.</w:t>
      </w:r>
      <w:r>
        <w:rPr>
          <w:rFonts w:ascii="宋体" w:hAnsi="宋体" w:cs="宋体"/>
          <w:color w:val="auto"/>
          <w:sz w:val="24"/>
        </w:rPr>
        <w:t>3</w:t>
      </w:r>
      <w:r>
        <w:rPr>
          <w:rFonts w:hint="eastAsia" w:ascii="宋体" w:hAnsi="宋体" w:cs="宋体"/>
          <w:color w:val="auto"/>
          <w:sz w:val="24"/>
        </w:rPr>
        <w:t>落实政府采购政策需满足的资格要求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541C9067">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11.1.</w:t>
      </w:r>
      <w:r>
        <w:rPr>
          <w:rFonts w:ascii="宋体" w:hAnsi="宋体" w:cs="宋体"/>
          <w:color w:val="auto"/>
          <w:sz w:val="24"/>
        </w:rPr>
        <w:t>4</w:t>
      </w:r>
      <w:r>
        <w:rPr>
          <w:rFonts w:hint="eastAsia" w:ascii="宋体" w:hAnsi="宋体" w:cs="宋体"/>
          <w:color w:val="auto"/>
          <w:sz w:val="24"/>
        </w:rPr>
        <w:t>本项目的特定资格要求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6954FF6A">
      <w:pPr>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11.</w:t>
      </w:r>
      <w:r>
        <w:rPr>
          <w:rFonts w:hint="eastAsia" w:ascii="宋体" w:hAnsi="宋体" w:cs="宋体"/>
          <w:color w:val="auto"/>
          <w:sz w:val="24"/>
        </w:rPr>
        <w:t>2</w:t>
      </w:r>
      <w:r>
        <w:rPr>
          <w:rFonts w:hint="eastAsia" w:ascii="宋体" w:hAnsi="宋体" w:cs="宋体"/>
          <w:color w:val="auto"/>
          <w:sz w:val="24"/>
          <w:lang w:val="zh-CN"/>
        </w:rPr>
        <w:t xml:space="preserve">  </w:t>
      </w:r>
      <w:r>
        <w:rPr>
          <w:rFonts w:hint="eastAsia" w:ascii="宋体" w:hAnsi="宋体" w:cs="宋体"/>
          <w:color w:val="auto"/>
          <w:sz w:val="24"/>
        </w:rPr>
        <w:t>商务技术</w:t>
      </w:r>
      <w:r>
        <w:rPr>
          <w:rFonts w:hint="eastAsia" w:ascii="宋体" w:hAnsi="宋体" w:cs="宋体"/>
          <w:color w:val="auto"/>
          <w:sz w:val="24"/>
          <w:lang w:val="zh-CN"/>
        </w:rPr>
        <w:t>文件：</w:t>
      </w:r>
    </w:p>
    <w:p w14:paraId="35298439">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11.2.1投标函；</w:t>
      </w:r>
      <w:r>
        <w:rPr>
          <w:rFonts w:hint="eastAsia" w:ascii="宋体" w:hAnsi="宋体" w:cs="宋体"/>
          <w:color w:val="auto"/>
          <w:sz w:val="24"/>
          <w:lang w:val="zh-CN"/>
        </w:rPr>
        <w:t xml:space="preserve"> </w:t>
      </w:r>
    </w:p>
    <w:p w14:paraId="06F8E1B1">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11.2.2授权委托书或法定代表人（单位负责人、自然人本人）身份证明；</w:t>
      </w:r>
    </w:p>
    <w:p w14:paraId="20049F55">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3</w:t>
      </w:r>
      <w:r>
        <w:rPr>
          <w:rFonts w:hint="eastAsia" w:ascii="宋体" w:hAnsi="宋体" w:cs="宋体"/>
          <w:color w:val="auto"/>
          <w:sz w:val="24"/>
        </w:rPr>
        <w:t>分包意向协议</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0C847694">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4</w:t>
      </w:r>
      <w:r>
        <w:rPr>
          <w:rFonts w:hint="eastAsia" w:ascii="宋体" w:hAnsi="宋体" w:cs="宋体"/>
          <w:color w:val="auto"/>
          <w:sz w:val="24"/>
        </w:rPr>
        <w:t>符合性审查资料；</w:t>
      </w:r>
    </w:p>
    <w:p w14:paraId="6E007000">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5</w:t>
      </w:r>
      <w:r>
        <w:rPr>
          <w:rFonts w:hint="eastAsia" w:ascii="宋体" w:hAnsi="宋体" w:cs="宋体"/>
          <w:color w:val="auto"/>
          <w:sz w:val="24"/>
        </w:rPr>
        <w:t>评标标准相应的商务技术资料；</w:t>
      </w:r>
    </w:p>
    <w:p w14:paraId="5EF16D84">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6</w:t>
      </w:r>
      <w:r>
        <w:rPr>
          <w:rFonts w:hint="eastAsia" w:ascii="宋体" w:hAnsi="宋体" w:cs="宋体"/>
          <w:color w:val="auto"/>
          <w:sz w:val="24"/>
        </w:rPr>
        <w:t>投标标的清单；</w:t>
      </w:r>
    </w:p>
    <w:p w14:paraId="4467909E">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7</w:t>
      </w:r>
      <w:r>
        <w:rPr>
          <w:rFonts w:hint="eastAsia" w:ascii="宋体" w:hAnsi="宋体" w:cs="宋体"/>
          <w:color w:val="auto"/>
          <w:sz w:val="24"/>
        </w:rPr>
        <w:t>商务技术偏离表；</w:t>
      </w:r>
    </w:p>
    <w:p w14:paraId="729D7EDB">
      <w:pPr>
        <w:snapToGrid w:val="0"/>
        <w:spacing w:line="360" w:lineRule="auto"/>
        <w:ind w:firstLine="960" w:firstLineChars="400"/>
        <w:rPr>
          <w:rFonts w:ascii="宋体" w:hAnsi="宋体" w:cs="宋体"/>
          <w:color w:val="auto"/>
          <w:sz w:val="24"/>
          <w:lang w:val="zh-CN"/>
        </w:rPr>
      </w:pPr>
      <w:r>
        <w:rPr>
          <w:rFonts w:hint="eastAsia" w:ascii="宋体" w:hAnsi="宋体" w:cs="宋体"/>
          <w:color w:val="auto"/>
          <w:sz w:val="24"/>
          <w:lang w:val="zh-CN"/>
        </w:rPr>
        <w:t>11.</w:t>
      </w:r>
      <w:r>
        <w:rPr>
          <w:rFonts w:hint="eastAsia" w:ascii="宋体" w:hAnsi="宋体" w:cs="宋体"/>
          <w:color w:val="auto"/>
          <w:sz w:val="24"/>
        </w:rPr>
        <w:t>2</w:t>
      </w:r>
      <w:r>
        <w:rPr>
          <w:rFonts w:hint="eastAsia" w:ascii="宋体" w:hAnsi="宋体" w:cs="宋体"/>
          <w:color w:val="auto"/>
          <w:sz w:val="24"/>
          <w:lang w:val="zh-CN"/>
        </w:rPr>
        <w:t>.</w:t>
      </w:r>
      <w:r>
        <w:rPr>
          <w:rFonts w:ascii="宋体" w:hAnsi="宋体" w:cs="宋体"/>
          <w:color w:val="auto"/>
          <w:sz w:val="24"/>
        </w:rPr>
        <w:t>8</w:t>
      </w:r>
      <w:r>
        <w:rPr>
          <w:rFonts w:hint="eastAsia" w:ascii="宋体" w:hAnsi="宋体" w:cs="宋体"/>
          <w:color w:val="auto"/>
          <w:sz w:val="24"/>
          <w:lang w:val="zh-CN"/>
        </w:rPr>
        <w:t>政府采购供应商廉洁自律承诺书；</w:t>
      </w:r>
    </w:p>
    <w:p w14:paraId="2127E355">
      <w:pPr>
        <w:snapToGrid w:val="0"/>
        <w:spacing w:line="360" w:lineRule="auto"/>
        <w:ind w:firstLine="480" w:firstLineChars="200"/>
        <w:rPr>
          <w:rFonts w:ascii="宋体" w:hAnsi="宋体" w:cs="宋体"/>
          <w:color w:val="auto"/>
          <w:sz w:val="24"/>
          <w:u w:val="single"/>
          <w:lang w:val="zh-CN"/>
        </w:rPr>
      </w:pPr>
      <w:r>
        <w:rPr>
          <w:rFonts w:hint="eastAsia" w:ascii="宋体" w:hAnsi="宋体" w:cs="宋体"/>
          <w:color w:val="auto"/>
          <w:kern w:val="0"/>
          <w:sz w:val="24"/>
          <w:lang w:val="zh-CN"/>
        </w:rPr>
        <w:t>11.</w:t>
      </w:r>
      <w:r>
        <w:rPr>
          <w:rFonts w:hint="eastAsia" w:ascii="宋体" w:hAnsi="宋体" w:cs="宋体"/>
          <w:color w:val="auto"/>
          <w:kern w:val="0"/>
          <w:sz w:val="24"/>
        </w:rPr>
        <w:t>3</w:t>
      </w:r>
      <w:r>
        <w:rPr>
          <w:rFonts w:hint="eastAsia" w:ascii="宋体" w:hAnsi="宋体" w:cs="宋体"/>
          <w:b/>
          <w:color w:val="auto"/>
          <w:sz w:val="24"/>
        </w:rPr>
        <w:t>报价文件：</w:t>
      </w:r>
      <w:r>
        <w:rPr>
          <w:rFonts w:hint="eastAsia" w:ascii="宋体" w:hAnsi="宋体" w:cs="宋体"/>
          <w:color w:val="auto"/>
          <w:sz w:val="24"/>
        </w:rPr>
        <w:t xml:space="preserve"> </w:t>
      </w:r>
    </w:p>
    <w:p w14:paraId="5634F8B6">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11.3.1开标一览表（报价表）；</w:t>
      </w:r>
    </w:p>
    <w:p w14:paraId="59C1C1DD">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11.3.2关于符合本国产品标准的声明函</w:t>
      </w:r>
      <w:r>
        <w:rPr>
          <w:rFonts w:hint="eastAsia" w:ascii="宋体" w:hAnsi="宋体" w:cs="宋体"/>
          <w:bCs/>
          <w:color w:val="auto"/>
          <w:sz w:val="24"/>
        </w:rPr>
        <w:t>或财政部会同有关部门规定的有关证明文件</w:t>
      </w:r>
      <w:r>
        <w:rPr>
          <w:rFonts w:hint="eastAsia" w:ascii="宋体" w:hAnsi="宋体" w:cs="宋体"/>
          <w:color w:val="auto"/>
          <w:sz w:val="24"/>
        </w:rPr>
        <w:t>（如果有）；</w:t>
      </w:r>
    </w:p>
    <w:p w14:paraId="418B21C4">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11.3.3中小企业声明函（如果有）。</w:t>
      </w:r>
    </w:p>
    <w:p w14:paraId="358192C2">
      <w:pPr>
        <w:spacing w:line="360" w:lineRule="auto"/>
        <w:ind w:firstLine="723" w:firstLineChars="300"/>
        <w:rPr>
          <w:rFonts w:ascii="宋体" w:hAnsi="宋体" w:cs="宋体"/>
          <w:b/>
          <w:color w:val="auto"/>
          <w:sz w:val="24"/>
        </w:rPr>
      </w:pPr>
      <w:r>
        <w:rPr>
          <w:rFonts w:hint="eastAsia" w:ascii="宋体" w:hAnsi="宋体" w:cs="宋体"/>
          <w:b/>
          <w:color w:val="auto"/>
          <w:sz w:val="24"/>
        </w:rPr>
        <w:t>投标文件含有采购人不能接受的附加条件的，投标无效；</w:t>
      </w:r>
    </w:p>
    <w:p w14:paraId="15824EAB">
      <w:pPr>
        <w:spacing w:line="360" w:lineRule="auto"/>
        <w:ind w:firstLine="723" w:firstLineChars="300"/>
        <w:rPr>
          <w:rFonts w:ascii="宋体" w:hAnsi="宋体" w:cs="宋体"/>
          <w:b/>
          <w:color w:val="auto"/>
          <w:sz w:val="24"/>
        </w:rPr>
      </w:pPr>
      <w:r>
        <w:rPr>
          <w:rFonts w:hint="eastAsia" w:ascii="宋体" w:hAnsi="宋体" w:cs="宋体"/>
          <w:b/>
          <w:color w:val="auto"/>
          <w:sz w:val="24"/>
        </w:rPr>
        <w:t>投标人提供虚假材料投标的，投标无效。</w:t>
      </w:r>
    </w:p>
    <w:p w14:paraId="219837E9">
      <w:pPr>
        <w:spacing w:line="360" w:lineRule="auto"/>
        <w:ind w:firstLine="720" w:firstLineChars="300"/>
        <w:rPr>
          <w:color w:val="auto"/>
          <w:sz w:val="24"/>
          <w:shd w:val="clear" w:color="auto" w:fill="FFFFFF"/>
        </w:rPr>
      </w:pPr>
      <w:r>
        <w:rPr>
          <w:rFonts w:hint="eastAsia"/>
          <w:color w:val="auto"/>
          <w:sz w:val="24"/>
          <w:shd w:val="clear" w:color="auto" w:fill="FFFFFF"/>
        </w:rPr>
        <w:t>投标人应对投标文件中材料的真实性、合法性负责。投标人可事先在公开官网查询、核对相关证书和报告内容，确保投标文件资料准确无误。</w:t>
      </w:r>
    </w:p>
    <w:p w14:paraId="4F0FE24A">
      <w:pPr>
        <w:pStyle w:val="143"/>
        <w:snapToGrid w:val="0"/>
        <w:spacing w:before="0"/>
        <w:ind w:firstLine="0" w:firstLineChars="0"/>
        <w:outlineLvl w:val="0"/>
        <w:rPr>
          <w:rFonts w:ascii="宋体" w:hAnsi="宋体" w:cs="宋体"/>
          <w:b/>
          <w:color w:val="auto"/>
          <w:szCs w:val="24"/>
        </w:rPr>
      </w:pPr>
      <w:r>
        <w:rPr>
          <w:rFonts w:hint="eastAsia" w:ascii="宋体" w:hAnsi="宋体" w:cs="宋体"/>
          <w:b/>
          <w:color w:val="auto"/>
          <w:szCs w:val="24"/>
        </w:rPr>
        <w:t>12</w:t>
      </w:r>
      <w:r>
        <w:rPr>
          <w:rFonts w:hint="eastAsia" w:ascii="宋体" w:hAnsi="宋体" w:cs="宋体"/>
          <w:b/>
          <w:color w:val="auto"/>
          <w:kern w:val="0"/>
          <w:szCs w:val="24"/>
          <w:lang w:val="zh-CN"/>
        </w:rPr>
        <w:t xml:space="preserve">. </w:t>
      </w:r>
      <w:r>
        <w:rPr>
          <w:rFonts w:hint="eastAsia" w:ascii="宋体" w:hAnsi="宋体" w:cs="宋体"/>
          <w:b/>
          <w:color w:val="auto"/>
          <w:szCs w:val="24"/>
        </w:rPr>
        <w:t>投标文件的编制</w:t>
      </w:r>
    </w:p>
    <w:p w14:paraId="19F20AD4">
      <w:pPr>
        <w:spacing w:line="360" w:lineRule="auto"/>
        <w:ind w:firstLine="480" w:firstLineChars="200"/>
        <w:rPr>
          <w:rFonts w:ascii="宋体" w:hAnsi="宋体" w:cs="宋体"/>
          <w:b/>
          <w:color w:val="auto"/>
          <w:sz w:val="24"/>
        </w:rPr>
      </w:pPr>
      <w:r>
        <w:rPr>
          <w:rFonts w:hint="eastAsia" w:ascii="宋体" w:hAnsi="宋体" w:cs="宋体"/>
          <w:color w:val="auto"/>
          <w:kern w:val="0"/>
          <w:sz w:val="24"/>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5034CC87">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2D6A1579">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12.3使用“政采云电子交易客户端”需要提前申领CA数字证书，申领流程请自行前往“浙江政府采购网-下载专区-电子交易客户端-CA驱动和申领流程”进行查阅。</w:t>
      </w:r>
    </w:p>
    <w:p w14:paraId="68FF2E78">
      <w:pPr>
        <w:snapToGrid w:val="0"/>
        <w:spacing w:line="360" w:lineRule="auto"/>
        <w:rPr>
          <w:rFonts w:ascii="宋体" w:hAnsi="宋体" w:cs="宋体"/>
          <w:b/>
          <w:color w:val="auto"/>
          <w:sz w:val="24"/>
        </w:rPr>
      </w:pPr>
      <w:r>
        <w:rPr>
          <w:rFonts w:hint="eastAsia" w:ascii="宋体" w:hAnsi="宋体" w:cs="宋体"/>
          <w:b/>
          <w:color w:val="auto"/>
          <w:sz w:val="24"/>
        </w:rPr>
        <w:t>13.投标文件的签署、盖章</w:t>
      </w:r>
    </w:p>
    <w:p w14:paraId="725FE4F2">
      <w:pPr>
        <w:pStyle w:val="143"/>
        <w:snapToGrid w:val="0"/>
        <w:spacing w:before="0"/>
        <w:ind w:firstLine="480"/>
        <w:rPr>
          <w:rFonts w:ascii="宋体" w:hAnsi="宋体" w:cs="宋体"/>
          <w:b/>
          <w:color w:val="auto"/>
        </w:rPr>
      </w:pPr>
      <w:r>
        <w:rPr>
          <w:rFonts w:hint="eastAsia" w:ascii="宋体" w:hAnsi="宋体" w:cs="宋体"/>
          <w:color w:val="auto"/>
          <w:szCs w:val="24"/>
        </w:rPr>
        <w:t>13.1投标文件按照招标文件第六部分格式要</w:t>
      </w:r>
      <w:r>
        <w:rPr>
          <w:rFonts w:hint="eastAsia" w:ascii="宋体" w:hAnsi="宋体" w:cs="宋体"/>
          <w:color w:val="auto"/>
        </w:rPr>
        <w:t>求进行签署、盖章。</w:t>
      </w:r>
      <w:r>
        <w:rPr>
          <w:rFonts w:hint="eastAsia" w:ascii="宋体" w:hAnsi="宋体" w:cs="宋体"/>
          <w:b/>
          <w:color w:val="auto"/>
        </w:rPr>
        <w:t>▲投标人的投标文件未按照招标文件要求签署、盖章的，其投标无效</w:t>
      </w:r>
      <w:r>
        <w:rPr>
          <w:rFonts w:hint="eastAsia" w:ascii="宋体" w:hAnsi="宋体" w:cs="宋体"/>
          <w:color w:val="auto"/>
          <w:szCs w:val="24"/>
        </w:rPr>
        <w:t>。</w:t>
      </w:r>
    </w:p>
    <w:p w14:paraId="554D9F5B">
      <w:pPr>
        <w:pStyle w:val="143"/>
        <w:snapToGrid w:val="0"/>
        <w:spacing w:before="0"/>
        <w:ind w:firstLine="480"/>
        <w:rPr>
          <w:rFonts w:ascii="宋体" w:hAnsi="宋体" w:cs="宋体"/>
          <w:color w:val="auto"/>
        </w:rPr>
      </w:pPr>
      <w:r>
        <w:rPr>
          <w:rFonts w:hint="eastAsia" w:ascii="宋体" w:hAnsi="宋体" w:cs="宋体"/>
          <w:color w:val="auto"/>
        </w:rPr>
        <w:t>13.2为确保网上操作合法、有效和安全，投标人应当在投标截止时间前完成在“政府采购云平台”的身份认证，确保在电子投标过程中能够对相关数据电文进行加密和使用电子签名。</w:t>
      </w:r>
    </w:p>
    <w:p w14:paraId="2826A4CE">
      <w:pPr>
        <w:pStyle w:val="143"/>
        <w:snapToGrid w:val="0"/>
        <w:spacing w:before="0"/>
        <w:ind w:firstLine="480"/>
        <w:rPr>
          <w:rFonts w:ascii="宋体" w:hAnsi="宋体" w:cs="宋体"/>
          <w:color w:val="auto"/>
          <w:szCs w:val="24"/>
        </w:rPr>
      </w:pPr>
      <w:r>
        <w:rPr>
          <w:rFonts w:hint="eastAsia" w:ascii="宋体" w:hAnsi="宋体" w:cs="宋体"/>
          <w:color w:val="auto"/>
        </w:rPr>
        <w:t>13.3招标文件对投标文件签署、盖章的要求适用于电子签名。</w:t>
      </w:r>
    </w:p>
    <w:p w14:paraId="21D96825">
      <w:pPr>
        <w:pStyle w:val="143"/>
        <w:spacing w:before="0"/>
        <w:ind w:firstLine="0" w:firstLineChars="0"/>
        <w:rPr>
          <w:rFonts w:ascii="宋体" w:hAnsi="宋体" w:cs="宋体"/>
          <w:b/>
          <w:color w:val="auto"/>
          <w:szCs w:val="24"/>
        </w:rPr>
      </w:pPr>
      <w:r>
        <w:rPr>
          <w:rFonts w:hint="eastAsia" w:ascii="宋体" w:hAnsi="宋体" w:cs="宋体"/>
          <w:b/>
          <w:color w:val="auto"/>
          <w:szCs w:val="24"/>
        </w:rPr>
        <w:t>14. 投标文件的提交、补充、修改、撤回</w:t>
      </w:r>
    </w:p>
    <w:p w14:paraId="64E00C89">
      <w:pPr>
        <w:pStyle w:val="143"/>
        <w:ind w:firstLine="480"/>
        <w:rPr>
          <w:rFonts w:ascii="宋体" w:hAnsi="宋体" w:cs="宋体"/>
          <w:color w:val="auto"/>
          <w:szCs w:val="24"/>
        </w:rPr>
      </w:pPr>
      <w:r>
        <w:rPr>
          <w:rFonts w:hint="eastAsia" w:ascii="宋体" w:hAnsi="宋体" w:cs="宋体"/>
          <w:color w:val="auto"/>
          <w:szCs w:val="24"/>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595E528C">
      <w:pPr>
        <w:pStyle w:val="143"/>
        <w:spacing w:before="0"/>
        <w:ind w:firstLine="480"/>
        <w:rPr>
          <w:rFonts w:ascii="宋体" w:hAnsi="宋体" w:cs="宋体"/>
          <w:color w:val="auto"/>
          <w:szCs w:val="24"/>
        </w:rPr>
      </w:pPr>
      <w:r>
        <w:rPr>
          <w:rFonts w:hint="eastAsia" w:ascii="宋体" w:hAnsi="宋体" w:cs="宋体"/>
          <w:color w:val="auto"/>
          <w:szCs w:val="24"/>
        </w:rPr>
        <w:t>14.2电子交易平台收到投标文件，将妥善保存并即时向供应商发出确认回执通知。在投标截止时间前，除供应商补充、修改或者撤回投标文件外，任何单位和个人不得解密或提取投标文件。</w:t>
      </w:r>
      <w:r>
        <w:rPr>
          <w:rFonts w:hint="eastAsia" w:ascii="宋体" w:hAnsi="宋体" w:cs="宋体"/>
          <w:color w:val="auto"/>
          <w:szCs w:val="24"/>
        </w:rPr>
        <w:tab/>
      </w:r>
    </w:p>
    <w:p w14:paraId="0C72E90C">
      <w:pPr>
        <w:pStyle w:val="143"/>
        <w:spacing w:before="0"/>
        <w:ind w:firstLine="480"/>
        <w:rPr>
          <w:rFonts w:ascii="宋体" w:hAnsi="宋体" w:cs="宋体"/>
          <w:color w:val="auto"/>
          <w:szCs w:val="24"/>
        </w:rPr>
      </w:pPr>
      <w:r>
        <w:rPr>
          <w:rFonts w:hint="eastAsia" w:ascii="宋体" w:hAnsi="宋体" w:cs="宋体"/>
          <w:color w:val="auto"/>
          <w:szCs w:val="24"/>
        </w:rPr>
        <w:t>14.3采购人、采购机构可以视情况延长投标文件提交的截止时间。在上述情况下，采购机构与投标人以前在投标截止期方面的全部权利、责任和义务，将适用于延长至新的投标截止期。</w:t>
      </w:r>
    </w:p>
    <w:p w14:paraId="1CBCBF96">
      <w:pPr>
        <w:pStyle w:val="32"/>
        <w:spacing w:line="360" w:lineRule="auto"/>
        <w:rPr>
          <w:rFonts w:hAnsi="宋体" w:cs="宋体"/>
          <w:b/>
          <w:color w:val="auto"/>
          <w:sz w:val="24"/>
          <w:szCs w:val="24"/>
        </w:rPr>
      </w:pPr>
      <w:r>
        <w:rPr>
          <w:rFonts w:hint="eastAsia" w:hAnsi="宋体" w:cs="宋体"/>
          <w:b/>
          <w:color w:val="auto"/>
          <w:sz w:val="24"/>
          <w:szCs w:val="24"/>
        </w:rPr>
        <w:t>15.备份投标文件</w:t>
      </w:r>
    </w:p>
    <w:p w14:paraId="19275E5C">
      <w:pPr>
        <w:pStyle w:val="32"/>
        <w:spacing w:line="360" w:lineRule="auto"/>
        <w:ind w:firstLine="360" w:firstLineChars="150"/>
        <w:rPr>
          <w:rFonts w:hAnsi="宋体" w:cs="宋体"/>
          <w:b/>
          <w:color w:val="auto"/>
          <w:sz w:val="24"/>
          <w:szCs w:val="24"/>
        </w:rPr>
      </w:pPr>
      <w:r>
        <w:rPr>
          <w:rFonts w:hint="eastAsia" w:hAnsi="宋体" w:cs="宋体"/>
          <w:color w:val="auto"/>
          <w:sz w:val="24"/>
          <w:szCs w:val="24"/>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rPr>
        <w:t>但采购人、采购机构不强制或变相强制投标人提交备份投标文件。</w:t>
      </w:r>
    </w:p>
    <w:p w14:paraId="7CC0B7D6">
      <w:pPr>
        <w:pStyle w:val="32"/>
        <w:spacing w:line="360" w:lineRule="auto"/>
        <w:ind w:firstLine="480" w:firstLineChars="200"/>
        <w:rPr>
          <w:rFonts w:hAnsi="宋体" w:cs="宋体"/>
          <w:b/>
          <w:color w:val="auto"/>
          <w:sz w:val="24"/>
          <w:szCs w:val="24"/>
        </w:rPr>
      </w:pPr>
      <w:r>
        <w:rPr>
          <w:rFonts w:hint="eastAsia" w:hAnsi="宋体" w:cs="宋体"/>
          <w:color w:val="auto"/>
          <w:sz w:val="24"/>
          <w:szCs w:val="24"/>
        </w:rPr>
        <w:t>15.2备份投标文件须在“政采云投标客户端”制作生成，并储存在</w:t>
      </w:r>
      <w:r>
        <w:rPr>
          <w:rFonts w:hint="eastAsia" w:hAnsi="宋体" w:cs="宋体"/>
          <w:color w:val="auto"/>
          <w:sz w:val="24"/>
        </w:rPr>
        <w:t>DVD光盘</w:t>
      </w:r>
      <w:r>
        <w:rPr>
          <w:rFonts w:hint="eastAsia" w:hAnsi="宋体" w:cs="宋体"/>
          <w:color w:val="auto"/>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rPr>
        <w:t>不符合上述制作、</w:t>
      </w:r>
      <w:r>
        <w:rPr>
          <w:rFonts w:hint="eastAsia" w:hAnsi="宋体" w:cs="宋体"/>
          <w:b/>
          <w:color w:val="auto"/>
          <w:sz w:val="24"/>
          <w:szCs w:val="24"/>
        </w:rPr>
        <w:t>存储、密封规定的备份投标文件将被视为无效或者被拒绝接收。</w:t>
      </w:r>
    </w:p>
    <w:p w14:paraId="4D0AB5CB">
      <w:pPr>
        <w:pStyle w:val="32"/>
        <w:spacing w:line="360" w:lineRule="auto"/>
        <w:ind w:firstLine="480" w:firstLineChars="200"/>
        <w:rPr>
          <w:rFonts w:hAnsi="宋体" w:cs="宋体"/>
          <w:color w:val="auto"/>
          <w:sz w:val="24"/>
          <w:szCs w:val="24"/>
        </w:rPr>
      </w:pPr>
      <w:r>
        <w:rPr>
          <w:rFonts w:hint="eastAsia" w:hAnsi="宋体" w:cs="宋体"/>
          <w:color w:val="auto"/>
          <w:sz w:val="24"/>
          <w:szCs w:val="24"/>
        </w:rPr>
        <w:t>15.3直接提交备份投标文件的，投标人应于投标截止时间前在招标公告中载明的开标地点将备份投标文件提交给采购机构，采购机构将拒绝接受逾期送达的备份投标文件。</w:t>
      </w:r>
    </w:p>
    <w:p w14:paraId="39037652">
      <w:pPr>
        <w:pStyle w:val="32"/>
        <w:spacing w:line="360" w:lineRule="auto"/>
        <w:ind w:firstLine="480" w:firstLineChars="200"/>
        <w:rPr>
          <w:rFonts w:hAnsi="宋体" w:cs="宋体"/>
          <w:color w:val="auto"/>
          <w:sz w:val="24"/>
          <w:szCs w:val="24"/>
        </w:rPr>
      </w:pPr>
      <w:r>
        <w:rPr>
          <w:rFonts w:hint="eastAsia" w:hAnsi="宋体" w:cs="宋体"/>
          <w:color w:val="auto"/>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rPr>
        <w:t>招标文件第二部分投标人须知前附表规定的备份投标文件送达地点；</w:t>
      </w:r>
      <w:r>
        <w:rPr>
          <w:rFonts w:hint="eastAsia" w:hAnsi="宋体" w:cs="宋体"/>
          <w:color w:val="auto"/>
          <w:sz w:val="24"/>
          <w:szCs w:val="24"/>
        </w:rPr>
        <w:t>送达时间以签收人签收时间为准。采购机构将拒绝接受逾期送达的备份投标文件。邮寄过程中，电子备份投标文件发生泄露、遗失、损坏或延期送达等情况的，由投标人自行负责。</w:t>
      </w:r>
    </w:p>
    <w:p w14:paraId="0F04204D">
      <w:pPr>
        <w:pStyle w:val="32"/>
        <w:spacing w:line="360" w:lineRule="auto"/>
        <w:ind w:firstLine="479" w:firstLineChars="199"/>
        <w:rPr>
          <w:rFonts w:hAnsi="宋体" w:cs="宋体"/>
          <w:b/>
          <w:color w:val="auto"/>
          <w:sz w:val="24"/>
          <w:szCs w:val="24"/>
        </w:rPr>
      </w:pPr>
      <w:r>
        <w:rPr>
          <w:rFonts w:hint="eastAsia" w:hAnsi="宋体" w:cs="宋体"/>
          <w:b/>
          <w:color w:val="auto"/>
          <w:sz w:val="24"/>
          <w:szCs w:val="24"/>
        </w:rPr>
        <w:t>15.5投标人仅提交备份投标文件，未在电子交易平台传输递交投标文件的，投标无效。</w:t>
      </w:r>
    </w:p>
    <w:p w14:paraId="0F2E695A">
      <w:pPr>
        <w:pStyle w:val="143"/>
        <w:spacing w:before="0"/>
        <w:ind w:firstLine="0" w:firstLineChars="0"/>
        <w:rPr>
          <w:rFonts w:ascii="宋体" w:hAnsi="宋体" w:cs="宋体"/>
          <w:b/>
          <w:color w:val="auto"/>
          <w:szCs w:val="24"/>
        </w:rPr>
      </w:pPr>
      <w:r>
        <w:rPr>
          <w:rFonts w:hint="eastAsia" w:ascii="宋体" w:hAnsi="宋体" w:cs="宋体"/>
          <w:b/>
          <w:color w:val="auto"/>
          <w:szCs w:val="24"/>
        </w:rPr>
        <w:t>16.投标文件的无效处理</w:t>
      </w:r>
    </w:p>
    <w:p w14:paraId="345021EB">
      <w:pPr>
        <w:pStyle w:val="24"/>
        <w:spacing w:line="360" w:lineRule="auto"/>
        <w:ind w:firstLine="360" w:firstLineChars="150"/>
        <w:rPr>
          <w:rFonts w:cs="宋体"/>
          <w:color w:val="auto"/>
          <w:szCs w:val="21"/>
        </w:rPr>
      </w:pPr>
      <w:r>
        <w:rPr>
          <w:rFonts w:hint="eastAsia" w:cs="宋体"/>
          <w:color w:val="auto"/>
          <w:szCs w:val="21"/>
        </w:rPr>
        <w:t>有招标文件第四部分</w:t>
      </w:r>
      <w:r>
        <w:rPr>
          <w:rFonts w:cs="宋体"/>
          <w:color w:val="auto"/>
        </w:rPr>
        <w:t>4.2规定</w:t>
      </w:r>
      <w:r>
        <w:rPr>
          <w:rFonts w:hint="eastAsia" w:cs="宋体"/>
          <w:color w:val="auto"/>
          <w:szCs w:val="21"/>
        </w:rPr>
        <w:t>的情形之一的，投标无效：</w:t>
      </w:r>
    </w:p>
    <w:p w14:paraId="0CBE1939">
      <w:pPr>
        <w:pStyle w:val="143"/>
        <w:spacing w:before="0"/>
        <w:ind w:firstLine="0" w:firstLineChars="0"/>
        <w:rPr>
          <w:rFonts w:ascii="宋体" w:hAnsi="宋体" w:cs="宋体"/>
          <w:b/>
          <w:color w:val="auto"/>
          <w:szCs w:val="24"/>
        </w:rPr>
      </w:pPr>
      <w:r>
        <w:rPr>
          <w:rFonts w:hint="eastAsia" w:ascii="宋体" w:hAnsi="宋体" w:cs="宋体"/>
          <w:b/>
          <w:color w:val="auto"/>
          <w:szCs w:val="24"/>
        </w:rPr>
        <w:t>17.投标有效期</w:t>
      </w:r>
    </w:p>
    <w:p w14:paraId="2AD18ED5">
      <w:pPr>
        <w:spacing w:line="360" w:lineRule="auto"/>
        <w:ind w:firstLine="480" w:firstLineChars="200"/>
        <w:rPr>
          <w:rFonts w:ascii="宋体" w:hAnsi="宋体" w:cs="宋体"/>
          <w:b/>
          <w:color w:val="auto"/>
          <w:sz w:val="24"/>
          <w:szCs w:val="21"/>
        </w:rPr>
      </w:pPr>
      <w:r>
        <w:rPr>
          <w:rFonts w:hint="eastAsia" w:ascii="宋体" w:hAnsi="宋体" w:cs="宋体"/>
          <w:color w:val="auto"/>
          <w:sz w:val="24"/>
          <w:szCs w:val="20"/>
        </w:rPr>
        <w:t>17.1投标有效期为从提交投标文件的截止之日起90天。▲</w:t>
      </w:r>
      <w:r>
        <w:rPr>
          <w:rFonts w:hint="eastAsia" w:ascii="宋体" w:hAnsi="宋体" w:cs="宋体"/>
          <w:b/>
          <w:color w:val="auto"/>
          <w:sz w:val="24"/>
          <w:szCs w:val="20"/>
        </w:rPr>
        <w:t>投标人的投标文件中承</w:t>
      </w:r>
      <w:r>
        <w:rPr>
          <w:rFonts w:hint="eastAsia" w:ascii="宋体" w:hAnsi="宋体" w:cs="宋体"/>
          <w:b/>
          <w:color w:val="auto"/>
          <w:sz w:val="24"/>
          <w:szCs w:val="21"/>
        </w:rPr>
        <w:t>诺的投标有效期少于招标文件中载明的投标有效期的，投标无效。</w:t>
      </w:r>
    </w:p>
    <w:p w14:paraId="6570B0B4">
      <w:pPr>
        <w:pStyle w:val="143"/>
        <w:spacing w:before="0"/>
        <w:ind w:firstLine="480"/>
        <w:rPr>
          <w:rFonts w:ascii="宋体" w:hAnsi="宋体" w:cs="宋体"/>
          <w:color w:val="auto"/>
        </w:rPr>
      </w:pPr>
      <w:r>
        <w:rPr>
          <w:rFonts w:hint="eastAsia" w:ascii="宋体" w:hAnsi="宋体" w:cs="宋体"/>
          <w:color w:val="auto"/>
        </w:rPr>
        <w:t>17.2投标文件合格投递后，自投标截止日期起，在投标有效期内有效。</w:t>
      </w:r>
    </w:p>
    <w:p w14:paraId="7A30F814">
      <w:pPr>
        <w:pStyle w:val="143"/>
        <w:spacing w:before="0"/>
        <w:ind w:firstLine="480"/>
        <w:rPr>
          <w:rFonts w:ascii="宋体" w:hAnsi="宋体" w:cs="宋体"/>
          <w:color w:val="auto"/>
        </w:rPr>
      </w:pPr>
      <w:r>
        <w:rPr>
          <w:rFonts w:hint="eastAsia" w:ascii="宋体" w:hAnsi="宋体" w:cs="宋体"/>
          <w:color w:val="auto"/>
        </w:rPr>
        <w:t>17.3在原定投标有效期满之前，如果出现特殊情况，采购机构可以以书面形式通知投标人延长投标有效期。投标人同意延长的，不得要求或被允许修改其投标文件，投标人拒绝延长的，其投标无效。</w:t>
      </w:r>
    </w:p>
    <w:p w14:paraId="2D961D54">
      <w:pPr>
        <w:pStyle w:val="143"/>
        <w:spacing w:before="0"/>
        <w:ind w:firstLine="480"/>
        <w:rPr>
          <w:rFonts w:ascii="宋体" w:hAnsi="宋体" w:cs="宋体"/>
          <w:color w:val="auto"/>
        </w:rPr>
      </w:pPr>
      <w:r>
        <w:rPr>
          <w:rFonts w:hint="eastAsia" w:ascii="宋体" w:hAnsi="宋体" w:cs="宋体"/>
          <w:color w:val="auto"/>
        </w:rPr>
        <w:t>17.4在投标截止时间起至投标有效期届满，供应商投标文件不可撤销。</w:t>
      </w:r>
    </w:p>
    <w:p w14:paraId="46B9B35C">
      <w:pPr>
        <w:pStyle w:val="143"/>
        <w:spacing w:before="0"/>
        <w:ind w:firstLine="643"/>
        <w:rPr>
          <w:rFonts w:ascii="宋体" w:hAnsi="宋体" w:cs="宋体"/>
          <w:b/>
          <w:color w:val="auto"/>
          <w:sz w:val="32"/>
        </w:rPr>
      </w:pPr>
    </w:p>
    <w:p w14:paraId="03D82DBD">
      <w:pPr>
        <w:pStyle w:val="143"/>
        <w:spacing w:before="0"/>
        <w:ind w:firstLine="3534" w:firstLineChars="1100"/>
        <w:rPr>
          <w:rFonts w:ascii="宋体" w:hAnsi="宋体" w:cs="宋体"/>
          <w:b/>
          <w:color w:val="auto"/>
          <w:sz w:val="32"/>
        </w:rPr>
      </w:pPr>
      <w:r>
        <w:rPr>
          <w:rFonts w:hint="eastAsia" w:ascii="宋体" w:hAnsi="宋体" w:cs="宋体"/>
          <w:b/>
          <w:color w:val="auto"/>
          <w:sz w:val="32"/>
        </w:rPr>
        <w:t>四、开标</w:t>
      </w:r>
    </w:p>
    <w:p w14:paraId="3FC9B288">
      <w:pPr>
        <w:pStyle w:val="562"/>
        <w:spacing w:before="0" w:line="360" w:lineRule="auto"/>
        <w:ind w:left="0" w:firstLine="241" w:firstLineChars="100"/>
        <w:contextualSpacing/>
        <w:rPr>
          <w:rFonts w:ascii="宋体" w:hAnsi="宋体" w:cs="宋体"/>
          <w:color w:val="auto"/>
          <w:sz w:val="24"/>
        </w:rPr>
      </w:pPr>
      <w:r>
        <w:rPr>
          <w:rFonts w:hint="eastAsia" w:ascii="宋体" w:hAnsi="宋体" w:cs="宋体"/>
          <w:b/>
          <w:color w:val="auto"/>
          <w:sz w:val="24"/>
          <w:szCs w:val="24"/>
        </w:rPr>
        <w:t>18.开标</w:t>
      </w:r>
      <w:r>
        <w:rPr>
          <w:rFonts w:hint="eastAsia" w:ascii="宋体" w:hAnsi="宋体" w:cs="宋体"/>
          <w:color w:val="auto"/>
          <w:sz w:val="24"/>
        </w:rPr>
        <w:t xml:space="preserve"> </w:t>
      </w:r>
    </w:p>
    <w:p w14:paraId="1BBC826E">
      <w:pPr>
        <w:pStyle w:val="562"/>
        <w:spacing w:before="0" w:line="360" w:lineRule="auto"/>
        <w:ind w:left="0" w:firstLine="480" w:firstLineChars="200"/>
        <w:contextualSpacing/>
        <w:rPr>
          <w:rFonts w:ascii="宋体" w:hAnsi="宋体" w:cs="宋体"/>
          <w:color w:val="auto"/>
          <w:sz w:val="24"/>
        </w:rPr>
      </w:pPr>
      <w:r>
        <w:rPr>
          <w:rFonts w:hint="eastAsia" w:ascii="宋体" w:hAnsi="宋体" w:cs="宋体"/>
          <w:color w:val="auto"/>
          <w:sz w:val="24"/>
        </w:rPr>
        <w:t>18.1采购机构按照招标文件规定的时间通过电子交易平台组织开标，所有投标人均应当准时在线参加。投标人不足3家的，不得开标。</w:t>
      </w:r>
    </w:p>
    <w:p w14:paraId="3F69CE54">
      <w:pPr>
        <w:pStyle w:val="562"/>
        <w:spacing w:before="0" w:line="360" w:lineRule="auto"/>
        <w:ind w:left="0" w:firstLine="240" w:firstLineChars="100"/>
        <w:contextualSpacing/>
        <w:rPr>
          <w:rFonts w:ascii="宋体" w:hAnsi="宋体" w:cs="宋体"/>
          <w:color w:val="auto"/>
          <w:sz w:val="24"/>
        </w:rPr>
      </w:pPr>
      <w:r>
        <w:rPr>
          <w:rFonts w:hint="eastAsia" w:ascii="宋体" w:hAnsi="宋体" w:cs="宋体"/>
          <w:color w:val="auto"/>
          <w:sz w:val="24"/>
        </w:rPr>
        <w:t>　18.2开标时，电子交易平台按开标时间自动提取所有投标文件。采购机构依托电子交易平台发起开始解密指令，投标人按照平台提示和招标文件的规定在半小时内完成在线解密。</w:t>
      </w:r>
    </w:p>
    <w:p w14:paraId="7E1158F3">
      <w:pPr>
        <w:pStyle w:val="562"/>
        <w:spacing w:before="0" w:line="360" w:lineRule="auto"/>
        <w:ind w:left="0" w:firstLine="240" w:firstLineChars="100"/>
        <w:contextualSpacing/>
        <w:rPr>
          <w:rFonts w:ascii="宋体" w:hAnsi="宋体" w:cs="宋体"/>
          <w:b/>
          <w:color w:val="auto"/>
          <w:sz w:val="24"/>
        </w:rPr>
      </w:pPr>
      <w:r>
        <w:rPr>
          <w:rFonts w:hint="eastAsia" w:ascii="宋体" w:hAnsi="宋体" w:cs="宋体"/>
          <w:color w:val="auto"/>
          <w:sz w:val="24"/>
        </w:rPr>
        <w:t>　18.3</w:t>
      </w:r>
      <w:r>
        <w:rPr>
          <w:rFonts w:hint="eastAsia" w:ascii="宋体" w:hAnsi="宋体" w:cs="宋体"/>
          <w:b/>
          <w:color w:val="auto"/>
          <w:sz w:val="24"/>
        </w:rPr>
        <w:t>投标文件未按时解密，投标人提供了备份投标文件的，以备份投标文件作为依据，否则视为投标文件撤回。投标文件已按时解密的，备份投标文件自动失效。</w:t>
      </w:r>
    </w:p>
    <w:p w14:paraId="5F3ACE21">
      <w:pPr>
        <w:widowControl/>
        <w:spacing w:before="100" w:beforeAutospacing="1" w:after="240" w:line="360" w:lineRule="auto"/>
        <w:jc w:val="center"/>
        <w:rPr>
          <w:rFonts w:ascii="宋体" w:hAnsi="宋体" w:cs="宋体"/>
          <w:b/>
          <w:color w:val="auto"/>
          <w:sz w:val="32"/>
        </w:rPr>
      </w:pPr>
      <w:r>
        <w:rPr>
          <w:rFonts w:hint="eastAsia" w:ascii="宋体" w:hAnsi="宋体" w:cs="宋体"/>
          <w:b/>
          <w:color w:val="auto"/>
          <w:sz w:val="24"/>
          <w:szCs w:val="20"/>
        </w:rPr>
        <w:t>　</w:t>
      </w:r>
      <w:r>
        <w:rPr>
          <w:rFonts w:hint="eastAsia" w:ascii="宋体" w:hAnsi="宋体" w:cs="宋体"/>
          <w:b/>
          <w:color w:val="auto"/>
          <w:sz w:val="36"/>
          <w:szCs w:val="36"/>
        </w:rPr>
        <w:t>五、资格审查</w:t>
      </w:r>
    </w:p>
    <w:p w14:paraId="74B399C3">
      <w:pPr>
        <w:widowControl/>
        <w:spacing w:before="100" w:beforeAutospacing="1" w:after="240" w:line="360" w:lineRule="auto"/>
        <w:jc w:val="left"/>
        <w:rPr>
          <w:rFonts w:ascii="宋体" w:hAnsi="宋体" w:cs="宋体"/>
          <w:b/>
          <w:color w:val="auto"/>
          <w:sz w:val="24"/>
          <w:szCs w:val="20"/>
        </w:rPr>
      </w:pPr>
      <w:r>
        <w:rPr>
          <w:rFonts w:hint="eastAsia" w:ascii="宋体" w:hAnsi="宋体" w:cs="宋体"/>
          <w:b/>
          <w:color w:val="auto"/>
          <w:sz w:val="24"/>
          <w:szCs w:val="20"/>
        </w:rPr>
        <w:t>19、资格审查</w:t>
      </w:r>
    </w:p>
    <w:p w14:paraId="20E52FBD">
      <w:pPr>
        <w:pStyle w:val="143"/>
        <w:spacing w:before="0"/>
        <w:ind w:firstLine="480"/>
        <w:rPr>
          <w:rFonts w:ascii="宋体" w:hAnsi="宋体" w:cs="宋体"/>
          <w:color w:val="auto"/>
          <w:kern w:val="0"/>
          <w:szCs w:val="24"/>
        </w:rPr>
      </w:pPr>
      <w:r>
        <w:rPr>
          <w:rFonts w:hint="eastAsia" w:ascii="宋体" w:hAnsi="宋体" w:cs="宋体"/>
          <w:color w:val="auto"/>
          <w:kern w:val="0"/>
          <w:szCs w:val="24"/>
        </w:rPr>
        <w:t>19.1开标后，采购人将依据法律法规和招标文件的规定，对投标人的资格进行审查。</w:t>
      </w:r>
    </w:p>
    <w:p w14:paraId="6BB3AC6B">
      <w:pPr>
        <w:pStyle w:val="143"/>
        <w:spacing w:before="0"/>
        <w:ind w:firstLine="480"/>
        <w:rPr>
          <w:rFonts w:ascii="宋体" w:hAnsi="宋体" w:cs="宋体"/>
          <w:color w:val="auto"/>
        </w:rPr>
      </w:pPr>
      <w:r>
        <w:rPr>
          <w:rFonts w:hint="eastAsia" w:ascii="宋体" w:hAnsi="宋体" w:cs="宋体"/>
          <w:color w:val="auto"/>
          <w:kern w:val="0"/>
          <w:szCs w:val="24"/>
        </w:rPr>
        <w:t>19.2投标人未按照招标文件要求提供与</w:t>
      </w:r>
      <w:r>
        <w:rPr>
          <w:rFonts w:hint="eastAsia" w:ascii="宋体" w:hAnsi="宋体" w:cs="宋体"/>
          <w:color w:val="auto"/>
        </w:rPr>
        <w:t>资格条件相应的</w:t>
      </w:r>
      <w:r>
        <w:rPr>
          <w:rFonts w:hint="eastAsia" w:ascii="宋体" w:hAnsi="宋体" w:cs="宋体"/>
          <w:color w:val="auto"/>
          <w:kern w:val="0"/>
          <w:szCs w:val="24"/>
        </w:rPr>
        <w:t>有效资格证明材料的，视为</w:t>
      </w:r>
      <w:r>
        <w:rPr>
          <w:rFonts w:hint="eastAsia" w:ascii="宋体" w:hAnsi="宋体" w:cs="宋体"/>
          <w:color w:val="auto"/>
        </w:rPr>
        <w:t>投标人不具备招标文件中规定的资格要求，其投标无效。</w:t>
      </w:r>
    </w:p>
    <w:p w14:paraId="383CAC6C">
      <w:pPr>
        <w:pStyle w:val="143"/>
        <w:spacing w:before="0"/>
        <w:ind w:firstLine="480"/>
        <w:rPr>
          <w:rFonts w:ascii="宋体" w:hAnsi="宋体" w:cs="宋体"/>
          <w:color w:val="auto"/>
        </w:rPr>
      </w:pPr>
      <w:r>
        <w:rPr>
          <w:rFonts w:hint="eastAsia" w:ascii="宋体" w:hAnsi="宋体" w:cs="宋体"/>
          <w:color w:val="auto"/>
          <w:kern w:val="0"/>
          <w:szCs w:val="24"/>
        </w:rPr>
        <w:t>19.</w:t>
      </w:r>
      <w:r>
        <w:rPr>
          <w:rFonts w:hint="eastAsia" w:ascii="宋体" w:hAnsi="宋体" w:cs="宋体"/>
          <w:color w:val="auto"/>
        </w:rPr>
        <w:t>3对未通过资格审查的投标人，告知其未通过的原因。</w:t>
      </w:r>
    </w:p>
    <w:p w14:paraId="4426F683">
      <w:pPr>
        <w:pStyle w:val="143"/>
        <w:spacing w:before="0"/>
        <w:ind w:firstLine="480"/>
        <w:rPr>
          <w:rFonts w:ascii="宋体" w:hAnsi="宋体" w:cs="宋体"/>
          <w:color w:val="auto"/>
        </w:rPr>
      </w:pPr>
      <w:r>
        <w:rPr>
          <w:rFonts w:hint="eastAsia" w:ascii="宋体" w:hAnsi="宋体" w:cs="宋体"/>
          <w:color w:val="auto"/>
          <w:kern w:val="0"/>
          <w:szCs w:val="24"/>
        </w:rPr>
        <w:t>19.</w:t>
      </w:r>
      <w:r>
        <w:rPr>
          <w:rFonts w:hint="eastAsia" w:ascii="宋体" w:hAnsi="宋体" w:cs="宋体"/>
          <w:color w:val="auto"/>
        </w:rPr>
        <w:t>4合格投标人不足3家的，不再评标。</w:t>
      </w:r>
    </w:p>
    <w:p w14:paraId="63CAE70C">
      <w:pPr>
        <w:pStyle w:val="143"/>
        <w:spacing w:before="0"/>
        <w:ind w:firstLine="241" w:firstLineChars="100"/>
        <w:rPr>
          <w:rFonts w:ascii="宋体" w:hAnsi="宋体" w:cs="宋体"/>
          <w:b/>
          <w:color w:val="auto"/>
          <w:szCs w:val="24"/>
        </w:rPr>
      </w:pPr>
      <w:r>
        <w:rPr>
          <w:rFonts w:hint="eastAsia" w:ascii="宋体" w:hAnsi="宋体" w:cs="宋体"/>
          <w:b/>
          <w:color w:val="auto"/>
          <w:szCs w:val="24"/>
        </w:rPr>
        <w:t>20、信用信息查询</w:t>
      </w:r>
    </w:p>
    <w:p w14:paraId="0EA6BE50">
      <w:pPr>
        <w:pStyle w:val="143"/>
        <w:spacing w:before="0"/>
        <w:ind w:firstLine="495" w:firstLineChars="0"/>
        <w:rPr>
          <w:rFonts w:ascii="宋体" w:hAnsi="宋体" w:cs="宋体"/>
          <w:color w:val="auto"/>
          <w:kern w:val="0"/>
          <w:szCs w:val="24"/>
        </w:rPr>
      </w:pPr>
      <w:r>
        <w:rPr>
          <w:rFonts w:hint="eastAsia" w:ascii="宋体" w:hAnsi="宋体" w:cs="宋体"/>
          <w:color w:val="auto"/>
          <w:kern w:val="0"/>
          <w:szCs w:val="24"/>
        </w:rPr>
        <w:t>20.1信用信息查询渠道及截止时间：采购人将在资格审查时通过“信用中国”网站(www.creditchina.gov.cn)、中国政府采购网(www.ccgp.gov.cn)渠道查询投标人接受资格审查时的信用记录。</w:t>
      </w:r>
    </w:p>
    <w:p w14:paraId="4F153700">
      <w:pPr>
        <w:pStyle w:val="143"/>
        <w:spacing w:before="0"/>
        <w:ind w:firstLine="495" w:firstLineChars="0"/>
        <w:rPr>
          <w:rFonts w:ascii="宋体" w:hAnsi="宋体" w:cs="宋体"/>
          <w:color w:val="auto"/>
          <w:kern w:val="0"/>
          <w:szCs w:val="24"/>
        </w:rPr>
      </w:pPr>
      <w:r>
        <w:rPr>
          <w:rFonts w:hint="eastAsia" w:ascii="宋体" w:hAnsi="宋体" w:cs="宋体"/>
          <w:color w:val="auto"/>
          <w:kern w:val="0"/>
          <w:szCs w:val="24"/>
        </w:rPr>
        <w:t>20.2信用信息查询记录和证据留存的具体方式：现场查询的投标人的信用记录、查询结果经确认后将与采购文件一起存档。</w:t>
      </w:r>
    </w:p>
    <w:p w14:paraId="41358EE5">
      <w:pPr>
        <w:pStyle w:val="143"/>
        <w:spacing w:before="0"/>
        <w:ind w:firstLine="495" w:firstLineChars="0"/>
        <w:rPr>
          <w:rFonts w:ascii="宋体" w:hAnsi="宋体" w:cs="宋体"/>
          <w:color w:val="auto"/>
          <w:kern w:val="0"/>
          <w:szCs w:val="24"/>
        </w:rPr>
      </w:pPr>
      <w:r>
        <w:rPr>
          <w:rFonts w:hint="eastAsia" w:ascii="宋体" w:hAnsi="宋体" w:cs="宋体"/>
          <w:color w:val="auto"/>
          <w:kern w:val="0"/>
          <w:szCs w:val="24"/>
        </w:rPr>
        <w:t>20.3信用信息的使用规则：经查询列入失信被执行人名单、重大税收违法案件当事人名单、政府采购严重违法失信行为记录名单的投标人将被拒绝参与政府采购活动。</w:t>
      </w:r>
    </w:p>
    <w:p w14:paraId="0173DA2B">
      <w:pPr>
        <w:pStyle w:val="143"/>
        <w:spacing w:before="0"/>
        <w:ind w:firstLine="480"/>
        <w:rPr>
          <w:rFonts w:ascii="宋体" w:hAnsi="宋体" w:cs="宋体"/>
          <w:color w:val="auto"/>
        </w:rPr>
      </w:pPr>
      <w:r>
        <w:rPr>
          <w:rFonts w:hint="eastAsia" w:ascii="宋体" w:hAnsi="宋体" w:cs="宋体"/>
          <w:color w:val="auto"/>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rPr>
        <w:t>。</w:t>
      </w:r>
    </w:p>
    <w:p w14:paraId="06D2BB99">
      <w:pPr>
        <w:pStyle w:val="143"/>
        <w:spacing w:before="0"/>
        <w:ind w:firstLine="0" w:firstLineChars="0"/>
        <w:rPr>
          <w:rFonts w:ascii="宋体" w:hAnsi="宋体" w:cs="宋体"/>
          <w:color w:val="auto"/>
          <w:kern w:val="0"/>
          <w:szCs w:val="24"/>
        </w:rPr>
      </w:pPr>
    </w:p>
    <w:p w14:paraId="56B09424">
      <w:pPr>
        <w:snapToGrid w:val="0"/>
        <w:spacing w:line="360" w:lineRule="auto"/>
        <w:jc w:val="center"/>
        <w:outlineLvl w:val="0"/>
        <w:rPr>
          <w:rFonts w:ascii="宋体" w:hAnsi="宋体" w:cs="宋体"/>
          <w:b/>
          <w:color w:val="auto"/>
          <w:sz w:val="36"/>
          <w:szCs w:val="36"/>
        </w:rPr>
      </w:pPr>
      <w:r>
        <w:rPr>
          <w:rFonts w:hint="eastAsia" w:ascii="宋体" w:hAnsi="宋体" w:cs="宋体"/>
          <w:b/>
          <w:color w:val="auto"/>
          <w:sz w:val="36"/>
          <w:szCs w:val="36"/>
        </w:rPr>
        <w:t>六、评标</w:t>
      </w:r>
    </w:p>
    <w:p w14:paraId="12184E74">
      <w:pPr>
        <w:spacing w:line="360" w:lineRule="auto"/>
        <w:rPr>
          <w:rFonts w:ascii="宋体" w:hAnsi="宋体" w:cs="宋体"/>
          <w:b/>
          <w:color w:val="auto"/>
          <w:sz w:val="24"/>
        </w:rPr>
      </w:pPr>
      <w:bookmarkStart w:id="19" w:name="_Toc91899903"/>
      <w:r>
        <w:rPr>
          <w:rFonts w:hint="eastAsia" w:ascii="宋体" w:hAnsi="宋体" w:cs="宋体"/>
          <w:b/>
          <w:color w:val="auto"/>
          <w:sz w:val="24"/>
        </w:rPr>
        <w:t>21.</w:t>
      </w:r>
      <w:r>
        <w:rPr>
          <w:rFonts w:hint="eastAsia" w:ascii="宋体" w:hAnsi="宋体" w:cs="宋体"/>
          <w:color w:val="auto"/>
        </w:rPr>
        <w:t xml:space="preserve"> </w:t>
      </w:r>
      <w:r>
        <w:rPr>
          <w:rFonts w:hint="eastAsia" w:ascii="宋体" w:hAnsi="宋体" w:cs="宋体"/>
          <w:color w:val="auto"/>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rPr>
        <w:t>详见招标文件第四部分评标办法。</w:t>
      </w:r>
    </w:p>
    <w:p w14:paraId="502A1946">
      <w:pPr>
        <w:spacing w:line="360" w:lineRule="auto"/>
        <w:rPr>
          <w:rFonts w:ascii="宋体" w:hAnsi="宋体" w:cs="宋体"/>
          <w:b/>
          <w:color w:val="auto"/>
          <w:sz w:val="24"/>
        </w:rPr>
      </w:pPr>
    </w:p>
    <w:p w14:paraId="0E0FEED3">
      <w:pPr>
        <w:snapToGrid w:val="0"/>
        <w:spacing w:line="360" w:lineRule="auto"/>
        <w:jc w:val="center"/>
        <w:outlineLvl w:val="0"/>
        <w:rPr>
          <w:rFonts w:ascii="宋体" w:hAnsi="宋体" w:cs="宋体"/>
          <w:b/>
          <w:color w:val="auto"/>
          <w:sz w:val="36"/>
          <w:szCs w:val="36"/>
        </w:rPr>
      </w:pPr>
      <w:r>
        <w:rPr>
          <w:rFonts w:hint="eastAsia" w:ascii="宋体" w:hAnsi="宋体" w:cs="宋体"/>
          <w:b/>
          <w:color w:val="auto"/>
          <w:sz w:val="36"/>
          <w:szCs w:val="36"/>
        </w:rPr>
        <w:t>七、定 标</w:t>
      </w:r>
    </w:p>
    <w:p w14:paraId="186FABC5">
      <w:pPr>
        <w:pStyle w:val="24"/>
        <w:spacing w:line="360" w:lineRule="auto"/>
        <w:ind w:left="479" w:hanging="479" w:hangingChars="199"/>
        <w:rPr>
          <w:rFonts w:cs="宋体"/>
          <w:b/>
          <w:color w:val="auto"/>
        </w:rPr>
      </w:pPr>
      <w:r>
        <w:rPr>
          <w:rFonts w:hint="eastAsia" w:cs="宋体"/>
          <w:b/>
          <w:color w:val="auto"/>
        </w:rPr>
        <w:t>22. 确定中标供应商</w:t>
      </w:r>
    </w:p>
    <w:p w14:paraId="5981C9E3">
      <w:pPr>
        <w:pStyle w:val="143"/>
        <w:snapToGrid w:val="0"/>
        <w:spacing w:before="0"/>
        <w:ind w:firstLine="480"/>
        <w:rPr>
          <w:rFonts w:ascii="宋体" w:hAnsi="宋体" w:cs="宋体"/>
          <w:color w:val="auto"/>
          <w:szCs w:val="24"/>
        </w:rPr>
      </w:pPr>
      <w:r>
        <w:rPr>
          <w:rFonts w:hint="eastAsia" w:ascii="宋体" w:hAnsi="宋体" w:cs="宋体"/>
          <w:color w:val="auto"/>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通知书和中标结果公告应当在规定时间内同时发出。</w:t>
      </w:r>
    </w:p>
    <w:p w14:paraId="449C8991">
      <w:pPr>
        <w:pStyle w:val="143"/>
        <w:snapToGrid w:val="0"/>
        <w:spacing w:before="0"/>
        <w:ind w:firstLine="0" w:firstLineChars="0"/>
        <w:rPr>
          <w:rFonts w:ascii="宋体" w:hAnsi="宋体" w:cs="宋体"/>
          <w:b/>
          <w:color w:val="auto"/>
          <w:szCs w:val="24"/>
        </w:rPr>
      </w:pPr>
      <w:r>
        <w:rPr>
          <w:rFonts w:hint="eastAsia" w:ascii="宋体" w:hAnsi="宋体" w:cs="宋体"/>
          <w:b/>
          <w:color w:val="auto"/>
          <w:szCs w:val="24"/>
        </w:rPr>
        <w:t>23. 中标通知与中标结果公告</w:t>
      </w:r>
    </w:p>
    <w:p w14:paraId="417A194D">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23.1自中标人确定之日起2个工作日内，采购机构通过电子交易平台向中标人发出中标通知书，同时编制发布采购结果公告。采购机构也可以以纸质形式进行中标通知。</w:t>
      </w:r>
    </w:p>
    <w:p w14:paraId="1E148E39">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23.2中标结果公告内容包括采购人及其委托的采购机构的名称、地址、联系方式，项目名称和项目编号，中标人名称、地址和中标金额，主要中标标的的名称、规格型号、数量、单价、服务要求，中标公告期限以及评审专家名单。</w:t>
      </w:r>
    </w:p>
    <w:p w14:paraId="5A197952">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23.3公告期限为1个工作日。</w:t>
      </w:r>
    </w:p>
    <w:p w14:paraId="19BB6A79">
      <w:pPr>
        <w:pStyle w:val="3"/>
        <w:tabs>
          <w:tab w:val="clear" w:pos="432"/>
        </w:tabs>
        <w:ind w:left="12" w:hanging="12"/>
        <w:rPr>
          <w:rFonts w:ascii="宋体" w:hAnsi="宋体" w:eastAsia="宋体" w:cs="仿宋_GB2312"/>
          <w:b w:val="0"/>
          <w:bCs w:val="0"/>
          <w:color w:val="auto"/>
          <w:sz w:val="24"/>
          <w:szCs w:val="24"/>
        </w:rPr>
      </w:pPr>
      <w:r>
        <w:rPr>
          <w:rFonts w:ascii="宋体" w:hAnsi="宋体" w:eastAsia="宋体" w:cs="仿宋_GB2312"/>
          <w:color w:val="auto"/>
          <w:sz w:val="24"/>
          <w:szCs w:val="24"/>
        </w:rPr>
        <w:t>24.</w:t>
      </w:r>
      <w:r>
        <w:rPr>
          <w:rFonts w:hint="eastAsia" w:ascii="宋体" w:hAnsi="宋体" w:eastAsia="宋体" w:cs="宋体"/>
          <w:color w:val="auto"/>
          <w:sz w:val="24"/>
          <w:szCs w:val="24"/>
          <w:lang w:val="en-US"/>
        </w:rPr>
        <w:t>投标</w:t>
      </w:r>
      <w:r>
        <w:rPr>
          <w:rFonts w:hint="eastAsia" w:ascii="宋体" w:hAnsi="宋体" w:eastAsia="宋体" w:cs="宋体"/>
          <w:color w:val="auto"/>
          <w:sz w:val="24"/>
          <w:szCs w:val="24"/>
        </w:rPr>
        <w:t>材料</w:t>
      </w:r>
      <w:r>
        <w:rPr>
          <w:rFonts w:hint="eastAsia" w:ascii="宋体" w:hAnsi="宋体" w:eastAsia="宋体" w:cs="宋体"/>
          <w:color w:val="auto"/>
          <w:sz w:val="24"/>
          <w:szCs w:val="24"/>
          <w:lang w:val="en-US"/>
        </w:rPr>
        <w:t>复核</w:t>
      </w:r>
      <w:r>
        <w:rPr>
          <w:rFonts w:hint="eastAsia" w:ascii="宋体" w:hAnsi="宋体" w:eastAsia="宋体" w:cs="宋体"/>
          <w:color w:val="auto"/>
          <w:sz w:val="24"/>
          <w:szCs w:val="24"/>
        </w:rPr>
        <w:t>。</w:t>
      </w:r>
      <w:r>
        <w:rPr>
          <w:rFonts w:hint="eastAsia" w:ascii="宋体" w:hAnsi="宋体" w:eastAsia="宋体" w:cs="宋体"/>
          <w:b w:val="0"/>
          <w:bCs w:val="0"/>
          <w:color w:val="auto"/>
          <w:sz w:val="24"/>
          <w:szCs w:val="24"/>
        </w:rPr>
        <w:t>在评审结束后、</w:t>
      </w:r>
      <w:r>
        <w:rPr>
          <w:rFonts w:hint="eastAsia" w:ascii="宋体" w:hAnsi="宋体" w:eastAsia="宋体" w:cs="宋体"/>
          <w:b w:val="0"/>
          <w:bCs w:val="0"/>
          <w:color w:val="auto"/>
          <w:sz w:val="24"/>
          <w:szCs w:val="24"/>
          <w:lang w:val="en-US"/>
        </w:rPr>
        <w:t>确认采购结果</w:t>
      </w:r>
      <w:r>
        <w:rPr>
          <w:rFonts w:hint="eastAsia" w:ascii="宋体" w:hAnsi="宋体" w:eastAsia="宋体" w:cs="宋体"/>
          <w:b w:val="0"/>
          <w:bCs w:val="0"/>
          <w:color w:val="auto"/>
          <w:sz w:val="24"/>
          <w:szCs w:val="24"/>
        </w:rPr>
        <w:t>前，采购人</w:t>
      </w:r>
      <w:r>
        <w:rPr>
          <w:rFonts w:hint="eastAsia" w:ascii="宋体" w:hAnsi="宋体" w:eastAsia="宋体" w:cs="宋体"/>
          <w:b w:val="0"/>
          <w:bCs w:val="0"/>
          <w:color w:val="auto"/>
          <w:sz w:val="24"/>
          <w:szCs w:val="24"/>
          <w:lang w:val="en-US"/>
        </w:rPr>
        <w:t>将</w:t>
      </w:r>
      <w:r>
        <w:rPr>
          <w:rFonts w:hint="eastAsia" w:ascii="宋体" w:hAnsi="宋体" w:eastAsia="宋体" w:cs="宋体"/>
          <w:b w:val="0"/>
          <w:bCs w:val="0"/>
          <w:color w:val="auto"/>
          <w:sz w:val="24"/>
          <w:szCs w:val="24"/>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color w:val="auto"/>
          <w:sz w:val="24"/>
          <w:szCs w:val="24"/>
          <w:lang w:val="en-US"/>
        </w:rPr>
        <w:t>。中标供应商须</w:t>
      </w:r>
      <w:r>
        <w:rPr>
          <w:rFonts w:hint="eastAsia" w:ascii="宋体" w:hAnsi="宋体" w:cs="宋体"/>
          <w:b w:val="0"/>
          <w:bCs w:val="0"/>
          <w:color w:val="auto"/>
          <w:sz w:val="24"/>
          <w:szCs w:val="24"/>
          <w:lang w:val="en-US"/>
        </w:rPr>
        <w:t>积极</w:t>
      </w:r>
      <w:r>
        <w:rPr>
          <w:rFonts w:hint="eastAsia" w:ascii="宋体" w:hAnsi="宋体" w:eastAsia="宋体" w:cs="宋体"/>
          <w:b w:val="0"/>
          <w:bCs w:val="0"/>
          <w:color w:val="auto"/>
          <w:sz w:val="24"/>
          <w:szCs w:val="24"/>
          <w:lang w:val="en-US"/>
        </w:rPr>
        <w:t>配合做好相关复核工作，不配合相关复核工作的自行承担不利后果</w:t>
      </w:r>
      <w:r>
        <w:rPr>
          <w:rFonts w:ascii="宋体" w:hAnsi="宋体" w:eastAsia="宋体" w:cs="仿宋_GB2312"/>
          <w:b w:val="0"/>
          <w:bCs w:val="0"/>
          <w:color w:val="auto"/>
          <w:sz w:val="24"/>
          <w:szCs w:val="24"/>
        </w:rPr>
        <w:t>。</w:t>
      </w:r>
    </w:p>
    <w:p w14:paraId="3455584A">
      <w:pPr>
        <w:rPr>
          <w:color w:val="auto"/>
        </w:rPr>
      </w:pPr>
    </w:p>
    <w:p w14:paraId="2CB9D6FA">
      <w:pPr>
        <w:snapToGrid w:val="0"/>
        <w:spacing w:line="360" w:lineRule="auto"/>
        <w:ind w:left="120" w:leftChars="57" w:firstLine="482" w:firstLineChars="150"/>
        <w:jc w:val="center"/>
        <w:rPr>
          <w:rFonts w:ascii="宋体" w:hAnsi="宋体" w:cs="宋体"/>
          <w:b/>
          <w:color w:val="auto"/>
          <w:sz w:val="32"/>
        </w:rPr>
      </w:pPr>
      <w:r>
        <w:rPr>
          <w:rFonts w:hint="eastAsia" w:ascii="宋体" w:hAnsi="宋体" w:cs="宋体"/>
          <w:b/>
          <w:color w:val="auto"/>
          <w:sz w:val="32"/>
        </w:rPr>
        <w:t>八、合同授予</w:t>
      </w:r>
    </w:p>
    <w:p w14:paraId="380507EC">
      <w:pPr>
        <w:pStyle w:val="24"/>
        <w:spacing w:line="360" w:lineRule="auto"/>
        <w:ind w:left="479" w:hanging="479" w:hangingChars="199"/>
        <w:rPr>
          <w:rFonts w:cs="宋体"/>
          <w:b/>
          <w:color w:val="auto"/>
        </w:rPr>
      </w:pPr>
      <w:r>
        <w:rPr>
          <w:rFonts w:hint="eastAsia" w:cs="宋体"/>
          <w:b/>
          <w:color w:val="auto"/>
        </w:rPr>
        <w:t xml:space="preserve">25. </w:t>
      </w:r>
      <w:r>
        <w:rPr>
          <w:rFonts w:hint="eastAsia" w:cs="宋体"/>
          <w:color w:val="auto"/>
        </w:rPr>
        <w:t>合同主要条款详见第五部分拟签订的合同文本。</w:t>
      </w:r>
    </w:p>
    <w:p w14:paraId="771E5871">
      <w:pPr>
        <w:pStyle w:val="24"/>
        <w:spacing w:line="360" w:lineRule="auto"/>
        <w:ind w:left="479" w:hanging="479" w:hangingChars="199"/>
        <w:rPr>
          <w:rFonts w:cs="宋体"/>
          <w:b/>
          <w:color w:val="auto"/>
        </w:rPr>
      </w:pPr>
      <w:r>
        <w:rPr>
          <w:rFonts w:hint="eastAsia" w:cs="宋体"/>
          <w:b/>
          <w:color w:val="auto"/>
        </w:rPr>
        <w:t>26. 合同的签订</w:t>
      </w:r>
    </w:p>
    <w:p w14:paraId="3F98BA2E">
      <w:pPr>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sz w:val="24"/>
        </w:rPr>
        <w:t>26.1</w:t>
      </w:r>
      <w:r>
        <w:rPr>
          <w:rFonts w:hint="eastAsia" w:ascii="宋体" w:hAnsi="宋体" w:cs="宋体"/>
          <w:color w:val="auto"/>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136482E1">
      <w:pPr>
        <w:pStyle w:val="143"/>
        <w:snapToGrid w:val="0"/>
        <w:spacing w:before="0"/>
        <w:ind w:firstLine="480"/>
        <w:rPr>
          <w:rFonts w:ascii="宋体" w:hAnsi="宋体" w:cs="宋体"/>
          <w:color w:val="auto"/>
          <w:kern w:val="0"/>
        </w:rPr>
      </w:pPr>
      <w:r>
        <w:rPr>
          <w:rFonts w:hint="eastAsia" w:ascii="宋体" w:hAnsi="宋体" w:cs="宋体"/>
          <w:color w:val="auto"/>
          <w:kern w:val="0"/>
          <w:lang w:val="zh-CN"/>
        </w:rPr>
        <w:t>2</w:t>
      </w:r>
      <w:r>
        <w:rPr>
          <w:rFonts w:hint="eastAsia" w:ascii="宋体" w:hAnsi="宋体" w:cs="宋体"/>
          <w:color w:val="auto"/>
          <w:kern w:val="0"/>
        </w:rPr>
        <w:t>6</w:t>
      </w:r>
      <w:r>
        <w:rPr>
          <w:rFonts w:hint="eastAsia" w:ascii="宋体" w:hAnsi="宋体" w:cs="宋体"/>
          <w:color w:val="auto"/>
          <w:kern w:val="0"/>
          <w:lang w:val="zh-CN"/>
        </w:rPr>
        <w:t>.2中标人按规定的日期、时间、地点，由法定代表人或其授权代表与采购人代表签订合同。如中标人为联合体的，由联合体成员各方法定代表人或其授权代表与采购人代表签订合同。</w:t>
      </w:r>
    </w:p>
    <w:p w14:paraId="34A0C34F">
      <w:pPr>
        <w:pStyle w:val="143"/>
        <w:snapToGrid w:val="0"/>
        <w:spacing w:before="0"/>
        <w:ind w:firstLine="480"/>
        <w:rPr>
          <w:rFonts w:ascii="宋体" w:hAnsi="宋体" w:cs="宋体"/>
          <w:color w:val="auto"/>
        </w:rPr>
      </w:pPr>
      <w:r>
        <w:rPr>
          <w:rFonts w:hint="eastAsia" w:ascii="宋体" w:hAnsi="宋体" w:cs="宋体"/>
          <w:color w:val="auto"/>
        </w:rPr>
        <w:t>26.3如签订合同并生效后，供应商无故拒绝或延期，除按照合同条款处理外，列入不良行为记录一次，并给予通报。</w:t>
      </w:r>
    </w:p>
    <w:p w14:paraId="251557AD">
      <w:pPr>
        <w:pStyle w:val="143"/>
        <w:snapToGrid w:val="0"/>
        <w:spacing w:before="0"/>
        <w:ind w:firstLine="480"/>
        <w:rPr>
          <w:rFonts w:ascii="宋体" w:hAnsi="宋体" w:cs="宋体"/>
          <w:color w:val="auto"/>
        </w:rPr>
      </w:pPr>
      <w:r>
        <w:rPr>
          <w:rFonts w:hint="eastAsia" w:ascii="宋体" w:hAnsi="宋体" w:cs="宋体"/>
          <w:color w:val="auto"/>
        </w:rPr>
        <w:t>26.4中标供应商拒绝与采购人签订合同的，采购人可以按照评审报告推荐的中标或者成交候选人名单排序，确定下一候选人为中标供应商，也可以重新开展政府采购活动。</w:t>
      </w:r>
    </w:p>
    <w:p w14:paraId="16F2EA60">
      <w:pPr>
        <w:pStyle w:val="143"/>
        <w:snapToGrid w:val="0"/>
        <w:spacing w:before="0" w:after="120"/>
        <w:ind w:firstLine="480"/>
        <w:rPr>
          <w:rFonts w:ascii="宋体" w:hAnsi="宋体" w:cs="宋体"/>
          <w:color w:val="auto"/>
        </w:rPr>
      </w:pPr>
      <w:r>
        <w:rPr>
          <w:rFonts w:hint="eastAsia" w:ascii="宋体" w:hAnsi="宋体" w:cs="宋体"/>
          <w:color w:val="auto"/>
        </w:rPr>
        <w:t>26.5采购合同由采购人与中标供应商根据招标文件、投标文件等内容通过政府采购电子交易平台在线签订，自动备案。</w:t>
      </w:r>
    </w:p>
    <w:p w14:paraId="26CC9E8F">
      <w:pPr>
        <w:pStyle w:val="24"/>
        <w:spacing w:line="360" w:lineRule="auto"/>
        <w:ind w:left="479" w:hanging="479" w:hangingChars="199"/>
        <w:rPr>
          <w:rFonts w:cs="宋体"/>
          <w:b/>
          <w:color w:val="auto"/>
        </w:rPr>
      </w:pPr>
      <w:r>
        <w:rPr>
          <w:rFonts w:hint="eastAsia" w:cs="宋体"/>
          <w:b/>
          <w:color w:val="auto"/>
        </w:rPr>
        <w:t>27. 履约保证金</w:t>
      </w:r>
    </w:p>
    <w:p w14:paraId="25667A66">
      <w:pPr>
        <w:tabs>
          <w:tab w:val="left" w:pos="0"/>
        </w:tabs>
        <w:spacing w:line="360" w:lineRule="auto"/>
        <w:ind w:firstLine="482"/>
        <w:rPr>
          <w:rFonts w:ascii="宋体" w:hAnsi="宋体" w:cs="宋体"/>
          <w:color w:val="auto"/>
          <w:sz w:val="24"/>
        </w:rPr>
      </w:pPr>
      <w:r>
        <w:rPr>
          <w:rFonts w:hint="eastAsia" w:ascii="宋体" w:hAnsi="宋体" w:cs="宋体"/>
          <w:color w:val="auto"/>
          <w:kern w:val="0"/>
          <w:sz w:val="24"/>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rPr>
        <w:t>。履约保证金的数额不得超过政府采购合同金额的</w:t>
      </w:r>
      <w:r>
        <w:rPr>
          <w:rFonts w:ascii="宋体" w:hAnsi="宋体" w:cs="宋体"/>
          <w:color w:val="auto"/>
          <w:sz w:val="24"/>
        </w:rPr>
        <w:t>1</w:t>
      </w:r>
      <w:r>
        <w:rPr>
          <w:rFonts w:hint="eastAsia" w:ascii="宋体" w:hAnsi="宋体" w:cs="宋体"/>
          <w:color w:val="auto"/>
          <w:sz w:val="24"/>
        </w:rPr>
        <w:t>%。鼓励和支持供应商以银行、保险公司出具的保函形式提供履约保证金。采购人不得拒收履约保函，项目验收结束后应及时退还，</w:t>
      </w:r>
      <w:r>
        <w:rPr>
          <w:rFonts w:ascii="宋体" w:hAnsi="宋体" w:cs="宋体"/>
          <w:color w:val="auto"/>
          <w:sz w:val="24"/>
        </w:rPr>
        <w:t>延迟退还的，应当按照合同约定和法律规定承担相应的赔偿责任</w:t>
      </w:r>
      <w:r>
        <w:rPr>
          <w:rFonts w:hint="eastAsia" w:ascii="宋体" w:hAnsi="宋体" w:cs="宋体"/>
          <w:color w:val="auto"/>
          <w:sz w:val="24"/>
        </w:rPr>
        <w:t>。</w:t>
      </w:r>
    </w:p>
    <w:p w14:paraId="1F7DB5B9">
      <w:pPr>
        <w:pStyle w:val="3"/>
        <w:ind w:left="0" w:firstLine="480" w:firstLineChars="200"/>
        <w:rPr>
          <w:rFonts w:ascii="宋体" w:hAnsi="宋体" w:eastAsia="宋体" w:cs="宋体"/>
          <w:b w:val="0"/>
          <w:bCs w:val="0"/>
          <w:snapToGrid w:val="0"/>
          <w:color w:val="auto"/>
          <w:kern w:val="28"/>
          <w:sz w:val="24"/>
        </w:rPr>
      </w:pPr>
      <w:r>
        <w:rPr>
          <w:rFonts w:hint="eastAsia" w:ascii="宋体" w:hAnsi="宋体" w:eastAsia="宋体" w:cs="宋体"/>
          <w:b w:val="0"/>
          <w:bCs w:val="0"/>
          <w:snapToGrid w:val="0"/>
          <w:color w:val="auto"/>
          <w:kern w:val="28"/>
          <w:sz w:val="24"/>
        </w:rPr>
        <w:t>供应商</w:t>
      </w:r>
      <w:r>
        <w:rPr>
          <w:rFonts w:hint="eastAsia" w:ascii="宋体" w:hAnsi="宋体" w:eastAsia="宋体" w:cs="宋体"/>
          <w:b w:val="0"/>
          <w:bCs w:val="0"/>
          <w:snapToGrid w:val="0"/>
          <w:color w:val="auto"/>
          <w:kern w:val="28"/>
          <w:sz w:val="24"/>
          <w:lang w:val="en-US"/>
        </w:rPr>
        <w:t>可</w:t>
      </w:r>
      <w:r>
        <w:rPr>
          <w:rFonts w:hint="eastAsia" w:ascii="宋体" w:hAnsi="宋体" w:eastAsia="宋体" w:cs="宋体"/>
          <w:b w:val="0"/>
          <w:bCs w:val="0"/>
          <w:snapToGrid w:val="0"/>
          <w:color w:val="auto"/>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lang w:val="en-US"/>
        </w:rPr>
        <w:t>95763</w:t>
      </w:r>
      <w:r>
        <w:rPr>
          <w:rFonts w:hint="eastAsia" w:ascii="宋体" w:hAnsi="宋体" w:eastAsia="宋体" w:cs="宋体"/>
          <w:b w:val="0"/>
          <w:bCs w:val="0"/>
          <w:snapToGrid w:val="0"/>
          <w:color w:val="auto"/>
          <w:kern w:val="28"/>
          <w:sz w:val="24"/>
        </w:rPr>
        <w:t>。</w:t>
      </w:r>
    </w:p>
    <w:p w14:paraId="51ED5195">
      <w:pPr>
        <w:pStyle w:val="3"/>
        <w:rPr>
          <w:color w:val="auto"/>
        </w:rPr>
      </w:pPr>
      <w:r>
        <w:rPr>
          <w:rFonts w:ascii="宋体" w:hAnsi="宋体" w:eastAsia="宋体"/>
          <w:color w:val="auto"/>
          <w:sz w:val="24"/>
          <w:lang w:val="en-US"/>
        </w:rPr>
        <w:t>2</w:t>
      </w:r>
      <w:r>
        <w:rPr>
          <w:rFonts w:hint="eastAsia" w:ascii="宋体" w:hAnsi="宋体" w:eastAsia="宋体"/>
          <w:color w:val="auto"/>
          <w:sz w:val="24"/>
          <w:lang w:val="en-US"/>
        </w:rPr>
        <w:t>8</w:t>
      </w:r>
      <w:r>
        <w:rPr>
          <w:rFonts w:ascii="宋体" w:hAnsi="宋体" w:eastAsia="宋体"/>
          <w:color w:val="auto"/>
          <w:sz w:val="24"/>
          <w:lang w:val="en-US"/>
        </w:rPr>
        <w:t>.预付款</w:t>
      </w:r>
    </w:p>
    <w:p w14:paraId="2623DAD1">
      <w:pPr>
        <w:tabs>
          <w:tab w:val="left" w:pos="0"/>
        </w:tabs>
        <w:spacing w:line="360" w:lineRule="auto"/>
        <w:ind w:firstLine="482"/>
        <w:rPr>
          <w:rFonts w:ascii="宋体" w:hAnsi="宋体" w:cs="宋体"/>
          <w:color w:val="auto"/>
          <w:kern w:val="0"/>
          <w:sz w:val="24"/>
        </w:rPr>
      </w:pPr>
      <w:r>
        <w:rPr>
          <w:rFonts w:hint="eastAsia" w:ascii="宋体" w:hAnsi="宋体" w:cs="宋体"/>
          <w:color w:val="auto"/>
          <w:kern w:val="0"/>
          <w:sz w:val="24"/>
        </w:rPr>
        <w:t>采购单位应当在政府采购合同中约定预付款，对中小企业合同预付款比例原则上不低于合同金额的</w:t>
      </w:r>
      <w:r>
        <w:rPr>
          <w:rFonts w:hint="eastAsia" w:ascii="宋体" w:hAnsi="宋体" w:cs="宋体"/>
          <w:color w:val="auto"/>
          <w:kern w:val="0"/>
          <w:sz w:val="24"/>
          <w:lang w:val="en-US" w:eastAsia="zh-CN"/>
        </w:rPr>
        <w:t>3</w:t>
      </w:r>
      <w:r>
        <w:rPr>
          <w:rFonts w:hint="eastAsia" w:ascii="宋体" w:hAnsi="宋体" w:cs="宋体"/>
          <w:color w:val="auto"/>
          <w:kern w:val="0"/>
          <w:sz w:val="24"/>
        </w:rPr>
        <w:t>0％，不高于合同金额的70%；项目分年安排预算的，每年预付款比例不低于项目年度计划支付资金额的</w:t>
      </w:r>
      <w:r>
        <w:rPr>
          <w:rFonts w:hint="eastAsia" w:ascii="宋体" w:hAnsi="宋体" w:cs="宋体"/>
          <w:color w:val="auto"/>
          <w:kern w:val="0"/>
          <w:sz w:val="24"/>
          <w:lang w:val="en-US" w:eastAsia="zh-CN"/>
        </w:rPr>
        <w:t>3</w:t>
      </w:r>
      <w:r>
        <w:rPr>
          <w:rFonts w:hint="eastAsia" w:ascii="宋体" w:hAnsi="宋体" w:cs="宋体"/>
          <w:color w:val="auto"/>
          <w:kern w:val="0"/>
          <w:sz w:val="24"/>
        </w:rPr>
        <w:t>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cs="宋体"/>
          <w:snapToGrid w:val="0"/>
          <w:color w:val="auto"/>
          <w:kern w:val="28"/>
          <w:sz w:val="24"/>
        </w:rPr>
        <w:t>95763</w:t>
      </w:r>
      <w:r>
        <w:rPr>
          <w:rFonts w:hint="eastAsia" w:ascii="宋体" w:hAnsi="宋体" w:cs="宋体"/>
          <w:color w:val="auto"/>
          <w:kern w:val="0"/>
          <w:sz w:val="24"/>
        </w:rPr>
        <w:t>。</w:t>
      </w:r>
    </w:p>
    <w:p w14:paraId="441781FF">
      <w:pPr>
        <w:snapToGrid w:val="0"/>
        <w:spacing w:line="360" w:lineRule="auto"/>
        <w:ind w:firstLine="3357" w:firstLineChars="1045"/>
        <w:rPr>
          <w:rFonts w:ascii="宋体" w:hAnsi="宋体" w:cs="宋体"/>
          <w:b/>
          <w:color w:val="auto"/>
          <w:sz w:val="32"/>
        </w:rPr>
      </w:pPr>
    </w:p>
    <w:p w14:paraId="3F6A46C3">
      <w:pPr>
        <w:snapToGrid w:val="0"/>
        <w:spacing w:line="360" w:lineRule="auto"/>
        <w:ind w:firstLine="3357" w:firstLineChars="1045"/>
        <w:rPr>
          <w:rFonts w:ascii="宋体" w:hAnsi="宋体" w:cs="宋体"/>
          <w:b/>
          <w:color w:val="auto"/>
          <w:sz w:val="24"/>
        </w:rPr>
      </w:pPr>
      <w:r>
        <w:rPr>
          <w:rFonts w:hint="eastAsia" w:ascii="宋体" w:hAnsi="宋体" w:cs="宋体"/>
          <w:b/>
          <w:color w:val="auto"/>
          <w:sz w:val="32"/>
        </w:rPr>
        <w:t>九、电子交易活动的中止</w:t>
      </w:r>
    </w:p>
    <w:p w14:paraId="128BCD29">
      <w:pPr>
        <w:pStyle w:val="143"/>
        <w:snapToGrid w:val="0"/>
        <w:spacing w:before="0"/>
        <w:ind w:firstLine="0" w:firstLineChars="0"/>
        <w:rPr>
          <w:rFonts w:ascii="宋体" w:hAnsi="宋体" w:cs="宋体"/>
          <w:color w:val="auto"/>
        </w:rPr>
      </w:pPr>
      <w:r>
        <w:rPr>
          <w:rFonts w:hint="eastAsia" w:ascii="宋体" w:hAnsi="宋体" w:cs="宋体"/>
          <w:color w:val="auto"/>
        </w:rPr>
        <w:t>2</w:t>
      </w:r>
      <w:r>
        <w:rPr>
          <w:rFonts w:hint="eastAsia" w:ascii="宋体" w:hAnsi="宋体" w:cs="宋体"/>
          <w:b/>
          <w:color w:val="auto"/>
          <w:szCs w:val="24"/>
        </w:rPr>
        <w:t>9. 电子交易活动的中止。</w:t>
      </w:r>
      <w:r>
        <w:rPr>
          <w:rFonts w:hint="eastAsia" w:ascii="宋体" w:hAnsi="宋体" w:cs="宋体"/>
          <w:color w:val="auto"/>
        </w:rPr>
        <w:t>采购过程中出现以下情形，导致电子交易平台无法正常运行，或者无法保证电子交易的公平、公正和安全时，采购机构可中止电子交易活动：</w:t>
      </w:r>
    </w:p>
    <w:p w14:paraId="30AC919A">
      <w:pPr>
        <w:pStyle w:val="143"/>
        <w:snapToGrid w:val="0"/>
        <w:spacing w:before="0"/>
        <w:ind w:firstLine="480"/>
        <w:rPr>
          <w:rFonts w:ascii="宋体" w:hAnsi="宋体" w:cs="宋体"/>
          <w:color w:val="auto"/>
        </w:rPr>
      </w:pPr>
      <w:r>
        <w:rPr>
          <w:rFonts w:hint="eastAsia" w:ascii="宋体" w:hAnsi="宋体" w:cs="宋体"/>
          <w:color w:val="auto"/>
        </w:rPr>
        <w:t xml:space="preserve">29.1电子交易平台发生故障而无法登录访问的； </w:t>
      </w:r>
    </w:p>
    <w:p w14:paraId="1238D9FE">
      <w:pPr>
        <w:pStyle w:val="143"/>
        <w:snapToGrid w:val="0"/>
        <w:spacing w:before="0"/>
        <w:ind w:firstLine="480"/>
        <w:rPr>
          <w:rFonts w:ascii="宋体" w:hAnsi="宋体" w:cs="宋体"/>
          <w:color w:val="auto"/>
        </w:rPr>
      </w:pPr>
      <w:r>
        <w:rPr>
          <w:rFonts w:hint="eastAsia" w:ascii="宋体" w:hAnsi="宋体" w:cs="宋体"/>
          <w:color w:val="auto"/>
        </w:rPr>
        <w:t>29.2电子交易平台应用或数据库出现错误，不能进行正常操作的；</w:t>
      </w:r>
    </w:p>
    <w:p w14:paraId="2A88A087">
      <w:pPr>
        <w:pStyle w:val="143"/>
        <w:snapToGrid w:val="0"/>
        <w:spacing w:before="0"/>
        <w:ind w:firstLine="480"/>
        <w:rPr>
          <w:rFonts w:ascii="宋体" w:hAnsi="宋体" w:cs="宋体"/>
          <w:color w:val="auto"/>
        </w:rPr>
      </w:pPr>
      <w:r>
        <w:rPr>
          <w:rFonts w:hint="eastAsia" w:ascii="宋体" w:hAnsi="宋体" w:cs="宋体"/>
          <w:color w:val="auto"/>
        </w:rPr>
        <w:t>29.3电子交易平台发现严重安全漏洞，有潜在泄密危险的；</w:t>
      </w:r>
    </w:p>
    <w:p w14:paraId="103F879A">
      <w:pPr>
        <w:pStyle w:val="143"/>
        <w:snapToGrid w:val="0"/>
        <w:spacing w:before="0"/>
        <w:ind w:firstLine="480"/>
        <w:rPr>
          <w:rFonts w:ascii="宋体" w:hAnsi="宋体" w:cs="宋体"/>
          <w:color w:val="auto"/>
        </w:rPr>
      </w:pPr>
      <w:r>
        <w:rPr>
          <w:rFonts w:hint="eastAsia" w:ascii="宋体" w:hAnsi="宋体" w:cs="宋体"/>
          <w:color w:val="auto"/>
        </w:rPr>
        <w:t xml:space="preserve">29.4病毒发作导致不能进行正常操作的； </w:t>
      </w:r>
    </w:p>
    <w:p w14:paraId="35C21C99">
      <w:pPr>
        <w:pStyle w:val="143"/>
        <w:snapToGrid w:val="0"/>
        <w:spacing w:before="0"/>
        <w:ind w:firstLine="480"/>
        <w:rPr>
          <w:rFonts w:ascii="宋体" w:hAnsi="宋体" w:cs="宋体"/>
          <w:color w:val="auto"/>
        </w:rPr>
      </w:pPr>
      <w:r>
        <w:rPr>
          <w:rFonts w:hint="eastAsia" w:ascii="宋体" w:hAnsi="宋体" w:cs="宋体"/>
          <w:color w:val="auto"/>
        </w:rPr>
        <w:t>29.5其他无法保证电子交易的公平、公正和安全的情况。</w:t>
      </w:r>
    </w:p>
    <w:p w14:paraId="4D77ACA7">
      <w:pPr>
        <w:pStyle w:val="143"/>
        <w:snapToGrid w:val="0"/>
        <w:spacing w:before="0"/>
        <w:ind w:firstLine="0" w:firstLineChars="0"/>
        <w:rPr>
          <w:rFonts w:ascii="宋体" w:hAnsi="宋体" w:cs="宋体"/>
          <w:color w:val="auto"/>
        </w:rPr>
      </w:pPr>
      <w:r>
        <w:rPr>
          <w:rFonts w:hint="eastAsia" w:ascii="宋体" w:hAnsi="宋体" w:cs="宋体"/>
          <w:color w:val="auto"/>
        </w:rPr>
        <w:t xml:space="preserve"> 30.出现以上情形，不影响采购公平、公正性的，采购组织机构可以待上述情形消除后继续组织电子交易活动，也可以决定某些环节以纸质形式进行；影响或可能影响采购公平、公正性的，应当重新采购。</w:t>
      </w:r>
    </w:p>
    <w:p w14:paraId="4E0343F9">
      <w:pPr>
        <w:tabs>
          <w:tab w:val="left" w:pos="0"/>
        </w:tabs>
        <w:spacing w:line="360" w:lineRule="auto"/>
        <w:ind w:firstLine="480"/>
        <w:rPr>
          <w:rFonts w:ascii="宋体" w:hAnsi="宋体" w:cs="宋体"/>
          <w:color w:val="auto"/>
          <w:sz w:val="24"/>
        </w:rPr>
      </w:pPr>
    </w:p>
    <w:p w14:paraId="703CC6AB">
      <w:pPr>
        <w:snapToGrid w:val="0"/>
        <w:spacing w:line="360" w:lineRule="auto"/>
        <w:ind w:left="120" w:leftChars="57" w:firstLine="482" w:firstLineChars="150"/>
        <w:jc w:val="center"/>
        <w:rPr>
          <w:rFonts w:ascii="宋体" w:hAnsi="宋体" w:cs="宋体"/>
          <w:b/>
          <w:color w:val="auto"/>
          <w:sz w:val="32"/>
        </w:rPr>
      </w:pPr>
      <w:r>
        <w:rPr>
          <w:rFonts w:hint="eastAsia" w:ascii="宋体" w:hAnsi="宋体" w:cs="宋体"/>
          <w:b/>
          <w:color w:val="auto"/>
          <w:sz w:val="32"/>
        </w:rPr>
        <w:t>十、验收</w:t>
      </w:r>
    </w:p>
    <w:p w14:paraId="47B86C51">
      <w:pPr>
        <w:pStyle w:val="24"/>
        <w:spacing w:line="360" w:lineRule="auto"/>
        <w:ind w:firstLine="0" w:firstLineChars="0"/>
        <w:rPr>
          <w:rFonts w:cs="宋体"/>
          <w:b/>
          <w:color w:val="auto"/>
        </w:rPr>
      </w:pPr>
      <w:r>
        <w:rPr>
          <w:rFonts w:hint="eastAsia" w:cs="宋体"/>
          <w:b/>
          <w:color w:val="auto"/>
        </w:rPr>
        <w:t>31.验收</w:t>
      </w:r>
    </w:p>
    <w:p w14:paraId="23860731">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31.1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412F7FF">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31.2采购人可以邀请参加本项目的其他投标人或者第三方机构参与验收。参与验收的投标人或者第三方机构的意见作为验收书的参考资料一并存档。</w:t>
      </w:r>
    </w:p>
    <w:p w14:paraId="5A411248">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3946B2D">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3DD30AE">
      <w:pPr>
        <w:pStyle w:val="94"/>
        <w:spacing w:line="360" w:lineRule="auto"/>
        <w:ind w:firstLine="480"/>
        <w:rPr>
          <w:color w:val="auto"/>
        </w:rPr>
      </w:pPr>
      <w:r>
        <w:rPr>
          <w:rFonts w:hint="eastAsia" w:ascii="宋体" w:hAnsi="宋体" w:eastAsia="宋体" w:cs="宋体"/>
          <w:color w:val="auto"/>
          <w:kern w:val="0"/>
          <w:sz w:val="24"/>
          <w:szCs w:val="24"/>
          <w:lang w:val="en-US"/>
        </w:rPr>
        <w:t>31.5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bookmarkEnd w:id="19"/>
    <w:p w14:paraId="5B7BC7A2">
      <w:pPr>
        <w:tabs>
          <w:tab w:val="left" w:pos="0"/>
        </w:tabs>
        <w:spacing w:line="360" w:lineRule="auto"/>
        <w:ind w:firstLine="480"/>
        <w:rPr>
          <w:rFonts w:ascii="宋体" w:hAnsi="宋体" w:cs="宋体"/>
          <w:color w:val="auto"/>
          <w:kern w:val="0"/>
          <w:sz w:val="24"/>
        </w:rPr>
        <w:sectPr>
          <w:headerReference r:id="rId4" w:type="first"/>
          <w:footerReference r:id="rId7" w:type="first"/>
          <w:headerReference r:id="rId3" w:type="default"/>
          <w:footerReference r:id="rId5" w:type="default"/>
          <w:footerReference r:id="rId6" w:type="even"/>
          <w:pgSz w:w="11906" w:h="16838"/>
          <w:pgMar w:top="1276" w:right="1418" w:bottom="1276" w:left="1418" w:header="851" w:footer="992" w:gutter="0"/>
          <w:cols w:space="720" w:num="1"/>
          <w:titlePg/>
          <w:docGrid w:linePitch="312" w:charSpace="0"/>
        </w:sectPr>
      </w:pPr>
      <w:bookmarkStart w:id="20" w:name="_Hlt75236101"/>
      <w:bookmarkEnd w:id="20"/>
      <w:bookmarkStart w:id="21" w:name="_Hlt68072998"/>
      <w:bookmarkEnd w:id="21"/>
      <w:bookmarkStart w:id="22" w:name="_Hlt74714665"/>
      <w:bookmarkEnd w:id="22"/>
      <w:bookmarkStart w:id="23" w:name="_Hlt75236290"/>
      <w:bookmarkEnd w:id="23"/>
      <w:bookmarkStart w:id="24" w:name="_Hlt75236011"/>
      <w:bookmarkEnd w:id="24"/>
      <w:bookmarkStart w:id="25" w:name="_Hlt74730295"/>
      <w:bookmarkEnd w:id="25"/>
      <w:bookmarkStart w:id="26" w:name="_Hlt68403820"/>
      <w:bookmarkEnd w:id="26"/>
      <w:bookmarkStart w:id="27" w:name="_Hlt74707468"/>
      <w:bookmarkEnd w:id="27"/>
      <w:bookmarkStart w:id="28" w:name="_Hlt68057669"/>
      <w:bookmarkEnd w:id="28"/>
      <w:bookmarkStart w:id="29" w:name="_Hlt68073093"/>
      <w:bookmarkEnd w:id="29"/>
      <w:bookmarkStart w:id="30" w:name="_Hlt68072990"/>
      <w:bookmarkEnd w:id="30"/>
      <w:bookmarkStart w:id="31" w:name="_Hlt74729768"/>
      <w:bookmarkEnd w:id="31"/>
    </w:p>
    <w:bookmarkEnd w:id="15"/>
    <w:bookmarkEnd w:id="16"/>
    <w:p w14:paraId="04B0A39E">
      <w:pPr>
        <w:spacing w:line="360" w:lineRule="auto"/>
        <w:jc w:val="center"/>
        <w:outlineLvl w:val="0"/>
        <w:rPr>
          <w:rFonts w:ascii="宋体" w:hAnsi="宋体" w:cs="宋体"/>
          <w:b/>
          <w:color w:val="auto"/>
          <w:sz w:val="36"/>
          <w:szCs w:val="36"/>
        </w:rPr>
      </w:pPr>
      <w:bookmarkStart w:id="32" w:name="第四部分"/>
      <w:r>
        <w:rPr>
          <w:rFonts w:hint="eastAsia" w:ascii="宋体" w:hAnsi="宋体" w:cs="宋体"/>
          <w:b/>
          <w:color w:val="auto"/>
          <w:sz w:val="36"/>
          <w:szCs w:val="36"/>
        </w:rPr>
        <w:t>第三部分   采购需求</w:t>
      </w:r>
    </w:p>
    <w:p w14:paraId="393BDD8F">
      <w:pPr>
        <w:pStyle w:val="59"/>
        <w:jc w:val="both"/>
        <w:rPr>
          <w:color w:val="auto"/>
          <w:sz w:val="22"/>
          <w:szCs w:val="22"/>
        </w:rPr>
      </w:pPr>
      <w:r>
        <w:rPr>
          <w:rFonts w:hint="eastAsia" w:ascii="宋体" w:hAnsi="宋体" w:cs="宋体"/>
          <w:color w:val="auto"/>
          <w:sz w:val="22"/>
          <w:szCs w:val="22"/>
        </w:rPr>
        <w:t>一、为落实政府采购政策需满足的要求：</w:t>
      </w:r>
    </w:p>
    <w:tbl>
      <w:tblPr>
        <w:tblStyle w:val="6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2492"/>
        <w:gridCol w:w="5368"/>
      </w:tblGrid>
      <w:tr w14:paraId="426D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372" w:type="pct"/>
            <w:tcBorders>
              <w:top w:val="single" w:color="auto" w:sz="4" w:space="0"/>
              <w:left w:val="single" w:color="auto" w:sz="4" w:space="0"/>
              <w:bottom w:val="single" w:color="auto" w:sz="4" w:space="0"/>
              <w:right w:val="single" w:color="auto" w:sz="4" w:space="0"/>
            </w:tcBorders>
          </w:tcPr>
          <w:p w14:paraId="42296CC3">
            <w:pPr>
              <w:snapToGrid w:val="0"/>
              <w:jc w:val="center"/>
              <w:rPr>
                <w:rFonts w:ascii="宋体" w:hAnsi="宋体" w:cs="宋体"/>
                <w:b/>
                <w:bCs/>
                <w:color w:val="auto"/>
                <w:sz w:val="22"/>
                <w:szCs w:val="22"/>
              </w:rPr>
            </w:pPr>
            <w:r>
              <w:rPr>
                <w:rFonts w:hint="eastAsia" w:ascii="宋体" w:hAnsi="宋体" w:cs="宋体"/>
                <w:color w:val="auto"/>
                <w:sz w:val="22"/>
                <w:szCs w:val="22"/>
              </w:rPr>
              <w:t>1</w:t>
            </w:r>
          </w:p>
        </w:tc>
        <w:tc>
          <w:tcPr>
            <w:tcW w:w="1467" w:type="pct"/>
            <w:tcBorders>
              <w:top w:val="single" w:color="auto" w:sz="4" w:space="0"/>
              <w:left w:val="single" w:color="auto" w:sz="4" w:space="0"/>
              <w:bottom w:val="single" w:color="auto" w:sz="4" w:space="0"/>
              <w:right w:val="single" w:color="auto" w:sz="4" w:space="0"/>
            </w:tcBorders>
            <w:vAlign w:val="center"/>
          </w:tcPr>
          <w:p w14:paraId="67E2FC68">
            <w:pPr>
              <w:snapToGrid w:val="0"/>
              <w:jc w:val="center"/>
              <w:rPr>
                <w:rFonts w:ascii="宋体" w:hAnsi="宋体" w:cs="宋体"/>
                <w:color w:val="auto"/>
                <w:sz w:val="22"/>
                <w:szCs w:val="22"/>
              </w:rPr>
            </w:pPr>
            <w:r>
              <w:rPr>
                <w:rFonts w:hint="eastAsia" w:ascii="宋体" w:hAnsi="宋体" w:cs="宋体"/>
                <w:color w:val="auto"/>
                <w:sz w:val="22"/>
                <w:szCs w:val="22"/>
              </w:rPr>
              <w:t>政府采购促进中小企业发展</w:t>
            </w:r>
          </w:p>
        </w:tc>
        <w:tc>
          <w:tcPr>
            <w:tcW w:w="3160" w:type="pct"/>
            <w:tcBorders>
              <w:top w:val="single" w:color="auto" w:sz="4" w:space="0"/>
              <w:left w:val="single" w:color="auto" w:sz="4" w:space="0"/>
              <w:bottom w:val="single" w:color="auto" w:sz="4" w:space="0"/>
              <w:right w:val="single" w:color="auto" w:sz="4" w:space="0"/>
            </w:tcBorders>
          </w:tcPr>
          <w:p w14:paraId="0212DBDF">
            <w:pPr>
              <w:snapToGrid w:val="0"/>
              <w:jc w:val="left"/>
              <w:rPr>
                <w:rFonts w:ascii="宋体" w:hAnsi="宋体" w:cs="宋体"/>
                <w:color w:val="auto"/>
                <w:sz w:val="22"/>
                <w:szCs w:val="22"/>
              </w:rPr>
            </w:pPr>
            <w:r>
              <w:rPr>
                <w:rFonts w:hint="eastAsia" w:ascii="宋体" w:hAnsi="宋体" w:cs="宋体"/>
                <w:color w:val="auto"/>
                <w:sz w:val="22"/>
                <w:szCs w:val="22"/>
              </w:rPr>
              <w:t>提供材料详见第六部分“应提交的有关格式范例”；</w:t>
            </w:r>
          </w:p>
          <w:p w14:paraId="1257E50B">
            <w:pPr>
              <w:pStyle w:val="32"/>
              <w:rPr>
                <w:color w:val="auto"/>
                <w:sz w:val="22"/>
                <w:szCs w:val="22"/>
              </w:rPr>
            </w:pPr>
            <w:r>
              <w:rPr>
                <w:rFonts w:hint="eastAsia"/>
                <w:color w:val="auto"/>
                <w:sz w:val="22"/>
                <w:szCs w:val="22"/>
              </w:rPr>
              <w:t>核心产品为：</w:t>
            </w:r>
            <w:r>
              <w:rPr>
                <w:rFonts w:hint="eastAsia"/>
                <w:color w:val="auto"/>
                <w:sz w:val="22"/>
                <w:szCs w:val="22"/>
                <w:u w:val="single"/>
              </w:rPr>
              <w:t>教学用台式计算机</w:t>
            </w:r>
            <w:r>
              <w:rPr>
                <w:color w:val="auto"/>
                <w:sz w:val="22"/>
                <w:szCs w:val="22"/>
                <w:u w:val="single"/>
              </w:rPr>
              <w:t>1</w:t>
            </w:r>
            <w:r>
              <w:rPr>
                <w:rFonts w:hint="eastAsia"/>
                <w:color w:val="auto"/>
                <w:sz w:val="22"/>
                <w:szCs w:val="22"/>
                <w:u w:val="single"/>
              </w:rPr>
              <w:t>、实训桌</w:t>
            </w:r>
            <w:r>
              <w:rPr>
                <w:color w:val="auto"/>
                <w:sz w:val="22"/>
                <w:szCs w:val="22"/>
                <w:u w:val="single"/>
              </w:rPr>
              <w:t>1</w:t>
            </w:r>
            <w:r>
              <w:rPr>
                <w:rFonts w:hint="eastAsia"/>
                <w:color w:val="auto"/>
                <w:sz w:val="22"/>
                <w:szCs w:val="22"/>
                <w:u w:val="single"/>
              </w:rPr>
              <w:t xml:space="preserve"> </w:t>
            </w:r>
          </w:p>
          <w:p w14:paraId="53F0F23B">
            <w:pPr>
              <w:pStyle w:val="3"/>
              <w:adjustRightInd w:val="0"/>
              <w:snapToGrid w:val="0"/>
              <w:spacing w:line="240" w:lineRule="auto"/>
              <w:ind w:left="0" w:firstLine="0"/>
              <w:rPr>
                <w:rFonts w:ascii="宋体" w:hAnsi="宋体" w:eastAsia="宋体" w:cs="宋体"/>
                <w:color w:val="auto"/>
                <w:sz w:val="22"/>
                <w:szCs w:val="22"/>
                <w:lang w:val="en-US"/>
              </w:rPr>
            </w:pPr>
            <w:r>
              <w:rPr>
                <w:rFonts w:hint="eastAsia" w:ascii="宋体" w:hAnsi="宋体" w:eastAsia="宋体" w:cs="宋体"/>
                <w:color w:val="auto"/>
                <w:sz w:val="22"/>
                <w:szCs w:val="22"/>
              </w:rPr>
              <w:t>本项目采购标的对应的中小企业计划，划分标准所属行业</w:t>
            </w:r>
            <w:r>
              <w:rPr>
                <w:rFonts w:hint="eastAsia" w:ascii="宋体" w:hAnsi="宋体" w:eastAsia="宋体" w:cs="宋体"/>
                <w:color w:val="auto"/>
                <w:sz w:val="22"/>
                <w:szCs w:val="22"/>
                <w:lang w:val="en-US"/>
              </w:rPr>
              <w:t>详见前附表第2项《</w:t>
            </w:r>
            <w:r>
              <w:rPr>
                <w:rFonts w:hint="eastAsia" w:ascii="宋体" w:hAnsi="宋体" w:eastAsia="宋体" w:cs="宋体"/>
                <w:b w:val="0"/>
                <w:bCs w:val="0"/>
                <w:color w:val="auto"/>
                <w:sz w:val="22"/>
                <w:szCs w:val="22"/>
                <w:lang w:val="en-US"/>
              </w:rPr>
              <w:t>采购标的及其对应的中小企业划分标准所属行业》。</w:t>
            </w:r>
          </w:p>
        </w:tc>
      </w:tr>
      <w:tr w14:paraId="21B3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2" w:type="pct"/>
            <w:tcBorders>
              <w:top w:val="single" w:color="auto" w:sz="4" w:space="0"/>
              <w:left w:val="single" w:color="auto" w:sz="4" w:space="0"/>
              <w:bottom w:val="single" w:color="auto" w:sz="4" w:space="0"/>
              <w:right w:val="single" w:color="auto" w:sz="4" w:space="0"/>
            </w:tcBorders>
          </w:tcPr>
          <w:p w14:paraId="5C88A0C3">
            <w:pPr>
              <w:snapToGrid w:val="0"/>
              <w:jc w:val="center"/>
              <w:rPr>
                <w:rFonts w:ascii="宋体" w:hAnsi="宋体" w:cs="宋体"/>
                <w:color w:val="auto"/>
                <w:sz w:val="22"/>
                <w:szCs w:val="22"/>
              </w:rPr>
            </w:pPr>
            <w:r>
              <w:rPr>
                <w:rFonts w:hint="eastAsia" w:ascii="宋体" w:hAnsi="宋体" w:cs="宋体"/>
                <w:color w:val="auto"/>
                <w:sz w:val="22"/>
                <w:szCs w:val="22"/>
              </w:rPr>
              <w:t>2</w:t>
            </w:r>
          </w:p>
        </w:tc>
        <w:tc>
          <w:tcPr>
            <w:tcW w:w="1467" w:type="pct"/>
            <w:tcBorders>
              <w:top w:val="single" w:color="auto" w:sz="4" w:space="0"/>
              <w:left w:val="single" w:color="auto" w:sz="4" w:space="0"/>
              <w:bottom w:val="single" w:color="auto" w:sz="4" w:space="0"/>
              <w:right w:val="single" w:color="auto" w:sz="4" w:space="0"/>
            </w:tcBorders>
          </w:tcPr>
          <w:p w14:paraId="2D5093B2">
            <w:pPr>
              <w:snapToGrid w:val="0"/>
              <w:jc w:val="center"/>
              <w:rPr>
                <w:rFonts w:ascii="宋体" w:hAnsi="宋体" w:cs="宋体"/>
                <w:color w:val="auto"/>
                <w:sz w:val="22"/>
                <w:szCs w:val="22"/>
              </w:rPr>
            </w:pPr>
            <w:r>
              <w:rPr>
                <w:rFonts w:hint="eastAsia" w:ascii="宋体" w:hAnsi="宋体" w:cs="宋体"/>
                <w:color w:val="auto"/>
                <w:sz w:val="22"/>
                <w:szCs w:val="22"/>
              </w:rPr>
              <w:t>政府采购支持监狱企业发展</w:t>
            </w:r>
          </w:p>
        </w:tc>
        <w:tc>
          <w:tcPr>
            <w:tcW w:w="3160" w:type="pct"/>
            <w:tcBorders>
              <w:top w:val="single" w:color="auto" w:sz="4" w:space="0"/>
              <w:left w:val="single" w:color="auto" w:sz="4" w:space="0"/>
              <w:bottom w:val="single" w:color="auto" w:sz="4" w:space="0"/>
              <w:right w:val="single" w:color="auto" w:sz="4" w:space="0"/>
            </w:tcBorders>
          </w:tcPr>
          <w:p w14:paraId="080C24F7">
            <w:pPr>
              <w:snapToGrid w:val="0"/>
              <w:jc w:val="left"/>
              <w:rPr>
                <w:rFonts w:ascii="宋体" w:hAnsi="宋体" w:cs="宋体"/>
                <w:b/>
                <w:bCs/>
                <w:color w:val="auto"/>
                <w:sz w:val="22"/>
                <w:szCs w:val="22"/>
              </w:rPr>
            </w:pPr>
            <w:r>
              <w:rPr>
                <w:rFonts w:hint="eastAsia" w:ascii="宋体" w:hAnsi="宋体" w:cs="宋体"/>
                <w:color w:val="auto"/>
                <w:sz w:val="22"/>
                <w:szCs w:val="22"/>
              </w:rPr>
              <w:t>提供材料详见第六部分“应提交的有关格式范例”</w:t>
            </w:r>
          </w:p>
        </w:tc>
      </w:tr>
      <w:tr w14:paraId="2D49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2" w:type="pct"/>
            <w:tcBorders>
              <w:top w:val="single" w:color="auto" w:sz="4" w:space="0"/>
              <w:left w:val="single" w:color="auto" w:sz="4" w:space="0"/>
              <w:bottom w:val="single" w:color="auto" w:sz="4" w:space="0"/>
              <w:right w:val="single" w:color="auto" w:sz="4" w:space="0"/>
            </w:tcBorders>
          </w:tcPr>
          <w:p w14:paraId="5AD5EA92">
            <w:pPr>
              <w:snapToGrid w:val="0"/>
              <w:jc w:val="center"/>
              <w:rPr>
                <w:rFonts w:ascii="宋体" w:hAnsi="宋体" w:cs="宋体"/>
                <w:color w:val="auto"/>
                <w:sz w:val="22"/>
                <w:szCs w:val="22"/>
              </w:rPr>
            </w:pPr>
            <w:r>
              <w:rPr>
                <w:rFonts w:hint="eastAsia" w:ascii="宋体" w:hAnsi="宋体" w:cs="宋体"/>
                <w:color w:val="auto"/>
                <w:sz w:val="22"/>
                <w:szCs w:val="22"/>
              </w:rPr>
              <w:t>3</w:t>
            </w:r>
          </w:p>
        </w:tc>
        <w:tc>
          <w:tcPr>
            <w:tcW w:w="1467" w:type="pct"/>
            <w:tcBorders>
              <w:top w:val="single" w:color="auto" w:sz="4" w:space="0"/>
              <w:left w:val="single" w:color="auto" w:sz="4" w:space="0"/>
              <w:bottom w:val="single" w:color="auto" w:sz="4" w:space="0"/>
              <w:right w:val="single" w:color="auto" w:sz="4" w:space="0"/>
            </w:tcBorders>
          </w:tcPr>
          <w:p w14:paraId="174D10CF">
            <w:pPr>
              <w:snapToGrid w:val="0"/>
              <w:jc w:val="center"/>
              <w:rPr>
                <w:rFonts w:ascii="宋体" w:hAnsi="宋体" w:cs="宋体"/>
                <w:color w:val="auto"/>
                <w:sz w:val="22"/>
                <w:szCs w:val="22"/>
              </w:rPr>
            </w:pPr>
            <w:r>
              <w:rPr>
                <w:rFonts w:hint="eastAsia" w:ascii="宋体" w:hAnsi="宋体" w:cs="宋体"/>
                <w:color w:val="auto"/>
                <w:sz w:val="22"/>
                <w:szCs w:val="22"/>
              </w:rPr>
              <w:t>政府采购促进残疾人就业</w:t>
            </w:r>
          </w:p>
        </w:tc>
        <w:tc>
          <w:tcPr>
            <w:tcW w:w="3160" w:type="pct"/>
            <w:tcBorders>
              <w:top w:val="single" w:color="auto" w:sz="4" w:space="0"/>
              <w:left w:val="single" w:color="auto" w:sz="4" w:space="0"/>
              <w:bottom w:val="single" w:color="auto" w:sz="4" w:space="0"/>
              <w:right w:val="single" w:color="auto" w:sz="4" w:space="0"/>
            </w:tcBorders>
          </w:tcPr>
          <w:p w14:paraId="1F993925">
            <w:pPr>
              <w:snapToGrid w:val="0"/>
              <w:jc w:val="left"/>
              <w:rPr>
                <w:rFonts w:ascii="宋体" w:hAnsi="宋体" w:cs="宋体"/>
                <w:color w:val="auto"/>
                <w:sz w:val="22"/>
                <w:szCs w:val="22"/>
              </w:rPr>
            </w:pPr>
            <w:r>
              <w:rPr>
                <w:rFonts w:hint="eastAsia" w:ascii="宋体" w:hAnsi="宋体" w:cs="宋体"/>
                <w:color w:val="auto"/>
                <w:sz w:val="22"/>
                <w:szCs w:val="22"/>
              </w:rPr>
              <w:t>提供材料详见第六部分“应提交的有关格式范例”</w:t>
            </w:r>
          </w:p>
        </w:tc>
      </w:tr>
    </w:tbl>
    <w:p w14:paraId="60E98C91">
      <w:pPr>
        <w:snapToGrid w:val="0"/>
        <w:spacing w:line="360" w:lineRule="auto"/>
        <w:ind w:left="250" w:hanging="250" w:hangingChars="113"/>
        <w:outlineLvl w:val="1"/>
        <w:rPr>
          <w:rFonts w:ascii="宋体" w:hAnsi="宋体" w:cs="宋体"/>
          <w:b/>
          <w:color w:val="auto"/>
          <w:sz w:val="22"/>
          <w:szCs w:val="22"/>
        </w:rPr>
      </w:pPr>
      <w:bookmarkStart w:id="33" w:name="_Toc5395"/>
      <w:bookmarkStart w:id="34" w:name="_Toc14154"/>
      <w:r>
        <w:rPr>
          <w:rFonts w:hint="eastAsia" w:ascii="宋体" w:hAnsi="宋体" w:cs="宋体"/>
          <w:b/>
          <w:color w:val="auto"/>
          <w:sz w:val="22"/>
          <w:szCs w:val="22"/>
        </w:rPr>
        <w:t>二、商务要求（技术要求里另有注明的以技术要求为准）：</w:t>
      </w:r>
      <w:bookmarkEnd w:id="33"/>
      <w:bookmarkEnd w:id="34"/>
    </w:p>
    <w:tbl>
      <w:tblPr>
        <w:tblStyle w:val="63"/>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42"/>
        <w:gridCol w:w="6850"/>
      </w:tblGrid>
      <w:tr w14:paraId="10EDA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967" w:type="pct"/>
            <w:tcBorders>
              <w:top w:val="single" w:color="auto" w:sz="4" w:space="0"/>
              <w:left w:val="single" w:color="auto" w:sz="4" w:space="0"/>
              <w:bottom w:val="single" w:color="auto" w:sz="4" w:space="0"/>
              <w:right w:val="single" w:color="auto" w:sz="4" w:space="0"/>
            </w:tcBorders>
            <w:vAlign w:val="center"/>
          </w:tcPr>
          <w:p w14:paraId="6CB8DB9A">
            <w:pPr>
              <w:snapToGrid w:val="0"/>
              <w:jc w:val="center"/>
              <w:rPr>
                <w:rFonts w:ascii="宋体" w:hAnsi="宋体" w:cs="宋体"/>
                <w:color w:val="auto"/>
                <w:sz w:val="22"/>
                <w:szCs w:val="22"/>
              </w:rPr>
            </w:pPr>
            <w:r>
              <w:rPr>
                <w:rFonts w:hint="eastAsia" w:ascii="宋体" w:hAnsi="宋体" w:cs="宋体"/>
                <w:color w:val="auto"/>
                <w:sz w:val="22"/>
                <w:szCs w:val="22"/>
              </w:rPr>
              <w:t>▲交付时间</w:t>
            </w:r>
          </w:p>
        </w:tc>
        <w:tc>
          <w:tcPr>
            <w:tcW w:w="4032" w:type="pct"/>
            <w:tcBorders>
              <w:top w:val="single" w:color="auto" w:sz="4" w:space="0"/>
              <w:left w:val="single" w:color="auto" w:sz="4" w:space="0"/>
              <w:bottom w:val="single" w:color="auto" w:sz="4" w:space="0"/>
              <w:right w:val="single" w:color="auto" w:sz="4" w:space="0"/>
            </w:tcBorders>
            <w:vAlign w:val="center"/>
          </w:tcPr>
          <w:p w14:paraId="42DEE278">
            <w:pPr>
              <w:widowControl/>
              <w:jc w:val="left"/>
              <w:rPr>
                <w:rFonts w:ascii="宋体" w:hAnsi="宋体" w:cs="宋体"/>
                <w:color w:val="auto"/>
                <w:sz w:val="22"/>
                <w:szCs w:val="22"/>
              </w:rPr>
            </w:pPr>
            <w:r>
              <w:rPr>
                <w:rFonts w:hint="eastAsia" w:ascii="宋体" w:hAnsi="宋体" w:cs="宋体"/>
                <w:color w:val="auto"/>
                <w:kern w:val="0"/>
                <w:sz w:val="22"/>
                <w:szCs w:val="22"/>
              </w:rPr>
              <w:t>合同签订且接到甲方进场指令后45天内完成交付及安装调试，提供承诺函</w:t>
            </w:r>
            <w:bookmarkStart w:id="35" w:name="OLE_LINK49"/>
            <w:bookmarkStart w:id="36" w:name="OLE_LINK50"/>
            <w:r>
              <w:rPr>
                <w:rFonts w:hint="eastAsia" w:ascii="宋体" w:hAnsi="宋体" w:cs="宋体"/>
                <w:color w:val="auto"/>
                <w:kern w:val="0"/>
                <w:sz w:val="22"/>
                <w:szCs w:val="22"/>
              </w:rPr>
              <w:t>，否则投标无效</w:t>
            </w:r>
            <w:bookmarkEnd w:id="35"/>
            <w:bookmarkEnd w:id="36"/>
            <w:r>
              <w:rPr>
                <w:rFonts w:hint="eastAsia" w:ascii="宋体" w:hAnsi="宋体" w:cs="宋体"/>
                <w:color w:val="auto"/>
                <w:kern w:val="0"/>
                <w:sz w:val="22"/>
                <w:szCs w:val="22"/>
              </w:rPr>
              <w:t>。如果由于采购人工程进度原因延期，则工期顺延。</w:t>
            </w:r>
          </w:p>
        </w:tc>
      </w:tr>
      <w:tr w14:paraId="3EB33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7" w:type="pct"/>
            <w:tcBorders>
              <w:top w:val="single" w:color="auto" w:sz="4" w:space="0"/>
              <w:left w:val="single" w:color="auto" w:sz="4" w:space="0"/>
              <w:bottom w:val="single" w:color="auto" w:sz="4" w:space="0"/>
              <w:right w:val="single" w:color="auto" w:sz="4" w:space="0"/>
            </w:tcBorders>
            <w:vAlign w:val="center"/>
          </w:tcPr>
          <w:p w14:paraId="1C44B166">
            <w:pPr>
              <w:snapToGrid w:val="0"/>
              <w:jc w:val="center"/>
              <w:rPr>
                <w:rFonts w:ascii="宋体" w:hAnsi="宋体" w:cs="宋体"/>
                <w:color w:val="auto"/>
                <w:sz w:val="22"/>
                <w:szCs w:val="22"/>
              </w:rPr>
            </w:pPr>
            <w:r>
              <w:rPr>
                <w:rFonts w:hint="eastAsia" w:ascii="宋体" w:hAnsi="宋体" w:cs="宋体"/>
                <w:color w:val="auto"/>
                <w:sz w:val="22"/>
                <w:szCs w:val="22"/>
              </w:rPr>
              <w:t>交付实施地点</w:t>
            </w:r>
          </w:p>
        </w:tc>
        <w:tc>
          <w:tcPr>
            <w:tcW w:w="4032" w:type="pct"/>
            <w:tcBorders>
              <w:top w:val="single" w:color="auto" w:sz="4" w:space="0"/>
              <w:left w:val="single" w:color="auto" w:sz="4" w:space="0"/>
              <w:bottom w:val="single" w:color="auto" w:sz="4" w:space="0"/>
              <w:right w:val="single" w:color="auto" w:sz="4" w:space="0"/>
            </w:tcBorders>
            <w:vAlign w:val="center"/>
          </w:tcPr>
          <w:p w14:paraId="64D5A96B">
            <w:pPr>
              <w:pStyle w:val="19"/>
              <w:snapToGrid w:val="0"/>
              <w:rPr>
                <w:rFonts w:ascii="宋体" w:hAnsi="宋体" w:cs="宋体"/>
                <w:color w:val="auto"/>
                <w:sz w:val="22"/>
                <w:szCs w:val="22"/>
              </w:rPr>
            </w:pPr>
            <w:r>
              <w:rPr>
                <w:rFonts w:hint="eastAsia" w:ascii="宋体" w:hAnsi="宋体" w:cs="宋体"/>
                <w:color w:val="auto"/>
                <w:sz w:val="22"/>
                <w:szCs w:val="22"/>
              </w:rPr>
              <w:t>杭州职业技术大学</w:t>
            </w:r>
            <w:r>
              <w:rPr>
                <w:rFonts w:hint="eastAsia" w:ascii="宋体" w:hAnsi="宋体" w:cs="宋体"/>
                <w:color w:val="auto"/>
                <w:sz w:val="22"/>
                <w:szCs w:val="22"/>
                <w:lang w:eastAsia="zh-CN"/>
              </w:rPr>
              <w:t>新安江校区</w:t>
            </w:r>
            <w:r>
              <w:rPr>
                <w:rFonts w:ascii="宋体" w:hAnsi="宋体" w:cs="宋体"/>
                <w:color w:val="auto"/>
                <w:sz w:val="22"/>
                <w:szCs w:val="22"/>
              </w:rPr>
              <w:t>指定地点</w:t>
            </w:r>
            <w:r>
              <w:rPr>
                <w:rFonts w:hint="eastAsia" w:ascii="宋体" w:hAnsi="宋体" w:cs="宋体"/>
                <w:color w:val="auto"/>
                <w:sz w:val="22"/>
                <w:szCs w:val="22"/>
              </w:rPr>
              <w:t>。</w:t>
            </w:r>
          </w:p>
        </w:tc>
      </w:tr>
      <w:tr w14:paraId="27F05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67" w:type="pct"/>
            <w:tcBorders>
              <w:top w:val="single" w:color="auto" w:sz="4" w:space="0"/>
              <w:left w:val="single" w:color="auto" w:sz="4" w:space="0"/>
              <w:bottom w:val="single" w:color="auto" w:sz="4" w:space="0"/>
              <w:right w:val="single" w:color="auto" w:sz="4" w:space="0"/>
            </w:tcBorders>
            <w:vAlign w:val="center"/>
          </w:tcPr>
          <w:p w14:paraId="26EBE70E">
            <w:pPr>
              <w:snapToGrid w:val="0"/>
              <w:jc w:val="center"/>
              <w:rPr>
                <w:rFonts w:ascii="宋体" w:hAnsi="宋体" w:cs="宋体"/>
                <w:color w:val="auto"/>
                <w:sz w:val="22"/>
                <w:szCs w:val="22"/>
              </w:rPr>
            </w:pPr>
            <w:r>
              <w:rPr>
                <w:rFonts w:hint="eastAsia" w:ascii="宋体" w:hAnsi="宋体" w:cs="宋体"/>
                <w:color w:val="auto"/>
                <w:sz w:val="22"/>
                <w:szCs w:val="22"/>
              </w:rPr>
              <w:t>▲质保期</w:t>
            </w:r>
          </w:p>
        </w:tc>
        <w:tc>
          <w:tcPr>
            <w:tcW w:w="4032" w:type="pct"/>
            <w:tcBorders>
              <w:top w:val="single" w:color="auto" w:sz="4" w:space="0"/>
              <w:left w:val="single" w:color="auto" w:sz="4" w:space="0"/>
              <w:bottom w:val="single" w:color="auto" w:sz="4" w:space="0"/>
              <w:right w:val="single" w:color="auto" w:sz="4" w:space="0"/>
            </w:tcBorders>
            <w:vAlign w:val="center"/>
          </w:tcPr>
          <w:p w14:paraId="17B631D2">
            <w:pPr>
              <w:snapToGrid w:val="0"/>
              <w:jc w:val="left"/>
              <w:rPr>
                <w:rFonts w:hint="default" w:eastAsia="宋体"/>
                <w:color w:val="auto"/>
                <w:sz w:val="22"/>
                <w:szCs w:val="22"/>
                <w:lang w:val="en-US" w:eastAsia="zh-CN"/>
              </w:rPr>
            </w:pPr>
            <w:r>
              <w:rPr>
                <w:rFonts w:hint="eastAsia" w:ascii="宋体" w:hAnsi="宋体" w:cs="宋体"/>
                <w:color w:val="auto"/>
                <w:sz w:val="22"/>
                <w:szCs w:val="22"/>
              </w:rPr>
              <w:t>质保期</w:t>
            </w:r>
            <w:r>
              <w:rPr>
                <w:rFonts w:hint="eastAsia" w:ascii="宋体" w:hAnsi="宋体" w:cs="宋体"/>
                <w:color w:val="auto"/>
                <w:sz w:val="22"/>
                <w:szCs w:val="22"/>
                <w:lang w:val="en-US" w:eastAsia="zh-CN"/>
              </w:rPr>
              <w:t>5年</w:t>
            </w:r>
          </w:p>
          <w:p w14:paraId="5AFDB510">
            <w:pPr>
              <w:snapToGrid w:val="0"/>
              <w:jc w:val="left"/>
              <w:rPr>
                <w:color w:val="auto"/>
                <w:sz w:val="22"/>
                <w:szCs w:val="22"/>
              </w:rPr>
            </w:pPr>
            <w:r>
              <w:rPr>
                <w:rFonts w:hint="eastAsia" w:ascii="宋体" w:hAnsi="宋体" w:cs="宋体"/>
                <w:color w:val="auto"/>
                <w:sz w:val="22"/>
                <w:szCs w:val="22"/>
              </w:rPr>
              <w:t>上述质保期均自对应标项验收合格之日起计算</w:t>
            </w:r>
            <w:r>
              <w:rPr>
                <w:rFonts w:hint="eastAsia" w:ascii="宋体" w:hAnsi="宋体" w:cs="宋体"/>
                <w:color w:val="auto"/>
                <w:kern w:val="0"/>
                <w:sz w:val="22"/>
                <w:szCs w:val="22"/>
              </w:rPr>
              <w:t>，提供承诺函，否则投标无效。</w:t>
            </w:r>
          </w:p>
        </w:tc>
      </w:tr>
      <w:tr w14:paraId="28549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642" w:type="dxa"/>
            <w:tcBorders>
              <w:top w:val="single" w:color="auto" w:sz="4" w:space="0"/>
              <w:left w:val="single" w:color="auto" w:sz="4" w:space="0"/>
              <w:bottom w:val="single" w:color="auto" w:sz="4" w:space="0"/>
              <w:right w:val="single" w:color="auto" w:sz="4" w:space="0"/>
            </w:tcBorders>
            <w:vAlign w:val="center"/>
          </w:tcPr>
          <w:p w14:paraId="2A9DFB51">
            <w:pPr>
              <w:snapToGrid w:val="0"/>
              <w:jc w:val="center"/>
              <w:rPr>
                <w:rFonts w:ascii="宋体" w:hAnsi="宋体" w:cs="宋体"/>
                <w:color w:val="auto"/>
                <w:sz w:val="22"/>
                <w:szCs w:val="22"/>
              </w:rPr>
            </w:pPr>
            <w:r>
              <w:rPr>
                <w:rFonts w:hint="eastAsia" w:ascii="宋体" w:hAnsi="宋体" w:cs="宋体"/>
                <w:color w:val="auto"/>
                <w:sz w:val="22"/>
                <w:szCs w:val="22"/>
              </w:rPr>
              <w:t>付款方式</w:t>
            </w:r>
          </w:p>
        </w:tc>
        <w:tc>
          <w:tcPr>
            <w:tcW w:w="6850" w:type="dxa"/>
            <w:tcBorders>
              <w:top w:val="single" w:color="auto" w:sz="4" w:space="0"/>
              <w:left w:val="single" w:color="auto" w:sz="4" w:space="0"/>
              <w:bottom w:val="single" w:color="auto" w:sz="4" w:space="0"/>
              <w:right w:val="single" w:color="auto" w:sz="4" w:space="0"/>
            </w:tcBorders>
            <w:vAlign w:val="center"/>
          </w:tcPr>
          <w:p w14:paraId="2E57AFFF">
            <w:pPr>
              <w:snapToGrid w:val="0"/>
              <w:rPr>
                <w:rFonts w:ascii="宋体" w:hAnsi="宋体" w:cs="宋体"/>
                <w:color w:val="auto"/>
                <w:sz w:val="22"/>
                <w:szCs w:val="22"/>
              </w:rPr>
            </w:pPr>
            <w:r>
              <w:rPr>
                <w:rFonts w:hint="eastAsia" w:ascii="宋体" w:hAnsi="宋体" w:cs="仿宋_GB2312"/>
                <w:color w:val="auto"/>
                <w:sz w:val="22"/>
                <w:szCs w:val="22"/>
              </w:rPr>
              <w:t>合同生效以及具备实施条件后5个工作日内，且中标供应商（乙方）已向采购人（甲方）提交银行出具的（等额）预付款保函（预付款保函的有效期到项目完成时间后的一个月）的，采购人向中标供应商支付合同总价的40%。项目履约完成，经采购人验收合格后，收到发票后5个工作日内，采购人向供应商支付合同总价的60%。</w:t>
            </w:r>
          </w:p>
          <w:p w14:paraId="59E7F94A">
            <w:pPr>
              <w:snapToGrid w:val="0"/>
              <w:rPr>
                <w:rFonts w:ascii="宋体" w:hAnsi="宋体" w:cs="宋体"/>
                <w:color w:val="auto"/>
                <w:sz w:val="22"/>
                <w:szCs w:val="22"/>
              </w:rPr>
            </w:pPr>
            <w:r>
              <w:rPr>
                <w:rFonts w:hint="eastAsia" w:ascii="宋体" w:hAnsi="宋体" w:cs="宋体"/>
                <w:color w:val="auto"/>
                <w:sz w:val="22"/>
                <w:szCs w:val="22"/>
              </w:rPr>
              <w:t xml:space="preserve">特别说明：在签订合同时，中标供应商明确表示无需预付款或者主动要求降低预付款比例的，可零预付款或降低预付款比例（预付款保函同步调整）。 </w:t>
            </w:r>
          </w:p>
        </w:tc>
      </w:tr>
      <w:tr w14:paraId="0C1D7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642" w:type="dxa"/>
            <w:tcBorders>
              <w:top w:val="single" w:color="auto" w:sz="4" w:space="0"/>
              <w:left w:val="single" w:color="auto" w:sz="4" w:space="0"/>
              <w:bottom w:val="single" w:color="auto" w:sz="4" w:space="0"/>
              <w:right w:val="single" w:color="auto" w:sz="4" w:space="0"/>
            </w:tcBorders>
            <w:vAlign w:val="center"/>
          </w:tcPr>
          <w:p w14:paraId="1204DC5C">
            <w:pPr>
              <w:snapToGrid w:val="0"/>
              <w:jc w:val="center"/>
              <w:rPr>
                <w:rFonts w:ascii="宋体" w:hAnsi="宋体" w:cs="宋体"/>
                <w:color w:val="auto"/>
                <w:sz w:val="22"/>
                <w:szCs w:val="22"/>
              </w:rPr>
            </w:pPr>
            <w:r>
              <w:rPr>
                <w:rFonts w:hint="eastAsia" w:ascii="宋体" w:hAnsi="宋体" w:cs="宋体"/>
                <w:color w:val="auto"/>
                <w:sz w:val="22"/>
                <w:szCs w:val="22"/>
              </w:rPr>
              <w:t>履约保证金</w:t>
            </w:r>
          </w:p>
        </w:tc>
        <w:tc>
          <w:tcPr>
            <w:tcW w:w="6850" w:type="dxa"/>
            <w:tcBorders>
              <w:top w:val="single" w:color="auto" w:sz="4" w:space="0"/>
              <w:left w:val="single" w:color="auto" w:sz="4" w:space="0"/>
              <w:bottom w:val="single" w:color="auto" w:sz="4" w:space="0"/>
              <w:right w:val="single" w:color="auto" w:sz="4" w:space="0"/>
            </w:tcBorders>
            <w:vAlign w:val="center"/>
          </w:tcPr>
          <w:p w14:paraId="4FC99E1A">
            <w:pPr>
              <w:snapToGrid w:val="0"/>
              <w:rPr>
                <w:rFonts w:ascii="宋体" w:hAnsi="宋体" w:cs="宋体"/>
                <w:color w:val="auto"/>
                <w:sz w:val="22"/>
                <w:szCs w:val="22"/>
              </w:rPr>
            </w:pPr>
            <w:r>
              <w:rPr>
                <w:rFonts w:hint="eastAsia" w:ascii="宋体" w:hAnsi="宋体" w:cs="宋体"/>
                <w:color w:val="auto"/>
                <w:sz w:val="22"/>
                <w:szCs w:val="22"/>
              </w:rPr>
              <w:t>1.合同签订后5个工作日内，中标供应商向采购人提交合同总价1%的履约保证金。履约保证金在合同履约期间无违约情形的，项目验收通过且收到乙方收据后，于一周内退还（不计息）。逾期退还的，自逾期之日起，向中标供应商每日偿付合同价款的0.05%的违约金。</w:t>
            </w:r>
          </w:p>
          <w:p w14:paraId="20DD8EC0">
            <w:pPr>
              <w:snapToGrid w:val="0"/>
              <w:rPr>
                <w:rFonts w:ascii="宋体" w:hAnsi="宋体" w:cs="宋体"/>
                <w:color w:val="auto"/>
                <w:sz w:val="22"/>
                <w:szCs w:val="22"/>
              </w:rPr>
            </w:pPr>
            <w:r>
              <w:rPr>
                <w:rFonts w:hint="eastAsia" w:ascii="宋体" w:hAnsi="宋体" w:cs="宋体"/>
                <w:color w:val="auto"/>
                <w:sz w:val="22"/>
                <w:szCs w:val="22"/>
              </w:rPr>
              <w:t>2.提交方式：支票、汇票、本票或银行出具的保函（保函的有效期到项目完成时间后的一个月）等非现金形式。</w:t>
            </w:r>
          </w:p>
        </w:tc>
      </w:tr>
    </w:tbl>
    <w:p w14:paraId="7C7A7916">
      <w:pPr>
        <w:rPr>
          <w:color w:val="auto"/>
          <w:sz w:val="22"/>
          <w:szCs w:val="22"/>
        </w:rPr>
      </w:pPr>
    </w:p>
    <w:p w14:paraId="39E0E01A">
      <w:pPr>
        <w:numPr>
          <w:ilvl w:val="0"/>
          <w:numId w:val="1"/>
        </w:numPr>
        <w:snapToGrid w:val="0"/>
        <w:spacing w:line="360" w:lineRule="auto"/>
        <w:ind w:left="250" w:hanging="250" w:hangingChars="113"/>
        <w:outlineLvl w:val="1"/>
        <w:rPr>
          <w:color w:val="auto"/>
          <w:sz w:val="22"/>
          <w:szCs w:val="22"/>
        </w:rPr>
      </w:pPr>
      <w:r>
        <w:rPr>
          <w:rFonts w:hint="eastAsia" w:ascii="宋体" w:hAnsi="宋体" w:cs="宋体"/>
          <w:b/>
          <w:color w:val="auto"/>
          <w:sz w:val="22"/>
          <w:szCs w:val="22"/>
        </w:rPr>
        <w:t>采购清单及要求</w:t>
      </w:r>
    </w:p>
    <w:p w14:paraId="54C986A9">
      <w:pPr>
        <w:spacing w:line="360" w:lineRule="auto"/>
        <w:ind w:firstLine="442" w:firstLineChars="200"/>
        <w:rPr>
          <w:rFonts w:ascii="宋体" w:hAnsi="宋体" w:cs="宋体"/>
          <w:b/>
          <w:color w:val="auto"/>
          <w:sz w:val="22"/>
          <w:szCs w:val="22"/>
        </w:rPr>
      </w:pPr>
      <w:r>
        <w:rPr>
          <w:rFonts w:hint="eastAsia" w:ascii="宋体" w:hAnsi="宋体" w:cs="宋体"/>
          <w:b/>
          <w:bCs/>
          <w:color w:val="auto"/>
          <w:kern w:val="0"/>
          <w:sz w:val="22"/>
          <w:szCs w:val="22"/>
        </w:rPr>
        <w:t>1、</w:t>
      </w:r>
      <w:r>
        <w:rPr>
          <w:rFonts w:hint="eastAsia" w:ascii="宋体" w:hAnsi="宋体" w:cs="宋体"/>
          <w:b/>
          <w:color w:val="auto"/>
          <w:sz w:val="22"/>
          <w:szCs w:val="22"/>
        </w:rPr>
        <w:t>采购清单</w:t>
      </w:r>
    </w:p>
    <w:tbl>
      <w:tblPr>
        <w:tblStyle w:val="63"/>
        <w:tblW w:w="4998" w:type="pct"/>
        <w:jc w:val="center"/>
        <w:tblLayout w:type="autofit"/>
        <w:tblCellMar>
          <w:top w:w="0" w:type="dxa"/>
          <w:left w:w="108" w:type="dxa"/>
          <w:bottom w:w="0" w:type="dxa"/>
          <w:right w:w="108" w:type="dxa"/>
        </w:tblCellMar>
      </w:tblPr>
      <w:tblGrid>
        <w:gridCol w:w="673"/>
        <w:gridCol w:w="4473"/>
        <w:gridCol w:w="1303"/>
        <w:gridCol w:w="1021"/>
        <w:gridCol w:w="1022"/>
      </w:tblGrid>
      <w:tr w14:paraId="78207334">
        <w:tblPrEx>
          <w:tblCellMar>
            <w:top w:w="0" w:type="dxa"/>
            <w:left w:w="108" w:type="dxa"/>
            <w:bottom w:w="0" w:type="dxa"/>
            <w:right w:w="108" w:type="dxa"/>
          </w:tblCellMar>
        </w:tblPrEx>
        <w:trPr>
          <w:trHeight w:val="433"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7DFB4BEF">
            <w:pPr>
              <w:widowControl/>
              <w:jc w:val="center"/>
              <w:rPr>
                <w:rFonts w:ascii="宋体" w:hAnsi="宋体" w:cs="宋体"/>
                <w:b/>
                <w:color w:val="auto"/>
                <w:kern w:val="0"/>
                <w:sz w:val="22"/>
                <w:szCs w:val="22"/>
              </w:rPr>
            </w:pPr>
            <w:r>
              <w:rPr>
                <w:rFonts w:hint="eastAsia" w:ascii="宋体" w:hAnsi="宋体" w:cs="宋体"/>
                <w:b/>
                <w:color w:val="auto"/>
                <w:kern w:val="0"/>
                <w:sz w:val="22"/>
                <w:szCs w:val="22"/>
              </w:rPr>
              <w:t>序号</w:t>
            </w:r>
          </w:p>
        </w:tc>
        <w:tc>
          <w:tcPr>
            <w:tcW w:w="2633" w:type="pct"/>
            <w:tcBorders>
              <w:top w:val="single" w:color="auto" w:sz="4" w:space="0"/>
              <w:left w:val="nil"/>
              <w:bottom w:val="single" w:color="auto" w:sz="4" w:space="0"/>
              <w:right w:val="single" w:color="auto" w:sz="4" w:space="0"/>
            </w:tcBorders>
            <w:vAlign w:val="center"/>
          </w:tcPr>
          <w:p w14:paraId="0603A1ED">
            <w:pPr>
              <w:widowControl/>
              <w:jc w:val="center"/>
              <w:textAlignment w:val="center"/>
              <w:rPr>
                <w:rFonts w:ascii="宋体" w:hAnsi="宋体" w:cs="宋体"/>
                <w:b/>
                <w:color w:val="auto"/>
                <w:kern w:val="0"/>
                <w:sz w:val="22"/>
                <w:szCs w:val="22"/>
              </w:rPr>
            </w:pPr>
            <w:r>
              <w:rPr>
                <w:rFonts w:hint="eastAsia" w:ascii="宋体" w:hAnsi="宋体" w:cs="宋体"/>
                <w:b/>
                <w:bCs/>
                <w:color w:val="auto"/>
                <w:kern w:val="0"/>
                <w:sz w:val="22"/>
                <w:szCs w:val="22"/>
              </w:rPr>
              <w:t>设备/服务名称</w:t>
            </w:r>
          </w:p>
        </w:tc>
        <w:tc>
          <w:tcPr>
            <w:tcW w:w="767" w:type="pct"/>
            <w:tcBorders>
              <w:top w:val="single" w:color="auto" w:sz="4" w:space="0"/>
              <w:left w:val="nil"/>
              <w:bottom w:val="single" w:color="auto" w:sz="4" w:space="0"/>
              <w:right w:val="single" w:color="auto" w:sz="4" w:space="0"/>
            </w:tcBorders>
            <w:vAlign w:val="center"/>
          </w:tcPr>
          <w:p w14:paraId="7B9344C8">
            <w:pPr>
              <w:widowControl/>
              <w:jc w:val="center"/>
              <w:textAlignment w:val="center"/>
              <w:rPr>
                <w:rFonts w:ascii="宋体" w:hAnsi="宋体" w:cs="宋体"/>
                <w:b/>
                <w:color w:val="auto"/>
                <w:kern w:val="0"/>
                <w:sz w:val="22"/>
                <w:szCs w:val="22"/>
              </w:rPr>
            </w:pPr>
            <w:r>
              <w:rPr>
                <w:rFonts w:hint="eastAsia" w:ascii="宋体" w:hAnsi="宋体" w:cs="宋体"/>
                <w:b/>
                <w:bCs/>
                <w:color w:val="auto"/>
                <w:kern w:val="0"/>
                <w:sz w:val="22"/>
                <w:szCs w:val="22"/>
              </w:rPr>
              <w:t>数量</w:t>
            </w:r>
          </w:p>
        </w:tc>
        <w:tc>
          <w:tcPr>
            <w:tcW w:w="601" w:type="pct"/>
            <w:tcBorders>
              <w:top w:val="single" w:color="auto" w:sz="4" w:space="0"/>
              <w:left w:val="nil"/>
              <w:bottom w:val="single" w:color="auto" w:sz="4" w:space="0"/>
              <w:right w:val="single" w:color="auto" w:sz="4" w:space="0"/>
            </w:tcBorders>
            <w:vAlign w:val="center"/>
          </w:tcPr>
          <w:p w14:paraId="1CF214C6">
            <w:pPr>
              <w:widowControl/>
              <w:jc w:val="center"/>
              <w:rPr>
                <w:rFonts w:ascii="宋体" w:hAnsi="宋体" w:cs="宋体"/>
                <w:b/>
                <w:color w:val="auto"/>
                <w:kern w:val="0"/>
                <w:sz w:val="22"/>
                <w:szCs w:val="22"/>
              </w:rPr>
            </w:pPr>
            <w:r>
              <w:rPr>
                <w:rFonts w:hint="eastAsia" w:ascii="宋体" w:hAnsi="宋体" w:cs="宋体"/>
                <w:b/>
                <w:color w:val="auto"/>
                <w:kern w:val="0"/>
                <w:sz w:val="22"/>
                <w:szCs w:val="22"/>
              </w:rPr>
              <w:t>单位</w:t>
            </w:r>
          </w:p>
        </w:tc>
        <w:tc>
          <w:tcPr>
            <w:tcW w:w="601" w:type="pct"/>
            <w:tcBorders>
              <w:top w:val="single" w:color="auto" w:sz="4" w:space="0"/>
              <w:left w:val="nil"/>
              <w:bottom w:val="single" w:color="auto" w:sz="4" w:space="0"/>
              <w:right w:val="single" w:color="auto" w:sz="4" w:space="0"/>
            </w:tcBorders>
            <w:vAlign w:val="center"/>
          </w:tcPr>
          <w:p w14:paraId="5BA9B792">
            <w:pPr>
              <w:widowControl/>
              <w:jc w:val="center"/>
              <w:rPr>
                <w:rFonts w:ascii="宋体" w:hAnsi="宋体" w:cs="宋体"/>
                <w:b/>
                <w:color w:val="auto"/>
                <w:kern w:val="0"/>
                <w:sz w:val="22"/>
                <w:szCs w:val="22"/>
              </w:rPr>
            </w:pPr>
            <w:r>
              <w:rPr>
                <w:rFonts w:hint="eastAsia" w:ascii="宋体" w:hAnsi="宋体" w:cs="宋体"/>
                <w:b/>
                <w:color w:val="auto"/>
                <w:kern w:val="0"/>
                <w:sz w:val="22"/>
                <w:szCs w:val="22"/>
              </w:rPr>
              <w:t>备注</w:t>
            </w:r>
          </w:p>
        </w:tc>
      </w:tr>
      <w:tr w14:paraId="6D799205">
        <w:tblPrEx>
          <w:tblCellMar>
            <w:top w:w="0" w:type="dxa"/>
            <w:left w:w="108" w:type="dxa"/>
            <w:bottom w:w="0" w:type="dxa"/>
            <w:right w:w="108" w:type="dxa"/>
          </w:tblCellMar>
        </w:tblPrEx>
        <w:trPr>
          <w:trHeight w:val="433" w:hRule="atLeast"/>
          <w:jc w:val="center"/>
        </w:trPr>
        <w:tc>
          <w:tcPr>
            <w:tcW w:w="396" w:type="pct"/>
            <w:tcBorders>
              <w:top w:val="nil"/>
              <w:left w:val="single" w:color="auto" w:sz="4" w:space="0"/>
              <w:bottom w:val="single" w:color="auto" w:sz="4" w:space="0"/>
              <w:right w:val="single" w:color="auto" w:sz="4" w:space="0"/>
            </w:tcBorders>
            <w:noWrap/>
            <w:vAlign w:val="center"/>
          </w:tcPr>
          <w:p w14:paraId="61939091">
            <w:pPr>
              <w:widowControl/>
              <w:jc w:val="center"/>
              <w:rPr>
                <w:rFonts w:ascii="宋体" w:hAnsi="宋体" w:cs="宋体 (正文)"/>
                <w:color w:val="auto"/>
                <w:kern w:val="0"/>
                <w:sz w:val="22"/>
                <w:szCs w:val="22"/>
              </w:rPr>
            </w:pPr>
            <w:r>
              <w:rPr>
                <w:rFonts w:hint="eastAsia" w:ascii="宋体" w:hAnsi="宋体" w:cs="宋体 (正文)"/>
                <w:color w:val="auto"/>
                <w:kern w:val="0"/>
                <w:sz w:val="22"/>
                <w:szCs w:val="22"/>
              </w:rPr>
              <w:t>1</w:t>
            </w:r>
          </w:p>
        </w:tc>
        <w:tc>
          <w:tcPr>
            <w:tcW w:w="2633" w:type="pct"/>
            <w:tcBorders>
              <w:top w:val="nil"/>
              <w:left w:val="nil"/>
              <w:bottom w:val="single" w:color="auto" w:sz="4" w:space="0"/>
              <w:right w:val="single" w:color="auto" w:sz="4" w:space="0"/>
            </w:tcBorders>
            <w:vAlign w:val="center"/>
          </w:tcPr>
          <w:p w14:paraId="4DBF927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教学用台式计算机</w:t>
            </w:r>
            <w:r>
              <w:rPr>
                <w:rFonts w:ascii="宋体" w:hAnsi="宋体" w:cs="宋体"/>
                <w:color w:val="auto"/>
                <w:kern w:val="0"/>
                <w:sz w:val="22"/>
                <w:szCs w:val="22"/>
              </w:rPr>
              <w:t>1</w:t>
            </w:r>
          </w:p>
        </w:tc>
        <w:tc>
          <w:tcPr>
            <w:tcW w:w="767" w:type="pct"/>
            <w:tcBorders>
              <w:top w:val="nil"/>
              <w:left w:val="nil"/>
              <w:bottom w:val="single" w:color="auto" w:sz="4" w:space="0"/>
              <w:right w:val="single" w:color="auto" w:sz="4" w:space="0"/>
            </w:tcBorders>
            <w:vAlign w:val="center"/>
          </w:tcPr>
          <w:p w14:paraId="5BDD052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550</w:t>
            </w:r>
          </w:p>
        </w:tc>
        <w:tc>
          <w:tcPr>
            <w:tcW w:w="601" w:type="pct"/>
            <w:tcBorders>
              <w:top w:val="nil"/>
              <w:left w:val="nil"/>
              <w:bottom w:val="single" w:color="auto" w:sz="4" w:space="0"/>
              <w:right w:val="single" w:color="auto" w:sz="4" w:space="0"/>
            </w:tcBorders>
            <w:vAlign w:val="center"/>
          </w:tcPr>
          <w:p w14:paraId="61021F1D">
            <w:pPr>
              <w:widowControl/>
              <w:jc w:val="center"/>
              <w:rPr>
                <w:rFonts w:ascii="宋体" w:hAnsi="宋体" w:cs="宋体"/>
                <w:color w:val="auto"/>
                <w:kern w:val="0"/>
                <w:sz w:val="22"/>
                <w:szCs w:val="22"/>
              </w:rPr>
            </w:pPr>
            <w:r>
              <w:rPr>
                <w:rFonts w:hint="eastAsia" w:ascii="宋体" w:hAnsi="宋体" w:cs="宋体"/>
                <w:color w:val="auto"/>
                <w:kern w:val="0"/>
                <w:sz w:val="22"/>
                <w:szCs w:val="22"/>
              </w:rPr>
              <w:t>台</w:t>
            </w:r>
          </w:p>
        </w:tc>
        <w:tc>
          <w:tcPr>
            <w:tcW w:w="601" w:type="pct"/>
            <w:tcBorders>
              <w:top w:val="nil"/>
              <w:left w:val="nil"/>
              <w:bottom w:val="single" w:color="auto" w:sz="4" w:space="0"/>
              <w:right w:val="single" w:color="auto" w:sz="4" w:space="0"/>
            </w:tcBorders>
            <w:vAlign w:val="center"/>
          </w:tcPr>
          <w:p w14:paraId="034B91E3">
            <w:pPr>
              <w:widowControl/>
              <w:jc w:val="center"/>
              <w:rPr>
                <w:rFonts w:ascii="宋体" w:hAnsi="宋体" w:cs="宋体"/>
                <w:color w:val="auto"/>
                <w:kern w:val="0"/>
                <w:sz w:val="22"/>
                <w:szCs w:val="22"/>
              </w:rPr>
            </w:pPr>
          </w:p>
        </w:tc>
      </w:tr>
      <w:tr w14:paraId="07AE9BCC">
        <w:tblPrEx>
          <w:tblCellMar>
            <w:top w:w="0" w:type="dxa"/>
            <w:left w:w="108" w:type="dxa"/>
            <w:bottom w:w="0" w:type="dxa"/>
            <w:right w:w="108" w:type="dxa"/>
          </w:tblCellMar>
        </w:tblPrEx>
        <w:trPr>
          <w:trHeight w:val="433" w:hRule="atLeast"/>
          <w:jc w:val="center"/>
        </w:trPr>
        <w:tc>
          <w:tcPr>
            <w:tcW w:w="396" w:type="pct"/>
            <w:tcBorders>
              <w:top w:val="nil"/>
              <w:left w:val="single" w:color="auto" w:sz="4" w:space="0"/>
              <w:bottom w:val="single" w:color="auto" w:sz="4" w:space="0"/>
              <w:right w:val="single" w:color="auto" w:sz="4" w:space="0"/>
            </w:tcBorders>
            <w:noWrap/>
            <w:vAlign w:val="center"/>
          </w:tcPr>
          <w:p w14:paraId="4E7A7D0C">
            <w:pPr>
              <w:widowControl/>
              <w:jc w:val="center"/>
              <w:rPr>
                <w:rFonts w:ascii="宋体" w:hAnsi="宋体" w:cs="宋体 (正文)"/>
                <w:color w:val="auto"/>
                <w:kern w:val="0"/>
                <w:sz w:val="22"/>
                <w:szCs w:val="22"/>
              </w:rPr>
            </w:pPr>
            <w:r>
              <w:rPr>
                <w:rFonts w:hint="eastAsia" w:ascii="宋体" w:hAnsi="宋体" w:cs="宋体 (正文)"/>
                <w:color w:val="auto"/>
                <w:kern w:val="0"/>
                <w:sz w:val="22"/>
                <w:szCs w:val="22"/>
              </w:rPr>
              <w:t>2</w:t>
            </w:r>
          </w:p>
        </w:tc>
        <w:tc>
          <w:tcPr>
            <w:tcW w:w="2633" w:type="pct"/>
            <w:tcBorders>
              <w:top w:val="nil"/>
              <w:left w:val="nil"/>
              <w:bottom w:val="single" w:color="auto" w:sz="4" w:space="0"/>
              <w:right w:val="single" w:color="auto" w:sz="4" w:space="0"/>
            </w:tcBorders>
            <w:vAlign w:val="center"/>
          </w:tcPr>
          <w:p w14:paraId="6E36959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教学用台式计算机</w:t>
            </w:r>
            <w:r>
              <w:rPr>
                <w:rFonts w:ascii="宋体" w:hAnsi="宋体" w:cs="宋体"/>
                <w:color w:val="auto"/>
                <w:kern w:val="0"/>
                <w:sz w:val="22"/>
                <w:szCs w:val="22"/>
              </w:rPr>
              <w:t>2</w:t>
            </w:r>
          </w:p>
        </w:tc>
        <w:tc>
          <w:tcPr>
            <w:tcW w:w="767" w:type="pct"/>
            <w:tcBorders>
              <w:top w:val="nil"/>
              <w:left w:val="nil"/>
              <w:bottom w:val="single" w:color="auto" w:sz="4" w:space="0"/>
              <w:right w:val="single" w:color="auto" w:sz="4" w:space="0"/>
            </w:tcBorders>
            <w:vAlign w:val="center"/>
          </w:tcPr>
          <w:p w14:paraId="2867EB8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208</w:t>
            </w:r>
          </w:p>
        </w:tc>
        <w:tc>
          <w:tcPr>
            <w:tcW w:w="601" w:type="pct"/>
            <w:tcBorders>
              <w:top w:val="nil"/>
              <w:left w:val="nil"/>
              <w:bottom w:val="single" w:color="auto" w:sz="4" w:space="0"/>
              <w:right w:val="single" w:color="auto" w:sz="4" w:space="0"/>
            </w:tcBorders>
            <w:vAlign w:val="center"/>
          </w:tcPr>
          <w:p w14:paraId="5EC71451">
            <w:pPr>
              <w:widowControl/>
              <w:jc w:val="center"/>
              <w:rPr>
                <w:rFonts w:ascii="宋体" w:hAnsi="宋体" w:cs="宋体"/>
                <w:color w:val="auto"/>
                <w:kern w:val="0"/>
                <w:sz w:val="22"/>
                <w:szCs w:val="22"/>
              </w:rPr>
            </w:pPr>
            <w:r>
              <w:rPr>
                <w:rFonts w:hint="eastAsia" w:ascii="宋体" w:hAnsi="宋体" w:cs="宋体"/>
                <w:color w:val="auto"/>
                <w:kern w:val="0"/>
                <w:sz w:val="22"/>
                <w:szCs w:val="22"/>
              </w:rPr>
              <w:t>台</w:t>
            </w:r>
          </w:p>
        </w:tc>
        <w:tc>
          <w:tcPr>
            <w:tcW w:w="601" w:type="pct"/>
            <w:tcBorders>
              <w:top w:val="nil"/>
              <w:left w:val="nil"/>
              <w:bottom w:val="single" w:color="auto" w:sz="4" w:space="0"/>
              <w:right w:val="single" w:color="auto" w:sz="4" w:space="0"/>
            </w:tcBorders>
            <w:vAlign w:val="center"/>
          </w:tcPr>
          <w:p w14:paraId="6A119A01">
            <w:pPr>
              <w:widowControl/>
              <w:jc w:val="center"/>
              <w:rPr>
                <w:rFonts w:ascii="宋体" w:hAnsi="宋体" w:cs="宋体"/>
                <w:color w:val="auto"/>
                <w:kern w:val="0"/>
                <w:sz w:val="22"/>
                <w:szCs w:val="22"/>
              </w:rPr>
            </w:pPr>
          </w:p>
        </w:tc>
      </w:tr>
      <w:tr w14:paraId="69393C8D">
        <w:tblPrEx>
          <w:tblCellMar>
            <w:top w:w="0" w:type="dxa"/>
            <w:left w:w="108" w:type="dxa"/>
            <w:bottom w:w="0" w:type="dxa"/>
            <w:right w:w="108" w:type="dxa"/>
          </w:tblCellMar>
        </w:tblPrEx>
        <w:trPr>
          <w:trHeight w:val="433" w:hRule="atLeast"/>
          <w:jc w:val="center"/>
        </w:trPr>
        <w:tc>
          <w:tcPr>
            <w:tcW w:w="396" w:type="pct"/>
            <w:tcBorders>
              <w:top w:val="nil"/>
              <w:left w:val="single" w:color="auto" w:sz="4" w:space="0"/>
              <w:bottom w:val="single" w:color="auto" w:sz="4" w:space="0"/>
              <w:right w:val="single" w:color="auto" w:sz="4" w:space="0"/>
            </w:tcBorders>
            <w:noWrap/>
            <w:vAlign w:val="center"/>
          </w:tcPr>
          <w:p w14:paraId="70EC339C">
            <w:pPr>
              <w:widowControl/>
              <w:jc w:val="center"/>
              <w:rPr>
                <w:rFonts w:ascii="宋体" w:hAnsi="宋体" w:cs="宋体 (正文)"/>
                <w:color w:val="auto"/>
                <w:kern w:val="0"/>
                <w:sz w:val="22"/>
                <w:szCs w:val="22"/>
              </w:rPr>
            </w:pPr>
            <w:r>
              <w:rPr>
                <w:rFonts w:hint="eastAsia" w:ascii="宋体" w:hAnsi="宋体" w:cs="宋体 (正文)"/>
                <w:color w:val="auto"/>
                <w:kern w:val="0"/>
                <w:sz w:val="22"/>
                <w:szCs w:val="22"/>
              </w:rPr>
              <w:t>3</w:t>
            </w:r>
          </w:p>
        </w:tc>
        <w:tc>
          <w:tcPr>
            <w:tcW w:w="2633" w:type="pct"/>
            <w:tcBorders>
              <w:top w:val="nil"/>
              <w:left w:val="nil"/>
              <w:bottom w:val="single" w:color="auto" w:sz="4" w:space="0"/>
              <w:right w:val="single" w:color="auto" w:sz="4" w:space="0"/>
            </w:tcBorders>
            <w:vAlign w:val="center"/>
          </w:tcPr>
          <w:p w14:paraId="2E42952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教学用笔记本电脑</w:t>
            </w:r>
          </w:p>
        </w:tc>
        <w:tc>
          <w:tcPr>
            <w:tcW w:w="767" w:type="pct"/>
            <w:tcBorders>
              <w:top w:val="nil"/>
              <w:left w:val="nil"/>
              <w:bottom w:val="single" w:color="auto" w:sz="4" w:space="0"/>
              <w:right w:val="single" w:color="auto" w:sz="4" w:space="0"/>
            </w:tcBorders>
            <w:vAlign w:val="center"/>
          </w:tcPr>
          <w:p w14:paraId="6553445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50</w:t>
            </w:r>
          </w:p>
        </w:tc>
        <w:tc>
          <w:tcPr>
            <w:tcW w:w="601" w:type="pct"/>
            <w:tcBorders>
              <w:top w:val="nil"/>
              <w:left w:val="nil"/>
              <w:bottom w:val="single" w:color="auto" w:sz="4" w:space="0"/>
              <w:right w:val="single" w:color="auto" w:sz="4" w:space="0"/>
            </w:tcBorders>
            <w:vAlign w:val="center"/>
          </w:tcPr>
          <w:p w14:paraId="369E45FC">
            <w:pPr>
              <w:widowControl/>
              <w:jc w:val="center"/>
              <w:rPr>
                <w:rFonts w:ascii="宋体" w:hAnsi="宋体" w:cs="宋体"/>
                <w:color w:val="auto"/>
                <w:kern w:val="0"/>
                <w:sz w:val="22"/>
                <w:szCs w:val="22"/>
              </w:rPr>
            </w:pPr>
            <w:r>
              <w:rPr>
                <w:rFonts w:hint="eastAsia" w:ascii="宋体" w:hAnsi="宋体" w:cs="宋体"/>
                <w:color w:val="auto"/>
                <w:kern w:val="0"/>
                <w:sz w:val="22"/>
                <w:szCs w:val="22"/>
              </w:rPr>
              <w:t>台</w:t>
            </w:r>
          </w:p>
        </w:tc>
        <w:tc>
          <w:tcPr>
            <w:tcW w:w="601" w:type="pct"/>
            <w:tcBorders>
              <w:top w:val="nil"/>
              <w:left w:val="nil"/>
              <w:bottom w:val="single" w:color="auto" w:sz="4" w:space="0"/>
              <w:right w:val="single" w:color="auto" w:sz="4" w:space="0"/>
            </w:tcBorders>
            <w:vAlign w:val="center"/>
          </w:tcPr>
          <w:p w14:paraId="157B0ACD">
            <w:pPr>
              <w:widowControl/>
              <w:jc w:val="center"/>
              <w:rPr>
                <w:rFonts w:ascii="宋体" w:hAnsi="宋体" w:cs="宋体"/>
                <w:color w:val="auto"/>
                <w:kern w:val="0"/>
                <w:sz w:val="22"/>
                <w:szCs w:val="22"/>
              </w:rPr>
            </w:pPr>
          </w:p>
        </w:tc>
      </w:tr>
      <w:tr w14:paraId="1BDEC33A">
        <w:tblPrEx>
          <w:tblCellMar>
            <w:top w:w="0" w:type="dxa"/>
            <w:left w:w="108" w:type="dxa"/>
            <w:bottom w:w="0" w:type="dxa"/>
            <w:right w:w="108" w:type="dxa"/>
          </w:tblCellMar>
        </w:tblPrEx>
        <w:trPr>
          <w:trHeight w:val="433" w:hRule="atLeast"/>
          <w:jc w:val="center"/>
        </w:trPr>
        <w:tc>
          <w:tcPr>
            <w:tcW w:w="396" w:type="pct"/>
            <w:tcBorders>
              <w:top w:val="nil"/>
              <w:left w:val="single" w:color="auto" w:sz="4" w:space="0"/>
              <w:bottom w:val="single" w:color="auto" w:sz="4" w:space="0"/>
              <w:right w:val="single" w:color="auto" w:sz="4" w:space="0"/>
            </w:tcBorders>
            <w:noWrap/>
            <w:vAlign w:val="center"/>
          </w:tcPr>
          <w:p w14:paraId="58CF83D9">
            <w:pPr>
              <w:widowControl/>
              <w:jc w:val="center"/>
              <w:rPr>
                <w:rFonts w:ascii="宋体" w:hAnsi="宋体" w:cs="宋体 (正文)"/>
                <w:color w:val="auto"/>
                <w:kern w:val="0"/>
                <w:sz w:val="22"/>
                <w:szCs w:val="22"/>
              </w:rPr>
            </w:pPr>
            <w:r>
              <w:rPr>
                <w:rFonts w:hint="eastAsia" w:ascii="宋体" w:hAnsi="宋体" w:cs="宋体 (正文)"/>
                <w:color w:val="auto"/>
                <w:kern w:val="0"/>
                <w:sz w:val="22"/>
                <w:szCs w:val="22"/>
              </w:rPr>
              <w:t>4</w:t>
            </w:r>
          </w:p>
        </w:tc>
        <w:tc>
          <w:tcPr>
            <w:tcW w:w="2633" w:type="pct"/>
            <w:tcBorders>
              <w:top w:val="nil"/>
              <w:left w:val="nil"/>
              <w:bottom w:val="single" w:color="auto" w:sz="4" w:space="0"/>
              <w:right w:val="single" w:color="auto" w:sz="4" w:space="0"/>
            </w:tcBorders>
            <w:vAlign w:val="center"/>
          </w:tcPr>
          <w:p w14:paraId="07AA87C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移动图形工作站</w:t>
            </w:r>
          </w:p>
        </w:tc>
        <w:tc>
          <w:tcPr>
            <w:tcW w:w="767" w:type="pct"/>
            <w:tcBorders>
              <w:top w:val="nil"/>
              <w:left w:val="nil"/>
              <w:bottom w:val="single" w:color="auto" w:sz="4" w:space="0"/>
              <w:right w:val="single" w:color="auto" w:sz="4" w:space="0"/>
            </w:tcBorders>
            <w:vAlign w:val="center"/>
          </w:tcPr>
          <w:p w14:paraId="7889798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1</w:t>
            </w:r>
          </w:p>
        </w:tc>
        <w:tc>
          <w:tcPr>
            <w:tcW w:w="601" w:type="pct"/>
            <w:tcBorders>
              <w:top w:val="nil"/>
              <w:left w:val="nil"/>
              <w:bottom w:val="single" w:color="auto" w:sz="4" w:space="0"/>
              <w:right w:val="single" w:color="auto" w:sz="4" w:space="0"/>
            </w:tcBorders>
            <w:vAlign w:val="center"/>
          </w:tcPr>
          <w:p w14:paraId="33CEA923">
            <w:pPr>
              <w:widowControl/>
              <w:jc w:val="center"/>
              <w:rPr>
                <w:rFonts w:ascii="宋体" w:hAnsi="宋体" w:cs="宋体"/>
                <w:color w:val="auto"/>
                <w:kern w:val="0"/>
                <w:sz w:val="22"/>
                <w:szCs w:val="22"/>
              </w:rPr>
            </w:pPr>
            <w:r>
              <w:rPr>
                <w:rFonts w:hint="eastAsia" w:ascii="宋体" w:hAnsi="宋体" w:cs="宋体"/>
                <w:color w:val="auto"/>
                <w:kern w:val="0"/>
                <w:sz w:val="22"/>
                <w:szCs w:val="22"/>
              </w:rPr>
              <w:t>台</w:t>
            </w:r>
          </w:p>
        </w:tc>
        <w:tc>
          <w:tcPr>
            <w:tcW w:w="601" w:type="pct"/>
            <w:tcBorders>
              <w:top w:val="nil"/>
              <w:left w:val="nil"/>
              <w:bottom w:val="single" w:color="auto" w:sz="4" w:space="0"/>
              <w:right w:val="single" w:color="auto" w:sz="4" w:space="0"/>
            </w:tcBorders>
            <w:vAlign w:val="center"/>
          </w:tcPr>
          <w:p w14:paraId="45058C2A">
            <w:pPr>
              <w:widowControl/>
              <w:jc w:val="center"/>
              <w:rPr>
                <w:rFonts w:ascii="宋体" w:hAnsi="宋体" w:cs="宋体"/>
                <w:color w:val="auto"/>
                <w:kern w:val="0"/>
                <w:sz w:val="22"/>
                <w:szCs w:val="22"/>
              </w:rPr>
            </w:pPr>
          </w:p>
        </w:tc>
      </w:tr>
      <w:tr w14:paraId="74BF0E59">
        <w:tblPrEx>
          <w:tblCellMar>
            <w:top w:w="0" w:type="dxa"/>
            <w:left w:w="108" w:type="dxa"/>
            <w:bottom w:w="0" w:type="dxa"/>
            <w:right w:w="108" w:type="dxa"/>
          </w:tblCellMar>
        </w:tblPrEx>
        <w:trPr>
          <w:trHeight w:val="433" w:hRule="atLeast"/>
          <w:jc w:val="center"/>
        </w:trPr>
        <w:tc>
          <w:tcPr>
            <w:tcW w:w="396" w:type="pct"/>
            <w:tcBorders>
              <w:top w:val="nil"/>
              <w:left w:val="single" w:color="auto" w:sz="4" w:space="0"/>
              <w:bottom w:val="single" w:color="auto" w:sz="4" w:space="0"/>
              <w:right w:val="single" w:color="auto" w:sz="4" w:space="0"/>
            </w:tcBorders>
            <w:noWrap/>
            <w:vAlign w:val="center"/>
          </w:tcPr>
          <w:p w14:paraId="348B0B16">
            <w:pPr>
              <w:widowControl/>
              <w:jc w:val="center"/>
              <w:rPr>
                <w:rFonts w:ascii="宋体" w:hAnsi="宋体" w:cs="宋体 (正文)"/>
                <w:color w:val="auto"/>
                <w:kern w:val="0"/>
                <w:sz w:val="22"/>
                <w:szCs w:val="22"/>
              </w:rPr>
            </w:pPr>
            <w:r>
              <w:rPr>
                <w:rFonts w:hint="eastAsia" w:ascii="宋体" w:hAnsi="宋体" w:cs="宋体 (正文)"/>
                <w:color w:val="auto"/>
                <w:kern w:val="0"/>
                <w:sz w:val="22"/>
                <w:szCs w:val="22"/>
              </w:rPr>
              <w:t>5</w:t>
            </w:r>
          </w:p>
        </w:tc>
        <w:tc>
          <w:tcPr>
            <w:tcW w:w="2633" w:type="pct"/>
            <w:tcBorders>
              <w:top w:val="nil"/>
              <w:left w:val="nil"/>
              <w:bottom w:val="single" w:color="auto" w:sz="4" w:space="0"/>
              <w:right w:val="single" w:color="auto" w:sz="4" w:space="0"/>
            </w:tcBorders>
            <w:vAlign w:val="center"/>
          </w:tcPr>
          <w:p w14:paraId="5C09BE7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服务器</w:t>
            </w:r>
          </w:p>
        </w:tc>
        <w:tc>
          <w:tcPr>
            <w:tcW w:w="767" w:type="pct"/>
            <w:tcBorders>
              <w:top w:val="nil"/>
              <w:left w:val="nil"/>
              <w:bottom w:val="single" w:color="auto" w:sz="4" w:space="0"/>
              <w:right w:val="single" w:color="auto" w:sz="4" w:space="0"/>
            </w:tcBorders>
            <w:vAlign w:val="center"/>
          </w:tcPr>
          <w:p w14:paraId="1B43BA9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2</w:t>
            </w:r>
          </w:p>
        </w:tc>
        <w:tc>
          <w:tcPr>
            <w:tcW w:w="601" w:type="pct"/>
            <w:tcBorders>
              <w:top w:val="nil"/>
              <w:left w:val="nil"/>
              <w:bottom w:val="single" w:color="auto" w:sz="4" w:space="0"/>
              <w:right w:val="single" w:color="auto" w:sz="4" w:space="0"/>
            </w:tcBorders>
            <w:vAlign w:val="center"/>
          </w:tcPr>
          <w:p w14:paraId="6A7A6C19">
            <w:pPr>
              <w:widowControl/>
              <w:jc w:val="center"/>
              <w:rPr>
                <w:rFonts w:ascii="宋体" w:hAnsi="宋体" w:cs="宋体"/>
                <w:color w:val="auto"/>
                <w:kern w:val="0"/>
                <w:sz w:val="22"/>
                <w:szCs w:val="22"/>
              </w:rPr>
            </w:pPr>
            <w:r>
              <w:rPr>
                <w:rFonts w:hint="eastAsia" w:ascii="宋体" w:hAnsi="宋体" w:cs="宋体"/>
                <w:color w:val="auto"/>
                <w:kern w:val="0"/>
                <w:sz w:val="22"/>
                <w:szCs w:val="22"/>
              </w:rPr>
              <w:t>台</w:t>
            </w:r>
          </w:p>
        </w:tc>
        <w:tc>
          <w:tcPr>
            <w:tcW w:w="601" w:type="pct"/>
            <w:tcBorders>
              <w:top w:val="nil"/>
              <w:left w:val="nil"/>
              <w:bottom w:val="single" w:color="auto" w:sz="4" w:space="0"/>
              <w:right w:val="single" w:color="auto" w:sz="4" w:space="0"/>
            </w:tcBorders>
            <w:vAlign w:val="center"/>
          </w:tcPr>
          <w:p w14:paraId="61006E71">
            <w:pPr>
              <w:widowControl/>
              <w:jc w:val="center"/>
              <w:rPr>
                <w:rFonts w:ascii="宋体" w:hAnsi="宋体" w:cs="宋体"/>
                <w:color w:val="auto"/>
                <w:kern w:val="0"/>
                <w:sz w:val="22"/>
                <w:szCs w:val="22"/>
              </w:rPr>
            </w:pPr>
          </w:p>
        </w:tc>
      </w:tr>
      <w:tr w14:paraId="307B6DA9">
        <w:tblPrEx>
          <w:tblCellMar>
            <w:top w:w="0" w:type="dxa"/>
            <w:left w:w="108" w:type="dxa"/>
            <w:bottom w:w="0" w:type="dxa"/>
            <w:right w:w="108" w:type="dxa"/>
          </w:tblCellMar>
        </w:tblPrEx>
        <w:trPr>
          <w:trHeight w:val="433" w:hRule="atLeast"/>
          <w:jc w:val="center"/>
        </w:trPr>
        <w:tc>
          <w:tcPr>
            <w:tcW w:w="396" w:type="pct"/>
            <w:tcBorders>
              <w:top w:val="nil"/>
              <w:left w:val="single" w:color="auto" w:sz="4" w:space="0"/>
              <w:bottom w:val="single" w:color="auto" w:sz="4" w:space="0"/>
              <w:right w:val="single" w:color="auto" w:sz="4" w:space="0"/>
            </w:tcBorders>
            <w:noWrap/>
            <w:vAlign w:val="center"/>
          </w:tcPr>
          <w:p w14:paraId="1079392E">
            <w:pPr>
              <w:widowControl/>
              <w:jc w:val="center"/>
              <w:rPr>
                <w:rFonts w:ascii="宋体" w:hAnsi="宋体" w:cs="宋体 (正文)"/>
                <w:color w:val="auto"/>
                <w:kern w:val="0"/>
                <w:sz w:val="22"/>
                <w:szCs w:val="22"/>
              </w:rPr>
            </w:pPr>
            <w:r>
              <w:rPr>
                <w:rFonts w:ascii="宋体" w:hAnsi="宋体" w:cs="宋体 (正文)"/>
                <w:color w:val="auto"/>
                <w:kern w:val="0"/>
                <w:sz w:val="22"/>
                <w:szCs w:val="22"/>
              </w:rPr>
              <w:t>6</w:t>
            </w:r>
          </w:p>
        </w:tc>
        <w:tc>
          <w:tcPr>
            <w:tcW w:w="2633" w:type="pct"/>
            <w:tcBorders>
              <w:top w:val="nil"/>
              <w:left w:val="nil"/>
              <w:bottom w:val="single" w:color="auto" w:sz="4" w:space="0"/>
              <w:right w:val="single" w:color="auto" w:sz="4" w:space="0"/>
            </w:tcBorders>
            <w:vAlign w:val="center"/>
          </w:tcPr>
          <w:p w14:paraId="769C7E8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计算机实训室数据决策分析平台</w:t>
            </w:r>
          </w:p>
        </w:tc>
        <w:tc>
          <w:tcPr>
            <w:tcW w:w="767" w:type="pct"/>
            <w:tcBorders>
              <w:top w:val="nil"/>
              <w:left w:val="nil"/>
              <w:bottom w:val="single" w:color="auto" w:sz="4" w:space="0"/>
              <w:right w:val="single" w:color="auto" w:sz="4" w:space="0"/>
            </w:tcBorders>
            <w:vAlign w:val="center"/>
          </w:tcPr>
          <w:p w14:paraId="529FC06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714</w:t>
            </w:r>
          </w:p>
        </w:tc>
        <w:tc>
          <w:tcPr>
            <w:tcW w:w="601" w:type="pct"/>
            <w:tcBorders>
              <w:top w:val="nil"/>
              <w:left w:val="nil"/>
              <w:bottom w:val="single" w:color="auto" w:sz="4" w:space="0"/>
              <w:right w:val="single" w:color="auto" w:sz="4" w:space="0"/>
            </w:tcBorders>
            <w:vAlign w:val="center"/>
          </w:tcPr>
          <w:p w14:paraId="50945B5C">
            <w:pPr>
              <w:widowControl/>
              <w:jc w:val="center"/>
              <w:rPr>
                <w:rFonts w:ascii="宋体" w:hAnsi="宋体" w:cs="宋体"/>
                <w:color w:val="auto"/>
                <w:kern w:val="0"/>
                <w:sz w:val="22"/>
                <w:szCs w:val="22"/>
              </w:rPr>
            </w:pPr>
            <w:r>
              <w:rPr>
                <w:rFonts w:hint="eastAsia" w:ascii="宋体" w:hAnsi="宋体" w:cs="宋体"/>
                <w:color w:val="auto"/>
                <w:kern w:val="0"/>
                <w:sz w:val="22"/>
                <w:szCs w:val="22"/>
              </w:rPr>
              <w:t>套</w:t>
            </w:r>
          </w:p>
        </w:tc>
        <w:tc>
          <w:tcPr>
            <w:tcW w:w="601" w:type="pct"/>
            <w:tcBorders>
              <w:top w:val="nil"/>
              <w:left w:val="nil"/>
              <w:bottom w:val="single" w:color="auto" w:sz="4" w:space="0"/>
              <w:right w:val="single" w:color="auto" w:sz="4" w:space="0"/>
            </w:tcBorders>
            <w:vAlign w:val="center"/>
          </w:tcPr>
          <w:p w14:paraId="71D0D52F">
            <w:pPr>
              <w:widowControl/>
              <w:jc w:val="center"/>
              <w:rPr>
                <w:rFonts w:ascii="宋体" w:hAnsi="宋体" w:cs="宋体"/>
                <w:color w:val="auto"/>
                <w:kern w:val="0"/>
                <w:sz w:val="22"/>
                <w:szCs w:val="22"/>
              </w:rPr>
            </w:pPr>
          </w:p>
        </w:tc>
      </w:tr>
      <w:tr w14:paraId="5427B4E1">
        <w:tblPrEx>
          <w:tblCellMar>
            <w:top w:w="0" w:type="dxa"/>
            <w:left w:w="108" w:type="dxa"/>
            <w:bottom w:w="0" w:type="dxa"/>
            <w:right w:w="108" w:type="dxa"/>
          </w:tblCellMar>
        </w:tblPrEx>
        <w:trPr>
          <w:trHeight w:val="433" w:hRule="atLeast"/>
          <w:jc w:val="center"/>
        </w:trPr>
        <w:tc>
          <w:tcPr>
            <w:tcW w:w="396" w:type="pct"/>
            <w:tcBorders>
              <w:top w:val="nil"/>
              <w:left w:val="single" w:color="auto" w:sz="4" w:space="0"/>
              <w:bottom w:val="single" w:color="auto" w:sz="4" w:space="0"/>
              <w:right w:val="single" w:color="auto" w:sz="4" w:space="0"/>
            </w:tcBorders>
            <w:noWrap/>
            <w:vAlign w:val="center"/>
          </w:tcPr>
          <w:p w14:paraId="4141580F">
            <w:pPr>
              <w:widowControl/>
              <w:jc w:val="center"/>
              <w:rPr>
                <w:rFonts w:ascii="宋体" w:hAnsi="宋体" w:cs="宋体 (正文)"/>
                <w:color w:val="auto"/>
                <w:kern w:val="0"/>
                <w:sz w:val="22"/>
                <w:szCs w:val="22"/>
              </w:rPr>
            </w:pPr>
            <w:r>
              <w:rPr>
                <w:rFonts w:ascii="宋体" w:hAnsi="宋体" w:cs="宋体 (正文)"/>
                <w:color w:val="auto"/>
                <w:kern w:val="0"/>
                <w:sz w:val="22"/>
                <w:szCs w:val="22"/>
              </w:rPr>
              <w:t>7</w:t>
            </w:r>
          </w:p>
        </w:tc>
        <w:tc>
          <w:tcPr>
            <w:tcW w:w="2633" w:type="pct"/>
            <w:tcBorders>
              <w:top w:val="nil"/>
              <w:left w:val="nil"/>
              <w:bottom w:val="single" w:color="auto" w:sz="4" w:space="0"/>
              <w:right w:val="single" w:color="auto" w:sz="4" w:space="0"/>
            </w:tcBorders>
            <w:vAlign w:val="center"/>
          </w:tcPr>
          <w:p w14:paraId="48A2F066">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融合桌面云平台</w:t>
            </w:r>
          </w:p>
        </w:tc>
        <w:tc>
          <w:tcPr>
            <w:tcW w:w="767" w:type="pct"/>
            <w:tcBorders>
              <w:top w:val="nil"/>
              <w:left w:val="nil"/>
              <w:bottom w:val="single" w:color="auto" w:sz="4" w:space="0"/>
              <w:right w:val="single" w:color="auto" w:sz="4" w:space="0"/>
            </w:tcBorders>
            <w:vAlign w:val="center"/>
          </w:tcPr>
          <w:p w14:paraId="03FC067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714</w:t>
            </w:r>
          </w:p>
        </w:tc>
        <w:tc>
          <w:tcPr>
            <w:tcW w:w="601" w:type="pct"/>
            <w:tcBorders>
              <w:top w:val="nil"/>
              <w:left w:val="nil"/>
              <w:bottom w:val="single" w:color="auto" w:sz="4" w:space="0"/>
              <w:right w:val="single" w:color="auto" w:sz="4" w:space="0"/>
            </w:tcBorders>
            <w:vAlign w:val="center"/>
          </w:tcPr>
          <w:p w14:paraId="342A214F">
            <w:pPr>
              <w:widowControl/>
              <w:jc w:val="center"/>
              <w:rPr>
                <w:rFonts w:ascii="宋体" w:hAnsi="宋体" w:cs="宋体"/>
                <w:color w:val="auto"/>
                <w:kern w:val="0"/>
                <w:sz w:val="22"/>
                <w:szCs w:val="22"/>
              </w:rPr>
            </w:pPr>
            <w:r>
              <w:rPr>
                <w:rFonts w:hint="eastAsia" w:ascii="宋体" w:hAnsi="宋体" w:cs="宋体"/>
                <w:color w:val="auto"/>
                <w:kern w:val="0"/>
                <w:sz w:val="22"/>
                <w:szCs w:val="22"/>
              </w:rPr>
              <w:t>套</w:t>
            </w:r>
          </w:p>
        </w:tc>
        <w:tc>
          <w:tcPr>
            <w:tcW w:w="601" w:type="pct"/>
            <w:tcBorders>
              <w:top w:val="nil"/>
              <w:left w:val="nil"/>
              <w:bottom w:val="single" w:color="auto" w:sz="4" w:space="0"/>
              <w:right w:val="single" w:color="auto" w:sz="4" w:space="0"/>
            </w:tcBorders>
            <w:vAlign w:val="center"/>
          </w:tcPr>
          <w:p w14:paraId="4001B2C1">
            <w:pPr>
              <w:widowControl/>
              <w:jc w:val="center"/>
              <w:rPr>
                <w:rFonts w:ascii="宋体" w:hAnsi="宋体" w:cs="宋体"/>
                <w:color w:val="auto"/>
                <w:kern w:val="0"/>
                <w:sz w:val="22"/>
                <w:szCs w:val="22"/>
              </w:rPr>
            </w:pPr>
          </w:p>
        </w:tc>
      </w:tr>
      <w:tr w14:paraId="6A66CD38">
        <w:tblPrEx>
          <w:tblCellMar>
            <w:top w:w="0" w:type="dxa"/>
            <w:left w:w="108" w:type="dxa"/>
            <w:bottom w:w="0" w:type="dxa"/>
            <w:right w:w="108" w:type="dxa"/>
          </w:tblCellMar>
        </w:tblPrEx>
        <w:trPr>
          <w:trHeight w:val="433" w:hRule="atLeast"/>
          <w:jc w:val="center"/>
        </w:trPr>
        <w:tc>
          <w:tcPr>
            <w:tcW w:w="396" w:type="pct"/>
            <w:tcBorders>
              <w:top w:val="nil"/>
              <w:left w:val="single" w:color="auto" w:sz="4" w:space="0"/>
              <w:bottom w:val="single" w:color="auto" w:sz="4" w:space="0"/>
              <w:right w:val="single" w:color="auto" w:sz="4" w:space="0"/>
            </w:tcBorders>
            <w:noWrap/>
            <w:vAlign w:val="center"/>
          </w:tcPr>
          <w:p w14:paraId="7F59720E">
            <w:pPr>
              <w:widowControl/>
              <w:ind w:firstLine="220" w:firstLineChars="100"/>
              <w:rPr>
                <w:rFonts w:ascii="宋体" w:hAnsi="宋体" w:cs="宋体 (正文)"/>
                <w:color w:val="auto"/>
                <w:kern w:val="0"/>
                <w:sz w:val="22"/>
                <w:szCs w:val="22"/>
              </w:rPr>
            </w:pPr>
            <w:r>
              <w:rPr>
                <w:rFonts w:ascii="宋体" w:hAnsi="宋体" w:cs="宋体 (正文)"/>
                <w:color w:val="auto"/>
                <w:kern w:val="0"/>
                <w:sz w:val="22"/>
                <w:szCs w:val="22"/>
              </w:rPr>
              <w:t>8</w:t>
            </w:r>
          </w:p>
        </w:tc>
        <w:tc>
          <w:tcPr>
            <w:tcW w:w="2633" w:type="pct"/>
            <w:tcBorders>
              <w:top w:val="nil"/>
              <w:left w:val="nil"/>
              <w:bottom w:val="single" w:color="auto" w:sz="4" w:space="0"/>
              <w:right w:val="single" w:color="auto" w:sz="4" w:space="0"/>
            </w:tcBorders>
            <w:vAlign w:val="center"/>
          </w:tcPr>
          <w:p w14:paraId="556A74C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智慧物联设备</w:t>
            </w:r>
          </w:p>
        </w:tc>
        <w:tc>
          <w:tcPr>
            <w:tcW w:w="767" w:type="pct"/>
            <w:tcBorders>
              <w:top w:val="nil"/>
              <w:left w:val="nil"/>
              <w:bottom w:val="single" w:color="auto" w:sz="4" w:space="0"/>
              <w:right w:val="single" w:color="auto" w:sz="4" w:space="0"/>
            </w:tcBorders>
            <w:vAlign w:val="center"/>
          </w:tcPr>
          <w:p w14:paraId="19AF057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14</w:t>
            </w:r>
          </w:p>
        </w:tc>
        <w:tc>
          <w:tcPr>
            <w:tcW w:w="601" w:type="pct"/>
            <w:tcBorders>
              <w:top w:val="nil"/>
              <w:left w:val="nil"/>
              <w:bottom w:val="single" w:color="auto" w:sz="4" w:space="0"/>
              <w:right w:val="single" w:color="auto" w:sz="4" w:space="0"/>
            </w:tcBorders>
            <w:vAlign w:val="center"/>
          </w:tcPr>
          <w:p w14:paraId="512E9F6A">
            <w:pPr>
              <w:widowControl/>
              <w:jc w:val="center"/>
              <w:rPr>
                <w:rFonts w:ascii="宋体" w:hAnsi="宋体" w:cs="宋体"/>
                <w:color w:val="auto"/>
                <w:kern w:val="0"/>
                <w:sz w:val="22"/>
                <w:szCs w:val="22"/>
              </w:rPr>
            </w:pPr>
            <w:r>
              <w:rPr>
                <w:rFonts w:hint="eastAsia" w:ascii="宋体" w:hAnsi="宋体" w:cs="宋体"/>
                <w:color w:val="auto"/>
                <w:kern w:val="0"/>
                <w:sz w:val="22"/>
                <w:szCs w:val="22"/>
              </w:rPr>
              <w:t>台</w:t>
            </w:r>
          </w:p>
        </w:tc>
        <w:tc>
          <w:tcPr>
            <w:tcW w:w="601" w:type="pct"/>
            <w:tcBorders>
              <w:top w:val="nil"/>
              <w:left w:val="nil"/>
              <w:bottom w:val="single" w:color="auto" w:sz="4" w:space="0"/>
              <w:right w:val="single" w:color="auto" w:sz="4" w:space="0"/>
            </w:tcBorders>
            <w:vAlign w:val="center"/>
          </w:tcPr>
          <w:p w14:paraId="5E8BFD5C">
            <w:pPr>
              <w:widowControl/>
              <w:jc w:val="center"/>
              <w:rPr>
                <w:rFonts w:ascii="宋体" w:hAnsi="宋体" w:cs="宋体"/>
                <w:color w:val="auto"/>
                <w:kern w:val="0"/>
                <w:sz w:val="22"/>
                <w:szCs w:val="22"/>
              </w:rPr>
            </w:pPr>
          </w:p>
        </w:tc>
      </w:tr>
      <w:tr w14:paraId="06D8DB41">
        <w:tblPrEx>
          <w:tblCellMar>
            <w:top w:w="0" w:type="dxa"/>
            <w:left w:w="108" w:type="dxa"/>
            <w:bottom w:w="0" w:type="dxa"/>
            <w:right w:w="108" w:type="dxa"/>
          </w:tblCellMar>
        </w:tblPrEx>
        <w:trPr>
          <w:trHeight w:val="433" w:hRule="atLeast"/>
          <w:jc w:val="center"/>
        </w:trPr>
        <w:tc>
          <w:tcPr>
            <w:tcW w:w="396" w:type="pct"/>
            <w:tcBorders>
              <w:top w:val="nil"/>
              <w:left w:val="single" w:color="auto" w:sz="4" w:space="0"/>
              <w:bottom w:val="single" w:color="auto" w:sz="4" w:space="0"/>
              <w:right w:val="single" w:color="auto" w:sz="4" w:space="0"/>
            </w:tcBorders>
            <w:noWrap/>
            <w:vAlign w:val="center"/>
          </w:tcPr>
          <w:p w14:paraId="45CEDE52">
            <w:pPr>
              <w:widowControl/>
              <w:ind w:firstLine="220" w:firstLineChars="100"/>
              <w:rPr>
                <w:rFonts w:ascii="宋体" w:hAnsi="宋体" w:cs="宋体 (正文)"/>
                <w:color w:val="auto"/>
                <w:kern w:val="0"/>
                <w:sz w:val="22"/>
                <w:szCs w:val="22"/>
              </w:rPr>
            </w:pPr>
            <w:r>
              <w:rPr>
                <w:rFonts w:hint="eastAsia" w:ascii="宋体" w:hAnsi="宋体" w:cs="宋体 (正文)"/>
                <w:color w:val="auto"/>
                <w:kern w:val="0"/>
                <w:sz w:val="22"/>
                <w:szCs w:val="22"/>
              </w:rPr>
              <w:t>9</w:t>
            </w:r>
          </w:p>
        </w:tc>
        <w:tc>
          <w:tcPr>
            <w:tcW w:w="2633" w:type="pct"/>
            <w:tcBorders>
              <w:top w:val="nil"/>
              <w:left w:val="nil"/>
              <w:bottom w:val="single" w:color="auto" w:sz="4" w:space="0"/>
              <w:right w:val="single" w:color="auto" w:sz="4" w:space="0"/>
            </w:tcBorders>
            <w:vAlign w:val="center"/>
          </w:tcPr>
          <w:p w14:paraId="2A17F43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电子教室软件</w:t>
            </w:r>
          </w:p>
        </w:tc>
        <w:tc>
          <w:tcPr>
            <w:tcW w:w="767" w:type="pct"/>
            <w:tcBorders>
              <w:top w:val="nil"/>
              <w:left w:val="nil"/>
              <w:bottom w:val="single" w:color="auto" w:sz="4" w:space="0"/>
              <w:right w:val="single" w:color="auto" w:sz="4" w:space="0"/>
            </w:tcBorders>
            <w:vAlign w:val="center"/>
          </w:tcPr>
          <w:p w14:paraId="0478348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14</w:t>
            </w:r>
          </w:p>
        </w:tc>
        <w:tc>
          <w:tcPr>
            <w:tcW w:w="601" w:type="pct"/>
            <w:tcBorders>
              <w:top w:val="nil"/>
              <w:left w:val="nil"/>
              <w:bottom w:val="single" w:color="auto" w:sz="4" w:space="0"/>
              <w:right w:val="single" w:color="auto" w:sz="4" w:space="0"/>
            </w:tcBorders>
            <w:vAlign w:val="center"/>
          </w:tcPr>
          <w:p w14:paraId="0D36458F">
            <w:pPr>
              <w:widowControl/>
              <w:jc w:val="center"/>
              <w:rPr>
                <w:rFonts w:ascii="宋体" w:hAnsi="宋体" w:cs="宋体"/>
                <w:color w:val="auto"/>
                <w:kern w:val="0"/>
                <w:sz w:val="22"/>
                <w:szCs w:val="22"/>
              </w:rPr>
            </w:pPr>
            <w:r>
              <w:rPr>
                <w:rFonts w:hint="eastAsia" w:ascii="宋体" w:hAnsi="宋体" w:cs="宋体"/>
                <w:color w:val="auto"/>
                <w:kern w:val="0"/>
                <w:sz w:val="22"/>
                <w:szCs w:val="22"/>
              </w:rPr>
              <w:t>套</w:t>
            </w:r>
          </w:p>
        </w:tc>
        <w:tc>
          <w:tcPr>
            <w:tcW w:w="601" w:type="pct"/>
            <w:tcBorders>
              <w:top w:val="nil"/>
              <w:left w:val="nil"/>
              <w:bottom w:val="single" w:color="auto" w:sz="4" w:space="0"/>
              <w:right w:val="single" w:color="auto" w:sz="4" w:space="0"/>
            </w:tcBorders>
            <w:vAlign w:val="center"/>
          </w:tcPr>
          <w:p w14:paraId="0739B204">
            <w:pPr>
              <w:widowControl/>
              <w:jc w:val="center"/>
              <w:rPr>
                <w:rFonts w:ascii="宋体" w:hAnsi="宋体" w:cs="宋体"/>
                <w:color w:val="auto"/>
                <w:kern w:val="0"/>
                <w:sz w:val="22"/>
                <w:szCs w:val="22"/>
              </w:rPr>
            </w:pPr>
          </w:p>
        </w:tc>
      </w:tr>
      <w:tr w14:paraId="2AE1C044">
        <w:tblPrEx>
          <w:tblCellMar>
            <w:top w:w="0" w:type="dxa"/>
            <w:left w:w="108" w:type="dxa"/>
            <w:bottom w:w="0" w:type="dxa"/>
            <w:right w:w="108" w:type="dxa"/>
          </w:tblCellMar>
        </w:tblPrEx>
        <w:trPr>
          <w:trHeight w:val="433" w:hRule="atLeast"/>
          <w:jc w:val="center"/>
        </w:trPr>
        <w:tc>
          <w:tcPr>
            <w:tcW w:w="396" w:type="pct"/>
            <w:tcBorders>
              <w:top w:val="nil"/>
              <w:left w:val="single" w:color="auto" w:sz="4" w:space="0"/>
              <w:bottom w:val="single" w:color="auto" w:sz="4" w:space="0"/>
              <w:right w:val="single" w:color="auto" w:sz="4" w:space="0"/>
            </w:tcBorders>
            <w:noWrap/>
            <w:vAlign w:val="center"/>
          </w:tcPr>
          <w:p w14:paraId="2B2DD7F6">
            <w:pPr>
              <w:widowControl/>
              <w:ind w:firstLine="220" w:firstLineChars="100"/>
              <w:rPr>
                <w:rFonts w:ascii="宋体" w:hAnsi="宋体" w:cs="宋体 (正文)"/>
                <w:color w:val="auto"/>
                <w:kern w:val="0"/>
                <w:sz w:val="22"/>
                <w:szCs w:val="22"/>
              </w:rPr>
            </w:pPr>
            <w:r>
              <w:rPr>
                <w:rFonts w:hint="eastAsia" w:ascii="宋体" w:hAnsi="宋体" w:cs="宋体 (正文)"/>
                <w:color w:val="auto"/>
                <w:kern w:val="0"/>
                <w:sz w:val="22"/>
                <w:szCs w:val="22"/>
              </w:rPr>
              <w:t>1</w:t>
            </w:r>
            <w:r>
              <w:rPr>
                <w:rFonts w:ascii="宋体" w:hAnsi="宋体" w:cs="宋体 (正文)"/>
                <w:color w:val="auto"/>
                <w:kern w:val="0"/>
                <w:sz w:val="22"/>
                <w:szCs w:val="22"/>
              </w:rPr>
              <w:t>0</w:t>
            </w:r>
          </w:p>
        </w:tc>
        <w:tc>
          <w:tcPr>
            <w:tcW w:w="2633" w:type="pct"/>
            <w:tcBorders>
              <w:top w:val="nil"/>
              <w:left w:val="nil"/>
              <w:bottom w:val="single" w:color="auto" w:sz="4" w:space="0"/>
              <w:right w:val="single" w:color="auto" w:sz="4" w:space="0"/>
            </w:tcBorders>
            <w:vAlign w:val="center"/>
          </w:tcPr>
          <w:p w14:paraId="5796AAA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交换机</w:t>
            </w:r>
          </w:p>
        </w:tc>
        <w:tc>
          <w:tcPr>
            <w:tcW w:w="767" w:type="pct"/>
            <w:tcBorders>
              <w:top w:val="nil"/>
              <w:left w:val="nil"/>
              <w:bottom w:val="single" w:color="auto" w:sz="4" w:space="0"/>
              <w:right w:val="single" w:color="auto" w:sz="4" w:space="0"/>
            </w:tcBorders>
            <w:vAlign w:val="center"/>
          </w:tcPr>
          <w:p w14:paraId="297A9FAF">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28</w:t>
            </w:r>
          </w:p>
        </w:tc>
        <w:tc>
          <w:tcPr>
            <w:tcW w:w="601" w:type="pct"/>
            <w:tcBorders>
              <w:top w:val="nil"/>
              <w:left w:val="nil"/>
              <w:bottom w:val="single" w:color="auto" w:sz="4" w:space="0"/>
              <w:right w:val="single" w:color="auto" w:sz="4" w:space="0"/>
            </w:tcBorders>
            <w:vAlign w:val="center"/>
          </w:tcPr>
          <w:p w14:paraId="164206BC">
            <w:pPr>
              <w:widowControl/>
              <w:jc w:val="center"/>
              <w:rPr>
                <w:rFonts w:ascii="宋体" w:hAnsi="宋体" w:cs="宋体"/>
                <w:color w:val="auto"/>
                <w:kern w:val="0"/>
                <w:sz w:val="22"/>
                <w:szCs w:val="22"/>
              </w:rPr>
            </w:pPr>
            <w:r>
              <w:rPr>
                <w:rFonts w:hint="eastAsia" w:ascii="宋体" w:hAnsi="宋体" w:cs="宋体"/>
                <w:color w:val="auto"/>
                <w:kern w:val="0"/>
                <w:sz w:val="22"/>
                <w:szCs w:val="22"/>
              </w:rPr>
              <w:t>台</w:t>
            </w:r>
          </w:p>
        </w:tc>
        <w:tc>
          <w:tcPr>
            <w:tcW w:w="601" w:type="pct"/>
            <w:tcBorders>
              <w:top w:val="nil"/>
              <w:left w:val="nil"/>
              <w:bottom w:val="single" w:color="auto" w:sz="4" w:space="0"/>
              <w:right w:val="single" w:color="auto" w:sz="4" w:space="0"/>
            </w:tcBorders>
            <w:vAlign w:val="center"/>
          </w:tcPr>
          <w:p w14:paraId="482A83C1">
            <w:pPr>
              <w:widowControl/>
              <w:jc w:val="center"/>
              <w:rPr>
                <w:rFonts w:ascii="宋体" w:hAnsi="宋体" w:cs="宋体"/>
                <w:color w:val="auto"/>
                <w:kern w:val="0"/>
                <w:sz w:val="22"/>
                <w:szCs w:val="22"/>
              </w:rPr>
            </w:pPr>
          </w:p>
        </w:tc>
      </w:tr>
      <w:tr w14:paraId="30B25864">
        <w:tblPrEx>
          <w:tblCellMar>
            <w:top w:w="0" w:type="dxa"/>
            <w:left w:w="108" w:type="dxa"/>
            <w:bottom w:w="0" w:type="dxa"/>
            <w:right w:w="108" w:type="dxa"/>
          </w:tblCellMar>
        </w:tblPrEx>
        <w:trPr>
          <w:trHeight w:val="433" w:hRule="atLeast"/>
          <w:jc w:val="center"/>
        </w:trPr>
        <w:tc>
          <w:tcPr>
            <w:tcW w:w="396" w:type="pct"/>
            <w:tcBorders>
              <w:top w:val="nil"/>
              <w:left w:val="single" w:color="auto" w:sz="4" w:space="0"/>
              <w:bottom w:val="single" w:color="auto" w:sz="4" w:space="0"/>
              <w:right w:val="single" w:color="auto" w:sz="4" w:space="0"/>
            </w:tcBorders>
            <w:noWrap/>
            <w:vAlign w:val="center"/>
          </w:tcPr>
          <w:p w14:paraId="78648F9D">
            <w:pPr>
              <w:widowControl/>
              <w:jc w:val="center"/>
              <w:rPr>
                <w:rFonts w:ascii="宋体" w:hAnsi="宋体" w:cs="宋体 (正文)"/>
                <w:color w:val="auto"/>
                <w:kern w:val="0"/>
                <w:sz w:val="22"/>
                <w:szCs w:val="22"/>
              </w:rPr>
            </w:pPr>
            <w:r>
              <w:rPr>
                <w:rFonts w:ascii="宋体" w:hAnsi="宋体" w:cs="宋体 (正文)"/>
                <w:color w:val="auto"/>
                <w:kern w:val="0"/>
                <w:sz w:val="22"/>
                <w:szCs w:val="22"/>
              </w:rPr>
              <w:t>11</w:t>
            </w:r>
          </w:p>
        </w:tc>
        <w:tc>
          <w:tcPr>
            <w:tcW w:w="2633" w:type="pct"/>
            <w:tcBorders>
              <w:top w:val="nil"/>
              <w:left w:val="nil"/>
              <w:bottom w:val="single" w:color="auto" w:sz="4" w:space="0"/>
              <w:right w:val="single" w:color="auto" w:sz="4" w:space="0"/>
            </w:tcBorders>
            <w:vAlign w:val="center"/>
          </w:tcPr>
          <w:p w14:paraId="27B5FD88">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实训桌1</w:t>
            </w:r>
          </w:p>
        </w:tc>
        <w:tc>
          <w:tcPr>
            <w:tcW w:w="767" w:type="pct"/>
            <w:tcBorders>
              <w:top w:val="nil"/>
              <w:left w:val="nil"/>
              <w:bottom w:val="single" w:color="auto" w:sz="4" w:space="0"/>
              <w:right w:val="single" w:color="auto" w:sz="4" w:space="0"/>
            </w:tcBorders>
            <w:vAlign w:val="center"/>
          </w:tcPr>
          <w:p w14:paraId="45D8DA31">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200</w:t>
            </w:r>
          </w:p>
        </w:tc>
        <w:tc>
          <w:tcPr>
            <w:tcW w:w="601" w:type="pct"/>
            <w:tcBorders>
              <w:top w:val="nil"/>
              <w:left w:val="nil"/>
              <w:bottom w:val="single" w:color="auto" w:sz="4" w:space="0"/>
              <w:right w:val="single" w:color="auto" w:sz="4" w:space="0"/>
            </w:tcBorders>
            <w:vAlign w:val="center"/>
          </w:tcPr>
          <w:p w14:paraId="5E749D30">
            <w:pPr>
              <w:widowControl/>
              <w:jc w:val="center"/>
              <w:rPr>
                <w:rFonts w:ascii="宋体" w:hAnsi="宋体" w:cs="宋体"/>
                <w:color w:val="auto"/>
                <w:kern w:val="0"/>
                <w:sz w:val="22"/>
                <w:szCs w:val="22"/>
              </w:rPr>
            </w:pPr>
            <w:r>
              <w:rPr>
                <w:rFonts w:hint="eastAsia" w:ascii="宋体" w:hAnsi="宋体" w:cs="宋体"/>
                <w:color w:val="auto"/>
                <w:kern w:val="0"/>
                <w:sz w:val="22"/>
                <w:szCs w:val="22"/>
              </w:rPr>
              <w:t>位</w:t>
            </w:r>
          </w:p>
        </w:tc>
        <w:tc>
          <w:tcPr>
            <w:tcW w:w="601" w:type="pct"/>
            <w:tcBorders>
              <w:top w:val="nil"/>
              <w:left w:val="nil"/>
              <w:bottom w:val="single" w:color="auto" w:sz="4" w:space="0"/>
              <w:right w:val="single" w:color="auto" w:sz="4" w:space="0"/>
            </w:tcBorders>
            <w:vAlign w:val="center"/>
          </w:tcPr>
          <w:p w14:paraId="32899DAD">
            <w:pPr>
              <w:widowControl/>
              <w:jc w:val="center"/>
              <w:rPr>
                <w:rFonts w:ascii="宋体" w:hAnsi="宋体" w:cs="宋体"/>
                <w:color w:val="auto"/>
                <w:kern w:val="0"/>
                <w:sz w:val="22"/>
                <w:szCs w:val="22"/>
              </w:rPr>
            </w:pPr>
            <w:r>
              <w:rPr>
                <w:rFonts w:hint="eastAsia" w:ascii="宋体" w:hAnsi="宋体" w:cs="宋体"/>
                <w:color w:val="auto"/>
                <w:kern w:val="0"/>
                <w:sz w:val="22"/>
                <w:szCs w:val="22"/>
              </w:rPr>
              <w:t>按单人位报价</w:t>
            </w:r>
          </w:p>
        </w:tc>
      </w:tr>
      <w:tr w14:paraId="0B793AB8">
        <w:tblPrEx>
          <w:tblCellMar>
            <w:top w:w="0" w:type="dxa"/>
            <w:left w:w="108" w:type="dxa"/>
            <w:bottom w:w="0" w:type="dxa"/>
            <w:right w:w="108" w:type="dxa"/>
          </w:tblCellMar>
        </w:tblPrEx>
        <w:trPr>
          <w:trHeight w:val="433" w:hRule="atLeast"/>
          <w:jc w:val="center"/>
        </w:trPr>
        <w:tc>
          <w:tcPr>
            <w:tcW w:w="396" w:type="pct"/>
            <w:tcBorders>
              <w:top w:val="nil"/>
              <w:left w:val="single" w:color="auto" w:sz="4" w:space="0"/>
              <w:bottom w:val="single" w:color="auto" w:sz="4" w:space="0"/>
              <w:right w:val="single" w:color="auto" w:sz="4" w:space="0"/>
            </w:tcBorders>
            <w:noWrap/>
            <w:vAlign w:val="center"/>
          </w:tcPr>
          <w:p w14:paraId="4337C321">
            <w:pPr>
              <w:widowControl/>
              <w:jc w:val="center"/>
              <w:rPr>
                <w:rFonts w:ascii="宋体" w:hAnsi="宋体" w:cs="宋体 (正文)"/>
                <w:color w:val="auto"/>
                <w:kern w:val="0"/>
                <w:sz w:val="22"/>
                <w:szCs w:val="22"/>
              </w:rPr>
            </w:pPr>
            <w:r>
              <w:rPr>
                <w:rFonts w:hint="eastAsia" w:ascii="宋体" w:hAnsi="宋体" w:cs="宋体 (正文)"/>
                <w:color w:val="auto"/>
                <w:kern w:val="0"/>
                <w:sz w:val="22"/>
                <w:szCs w:val="22"/>
              </w:rPr>
              <w:t>1</w:t>
            </w:r>
            <w:r>
              <w:rPr>
                <w:rFonts w:ascii="宋体" w:hAnsi="宋体" w:cs="宋体 (正文)"/>
                <w:color w:val="auto"/>
                <w:kern w:val="0"/>
                <w:sz w:val="22"/>
                <w:szCs w:val="22"/>
              </w:rPr>
              <w:t>2</w:t>
            </w:r>
          </w:p>
        </w:tc>
        <w:tc>
          <w:tcPr>
            <w:tcW w:w="2633" w:type="pct"/>
            <w:tcBorders>
              <w:top w:val="nil"/>
              <w:left w:val="nil"/>
              <w:bottom w:val="single" w:color="auto" w:sz="4" w:space="0"/>
              <w:right w:val="single" w:color="auto" w:sz="4" w:space="0"/>
            </w:tcBorders>
            <w:vAlign w:val="center"/>
          </w:tcPr>
          <w:p w14:paraId="4AAAA3BA">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实训桌2</w:t>
            </w:r>
          </w:p>
        </w:tc>
        <w:tc>
          <w:tcPr>
            <w:tcW w:w="767" w:type="pct"/>
            <w:tcBorders>
              <w:top w:val="nil"/>
              <w:left w:val="nil"/>
              <w:bottom w:val="single" w:color="auto" w:sz="4" w:space="0"/>
              <w:right w:val="single" w:color="auto" w:sz="4" w:space="0"/>
            </w:tcBorders>
            <w:vAlign w:val="center"/>
          </w:tcPr>
          <w:p w14:paraId="36F5757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5</w:t>
            </w:r>
            <w:r>
              <w:rPr>
                <w:rFonts w:ascii="宋体" w:hAnsi="宋体" w:cs="宋体"/>
                <w:color w:val="auto"/>
                <w:kern w:val="0"/>
                <w:sz w:val="22"/>
                <w:szCs w:val="22"/>
              </w:rPr>
              <w:t>00</w:t>
            </w:r>
          </w:p>
        </w:tc>
        <w:tc>
          <w:tcPr>
            <w:tcW w:w="601" w:type="pct"/>
            <w:tcBorders>
              <w:top w:val="nil"/>
              <w:left w:val="nil"/>
              <w:bottom w:val="single" w:color="auto" w:sz="4" w:space="0"/>
              <w:right w:val="single" w:color="auto" w:sz="4" w:space="0"/>
            </w:tcBorders>
            <w:vAlign w:val="center"/>
          </w:tcPr>
          <w:p w14:paraId="6B2B54B7">
            <w:pPr>
              <w:widowControl/>
              <w:jc w:val="center"/>
              <w:rPr>
                <w:rFonts w:ascii="宋体" w:hAnsi="宋体" w:cs="宋体"/>
                <w:color w:val="auto"/>
                <w:kern w:val="0"/>
                <w:sz w:val="22"/>
                <w:szCs w:val="22"/>
              </w:rPr>
            </w:pPr>
            <w:r>
              <w:rPr>
                <w:rFonts w:hint="eastAsia" w:ascii="宋体" w:hAnsi="宋体" w:cs="宋体"/>
                <w:color w:val="auto"/>
                <w:kern w:val="0"/>
                <w:sz w:val="22"/>
                <w:szCs w:val="22"/>
              </w:rPr>
              <w:t>位</w:t>
            </w:r>
          </w:p>
        </w:tc>
        <w:tc>
          <w:tcPr>
            <w:tcW w:w="601" w:type="pct"/>
            <w:tcBorders>
              <w:top w:val="nil"/>
              <w:left w:val="nil"/>
              <w:bottom w:val="single" w:color="auto" w:sz="4" w:space="0"/>
              <w:right w:val="single" w:color="auto" w:sz="4" w:space="0"/>
            </w:tcBorders>
            <w:vAlign w:val="center"/>
          </w:tcPr>
          <w:p w14:paraId="00724238">
            <w:pPr>
              <w:widowControl/>
              <w:jc w:val="center"/>
              <w:rPr>
                <w:rFonts w:ascii="宋体" w:hAnsi="宋体" w:cs="宋体"/>
                <w:color w:val="auto"/>
                <w:kern w:val="0"/>
                <w:sz w:val="22"/>
                <w:szCs w:val="22"/>
              </w:rPr>
            </w:pPr>
            <w:r>
              <w:rPr>
                <w:rFonts w:hint="eastAsia" w:ascii="宋体" w:hAnsi="宋体" w:cs="宋体"/>
                <w:color w:val="auto"/>
                <w:kern w:val="0"/>
                <w:sz w:val="22"/>
                <w:szCs w:val="22"/>
              </w:rPr>
              <w:t>按单人位报价</w:t>
            </w:r>
          </w:p>
        </w:tc>
      </w:tr>
      <w:tr w14:paraId="58CE6C07">
        <w:tblPrEx>
          <w:tblCellMar>
            <w:top w:w="0" w:type="dxa"/>
            <w:left w:w="108" w:type="dxa"/>
            <w:bottom w:w="0" w:type="dxa"/>
            <w:right w:w="108" w:type="dxa"/>
          </w:tblCellMar>
        </w:tblPrEx>
        <w:trPr>
          <w:trHeight w:val="433" w:hRule="atLeast"/>
          <w:jc w:val="center"/>
        </w:trPr>
        <w:tc>
          <w:tcPr>
            <w:tcW w:w="396" w:type="pct"/>
            <w:tcBorders>
              <w:top w:val="nil"/>
              <w:left w:val="single" w:color="auto" w:sz="4" w:space="0"/>
              <w:bottom w:val="single" w:color="auto" w:sz="4" w:space="0"/>
              <w:right w:val="single" w:color="auto" w:sz="4" w:space="0"/>
            </w:tcBorders>
            <w:noWrap/>
            <w:vAlign w:val="center"/>
          </w:tcPr>
          <w:p w14:paraId="201DDE5C">
            <w:pPr>
              <w:widowControl/>
              <w:jc w:val="center"/>
              <w:rPr>
                <w:rFonts w:ascii="宋体" w:hAnsi="宋体" w:cs="宋体 (正文)"/>
                <w:color w:val="auto"/>
                <w:kern w:val="0"/>
                <w:sz w:val="22"/>
                <w:szCs w:val="22"/>
              </w:rPr>
            </w:pPr>
            <w:r>
              <w:rPr>
                <w:rFonts w:hint="eastAsia" w:ascii="宋体" w:hAnsi="宋体" w:cs="宋体 (正文)"/>
                <w:color w:val="auto"/>
                <w:kern w:val="0"/>
                <w:sz w:val="22"/>
                <w:szCs w:val="22"/>
              </w:rPr>
              <w:t>1</w:t>
            </w:r>
            <w:r>
              <w:rPr>
                <w:rFonts w:ascii="宋体" w:hAnsi="宋体" w:cs="宋体 (正文)"/>
                <w:color w:val="auto"/>
                <w:kern w:val="0"/>
                <w:sz w:val="22"/>
                <w:szCs w:val="22"/>
              </w:rPr>
              <w:t>3</w:t>
            </w:r>
          </w:p>
        </w:tc>
        <w:tc>
          <w:tcPr>
            <w:tcW w:w="2633" w:type="pct"/>
            <w:tcBorders>
              <w:top w:val="nil"/>
              <w:left w:val="nil"/>
              <w:bottom w:val="single" w:color="auto" w:sz="4" w:space="0"/>
              <w:right w:val="single" w:color="auto" w:sz="4" w:space="0"/>
            </w:tcBorders>
            <w:vAlign w:val="center"/>
          </w:tcPr>
          <w:p w14:paraId="49A44362">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教师椅</w:t>
            </w:r>
          </w:p>
        </w:tc>
        <w:tc>
          <w:tcPr>
            <w:tcW w:w="767" w:type="pct"/>
            <w:tcBorders>
              <w:top w:val="nil"/>
              <w:left w:val="nil"/>
              <w:bottom w:val="single" w:color="auto" w:sz="4" w:space="0"/>
              <w:right w:val="single" w:color="auto" w:sz="4" w:space="0"/>
            </w:tcBorders>
            <w:vAlign w:val="center"/>
          </w:tcPr>
          <w:p w14:paraId="228EE43C">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14</w:t>
            </w:r>
          </w:p>
        </w:tc>
        <w:tc>
          <w:tcPr>
            <w:tcW w:w="601" w:type="pct"/>
            <w:tcBorders>
              <w:top w:val="nil"/>
              <w:left w:val="nil"/>
              <w:bottom w:val="single" w:color="auto" w:sz="4" w:space="0"/>
              <w:right w:val="single" w:color="auto" w:sz="4" w:space="0"/>
            </w:tcBorders>
            <w:vAlign w:val="center"/>
          </w:tcPr>
          <w:p w14:paraId="6DADBE6A">
            <w:pPr>
              <w:widowControl/>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601" w:type="pct"/>
            <w:tcBorders>
              <w:top w:val="nil"/>
              <w:left w:val="nil"/>
              <w:bottom w:val="single" w:color="auto" w:sz="4" w:space="0"/>
              <w:right w:val="single" w:color="auto" w:sz="4" w:space="0"/>
            </w:tcBorders>
            <w:vAlign w:val="center"/>
          </w:tcPr>
          <w:p w14:paraId="58F0D7C8">
            <w:pPr>
              <w:widowControl/>
              <w:jc w:val="center"/>
              <w:rPr>
                <w:rFonts w:ascii="宋体" w:hAnsi="宋体" w:cs="宋体"/>
                <w:color w:val="auto"/>
                <w:kern w:val="0"/>
                <w:sz w:val="22"/>
                <w:szCs w:val="22"/>
              </w:rPr>
            </w:pPr>
          </w:p>
        </w:tc>
      </w:tr>
      <w:tr w14:paraId="05A5CC10">
        <w:tblPrEx>
          <w:tblCellMar>
            <w:top w:w="0" w:type="dxa"/>
            <w:left w:w="108" w:type="dxa"/>
            <w:bottom w:w="0" w:type="dxa"/>
            <w:right w:w="108" w:type="dxa"/>
          </w:tblCellMar>
        </w:tblPrEx>
        <w:trPr>
          <w:trHeight w:val="433" w:hRule="atLeast"/>
          <w:jc w:val="center"/>
        </w:trPr>
        <w:tc>
          <w:tcPr>
            <w:tcW w:w="396" w:type="pct"/>
            <w:tcBorders>
              <w:top w:val="nil"/>
              <w:left w:val="single" w:color="auto" w:sz="4" w:space="0"/>
              <w:bottom w:val="single" w:color="auto" w:sz="4" w:space="0"/>
              <w:right w:val="single" w:color="auto" w:sz="4" w:space="0"/>
            </w:tcBorders>
            <w:noWrap/>
            <w:vAlign w:val="center"/>
          </w:tcPr>
          <w:p w14:paraId="7F80A3DE">
            <w:pPr>
              <w:widowControl/>
              <w:jc w:val="center"/>
              <w:rPr>
                <w:rFonts w:ascii="宋体" w:hAnsi="宋体" w:cs="宋体 (正文)"/>
                <w:color w:val="auto"/>
                <w:kern w:val="0"/>
                <w:sz w:val="22"/>
                <w:szCs w:val="22"/>
              </w:rPr>
            </w:pPr>
            <w:r>
              <w:rPr>
                <w:rFonts w:ascii="宋体" w:hAnsi="宋体" w:cs="宋体 (正文)"/>
                <w:color w:val="auto"/>
                <w:kern w:val="0"/>
                <w:sz w:val="22"/>
                <w:szCs w:val="22"/>
              </w:rPr>
              <w:t>14</w:t>
            </w:r>
          </w:p>
        </w:tc>
        <w:tc>
          <w:tcPr>
            <w:tcW w:w="2633" w:type="pct"/>
            <w:tcBorders>
              <w:top w:val="nil"/>
              <w:left w:val="nil"/>
              <w:bottom w:val="single" w:color="auto" w:sz="4" w:space="0"/>
              <w:right w:val="single" w:color="auto" w:sz="4" w:space="0"/>
            </w:tcBorders>
            <w:vAlign w:val="center"/>
          </w:tcPr>
          <w:p w14:paraId="73AB6F49">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实训椅</w:t>
            </w:r>
          </w:p>
        </w:tc>
        <w:tc>
          <w:tcPr>
            <w:tcW w:w="767" w:type="pct"/>
            <w:tcBorders>
              <w:top w:val="nil"/>
              <w:left w:val="nil"/>
              <w:bottom w:val="single" w:color="auto" w:sz="4" w:space="0"/>
              <w:right w:val="single" w:color="auto" w:sz="4" w:space="0"/>
            </w:tcBorders>
            <w:vAlign w:val="center"/>
          </w:tcPr>
          <w:p w14:paraId="0CCE3265">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700</w:t>
            </w:r>
          </w:p>
        </w:tc>
        <w:tc>
          <w:tcPr>
            <w:tcW w:w="601" w:type="pct"/>
            <w:tcBorders>
              <w:top w:val="nil"/>
              <w:left w:val="nil"/>
              <w:bottom w:val="single" w:color="auto" w:sz="4" w:space="0"/>
              <w:right w:val="single" w:color="auto" w:sz="4" w:space="0"/>
            </w:tcBorders>
            <w:vAlign w:val="center"/>
          </w:tcPr>
          <w:p w14:paraId="32F0DDDC">
            <w:pPr>
              <w:widowControl/>
              <w:jc w:val="center"/>
              <w:rPr>
                <w:rFonts w:ascii="宋体" w:hAnsi="宋体" w:cs="宋体"/>
                <w:color w:val="auto"/>
                <w:kern w:val="0"/>
                <w:sz w:val="22"/>
                <w:szCs w:val="22"/>
              </w:rPr>
            </w:pPr>
            <w:r>
              <w:rPr>
                <w:rFonts w:hint="eastAsia" w:ascii="宋体" w:hAnsi="宋体" w:cs="宋体"/>
                <w:color w:val="auto"/>
                <w:kern w:val="0"/>
                <w:sz w:val="22"/>
                <w:szCs w:val="22"/>
              </w:rPr>
              <w:t>张</w:t>
            </w:r>
          </w:p>
        </w:tc>
        <w:tc>
          <w:tcPr>
            <w:tcW w:w="601" w:type="pct"/>
            <w:tcBorders>
              <w:top w:val="nil"/>
              <w:left w:val="nil"/>
              <w:bottom w:val="single" w:color="auto" w:sz="4" w:space="0"/>
              <w:right w:val="single" w:color="auto" w:sz="4" w:space="0"/>
            </w:tcBorders>
            <w:vAlign w:val="center"/>
          </w:tcPr>
          <w:p w14:paraId="65A148E4">
            <w:pPr>
              <w:widowControl/>
              <w:jc w:val="center"/>
              <w:rPr>
                <w:rFonts w:ascii="宋体" w:hAnsi="宋体" w:cs="宋体"/>
                <w:color w:val="auto"/>
                <w:kern w:val="0"/>
                <w:sz w:val="22"/>
                <w:szCs w:val="22"/>
              </w:rPr>
            </w:pPr>
          </w:p>
        </w:tc>
      </w:tr>
      <w:tr w14:paraId="54209AB7">
        <w:tblPrEx>
          <w:tblCellMar>
            <w:top w:w="0" w:type="dxa"/>
            <w:left w:w="108" w:type="dxa"/>
            <w:bottom w:w="0" w:type="dxa"/>
            <w:right w:w="108" w:type="dxa"/>
          </w:tblCellMar>
        </w:tblPrEx>
        <w:trPr>
          <w:trHeight w:val="433" w:hRule="atLeast"/>
          <w:jc w:val="center"/>
        </w:trPr>
        <w:tc>
          <w:tcPr>
            <w:tcW w:w="396" w:type="pct"/>
            <w:tcBorders>
              <w:top w:val="nil"/>
              <w:left w:val="single" w:color="auto" w:sz="4" w:space="0"/>
              <w:bottom w:val="single" w:color="auto" w:sz="4" w:space="0"/>
              <w:right w:val="single" w:color="auto" w:sz="4" w:space="0"/>
            </w:tcBorders>
            <w:noWrap/>
            <w:vAlign w:val="center"/>
          </w:tcPr>
          <w:p w14:paraId="575703B1">
            <w:pPr>
              <w:widowControl/>
              <w:jc w:val="center"/>
              <w:rPr>
                <w:rFonts w:ascii="宋体" w:hAnsi="宋体" w:cs="宋体 (正文)"/>
                <w:color w:val="auto"/>
                <w:kern w:val="0"/>
                <w:sz w:val="22"/>
                <w:szCs w:val="22"/>
              </w:rPr>
            </w:pPr>
            <w:r>
              <w:rPr>
                <w:rFonts w:ascii="宋体" w:hAnsi="宋体" w:cs="宋体 (正文)"/>
                <w:color w:val="auto"/>
                <w:kern w:val="0"/>
                <w:sz w:val="22"/>
                <w:szCs w:val="22"/>
              </w:rPr>
              <w:t>15</w:t>
            </w:r>
          </w:p>
        </w:tc>
        <w:tc>
          <w:tcPr>
            <w:tcW w:w="2633" w:type="pct"/>
            <w:tcBorders>
              <w:top w:val="nil"/>
              <w:left w:val="nil"/>
              <w:bottom w:val="single" w:color="auto" w:sz="4" w:space="0"/>
              <w:right w:val="single" w:color="auto" w:sz="4" w:space="0"/>
            </w:tcBorders>
            <w:vAlign w:val="center"/>
          </w:tcPr>
          <w:p w14:paraId="3CE22D4D">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耳麦</w:t>
            </w:r>
          </w:p>
        </w:tc>
        <w:tc>
          <w:tcPr>
            <w:tcW w:w="767" w:type="pct"/>
            <w:tcBorders>
              <w:top w:val="nil"/>
              <w:left w:val="nil"/>
              <w:bottom w:val="single" w:color="auto" w:sz="4" w:space="0"/>
              <w:right w:val="single" w:color="auto" w:sz="4" w:space="0"/>
            </w:tcBorders>
            <w:vAlign w:val="center"/>
          </w:tcPr>
          <w:p w14:paraId="6C9EF814">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204</w:t>
            </w:r>
          </w:p>
        </w:tc>
        <w:tc>
          <w:tcPr>
            <w:tcW w:w="601" w:type="pct"/>
            <w:tcBorders>
              <w:top w:val="nil"/>
              <w:left w:val="nil"/>
              <w:bottom w:val="single" w:color="auto" w:sz="4" w:space="0"/>
              <w:right w:val="single" w:color="auto" w:sz="4" w:space="0"/>
            </w:tcBorders>
            <w:vAlign w:val="center"/>
          </w:tcPr>
          <w:p w14:paraId="7729DF75">
            <w:pPr>
              <w:widowControl/>
              <w:jc w:val="center"/>
              <w:rPr>
                <w:rFonts w:ascii="宋体" w:hAnsi="宋体" w:cs="宋体"/>
                <w:color w:val="auto"/>
                <w:kern w:val="0"/>
                <w:sz w:val="22"/>
                <w:szCs w:val="22"/>
              </w:rPr>
            </w:pPr>
            <w:r>
              <w:rPr>
                <w:rFonts w:hint="eastAsia" w:ascii="宋体" w:hAnsi="宋体" w:cs="宋体"/>
                <w:color w:val="auto"/>
                <w:kern w:val="0"/>
                <w:sz w:val="22"/>
                <w:szCs w:val="22"/>
              </w:rPr>
              <w:t>个</w:t>
            </w:r>
          </w:p>
        </w:tc>
        <w:tc>
          <w:tcPr>
            <w:tcW w:w="601" w:type="pct"/>
            <w:tcBorders>
              <w:top w:val="nil"/>
              <w:left w:val="nil"/>
              <w:bottom w:val="single" w:color="auto" w:sz="4" w:space="0"/>
              <w:right w:val="single" w:color="auto" w:sz="4" w:space="0"/>
            </w:tcBorders>
            <w:vAlign w:val="center"/>
          </w:tcPr>
          <w:p w14:paraId="40C5F859">
            <w:pPr>
              <w:widowControl/>
              <w:jc w:val="center"/>
              <w:rPr>
                <w:rFonts w:ascii="宋体" w:hAnsi="宋体" w:cs="宋体"/>
                <w:color w:val="auto"/>
                <w:kern w:val="0"/>
                <w:sz w:val="22"/>
                <w:szCs w:val="22"/>
              </w:rPr>
            </w:pPr>
          </w:p>
        </w:tc>
      </w:tr>
      <w:tr w14:paraId="3591D439">
        <w:tblPrEx>
          <w:tblCellMar>
            <w:top w:w="0" w:type="dxa"/>
            <w:left w:w="108" w:type="dxa"/>
            <w:bottom w:w="0" w:type="dxa"/>
            <w:right w:w="108" w:type="dxa"/>
          </w:tblCellMar>
        </w:tblPrEx>
        <w:trPr>
          <w:trHeight w:val="433" w:hRule="atLeast"/>
          <w:jc w:val="center"/>
        </w:trPr>
        <w:tc>
          <w:tcPr>
            <w:tcW w:w="396" w:type="pct"/>
            <w:tcBorders>
              <w:top w:val="nil"/>
              <w:left w:val="single" w:color="auto" w:sz="4" w:space="0"/>
              <w:bottom w:val="single" w:color="auto" w:sz="4" w:space="0"/>
              <w:right w:val="single" w:color="auto" w:sz="4" w:space="0"/>
            </w:tcBorders>
            <w:noWrap/>
            <w:vAlign w:val="center"/>
          </w:tcPr>
          <w:p w14:paraId="59913FA0">
            <w:pPr>
              <w:widowControl/>
              <w:jc w:val="center"/>
              <w:rPr>
                <w:rFonts w:ascii="宋体" w:hAnsi="宋体" w:cs="宋体 (正文)"/>
                <w:color w:val="auto"/>
                <w:kern w:val="0"/>
                <w:sz w:val="22"/>
                <w:szCs w:val="22"/>
              </w:rPr>
            </w:pPr>
            <w:r>
              <w:rPr>
                <w:rFonts w:hint="eastAsia" w:ascii="宋体" w:hAnsi="宋体" w:cs="宋体 (正文)"/>
                <w:color w:val="auto"/>
                <w:kern w:val="0"/>
                <w:sz w:val="22"/>
                <w:szCs w:val="22"/>
              </w:rPr>
              <w:t>1</w:t>
            </w:r>
            <w:r>
              <w:rPr>
                <w:rFonts w:ascii="宋体" w:hAnsi="宋体" w:cs="宋体 (正文)"/>
                <w:color w:val="auto"/>
                <w:kern w:val="0"/>
                <w:sz w:val="22"/>
                <w:szCs w:val="22"/>
              </w:rPr>
              <w:t>6</w:t>
            </w:r>
          </w:p>
        </w:tc>
        <w:tc>
          <w:tcPr>
            <w:tcW w:w="2633" w:type="pct"/>
            <w:tcBorders>
              <w:top w:val="nil"/>
              <w:left w:val="nil"/>
              <w:bottom w:val="single" w:color="auto" w:sz="4" w:space="0"/>
              <w:right w:val="single" w:color="auto" w:sz="4" w:space="0"/>
            </w:tcBorders>
            <w:vAlign w:val="center"/>
          </w:tcPr>
          <w:p w14:paraId="72AF4C5E">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移动隔板</w:t>
            </w:r>
          </w:p>
        </w:tc>
        <w:tc>
          <w:tcPr>
            <w:tcW w:w="767" w:type="pct"/>
            <w:tcBorders>
              <w:top w:val="nil"/>
              <w:left w:val="nil"/>
              <w:bottom w:val="single" w:color="auto" w:sz="4" w:space="0"/>
              <w:right w:val="single" w:color="auto" w:sz="4" w:space="0"/>
            </w:tcBorders>
            <w:vAlign w:val="center"/>
          </w:tcPr>
          <w:p w14:paraId="45F1D5C0">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120</w:t>
            </w:r>
          </w:p>
        </w:tc>
        <w:tc>
          <w:tcPr>
            <w:tcW w:w="601" w:type="pct"/>
            <w:tcBorders>
              <w:top w:val="nil"/>
              <w:left w:val="nil"/>
              <w:bottom w:val="single" w:color="auto" w:sz="4" w:space="0"/>
              <w:right w:val="single" w:color="auto" w:sz="4" w:space="0"/>
            </w:tcBorders>
            <w:vAlign w:val="center"/>
          </w:tcPr>
          <w:p w14:paraId="3ED0E4FD">
            <w:pPr>
              <w:widowControl/>
              <w:jc w:val="center"/>
              <w:rPr>
                <w:rFonts w:ascii="宋体" w:hAnsi="宋体" w:cs="宋体"/>
                <w:color w:val="auto"/>
                <w:kern w:val="0"/>
                <w:sz w:val="22"/>
                <w:szCs w:val="22"/>
              </w:rPr>
            </w:pPr>
            <w:r>
              <w:rPr>
                <w:rFonts w:hint="eastAsia" w:ascii="宋体" w:hAnsi="宋体" w:cs="宋体"/>
                <w:color w:val="auto"/>
                <w:kern w:val="0"/>
                <w:sz w:val="22"/>
                <w:szCs w:val="22"/>
              </w:rPr>
              <w:t>套</w:t>
            </w:r>
          </w:p>
        </w:tc>
        <w:tc>
          <w:tcPr>
            <w:tcW w:w="601" w:type="pct"/>
            <w:tcBorders>
              <w:top w:val="nil"/>
              <w:left w:val="nil"/>
              <w:bottom w:val="single" w:color="auto" w:sz="4" w:space="0"/>
              <w:right w:val="single" w:color="auto" w:sz="4" w:space="0"/>
            </w:tcBorders>
            <w:vAlign w:val="center"/>
          </w:tcPr>
          <w:p w14:paraId="4F883051">
            <w:pPr>
              <w:widowControl/>
              <w:jc w:val="center"/>
              <w:rPr>
                <w:rFonts w:ascii="宋体" w:hAnsi="宋体" w:cs="宋体"/>
                <w:color w:val="auto"/>
                <w:kern w:val="0"/>
                <w:sz w:val="22"/>
                <w:szCs w:val="22"/>
              </w:rPr>
            </w:pPr>
          </w:p>
        </w:tc>
      </w:tr>
      <w:tr w14:paraId="37C72375">
        <w:tblPrEx>
          <w:tblCellMar>
            <w:top w:w="0" w:type="dxa"/>
            <w:left w:w="108" w:type="dxa"/>
            <w:bottom w:w="0" w:type="dxa"/>
            <w:right w:w="108" w:type="dxa"/>
          </w:tblCellMar>
        </w:tblPrEx>
        <w:trPr>
          <w:trHeight w:val="433" w:hRule="atLeast"/>
          <w:jc w:val="center"/>
        </w:trPr>
        <w:tc>
          <w:tcPr>
            <w:tcW w:w="396" w:type="pct"/>
            <w:tcBorders>
              <w:top w:val="nil"/>
              <w:left w:val="single" w:color="auto" w:sz="4" w:space="0"/>
              <w:bottom w:val="single" w:color="auto" w:sz="4" w:space="0"/>
              <w:right w:val="single" w:color="auto" w:sz="4" w:space="0"/>
            </w:tcBorders>
            <w:noWrap/>
            <w:vAlign w:val="center"/>
          </w:tcPr>
          <w:p w14:paraId="5936DF2D">
            <w:pPr>
              <w:widowControl/>
              <w:jc w:val="center"/>
              <w:rPr>
                <w:rFonts w:ascii="宋体" w:hAnsi="宋体" w:cs="宋体 (正文)"/>
                <w:color w:val="auto"/>
                <w:kern w:val="0"/>
                <w:sz w:val="22"/>
                <w:szCs w:val="22"/>
              </w:rPr>
            </w:pPr>
            <w:r>
              <w:rPr>
                <w:rFonts w:ascii="宋体" w:hAnsi="宋体" w:cs="宋体 (正文)"/>
                <w:color w:val="auto"/>
                <w:kern w:val="0"/>
                <w:sz w:val="22"/>
                <w:szCs w:val="22"/>
              </w:rPr>
              <w:t>17</w:t>
            </w:r>
          </w:p>
        </w:tc>
        <w:tc>
          <w:tcPr>
            <w:tcW w:w="2633" w:type="pct"/>
            <w:tcBorders>
              <w:top w:val="nil"/>
              <w:left w:val="nil"/>
              <w:bottom w:val="single" w:color="auto" w:sz="4" w:space="0"/>
              <w:right w:val="single" w:color="auto" w:sz="4" w:space="0"/>
            </w:tcBorders>
            <w:vAlign w:val="center"/>
          </w:tcPr>
          <w:p w14:paraId="7F84B907">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实训室布线</w:t>
            </w:r>
          </w:p>
        </w:tc>
        <w:tc>
          <w:tcPr>
            <w:tcW w:w="767" w:type="pct"/>
            <w:tcBorders>
              <w:top w:val="nil"/>
              <w:left w:val="nil"/>
              <w:bottom w:val="single" w:color="auto" w:sz="4" w:space="0"/>
              <w:right w:val="single" w:color="auto" w:sz="4" w:space="0"/>
            </w:tcBorders>
            <w:vAlign w:val="center"/>
          </w:tcPr>
          <w:p w14:paraId="1C0453AB">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714</w:t>
            </w:r>
          </w:p>
        </w:tc>
        <w:tc>
          <w:tcPr>
            <w:tcW w:w="601" w:type="pct"/>
            <w:tcBorders>
              <w:top w:val="nil"/>
              <w:left w:val="nil"/>
              <w:bottom w:val="single" w:color="auto" w:sz="4" w:space="0"/>
              <w:right w:val="single" w:color="auto" w:sz="4" w:space="0"/>
            </w:tcBorders>
            <w:vAlign w:val="center"/>
          </w:tcPr>
          <w:p w14:paraId="73F98FF7">
            <w:pPr>
              <w:widowControl/>
              <w:jc w:val="center"/>
              <w:rPr>
                <w:rFonts w:ascii="宋体" w:hAnsi="宋体" w:cs="宋体"/>
                <w:color w:val="auto"/>
                <w:kern w:val="0"/>
                <w:sz w:val="22"/>
                <w:szCs w:val="22"/>
              </w:rPr>
            </w:pPr>
            <w:r>
              <w:rPr>
                <w:rFonts w:hint="eastAsia" w:ascii="宋体" w:hAnsi="宋体" w:cs="宋体"/>
                <w:color w:val="auto"/>
                <w:kern w:val="0"/>
                <w:sz w:val="22"/>
                <w:szCs w:val="22"/>
              </w:rPr>
              <w:t>位</w:t>
            </w:r>
          </w:p>
        </w:tc>
        <w:tc>
          <w:tcPr>
            <w:tcW w:w="601" w:type="pct"/>
            <w:tcBorders>
              <w:top w:val="nil"/>
              <w:left w:val="nil"/>
              <w:bottom w:val="single" w:color="auto" w:sz="4" w:space="0"/>
              <w:right w:val="single" w:color="auto" w:sz="4" w:space="0"/>
            </w:tcBorders>
            <w:vAlign w:val="center"/>
          </w:tcPr>
          <w:p w14:paraId="1C8C8B77">
            <w:pPr>
              <w:widowControl/>
              <w:jc w:val="center"/>
              <w:rPr>
                <w:rFonts w:ascii="宋体" w:hAnsi="宋体" w:cs="宋体"/>
                <w:color w:val="auto"/>
                <w:kern w:val="0"/>
                <w:sz w:val="22"/>
                <w:szCs w:val="22"/>
              </w:rPr>
            </w:pPr>
          </w:p>
        </w:tc>
      </w:tr>
    </w:tbl>
    <w:p w14:paraId="33DF4ADA">
      <w:pPr>
        <w:spacing w:line="360" w:lineRule="auto"/>
        <w:ind w:firstLine="442" w:firstLineChars="200"/>
        <w:rPr>
          <w:rFonts w:ascii="宋体" w:hAnsi="宋体" w:cs="宋体"/>
          <w:b/>
          <w:bCs/>
          <w:color w:val="auto"/>
          <w:kern w:val="0"/>
          <w:sz w:val="22"/>
          <w:szCs w:val="22"/>
        </w:rPr>
      </w:pPr>
      <w:r>
        <w:rPr>
          <w:rFonts w:hint="eastAsia" w:ascii="宋体" w:hAnsi="宋体" w:cs="宋体"/>
          <w:b/>
          <w:bCs/>
          <w:color w:val="auto"/>
          <w:kern w:val="0"/>
          <w:sz w:val="22"/>
          <w:szCs w:val="22"/>
        </w:rPr>
        <w:t>2、技术要求</w:t>
      </w:r>
    </w:p>
    <w:p w14:paraId="060396B4">
      <w:pPr>
        <w:spacing w:line="360" w:lineRule="auto"/>
        <w:rPr>
          <w:rFonts w:ascii="宋体" w:hAnsi="宋体"/>
          <w:b/>
          <w:bCs/>
          <w:color w:val="auto"/>
          <w:sz w:val="22"/>
          <w:szCs w:val="22"/>
        </w:rPr>
      </w:pPr>
      <w:r>
        <w:rPr>
          <w:rFonts w:hint="eastAsia" w:ascii="宋体" w:hAnsi="宋体"/>
          <w:b/>
          <w:bCs/>
          <w:color w:val="auto"/>
          <w:sz w:val="22"/>
          <w:szCs w:val="22"/>
        </w:rPr>
        <w:t>（1）教学用台式计算机1：5</w:t>
      </w:r>
      <w:r>
        <w:rPr>
          <w:rFonts w:ascii="宋体" w:hAnsi="宋体"/>
          <w:b/>
          <w:bCs/>
          <w:color w:val="auto"/>
          <w:sz w:val="22"/>
          <w:szCs w:val="22"/>
        </w:rPr>
        <w:t>50</w:t>
      </w:r>
      <w:r>
        <w:rPr>
          <w:rFonts w:hint="eastAsia" w:ascii="宋体" w:hAnsi="宋体"/>
          <w:b/>
          <w:bCs/>
          <w:color w:val="auto"/>
          <w:sz w:val="22"/>
          <w:szCs w:val="22"/>
        </w:rPr>
        <w:t>台</w:t>
      </w:r>
    </w:p>
    <w:tbl>
      <w:tblPr>
        <w:tblStyle w:val="63"/>
        <w:tblW w:w="5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451"/>
        <w:gridCol w:w="1971"/>
        <w:gridCol w:w="4920"/>
      </w:tblGrid>
      <w:tr w14:paraId="0627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857967B">
            <w:pPr>
              <w:widowControl/>
              <w:rPr>
                <w:rFonts w:ascii="宋体" w:hAnsi="宋体"/>
                <w:b/>
                <w:bCs/>
                <w:color w:val="auto"/>
                <w:kern w:val="0"/>
                <w:sz w:val="22"/>
                <w:szCs w:val="22"/>
              </w:rPr>
            </w:pPr>
            <w:r>
              <w:rPr>
                <w:rFonts w:hint="eastAsia" w:ascii="宋体" w:hAnsi="宋体"/>
                <w:b/>
                <w:bCs/>
                <w:color w:val="auto"/>
                <w:kern w:val="0"/>
                <w:sz w:val="22"/>
                <w:szCs w:val="22"/>
              </w:rPr>
              <w:t>序号</w:t>
            </w:r>
          </w:p>
        </w:tc>
        <w:tc>
          <w:tcPr>
            <w:tcW w:w="807" w:type="pct"/>
            <w:tcBorders>
              <w:top w:val="single" w:color="auto" w:sz="4" w:space="0"/>
              <w:left w:val="single" w:color="auto" w:sz="4" w:space="0"/>
              <w:bottom w:val="single" w:color="auto" w:sz="4" w:space="0"/>
              <w:right w:val="single" w:color="auto" w:sz="4" w:space="0"/>
            </w:tcBorders>
            <w:vAlign w:val="center"/>
          </w:tcPr>
          <w:p w14:paraId="19930D27">
            <w:pPr>
              <w:widowControl/>
              <w:rPr>
                <w:rFonts w:ascii="宋体" w:hAnsi="宋体"/>
                <w:b/>
                <w:bCs/>
                <w:color w:val="auto"/>
                <w:kern w:val="0"/>
                <w:sz w:val="22"/>
                <w:szCs w:val="22"/>
              </w:rPr>
            </w:pPr>
            <w:r>
              <w:rPr>
                <w:rFonts w:hint="eastAsia" w:ascii="宋体" w:hAnsi="宋体"/>
                <w:b/>
                <w:bCs/>
                <w:color w:val="auto"/>
                <w:kern w:val="0"/>
                <w:sz w:val="22"/>
                <w:szCs w:val="22"/>
              </w:rPr>
              <w:t>一级指标</w:t>
            </w:r>
          </w:p>
        </w:tc>
        <w:tc>
          <w:tcPr>
            <w:tcW w:w="1096" w:type="pct"/>
            <w:tcBorders>
              <w:top w:val="single" w:color="auto" w:sz="4" w:space="0"/>
              <w:left w:val="single" w:color="auto" w:sz="4" w:space="0"/>
              <w:bottom w:val="single" w:color="auto" w:sz="4" w:space="0"/>
              <w:right w:val="single" w:color="auto" w:sz="4" w:space="0"/>
            </w:tcBorders>
            <w:vAlign w:val="center"/>
          </w:tcPr>
          <w:p w14:paraId="16685AD2">
            <w:pPr>
              <w:widowControl/>
              <w:jc w:val="left"/>
              <w:rPr>
                <w:rFonts w:ascii="宋体" w:hAnsi="宋体"/>
                <w:b/>
                <w:bCs/>
                <w:color w:val="auto"/>
                <w:kern w:val="0"/>
                <w:sz w:val="22"/>
                <w:szCs w:val="22"/>
              </w:rPr>
            </w:pPr>
            <w:r>
              <w:rPr>
                <w:rFonts w:hint="eastAsia" w:ascii="宋体" w:hAnsi="宋体"/>
                <w:b/>
                <w:bCs/>
                <w:color w:val="auto"/>
                <w:kern w:val="0"/>
                <w:sz w:val="22"/>
                <w:szCs w:val="22"/>
              </w:rPr>
              <w:t>二级指标</w:t>
            </w:r>
          </w:p>
        </w:tc>
        <w:tc>
          <w:tcPr>
            <w:tcW w:w="2735" w:type="pct"/>
            <w:tcBorders>
              <w:top w:val="single" w:color="auto" w:sz="4" w:space="0"/>
              <w:left w:val="single" w:color="auto" w:sz="4" w:space="0"/>
              <w:bottom w:val="single" w:color="auto" w:sz="4" w:space="0"/>
              <w:right w:val="single" w:color="auto" w:sz="4" w:space="0"/>
            </w:tcBorders>
            <w:vAlign w:val="center"/>
          </w:tcPr>
          <w:p w14:paraId="48F31C4D">
            <w:pPr>
              <w:widowControl/>
              <w:rPr>
                <w:rFonts w:ascii="宋体" w:hAnsi="宋体"/>
                <w:b/>
                <w:bCs/>
                <w:color w:val="auto"/>
                <w:kern w:val="0"/>
                <w:sz w:val="22"/>
                <w:szCs w:val="22"/>
              </w:rPr>
            </w:pPr>
            <w:r>
              <w:rPr>
                <w:rFonts w:hint="eastAsia" w:ascii="宋体" w:hAnsi="宋体"/>
                <w:b/>
                <w:bCs/>
                <w:color w:val="auto"/>
                <w:kern w:val="0"/>
                <w:sz w:val="22"/>
                <w:szCs w:val="22"/>
              </w:rPr>
              <w:t>指标要求</w:t>
            </w:r>
          </w:p>
        </w:tc>
      </w:tr>
      <w:tr w14:paraId="10C1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B711D60">
            <w:pPr>
              <w:widowControl/>
              <w:rPr>
                <w:rFonts w:ascii="宋体" w:hAnsi="宋体"/>
                <w:color w:val="auto"/>
                <w:kern w:val="0"/>
                <w:sz w:val="22"/>
                <w:szCs w:val="22"/>
              </w:rPr>
            </w:pPr>
            <w:r>
              <w:rPr>
                <w:rFonts w:hint="eastAsia" w:ascii="宋体" w:hAnsi="宋体"/>
                <w:color w:val="auto"/>
                <w:kern w:val="0"/>
                <w:sz w:val="22"/>
                <w:szCs w:val="22"/>
              </w:rPr>
              <w:t>1</w:t>
            </w:r>
          </w:p>
        </w:tc>
        <w:tc>
          <w:tcPr>
            <w:tcW w:w="807" w:type="pct"/>
            <w:tcBorders>
              <w:top w:val="single" w:color="auto" w:sz="4" w:space="0"/>
              <w:left w:val="single" w:color="auto" w:sz="4" w:space="0"/>
              <w:bottom w:val="single" w:color="auto" w:sz="4" w:space="0"/>
              <w:right w:val="single" w:color="auto" w:sz="4" w:space="0"/>
            </w:tcBorders>
            <w:vAlign w:val="center"/>
          </w:tcPr>
          <w:p w14:paraId="07638C70">
            <w:pPr>
              <w:widowControl/>
              <w:rPr>
                <w:rFonts w:ascii="宋体" w:hAnsi="宋体"/>
                <w:color w:val="auto"/>
                <w:kern w:val="0"/>
                <w:sz w:val="22"/>
                <w:szCs w:val="22"/>
              </w:rPr>
            </w:pPr>
            <w:r>
              <w:rPr>
                <w:rFonts w:hint="eastAsia" w:ascii="宋体" w:hAnsi="宋体"/>
                <w:color w:val="auto"/>
                <w:kern w:val="0"/>
                <w:sz w:val="22"/>
                <w:szCs w:val="22"/>
              </w:rPr>
              <w:t xml:space="preserve"> ▲CPU规格</w:t>
            </w:r>
          </w:p>
        </w:tc>
        <w:tc>
          <w:tcPr>
            <w:tcW w:w="1096" w:type="pct"/>
            <w:tcBorders>
              <w:top w:val="single" w:color="auto" w:sz="4" w:space="0"/>
              <w:left w:val="single" w:color="auto" w:sz="4" w:space="0"/>
              <w:bottom w:val="single" w:color="auto" w:sz="4" w:space="0"/>
              <w:right w:val="single" w:color="auto" w:sz="4" w:space="0"/>
            </w:tcBorders>
            <w:vAlign w:val="center"/>
          </w:tcPr>
          <w:p w14:paraId="03F37204">
            <w:pPr>
              <w:widowControl/>
              <w:jc w:val="left"/>
              <w:rPr>
                <w:rFonts w:ascii="宋体" w:hAnsi="宋体"/>
                <w:color w:val="auto"/>
                <w:kern w:val="0"/>
                <w:sz w:val="22"/>
                <w:szCs w:val="22"/>
              </w:rPr>
            </w:pPr>
            <w:r>
              <w:rPr>
                <w:rFonts w:hint="eastAsia" w:ascii="宋体" w:hAnsi="宋体"/>
                <w:color w:val="auto"/>
                <w:kern w:val="0"/>
                <w:sz w:val="22"/>
                <w:szCs w:val="22"/>
              </w:rPr>
              <w:t xml:space="preserve"> ▲CPU信息</w:t>
            </w:r>
          </w:p>
        </w:tc>
        <w:tc>
          <w:tcPr>
            <w:tcW w:w="2735" w:type="pct"/>
            <w:tcBorders>
              <w:top w:val="single" w:color="auto" w:sz="4" w:space="0"/>
              <w:left w:val="single" w:color="auto" w:sz="4" w:space="0"/>
              <w:bottom w:val="single" w:color="auto" w:sz="4" w:space="0"/>
              <w:right w:val="single" w:color="auto" w:sz="4" w:space="0"/>
            </w:tcBorders>
            <w:vAlign w:val="center"/>
          </w:tcPr>
          <w:p w14:paraId="06EB035C">
            <w:pPr>
              <w:widowControl/>
              <w:numPr>
                <w:ilvl w:val="0"/>
                <w:numId w:val="2"/>
              </w:numPr>
              <w:adjustRightInd/>
              <w:rPr>
                <w:rFonts w:ascii="宋体" w:hAnsi="宋体"/>
                <w:color w:val="auto"/>
                <w:kern w:val="0"/>
                <w:sz w:val="22"/>
                <w:szCs w:val="22"/>
              </w:rPr>
            </w:pPr>
            <w:r>
              <w:rPr>
                <w:rFonts w:hint="eastAsia" w:ascii="宋体" w:hAnsi="宋体"/>
                <w:color w:val="auto"/>
                <w:kern w:val="0"/>
                <w:sz w:val="22"/>
                <w:szCs w:val="22"/>
              </w:rPr>
              <w:t>配置 1 颗参照或相当于 X86 处理器，支持超线程技术和睿频技术。</w:t>
            </w:r>
          </w:p>
          <w:p w14:paraId="232AB8B0">
            <w:pPr>
              <w:widowControl/>
              <w:numPr>
                <w:ilvl w:val="0"/>
                <w:numId w:val="2"/>
              </w:numPr>
              <w:adjustRightInd/>
              <w:rPr>
                <w:rFonts w:ascii="宋体" w:hAnsi="宋体"/>
                <w:color w:val="auto"/>
                <w:kern w:val="0"/>
                <w:sz w:val="22"/>
                <w:szCs w:val="22"/>
              </w:rPr>
            </w:pPr>
            <w:r>
              <w:rPr>
                <w:rFonts w:hint="eastAsia" w:ascii="宋体" w:hAnsi="宋体"/>
                <w:color w:val="auto"/>
                <w:kern w:val="0"/>
                <w:sz w:val="22"/>
                <w:szCs w:val="22"/>
              </w:rPr>
              <w:t>CPU：≥I5-14500（相当性能及以上）。性能核（P-Core）：基础频率：2.6 GHz 最大睿频：5.0 GHz，能效核（E-Core）：基础频率：1.9 GHz 最大睿频：3.7 GHz，三级缓存（L3）：24 MB，65 W（基础功耗），最大睿频功耗（MTP）为 154 W，14 个物理核心（6 个性能核 + 8 个能效核），20 线程，内存最高速率：DDR5-4800 MT/s，单通道位宽 64 位（DDR5 标准）双通道总位宽 128 位，76.8 GB/s 理论带宽。</w:t>
            </w:r>
          </w:p>
          <w:p w14:paraId="126021FF">
            <w:pPr>
              <w:widowControl/>
              <w:numPr>
                <w:ilvl w:val="0"/>
                <w:numId w:val="2"/>
              </w:numPr>
              <w:adjustRightInd/>
              <w:rPr>
                <w:rFonts w:ascii="宋体" w:hAnsi="宋体"/>
                <w:color w:val="auto"/>
                <w:kern w:val="0"/>
                <w:sz w:val="22"/>
                <w:szCs w:val="22"/>
              </w:rPr>
            </w:pPr>
            <w:r>
              <w:rPr>
                <w:rFonts w:hint="eastAsia" w:ascii="宋体" w:hAnsi="宋体"/>
                <w:color w:val="auto"/>
                <w:kern w:val="0"/>
                <w:sz w:val="22"/>
                <w:szCs w:val="22"/>
              </w:rPr>
              <w:t>投标时标明 CPU 信息，包含 CPU 型号、物理核心数、主频、末级缓存容量、线程数、热设计功耗及内存的最高速率、通道数和位宽等。</w:t>
            </w:r>
          </w:p>
          <w:p w14:paraId="2B56089F">
            <w:pPr>
              <w:widowControl/>
              <w:rPr>
                <w:rFonts w:ascii="宋体" w:hAnsi="宋体"/>
                <w:color w:val="auto"/>
                <w:kern w:val="0"/>
                <w:sz w:val="22"/>
                <w:szCs w:val="22"/>
              </w:rPr>
            </w:pPr>
          </w:p>
        </w:tc>
      </w:tr>
      <w:tr w14:paraId="5FE4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9F4133C">
            <w:pPr>
              <w:widowControl/>
              <w:rPr>
                <w:rFonts w:ascii="宋体" w:hAnsi="宋体"/>
                <w:color w:val="auto"/>
                <w:kern w:val="0"/>
                <w:sz w:val="22"/>
                <w:szCs w:val="22"/>
              </w:rPr>
            </w:pPr>
            <w:r>
              <w:rPr>
                <w:rFonts w:hint="eastAsia" w:ascii="宋体" w:hAnsi="宋体"/>
                <w:color w:val="auto"/>
                <w:kern w:val="0"/>
                <w:sz w:val="22"/>
                <w:szCs w:val="22"/>
              </w:rPr>
              <w:t>2</w:t>
            </w:r>
          </w:p>
        </w:tc>
        <w:tc>
          <w:tcPr>
            <w:tcW w:w="807" w:type="pct"/>
            <w:vMerge w:val="restart"/>
            <w:tcBorders>
              <w:top w:val="nil"/>
              <w:left w:val="single" w:color="auto" w:sz="4" w:space="0"/>
              <w:bottom w:val="single" w:color="auto" w:sz="4" w:space="0"/>
              <w:right w:val="single" w:color="auto" w:sz="4" w:space="0"/>
            </w:tcBorders>
            <w:vAlign w:val="center"/>
          </w:tcPr>
          <w:p w14:paraId="7C78257F">
            <w:pPr>
              <w:widowControl/>
              <w:rPr>
                <w:rFonts w:ascii="宋体" w:hAnsi="宋体"/>
                <w:color w:val="auto"/>
                <w:kern w:val="0"/>
                <w:sz w:val="22"/>
                <w:szCs w:val="22"/>
              </w:rPr>
            </w:pPr>
            <w:r>
              <w:rPr>
                <w:rFonts w:hint="eastAsia" w:ascii="宋体" w:hAnsi="宋体"/>
                <w:color w:val="auto"/>
                <w:kern w:val="0"/>
                <w:sz w:val="22"/>
                <w:szCs w:val="22"/>
              </w:rPr>
              <w:t xml:space="preserve"> ▲内存规格</w:t>
            </w:r>
          </w:p>
        </w:tc>
        <w:tc>
          <w:tcPr>
            <w:tcW w:w="1096" w:type="pct"/>
            <w:tcBorders>
              <w:top w:val="single" w:color="auto" w:sz="4" w:space="0"/>
              <w:left w:val="single" w:color="auto" w:sz="4" w:space="0"/>
              <w:bottom w:val="single" w:color="auto" w:sz="4" w:space="0"/>
              <w:right w:val="single" w:color="auto" w:sz="4" w:space="0"/>
            </w:tcBorders>
            <w:vAlign w:val="center"/>
          </w:tcPr>
          <w:p w14:paraId="117C09E4">
            <w:pPr>
              <w:widowControl/>
              <w:jc w:val="left"/>
              <w:rPr>
                <w:rFonts w:ascii="宋体" w:hAnsi="宋体"/>
                <w:color w:val="auto"/>
                <w:kern w:val="0"/>
                <w:sz w:val="22"/>
                <w:szCs w:val="22"/>
              </w:rPr>
            </w:pPr>
            <w:r>
              <w:rPr>
                <w:rFonts w:hint="eastAsia" w:ascii="宋体" w:hAnsi="宋体"/>
                <w:color w:val="auto"/>
                <w:kern w:val="0"/>
                <w:sz w:val="22"/>
                <w:szCs w:val="22"/>
              </w:rPr>
              <w:t xml:space="preserve"> ▲内存配置容量</w:t>
            </w:r>
          </w:p>
        </w:tc>
        <w:tc>
          <w:tcPr>
            <w:tcW w:w="2735" w:type="pct"/>
            <w:tcBorders>
              <w:top w:val="single" w:color="auto" w:sz="4" w:space="0"/>
              <w:left w:val="single" w:color="auto" w:sz="4" w:space="0"/>
              <w:bottom w:val="single" w:color="auto" w:sz="4" w:space="0"/>
              <w:right w:val="single" w:color="auto" w:sz="4" w:space="0"/>
            </w:tcBorders>
            <w:vAlign w:val="center"/>
          </w:tcPr>
          <w:p w14:paraId="490CC027">
            <w:pPr>
              <w:widowControl/>
              <w:rPr>
                <w:rFonts w:ascii="宋体" w:hAnsi="宋体"/>
                <w:color w:val="auto"/>
                <w:kern w:val="0"/>
                <w:sz w:val="22"/>
                <w:szCs w:val="22"/>
              </w:rPr>
            </w:pPr>
            <w:r>
              <w:rPr>
                <w:rFonts w:hint="eastAsia" w:ascii="宋体" w:hAnsi="宋体"/>
                <w:color w:val="auto"/>
                <w:kern w:val="0"/>
                <w:sz w:val="22"/>
                <w:szCs w:val="22"/>
              </w:rPr>
              <w:t>≥16GB；</w:t>
            </w:r>
          </w:p>
        </w:tc>
      </w:tr>
      <w:tr w14:paraId="3409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2A1BD6E">
            <w:pPr>
              <w:widowControl/>
              <w:rPr>
                <w:rFonts w:ascii="宋体" w:hAnsi="宋体"/>
                <w:color w:val="auto"/>
                <w:kern w:val="0"/>
                <w:sz w:val="22"/>
                <w:szCs w:val="22"/>
              </w:rPr>
            </w:pPr>
            <w:r>
              <w:rPr>
                <w:rFonts w:hint="eastAsia" w:ascii="宋体" w:hAnsi="宋体"/>
                <w:color w:val="auto"/>
                <w:kern w:val="0"/>
                <w:sz w:val="22"/>
                <w:szCs w:val="22"/>
              </w:rPr>
              <w:t>3</w:t>
            </w:r>
          </w:p>
        </w:tc>
        <w:tc>
          <w:tcPr>
            <w:tcW w:w="0" w:type="auto"/>
            <w:vMerge w:val="continue"/>
            <w:tcBorders>
              <w:top w:val="nil"/>
              <w:left w:val="single" w:color="auto" w:sz="4" w:space="0"/>
              <w:bottom w:val="single" w:color="auto" w:sz="4" w:space="0"/>
              <w:right w:val="single" w:color="auto" w:sz="4" w:space="0"/>
            </w:tcBorders>
            <w:vAlign w:val="center"/>
          </w:tcPr>
          <w:p w14:paraId="66C1C889">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4CD32B40">
            <w:pPr>
              <w:widowControl/>
              <w:jc w:val="left"/>
              <w:rPr>
                <w:rFonts w:ascii="宋体" w:hAnsi="宋体"/>
                <w:color w:val="auto"/>
                <w:kern w:val="0"/>
                <w:sz w:val="22"/>
                <w:szCs w:val="22"/>
              </w:rPr>
            </w:pPr>
            <w:r>
              <w:rPr>
                <w:rFonts w:hint="eastAsia" w:ascii="宋体" w:hAnsi="宋体"/>
                <w:color w:val="auto"/>
                <w:kern w:val="0"/>
                <w:sz w:val="22"/>
                <w:szCs w:val="22"/>
              </w:rPr>
              <w:t xml:space="preserve"> ▲内存类型</w:t>
            </w:r>
          </w:p>
        </w:tc>
        <w:tc>
          <w:tcPr>
            <w:tcW w:w="2735" w:type="pct"/>
            <w:tcBorders>
              <w:top w:val="single" w:color="auto" w:sz="4" w:space="0"/>
              <w:left w:val="single" w:color="auto" w:sz="4" w:space="0"/>
              <w:bottom w:val="single" w:color="auto" w:sz="4" w:space="0"/>
              <w:right w:val="single" w:color="auto" w:sz="4" w:space="0"/>
            </w:tcBorders>
            <w:vAlign w:val="center"/>
          </w:tcPr>
          <w:p w14:paraId="6575B49B">
            <w:pPr>
              <w:widowControl/>
              <w:rPr>
                <w:rFonts w:ascii="宋体" w:hAnsi="宋体"/>
                <w:color w:val="auto"/>
                <w:kern w:val="0"/>
                <w:sz w:val="22"/>
                <w:szCs w:val="22"/>
              </w:rPr>
            </w:pPr>
            <w:r>
              <w:rPr>
                <w:rFonts w:hint="eastAsia" w:ascii="宋体" w:hAnsi="宋体"/>
                <w:color w:val="auto"/>
                <w:kern w:val="0"/>
                <w:sz w:val="22"/>
                <w:szCs w:val="22"/>
              </w:rPr>
              <w:t>标配 DDR5 4800 及以上内存类型；</w:t>
            </w:r>
          </w:p>
        </w:tc>
      </w:tr>
      <w:tr w14:paraId="2615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E988CD6">
            <w:pPr>
              <w:widowControl/>
              <w:rPr>
                <w:rFonts w:ascii="宋体" w:hAnsi="宋体"/>
                <w:color w:val="auto"/>
                <w:kern w:val="0"/>
                <w:sz w:val="22"/>
                <w:szCs w:val="22"/>
              </w:rPr>
            </w:pPr>
            <w:r>
              <w:rPr>
                <w:rFonts w:hint="eastAsia" w:ascii="宋体" w:hAnsi="宋体"/>
                <w:color w:val="auto"/>
                <w:kern w:val="0"/>
                <w:sz w:val="22"/>
                <w:szCs w:val="22"/>
              </w:rPr>
              <w:t>4</w:t>
            </w:r>
          </w:p>
        </w:tc>
        <w:tc>
          <w:tcPr>
            <w:tcW w:w="0" w:type="auto"/>
            <w:vMerge w:val="continue"/>
            <w:tcBorders>
              <w:top w:val="nil"/>
              <w:left w:val="single" w:color="auto" w:sz="4" w:space="0"/>
              <w:bottom w:val="single" w:color="auto" w:sz="4" w:space="0"/>
              <w:right w:val="single" w:color="auto" w:sz="4" w:space="0"/>
            </w:tcBorders>
            <w:vAlign w:val="center"/>
          </w:tcPr>
          <w:p w14:paraId="45317C48">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B868F9A">
            <w:pPr>
              <w:widowControl/>
              <w:jc w:val="left"/>
              <w:rPr>
                <w:rFonts w:ascii="宋体" w:hAnsi="宋体"/>
                <w:color w:val="auto"/>
                <w:kern w:val="0"/>
                <w:sz w:val="22"/>
                <w:szCs w:val="22"/>
              </w:rPr>
            </w:pPr>
            <w:r>
              <w:rPr>
                <w:rFonts w:hint="eastAsia" w:ascii="宋体" w:hAnsi="宋体"/>
                <w:color w:val="auto"/>
                <w:kern w:val="0"/>
                <w:sz w:val="22"/>
                <w:szCs w:val="22"/>
              </w:rPr>
              <w:t xml:space="preserve"> ▲内存条配置数量</w:t>
            </w:r>
          </w:p>
        </w:tc>
        <w:tc>
          <w:tcPr>
            <w:tcW w:w="2735" w:type="pct"/>
            <w:tcBorders>
              <w:top w:val="single" w:color="auto" w:sz="4" w:space="0"/>
              <w:left w:val="single" w:color="auto" w:sz="4" w:space="0"/>
              <w:bottom w:val="single" w:color="auto" w:sz="4" w:space="0"/>
              <w:right w:val="single" w:color="auto" w:sz="4" w:space="0"/>
            </w:tcBorders>
            <w:vAlign w:val="center"/>
          </w:tcPr>
          <w:p w14:paraId="41216F6A">
            <w:pPr>
              <w:widowControl/>
              <w:rPr>
                <w:rFonts w:ascii="宋体" w:hAnsi="宋体"/>
                <w:color w:val="auto"/>
                <w:kern w:val="0"/>
                <w:sz w:val="22"/>
                <w:szCs w:val="22"/>
              </w:rPr>
            </w:pPr>
            <w:r>
              <w:rPr>
                <w:rFonts w:hint="eastAsia" w:ascii="宋体" w:hAnsi="宋体"/>
                <w:color w:val="auto"/>
                <w:kern w:val="0"/>
                <w:sz w:val="22"/>
                <w:szCs w:val="22"/>
              </w:rPr>
              <w:t>≥1；</w:t>
            </w:r>
          </w:p>
        </w:tc>
      </w:tr>
      <w:tr w14:paraId="3A6C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9BA53DA">
            <w:pPr>
              <w:widowControl/>
              <w:rPr>
                <w:rFonts w:ascii="宋体" w:hAnsi="宋体"/>
                <w:color w:val="auto"/>
                <w:kern w:val="0"/>
                <w:sz w:val="22"/>
                <w:szCs w:val="22"/>
              </w:rPr>
            </w:pPr>
            <w:r>
              <w:rPr>
                <w:rFonts w:hint="eastAsia" w:ascii="宋体" w:hAnsi="宋体"/>
                <w:color w:val="auto"/>
                <w:kern w:val="0"/>
                <w:sz w:val="22"/>
                <w:szCs w:val="22"/>
              </w:rPr>
              <w:t>5</w:t>
            </w:r>
          </w:p>
        </w:tc>
        <w:tc>
          <w:tcPr>
            <w:tcW w:w="807" w:type="pct"/>
            <w:vMerge w:val="restart"/>
            <w:tcBorders>
              <w:top w:val="nil"/>
              <w:left w:val="single" w:color="auto" w:sz="4" w:space="0"/>
              <w:bottom w:val="single" w:color="auto" w:sz="4" w:space="0"/>
              <w:right w:val="single" w:color="auto" w:sz="4" w:space="0"/>
            </w:tcBorders>
            <w:vAlign w:val="center"/>
          </w:tcPr>
          <w:p w14:paraId="56D715C9">
            <w:pPr>
              <w:widowControl/>
              <w:rPr>
                <w:rFonts w:ascii="宋体" w:hAnsi="宋体"/>
                <w:color w:val="auto"/>
                <w:kern w:val="0"/>
                <w:sz w:val="22"/>
                <w:szCs w:val="22"/>
              </w:rPr>
            </w:pPr>
            <w:r>
              <w:rPr>
                <w:rFonts w:hint="eastAsia" w:ascii="宋体" w:hAnsi="宋体"/>
                <w:color w:val="auto"/>
                <w:kern w:val="0"/>
                <w:sz w:val="22"/>
                <w:szCs w:val="22"/>
              </w:rPr>
              <w:t xml:space="preserve"> ▲主板规格</w:t>
            </w:r>
          </w:p>
        </w:tc>
        <w:tc>
          <w:tcPr>
            <w:tcW w:w="1096" w:type="pct"/>
            <w:tcBorders>
              <w:top w:val="single" w:color="auto" w:sz="4" w:space="0"/>
              <w:left w:val="single" w:color="auto" w:sz="4" w:space="0"/>
              <w:bottom w:val="single" w:color="auto" w:sz="4" w:space="0"/>
              <w:right w:val="single" w:color="auto" w:sz="4" w:space="0"/>
            </w:tcBorders>
            <w:vAlign w:val="center"/>
          </w:tcPr>
          <w:p w14:paraId="15A0E433">
            <w:pPr>
              <w:widowControl/>
              <w:jc w:val="left"/>
              <w:rPr>
                <w:rFonts w:ascii="宋体" w:hAnsi="宋体"/>
                <w:color w:val="auto"/>
                <w:kern w:val="0"/>
                <w:sz w:val="22"/>
                <w:szCs w:val="22"/>
              </w:rPr>
            </w:pPr>
            <w:r>
              <w:rPr>
                <w:rFonts w:hint="eastAsia" w:ascii="宋体" w:hAnsi="宋体"/>
                <w:color w:val="auto"/>
                <w:kern w:val="0"/>
                <w:sz w:val="22"/>
                <w:szCs w:val="22"/>
              </w:rPr>
              <w:t xml:space="preserve"> ▲主板集成模块</w:t>
            </w:r>
          </w:p>
        </w:tc>
        <w:tc>
          <w:tcPr>
            <w:tcW w:w="2735" w:type="pct"/>
            <w:tcBorders>
              <w:top w:val="single" w:color="auto" w:sz="4" w:space="0"/>
              <w:left w:val="single" w:color="auto" w:sz="4" w:space="0"/>
              <w:bottom w:val="single" w:color="auto" w:sz="4" w:space="0"/>
              <w:right w:val="single" w:color="auto" w:sz="4" w:space="0"/>
            </w:tcBorders>
            <w:vAlign w:val="center"/>
          </w:tcPr>
          <w:p w14:paraId="7F012F80">
            <w:pPr>
              <w:widowControl/>
              <w:rPr>
                <w:rFonts w:ascii="宋体" w:hAnsi="宋体"/>
                <w:color w:val="auto"/>
                <w:kern w:val="0"/>
                <w:sz w:val="22"/>
                <w:szCs w:val="22"/>
              </w:rPr>
            </w:pPr>
            <w:r>
              <w:rPr>
                <w:rFonts w:hint="eastAsia" w:ascii="宋体" w:hAnsi="宋体"/>
                <w:color w:val="auto"/>
                <w:kern w:val="0"/>
                <w:sz w:val="22"/>
                <w:szCs w:val="22"/>
              </w:rPr>
              <w:t>主板：参照或相当于≥Q670系列芯片组及以上，支持 USB 端口数≥14，支持 SATA 6.0 Gb / 秒端口数≥8，支持 DMI 通道≥8，支持 PCI Express 通道数≥24，至少二个 M.2 硬盘接口。集成资源扩展模块、计算处理模块、音频扩展模块等，主板的互联拓扑可通过处理器或交换电路实现。</w:t>
            </w:r>
          </w:p>
        </w:tc>
      </w:tr>
      <w:tr w14:paraId="4D79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8162E3F">
            <w:pPr>
              <w:widowControl/>
              <w:rPr>
                <w:rFonts w:ascii="宋体" w:hAnsi="宋体"/>
                <w:color w:val="auto"/>
                <w:kern w:val="0"/>
                <w:sz w:val="22"/>
                <w:szCs w:val="22"/>
              </w:rPr>
            </w:pPr>
            <w:r>
              <w:rPr>
                <w:rFonts w:hint="eastAsia" w:ascii="宋体" w:hAnsi="宋体"/>
                <w:color w:val="auto"/>
                <w:kern w:val="0"/>
                <w:sz w:val="22"/>
                <w:szCs w:val="22"/>
              </w:rPr>
              <w:t>6</w:t>
            </w:r>
          </w:p>
        </w:tc>
        <w:tc>
          <w:tcPr>
            <w:tcW w:w="0" w:type="auto"/>
            <w:vMerge w:val="continue"/>
            <w:tcBorders>
              <w:top w:val="nil"/>
              <w:left w:val="single" w:color="auto" w:sz="4" w:space="0"/>
              <w:bottom w:val="single" w:color="auto" w:sz="4" w:space="0"/>
              <w:right w:val="single" w:color="auto" w:sz="4" w:space="0"/>
            </w:tcBorders>
            <w:vAlign w:val="center"/>
          </w:tcPr>
          <w:p w14:paraId="72D059D5">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4B73697E">
            <w:pPr>
              <w:widowControl/>
              <w:jc w:val="left"/>
              <w:rPr>
                <w:rFonts w:ascii="宋体" w:hAnsi="宋体"/>
                <w:color w:val="auto"/>
                <w:kern w:val="0"/>
                <w:sz w:val="22"/>
                <w:szCs w:val="22"/>
              </w:rPr>
            </w:pPr>
            <w:r>
              <w:rPr>
                <w:rFonts w:hint="eastAsia" w:ascii="宋体" w:hAnsi="宋体"/>
                <w:color w:val="auto"/>
                <w:kern w:val="0"/>
                <w:sz w:val="22"/>
                <w:szCs w:val="22"/>
              </w:rPr>
              <w:t xml:space="preserve"> ▲主板支持的CPU和内存情况</w:t>
            </w:r>
          </w:p>
        </w:tc>
        <w:tc>
          <w:tcPr>
            <w:tcW w:w="2735" w:type="pct"/>
            <w:tcBorders>
              <w:top w:val="single" w:color="auto" w:sz="4" w:space="0"/>
              <w:left w:val="single" w:color="auto" w:sz="4" w:space="0"/>
              <w:bottom w:val="single" w:color="auto" w:sz="4" w:space="0"/>
              <w:right w:val="single" w:color="auto" w:sz="4" w:space="0"/>
            </w:tcBorders>
            <w:vAlign w:val="center"/>
          </w:tcPr>
          <w:p w14:paraId="276D794D">
            <w:pPr>
              <w:widowControl/>
              <w:rPr>
                <w:rFonts w:ascii="宋体" w:hAnsi="宋体"/>
                <w:color w:val="auto"/>
                <w:kern w:val="0"/>
                <w:sz w:val="22"/>
                <w:szCs w:val="22"/>
              </w:rPr>
            </w:pPr>
            <w:r>
              <w:rPr>
                <w:rFonts w:hint="eastAsia" w:ascii="宋体" w:hAnsi="宋体"/>
                <w:color w:val="auto"/>
                <w:kern w:val="0"/>
                <w:sz w:val="22"/>
                <w:szCs w:val="22"/>
              </w:rPr>
              <w:t>主板支持 CPU 1 颗，支持内存≥2 根。投标时标明主板支持的 CPU 和内存型号和数量。</w:t>
            </w:r>
          </w:p>
        </w:tc>
      </w:tr>
      <w:tr w14:paraId="0FC3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64C8ECA">
            <w:pPr>
              <w:widowControl/>
              <w:rPr>
                <w:rFonts w:ascii="宋体" w:hAnsi="宋体"/>
                <w:color w:val="auto"/>
                <w:kern w:val="0"/>
                <w:sz w:val="22"/>
                <w:szCs w:val="22"/>
              </w:rPr>
            </w:pPr>
            <w:r>
              <w:rPr>
                <w:rFonts w:hint="eastAsia" w:ascii="宋体" w:hAnsi="宋体"/>
                <w:color w:val="auto"/>
                <w:kern w:val="0"/>
                <w:sz w:val="22"/>
                <w:szCs w:val="22"/>
              </w:rPr>
              <w:t>7</w:t>
            </w:r>
          </w:p>
        </w:tc>
        <w:tc>
          <w:tcPr>
            <w:tcW w:w="0" w:type="auto"/>
            <w:vMerge w:val="continue"/>
            <w:tcBorders>
              <w:top w:val="nil"/>
              <w:left w:val="single" w:color="auto" w:sz="4" w:space="0"/>
              <w:bottom w:val="single" w:color="auto" w:sz="4" w:space="0"/>
              <w:right w:val="single" w:color="auto" w:sz="4" w:space="0"/>
            </w:tcBorders>
            <w:vAlign w:val="center"/>
          </w:tcPr>
          <w:p w14:paraId="4817B6D7">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6D47B003">
            <w:pPr>
              <w:widowControl/>
              <w:jc w:val="left"/>
              <w:rPr>
                <w:rFonts w:ascii="宋体" w:hAnsi="宋体"/>
                <w:color w:val="auto"/>
                <w:kern w:val="0"/>
                <w:sz w:val="22"/>
                <w:szCs w:val="22"/>
              </w:rPr>
            </w:pPr>
            <w:r>
              <w:rPr>
                <w:rFonts w:hint="eastAsia" w:ascii="宋体" w:hAnsi="宋体"/>
                <w:color w:val="auto"/>
                <w:kern w:val="0"/>
                <w:sz w:val="22"/>
                <w:szCs w:val="22"/>
              </w:rPr>
              <w:t>主板内置PCIe插槽数量</w:t>
            </w:r>
          </w:p>
        </w:tc>
        <w:tc>
          <w:tcPr>
            <w:tcW w:w="2735" w:type="pct"/>
            <w:tcBorders>
              <w:top w:val="single" w:color="auto" w:sz="4" w:space="0"/>
              <w:left w:val="single" w:color="auto" w:sz="4" w:space="0"/>
              <w:bottom w:val="single" w:color="auto" w:sz="4" w:space="0"/>
              <w:right w:val="single" w:color="auto" w:sz="4" w:space="0"/>
            </w:tcBorders>
            <w:vAlign w:val="center"/>
          </w:tcPr>
          <w:p w14:paraId="072DF9E9">
            <w:pPr>
              <w:widowControl/>
              <w:rPr>
                <w:rFonts w:ascii="宋体" w:hAnsi="宋体"/>
                <w:color w:val="auto"/>
                <w:kern w:val="0"/>
                <w:sz w:val="22"/>
                <w:szCs w:val="22"/>
              </w:rPr>
            </w:pPr>
            <w:r>
              <w:rPr>
                <w:rFonts w:hint="eastAsia" w:ascii="宋体" w:hAnsi="宋体"/>
                <w:color w:val="auto"/>
                <w:kern w:val="0"/>
                <w:sz w:val="22"/>
                <w:szCs w:val="22"/>
              </w:rPr>
              <w:t>≥2个</w:t>
            </w:r>
          </w:p>
        </w:tc>
      </w:tr>
      <w:tr w14:paraId="6729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29CDBC6">
            <w:pPr>
              <w:widowControl/>
              <w:rPr>
                <w:rFonts w:ascii="宋体" w:hAnsi="宋体"/>
                <w:color w:val="auto"/>
                <w:kern w:val="0"/>
                <w:sz w:val="22"/>
                <w:szCs w:val="22"/>
              </w:rPr>
            </w:pPr>
            <w:r>
              <w:rPr>
                <w:rFonts w:hint="eastAsia" w:ascii="宋体" w:hAnsi="宋体"/>
                <w:color w:val="auto"/>
                <w:kern w:val="0"/>
                <w:sz w:val="22"/>
                <w:szCs w:val="22"/>
              </w:rPr>
              <w:t>8</w:t>
            </w:r>
          </w:p>
        </w:tc>
        <w:tc>
          <w:tcPr>
            <w:tcW w:w="0" w:type="auto"/>
            <w:vMerge w:val="continue"/>
            <w:tcBorders>
              <w:top w:val="nil"/>
              <w:left w:val="single" w:color="auto" w:sz="4" w:space="0"/>
              <w:bottom w:val="single" w:color="auto" w:sz="4" w:space="0"/>
              <w:right w:val="single" w:color="auto" w:sz="4" w:space="0"/>
            </w:tcBorders>
            <w:vAlign w:val="center"/>
          </w:tcPr>
          <w:p w14:paraId="479D2283">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CCF2BD5">
            <w:pPr>
              <w:widowControl/>
              <w:jc w:val="left"/>
              <w:rPr>
                <w:rFonts w:ascii="宋体" w:hAnsi="宋体"/>
                <w:color w:val="auto"/>
                <w:kern w:val="0"/>
                <w:sz w:val="22"/>
                <w:szCs w:val="22"/>
              </w:rPr>
            </w:pPr>
            <w:r>
              <w:rPr>
                <w:rFonts w:hint="eastAsia" w:ascii="宋体" w:hAnsi="宋体"/>
                <w:color w:val="auto"/>
                <w:kern w:val="0"/>
                <w:sz w:val="22"/>
                <w:szCs w:val="22"/>
              </w:rPr>
              <w:t>特殊孔位及接口</w:t>
            </w:r>
          </w:p>
        </w:tc>
        <w:tc>
          <w:tcPr>
            <w:tcW w:w="2735" w:type="pct"/>
            <w:tcBorders>
              <w:top w:val="single" w:color="auto" w:sz="4" w:space="0"/>
              <w:left w:val="single" w:color="auto" w:sz="4" w:space="0"/>
              <w:bottom w:val="single" w:color="auto" w:sz="4" w:space="0"/>
              <w:right w:val="single" w:color="auto" w:sz="4" w:space="0"/>
            </w:tcBorders>
            <w:vAlign w:val="center"/>
          </w:tcPr>
          <w:p w14:paraId="1A38659C">
            <w:pPr>
              <w:widowControl/>
              <w:rPr>
                <w:rFonts w:ascii="宋体" w:hAnsi="宋体"/>
                <w:color w:val="auto"/>
                <w:kern w:val="0"/>
                <w:sz w:val="22"/>
                <w:szCs w:val="22"/>
              </w:rPr>
            </w:pPr>
            <w:r>
              <w:rPr>
                <w:rFonts w:hint="eastAsia" w:ascii="宋体" w:hAnsi="宋体"/>
                <w:color w:val="auto"/>
                <w:kern w:val="0"/>
                <w:sz w:val="22"/>
                <w:szCs w:val="22"/>
              </w:rPr>
              <w:t xml:space="preserve">a）预留满足USB3.0数据传输规范的接口，工作电压5V，最大过电流应不小于3A； </w:t>
            </w:r>
            <w:r>
              <w:rPr>
                <w:rFonts w:hint="eastAsia" w:ascii="宋体" w:hAnsi="宋体"/>
                <w:color w:val="auto"/>
                <w:kern w:val="0"/>
                <w:sz w:val="22"/>
                <w:szCs w:val="22"/>
              </w:rPr>
              <w:br w:type="textWrapping"/>
            </w:r>
            <w:r>
              <w:rPr>
                <w:rFonts w:hint="eastAsia" w:ascii="宋体" w:hAnsi="宋体"/>
                <w:color w:val="auto"/>
                <w:kern w:val="0"/>
                <w:sz w:val="22"/>
                <w:szCs w:val="22"/>
              </w:rPr>
              <w:t>b) 预留多功能导入装置板卡安装孔位，采用内置方式与主机一体化集成，容量不小于145mm×125mm×16.5mm（长×宽×高）</w:t>
            </w:r>
          </w:p>
        </w:tc>
      </w:tr>
      <w:tr w14:paraId="693D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C6EFD39">
            <w:pPr>
              <w:widowControl/>
              <w:rPr>
                <w:rFonts w:ascii="宋体" w:hAnsi="宋体"/>
                <w:color w:val="auto"/>
                <w:kern w:val="0"/>
                <w:sz w:val="22"/>
                <w:szCs w:val="22"/>
              </w:rPr>
            </w:pPr>
            <w:r>
              <w:rPr>
                <w:rFonts w:hint="eastAsia" w:ascii="宋体" w:hAnsi="宋体"/>
                <w:color w:val="auto"/>
                <w:kern w:val="0"/>
                <w:sz w:val="22"/>
                <w:szCs w:val="22"/>
              </w:rPr>
              <w:t>9</w:t>
            </w:r>
          </w:p>
        </w:tc>
        <w:tc>
          <w:tcPr>
            <w:tcW w:w="0" w:type="auto"/>
            <w:vMerge w:val="continue"/>
            <w:tcBorders>
              <w:top w:val="nil"/>
              <w:left w:val="single" w:color="auto" w:sz="4" w:space="0"/>
              <w:bottom w:val="single" w:color="auto" w:sz="4" w:space="0"/>
              <w:right w:val="single" w:color="auto" w:sz="4" w:space="0"/>
            </w:tcBorders>
            <w:vAlign w:val="center"/>
          </w:tcPr>
          <w:p w14:paraId="4F4C5F7D">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2ECC0045">
            <w:pPr>
              <w:widowControl/>
              <w:jc w:val="left"/>
              <w:rPr>
                <w:rFonts w:ascii="宋体" w:hAnsi="宋体"/>
                <w:color w:val="auto"/>
                <w:kern w:val="0"/>
                <w:sz w:val="22"/>
                <w:szCs w:val="22"/>
              </w:rPr>
            </w:pPr>
            <w:r>
              <w:rPr>
                <w:rFonts w:hint="eastAsia" w:ascii="宋体" w:hAnsi="宋体"/>
                <w:color w:val="auto"/>
                <w:kern w:val="0"/>
                <w:sz w:val="22"/>
                <w:szCs w:val="22"/>
              </w:rPr>
              <w:t xml:space="preserve"> ▲主板其他内置接口</w:t>
            </w:r>
          </w:p>
        </w:tc>
        <w:tc>
          <w:tcPr>
            <w:tcW w:w="2735" w:type="pct"/>
            <w:tcBorders>
              <w:top w:val="single" w:color="auto" w:sz="4" w:space="0"/>
              <w:left w:val="single" w:color="auto" w:sz="4" w:space="0"/>
              <w:bottom w:val="single" w:color="auto" w:sz="4" w:space="0"/>
              <w:right w:val="single" w:color="auto" w:sz="4" w:space="0"/>
            </w:tcBorders>
            <w:vAlign w:val="center"/>
          </w:tcPr>
          <w:p w14:paraId="20FEE6B5">
            <w:pPr>
              <w:widowControl/>
              <w:rPr>
                <w:rFonts w:ascii="宋体" w:hAnsi="宋体"/>
                <w:color w:val="auto"/>
                <w:kern w:val="0"/>
                <w:sz w:val="22"/>
                <w:szCs w:val="22"/>
              </w:rPr>
            </w:pPr>
            <w:r>
              <w:rPr>
                <w:rFonts w:hint="eastAsia" w:ascii="宋体" w:hAnsi="宋体"/>
                <w:color w:val="auto"/>
                <w:kern w:val="0"/>
                <w:sz w:val="22"/>
                <w:szCs w:val="22"/>
              </w:rPr>
              <w:t>标配 2 个 M.2 硬盘插槽，1 个全高 PCI</w:t>
            </w:r>
          </w:p>
        </w:tc>
      </w:tr>
      <w:tr w14:paraId="07E5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592A44C">
            <w:pPr>
              <w:widowControl/>
              <w:rPr>
                <w:rFonts w:ascii="宋体" w:hAnsi="宋体"/>
                <w:color w:val="auto"/>
                <w:kern w:val="0"/>
                <w:sz w:val="22"/>
                <w:szCs w:val="22"/>
              </w:rPr>
            </w:pPr>
            <w:r>
              <w:rPr>
                <w:rFonts w:hint="eastAsia" w:ascii="宋体" w:hAnsi="宋体"/>
                <w:color w:val="auto"/>
                <w:kern w:val="0"/>
                <w:sz w:val="22"/>
                <w:szCs w:val="22"/>
              </w:rPr>
              <w:t>10</w:t>
            </w:r>
          </w:p>
        </w:tc>
        <w:tc>
          <w:tcPr>
            <w:tcW w:w="0" w:type="auto"/>
            <w:vMerge w:val="continue"/>
            <w:tcBorders>
              <w:top w:val="nil"/>
              <w:left w:val="single" w:color="auto" w:sz="4" w:space="0"/>
              <w:bottom w:val="single" w:color="auto" w:sz="4" w:space="0"/>
              <w:right w:val="single" w:color="auto" w:sz="4" w:space="0"/>
            </w:tcBorders>
            <w:vAlign w:val="center"/>
          </w:tcPr>
          <w:p w14:paraId="5C82AB40">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ACCC561">
            <w:pPr>
              <w:widowControl/>
              <w:jc w:val="left"/>
              <w:rPr>
                <w:rFonts w:ascii="宋体" w:hAnsi="宋体"/>
                <w:color w:val="auto"/>
                <w:kern w:val="0"/>
                <w:sz w:val="22"/>
                <w:szCs w:val="22"/>
              </w:rPr>
            </w:pPr>
            <w:r>
              <w:rPr>
                <w:rFonts w:hint="eastAsia" w:ascii="宋体" w:hAnsi="宋体"/>
                <w:color w:val="auto"/>
                <w:kern w:val="0"/>
                <w:sz w:val="22"/>
                <w:szCs w:val="22"/>
              </w:rPr>
              <w:t xml:space="preserve"> ▲单内存插槽最大可支持容量（板载内存不涉及）</w:t>
            </w:r>
          </w:p>
        </w:tc>
        <w:tc>
          <w:tcPr>
            <w:tcW w:w="2735" w:type="pct"/>
            <w:tcBorders>
              <w:top w:val="single" w:color="auto" w:sz="4" w:space="0"/>
              <w:left w:val="single" w:color="auto" w:sz="4" w:space="0"/>
              <w:bottom w:val="single" w:color="auto" w:sz="4" w:space="0"/>
              <w:right w:val="single" w:color="auto" w:sz="4" w:space="0"/>
            </w:tcBorders>
            <w:vAlign w:val="center"/>
          </w:tcPr>
          <w:p w14:paraId="5DAB32B2">
            <w:pPr>
              <w:widowControl/>
              <w:rPr>
                <w:rFonts w:ascii="宋体" w:hAnsi="宋体"/>
                <w:color w:val="auto"/>
                <w:kern w:val="0"/>
                <w:sz w:val="22"/>
                <w:szCs w:val="22"/>
              </w:rPr>
            </w:pPr>
            <w:r>
              <w:rPr>
                <w:rFonts w:hint="eastAsia" w:ascii="宋体" w:hAnsi="宋体"/>
                <w:color w:val="auto"/>
                <w:kern w:val="0"/>
                <w:sz w:val="22"/>
                <w:szCs w:val="22"/>
              </w:rPr>
              <w:t>≥32GB</w:t>
            </w:r>
          </w:p>
        </w:tc>
      </w:tr>
      <w:tr w14:paraId="1101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9E4AD36">
            <w:pPr>
              <w:widowControl/>
              <w:rPr>
                <w:rFonts w:ascii="宋体" w:hAnsi="宋体"/>
                <w:color w:val="auto"/>
                <w:kern w:val="0"/>
                <w:sz w:val="22"/>
                <w:szCs w:val="22"/>
              </w:rPr>
            </w:pPr>
            <w:r>
              <w:rPr>
                <w:rFonts w:hint="eastAsia" w:ascii="宋体" w:hAnsi="宋体"/>
                <w:color w:val="auto"/>
                <w:kern w:val="0"/>
                <w:sz w:val="22"/>
                <w:szCs w:val="22"/>
              </w:rPr>
              <w:t>11</w:t>
            </w:r>
          </w:p>
        </w:tc>
        <w:tc>
          <w:tcPr>
            <w:tcW w:w="0" w:type="auto"/>
            <w:vMerge w:val="continue"/>
            <w:tcBorders>
              <w:top w:val="nil"/>
              <w:left w:val="single" w:color="auto" w:sz="4" w:space="0"/>
              <w:bottom w:val="single" w:color="auto" w:sz="4" w:space="0"/>
              <w:right w:val="single" w:color="auto" w:sz="4" w:space="0"/>
            </w:tcBorders>
            <w:vAlign w:val="center"/>
          </w:tcPr>
          <w:p w14:paraId="408F1040">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6FBEF79C">
            <w:pPr>
              <w:widowControl/>
              <w:jc w:val="left"/>
              <w:rPr>
                <w:rFonts w:ascii="宋体" w:hAnsi="宋体"/>
                <w:color w:val="auto"/>
                <w:kern w:val="0"/>
                <w:sz w:val="22"/>
                <w:szCs w:val="22"/>
              </w:rPr>
            </w:pPr>
            <w:r>
              <w:rPr>
                <w:rFonts w:hint="eastAsia" w:ascii="宋体" w:hAnsi="宋体"/>
                <w:color w:val="auto"/>
                <w:kern w:val="0"/>
                <w:sz w:val="22"/>
                <w:szCs w:val="22"/>
              </w:rPr>
              <w:t xml:space="preserve"> ▲内存插槽满配时提供的最高内存总容量</w:t>
            </w:r>
          </w:p>
        </w:tc>
        <w:tc>
          <w:tcPr>
            <w:tcW w:w="2735" w:type="pct"/>
            <w:tcBorders>
              <w:top w:val="single" w:color="auto" w:sz="4" w:space="0"/>
              <w:left w:val="single" w:color="auto" w:sz="4" w:space="0"/>
              <w:bottom w:val="single" w:color="auto" w:sz="4" w:space="0"/>
              <w:right w:val="single" w:color="auto" w:sz="4" w:space="0"/>
            </w:tcBorders>
            <w:vAlign w:val="center"/>
          </w:tcPr>
          <w:p w14:paraId="59CE6279">
            <w:pPr>
              <w:widowControl/>
              <w:rPr>
                <w:rFonts w:ascii="宋体" w:hAnsi="宋体"/>
                <w:color w:val="auto"/>
                <w:kern w:val="0"/>
                <w:sz w:val="22"/>
                <w:szCs w:val="22"/>
              </w:rPr>
            </w:pPr>
            <w:r>
              <w:rPr>
                <w:rFonts w:hint="eastAsia" w:ascii="宋体" w:hAnsi="宋体"/>
                <w:color w:val="auto"/>
                <w:kern w:val="0"/>
                <w:sz w:val="22"/>
                <w:szCs w:val="22"/>
              </w:rPr>
              <w:t>≥64GB</w:t>
            </w:r>
          </w:p>
        </w:tc>
      </w:tr>
      <w:tr w14:paraId="45FB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A0A9D60">
            <w:pPr>
              <w:widowControl/>
              <w:rPr>
                <w:rFonts w:ascii="宋体" w:hAnsi="宋体"/>
                <w:color w:val="auto"/>
                <w:kern w:val="0"/>
                <w:sz w:val="22"/>
                <w:szCs w:val="22"/>
              </w:rPr>
            </w:pPr>
            <w:r>
              <w:rPr>
                <w:rFonts w:hint="eastAsia" w:ascii="宋体" w:hAnsi="宋体"/>
                <w:color w:val="auto"/>
                <w:kern w:val="0"/>
                <w:sz w:val="22"/>
                <w:szCs w:val="22"/>
              </w:rPr>
              <w:t>12</w:t>
            </w:r>
          </w:p>
        </w:tc>
        <w:tc>
          <w:tcPr>
            <w:tcW w:w="807" w:type="pct"/>
            <w:vMerge w:val="restart"/>
            <w:tcBorders>
              <w:top w:val="nil"/>
              <w:left w:val="single" w:color="auto" w:sz="4" w:space="0"/>
              <w:bottom w:val="single" w:color="auto" w:sz="4" w:space="0"/>
              <w:right w:val="single" w:color="auto" w:sz="4" w:space="0"/>
            </w:tcBorders>
            <w:vAlign w:val="center"/>
          </w:tcPr>
          <w:p w14:paraId="2D0B651F">
            <w:pPr>
              <w:widowControl/>
              <w:rPr>
                <w:rFonts w:ascii="宋体" w:hAnsi="宋体"/>
                <w:color w:val="auto"/>
                <w:kern w:val="0"/>
                <w:sz w:val="22"/>
                <w:szCs w:val="22"/>
              </w:rPr>
            </w:pPr>
            <w:r>
              <w:rPr>
                <w:rFonts w:hint="eastAsia" w:ascii="宋体" w:hAnsi="宋体"/>
                <w:color w:val="auto"/>
                <w:kern w:val="0"/>
                <w:sz w:val="22"/>
                <w:szCs w:val="22"/>
              </w:rPr>
              <w:t xml:space="preserve"> ▲存储设备规格</w:t>
            </w:r>
          </w:p>
        </w:tc>
        <w:tc>
          <w:tcPr>
            <w:tcW w:w="1096" w:type="pct"/>
            <w:tcBorders>
              <w:top w:val="single" w:color="auto" w:sz="4" w:space="0"/>
              <w:left w:val="single" w:color="auto" w:sz="4" w:space="0"/>
              <w:bottom w:val="single" w:color="auto" w:sz="4" w:space="0"/>
              <w:right w:val="single" w:color="auto" w:sz="4" w:space="0"/>
            </w:tcBorders>
            <w:vAlign w:val="center"/>
          </w:tcPr>
          <w:p w14:paraId="3BEF957C">
            <w:pPr>
              <w:widowControl/>
              <w:jc w:val="left"/>
              <w:rPr>
                <w:rFonts w:ascii="宋体" w:hAnsi="宋体"/>
                <w:color w:val="auto"/>
                <w:kern w:val="0"/>
                <w:sz w:val="22"/>
                <w:szCs w:val="22"/>
              </w:rPr>
            </w:pPr>
            <w:r>
              <w:rPr>
                <w:rFonts w:hint="eastAsia" w:ascii="宋体" w:hAnsi="宋体"/>
                <w:color w:val="auto"/>
                <w:kern w:val="0"/>
                <w:sz w:val="22"/>
                <w:szCs w:val="22"/>
              </w:rPr>
              <w:t xml:space="preserve"> ▲固态盘数量</w:t>
            </w:r>
          </w:p>
        </w:tc>
        <w:tc>
          <w:tcPr>
            <w:tcW w:w="2735" w:type="pct"/>
            <w:tcBorders>
              <w:top w:val="single" w:color="auto" w:sz="4" w:space="0"/>
              <w:left w:val="single" w:color="auto" w:sz="4" w:space="0"/>
              <w:bottom w:val="single" w:color="auto" w:sz="4" w:space="0"/>
              <w:right w:val="single" w:color="auto" w:sz="4" w:space="0"/>
            </w:tcBorders>
            <w:vAlign w:val="center"/>
          </w:tcPr>
          <w:p w14:paraId="7C24A5D1">
            <w:pPr>
              <w:widowControl/>
              <w:rPr>
                <w:rFonts w:ascii="宋体" w:hAnsi="宋体"/>
                <w:color w:val="auto"/>
                <w:kern w:val="0"/>
                <w:sz w:val="22"/>
                <w:szCs w:val="22"/>
              </w:rPr>
            </w:pPr>
            <w:r>
              <w:rPr>
                <w:rFonts w:hint="eastAsia" w:ascii="宋体" w:hAnsi="宋体"/>
                <w:color w:val="auto"/>
                <w:kern w:val="0"/>
                <w:sz w:val="22"/>
                <w:szCs w:val="22"/>
              </w:rPr>
              <w:t>≥1个</w:t>
            </w:r>
          </w:p>
        </w:tc>
      </w:tr>
      <w:tr w14:paraId="246C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97DFB9B">
            <w:pPr>
              <w:widowControl/>
              <w:rPr>
                <w:rFonts w:ascii="宋体" w:hAnsi="宋体"/>
                <w:color w:val="auto"/>
                <w:kern w:val="0"/>
                <w:sz w:val="22"/>
                <w:szCs w:val="22"/>
              </w:rPr>
            </w:pPr>
            <w:r>
              <w:rPr>
                <w:rFonts w:hint="eastAsia" w:ascii="宋体" w:hAnsi="宋体"/>
                <w:color w:val="auto"/>
                <w:kern w:val="0"/>
                <w:sz w:val="22"/>
                <w:szCs w:val="22"/>
              </w:rPr>
              <w:t>13</w:t>
            </w:r>
          </w:p>
        </w:tc>
        <w:tc>
          <w:tcPr>
            <w:tcW w:w="0" w:type="auto"/>
            <w:vMerge w:val="continue"/>
            <w:tcBorders>
              <w:top w:val="nil"/>
              <w:left w:val="single" w:color="auto" w:sz="4" w:space="0"/>
              <w:bottom w:val="single" w:color="auto" w:sz="4" w:space="0"/>
              <w:right w:val="single" w:color="auto" w:sz="4" w:space="0"/>
            </w:tcBorders>
            <w:vAlign w:val="center"/>
          </w:tcPr>
          <w:p w14:paraId="29A24C61">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D094F01">
            <w:pPr>
              <w:widowControl/>
              <w:jc w:val="left"/>
              <w:rPr>
                <w:rFonts w:ascii="宋体" w:hAnsi="宋体"/>
                <w:color w:val="auto"/>
                <w:kern w:val="0"/>
                <w:sz w:val="22"/>
                <w:szCs w:val="22"/>
              </w:rPr>
            </w:pPr>
            <w:r>
              <w:rPr>
                <w:rFonts w:hint="eastAsia" w:ascii="宋体" w:hAnsi="宋体"/>
                <w:color w:val="auto"/>
                <w:kern w:val="0"/>
                <w:sz w:val="22"/>
                <w:szCs w:val="22"/>
              </w:rPr>
              <w:t xml:space="preserve"> ▲固态存储容量</w:t>
            </w:r>
          </w:p>
        </w:tc>
        <w:tc>
          <w:tcPr>
            <w:tcW w:w="2735" w:type="pct"/>
            <w:tcBorders>
              <w:top w:val="single" w:color="auto" w:sz="4" w:space="0"/>
              <w:left w:val="single" w:color="auto" w:sz="4" w:space="0"/>
              <w:bottom w:val="single" w:color="auto" w:sz="4" w:space="0"/>
              <w:right w:val="single" w:color="auto" w:sz="4" w:space="0"/>
            </w:tcBorders>
            <w:vAlign w:val="center"/>
          </w:tcPr>
          <w:p w14:paraId="5FF6504B">
            <w:pPr>
              <w:widowControl/>
              <w:textAlignment w:val="center"/>
              <w:rPr>
                <w:rFonts w:ascii="宋体" w:hAnsi="宋体"/>
                <w:color w:val="auto"/>
                <w:kern w:val="0"/>
                <w:sz w:val="22"/>
                <w:szCs w:val="22"/>
              </w:rPr>
            </w:pPr>
            <w:r>
              <w:rPr>
                <w:rFonts w:hint="eastAsia" w:ascii="宋体" w:hAnsi="宋体"/>
                <w:color w:val="auto"/>
                <w:kern w:val="0"/>
                <w:sz w:val="22"/>
                <w:szCs w:val="22"/>
              </w:rPr>
              <w:t>≥512G M.2 PCIe</w:t>
            </w:r>
          </w:p>
        </w:tc>
      </w:tr>
      <w:tr w14:paraId="32F7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7CBF15A">
            <w:pPr>
              <w:widowControl/>
              <w:rPr>
                <w:rFonts w:ascii="宋体" w:hAnsi="宋体"/>
                <w:color w:val="auto"/>
                <w:kern w:val="0"/>
                <w:sz w:val="22"/>
                <w:szCs w:val="22"/>
              </w:rPr>
            </w:pPr>
            <w:r>
              <w:rPr>
                <w:rFonts w:hint="eastAsia" w:ascii="宋体" w:hAnsi="宋体"/>
                <w:color w:val="auto"/>
                <w:kern w:val="0"/>
                <w:sz w:val="22"/>
                <w:szCs w:val="22"/>
              </w:rPr>
              <w:t>14</w:t>
            </w:r>
          </w:p>
        </w:tc>
        <w:tc>
          <w:tcPr>
            <w:tcW w:w="0" w:type="auto"/>
            <w:vMerge w:val="continue"/>
            <w:tcBorders>
              <w:top w:val="nil"/>
              <w:left w:val="single" w:color="auto" w:sz="4" w:space="0"/>
              <w:bottom w:val="single" w:color="auto" w:sz="4" w:space="0"/>
              <w:right w:val="single" w:color="auto" w:sz="4" w:space="0"/>
            </w:tcBorders>
            <w:vAlign w:val="center"/>
          </w:tcPr>
          <w:p w14:paraId="2ECA3AEF">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2072110A">
            <w:pPr>
              <w:widowControl/>
              <w:jc w:val="left"/>
              <w:rPr>
                <w:rFonts w:ascii="宋体" w:hAnsi="宋体"/>
                <w:color w:val="auto"/>
                <w:kern w:val="0"/>
                <w:sz w:val="22"/>
                <w:szCs w:val="22"/>
              </w:rPr>
            </w:pPr>
            <w:r>
              <w:rPr>
                <w:rFonts w:hint="eastAsia" w:ascii="宋体" w:hAnsi="宋体"/>
                <w:color w:val="auto"/>
                <w:kern w:val="0"/>
                <w:sz w:val="22"/>
                <w:szCs w:val="22"/>
              </w:rPr>
              <w:t>机械硬盘数量</w:t>
            </w:r>
          </w:p>
        </w:tc>
        <w:tc>
          <w:tcPr>
            <w:tcW w:w="2735" w:type="pct"/>
            <w:tcBorders>
              <w:top w:val="single" w:color="auto" w:sz="4" w:space="0"/>
              <w:left w:val="single" w:color="auto" w:sz="4" w:space="0"/>
              <w:bottom w:val="single" w:color="auto" w:sz="4" w:space="0"/>
              <w:right w:val="single" w:color="auto" w:sz="4" w:space="0"/>
            </w:tcBorders>
            <w:vAlign w:val="center"/>
          </w:tcPr>
          <w:p w14:paraId="4A3C208A">
            <w:pPr>
              <w:widowControl/>
              <w:rPr>
                <w:rFonts w:ascii="宋体" w:hAnsi="宋体"/>
                <w:color w:val="auto"/>
                <w:kern w:val="0"/>
                <w:sz w:val="22"/>
                <w:szCs w:val="22"/>
              </w:rPr>
            </w:pPr>
            <w:r>
              <w:rPr>
                <w:rFonts w:hint="eastAsia" w:ascii="宋体" w:hAnsi="宋体"/>
                <w:color w:val="auto"/>
                <w:kern w:val="0"/>
                <w:sz w:val="22"/>
                <w:szCs w:val="22"/>
              </w:rPr>
              <w:t>此项指标不做要求</w:t>
            </w:r>
          </w:p>
        </w:tc>
      </w:tr>
      <w:tr w14:paraId="0B8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E176154">
            <w:pPr>
              <w:widowControl/>
              <w:rPr>
                <w:rFonts w:ascii="宋体" w:hAnsi="宋体"/>
                <w:color w:val="auto"/>
                <w:kern w:val="0"/>
                <w:sz w:val="22"/>
                <w:szCs w:val="22"/>
              </w:rPr>
            </w:pPr>
            <w:r>
              <w:rPr>
                <w:rFonts w:hint="eastAsia" w:ascii="宋体" w:hAnsi="宋体"/>
                <w:color w:val="auto"/>
                <w:kern w:val="0"/>
                <w:sz w:val="22"/>
                <w:szCs w:val="22"/>
              </w:rPr>
              <w:t>15</w:t>
            </w:r>
          </w:p>
        </w:tc>
        <w:tc>
          <w:tcPr>
            <w:tcW w:w="0" w:type="auto"/>
            <w:vMerge w:val="continue"/>
            <w:tcBorders>
              <w:top w:val="nil"/>
              <w:left w:val="single" w:color="auto" w:sz="4" w:space="0"/>
              <w:bottom w:val="single" w:color="auto" w:sz="4" w:space="0"/>
              <w:right w:val="single" w:color="auto" w:sz="4" w:space="0"/>
            </w:tcBorders>
            <w:vAlign w:val="center"/>
          </w:tcPr>
          <w:p w14:paraId="72B67E85">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E972C0F">
            <w:pPr>
              <w:widowControl/>
              <w:jc w:val="left"/>
              <w:rPr>
                <w:rFonts w:ascii="宋体" w:hAnsi="宋体"/>
                <w:color w:val="auto"/>
                <w:kern w:val="0"/>
                <w:sz w:val="22"/>
                <w:szCs w:val="22"/>
              </w:rPr>
            </w:pPr>
            <w:r>
              <w:rPr>
                <w:rFonts w:hint="eastAsia" w:ascii="宋体" w:hAnsi="宋体"/>
                <w:color w:val="auto"/>
                <w:kern w:val="0"/>
                <w:sz w:val="22"/>
                <w:szCs w:val="22"/>
              </w:rPr>
              <w:t>机械硬盘总容量</w:t>
            </w:r>
          </w:p>
        </w:tc>
        <w:tc>
          <w:tcPr>
            <w:tcW w:w="2735" w:type="pct"/>
            <w:tcBorders>
              <w:top w:val="single" w:color="auto" w:sz="4" w:space="0"/>
              <w:left w:val="single" w:color="auto" w:sz="4" w:space="0"/>
              <w:bottom w:val="single" w:color="auto" w:sz="4" w:space="0"/>
              <w:right w:val="single" w:color="auto" w:sz="4" w:space="0"/>
            </w:tcBorders>
            <w:vAlign w:val="center"/>
          </w:tcPr>
          <w:p w14:paraId="34911230">
            <w:pPr>
              <w:widowControl/>
              <w:rPr>
                <w:rFonts w:ascii="宋体" w:hAnsi="宋体"/>
                <w:color w:val="auto"/>
                <w:kern w:val="0"/>
                <w:sz w:val="22"/>
                <w:szCs w:val="22"/>
              </w:rPr>
            </w:pPr>
            <w:r>
              <w:rPr>
                <w:rFonts w:hint="eastAsia" w:ascii="宋体" w:hAnsi="宋体"/>
                <w:color w:val="auto"/>
                <w:sz w:val="22"/>
                <w:szCs w:val="22"/>
              </w:rPr>
              <w:t>此项指标不做要求</w:t>
            </w:r>
          </w:p>
        </w:tc>
      </w:tr>
      <w:tr w14:paraId="276D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F5D2C81">
            <w:pPr>
              <w:widowControl/>
              <w:rPr>
                <w:rFonts w:ascii="宋体" w:hAnsi="宋体"/>
                <w:color w:val="auto"/>
                <w:kern w:val="0"/>
                <w:sz w:val="22"/>
                <w:szCs w:val="22"/>
              </w:rPr>
            </w:pPr>
            <w:r>
              <w:rPr>
                <w:rFonts w:hint="eastAsia" w:ascii="宋体" w:hAnsi="宋体"/>
                <w:color w:val="auto"/>
                <w:kern w:val="0"/>
                <w:sz w:val="22"/>
                <w:szCs w:val="22"/>
              </w:rPr>
              <w:t>16</w:t>
            </w:r>
          </w:p>
        </w:tc>
        <w:tc>
          <w:tcPr>
            <w:tcW w:w="0" w:type="auto"/>
            <w:vMerge w:val="continue"/>
            <w:tcBorders>
              <w:top w:val="nil"/>
              <w:left w:val="single" w:color="auto" w:sz="4" w:space="0"/>
              <w:bottom w:val="single" w:color="auto" w:sz="4" w:space="0"/>
              <w:right w:val="single" w:color="auto" w:sz="4" w:space="0"/>
            </w:tcBorders>
            <w:vAlign w:val="center"/>
          </w:tcPr>
          <w:p w14:paraId="475D5DC4">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6FEE7725">
            <w:pPr>
              <w:widowControl/>
              <w:jc w:val="left"/>
              <w:rPr>
                <w:rFonts w:ascii="宋体" w:hAnsi="宋体"/>
                <w:color w:val="auto"/>
                <w:kern w:val="0"/>
                <w:sz w:val="22"/>
                <w:szCs w:val="22"/>
              </w:rPr>
            </w:pPr>
            <w:r>
              <w:rPr>
                <w:rFonts w:hint="eastAsia" w:ascii="宋体" w:hAnsi="宋体"/>
                <w:color w:val="auto"/>
                <w:kern w:val="0"/>
                <w:sz w:val="22"/>
                <w:szCs w:val="22"/>
              </w:rPr>
              <w:t>机械硬盘转速</w:t>
            </w:r>
          </w:p>
        </w:tc>
        <w:tc>
          <w:tcPr>
            <w:tcW w:w="2735" w:type="pct"/>
            <w:tcBorders>
              <w:top w:val="single" w:color="auto" w:sz="4" w:space="0"/>
              <w:left w:val="single" w:color="auto" w:sz="4" w:space="0"/>
              <w:bottom w:val="single" w:color="auto" w:sz="4" w:space="0"/>
              <w:right w:val="single" w:color="auto" w:sz="4" w:space="0"/>
            </w:tcBorders>
            <w:vAlign w:val="center"/>
          </w:tcPr>
          <w:p w14:paraId="108F5B90">
            <w:pPr>
              <w:widowControl/>
              <w:rPr>
                <w:rFonts w:ascii="宋体" w:hAnsi="宋体"/>
                <w:color w:val="auto"/>
                <w:kern w:val="0"/>
                <w:sz w:val="22"/>
                <w:szCs w:val="22"/>
              </w:rPr>
            </w:pPr>
            <w:r>
              <w:rPr>
                <w:rFonts w:hint="eastAsia" w:ascii="宋体" w:hAnsi="宋体"/>
                <w:color w:val="auto"/>
                <w:kern w:val="0"/>
                <w:sz w:val="22"/>
                <w:szCs w:val="22"/>
              </w:rPr>
              <w:t>此项指标不做要求</w:t>
            </w:r>
          </w:p>
        </w:tc>
      </w:tr>
      <w:tr w14:paraId="4307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A07F02E">
            <w:pPr>
              <w:widowControl/>
              <w:rPr>
                <w:rFonts w:ascii="宋体" w:hAnsi="宋体"/>
                <w:color w:val="auto"/>
                <w:kern w:val="0"/>
                <w:sz w:val="22"/>
                <w:szCs w:val="22"/>
              </w:rPr>
            </w:pPr>
            <w:r>
              <w:rPr>
                <w:rFonts w:hint="eastAsia" w:ascii="宋体" w:hAnsi="宋体"/>
                <w:color w:val="auto"/>
                <w:kern w:val="0"/>
                <w:sz w:val="22"/>
                <w:szCs w:val="22"/>
              </w:rPr>
              <w:t>17</w:t>
            </w:r>
          </w:p>
        </w:tc>
        <w:tc>
          <w:tcPr>
            <w:tcW w:w="0" w:type="auto"/>
            <w:vMerge w:val="continue"/>
            <w:tcBorders>
              <w:top w:val="nil"/>
              <w:left w:val="single" w:color="auto" w:sz="4" w:space="0"/>
              <w:bottom w:val="single" w:color="auto" w:sz="4" w:space="0"/>
              <w:right w:val="single" w:color="auto" w:sz="4" w:space="0"/>
            </w:tcBorders>
            <w:vAlign w:val="center"/>
          </w:tcPr>
          <w:p w14:paraId="7189DFB9">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8A2B40D">
            <w:pPr>
              <w:widowControl/>
              <w:jc w:val="left"/>
              <w:rPr>
                <w:rFonts w:ascii="宋体" w:hAnsi="宋体"/>
                <w:color w:val="auto"/>
                <w:kern w:val="0"/>
                <w:sz w:val="22"/>
                <w:szCs w:val="22"/>
              </w:rPr>
            </w:pPr>
            <w:r>
              <w:rPr>
                <w:rFonts w:hint="eastAsia" w:ascii="宋体" w:hAnsi="宋体"/>
                <w:color w:val="auto"/>
                <w:kern w:val="0"/>
                <w:sz w:val="22"/>
                <w:szCs w:val="22"/>
              </w:rPr>
              <w:t>机械硬盘接口协议</w:t>
            </w:r>
          </w:p>
        </w:tc>
        <w:tc>
          <w:tcPr>
            <w:tcW w:w="2735" w:type="pct"/>
            <w:tcBorders>
              <w:top w:val="single" w:color="auto" w:sz="4" w:space="0"/>
              <w:left w:val="single" w:color="auto" w:sz="4" w:space="0"/>
              <w:bottom w:val="single" w:color="auto" w:sz="4" w:space="0"/>
              <w:right w:val="single" w:color="auto" w:sz="4" w:space="0"/>
            </w:tcBorders>
            <w:vAlign w:val="center"/>
          </w:tcPr>
          <w:p w14:paraId="6E68EAF3">
            <w:pPr>
              <w:widowControl/>
              <w:rPr>
                <w:rFonts w:ascii="宋体" w:hAnsi="宋体"/>
                <w:color w:val="auto"/>
                <w:kern w:val="0"/>
                <w:sz w:val="22"/>
                <w:szCs w:val="22"/>
              </w:rPr>
            </w:pPr>
            <w:r>
              <w:rPr>
                <w:rFonts w:hint="eastAsia" w:ascii="宋体" w:hAnsi="宋体"/>
                <w:color w:val="auto"/>
                <w:kern w:val="0"/>
                <w:sz w:val="22"/>
                <w:szCs w:val="22"/>
              </w:rPr>
              <w:t>此项指标不做要求</w:t>
            </w:r>
          </w:p>
        </w:tc>
      </w:tr>
      <w:tr w14:paraId="6829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42DBF97">
            <w:pPr>
              <w:widowControl/>
              <w:rPr>
                <w:rFonts w:ascii="宋体" w:hAnsi="宋体"/>
                <w:color w:val="auto"/>
                <w:kern w:val="0"/>
                <w:sz w:val="22"/>
                <w:szCs w:val="22"/>
              </w:rPr>
            </w:pPr>
            <w:r>
              <w:rPr>
                <w:rFonts w:hint="eastAsia" w:ascii="宋体" w:hAnsi="宋体"/>
                <w:color w:val="auto"/>
                <w:kern w:val="0"/>
                <w:sz w:val="22"/>
                <w:szCs w:val="22"/>
              </w:rPr>
              <w:t>18</w:t>
            </w:r>
          </w:p>
        </w:tc>
        <w:tc>
          <w:tcPr>
            <w:tcW w:w="0" w:type="auto"/>
            <w:vMerge w:val="continue"/>
            <w:tcBorders>
              <w:top w:val="nil"/>
              <w:left w:val="single" w:color="auto" w:sz="4" w:space="0"/>
              <w:bottom w:val="single" w:color="auto" w:sz="4" w:space="0"/>
              <w:right w:val="single" w:color="auto" w:sz="4" w:space="0"/>
            </w:tcBorders>
            <w:vAlign w:val="center"/>
          </w:tcPr>
          <w:p w14:paraId="52405A96">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0ED1E69F">
            <w:pPr>
              <w:widowControl/>
              <w:jc w:val="left"/>
              <w:rPr>
                <w:rFonts w:ascii="宋体" w:hAnsi="宋体"/>
                <w:color w:val="auto"/>
                <w:kern w:val="0"/>
                <w:sz w:val="22"/>
                <w:szCs w:val="22"/>
              </w:rPr>
            </w:pPr>
            <w:r>
              <w:rPr>
                <w:rFonts w:hint="eastAsia" w:ascii="宋体" w:hAnsi="宋体"/>
                <w:color w:val="auto"/>
                <w:sz w:val="22"/>
                <w:szCs w:val="22"/>
              </w:rPr>
              <w:t>此项指标不做要求</w:t>
            </w:r>
          </w:p>
        </w:tc>
        <w:tc>
          <w:tcPr>
            <w:tcW w:w="2735" w:type="pct"/>
            <w:tcBorders>
              <w:top w:val="single" w:color="auto" w:sz="4" w:space="0"/>
              <w:left w:val="single" w:color="auto" w:sz="4" w:space="0"/>
              <w:bottom w:val="single" w:color="auto" w:sz="4" w:space="0"/>
              <w:right w:val="single" w:color="auto" w:sz="4" w:space="0"/>
            </w:tcBorders>
            <w:vAlign w:val="center"/>
          </w:tcPr>
          <w:p w14:paraId="0E314FA3">
            <w:pPr>
              <w:widowControl/>
              <w:rPr>
                <w:rFonts w:ascii="宋体" w:hAnsi="宋体"/>
                <w:color w:val="auto"/>
                <w:kern w:val="0"/>
                <w:sz w:val="22"/>
                <w:szCs w:val="22"/>
              </w:rPr>
            </w:pPr>
            <w:r>
              <w:rPr>
                <w:rFonts w:hint="eastAsia" w:ascii="宋体" w:hAnsi="宋体"/>
                <w:color w:val="auto"/>
                <w:sz w:val="22"/>
                <w:szCs w:val="22"/>
              </w:rPr>
              <w:t>此项指标不做要求</w:t>
            </w:r>
          </w:p>
        </w:tc>
      </w:tr>
      <w:tr w14:paraId="0241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F7FD130">
            <w:pPr>
              <w:widowControl/>
              <w:rPr>
                <w:rFonts w:ascii="宋体" w:hAnsi="宋体"/>
                <w:color w:val="auto"/>
                <w:kern w:val="0"/>
                <w:sz w:val="22"/>
                <w:szCs w:val="22"/>
              </w:rPr>
            </w:pPr>
            <w:r>
              <w:rPr>
                <w:rFonts w:hint="eastAsia" w:ascii="宋体" w:hAnsi="宋体"/>
                <w:color w:val="auto"/>
                <w:kern w:val="0"/>
                <w:sz w:val="22"/>
                <w:szCs w:val="22"/>
              </w:rPr>
              <w:t>19</w:t>
            </w:r>
          </w:p>
        </w:tc>
        <w:tc>
          <w:tcPr>
            <w:tcW w:w="0" w:type="auto"/>
            <w:vMerge w:val="continue"/>
            <w:tcBorders>
              <w:top w:val="nil"/>
              <w:left w:val="single" w:color="auto" w:sz="4" w:space="0"/>
              <w:bottom w:val="single" w:color="auto" w:sz="4" w:space="0"/>
              <w:right w:val="single" w:color="auto" w:sz="4" w:space="0"/>
            </w:tcBorders>
            <w:vAlign w:val="center"/>
          </w:tcPr>
          <w:p w14:paraId="17823337">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A69A969">
            <w:pPr>
              <w:widowControl/>
              <w:jc w:val="left"/>
              <w:rPr>
                <w:rFonts w:ascii="宋体" w:hAnsi="宋体"/>
                <w:color w:val="auto"/>
                <w:kern w:val="0"/>
                <w:sz w:val="22"/>
                <w:szCs w:val="22"/>
              </w:rPr>
            </w:pPr>
            <w:r>
              <w:rPr>
                <w:rFonts w:hint="eastAsia" w:ascii="宋体" w:hAnsi="宋体"/>
                <w:color w:val="auto"/>
                <w:kern w:val="0"/>
                <w:sz w:val="22"/>
                <w:szCs w:val="22"/>
              </w:rPr>
              <w:t>固态存储接口协议</w:t>
            </w:r>
          </w:p>
        </w:tc>
        <w:tc>
          <w:tcPr>
            <w:tcW w:w="2735" w:type="pct"/>
            <w:tcBorders>
              <w:top w:val="single" w:color="auto" w:sz="4" w:space="0"/>
              <w:left w:val="single" w:color="auto" w:sz="4" w:space="0"/>
              <w:bottom w:val="single" w:color="auto" w:sz="4" w:space="0"/>
              <w:right w:val="single" w:color="auto" w:sz="4" w:space="0"/>
            </w:tcBorders>
            <w:vAlign w:val="center"/>
          </w:tcPr>
          <w:p w14:paraId="100DAF48">
            <w:pPr>
              <w:widowControl/>
              <w:rPr>
                <w:rFonts w:ascii="宋体" w:hAnsi="宋体"/>
                <w:color w:val="auto"/>
                <w:kern w:val="0"/>
                <w:sz w:val="22"/>
                <w:szCs w:val="22"/>
              </w:rPr>
            </w:pPr>
            <w:r>
              <w:rPr>
                <w:rFonts w:hint="eastAsia" w:ascii="宋体" w:hAnsi="宋体"/>
                <w:color w:val="auto"/>
                <w:kern w:val="0"/>
                <w:sz w:val="22"/>
                <w:szCs w:val="22"/>
              </w:rPr>
              <w:t>UFS/PCIe/NVMe等类型接口协议</w:t>
            </w:r>
          </w:p>
        </w:tc>
      </w:tr>
      <w:tr w14:paraId="0208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9D0DCE4">
            <w:pPr>
              <w:widowControl/>
              <w:rPr>
                <w:rFonts w:ascii="宋体" w:hAnsi="宋体"/>
                <w:color w:val="auto"/>
                <w:kern w:val="0"/>
                <w:sz w:val="22"/>
                <w:szCs w:val="22"/>
              </w:rPr>
            </w:pPr>
            <w:r>
              <w:rPr>
                <w:rFonts w:hint="eastAsia" w:ascii="宋体" w:hAnsi="宋体"/>
                <w:color w:val="auto"/>
                <w:kern w:val="0"/>
                <w:sz w:val="22"/>
                <w:szCs w:val="22"/>
              </w:rPr>
              <w:t>20</w:t>
            </w:r>
          </w:p>
        </w:tc>
        <w:tc>
          <w:tcPr>
            <w:tcW w:w="0" w:type="auto"/>
            <w:vMerge w:val="continue"/>
            <w:tcBorders>
              <w:top w:val="nil"/>
              <w:left w:val="single" w:color="auto" w:sz="4" w:space="0"/>
              <w:bottom w:val="single" w:color="auto" w:sz="4" w:space="0"/>
              <w:right w:val="single" w:color="auto" w:sz="4" w:space="0"/>
            </w:tcBorders>
            <w:vAlign w:val="center"/>
          </w:tcPr>
          <w:p w14:paraId="6AD55FE6">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2A84698">
            <w:pPr>
              <w:widowControl/>
              <w:jc w:val="left"/>
              <w:rPr>
                <w:rFonts w:ascii="宋体" w:hAnsi="宋体"/>
                <w:color w:val="auto"/>
                <w:kern w:val="0"/>
                <w:sz w:val="22"/>
                <w:szCs w:val="22"/>
              </w:rPr>
            </w:pPr>
            <w:r>
              <w:rPr>
                <w:rFonts w:hint="eastAsia" w:ascii="宋体" w:hAnsi="宋体"/>
                <w:color w:val="auto"/>
                <w:kern w:val="0"/>
                <w:sz w:val="22"/>
                <w:szCs w:val="22"/>
              </w:rPr>
              <w:t>▲固态存储形态</w:t>
            </w:r>
          </w:p>
        </w:tc>
        <w:tc>
          <w:tcPr>
            <w:tcW w:w="2735" w:type="pct"/>
            <w:tcBorders>
              <w:top w:val="single" w:color="auto" w:sz="4" w:space="0"/>
              <w:left w:val="single" w:color="auto" w:sz="4" w:space="0"/>
              <w:bottom w:val="single" w:color="auto" w:sz="4" w:space="0"/>
              <w:right w:val="single" w:color="auto" w:sz="4" w:space="0"/>
            </w:tcBorders>
            <w:vAlign w:val="center"/>
          </w:tcPr>
          <w:p w14:paraId="13CE6C82">
            <w:pPr>
              <w:widowControl/>
              <w:rPr>
                <w:rFonts w:ascii="宋体" w:hAnsi="宋体"/>
                <w:color w:val="auto"/>
                <w:kern w:val="0"/>
                <w:sz w:val="22"/>
                <w:szCs w:val="22"/>
              </w:rPr>
            </w:pPr>
            <w:r>
              <w:rPr>
                <w:rFonts w:hint="eastAsia" w:ascii="宋体" w:hAnsi="宋体"/>
                <w:color w:val="auto"/>
                <w:kern w:val="0"/>
                <w:sz w:val="22"/>
                <w:szCs w:val="22"/>
              </w:rPr>
              <w:t>采用插卡或板载等形态，可选用符合 M.2 或 2.5 寸 SATA 或 mSATA 等标准的插卡形态</w:t>
            </w:r>
          </w:p>
        </w:tc>
      </w:tr>
      <w:tr w14:paraId="0C62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53BBDB3">
            <w:pPr>
              <w:widowControl/>
              <w:rPr>
                <w:rFonts w:ascii="宋体" w:hAnsi="宋体"/>
                <w:color w:val="auto"/>
                <w:kern w:val="0"/>
                <w:sz w:val="22"/>
                <w:szCs w:val="22"/>
              </w:rPr>
            </w:pPr>
            <w:r>
              <w:rPr>
                <w:rFonts w:hint="eastAsia" w:ascii="宋体" w:hAnsi="宋体"/>
                <w:color w:val="auto"/>
                <w:kern w:val="0"/>
                <w:sz w:val="22"/>
                <w:szCs w:val="22"/>
              </w:rPr>
              <w:t>21</w:t>
            </w:r>
          </w:p>
        </w:tc>
        <w:tc>
          <w:tcPr>
            <w:tcW w:w="0" w:type="auto"/>
            <w:vMerge w:val="continue"/>
            <w:tcBorders>
              <w:top w:val="nil"/>
              <w:left w:val="single" w:color="auto" w:sz="4" w:space="0"/>
              <w:bottom w:val="single" w:color="auto" w:sz="4" w:space="0"/>
              <w:right w:val="single" w:color="auto" w:sz="4" w:space="0"/>
            </w:tcBorders>
            <w:vAlign w:val="center"/>
          </w:tcPr>
          <w:p w14:paraId="7BC3C725">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546DABF">
            <w:pPr>
              <w:widowControl/>
              <w:jc w:val="left"/>
              <w:rPr>
                <w:rFonts w:ascii="宋体" w:hAnsi="宋体"/>
                <w:color w:val="auto"/>
                <w:kern w:val="0"/>
                <w:sz w:val="22"/>
                <w:szCs w:val="22"/>
              </w:rPr>
            </w:pPr>
            <w:r>
              <w:rPr>
                <w:rFonts w:hint="eastAsia" w:ascii="宋体" w:hAnsi="宋体"/>
                <w:color w:val="auto"/>
                <w:kern w:val="0"/>
                <w:sz w:val="22"/>
                <w:szCs w:val="22"/>
              </w:rPr>
              <w:t>存储设备扩展盘位</w:t>
            </w:r>
          </w:p>
        </w:tc>
        <w:tc>
          <w:tcPr>
            <w:tcW w:w="2735" w:type="pct"/>
            <w:tcBorders>
              <w:top w:val="single" w:color="auto" w:sz="4" w:space="0"/>
              <w:left w:val="single" w:color="auto" w:sz="4" w:space="0"/>
              <w:bottom w:val="single" w:color="auto" w:sz="4" w:space="0"/>
              <w:right w:val="single" w:color="auto" w:sz="4" w:space="0"/>
            </w:tcBorders>
            <w:vAlign w:val="center"/>
          </w:tcPr>
          <w:p w14:paraId="13A0689C">
            <w:pPr>
              <w:widowControl/>
              <w:rPr>
                <w:rFonts w:ascii="宋体" w:hAnsi="宋体"/>
                <w:color w:val="auto"/>
                <w:kern w:val="0"/>
                <w:sz w:val="22"/>
                <w:szCs w:val="22"/>
              </w:rPr>
            </w:pPr>
            <w:r>
              <w:rPr>
                <w:rFonts w:hint="eastAsia" w:ascii="宋体" w:hAnsi="宋体"/>
                <w:color w:val="auto"/>
                <w:kern w:val="0"/>
                <w:sz w:val="22"/>
                <w:szCs w:val="22"/>
              </w:rPr>
              <w:t>机械硬盘扩展位≥1</w:t>
            </w:r>
          </w:p>
        </w:tc>
      </w:tr>
      <w:tr w14:paraId="77DC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9AC9764">
            <w:pPr>
              <w:widowControl/>
              <w:rPr>
                <w:rFonts w:ascii="宋体" w:hAnsi="宋体"/>
                <w:color w:val="auto"/>
                <w:kern w:val="0"/>
                <w:sz w:val="22"/>
                <w:szCs w:val="22"/>
              </w:rPr>
            </w:pPr>
            <w:r>
              <w:rPr>
                <w:rFonts w:hint="eastAsia" w:ascii="宋体" w:hAnsi="宋体"/>
                <w:color w:val="auto"/>
                <w:kern w:val="0"/>
                <w:sz w:val="22"/>
                <w:szCs w:val="22"/>
              </w:rPr>
              <w:t>22</w:t>
            </w:r>
          </w:p>
        </w:tc>
        <w:tc>
          <w:tcPr>
            <w:tcW w:w="0" w:type="auto"/>
            <w:vMerge w:val="continue"/>
            <w:tcBorders>
              <w:top w:val="nil"/>
              <w:left w:val="single" w:color="auto" w:sz="4" w:space="0"/>
              <w:bottom w:val="single" w:color="auto" w:sz="4" w:space="0"/>
              <w:right w:val="single" w:color="auto" w:sz="4" w:space="0"/>
            </w:tcBorders>
            <w:vAlign w:val="center"/>
          </w:tcPr>
          <w:p w14:paraId="16508E17">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676A59A">
            <w:pPr>
              <w:widowControl/>
              <w:jc w:val="left"/>
              <w:rPr>
                <w:rFonts w:ascii="宋体" w:hAnsi="宋体"/>
                <w:color w:val="auto"/>
                <w:kern w:val="0"/>
                <w:sz w:val="22"/>
                <w:szCs w:val="22"/>
              </w:rPr>
            </w:pPr>
            <w:r>
              <w:rPr>
                <w:rFonts w:hint="eastAsia" w:ascii="宋体" w:hAnsi="宋体"/>
                <w:color w:val="auto"/>
                <w:kern w:val="0"/>
                <w:sz w:val="22"/>
                <w:szCs w:val="22"/>
              </w:rPr>
              <w:t>▲存储设备其他参数要求</w:t>
            </w:r>
          </w:p>
        </w:tc>
        <w:tc>
          <w:tcPr>
            <w:tcW w:w="2735" w:type="pct"/>
            <w:tcBorders>
              <w:top w:val="single" w:color="auto" w:sz="4" w:space="0"/>
              <w:left w:val="single" w:color="auto" w:sz="4" w:space="0"/>
              <w:bottom w:val="single" w:color="auto" w:sz="4" w:space="0"/>
              <w:right w:val="single" w:color="auto" w:sz="4" w:space="0"/>
            </w:tcBorders>
            <w:vAlign w:val="center"/>
          </w:tcPr>
          <w:p w14:paraId="6B909E10">
            <w:pPr>
              <w:widowControl/>
              <w:rPr>
                <w:rFonts w:ascii="宋体" w:hAnsi="宋体"/>
                <w:color w:val="auto"/>
                <w:kern w:val="0"/>
                <w:sz w:val="22"/>
                <w:szCs w:val="22"/>
              </w:rPr>
            </w:pPr>
            <w:r>
              <w:rPr>
                <w:rFonts w:hint="eastAsia" w:ascii="宋体" w:hAnsi="宋体"/>
                <w:color w:val="auto"/>
                <w:kern w:val="0"/>
                <w:sz w:val="22"/>
                <w:szCs w:val="22"/>
              </w:rPr>
              <w:t>a)固态盘应符合SJ/T 11654相关规定；</w:t>
            </w:r>
            <w:r>
              <w:rPr>
                <w:rFonts w:hint="eastAsia" w:ascii="宋体" w:hAnsi="宋体"/>
                <w:color w:val="auto"/>
                <w:kern w:val="0"/>
                <w:sz w:val="22"/>
                <w:szCs w:val="22"/>
              </w:rPr>
              <w:br w:type="textWrapping"/>
            </w:r>
            <w:r>
              <w:rPr>
                <w:rFonts w:hint="eastAsia" w:ascii="宋体" w:hAnsi="宋体"/>
                <w:color w:val="auto"/>
                <w:kern w:val="0"/>
                <w:sz w:val="22"/>
                <w:szCs w:val="22"/>
              </w:rPr>
              <w:t>b)机械硬盘准备时间应不大于30s；侧面固定螺丝孔数量可为4孔或6孔；工作状态环境温度应满足5℃~55℃；其它参数应符合GB/T 12628相关规定</w:t>
            </w:r>
          </w:p>
        </w:tc>
      </w:tr>
      <w:tr w14:paraId="0A17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C518451">
            <w:pPr>
              <w:widowControl/>
              <w:rPr>
                <w:rFonts w:ascii="宋体" w:hAnsi="宋体"/>
                <w:color w:val="auto"/>
                <w:kern w:val="0"/>
                <w:sz w:val="22"/>
                <w:szCs w:val="22"/>
              </w:rPr>
            </w:pPr>
            <w:r>
              <w:rPr>
                <w:rFonts w:hint="eastAsia" w:ascii="宋体" w:hAnsi="宋体"/>
                <w:color w:val="auto"/>
                <w:kern w:val="0"/>
                <w:sz w:val="22"/>
                <w:szCs w:val="22"/>
              </w:rPr>
              <w:t>23</w:t>
            </w:r>
          </w:p>
        </w:tc>
        <w:tc>
          <w:tcPr>
            <w:tcW w:w="807" w:type="pct"/>
            <w:vMerge w:val="restart"/>
            <w:tcBorders>
              <w:top w:val="nil"/>
              <w:left w:val="single" w:color="auto" w:sz="4" w:space="0"/>
              <w:bottom w:val="single" w:color="auto" w:sz="4" w:space="0"/>
              <w:right w:val="single" w:color="auto" w:sz="4" w:space="0"/>
            </w:tcBorders>
            <w:vAlign w:val="center"/>
          </w:tcPr>
          <w:p w14:paraId="1F62DD37">
            <w:pPr>
              <w:widowControl/>
              <w:rPr>
                <w:rFonts w:ascii="宋体" w:hAnsi="宋体"/>
                <w:color w:val="auto"/>
                <w:kern w:val="0"/>
                <w:sz w:val="22"/>
                <w:szCs w:val="22"/>
              </w:rPr>
            </w:pPr>
            <w:r>
              <w:rPr>
                <w:rFonts w:hint="eastAsia" w:ascii="宋体" w:hAnsi="宋体"/>
                <w:color w:val="auto"/>
                <w:kern w:val="0"/>
                <w:sz w:val="22"/>
                <w:szCs w:val="22"/>
              </w:rPr>
              <w:t>▲显卡规格</w:t>
            </w:r>
          </w:p>
        </w:tc>
        <w:tc>
          <w:tcPr>
            <w:tcW w:w="1096" w:type="pct"/>
            <w:tcBorders>
              <w:top w:val="single" w:color="auto" w:sz="4" w:space="0"/>
              <w:left w:val="single" w:color="auto" w:sz="4" w:space="0"/>
              <w:bottom w:val="single" w:color="auto" w:sz="4" w:space="0"/>
              <w:right w:val="single" w:color="auto" w:sz="4" w:space="0"/>
            </w:tcBorders>
            <w:vAlign w:val="center"/>
          </w:tcPr>
          <w:p w14:paraId="6407699D">
            <w:pPr>
              <w:widowControl/>
              <w:jc w:val="left"/>
              <w:rPr>
                <w:rFonts w:ascii="宋体" w:hAnsi="宋体"/>
                <w:color w:val="auto"/>
                <w:kern w:val="0"/>
                <w:sz w:val="22"/>
                <w:szCs w:val="22"/>
              </w:rPr>
            </w:pPr>
            <w:r>
              <w:rPr>
                <w:rFonts w:hint="eastAsia" w:ascii="宋体" w:hAnsi="宋体"/>
                <w:color w:val="auto"/>
                <w:kern w:val="0"/>
                <w:sz w:val="22"/>
                <w:szCs w:val="22"/>
              </w:rPr>
              <w:t>▲显卡类型</w:t>
            </w:r>
          </w:p>
        </w:tc>
        <w:tc>
          <w:tcPr>
            <w:tcW w:w="2735" w:type="pct"/>
            <w:tcBorders>
              <w:top w:val="single" w:color="auto" w:sz="4" w:space="0"/>
              <w:left w:val="single" w:color="auto" w:sz="4" w:space="0"/>
              <w:bottom w:val="single" w:color="auto" w:sz="4" w:space="0"/>
              <w:right w:val="single" w:color="auto" w:sz="4" w:space="0"/>
            </w:tcBorders>
            <w:vAlign w:val="center"/>
          </w:tcPr>
          <w:p w14:paraId="28B566AD">
            <w:pPr>
              <w:widowControl/>
              <w:rPr>
                <w:rFonts w:ascii="宋体" w:hAnsi="宋体"/>
                <w:color w:val="auto"/>
                <w:kern w:val="0"/>
                <w:sz w:val="22"/>
                <w:szCs w:val="22"/>
              </w:rPr>
            </w:pPr>
            <w:r>
              <w:rPr>
                <w:rFonts w:hint="eastAsia" w:ascii="宋体" w:hAnsi="宋体"/>
                <w:color w:val="auto"/>
                <w:kern w:val="0"/>
                <w:sz w:val="22"/>
                <w:szCs w:val="22"/>
              </w:rPr>
              <w:t>集成显卡</w:t>
            </w:r>
          </w:p>
        </w:tc>
      </w:tr>
      <w:tr w14:paraId="02D5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F35C0A5">
            <w:pPr>
              <w:widowControl/>
              <w:rPr>
                <w:rFonts w:ascii="宋体" w:hAnsi="宋体"/>
                <w:color w:val="auto"/>
                <w:kern w:val="0"/>
                <w:sz w:val="22"/>
                <w:szCs w:val="22"/>
              </w:rPr>
            </w:pPr>
            <w:r>
              <w:rPr>
                <w:rFonts w:hint="eastAsia" w:ascii="宋体" w:hAnsi="宋体"/>
                <w:color w:val="auto"/>
                <w:kern w:val="0"/>
                <w:sz w:val="22"/>
                <w:szCs w:val="22"/>
              </w:rPr>
              <w:t>24</w:t>
            </w:r>
          </w:p>
        </w:tc>
        <w:tc>
          <w:tcPr>
            <w:tcW w:w="0" w:type="auto"/>
            <w:vMerge w:val="continue"/>
            <w:tcBorders>
              <w:top w:val="nil"/>
              <w:left w:val="single" w:color="auto" w:sz="4" w:space="0"/>
              <w:bottom w:val="single" w:color="auto" w:sz="4" w:space="0"/>
              <w:right w:val="single" w:color="auto" w:sz="4" w:space="0"/>
            </w:tcBorders>
            <w:vAlign w:val="center"/>
          </w:tcPr>
          <w:p w14:paraId="212F2F84">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0FED8137">
            <w:pPr>
              <w:widowControl/>
              <w:jc w:val="left"/>
              <w:rPr>
                <w:rFonts w:ascii="宋体" w:hAnsi="宋体"/>
                <w:color w:val="auto"/>
                <w:kern w:val="0"/>
                <w:sz w:val="22"/>
                <w:szCs w:val="22"/>
              </w:rPr>
            </w:pPr>
            <w:r>
              <w:rPr>
                <w:rFonts w:hint="eastAsia" w:ascii="宋体" w:hAnsi="宋体"/>
                <w:color w:val="auto"/>
                <w:kern w:val="0"/>
                <w:sz w:val="22"/>
                <w:szCs w:val="22"/>
              </w:rPr>
              <w:t>独立显卡显存类型</w:t>
            </w:r>
          </w:p>
        </w:tc>
        <w:tc>
          <w:tcPr>
            <w:tcW w:w="2735" w:type="pct"/>
            <w:tcBorders>
              <w:top w:val="single" w:color="auto" w:sz="4" w:space="0"/>
              <w:left w:val="single" w:color="auto" w:sz="4" w:space="0"/>
              <w:bottom w:val="single" w:color="auto" w:sz="4" w:space="0"/>
              <w:right w:val="single" w:color="auto" w:sz="4" w:space="0"/>
            </w:tcBorders>
            <w:vAlign w:val="center"/>
          </w:tcPr>
          <w:p w14:paraId="62365C6C">
            <w:pPr>
              <w:widowControl/>
              <w:rPr>
                <w:rFonts w:ascii="宋体" w:hAnsi="宋体"/>
                <w:color w:val="auto"/>
                <w:kern w:val="0"/>
                <w:sz w:val="22"/>
                <w:szCs w:val="22"/>
              </w:rPr>
            </w:pPr>
            <w:r>
              <w:rPr>
                <w:rFonts w:hint="eastAsia" w:ascii="宋体" w:hAnsi="宋体"/>
                <w:color w:val="auto"/>
                <w:kern w:val="0"/>
                <w:sz w:val="22"/>
                <w:szCs w:val="22"/>
              </w:rPr>
              <w:t>/</w:t>
            </w:r>
          </w:p>
        </w:tc>
      </w:tr>
      <w:tr w14:paraId="0B7A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4F91CDF">
            <w:pPr>
              <w:widowControl/>
              <w:rPr>
                <w:rFonts w:ascii="宋体" w:hAnsi="宋体"/>
                <w:color w:val="auto"/>
                <w:kern w:val="0"/>
                <w:sz w:val="22"/>
                <w:szCs w:val="22"/>
              </w:rPr>
            </w:pPr>
            <w:r>
              <w:rPr>
                <w:rFonts w:hint="eastAsia" w:ascii="宋体" w:hAnsi="宋体"/>
                <w:color w:val="auto"/>
                <w:kern w:val="0"/>
                <w:sz w:val="22"/>
                <w:szCs w:val="22"/>
              </w:rPr>
              <w:t>25</w:t>
            </w:r>
          </w:p>
        </w:tc>
        <w:tc>
          <w:tcPr>
            <w:tcW w:w="0" w:type="auto"/>
            <w:vMerge w:val="continue"/>
            <w:tcBorders>
              <w:top w:val="nil"/>
              <w:left w:val="single" w:color="auto" w:sz="4" w:space="0"/>
              <w:bottom w:val="single" w:color="auto" w:sz="4" w:space="0"/>
              <w:right w:val="single" w:color="auto" w:sz="4" w:space="0"/>
            </w:tcBorders>
            <w:vAlign w:val="center"/>
          </w:tcPr>
          <w:p w14:paraId="40B87903">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046BCC84">
            <w:pPr>
              <w:widowControl/>
              <w:jc w:val="left"/>
              <w:rPr>
                <w:rFonts w:ascii="宋体" w:hAnsi="宋体"/>
                <w:color w:val="auto"/>
                <w:kern w:val="0"/>
                <w:sz w:val="22"/>
                <w:szCs w:val="22"/>
              </w:rPr>
            </w:pPr>
            <w:r>
              <w:rPr>
                <w:rFonts w:hint="eastAsia" w:ascii="宋体" w:hAnsi="宋体"/>
                <w:color w:val="auto"/>
                <w:kern w:val="0"/>
                <w:sz w:val="22"/>
                <w:szCs w:val="22"/>
              </w:rPr>
              <w:t>独立显卡显存位宽</w:t>
            </w:r>
          </w:p>
        </w:tc>
        <w:tc>
          <w:tcPr>
            <w:tcW w:w="2735" w:type="pct"/>
            <w:tcBorders>
              <w:top w:val="single" w:color="auto" w:sz="4" w:space="0"/>
              <w:left w:val="single" w:color="auto" w:sz="4" w:space="0"/>
              <w:bottom w:val="single" w:color="auto" w:sz="4" w:space="0"/>
              <w:right w:val="single" w:color="auto" w:sz="4" w:space="0"/>
            </w:tcBorders>
            <w:vAlign w:val="center"/>
          </w:tcPr>
          <w:p w14:paraId="6EA96EE0">
            <w:pPr>
              <w:widowControl/>
              <w:rPr>
                <w:rFonts w:ascii="宋体" w:hAnsi="宋体"/>
                <w:color w:val="auto"/>
                <w:kern w:val="0"/>
                <w:sz w:val="22"/>
                <w:szCs w:val="22"/>
              </w:rPr>
            </w:pPr>
            <w:r>
              <w:rPr>
                <w:rFonts w:hint="eastAsia" w:ascii="宋体" w:hAnsi="宋体"/>
                <w:color w:val="auto"/>
                <w:kern w:val="0"/>
                <w:sz w:val="22"/>
                <w:szCs w:val="22"/>
              </w:rPr>
              <w:t>/</w:t>
            </w:r>
          </w:p>
        </w:tc>
      </w:tr>
      <w:tr w14:paraId="3B68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508F2B4">
            <w:pPr>
              <w:widowControl/>
              <w:rPr>
                <w:rFonts w:ascii="宋体" w:hAnsi="宋体"/>
                <w:color w:val="auto"/>
                <w:kern w:val="0"/>
                <w:sz w:val="22"/>
                <w:szCs w:val="22"/>
              </w:rPr>
            </w:pPr>
            <w:r>
              <w:rPr>
                <w:rFonts w:hint="eastAsia" w:ascii="宋体" w:hAnsi="宋体"/>
                <w:color w:val="auto"/>
                <w:kern w:val="0"/>
                <w:sz w:val="22"/>
                <w:szCs w:val="22"/>
              </w:rPr>
              <w:t>26</w:t>
            </w:r>
          </w:p>
        </w:tc>
        <w:tc>
          <w:tcPr>
            <w:tcW w:w="0" w:type="auto"/>
            <w:vMerge w:val="continue"/>
            <w:tcBorders>
              <w:top w:val="nil"/>
              <w:left w:val="single" w:color="auto" w:sz="4" w:space="0"/>
              <w:bottom w:val="single" w:color="auto" w:sz="4" w:space="0"/>
              <w:right w:val="single" w:color="auto" w:sz="4" w:space="0"/>
            </w:tcBorders>
            <w:vAlign w:val="center"/>
          </w:tcPr>
          <w:p w14:paraId="792E4B1B">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0F11BAE">
            <w:pPr>
              <w:widowControl/>
              <w:jc w:val="left"/>
              <w:rPr>
                <w:rFonts w:ascii="宋体" w:hAnsi="宋体"/>
                <w:color w:val="auto"/>
                <w:kern w:val="0"/>
                <w:sz w:val="22"/>
                <w:szCs w:val="22"/>
              </w:rPr>
            </w:pPr>
            <w:r>
              <w:rPr>
                <w:rFonts w:hint="eastAsia" w:ascii="宋体" w:hAnsi="宋体"/>
                <w:color w:val="auto"/>
                <w:kern w:val="0"/>
                <w:sz w:val="22"/>
                <w:szCs w:val="22"/>
              </w:rPr>
              <w:t>独立显卡显存容量</w:t>
            </w:r>
          </w:p>
        </w:tc>
        <w:tc>
          <w:tcPr>
            <w:tcW w:w="2735" w:type="pct"/>
            <w:tcBorders>
              <w:top w:val="single" w:color="auto" w:sz="4" w:space="0"/>
              <w:left w:val="single" w:color="auto" w:sz="4" w:space="0"/>
              <w:bottom w:val="single" w:color="auto" w:sz="4" w:space="0"/>
              <w:right w:val="single" w:color="auto" w:sz="4" w:space="0"/>
            </w:tcBorders>
            <w:vAlign w:val="center"/>
          </w:tcPr>
          <w:p w14:paraId="5E374430">
            <w:pPr>
              <w:widowControl/>
              <w:rPr>
                <w:rFonts w:ascii="宋体" w:hAnsi="宋体"/>
                <w:color w:val="auto"/>
                <w:kern w:val="0"/>
                <w:sz w:val="22"/>
                <w:szCs w:val="22"/>
              </w:rPr>
            </w:pPr>
            <w:r>
              <w:rPr>
                <w:rFonts w:hint="eastAsia" w:ascii="宋体" w:hAnsi="宋体"/>
                <w:color w:val="auto"/>
                <w:kern w:val="0"/>
                <w:sz w:val="22"/>
                <w:szCs w:val="22"/>
              </w:rPr>
              <w:t>/</w:t>
            </w:r>
          </w:p>
        </w:tc>
      </w:tr>
      <w:tr w14:paraId="5B1D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43407D8">
            <w:pPr>
              <w:widowControl/>
              <w:rPr>
                <w:rFonts w:ascii="宋体" w:hAnsi="宋体"/>
                <w:color w:val="auto"/>
                <w:kern w:val="0"/>
                <w:sz w:val="22"/>
                <w:szCs w:val="22"/>
              </w:rPr>
            </w:pPr>
            <w:r>
              <w:rPr>
                <w:rFonts w:hint="eastAsia" w:ascii="宋体" w:hAnsi="宋体"/>
                <w:color w:val="auto"/>
                <w:kern w:val="0"/>
                <w:sz w:val="22"/>
                <w:szCs w:val="22"/>
              </w:rPr>
              <w:t>27</w:t>
            </w:r>
          </w:p>
        </w:tc>
        <w:tc>
          <w:tcPr>
            <w:tcW w:w="0" w:type="auto"/>
            <w:vMerge w:val="continue"/>
            <w:tcBorders>
              <w:top w:val="nil"/>
              <w:left w:val="single" w:color="auto" w:sz="4" w:space="0"/>
              <w:bottom w:val="single" w:color="auto" w:sz="4" w:space="0"/>
              <w:right w:val="single" w:color="auto" w:sz="4" w:space="0"/>
            </w:tcBorders>
            <w:vAlign w:val="center"/>
          </w:tcPr>
          <w:p w14:paraId="62734611">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53F31892">
            <w:pPr>
              <w:widowControl/>
              <w:jc w:val="left"/>
              <w:rPr>
                <w:rFonts w:ascii="宋体" w:hAnsi="宋体"/>
                <w:color w:val="auto"/>
                <w:kern w:val="0"/>
                <w:sz w:val="22"/>
                <w:szCs w:val="22"/>
              </w:rPr>
            </w:pPr>
            <w:r>
              <w:rPr>
                <w:rFonts w:hint="eastAsia" w:ascii="宋体" w:hAnsi="宋体"/>
                <w:color w:val="auto"/>
                <w:kern w:val="0"/>
                <w:sz w:val="22"/>
                <w:szCs w:val="22"/>
              </w:rPr>
              <w:t>独立显卡接口协议</w:t>
            </w:r>
          </w:p>
        </w:tc>
        <w:tc>
          <w:tcPr>
            <w:tcW w:w="2735" w:type="pct"/>
            <w:tcBorders>
              <w:top w:val="single" w:color="auto" w:sz="4" w:space="0"/>
              <w:left w:val="single" w:color="auto" w:sz="4" w:space="0"/>
              <w:bottom w:val="single" w:color="auto" w:sz="4" w:space="0"/>
              <w:right w:val="single" w:color="auto" w:sz="4" w:space="0"/>
            </w:tcBorders>
            <w:vAlign w:val="center"/>
          </w:tcPr>
          <w:p w14:paraId="24B3CE53">
            <w:pPr>
              <w:widowControl/>
              <w:rPr>
                <w:rFonts w:ascii="宋体" w:hAnsi="宋体"/>
                <w:color w:val="auto"/>
                <w:kern w:val="0"/>
                <w:sz w:val="22"/>
                <w:szCs w:val="22"/>
              </w:rPr>
            </w:pPr>
            <w:r>
              <w:rPr>
                <w:rFonts w:hint="eastAsia" w:ascii="宋体" w:hAnsi="宋体"/>
                <w:color w:val="auto"/>
                <w:kern w:val="0"/>
                <w:sz w:val="22"/>
                <w:szCs w:val="22"/>
              </w:rPr>
              <w:t>/</w:t>
            </w:r>
          </w:p>
        </w:tc>
      </w:tr>
      <w:tr w14:paraId="2441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15C1CA1">
            <w:pPr>
              <w:widowControl/>
              <w:rPr>
                <w:rFonts w:ascii="宋体" w:hAnsi="宋体"/>
                <w:color w:val="auto"/>
                <w:kern w:val="0"/>
                <w:sz w:val="22"/>
                <w:szCs w:val="22"/>
              </w:rPr>
            </w:pPr>
            <w:r>
              <w:rPr>
                <w:rFonts w:hint="eastAsia" w:ascii="宋体" w:hAnsi="宋体"/>
                <w:color w:val="auto"/>
                <w:kern w:val="0"/>
                <w:sz w:val="22"/>
                <w:szCs w:val="22"/>
              </w:rPr>
              <w:t>28</w:t>
            </w:r>
          </w:p>
        </w:tc>
        <w:tc>
          <w:tcPr>
            <w:tcW w:w="807" w:type="pct"/>
            <w:vMerge w:val="restart"/>
            <w:tcBorders>
              <w:top w:val="nil"/>
              <w:left w:val="single" w:color="auto" w:sz="4" w:space="0"/>
              <w:bottom w:val="single" w:color="auto" w:sz="4" w:space="0"/>
              <w:right w:val="single" w:color="auto" w:sz="4" w:space="0"/>
            </w:tcBorders>
            <w:vAlign w:val="center"/>
          </w:tcPr>
          <w:p w14:paraId="55D5E023">
            <w:pPr>
              <w:widowControl/>
              <w:rPr>
                <w:rFonts w:ascii="宋体" w:hAnsi="宋体"/>
                <w:color w:val="auto"/>
                <w:kern w:val="0"/>
                <w:sz w:val="22"/>
                <w:szCs w:val="22"/>
              </w:rPr>
            </w:pPr>
            <w:r>
              <w:rPr>
                <w:rFonts w:hint="eastAsia" w:ascii="宋体" w:hAnsi="宋体"/>
                <w:color w:val="auto"/>
                <w:kern w:val="0"/>
                <w:sz w:val="22"/>
                <w:szCs w:val="22"/>
              </w:rPr>
              <w:t>▲显示设备规格</w:t>
            </w:r>
          </w:p>
        </w:tc>
        <w:tc>
          <w:tcPr>
            <w:tcW w:w="1096" w:type="pct"/>
            <w:tcBorders>
              <w:top w:val="single" w:color="auto" w:sz="4" w:space="0"/>
              <w:left w:val="single" w:color="auto" w:sz="4" w:space="0"/>
              <w:bottom w:val="single" w:color="auto" w:sz="4" w:space="0"/>
              <w:right w:val="single" w:color="auto" w:sz="4" w:space="0"/>
            </w:tcBorders>
            <w:vAlign w:val="center"/>
          </w:tcPr>
          <w:p w14:paraId="2905B07E">
            <w:pPr>
              <w:widowControl/>
              <w:jc w:val="left"/>
              <w:rPr>
                <w:rFonts w:ascii="宋体" w:hAnsi="宋体"/>
                <w:color w:val="auto"/>
                <w:kern w:val="0"/>
                <w:sz w:val="22"/>
                <w:szCs w:val="22"/>
              </w:rPr>
            </w:pPr>
            <w:r>
              <w:rPr>
                <w:rFonts w:hint="eastAsia" w:ascii="宋体" w:hAnsi="宋体"/>
                <w:color w:val="auto"/>
                <w:kern w:val="0"/>
                <w:sz w:val="22"/>
                <w:szCs w:val="22"/>
              </w:rPr>
              <w:t>▲显示屏屏占比</w:t>
            </w:r>
          </w:p>
        </w:tc>
        <w:tc>
          <w:tcPr>
            <w:tcW w:w="2735" w:type="pct"/>
            <w:tcBorders>
              <w:top w:val="single" w:color="auto" w:sz="4" w:space="0"/>
              <w:left w:val="single" w:color="auto" w:sz="4" w:space="0"/>
              <w:bottom w:val="single" w:color="auto" w:sz="4" w:space="0"/>
              <w:right w:val="single" w:color="auto" w:sz="4" w:space="0"/>
            </w:tcBorders>
            <w:vAlign w:val="center"/>
          </w:tcPr>
          <w:p w14:paraId="18486E3D">
            <w:pPr>
              <w:widowControl/>
              <w:rPr>
                <w:rFonts w:ascii="宋体" w:hAnsi="宋体"/>
                <w:color w:val="auto"/>
                <w:kern w:val="0"/>
                <w:sz w:val="22"/>
                <w:szCs w:val="22"/>
              </w:rPr>
            </w:pPr>
            <w:r>
              <w:rPr>
                <w:rFonts w:hint="eastAsia" w:ascii="宋体" w:hAnsi="宋体"/>
                <w:color w:val="auto"/>
                <w:kern w:val="0"/>
                <w:sz w:val="22"/>
                <w:szCs w:val="22"/>
              </w:rPr>
              <w:t>≥80%</w:t>
            </w:r>
          </w:p>
        </w:tc>
      </w:tr>
      <w:tr w14:paraId="55DA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6BB8845">
            <w:pPr>
              <w:widowControl/>
              <w:rPr>
                <w:rFonts w:ascii="宋体" w:hAnsi="宋体"/>
                <w:color w:val="auto"/>
                <w:kern w:val="0"/>
                <w:sz w:val="22"/>
                <w:szCs w:val="22"/>
              </w:rPr>
            </w:pPr>
            <w:r>
              <w:rPr>
                <w:rFonts w:hint="eastAsia" w:ascii="宋体" w:hAnsi="宋体"/>
                <w:color w:val="auto"/>
                <w:kern w:val="0"/>
                <w:sz w:val="22"/>
                <w:szCs w:val="22"/>
              </w:rPr>
              <w:t>29</w:t>
            </w:r>
          </w:p>
        </w:tc>
        <w:tc>
          <w:tcPr>
            <w:tcW w:w="0" w:type="auto"/>
            <w:vMerge w:val="continue"/>
            <w:tcBorders>
              <w:top w:val="nil"/>
              <w:left w:val="single" w:color="auto" w:sz="4" w:space="0"/>
              <w:bottom w:val="single" w:color="auto" w:sz="4" w:space="0"/>
              <w:right w:val="single" w:color="auto" w:sz="4" w:space="0"/>
            </w:tcBorders>
            <w:vAlign w:val="center"/>
          </w:tcPr>
          <w:p w14:paraId="1DC7A6C9">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24E6C282">
            <w:pPr>
              <w:widowControl/>
              <w:jc w:val="left"/>
              <w:rPr>
                <w:rFonts w:ascii="宋体" w:hAnsi="宋体"/>
                <w:color w:val="auto"/>
                <w:kern w:val="0"/>
                <w:sz w:val="22"/>
                <w:szCs w:val="22"/>
              </w:rPr>
            </w:pPr>
            <w:r>
              <w:rPr>
                <w:rFonts w:hint="eastAsia" w:ascii="宋体" w:hAnsi="宋体"/>
                <w:color w:val="auto"/>
                <w:kern w:val="0"/>
                <w:sz w:val="22"/>
                <w:szCs w:val="22"/>
              </w:rPr>
              <w:t>▲ 显示屏分辨率</w:t>
            </w:r>
          </w:p>
        </w:tc>
        <w:tc>
          <w:tcPr>
            <w:tcW w:w="2735" w:type="pct"/>
            <w:tcBorders>
              <w:top w:val="single" w:color="auto" w:sz="4" w:space="0"/>
              <w:left w:val="single" w:color="auto" w:sz="4" w:space="0"/>
              <w:bottom w:val="single" w:color="auto" w:sz="4" w:space="0"/>
              <w:right w:val="single" w:color="auto" w:sz="4" w:space="0"/>
            </w:tcBorders>
            <w:vAlign w:val="center"/>
          </w:tcPr>
          <w:p w14:paraId="06B37298">
            <w:pPr>
              <w:rPr>
                <w:rFonts w:ascii="宋体" w:hAnsi="宋体"/>
                <w:color w:val="auto"/>
                <w:kern w:val="0"/>
                <w:sz w:val="22"/>
                <w:szCs w:val="22"/>
              </w:rPr>
            </w:pPr>
            <w:r>
              <w:rPr>
                <w:rFonts w:hint="eastAsia" w:ascii="宋体" w:hAnsi="宋体"/>
                <w:color w:val="auto"/>
                <w:kern w:val="0"/>
                <w:sz w:val="22"/>
                <w:szCs w:val="22"/>
              </w:rPr>
              <w:t>分辨率≥1920x1080</w:t>
            </w:r>
          </w:p>
        </w:tc>
      </w:tr>
      <w:tr w14:paraId="0C88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2DD0A3B">
            <w:pPr>
              <w:widowControl/>
              <w:rPr>
                <w:rFonts w:ascii="宋体" w:hAnsi="宋体"/>
                <w:color w:val="auto"/>
                <w:kern w:val="0"/>
                <w:sz w:val="22"/>
                <w:szCs w:val="22"/>
              </w:rPr>
            </w:pPr>
            <w:r>
              <w:rPr>
                <w:rFonts w:hint="eastAsia" w:ascii="宋体" w:hAnsi="宋体"/>
                <w:color w:val="auto"/>
                <w:kern w:val="0"/>
                <w:sz w:val="22"/>
                <w:szCs w:val="22"/>
              </w:rPr>
              <w:t>30</w:t>
            </w:r>
          </w:p>
        </w:tc>
        <w:tc>
          <w:tcPr>
            <w:tcW w:w="0" w:type="auto"/>
            <w:vMerge w:val="continue"/>
            <w:tcBorders>
              <w:top w:val="nil"/>
              <w:left w:val="single" w:color="auto" w:sz="4" w:space="0"/>
              <w:bottom w:val="single" w:color="auto" w:sz="4" w:space="0"/>
              <w:right w:val="single" w:color="auto" w:sz="4" w:space="0"/>
            </w:tcBorders>
            <w:vAlign w:val="center"/>
          </w:tcPr>
          <w:p w14:paraId="484148B3">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439D5CBB">
            <w:pPr>
              <w:widowControl/>
              <w:jc w:val="left"/>
              <w:rPr>
                <w:rFonts w:ascii="宋体" w:hAnsi="宋体"/>
                <w:color w:val="auto"/>
                <w:kern w:val="0"/>
                <w:sz w:val="22"/>
                <w:szCs w:val="22"/>
              </w:rPr>
            </w:pPr>
            <w:r>
              <w:rPr>
                <w:rFonts w:hint="eastAsia" w:ascii="宋体" w:hAnsi="宋体"/>
                <w:color w:val="auto"/>
                <w:kern w:val="0"/>
                <w:sz w:val="22"/>
                <w:szCs w:val="22"/>
              </w:rPr>
              <w:t>显示屏像素密度</w:t>
            </w:r>
          </w:p>
        </w:tc>
        <w:tc>
          <w:tcPr>
            <w:tcW w:w="2735" w:type="pct"/>
            <w:tcBorders>
              <w:top w:val="single" w:color="auto" w:sz="4" w:space="0"/>
              <w:left w:val="single" w:color="auto" w:sz="4" w:space="0"/>
              <w:bottom w:val="single" w:color="auto" w:sz="4" w:space="0"/>
              <w:right w:val="single" w:color="auto" w:sz="4" w:space="0"/>
            </w:tcBorders>
            <w:vAlign w:val="center"/>
          </w:tcPr>
          <w:p w14:paraId="0F767CA6">
            <w:pPr>
              <w:widowControl/>
              <w:rPr>
                <w:rFonts w:ascii="宋体" w:hAnsi="宋体"/>
                <w:color w:val="auto"/>
                <w:kern w:val="0"/>
                <w:sz w:val="22"/>
                <w:szCs w:val="22"/>
              </w:rPr>
            </w:pPr>
            <w:r>
              <w:rPr>
                <w:rFonts w:hint="eastAsia" w:ascii="宋体" w:hAnsi="宋体"/>
                <w:color w:val="auto"/>
                <w:kern w:val="0"/>
                <w:sz w:val="22"/>
                <w:szCs w:val="22"/>
              </w:rPr>
              <w:t>≥85像素/英寸</w:t>
            </w:r>
          </w:p>
        </w:tc>
      </w:tr>
      <w:tr w14:paraId="767C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E6991EF">
            <w:pPr>
              <w:widowControl/>
              <w:rPr>
                <w:rFonts w:ascii="宋体" w:hAnsi="宋体"/>
                <w:color w:val="auto"/>
                <w:kern w:val="0"/>
                <w:sz w:val="22"/>
                <w:szCs w:val="22"/>
              </w:rPr>
            </w:pPr>
            <w:r>
              <w:rPr>
                <w:rFonts w:hint="eastAsia" w:ascii="宋体" w:hAnsi="宋体"/>
                <w:color w:val="auto"/>
                <w:kern w:val="0"/>
                <w:sz w:val="22"/>
                <w:szCs w:val="22"/>
              </w:rPr>
              <w:t>31</w:t>
            </w:r>
          </w:p>
        </w:tc>
        <w:tc>
          <w:tcPr>
            <w:tcW w:w="0" w:type="auto"/>
            <w:vMerge w:val="continue"/>
            <w:tcBorders>
              <w:top w:val="nil"/>
              <w:left w:val="single" w:color="auto" w:sz="4" w:space="0"/>
              <w:bottom w:val="single" w:color="auto" w:sz="4" w:space="0"/>
              <w:right w:val="single" w:color="auto" w:sz="4" w:space="0"/>
            </w:tcBorders>
            <w:vAlign w:val="center"/>
          </w:tcPr>
          <w:p w14:paraId="74480975">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5658509E">
            <w:pPr>
              <w:widowControl/>
              <w:jc w:val="left"/>
              <w:rPr>
                <w:rFonts w:ascii="宋体" w:hAnsi="宋体"/>
                <w:color w:val="auto"/>
                <w:kern w:val="0"/>
                <w:sz w:val="22"/>
                <w:szCs w:val="22"/>
              </w:rPr>
            </w:pPr>
            <w:r>
              <w:rPr>
                <w:rFonts w:hint="eastAsia" w:ascii="宋体" w:hAnsi="宋体"/>
                <w:color w:val="auto"/>
                <w:kern w:val="0"/>
                <w:sz w:val="22"/>
                <w:szCs w:val="22"/>
              </w:rPr>
              <w:t>显示屏可视角度</w:t>
            </w:r>
          </w:p>
        </w:tc>
        <w:tc>
          <w:tcPr>
            <w:tcW w:w="2735" w:type="pct"/>
            <w:tcBorders>
              <w:top w:val="single" w:color="auto" w:sz="4" w:space="0"/>
              <w:left w:val="single" w:color="auto" w:sz="4" w:space="0"/>
              <w:bottom w:val="single" w:color="auto" w:sz="4" w:space="0"/>
              <w:right w:val="single" w:color="auto" w:sz="4" w:space="0"/>
            </w:tcBorders>
            <w:vAlign w:val="center"/>
          </w:tcPr>
          <w:p w14:paraId="66F8F250">
            <w:pPr>
              <w:widowControl/>
              <w:rPr>
                <w:rFonts w:ascii="宋体" w:hAnsi="宋体"/>
                <w:color w:val="auto"/>
                <w:kern w:val="0"/>
                <w:sz w:val="22"/>
                <w:szCs w:val="22"/>
              </w:rPr>
            </w:pPr>
            <w:r>
              <w:rPr>
                <w:rFonts w:hint="eastAsia" w:ascii="宋体" w:hAnsi="宋体"/>
                <w:color w:val="auto"/>
                <w:kern w:val="0"/>
                <w:sz w:val="22"/>
                <w:szCs w:val="22"/>
              </w:rPr>
              <w:t>水平≥178°</w:t>
            </w:r>
          </w:p>
        </w:tc>
      </w:tr>
      <w:tr w14:paraId="401F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B13E716">
            <w:pPr>
              <w:widowControl/>
              <w:rPr>
                <w:rFonts w:ascii="宋体" w:hAnsi="宋体"/>
                <w:color w:val="auto"/>
                <w:kern w:val="0"/>
                <w:sz w:val="22"/>
                <w:szCs w:val="22"/>
              </w:rPr>
            </w:pPr>
            <w:r>
              <w:rPr>
                <w:rFonts w:hint="eastAsia" w:ascii="宋体" w:hAnsi="宋体"/>
                <w:color w:val="auto"/>
                <w:kern w:val="0"/>
                <w:sz w:val="22"/>
                <w:szCs w:val="22"/>
              </w:rPr>
              <w:t>32</w:t>
            </w:r>
          </w:p>
        </w:tc>
        <w:tc>
          <w:tcPr>
            <w:tcW w:w="0" w:type="auto"/>
            <w:vMerge w:val="continue"/>
            <w:tcBorders>
              <w:top w:val="nil"/>
              <w:left w:val="single" w:color="auto" w:sz="4" w:space="0"/>
              <w:bottom w:val="single" w:color="auto" w:sz="4" w:space="0"/>
              <w:right w:val="single" w:color="auto" w:sz="4" w:space="0"/>
            </w:tcBorders>
            <w:vAlign w:val="center"/>
          </w:tcPr>
          <w:p w14:paraId="7F7D4753">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CF66802">
            <w:pPr>
              <w:widowControl/>
              <w:jc w:val="left"/>
              <w:rPr>
                <w:rFonts w:ascii="宋体" w:hAnsi="宋体"/>
                <w:color w:val="auto"/>
                <w:kern w:val="0"/>
                <w:sz w:val="22"/>
                <w:szCs w:val="22"/>
              </w:rPr>
            </w:pPr>
            <w:r>
              <w:rPr>
                <w:rFonts w:hint="eastAsia" w:ascii="宋体" w:hAnsi="宋体"/>
                <w:color w:val="auto"/>
                <w:kern w:val="0"/>
                <w:sz w:val="22"/>
                <w:szCs w:val="22"/>
              </w:rPr>
              <w:t>▲显示屏尺寸</w:t>
            </w:r>
          </w:p>
        </w:tc>
        <w:tc>
          <w:tcPr>
            <w:tcW w:w="2735" w:type="pct"/>
            <w:tcBorders>
              <w:top w:val="single" w:color="auto" w:sz="4" w:space="0"/>
              <w:left w:val="single" w:color="auto" w:sz="4" w:space="0"/>
              <w:bottom w:val="single" w:color="auto" w:sz="4" w:space="0"/>
              <w:right w:val="single" w:color="auto" w:sz="4" w:space="0"/>
            </w:tcBorders>
            <w:vAlign w:val="center"/>
          </w:tcPr>
          <w:p w14:paraId="595183BB">
            <w:pPr>
              <w:rPr>
                <w:rFonts w:ascii="宋体" w:hAnsi="宋体"/>
                <w:color w:val="auto"/>
                <w:kern w:val="0"/>
                <w:sz w:val="22"/>
                <w:szCs w:val="22"/>
              </w:rPr>
            </w:pPr>
            <w:r>
              <w:rPr>
                <w:rFonts w:hint="eastAsia" w:ascii="宋体" w:hAnsi="宋体"/>
                <w:color w:val="auto"/>
                <w:kern w:val="0"/>
                <w:sz w:val="22"/>
                <w:szCs w:val="22"/>
              </w:rPr>
              <w:t>≥23.8" 宽屏 16:9 LED 背光液晶显示器</w:t>
            </w:r>
          </w:p>
        </w:tc>
      </w:tr>
      <w:tr w14:paraId="6F0A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BF038DA">
            <w:pPr>
              <w:widowControl/>
              <w:rPr>
                <w:rFonts w:ascii="宋体" w:hAnsi="宋体"/>
                <w:color w:val="auto"/>
                <w:kern w:val="0"/>
                <w:sz w:val="22"/>
                <w:szCs w:val="22"/>
              </w:rPr>
            </w:pPr>
            <w:r>
              <w:rPr>
                <w:rFonts w:hint="eastAsia" w:ascii="宋体" w:hAnsi="宋体"/>
                <w:color w:val="auto"/>
                <w:kern w:val="0"/>
                <w:sz w:val="22"/>
                <w:szCs w:val="22"/>
              </w:rPr>
              <w:t>33</w:t>
            </w:r>
          </w:p>
        </w:tc>
        <w:tc>
          <w:tcPr>
            <w:tcW w:w="0" w:type="auto"/>
            <w:vMerge w:val="continue"/>
            <w:tcBorders>
              <w:top w:val="nil"/>
              <w:left w:val="single" w:color="auto" w:sz="4" w:space="0"/>
              <w:bottom w:val="single" w:color="auto" w:sz="4" w:space="0"/>
              <w:right w:val="single" w:color="auto" w:sz="4" w:space="0"/>
            </w:tcBorders>
            <w:vAlign w:val="center"/>
          </w:tcPr>
          <w:p w14:paraId="3CE544D7">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B24C33B">
            <w:pPr>
              <w:widowControl/>
              <w:jc w:val="left"/>
              <w:rPr>
                <w:rFonts w:ascii="宋体" w:hAnsi="宋体"/>
                <w:color w:val="auto"/>
                <w:kern w:val="0"/>
                <w:sz w:val="22"/>
                <w:szCs w:val="22"/>
              </w:rPr>
            </w:pPr>
            <w:r>
              <w:rPr>
                <w:rFonts w:hint="eastAsia" w:ascii="宋体" w:hAnsi="宋体"/>
                <w:color w:val="auto"/>
                <w:kern w:val="0"/>
                <w:sz w:val="22"/>
                <w:szCs w:val="22"/>
              </w:rPr>
              <w:t>▲显示屏屏幕比例</w:t>
            </w:r>
          </w:p>
        </w:tc>
        <w:tc>
          <w:tcPr>
            <w:tcW w:w="2735" w:type="pct"/>
            <w:tcBorders>
              <w:top w:val="single" w:color="auto" w:sz="4" w:space="0"/>
              <w:left w:val="single" w:color="auto" w:sz="4" w:space="0"/>
              <w:bottom w:val="single" w:color="auto" w:sz="4" w:space="0"/>
              <w:right w:val="single" w:color="auto" w:sz="4" w:space="0"/>
            </w:tcBorders>
            <w:vAlign w:val="center"/>
          </w:tcPr>
          <w:p w14:paraId="3BF265B2">
            <w:pPr>
              <w:widowControl/>
              <w:rPr>
                <w:rFonts w:ascii="宋体" w:hAnsi="宋体"/>
                <w:color w:val="auto"/>
                <w:kern w:val="0"/>
                <w:sz w:val="22"/>
                <w:szCs w:val="22"/>
              </w:rPr>
            </w:pPr>
            <w:r>
              <w:rPr>
                <w:rFonts w:hint="eastAsia" w:ascii="宋体" w:hAnsi="宋体"/>
                <w:color w:val="auto"/>
                <w:kern w:val="0"/>
                <w:sz w:val="22"/>
                <w:szCs w:val="22"/>
              </w:rPr>
              <w:t>16:9</w:t>
            </w:r>
          </w:p>
        </w:tc>
      </w:tr>
      <w:tr w14:paraId="0EDA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B5FF6FE">
            <w:pPr>
              <w:widowControl/>
              <w:rPr>
                <w:rFonts w:ascii="宋体" w:hAnsi="宋体"/>
                <w:color w:val="auto"/>
                <w:kern w:val="0"/>
                <w:sz w:val="22"/>
                <w:szCs w:val="22"/>
              </w:rPr>
            </w:pPr>
            <w:r>
              <w:rPr>
                <w:rFonts w:hint="eastAsia" w:ascii="宋体" w:hAnsi="宋体"/>
                <w:color w:val="auto"/>
                <w:kern w:val="0"/>
                <w:sz w:val="22"/>
                <w:szCs w:val="22"/>
              </w:rPr>
              <w:t>34</w:t>
            </w:r>
          </w:p>
        </w:tc>
        <w:tc>
          <w:tcPr>
            <w:tcW w:w="0" w:type="auto"/>
            <w:vMerge w:val="continue"/>
            <w:tcBorders>
              <w:top w:val="nil"/>
              <w:left w:val="single" w:color="auto" w:sz="4" w:space="0"/>
              <w:bottom w:val="single" w:color="auto" w:sz="4" w:space="0"/>
              <w:right w:val="single" w:color="auto" w:sz="4" w:space="0"/>
            </w:tcBorders>
            <w:vAlign w:val="center"/>
          </w:tcPr>
          <w:p w14:paraId="5AD949C9">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6F81ED46">
            <w:pPr>
              <w:widowControl/>
              <w:jc w:val="left"/>
              <w:rPr>
                <w:rFonts w:ascii="宋体" w:hAnsi="宋体"/>
                <w:color w:val="auto"/>
                <w:kern w:val="0"/>
                <w:sz w:val="22"/>
                <w:szCs w:val="22"/>
              </w:rPr>
            </w:pPr>
            <w:r>
              <w:rPr>
                <w:rFonts w:hint="eastAsia" w:ascii="宋体" w:hAnsi="宋体"/>
                <w:color w:val="auto"/>
                <w:kern w:val="0"/>
                <w:sz w:val="22"/>
                <w:szCs w:val="22"/>
              </w:rPr>
              <w:t>▲显示器外观颜色</w:t>
            </w:r>
          </w:p>
        </w:tc>
        <w:tc>
          <w:tcPr>
            <w:tcW w:w="2735" w:type="pct"/>
            <w:tcBorders>
              <w:top w:val="single" w:color="auto" w:sz="4" w:space="0"/>
              <w:left w:val="single" w:color="auto" w:sz="4" w:space="0"/>
              <w:bottom w:val="single" w:color="auto" w:sz="4" w:space="0"/>
              <w:right w:val="single" w:color="auto" w:sz="4" w:space="0"/>
            </w:tcBorders>
            <w:vAlign w:val="center"/>
          </w:tcPr>
          <w:p w14:paraId="3CB986B4">
            <w:pPr>
              <w:widowControl/>
              <w:rPr>
                <w:rFonts w:ascii="宋体" w:hAnsi="宋体"/>
                <w:color w:val="auto"/>
                <w:kern w:val="0"/>
                <w:sz w:val="22"/>
                <w:szCs w:val="22"/>
              </w:rPr>
            </w:pPr>
            <w:r>
              <w:rPr>
                <w:rFonts w:hint="eastAsia" w:ascii="宋体" w:hAnsi="宋体"/>
                <w:color w:val="auto"/>
                <w:kern w:val="0"/>
                <w:sz w:val="22"/>
                <w:szCs w:val="22"/>
              </w:rPr>
              <w:t>黑色</w:t>
            </w:r>
          </w:p>
        </w:tc>
      </w:tr>
      <w:tr w14:paraId="31F3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B32A61F">
            <w:pPr>
              <w:widowControl/>
              <w:rPr>
                <w:rFonts w:ascii="宋体" w:hAnsi="宋体"/>
                <w:color w:val="auto"/>
                <w:kern w:val="0"/>
                <w:sz w:val="22"/>
                <w:szCs w:val="22"/>
              </w:rPr>
            </w:pPr>
            <w:r>
              <w:rPr>
                <w:rFonts w:hint="eastAsia" w:ascii="宋体" w:hAnsi="宋体"/>
                <w:color w:val="auto"/>
                <w:kern w:val="0"/>
                <w:sz w:val="22"/>
                <w:szCs w:val="22"/>
              </w:rPr>
              <w:t>35</w:t>
            </w:r>
          </w:p>
        </w:tc>
        <w:tc>
          <w:tcPr>
            <w:tcW w:w="0" w:type="auto"/>
            <w:vMerge w:val="continue"/>
            <w:tcBorders>
              <w:top w:val="nil"/>
              <w:left w:val="single" w:color="auto" w:sz="4" w:space="0"/>
              <w:bottom w:val="single" w:color="auto" w:sz="4" w:space="0"/>
              <w:right w:val="single" w:color="auto" w:sz="4" w:space="0"/>
            </w:tcBorders>
            <w:vAlign w:val="center"/>
          </w:tcPr>
          <w:p w14:paraId="33E2DB60">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40DEFD63">
            <w:pPr>
              <w:widowControl/>
              <w:jc w:val="left"/>
              <w:rPr>
                <w:rFonts w:ascii="宋体" w:hAnsi="宋体"/>
                <w:color w:val="auto"/>
                <w:kern w:val="0"/>
                <w:sz w:val="22"/>
                <w:szCs w:val="22"/>
              </w:rPr>
            </w:pPr>
            <w:r>
              <w:rPr>
                <w:rFonts w:hint="eastAsia" w:ascii="宋体" w:hAnsi="宋体"/>
                <w:color w:val="auto"/>
                <w:kern w:val="0"/>
                <w:sz w:val="22"/>
                <w:szCs w:val="22"/>
              </w:rPr>
              <w:t>▲显示屏防蓝光</w:t>
            </w:r>
          </w:p>
        </w:tc>
        <w:tc>
          <w:tcPr>
            <w:tcW w:w="2735" w:type="pct"/>
            <w:tcBorders>
              <w:top w:val="single" w:color="auto" w:sz="4" w:space="0"/>
              <w:left w:val="single" w:color="auto" w:sz="4" w:space="0"/>
              <w:bottom w:val="single" w:color="auto" w:sz="4" w:space="0"/>
              <w:right w:val="single" w:color="auto" w:sz="4" w:space="0"/>
            </w:tcBorders>
            <w:vAlign w:val="center"/>
          </w:tcPr>
          <w:p w14:paraId="31DBD2E9">
            <w:pPr>
              <w:widowControl/>
              <w:rPr>
                <w:rFonts w:ascii="宋体" w:hAnsi="宋体"/>
                <w:color w:val="auto"/>
                <w:kern w:val="0"/>
                <w:sz w:val="22"/>
                <w:szCs w:val="22"/>
              </w:rPr>
            </w:pPr>
            <w:r>
              <w:rPr>
                <w:rFonts w:hint="eastAsia" w:ascii="宋体" w:hAnsi="宋体"/>
                <w:color w:val="auto"/>
                <w:kern w:val="0"/>
                <w:sz w:val="22"/>
                <w:szCs w:val="22"/>
              </w:rPr>
              <w:t>支持防蓝光模式，蓝光加权辐射亮度比应≤0.0012W/(</w:t>
            </w:r>
            <w:r>
              <w:rPr>
                <w:rFonts w:hint="eastAsia" w:ascii="微软雅黑" w:hAnsi="微软雅黑" w:eastAsia="微软雅黑" w:cs="微软雅黑"/>
                <w:color w:val="auto"/>
                <w:kern w:val="0"/>
                <w:sz w:val="22"/>
                <w:szCs w:val="22"/>
              </w:rPr>
              <w:t>・</w:t>
            </w:r>
            <w:r>
              <w:rPr>
                <w:rFonts w:hint="eastAsia" w:ascii="宋体" w:hAnsi="宋体"/>
                <w:color w:val="auto"/>
                <w:kern w:val="0"/>
                <w:sz w:val="22"/>
                <w:szCs w:val="22"/>
              </w:rPr>
              <w:t>cd</w:t>
            </w:r>
            <w:r>
              <w:rPr>
                <w:rFonts w:hint="eastAsia" w:ascii="微软雅黑" w:hAnsi="微软雅黑" w:eastAsia="微软雅黑" w:cs="微软雅黑"/>
                <w:color w:val="auto"/>
                <w:kern w:val="0"/>
                <w:sz w:val="22"/>
                <w:szCs w:val="22"/>
              </w:rPr>
              <w:t>・</w:t>
            </w:r>
            <w:r>
              <w:rPr>
                <w:rFonts w:hint="eastAsia" w:ascii="宋体" w:hAnsi="宋体"/>
                <w:color w:val="auto"/>
                <w:kern w:val="0"/>
                <w:sz w:val="22"/>
                <w:szCs w:val="22"/>
              </w:rPr>
              <w:t>sr)（瓦每坎特拉每球面度）</w:t>
            </w:r>
          </w:p>
        </w:tc>
      </w:tr>
      <w:tr w14:paraId="5EA0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E5AE3AE">
            <w:pPr>
              <w:widowControl/>
              <w:rPr>
                <w:rFonts w:ascii="宋体" w:hAnsi="宋体"/>
                <w:color w:val="auto"/>
                <w:kern w:val="0"/>
                <w:sz w:val="22"/>
                <w:szCs w:val="22"/>
              </w:rPr>
            </w:pPr>
            <w:r>
              <w:rPr>
                <w:rFonts w:hint="eastAsia" w:ascii="宋体" w:hAnsi="宋体"/>
                <w:color w:val="auto"/>
                <w:kern w:val="0"/>
                <w:sz w:val="22"/>
                <w:szCs w:val="22"/>
              </w:rPr>
              <w:t>36</w:t>
            </w:r>
          </w:p>
        </w:tc>
        <w:tc>
          <w:tcPr>
            <w:tcW w:w="0" w:type="auto"/>
            <w:vMerge w:val="continue"/>
            <w:tcBorders>
              <w:top w:val="nil"/>
              <w:left w:val="single" w:color="auto" w:sz="4" w:space="0"/>
              <w:bottom w:val="single" w:color="auto" w:sz="4" w:space="0"/>
              <w:right w:val="single" w:color="auto" w:sz="4" w:space="0"/>
            </w:tcBorders>
            <w:vAlign w:val="center"/>
          </w:tcPr>
          <w:p w14:paraId="0D5F8F7C">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4E2C2E8">
            <w:pPr>
              <w:widowControl/>
              <w:jc w:val="left"/>
              <w:rPr>
                <w:rFonts w:ascii="宋体" w:hAnsi="宋体"/>
                <w:color w:val="auto"/>
                <w:kern w:val="0"/>
                <w:sz w:val="22"/>
                <w:szCs w:val="22"/>
              </w:rPr>
            </w:pPr>
            <w:r>
              <w:rPr>
                <w:rFonts w:hint="eastAsia" w:ascii="宋体" w:hAnsi="宋体"/>
                <w:color w:val="auto"/>
                <w:kern w:val="0"/>
                <w:sz w:val="22"/>
                <w:szCs w:val="22"/>
              </w:rPr>
              <w:t>▲显示屏低频闪</w:t>
            </w:r>
          </w:p>
        </w:tc>
        <w:tc>
          <w:tcPr>
            <w:tcW w:w="2735" w:type="pct"/>
            <w:tcBorders>
              <w:top w:val="single" w:color="auto" w:sz="4" w:space="0"/>
              <w:left w:val="single" w:color="auto" w:sz="4" w:space="0"/>
              <w:bottom w:val="single" w:color="auto" w:sz="4" w:space="0"/>
              <w:right w:val="single" w:color="auto" w:sz="4" w:space="0"/>
            </w:tcBorders>
            <w:vAlign w:val="center"/>
          </w:tcPr>
          <w:p w14:paraId="400D3A75">
            <w:pPr>
              <w:widowControl/>
              <w:rPr>
                <w:rFonts w:ascii="宋体" w:hAnsi="宋体"/>
                <w:color w:val="auto"/>
                <w:kern w:val="0"/>
                <w:sz w:val="22"/>
                <w:szCs w:val="22"/>
              </w:rPr>
            </w:pPr>
            <w:r>
              <w:rPr>
                <w:rFonts w:hint="eastAsia" w:ascii="宋体" w:hAnsi="宋体"/>
                <w:color w:val="auto"/>
                <w:kern w:val="0"/>
                <w:sz w:val="22"/>
                <w:szCs w:val="22"/>
              </w:rPr>
              <w:t>显示屏应支持低频闪≤-35dB</w:t>
            </w:r>
          </w:p>
        </w:tc>
      </w:tr>
      <w:tr w14:paraId="6AA2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1563FD9">
            <w:pPr>
              <w:widowControl/>
              <w:rPr>
                <w:rFonts w:ascii="宋体" w:hAnsi="宋体"/>
                <w:color w:val="auto"/>
                <w:kern w:val="0"/>
                <w:sz w:val="22"/>
                <w:szCs w:val="22"/>
              </w:rPr>
            </w:pPr>
            <w:r>
              <w:rPr>
                <w:rFonts w:hint="eastAsia" w:ascii="宋体" w:hAnsi="宋体"/>
                <w:color w:val="auto"/>
                <w:kern w:val="0"/>
                <w:sz w:val="22"/>
                <w:szCs w:val="22"/>
              </w:rPr>
              <w:t>37</w:t>
            </w:r>
          </w:p>
        </w:tc>
        <w:tc>
          <w:tcPr>
            <w:tcW w:w="0" w:type="auto"/>
            <w:vMerge w:val="continue"/>
            <w:tcBorders>
              <w:top w:val="nil"/>
              <w:left w:val="single" w:color="auto" w:sz="4" w:space="0"/>
              <w:bottom w:val="single" w:color="auto" w:sz="4" w:space="0"/>
              <w:right w:val="single" w:color="auto" w:sz="4" w:space="0"/>
            </w:tcBorders>
            <w:vAlign w:val="center"/>
          </w:tcPr>
          <w:p w14:paraId="5D906B70">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C22A556">
            <w:pPr>
              <w:widowControl/>
              <w:jc w:val="left"/>
              <w:rPr>
                <w:rFonts w:ascii="宋体" w:hAnsi="宋体"/>
                <w:color w:val="auto"/>
                <w:kern w:val="0"/>
                <w:sz w:val="22"/>
                <w:szCs w:val="22"/>
              </w:rPr>
            </w:pPr>
            <w:r>
              <w:rPr>
                <w:rFonts w:hint="eastAsia" w:ascii="宋体" w:hAnsi="宋体"/>
                <w:color w:val="auto"/>
                <w:kern w:val="0"/>
                <w:sz w:val="22"/>
                <w:szCs w:val="22"/>
              </w:rPr>
              <w:t>▲显示屏防炫目</w:t>
            </w:r>
          </w:p>
        </w:tc>
        <w:tc>
          <w:tcPr>
            <w:tcW w:w="2735" w:type="pct"/>
            <w:tcBorders>
              <w:top w:val="single" w:color="auto" w:sz="4" w:space="0"/>
              <w:left w:val="single" w:color="auto" w:sz="4" w:space="0"/>
              <w:bottom w:val="single" w:color="auto" w:sz="4" w:space="0"/>
              <w:right w:val="single" w:color="auto" w:sz="4" w:space="0"/>
            </w:tcBorders>
            <w:vAlign w:val="center"/>
          </w:tcPr>
          <w:p w14:paraId="230652D6">
            <w:pPr>
              <w:widowControl/>
              <w:rPr>
                <w:rFonts w:ascii="宋体" w:hAnsi="宋体"/>
                <w:color w:val="auto"/>
                <w:kern w:val="0"/>
                <w:sz w:val="22"/>
                <w:szCs w:val="22"/>
              </w:rPr>
            </w:pPr>
            <w:r>
              <w:rPr>
                <w:rFonts w:hint="eastAsia" w:ascii="宋体" w:hAnsi="宋体"/>
                <w:color w:val="auto"/>
                <w:kern w:val="0"/>
                <w:sz w:val="22"/>
                <w:szCs w:val="22"/>
              </w:rPr>
              <w:t>显示屏镜面反射率≤10%</w:t>
            </w:r>
          </w:p>
        </w:tc>
      </w:tr>
      <w:tr w14:paraId="6151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D356D7F">
            <w:pPr>
              <w:widowControl/>
              <w:rPr>
                <w:rFonts w:ascii="宋体" w:hAnsi="宋体"/>
                <w:color w:val="auto"/>
                <w:kern w:val="0"/>
                <w:sz w:val="22"/>
                <w:szCs w:val="22"/>
              </w:rPr>
            </w:pPr>
            <w:r>
              <w:rPr>
                <w:rFonts w:hint="eastAsia" w:ascii="宋体" w:hAnsi="宋体"/>
                <w:color w:val="auto"/>
                <w:kern w:val="0"/>
                <w:sz w:val="22"/>
                <w:szCs w:val="22"/>
              </w:rPr>
              <w:t>38</w:t>
            </w:r>
          </w:p>
        </w:tc>
        <w:tc>
          <w:tcPr>
            <w:tcW w:w="807" w:type="pct"/>
            <w:vMerge w:val="restart"/>
            <w:tcBorders>
              <w:top w:val="nil"/>
              <w:left w:val="single" w:color="auto" w:sz="4" w:space="0"/>
              <w:bottom w:val="single" w:color="auto" w:sz="4" w:space="0"/>
              <w:right w:val="single" w:color="auto" w:sz="4" w:space="0"/>
            </w:tcBorders>
            <w:vAlign w:val="center"/>
          </w:tcPr>
          <w:p w14:paraId="71ABE2A8">
            <w:pPr>
              <w:widowControl/>
              <w:rPr>
                <w:rFonts w:ascii="宋体" w:hAnsi="宋体"/>
                <w:color w:val="auto"/>
                <w:kern w:val="0"/>
                <w:sz w:val="22"/>
                <w:szCs w:val="22"/>
              </w:rPr>
            </w:pPr>
            <w:r>
              <w:rPr>
                <w:rFonts w:hint="eastAsia" w:ascii="宋体" w:hAnsi="宋体"/>
                <w:color w:val="auto"/>
                <w:kern w:val="0"/>
                <w:sz w:val="22"/>
                <w:szCs w:val="22"/>
              </w:rPr>
              <w:t>▲外设规格</w:t>
            </w:r>
          </w:p>
        </w:tc>
        <w:tc>
          <w:tcPr>
            <w:tcW w:w="1096" w:type="pct"/>
            <w:tcBorders>
              <w:top w:val="single" w:color="auto" w:sz="4" w:space="0"/>
              <w:left w:val="single" w:color="auto" w:sz="4" w:space="0"/>
              <w:bottom w:val="single" w:color="auto" w:sz="4" w:space="0"/>
              <w:right w:val="single" w:color="auto" w:sz="4" w:space="0"/>
            </w:tcBorders>
            <w:vAlign w:val="center"/>
          </w:tcPr>
          <w:p w14:paraId="338F32D7">
            <w:pPr>
              <w:widowControl/>
              <w:jc w:val="left"/>
              <w:rPr>
                <w:rFonts w:ascii="宋体" w:hAnsi="宋体"/>
                <w:color w:val="auto"/>
                <w:kern w:val="0"/>
                <w:sz w:val="22"/>
                <w:szCs w:val="22"/>
              </w:rPr>
            </w:pPr>
            <w:r>
              <w:rPr>
                <w:rFonts w:hint="eastAsia" w:ascii="宋体" w:hAnsi="宋体"/>
                <w:color w:val="auto"/>
                <w:kern w:val="0"/>
                <w:sz w:val="22"/>
                <w:szCs w:val="22"/>
              </w:rPr>
              <w:t>传声器数量</w:t>
            </w:r>
          </w:p>
        </w:tc>
        <w:tc>
          <w:tcPr>
            <w:tcW w:w="2735" w:type="pct"/>
            <w:tcBorders>
              <w:top w:val="single" w:color="auto" w:sz="4" w:space="0"/>
              <w:left w:val="single" w:color="auto" w:sz="4" w:space="0"/>
              <w:bottom w:val="single" w:color="auto" w:sz="4" w:space="0"/>
              <w:right w:val="single" w:color="auto" w:sz="4" w:space="0"/>
            </w:tcBorders>
            <w:vAlign w:val="center"/>
          </w:tcPr>
          <w:p w14:paraId="201AEC13">
            <w:pPr>
              <w:widowControl/>
              <w:rPr>
                <w:rFonts w:ascii="宋体" w:hAnsi="宋体"/>
                <w:color w:val="auto"/>
                <w:kern w:val="0"/>
                <w:sz w:val="22"/>
                <w:szCs w:val="22"/>
              </w:rPr>
            </w:pPr>
            <w:r>
              <w:rPr>
                <w:rFonts w:hint="eastAsia" w:ascii="宋体" w:hAnsi="宋体"/>
                <w:color w:val="auto"/>
                <w:kern w:val="0"/>
                <w:sz w:val="22"/>
                <w:szCs w:val="22"/>
              </w:rPr>
              <w:t>此项指标不做要求</w:t>
            </w:r>
          </w:p>
        </w:tc>
      </w:tr>
      <w:tr w14:paraId="3DB5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63DD546">
            <w:pPr>
              <w:widowControl/>
              <w:rPr>
                <w:rFonts w:ascii="宋体" w:hAnsi="宋体"/>
                <w:color w:val="auto"/>
                <w:kern w:val="0"/>
                <w:sz w:val="22"/>
                <w:szCs w:val="22"/>
              </w:rPr>
            </w:pPr>
            <w:r>
              <w:rPr>
                <w:rFonts w:hint="eastAsia" w:ascii="宋体" w:hAnsi="宋体"/>
                <w:color w:val="auto"/>
                <w:kern w:val="0"/>
                <w:sz w:val="22"/>
                <w:szCs w:val="22"/>
              </w:rPr>
              <w:t>39</w:t>
            </w:r>
          </w:p>
        </w:tc>
        <w:tc>
          <w:tcPr>
            <w:tcW w:w="0" w:type="auto"/>
            <w:vMerge w:val="continue"/>
            <w:tcBorders>
              <w:top w:val="nil"/>
              <w:left w:val="single" w:color="auto" w:sz="4" w:space="0"/>
              <w:bottom w:val="single" w:color="auto" w:sz="4" w:space="0"/>
              <w:right w:val="single" w:color="auto" w:sz="4" w:space="0"/>
            </w:tcBorders>
            <w:vAlign w:val="center"/>
          </w:tcPr>
          <w:p w14:paraId="61B82F93">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21D59B2B">
            <w:pPr>
              <w:widowControl/>
              <w:jc w:val="left"/>
              <w:rPr>
                <w:rFonts w:ascii="宋体" w:hAnsi="宋体"/>
                <w:color w:val="auto"/>
                <w:kern w:val="0"/>
                <w:sz w:val="22"/>
                <w:szCs w:val="22"/>
              </w:rPr>
            </w:pPr>
            <w:r>
              <w:rPr>
                <w:rFonts w:hint="eastAsia" w:ascii="宋体" w:hAnsi="宋体"/>
                <w:color w:val="auto"/>
                <w:kern w:val="0"/>
                <w:sz w:val="22"/>
                <w:szCs w:val="22"/>
              </w:rPr>
              <w:t>扬声器数量</w:t>
            </w:r>
          </w:p>
        </w:tc>
        <w:tc>
          <w:tcPr>
            <w:tcW w:w="2735" w:type="pct"/>
            <w:tcBorders>
              <w:top w:val="single" w:color="auto" w:sz="4" w:space="0"/>
              <w:left w:val="single" w:color="auto" w:sz="4" w:space="0"/>
              <w:bottom w:val="single" w:color="auto" w:sz="4" w:space="0"/>
              <w:right w:val="single" w:color="auto" w:sz="4" w:space="0"/>
            </w:tcBorders>
            <w:vAlign w:val="center"/>
          </w:tcPr>
          <w:p w14:paraId="36437963">
            <w:pPr>
              <w:widowControl/>
              <w:rPr>
                <w:rFonts w:ascii="宋体" w:hAnsi="宋体"/>
                <w:color w:val="auto"/>
                <w:kern w:val="0"/>
                <w:sz w:val="22"/>
                <w:szCs w:val="22"/>
              </w:rPr>
            </w:pPr>
            <w:r>
              <w:rPr>
                <w:rFonts w:hint="eastAsia" w:ascii="宋体" w:hAnsi="宋体"/>
                <w:color w:val="auto"/>
                <w:kern w:val="0"/>
                <w:sz w:val="22"/>
                <w:szCs w:val="22"/>
              </w:rPr>
              <w:t>此项指标不做要求</w:t>
            </w:r>
          </w:p>
        </w:tc>
      </w:tr>
      <w:tr w14:paraId="7ADD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A02021B">
            <w:pPr>
              <w:widowControl/>
              <w:rPr>
                <w:rFonts w:ascii="宋体" w:hAnsi="宋体"/>
                <w:color w:val="auto"/>
                <w:kern w:val="0"/>
                <w:sz w:val="22"/>
                <w:szCs w:val="22"/>
              </w:rPr>
            </w:pPr>
            <w:r>
              <w:rPr>
                <w:rFonts w:hint="eastAsia" w:ascii="宋体" w:hAnsi="宋体"/>
                <w:color w:val="auto"/>
                <w:kern w:val="0"/>
                <w:sz w:val="22"/>
                <w:szCs w:val="22"/>
              </w:rPr>
              <w:t>40</w:t>
            </w:r>
          </w:p>
        </w:tc>
        <w:tc>
          <w:tcPr>
            <w:tcW w:w="0" w:type="auto"/>
            <w:vMerge w:val="continue"/>
            <w:tcBorders>
              <w:top w:val="nil"/>
              <w:left w:val="single" w:color="auto" w:sz="4" w:space="0"/>
              <w:bottom w:val="single" w:color="auto" w:sz="4" w:space="0"/>
              <w:right w:val="single" w:color="auto" w:sz="4" w:space="0"/>
            </w:tcBorders>
            <w:vAlign w:val="center"/>
          </w:tcPr>
          <w:p w14:paraId="668863E6">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56FC86C9">
            <w:pPr>
              <w:widowControl/>
              <w:jc w:val="left"/>
              <w:rPr>
                <w:rFonts w:ascii="宋体" w:hAnsi="宋体"/>
                <w:color w:val="auto"/>
                <w:kern w:val="0"/>
                <w:sz w:val="22"/>
                <w:szCs w:val="22"/>
              </w:rPr>
            </w:pPr>
            <w:r>
              <w:rPr>
                <w:rFonts w:hint="eastAsia" w:ascii="宋体" w:hAnsi="宋体"/>
                <w:color w:val="auto"/>
                <w:kern w:val="0"/>
                <w:sz w:val="22"/>
                <w:szCs w:val="22"/>
              </w:rPr>
              <w:t>▲鼠标数量</w:t>
            </w:r>
          </w:p>
        </w:tc>
        <w:tc>
          <w:tcPr>
            <w:tcW w:w="2735" w:type="pct"/>
            <w:tcBorders>
              <w:top w:val="single" w:color="auto" w:sz="4" w:space="0"/>
              <w:left w:val="single" w:color="auto" w:sz="4" w:space="0"/>
              <w:bottom w:val="single" w:color="auto" w:sz="4" w:space="0"/>
              <w:right w:val="single" w:color="auto" w:sz="4" w:space="0"/>
            </w:tcBorders>
            <w:vAlign w:val="center"/>
          </w:tcPr>
          <w:p w14:paraId="48651328">
            <w:pPr>
              <w:widowControl/>
              <w:rPr>
                <w:rFonts w:ascii="宋体" w:hAnsi="宋体"/>
                <w:color w:val="auto"/>
                <w:kern w:val="0"/>
                <w:sz w:val="22"/>
                <w:szCs w:val="22"/>
              </w:rPr>
            </w:pPr>
            <w:r>
              <w:rPr>
                <w:rFonts w:hint="eastAsia" w:ascii="宋体" w:hAnsi="宋体"/>
                <w:color w:val="auto"/>
                <w:kern w:val="0"/>
                <w:sz w:val="22"/>
                <w:szCs w:val="22"/>
              </w:rPr>
              <w:t>≥1个</w:t>
            </w:r>
          </w:p>
        </w:tc>
      </w:tr>
      <w:tr w14:paraId="79C6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E9B9B7E">
            <w:pPr>
              <w:widowControl/>
              <w:rPr>
                <w:rFonts w:ascii="宋体" w:hAnsi="宋体"/>
                <w:color w:val="auto"/>
                <w:kern w:val="0"/>
                <w:sz w:val="22"/>
                <w:szCs w:val="22"/>
              </w:rPr>
            </w:pPr>
            <w:r>
              <w:rPr>
                <w:rFonts w:hint="eastAsia" w:ascii="宋体" w:hAnsi="宋体"/>
                <w:color w:val="auto"/>
                <w:kern w:val="0"/>
                <w:sz w:val="22"/>
                <w:szCs w:val="22"/>
              </w:rPr>
              <w:t>41</w:t>
            </w:r>
          </w:p>
        </w:tc>
        <w:tc>
          <w:tcPr>
            <w:tcW w:w="0" w:type="auto"/>
            <w:vMerge w:val="continue"/>
            <w:tcBorders>
              <w:top w:val="nil"/>
              <w:left w:val="single" w:color="auto" w:sz="4" w:space="0"/>
              <w:bottom w:val="single" w:color="auto" w:sz="4" w:space="0"/>
              <w:right w:val="single" w:color="auto" w:sz="4" w:space="0"/>
            </w:tcBorders>
            <w:vAlign w:val="center"/>
          </w:tcPr>
          <w:p w14:paraId="41BF9CDC">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0404C25">
            <w:pPr>
              <w:widowControl/>
              <w:jc w:val="left"/>
              <w:rPr>
                <w:rFonts w:ascii="宋体" w:hAnsi="宋体"/>
                <w:color w:val="auto"/>
                <w:kern w:val="0"/>
                <w:sz w:val="22"/>
                <w:szCs w:val="22"/>
              </w:rPr>
            </w:pPr>
            <w:r>
              <w:rPr>
                <w:rFonts w:hint="eastAsia" w:ascii="宋体" w:hAnsi="宋体"/>
                <w:color w:val="auto"/>
                <w:kern w:val="0"/>
                <w:sz w:val="22"/>
                <w:szCs w:val="22"/>
              </w:rPr>
              <w:t>▲键盘数量</w:t>
            </w:r>
          </w:p>
        </w:tc>
        <w:tc>
          <w:tcPr>
            <w:tcW w:w="2735" w:type="pct"/>
            <w:tcBorders>
              <w:top w:val="single" w:color="auto" w:sz="4" w:space="0"/>
              <w:left w:val="single" w:color="auto" w:sz="4" w:space="0"/>
              <w:bottom w:val="single" w:color="auto" w:sz="4" w:space="0"/>
              <w:right w:val="single" w:color="auto" w:sz="4" w:space="0"/>
            </w:tcBorders>
            <w:vAlign w:val="center"/>
          </w:tcPr>
          <w:p w14:paraId="60F0B341">
            <w:pPr>
              <w:widowControl/>
              <w:rPr>
                <w:rFonts w:ascii="宋体" w:hAnsi="宋体"/>
                <w:color w:val="auto"/>
                <w:kern w:val="0"/>
                <w:sz w:val="22"/>
                <w:szCs w:val="22"/>
              </w:rPr>
            </w:pPr>
            <w:r>
              <w:rPr>
                <w:rFonts w:hint="eastAsia" w:ascii="宋体" w:hAnsi="宋体"/>
                <w:color w:val="auto"/>
                <w:kern w:val="0"/>
                <w:sz w:val="22"/>
                <w:szCs w:val="22"/>
              </w:rPr>
              <w:t>≥1个</w:t>
            </w:r>
          </w:p>
        </w:tc>
      </w:tr>
      <w:tr w14:paraId="7D57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CFBE0C5">
            <w:pPr>
              <w:widowControl/>
              <w:rPr>
                <w:rFonts w:ascii="宋体" w:hAnsi="宋体"/>
                <w:color w:val="auto"/>
                <w:kern w:val="0"/>
                <w:sz w:val="22"/>
                <w:szCs w:val="22"/>
              </w:rPr>
            </w:pPr>
            <w:r>
              <w:rPr>
                <w:rFonts w:hint="eastAsia" w:ascii="宋体" w:hAnsi="宋体"/>
                <w:color w:val="auto"/>
                <w:kern w:val="0"/>
                <w:sz w:val="22"/>
                <w:szCs w:val="22"/>
              </w:rPr>
              <w:t>42</w:t>
            </w:r>
          </w:p>
        </w:tc>
        <w:tc>
          <w:tcPr>
            <w:tcW w:w="0" w:type="auto"/>
            <w:vMerge w:val="continue"/>
            <w:tcBorders>
              <w:top w:val="nil"/>
              <w:left w:val="single" w:color="auto" w:sz="4" w:space="0"/>
              <w:bottom w:val="single" w:color="auto" w:sz="4" w:space="0"/>
              <w:right w:val="single" w:color="auto" w:sz="4" w:space="0"/>
            </w:tcBorders>
            <w:vAlign w:val="center"/>
          </w:tcPr>
          <w:p w14:paraId="5CC2F7D6">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53E7A75D">
            <w:pPr>
              <w:widowControl/>
              <w:jc w:val="left"/>
              <w:rPr>
                <w:rFonts w:ascii="宋体" w:hAnsi="宋体"/>
                <w:color w:val="auto"/>
                <w:kern w:val="0"/>
                <w:sz w:val="22"/>
                <w:szCs w:val="22"/>
              </w:rPr>
            </w:pPr>
            <w:r>
              <w:rPr>
                <w:rFonts w:hint="eastAsia" w:ascii="宋体" w:hAnsi="宋体"/>
                <w:color w:val="auto"/>
                <w:kern w:val="0"/>
                <w:sz w:val="22"/>
                <w:szCs w:val="22"/>
              </w:rPr>
              <w:t>摄像头数量</w:t>
            </w:r>
          </w:p>
        </w:tc>
        <w:tc>
          <w:tcPr>
            <w:tcW w:w="2735" w:type="pct"/>
            <w:tcBorders>
              <w:top w:val="single" w:color="auto" w:sz="4" w:space="0"/>
              <w:left w:val="single" w:color="auto" w:sz="4" w:space="0"/>
              <w:bottom w:val="single" w:color="auto" w:sz="4" w:space="0"/>
              <w:right w:val="single" w:color="auto" w:sz="4" w:space="0"/>
            </w:tcBorders>
            <w:vAlign w:val="center"/>
          </w:tcPr>
          <w:p w14:paraId="446A96A1">
            <w:pPr>
              <w:widowControl/>
              <w:rPr>
                <w:rFonts w:ascii="宋体" w:hAnsi="宋体"/>
                <w:color w:val="auto"/>
                <w:kern w:val="0"/>
                <w:sz w:val="22"/>
                <w:szCs w:val="22"/>
              </w:rPr>
            </w:pPr>
            <w:r>
              <w:rPr>
                <w:rFonts w:hint="eastAsia" w:ascii="宋体" w:hAnsi="宋体"/>
                <w:color w:val="auto"/>
                <w:kern w:val="0"/>
                <w:sz w:val="22"/>
                <w:szCs w:val="22"/>
              </w:rPr>
              <w:t>此项指标不做要求</w:t>
            </w:r>
          </w:p>
        </w:tc>
      </w:tr>
      <w:tr w14:paraId="57CE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7FF3331">
            <w:pPr>
              <w:widowControl/>
              <w:rPr>
                <w:rFonts w:ascii="宋体" w:hAnsi="宋体"/>
                <w:color w:val="auto"/>
                <w:kern w:val="0"/>
                <w:sz w:val="22"/>
                <w:szCs w:val="22"/>
              </w:rPr>
            </w:pPr>
            <w:r>
              <w:rPr>
                <w:rFonts w:hint="eastAsia" w:ascii="宋体" w:hAnsi="宋体"/>
                <w:color w:val="auto"/>
                <w:kern w:val="0"/>
                <w:sz w:val="22"/>
                <w:szCs w:val="22"/>
              </w:rPr>
              <w:t>43</w:t>
            </w:r>
          </w:p>
        </w:tc>
        <w:tc>
          <w:tcPr>
            <w:tcW w:w="0" w:type="auto"/>
            <w:vMerge w:val="continue"/>
            <w:tcBorders>
              <w:top w:val="nil"/>
              <w:left w:val="single" w:color="auto" w:sz="4" w:space="0"/>
              <w:bottom w:val="single" w:color="auto" w:sz="4" w:space="0"/>
              <w:right w:val="single" w:color="auto" w:sz="4" w:space="0"/>
            </w:tcBorders>
            <w:vAlign w:val="center"/>
          </w:tcPr>
          <w:p w14:paraId="47760F0D">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65C95FE">
            <w:pPr>
              <w:widowControl/>
              <w:jc w:val="left"/>
              <w:rPr>
                <w:rFonts w:ascii="宋体" w:hAnsi="宋体"/>
                <w:color w:val="auto"/>
                <w:kern w:val="0"/>
                <w:sz w:val="22"/>
                <w:szCs w:val="22"/>
              </w:rPr>
            </w:pPr>
            <w:r>
              <w:rPr>
                <w:rFonts w:hint="eastAsia" w:ascii="宋体" w:hAnsi="宋体"/>
                <w:color w:val="auto"/>
                <w:kern w:val="0"/>
                <w:sz w:val="22"/>
                <w:szCs w:val="22"/>
              </w:rPr>
              <w:t>光驱数量</w:t>
            </w:r>
          </w:p>
        </w:tc>
        <w:tc>
          <w:tcPr>
            <w:tcW w:w="2735" w:type="pct"/>
            <w:tcBorders>
              <w:top w:val="single" w:color="auto" w:sz="4" w:space="0"/>
              <w:left w:val="single" w:color="auto" w:sz="4" w:space="0"/>
              <w:bottom w:val="single" w:color="auto" w:sz="4" w:space="0"/>
              <w:right w:val="single" w:color="auto" w:sz="4" w:space="0"/>
            </w:tcBorders>
            <w:vAlign w:val="center"/>
          </w:tcPr>
          <w:p w14:paraId="712523D0">
            <w:pPr>
              <w:widowControl/>
              <w:rPr>
                <w:rFonts w:ascii="宋体" w:hAnsi="宋体"/>
                <w:color w:val="auto"/>
                <w:kern w:val="0"/>
                <w:sz w:val="22"/>
                <w:szCs w:val="22"/>
              </w:rPr>
            </w:pPr>
            <w:r>
              <w:rPr>
                <w:rFonts w:hint="eastAsia" w:ascii="宋体" w:hAnsi="宋体"/>
                <w:color w:val="auto"/>
                <w:kern w:val="0"/>
                <w:sz w:val="22"/>
                <w:szCs w:val="22"/>
              </w:rPr>
              <w:t>此项指标不做要求</w:t>
            </w:r>
          </w:p>
        </w:tc>
      </w:tr>
      <w:tr w14:paraId="0B80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DACF3D6">
            <w:pPr>
              <w:widowControl/>
              <w:rPr>
                <w:rFonts w:ascii="宋体" w:hAnsi="宋体"/>
                <w:color w:val="auto"/>
                <w:kern w:val="0"/>
                <w:sz w:val="22"/>
                <w:szCs w:val="22"/>
              </w:rPr>
            </w:pPr>
            <w:r>
              <w:rPr>
                <w:rFonts w:hint="eastAsia" w:ascii="宋体" w:hAnsi="宋体"/>
                <w:color w:val="auto"/>
                <w:kern w:val="0"/>
                <w:sz w:val="22"/>
                <w:szCs w:val="22"/>
              </w:rPr>
              <w:t>44</w:t>
            </w:r>
          </w:p>
        </w:tc>
        <w:tc>
          <w:tcPr>
            <w:tcW w:w="0" w:type="auto"/>
            <w:vMerge w:val="continue"/>
            <w:tcBorders>
              <w:top w:val="nil"/>
              <w:left w:val="single" w:color="auto" w:sz="4" w:space="0"/>
              <w:bottom w:val="single" w:color="auto" w:sz="4" w:space="0"/>
              <w:right w:val="single" w:color="auto" w:sz="4" w:space="0"/>
            </w:tcBorders>
            <w:vAlign w:val="center"/>
          </w:tcPr>
          <w:p w14:paraId="49305FE9">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344AAA7">
            <w:pPr>
              <w:widowControl/>
              <w:jc w:val="left"/>
              <w:rPr>
                <w:rFonts w:ascii="宋体" w:hAnsi="宋体"/>
                <w:color w:val="auto"/>
                <w:kern w:val="0"/>
                <w:sz w:val="22"/>
                <w:szCs w:val="22"/>
              </w:rPr>
            </w:pPr>
            <w:r>
              <w:rPr>
                <w:rFonts w:hint="eastAsia" w:ascii="宋体" w:hAnsi="宋体"/>
                <w:color w:val="auto"/>
                <w:kern w:val="0"/>
                <w:sz w:val="22"/>
                <w:szCs w:val="22"/>
              </w:rPr>
              <w:t>▲键盘按键数目</w:t>
            </w:r>
          </w:p>
        </w:tc>
        <w:tc>
          <w:tcPr>
            <w:tcW w:w="2735" w:type="pct"/>
            <w:tcBorders>
              <w:top w:val="single" w:color="auto" w:sz="4" w:space="0"/>
              <w:left w:val="single" w:color="auto" w:sz="4" w:space="0"/>
              <w:bottom w:val="single" w:color="auto" w:sz="4" w:space="0"/>
              <w:right w:val="single" w:color="auto" w:sz="4" w:space="0"/>
            </w:tcBorders>
            <w:vAlign w:val="center"/>
          </w:tcPr>
          <w:p w14:paraId="60000986">
            <w:pPr>
              <w:widowControl/>
              <w:rPr>
                <w:rFonts w:ascii="宋体" w:hAnsi="宋体"/>
                <w:color w:val="auto"/>
                <w:kern w:val="0"/>
                <w:sz w:val="22"/>
                <w:szCs w:val="22"/>
              </w:rPr>
            </w:pPr>
            <w:r>
              <w:rPr>
                <w:rFonts w:hint="eastAsia" w:ascii="宋体" w:hAnsi="宋体"/>
                <w:color w:val="auto"/>
                <w:kern w:val="0"/>
                <w:sz w:val="22"/>
                <w:szCs w:val="22"/>
              </w:rPr>
              <w:t>104键</w:t>
            </w:r>
          </w:p>
        </w:tc>
      </w:tr>
      <w:tr w14:paraId="3A78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F7C42C4">
            <w:pPr>
              <w:widowControl/>
              <w:rPr>
                <w:rFonts w:ascii="宋体" w:hAnsi="宋体"/>
                <w:color w:val="auto"/>
                <w:kern w:val="0"/>
                <w:sz w:val="22"/>
                <w:szCs w:val="22"/>
              </w:rPr>
            </w:pPr>
            <w:r>
              <w:rPr>
                <w:rFonts w:hint="eastAsia" w:ascii="宋体" w:hAnsi="宋体"/>
                <w:color w:val="auto"/>
                <w:kern w:val="0"/>
                <w:sz w:val="22"/>
                <w:szCs w:val="22"/>
              </w:rPr>
              <w:t>45</w:t>
            </w:r>
          </w:p>
        </w:tc>
        <w:tc>
          <w:tcPr>
            <w:tcW w:w="0" w:type="auto"/>
            <w:vMerge w:val="continue"/>
            <w:tcBorders>
              <w:top w:val="nil"/>
              <w:left w:val="single" w:color="auto" w:sz="4" w:space="0"/>
              <w:bottom w:val="single" w:color="auto" w:sz="4" w:space="0"/>
              <w:right w:val="single" w:color="auto" w:sz="4" w:space="0"/>
            </w:tcBorders>
            <w:vAlign w:val="center"/>
          </w:tcPr>
          <w:p w14:paraId="08C2532D">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0E3F5DFC">
            <w:pPr>
              <w:widowControl/>
              <w:jc w:val="left"/>
              <w:rPr>
                <w:rFonts w:ascii="宋体" w:hAnsi="宋体"/>
                <w:color w:val="auto"/>
                <w:kern w:val="0"/>
                <w:sz w:val="22"/>
                <w:szCs w:val="22"/>
              </w:rPr>
            </w:pPr>
            <w:r>
              <w:rPr>
                <w:rFonts w:hint="eastAsia" w:ascii="宋体" w:hAnsi="宋体"/>
                <w:color w:val="auto"/>
                <w:kern w:val="0"/>
                <w:sz w:val="22"/>
                <w:szCs w:val="22"/>
              </w:rPr>
              <w:t>摄像头像素</w:t>
            </w:r>
          </w:p>
        </w:tc>
        <w:tc>
          <w:tcPr>
            <w:tcW w:w="2735" w:type="pct"/>
            <w:tcBorders>
              <w:top w:val="single" w:color="auto" w:sz="4" w:space="0"/>
              <w:left w:val="single" w:color="auto" w:sz="4" w:space="0"/>
              <w:bottom w:val="single" w:color="auto" w:sz="4" w:space="0"/>
              <w:right w:val="single" w:color="auto" w:sz="4" w:space="0"/>
            </w:tcBorders>
            <w:vAlign w:val="center"/>
          </w:tcPr>
          <w:p w14:paraId="7897E145">
            <w:pPr>
              <w:widowControl/>
              <w:rPr>
                <w:rFonts w:ascii="宋体" w:hAnsi="宋体"/>
                <w:color w:val="auto"/>
                <w:kern w:val="0"/>
                <w:sz w:val="22"/>
                <w:szCs w:val="22"/>
              </w:rPr>
            </w:pPr>
            <w:r>
              <w:rPr>
                <w:rFonts w:hint="eastAsia" w:ascii="宋体" w:hAnsi="宋体"/>
                <w:color w:val="auto"/>
                <w:kern w:val="0"/>
                <w:sz w:val="22"/>
                <w:szCs w:val="22"/>
              </w:rPr>
              <w:t>/</w:t>
            </w:r>
          </w:p>
        </w:tc>
      </w:tr>
      <w:tr w14:paraId="367B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B273F36">
            <w:pPr>
              <w:widowControl/>
              <w:rPr>
                <w:rFonts w:ascii="宋体" w:hAnsi="宋体"/>
                <w:color w:val="auto"/>
                <w:kern w:val="0"/>
                <w:sz w:val="22"/>
                <w:szCs w:val="22"/>
              </w:rPr>
            </w:pPr>
            <w:r>
              <w:rPr>
                <w:rFonts w:hint="eastAsia" w:ascii="宋体" w:hAnsi="宋体"/>
                <w:color w:val="auto"/>
                <w:kern w:val="0"/>
                <w:sz w:val="22"/>
                <w:szCs w:val="22"/>
              </w:rPr>
              <w:t>46</w:t>
            </w:r>
          </w:p>
        </w:tc>
        <w:tc>
          <w:tcPr>
            <w:tcW w:w="0" w:type="auto"/>
            <w:vMerge w:val="continue"/>
            <w:tcBorders>
              <w:top w:val="nil"/>
              <w:left w:val="single" w:color="auto" w:sz="4" w:space="0"/>
              <w:bottom w:val="single" w:color="auto" w:sz="4" w:space="0"/>
              <w:right w:val="single" w:color="auto" w:sz="4" w:space="0"/>
            </w:tcBorders>
            <w:vAlign w:val="center"/>
          </w:tcPr>
          <w:p w14:paraId="18C5E12A">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4F6511B">
            <w:pPr>
              <w:widowControl/>
              <w:jc w:val="left"/>
              <w:rPr>
                <w:rFonts w:ascii="宋体" w:hAnsi="宋体"/>
                <w:color w:val="auto"/>
                <w:kern w:val="0"/>
                <w:sz w:val="22"/>
                <w:szCs w:val="22"/>
              </w:rPr>
            </w:pPr>
            <w:r>
              <w:rPr>
                <w:rFonts w:hint="eastAsia" w:ascii="宋体" w:hAnsi="宋体"/>
                <w:color w:val="auto"/>
                <w:kern w:val="0"/>
                <w:sz w:val="22"/>
                <w:szCs w:val="22"/>
              </w:rPr>
              <w:t>摄像头分辨率</w:t>
            </w:r>
          </w:p>
        </w:tc>
        <w:tc>
          <w:tcPr>
            <w:tcW w:w="2735" w:type="pct"/>
            <w:tcBorders>
              <w:top w:val="single" w:color="auto" w:sz="4" w:space="0"/>
              <w:left w:val="single" w:color="auto" w:sz="4" w:space="0"/>
              <w:bottom w:val="single" w:color="auto" w:sz="4" w:space="0"/>
              <w:right w:val="single" w:color="auto" w:sz="4" w:space="0"/>
            </w:tcBorders>
            <w:vAlign w:val="center"/>
          </w:tcPr>
          <w:p w14:paraId="015B5171">
            <w:pPr>
              <w:widowControl/>
              <w:rPr>
                <w:rFonts w:ascii="宋体" w:hAnsi="宋体"/>
                <w:color w:val="auto"/>
                <w:kern w:val="0"/>
                <w:sz w:val="22"/>
                <w:szCs w:val="22"/>
              </w:rPr>
            </w:pPr>
            <w:r>
              <w:rPr>
                <w:rFonts w:hint="eastAsia" w:ascii="宋体" w:hAnsi="宋体"/>
                <w:color w:val="auto"/>
                <w:kern w:val="0"/>
                <w:sz w:val="22"/>
                <w:szCs w:val="22"/>
              </w:rPr>
              <w:t>/</w:t>
            </w:r>
          </w:p>
        </w:tc>
      </w:tr>
      <w:tr w14:paraId="15F0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9209D32">
            <w:pPr>
              <w:widowControl/>
              <w:rPr>
                <w:rFonts w:ascii="宋体" w:hAnsi="宋体"/>
                <w:color w:val="auto"/>
                <w:kern w:val="0"/>
                <w:sz w:val="22"/>
                <w:szCs w:val="22"/>
              </w:rPr>
            </w:pPr>
            <w:r>
              <w:rPr>
                <w:rFonts w:hint="eastAsia" w:ascii="宋体" w:hAnsi="宋体"/>
                <w:color w:val="auto"/>
                <w:kern w:val="0"/>
                <w:sz w:val="22"/>
                <w:szCs w:val="22"/>
              </w:rPr>
              <w:t>47</w:t>
            </w:r>
          </w:p>
        </w:tc>
        <w:tc>
          <w:tcPr>
            <w:tcW w:w="0" w:type="auto"/>
            <w:vMerge w:val="continue"/>
            <w:tcBorders>
              <w:top w:val="nil"/>
              <w:left w:val="single" w:color="auto" w:sz="4" w:space="0"/>
              <w:bottom w:val="single" w:color="auto" w:sz="4" w:space="0"/>
              <w:right w:val="single" w:color="auto" w:sz="4" w:space="0"/>
            </w:tcBorders>
            <w:vAlign w:val="center"/>
          </w:tcPr>
          <w:p w14:paraId="61649276">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370D4B3">
            <w:pPr>
              <w:widowControl/>
              <w:jc w:val="left"/>
              <w:rPr>
                <w:rFonts w:ascii="宋体" w:hAnsi="宋体"/>
                <w:color w:val="auto"/>
                <w:kern w:val="0"/>
                <w:sz w:val="22"/>
                <w:szCs w:val="22"/>
              </w:rPr>
            </w:pPr>
            <w:r>
              <w:rPr>
                <w:rFonts w:hint="eastAsia" w:ascii="宋体" w:hAnsi="宋体"/>
                <w:color w:val="auto"/>
                <w:kern w:val="0"/>
                <w:sz w:val="22"/>
                <w:szCs w:val="22"/>
              </w:rPr>
              <w:t>扬声器功率</w:t>
            </w:r>
          </w:p>
        </w:tc>
        <w:tc>
          <w:tcPr>
            <w:tcW w:w="2735" w:type="pct"/>
            <w:tcBorders>
              <w:top w:val="single" w:color="auto" w:sz="4" w:space="0"/>
              <w:left w:val="single" w:color="auto" w:sz="4" w:space="0"/>
              <w:bottom w:val="single" w:color="auto" w:sz="4" w:space="0"/>
              <w:right w:val="single" w:color="auto" w:sz="4" w:space="0"/>
            </w:tcBorders>
            <w:vAlign w:val="center"/>
          </w:tcPr>
          <w:p w14:paraId="3A58FBCC">
            <w:pPr>
              <w:widowControl/>
              <w:rPr>
                <w:rFonts w:ascii="宋体" w:hAnsi="宋体"/>
                <w:color w:val="auto"/>
                <w:kern w:val="0"/>
                <w:sz w:val="22"/>
                <w:szCs w:val="22"/>
              </w:rPr>
            </w:pPr>
            <w:r>
              <w:rPr>
                <w:rFonts w:hint="eastAsia" w:ascii="宋体" w:hAnsi="宋体"/>
                <w:color w:val="auto"/>
                <w:kern w:val="0"/>
                <w:sz w:val="22"/>
                <w:szCs w:val="22"/>
              </w:rPr>
              <w:t>/</w:t>
            </w:r>
          </w:p>
        </w:tc>
      </w:tr>
      <w:tr w14:paraId="5959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162A2E9">
            <w:pPr>
              <w:widowControl/>
              <w:rPr>
                <w:rFonts w:ascii="宋体" w:hAnsi="宋体"/>
                <w:color w:val="auto"/>
                <w:kern w:val="0"/>
                <w:sz w:val="22"/>
                <w:szCs w:val="22"/>
              </w:rPr>
            </w:pPr>
            <w:r>
              <w:rPr>
                <w:rFonts w:hint="eastAsia" w:ascii="宋体" w:hAnsi="宋体"/>
                <w:color w:val="auto"/>
                <w:kern w:val="0"/>
                <w:sz w:val="22"/>
                <w:szCs w:val="22"/>
              </w:rPr>
              <w:t>48</w:t>
            </w:r>
          </w:p>
        </w:tc>
        <w:tc>
          <w:tcPr>
            <w:tcW w:w="0" w:type="auto"/>
            <w:vMerge w:val="continue"/>
            <w:tcBorders>
              <w:top w:val="nil"/>
              <w:left w:val="single" w:color="auto" w:sz="4" w:space="0"/>
              <w:bottom w:val="single" w:color="auto" w:sz="4" w:space="0"/>
              <w:right w:val="single" w:color="auto" w:sz="4" w:space="0"/>
            </w:tcBorders>
            <w:vAlign w:val="center"/>
          </w:tcPr>
          <w:p w14:paraId="0A715B0F">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0AAFE324">
            <w:pPr>
              <w:widowControl/>
              <w:jc w:val="left"/>
              <w:rPr>
                <w:rFonts w:ascii="宋体" w:hAnsi="宋体"/>
                <w:color w:val="auto"/>
                <w:kern w:val="0"/>
                <w:sz w:val="22"/>
                <w:szCs w:val="22"/>
              </w:rPr>
            </w:pPr>
            <w:r>
              <w:rPr>
                <w:rFonts w:hint="eastAsia" w:ascii="宋体" w:hAnsi="宋体"/>
                <w:color w:val="auto"/>
                <w:kern w:val="0"/>
                <w:sz w:val="22"/>
                <w:szCs w:val="22"/>
              </w:rPr>
              <w:t>扬声器频率范围</w:t>
            </w:r>
          </w:p>
        </w:tc>
        <w:tc>
          <w:tcPr>
            <w:tcW w:w="2735" w:type="pct"/>
            <w:tcBorders>
              <w:top w:val="single" w:color="auto" w:sz="4" w:space="0"/>
              <w:left w:val="single" w:color="auto" w:sz="4" w:space="0"/>
              <w:bottom w:val="single" w:color="auto" w:sz="4" w:space="0"/>
              <w:right w:val="single" w:color="auto" w:sz="4" w:space="0"/>
            </w:tcBorders>
            <w:vAlign w:val="center"/>
          </w:tcPr>
          <w:p w14:paraId="332D3685">
            <w:pPr>
              <w:widowControl/>
              <w:rPr>
                <w:rFonts w:ascii="宋体" w:hAnsi="宋体"/>
                <w:color w:val="auto"/>
                <w:kern w:val="0"/>
                <w:sz w:val="22"/>
                <w:szCs w:val="22"/>
              </w:rPr>
            </w:pPr>
            <w:r>
              <w:rPr>
                <w:rFonts w:hint="eastAsia" w:ascii="宋体" w:hAnsi="宋体"/>
                <w:color w:val="auto"/>
                <w:kern w:val="0"/>
                <w:sz w:val="22"/>
                <w:szCs w:val="22"/>
              </w:rPr>
              <w:t>/</w:t>
            </w:r>
          </w:p>
        </w:tc>
      </w:tr>
      <w:tr w14:paraId="1C65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65C7D52">
            <w:pPr>
              <w:widowControl/>
              <w:rPr>
                <w:rFonts w:ascii="宋体" w:hAnsi="宋体"/>
                <w:color w:val="auto"/>
                <w:kern w:val="0"/>
                <w:sz w:val="22"/>
                <w:szCs w:val="22"/>
              </w:rPr>
            </w:pPr>
            <w:r>
              <w:rPr>
                <w:rFonts w:hint="eastAsia" w:ascii="宋体" w:hAnsi="宋体"/>
                <w:color w:val="auto"/>
                <w:kern w:val="0"/>
                <w:sz w:val="22"/>
                <w:szCs w:val="22"/>
              </w:rPr>
              <w:t>49</w:t>
            </w:r>
          </w:p>
        </w:tc>
        <w:tc>
          <w:tcPr>
            <w:tcW w:w="0" w:type="auto"/>
            <w:vMerge w:val="continue"/>
            <w:tcBorders>
              <w:top w:val="nil"/>
              <w:left w:val="single" w:color="auto" w:sz="4" w:space="0"/>
              <w:bottom w:val="single" w:color="auto" w:sz="4" w:space="0"/>
              <w:right w:val="single" w:color="auto" w:sz="4" w:space="0"/>
            </w:tcBorders>
            <w:vAlign w:val="center"/>
          </w:tcPr>
          <w:p w14:paraId="6262CA3B">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472A3415">
            <w:pPr>
              <w:widowControl/>
              <w:jc w:val="left"/>
              <w:rPr>
                <w:rFonts w:ascii="宋体" w:hAnsi="宋体"/>
                <w:color w:val="auto"/>
                <w:kern w:val="0"/>
                <w:sz w:val="22"/>
                <w:szCs w:val="22"/>
              </w:rPr>
            </w:pPr>
            <w:r>
              <w:rPr>
                <w:rFonts w:hint="eastAsia" w:ascii="宋体" w:hAnsi="宋体"/>
                <w:color w:val="auto"/>
                <w:kern w:val="0"/>
                <w:sz w:val="22"/>
                <w:szCs w:val="22"/>
              </w:rPr>
              <w:t>扬声器总谐波失真</w:t>
            </w:r>
          </w:p>
        </w:tc>
        <w:tc>
          <w:tcPr>
            <w:tcW w:w="2735" w:type="pct"/>
            <w:tcBorders>
              <w:top w:val="single" w:color="auto" w:sz="4" w:space="0"/>
              <w:left w:val="single" w:color="auto" w:sz="4" w:space="0"/>
              <w:bottom w:val="single" w:color="auto" w:sz="4" w:space="0"/>
              <w:right w:val="single" w:color="auto" w:sz="4" w:space="0"/>
            </w:tcBorders>
            <w:vAlign w:val="center"/>
          </w:tcPr>
          <w:p w14:paraId="002CE237">
            <w:pPr>
              <w:widowControl/>
              <w:rPr>
                <w:rFonts w:ascii="宋体" w:hAnsi="宋体"/>
                <w:color w:val="auto"/>
                <w:kern w:val="0"/>
                <w:sz w:val="22"/>
                <w:szCs w:val="22"/>
              </w:rPr>
            </w:pPr>
            <w:r>
              <w:rPr>
                <w:rFonts w:hint="eastAsia" w:ascii="宋体" w:hAnsi="宋体"/>
                <w:color w:val="auto"/>
                <w:kern w:val="0"/>
                <w:sz w:val="22"/>
                <w:szCs w:val="22"/>
              </w:rPr>
              <w:t>/</w:t>
            </w:r>
          </w:p>
        </w:tc>
      </w:tr>
      <w:tr w14:paraId="2E77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521F3E7">
            <w:pPr>
              <w:widowControl/>
              <w:rPr>
                <w:rFonts w:ascii="宋体" w:hAnsi="宋体"/>
                <w:color w:val="auto"/>
                <w:kern w:val="0"/>
                <w:sz w:val="22"/>
                <w:szCs w:val="22"/>
              </w:rPr>
            </w:pPr>
            <w:r>
              <w:rPr>
                <w:rFonts w:hint="eastAsia" w:ascii="宋体" w:hAnsi="宋体"/>
                <w:color w:val="auto"/>
                <w:kern w:val="0"/>
                <w:sz w:val="22"/>
                <w:szCs w:val="22"/>
              </w:rPr>
              <w:t>50</w:t>
            </w:r>
          </w:p>
        </w:tc>
        <w:tc>
          <w:tcPr>
            <w:tcW w:w="0" w:type="auto"/>
            <w:vMerge w:val="continue"/>
            <w:tcBorders>
              <w:top w:val="nil"/>
              <w:left w:val="single" w:color="auto" w:sz="4" w:space="0"/>
              <w:bottom w:val="single" w:color="auto" w:sz="4" w:space="0"/>
              <w:right w:val="single" w:color="auto" w:sz="4" w:space="0"/>
            </w:tcBorders>
            <w:vAlign w:val="center"/>
          </w:tcPr>
          <w:p w14:paraId="33AAA651">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077AE143">
            <w:pPr>
              <w:widowControl/>
              <w:jc w:val="left"/>
              <w:rPr>
                <w:rFonts w:ascii="宋体" w:hAnsi="宋体"/>
                <w:color w:val="auto"/>
                <w:kern w:val="0"/>
                <w:sz w:val="22"/>
                <w:szCs w:val="22"/>
              </w:rPr>
            </w:pPr>
            <w:r>
              <w:rPr>
                <w:rFonts w:hint="eastAsia" w:ascii="宋体" w:hAnsi="宋体"/>
                <w:color w:val="auto"/>
                <w:kern w:val="0"/>
                <w:sz w:val="22"/>
                <w:szCs w:val="22"/>
              </w:rPr>
              <w:t>扬声器最大声压级</w:t>
            </w:r>
          </w:p>
        </w:tc>
        <w:tc>
          <w:tcPr>
            <w:tcW w:w="2735" w:type="pct"/>
            <w:tcBorders>
              <w:top w:val="single" w:color="auto" w:sz="4" w:space="0"/>
              <w:left w:val="single" w:color="auto" w:sz="4" w:space="0"/>
              <w:bottom w:val="single" w:color="auto" w:sz="4" w:space="0"/>
              <w:right w:val="single" w:color="auto" w:sz="4" w:space="0"/>
            </w:tcBorders>
            <w:vAlign w:val="center"/>
          </w:tcPr>
          <w:p w14:paraId="60DB1162">
            <w:pPr>
              <w:widowControl/>
              <w:rPr>
                <w:rFonts w:ascii="宋体" w:hAnsi="宋体"/>
                <w:color w:val="auto"/>
                <w:kern w:val="0"/>
                <w:sz w:val="22"/>
                <w:szCs w:val="22"/>
              </w:rPr>
            </w:pPr>
            <w:r>
              <w:rPr>
                <w:rFonts w:hint="eastAsia" w:ascii="宋体" w:hAnsi="宋体"/>
                <w:color w:val="auto"/>
                <w:kern w:val="0"/>
                <w:sz w:val="22"/>
                <w:szCs w:val="22"/>
              </w:rPr>
              <w:t>/</w:t>
            </w:r>
          </w:p>
        </w:tc>
      </w:tr>
      <w:tr w14:paraId="37F8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6D958B4">
            <w:pPr>
              <w:widowControl/>
              <w:rPr>
                <w:rFonts w:ascii="宋体" w:hAnsi="宋体"/>
                <w:color w:val="auto"/>
                <w:kern w:val="0"/>
                <w:sz w:val="22"/>
                <w:szCs w:val="22"/>
              </w:rPr>
            </w:pPr>
            <w:r>
              <w:rPr>
                <w:rFonts w:hint="eastAsia" w:ascii="宋体" w:hAnsi="宋体"/>
                <w:color w:val="auto"/>
                <w:kern w:val="0"/>
                <w:sz w:val="22"/>
                <w:szCs w:val="22"/>
              </w:rPr>
              <w:t>51</w:t>
            </w:r>
          </w:p>
        </w:tc>
        <w:tc>
          <w:tcPr>
            <w:tcW w:w="0" w:type="auto"/>
            <w:vMerge w:val="continue"/>
            <w:tcBorders>
              <w:top w:val="nil"/>
              <w:left w:val="single" w:color="auto" w:sz="4" w:space="0"/>
              <w:bottom w:val="single" w:color="auto" w:sz="4" w:space="0"/>
              <w:right w:val="single" w:color="auto" w:sz="4" w:space="0"/>
            </w:tcBorders>
            <w:vAlign w:val="center"/>
          </w:tcPr>
          <w:p w14:paraId="1F5C0CFD">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80D7442">
            <w:pPr>
              <w:widowControl/>
              <w:jc w:val="left"/>
              <w:rPr>
                <w:rFonts w:ascii="宋体" w:hAnsi="宋体"/>
                <w:color w:val="auto"/>
                <w:kern w:val="0"/>
                <w:sz w:val="22"/>
                <w:szCs w:val="22"/>
              </w:rPr>
            </w:pPr>
            <w:r>
              <w:rPr>
                <w:rFonts w:hint="eastAsia" w:ascii="宋体" w:hAnsi="宋体"/>
                <w:color w:val="auto"/>
                <w:kern w:val="0"/>
                <w:sz w:val="22"/>
                <w:szCs w:val="22"/>
              </w:rPr>
              <w:t xml:space="preserve"> ▲键盘连接方式</w:t>
            </w:r>
          </w:p>
        </w:tc>
        <w:tc>
          <w:tcPr>
            <w:tcW w:w="2735" w:type="pct"/>
            <w:tcBorders>
              <w:top w:val="single" w:color="auto" w:sz="4" w:space="0"/>
              <w:left w:val="single" w:color="auto" w:sz="4" w:space="0"/>
              <w:bottom w:val="single" w:color="auto" w:sz="4" w:space="0"/>
              <w:right w:val="single" w:color="auto" w:sz="4" w:space="0"/>
            </w:tcBorders>
            <w:vAlign w:val="center"/>
          </w:tcPr>
          <w:p w14:paraId="2F24D7B9">
            <w:pPr>
              <w:widowControl/>
              <w:rPr>
                <w:rFonts w:ascii="宋体" w:hAnsi="宋体"/>
                <w:color w:val="auto"/>
                <w:kern w:val="0"/>
                <w:sz w:val="22"/>
                <w:szCs w:val="22"/>
              </w:rPr>
            </w:pPr>
            <w:r>
              <w:rPr>
                <w:rFonts w:hint="eastAsia" w:ascii="宋体" w:hAnsi="宋体"/>
                <w:color w:val="auto"/>
                <w:kern w:val="0"/>
                <w:sz w:val="22"/>
                <w:szCs w:val="22"/>
              </w:rPr>
              <w:t>有线</w:t>
            </w:r>
          </w:p>
        </w:tc>
      </w:tr>
      <w:tr w14:paraId="2689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0C003FC">
            <w:pPr>
              <w:widowControl/>
              <w:rPr>
                <w:rFonts w:ascii="宋体" w:hAnsi="宋体"/>
                <w:color w:val="auto"/>
                <w:kern w:val="0"/>
                <w:sz w:val="22"/>
                <w:szCs w:val="22"/>
              </w:rPr>
            </w:pPr>
            <w:r>
              <w:rPr>
                <w:rFonts w:hint="eastAsia" w:ascii="宋体" w:hAnsi="宋体"/>
                <w:color w:val="auto"/>
                <w:kern w:val="0"/>
                <w:sz w:val="22"/>
                <w:szCs w:val="22"/>
              </w:rPr>
              <w:t>52</w:t>
            </w:r>
          </w:p>
        </w:tc>
        <w:tc>
          <w:tcPr>
            <w:tcW w:w="0" w:type="auto"/>
            <w:vMerge w:val="continue"/>
            <w:tcBorders>
              <w:top w:val="nil"/>
              <w:left w:val="single" w:color="auto" w:sz="4" w:space="0"/>
              <w:bottom w:val="single" w:color="auto" w:sz="4" w:space="0"/>
              <w:right w:val="single" w:color="auto" w:sz="4" w:space="0"/>
            </w:tcBorders>
            <w:vAlign w:val="center"/>
          </w:tcPr>
          <w:p w14:paraId="38D09AD8">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6DA938DD">
            <w:pPr>
              <w:widowControl/>
              <w:jc w:val="left"/>
              <w:rPr>
                <w:rFonts w:ascii="宋体" w:hAnsi="宋体"/>
                <w:color w:val="auto"/>
                <w:kern w:val="0"/>
                <w:sz w:val="22"/>
                <w:szCs w:val="22"/>
              </w:rPr>
            </w:pPr>
            <w:r>
              <w:rPr>
                <w:rFonts w:hint="eastAsia" w:ascii="宋体" w:hAnsi="宋体"/>
                <w:color w:val="auto"/>
                <w:kern w:val="0"/>
                <w:sz w:val="22"/>
                <w:szCs w:val="22"/>
              </w:rPr>
              <w:t xml:space="preserve"> ▲键盘键程</w:t>
            </w:r>
          </w:p>
        </w:tc>
        <w:tc>
          <w:tcPr>
            <w:tcW w:w="2735" w:type="pct"/>
            <w:tcBorders>
              <w:top w:val="single" w:color="auto" w:sz="4" w:space="0"/>
              <w:left w:val="single" w:color="auto" w:sz="4" w:space="0"/>
              <w:bottom w:val="single" w:color="auto" w:sz="4" w:space="0"/>
              <w:right w:val="single" w:color="auto" w:sz="4" w:space="0"/>
            </w:tcBorders>
            <w:vAlign w:val="center"/>
          </w:tcPr>
          <w:p w14:paraId="6448463F">
            <w:pPr>
              <w:widowControl/>
              <w:rPr>
                <w:rFonts w:ascii="宋体" w:hAnsi="宋体"/>
                <w:color w:val="auto"/>
                <w:kern w:val="0"/>
                <w:sz w:val="22"/>
                <w:szCs w:val="22"/>
              </w:rPr>
            </w:pPr>
            <w:r>
              <w:rPr>
                <w:rFonts w:hint="eastAsia" w:ascii="宋体" w:hAnsi="宋体"/>
                <w:color w:val="auto"/>
                <w:kern w:val="0"/>
                <w:sz w:val="22"/>
                <w:szCs w:val="22"/>
              </w:rPr>
              <w:t>2.3mm ~ 4.0mm</w:t>
            </w:r>
          </w:p>
        </w:tc>
      </w:tr>
      <w:tr w14:paraId="526C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CC24FC8">
            <w:pPr>
              <w:widowControl/>
              <w:rPr>
                <w:rFonts w:ascii="宋体" w:hAnsi="宋体"/>
                <w:color w:val="auto"/>
                <w:kern w:val="0"/>
                <w:sz w:val="22"/>
                <w:szCs w:val="22"/>
              </w:rPr>
            </w:pPr>
            <w:r>
              <w:rPr>
                <w:rFonts w:hint="eastAsia" w:ascii="宋体" w:hAnsi="宋体"/>
                <w:color w:val="auto"/>
                <w:kern w:val="0"/>
                <w:sz w:val="22"/>
                <w:szCs w:val="22"/>
              </w:rPr>
              <w:t>53</w:t>
            </w:r>
          </w:p>
        </w:tc>
        <w:tc>
          <w:tcPr>
            <w:tcW w:w="0" w:type="auto"/>
            <w:vMerge w:val="continue"/>
            <w:tcBorders>
              <w:top w:val="nil"/>
              <w:left w:val="single" w:color="auto" w:sz="4" w:space="0"/>
              <w:bottom w:val="single" w:color="auto" w:sz="4" w:space="0"/>
              <w:right w:val="single" w:color="auto" w:sz="4" w:space="0"/>
            </w:tcBorders>
            <w:vAlign w:val="center"/>
          </w:tcPr>
          <w:p w14:paraId="4FE48E05">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441C6AA">
            <w:pPr>
              <w:widowControl/>
              <w:jc w:val="left"/>
              <w:rPr>
                <w:rFonts w:ascii="宋体" w:hAnsi="宋体"/>
                <w:color w:val="auto"/>
                <w:kern w:val="0"/>
                <w:sz w:val="22"/>
                <w:szCs w:val="22"/>
              </w:rPr>
            </w:pPr>
            <w:r>
              <w:rPr>
                <w:rFonts w:hint="eastAsia" w:ascii="宋体" w:hAnsi="宋体"/>
                <w:color w:val="auto"/>
                <w:kern w:val="0"/>
                <w:sz w:val="22"/>
                <w:szCs w:val="22"/>
              </w:rPr>
              <w:t xml:space="preserve"> ▲键盘按键压力</w:t>
            </w:r>
          </w:p>
        </w:tc>
        <w:tc>
          <w:tcPr>
            <w:tcW w:w="2735" w:type="pct"/>
            <w:tcBorders>
              <w:top w:val="single" w:color="auto" w:sz="4" w:space="0"/>
              <w:left w:val="single" w:color="auto" w:sz="4" w:space="0"/>
              <w:bottom w:val="single" w:color="auto" w:sz="4" w:space="0"/>
              <w:right w:val="single" w:color="auto" w:sz="4" w:space="0"/>
            </w:tcBorders>
            <w:vAlign w:val="center"/>
          </w:tcPr>
          <w:p w14:paraId="52769448">
            <w:pPr>
              <w:widowControl/>
              <w:rPr>
                <w:rFonts w:ascii="宋体" w:hAnsi="宋体"/>
                <w:color w:val="auto"/>
                <w:kern w:val="0"/>
                <w:sz w:val="22"/>
                <w:szCs w:val="22"/>
              </w:rPr>
            </w:pPr>
            <w:r>
              <w:rPr>
                <w:rFonts w:hint="eastAsia" w:ascii="宋体" w:hAnsi="宋体"/>
                <w:color w:val="auto"/>
                <w:kern w:val="0"/>
                <w:sz w:val="22"/>
                <w:szCs w:val="22"/>
              </w:rPr>
              <w:t>按键压力应在0.54 N±0.14N</w:t>
            </w:r>
          </w:p>
        </w:tc>
      </w:tr>
      <w:tr w14:paraId="712A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3CE8024">
            <w:pPr>
              <w:widowControl/>
              <w:rPr>
                <w:rFonts w:ascii="宋体" w:hAnsi="宋体"/>
                <w:color w:val="auto"/>
                <w:kern w:val="0"/>
                <w:sz w:val="22"/>
                <w:szCs w:val="22"/>
              </w:rPr>
            </w:pPr>
            <w:r>
              <w:rPr>
                <w:rFonts w:hint="eastAsia" w:ascii="宋体" w:hAnsi="宋体"/>
                <w:color w:val="auto"/>
                <w:kern w:val="0"/>
                <w:sz w:val="22"/>
                <w:szCs w:val="22"/>
              </w:rPr>
              <w:t>54</w:t>
            </w:r>
          </w:p>
        </w:tc>
        <w:tc>
          <w:tcPr>
            <w:tcW w:w="0" w:type="auto"/>
            <w:vMerge w:val="continue"/>
            <w:tcBorders>
              <w:top w:val="nil"/>
              <w:left w:val="single" w:color="auto" w:sz="4" w:space="0"/>
              <w:bottom w:val="single" w:color="auto" w:sz="4" w:space="0"/>
              <w:right w:val="single" w:color="auto" w:sz="4" w:space="0"/>
            </w:tcBorders>
            <w:vAlign w:val="center"/>
          </w:tcPr>
          <w:p w14:paraId="3D114F70">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4BB25825">
            <w:pPr>
              <w:widowControl/>
              <w:jc w:val="left"/>
              <w:rPr>
                <w:rFonts w:ascii="宋体" w:hAnsi="宋体"/>
                <w:color w:val="auto"/>
                <w:kern w:val="0"/>
                <w:sz w:val="22"/>
                <w:szCs w:val="22"/>
              </w:rPr>
            </w:pPr>
            <w:r>
              <w:rPr>
                <w:rFonts w:hint="eastAsia" w:ascii="宋体" w:hAnsi="宋体"/>
                <w:color w:val="auto"/>
                <w:kern w:val="0"/>
                <w:sz w:val="22"/>
                <w:szCs w:val="22"/>
              </w:rPr>
              <w:t xml:space="preserve"> ▲有线键盘连接线</w:t>
            </w:r>
          </w:p>
        </w:tc>
        <w:tc>
          <w:tcPr>
            <w:tcW w:w="2735" w:type="pct"/>
            <w:tcBorders>
              <w:top w:val="single" w:color="auto" w:sz="4" w:space="0"/>
              <w:left w:val="single" w:color="auto" w:sz="4" w:space="0"/>
              <w:bottom w:val="single" w:color="auto" w:sz="4" w:space="0"/>
              <w:right w:val="single" w:color="auto" w:sz="4" w:space="0"/>
            </w:tcBorders>
            <w:vAlign w:val="center"/>
          </w:tcPr>
          <w:p w14:paraId="2D06899B">
            <w:pPr>
              <w:widowControl/>
              <w:rPr>
                <w:rFonts w:ascii="宋体" w:hAnsi="宋体"/>
                <w:color w:val="auto"/>
                <w:kern w:val="0"/>
                <w:sz w:val="22"/>
                <w:szCs w:val="22"/>
              </w:rPr>
            </w:pPr>
            <w:r>
              <w:rPr>
                <w:rFonts w:hint="eastAsia" w:ascii="宋体" w:hAnsi="宋体"/>
                <w:color w:val="auto"/>
                <w:kern w:val="0"/>
                <w:sz w:val="22"/>
                <w:szCs w:val="22"/>
              </w:rPr>
              <w:t>≥1.5米</w:t>
            </w:r>
          </w:p>
        </w:tc>
      </w:tr>
      <w:tr w14:paraId="7D77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8F62969">
            <w:pPr>
              <w:widowControl/>
              <w:rPr>
                <w:rFonts w:ascii="宋体" w:hAnsi="宋体"/>
                <w:color w:val="auto"/>
                <w:kern w:val="0"/>
                <w:sz w:val="22"/>
                <w:szCs w:val="22"/>
              </w:rPr>
            </w:pPr>
            <w:r>
              <w:rPr>
                <w:rFonts w:hint="eastAsia" w:ascii="宋体" w:hAnsi="宋体"/>
                <w:color w:val="auto"/>
                <w:kern w:val="0"/>
                <w:sz w:val="22"/>
                <w:szCs w:val="22"/>
              </w:rPr>
              <w:t>55</w:t>
            </w:r>
          </w:p>
        </w:tc>
        <w:tc>
          <w:tcPr>
            <w:tcW w:w="0" w:type="auto"/>
            <w:vMerge w:val="continue"/>
            <w:tcBorders>
              <w:top w:val="nil"/>
              <w:left w:val="single" w:color="auto" w:sz="4" w:space="0"/>
              <w:bottom w:val="single" w:color="auto" w:sz="4" w:space="0"/>
              <w:right w:val="single" w:color="auto" w:sz="4" w:space="0"/>
            </w:tcBorders>
            <w:vAlign w:val="center"/>
          </w:tcPr>
          <w:p w14:paraId="6620C892">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22CDFE20">
            <w:pPr>
              <w:widowControl/>
              <w:jc w:val="left"/>
              <w:rPr>
                <w:rFonts w:ascii="宋体" w:hAnsi="宋体"/>
                <w:color w:val="auto"/>
                <w:kern w:val="0"/>
                <w:sz w:val="22"/>
                <w:szCs w:val="22"/>
              </w:rPr>
            </w:pPr>
            <w:r>
              <w:rPr>
                <w:rFonts w:hint="eastAsia" w:ascii="宋体" w:hAnsi="宋体"/>
                <w:color w:val="auto"/>
                <w:kern w:val="0"/>
                <w:sz w:val="22"/>
                <w:szCs w:val="22"/>
              </w:rPr>
              <w:t xml:space="preserve"> ▲键盘颜色</w:t>
            </w:r>
          </w:p>
        </w:tc>
        <w:tc>
          <w:tcPr>
            <w:tcW w:w="2735" w:type="pct"/>
            <w:tcBorders>
              <w:top w:val="single" w:color="auto" w:sz="4" w:space="0"/>
              <w:left w:val="single" w:color="auto" w:sz="4" w:space="0"/>
              <w:bottom w:val="single" w:color="auto" w:sz="4" w:space="0"/>
              <w:right w:val="single" w:color="auto" w:sz="4" w:space="0"/>
            </w:tcBorders>
            <w:vAlign w:val="center"/>
          </w:tcPr>
          <w:p w14:paraId="503A00CE">
            <w:pPr>
              <w:widowControl/>
              <w:rPr>
                <w:rFonts w:ascii="宋体" w:hAnsi="宋体"/>
                <w:color w:val="auto"/>
                <w:kern w:val="0"/>
                <w:sz w:val="22"/>
                <w:szCs w:val="22"/>
              </w:rPr>
            </w:pPr>
            <w:r>
              <w:rPr>
                <w:rFonts w:hint="eastAsia" w:ascii="宋体" w:hAnsi="宋体"/>
                <w:color w:val="auto"/>
                <w:kern w:val="0"/>
                <w:sz w:val="22"/>
                <w:szCs w:val="22"/>
              </w:rPr>
              <w:t>黑色</w:t>
            </w:r>
          </w:p>
        </w:tc>
      </w:tr>
      <w:tr w14:paraId="101D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67E53A0">
            <w:pPr>
              <w:widowControl/>
              <w:rPr>
                <w:rFonts w:ascii="宋体" w:hAnsi="宋体"/>
                <w:color w:val="auto"/>
                <w:kern w:val="0"/>
                <w:sz w:val="22"/>
                <w:szCs w:val="22"/>
              </w:rPr>
            </w:pPr>
            <w:r>
              <w:rPr>
                <w:rFonts w:hint="eastAsia" w:ascii="宋体" w:hAnsi="宋体"/>
                <w:color w:val="auto"/>
                <w:kern w:val="0"/>
                <w:sz w:val="22"/>
                <w:szCs w:val="22"/>
              </w:rPr>
              <w:t>56</w:t>
            </w:r>
          </w:p>
        </w:tc>
        <w:tc>
          <w:tcPr>
            <w:tcW w:w="0" w:type="auto"/>
            <w:vMerge w:val="continue"/>
            <w:tcBorders>
              <w:top w:val="nil"/>
              <w:left w:val="single" w:color="auto" w:sz="4" w:space="0"/>
              <w:bottom w:val="single" w:color="auto" w:sz="4" w:space="0"/>
              <w:right w:val="single" w:color="auto" w:sz="4" w:space="0"/>
            </w:tcBorders>
            <w:vAlign w:val="center"/>
          </w:tcPr>
          <w:p w14:paraId="1ACD7310">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52E47A8">
            <w:pPr>
              <w:widowControl/>
              <w:jc w:val="left"/>
              <w:rPr>
                <w:rFonts w:ascii="宋体" w:hAnsi="宋体"/>
                <w:color w:val="auto"/>
                <w:kern w:val="0"/>
                <w:sz w:val="22"/>
                <w:szCs w:val="22"/>
              </w:rPr>
            </w:pPr>
            <w:r>
              <w:rPr>
                <w:rFonts w:hint="eastAsia" w:ascii="宋体" w:hAnsi="宋体"/>
                <w:color w:val="auto"/>
                <w:kern w:val="0"/>
                <w:sz w:val="22"/>
                <w:szCs w:val="22"/>
              </w:rPr>
              <w:t>键盘其他要求</w:t>
            </w:r>
          </w:p>
        </w:tc>
        <w:tc>
          <w:tcPr>
            <w:tcW w:w="2735" w:type="pct"/>
            <w:tcBorders>
              <w:top w:val="single" w:color="auto" w:sz="4" w:space="0"/>
              <w:left w:val="single" w:color="auto" w:sz="4" w:space="0"/>
              <w:bottom w:val="single" w:color="auto" w:sz="4" w:space="0"/>
              <w:right w:val="single" w:color="auto" w:sz="4" w:space="0"/>
            </w:tcBorders>
            <w:vAlign w:val="center"/>
          </w:tcPr>
          <w:p w14:paraId="3AC0302E">
            <w:pPr>
              <w:widowControl/>
              <w:rPr>
                <w:rFonts w:ascii="宋体" w:hAnsi="宋体"/>
                <w:color w:val="auto"/>
                <w:kern w:val="0"/>
                <w:sz w:val="22"/>
                <w:szCs w:val="22"/>
              </w:rPr>
            </w:pPr>
            <w:r>
              <w:rPr>
                <w:rFonts w:hint="eastAsia" w:ascii="宋体" w:hAnsi="宋体"/>
                <w:color w:val="auto"/>
                <w:kern w:val="0"/>
                <w:sz w:val="22"/>
                <w:szCs w:val="22"/>
              </w:rPr>
              <w:t>键盘外观结构、连接方式、主要功能、安全、电磁兼容性、可靠性应符合GB/T 14081的相关规定</w:t>
            </w:r>
          </w:p>
        </w:tc>
      </w:tr>
      <w:tr w14:paraId="0345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B3B3D02">
            <w:pPr>
              <w:widowControl/>
              <w:rPr>
                <w:rFonts w:ascii="宋体" w:hAnsi="宋体"/>
                <w:color w:val="auto"/>
                <w:kern w:val="0"/>
                <w:sz w:val="22"/>
                <w:szCs w:val="22"/>
              </w:rPr>
            </w:pPr>
            <w:r>
              <w:rPr>
                <w:rFonts w:hint="eastAsia" w:ascii="宋体" w:hAnsi="宋体"/>
                <w:color w:val="auto"/>
                <w:kern w:val="0"/>
                <w:sz w:val="22"/>
                <w:szCs w:val="22"/>
              </w:rPr>
              <w:t>57</w:t>
            </w:r>
          </w:p>
        </w:tc>
        <w:tc>
          <w:tcPr>
            <w:tcW w:w="0" w:type="auto"/>
            <w:vMerge w:val="continue"/>
            <w:tcBorders>
              <w:top w:val="nil"/>
              <w:left w:val="single" w:color="auto" w:sz="4" w:space="0"/>
              <w:bottom w:val="single" w:color="auto" w:sz="4" w:space="0"/>
              <w:right w:val="single" w:color="auto" w:sz="4" w:space="0"/>
            </w:tcBorders>
            <w:vAlign w:val="center"/>
          </w:tcPr>
          <w:p w14:paraId="5F55DE85">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620C9AAF">
            <w:pPr>
              <w:widowControl/>
              <w:jc w:val="left"/>
              <w:rPr>
                <w:rFonts w:ascii="宋体" w:hAnsi="宋体"/>
                <w:color w:val="auto"/>
                <w:kern w:val="0"/>
                <w:sz w:val="22"/>
                <w:szCs w:val="22"/>
              </w:rPr>
            </w:pPr>
            <w:r>
              <w:rPr>
                <w:rFonts w:hint="eastAsia" w:ascii="宋体" w:hAnsi="宋体"/>
                <w:color w:val="auto"/>
                <w:kern w:val="0"/>
                <w:sz w:val="22"/>
                <w:szCs w:val="22"/>
              </w:rPr>
              <w:t xml:space="preserve"> ▲鼠标连接方式</w:t>
            </w:r>
          </w:p>
        </w:tc>
        <w:tc>
          <w:tcPr>
            <w:tcW w:w="2735" w:type="pct"/>
            <w:tcBorders>
              <w:top w:val="single" w:color="auto" w:sz="4" w:space="0"/>
              <w:left w:val="single" w:color="auto" w:sz="4" w:space="0"/>
              <w:bottom w:val="single" w:color="auto" w:sz="4" w:space="0"/>
              <w:right w:val="single" w:color="auto" w:sz="4" w:space="0"/>
            </w:tcBorders>
            <w:vAlign w:val="center"/>
          </w:tcPr>
          <w:p w14:paraId="10F43435">
            <w:pPr>
              <w:widowControl/>
              <w:rPr>
                <w:rFonts w:ascii="宋体" w:hAnsi="宋体"/>
                <w:color w:val="auto"/>
                <w:kern w:val="0"/>
                <w:sz w:val="22"/>
                <w:szCs w:val="22"/>
              </w:rPr>
            </w:pPr>
            <w:r>
              <w:rPr>
                <w:rFonts w:hint="eastAsia" w:ascii="宋体" w:hAnsi="宋体"/>
                <w:color w:val="auto"/>
                <w:kern w:val="0"/>
                <w:sz w:val="22"/>
                <w:szCs w:val="22"/>
              </w:rPr>
              <w:t>有线</w:t>
            </w:r>
          </w:p>
        </w:tc>
      </w:tr>
      <w:tr w14:paraId="714F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06EC874">
            <w:pPr>
              <w:widowControl/>
              <w:rPr>
                <w:rFonts w:ascii="宋体" w:hAnsi="宋体"/>
                <w:color w:val="auto"/>
                <w:kern w:val="0"/>
                <w:sz w:val="22"/>
                <w:szCs w:val="22"/>
              </w:rPr>
            </w:pPr>
            <w:r>
              <w:rPr>
                <w:rFonts w:hint="eastAsia" w:ascii="宋体" w:hAnsi="宋体"/>
                <w:color w:val="auto"/>
                <w:kern w:val="0"/>
                <w:sz w:val="22"/>
                <w:szCs w:val="22"/>
              </w:rPr>
              <w:t>58</w:t>
            </w:r>
          </w:p>
        </w:tc>
        <w:tc>
          <w:tcPr>
            <w:tcW w:w="0" w:type="auto"/>
            <w:vMerge w:val="continue"/>
            <w:tcBorders>
              <w:top w:val="nil"/>
              <w:left w:val="single" w:color="auto" w:sz="4" w:space="0"/>
              <w:bottom w:val="single" w:color="auto" w:sz="4" w:space="0"/>
              <w:right w:val="single" w:color="auto" w:sz="4" w:space="0"/>
            </w:tcBorders>
            <w:vAlign w:val="center"/>
          </w:tcPr>
          <w:p w14:paraId="64589F05">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3767177">
            <w:pPr>
              <w:widowControl/>
              <w:jc w:val="left"/>
              <w:rPr>
                <w:rFonts w:ascii="宋体" w:hAnsi="宋体"/>
                <w:color w:val="auto"/>
                <w:kern w:val="0"/>
                <w:sz w:val="22"/>
                <w:szCs w:val="22"/>
              </w:rPr>
            </w:pPr>
            <w:r>
              <w:rPr>
                <w:rFonts w:hint="eastAsia" w:ascii="宋体" w:hAnsi="宋体"/>
                <w:color w:val="auto"/>
                <w:kern w:val="0"/>
                <w:sz w:val="22"/>
                <w:szCs w:val="22"/>
              </w:rPr>
              <w:t xml:space="preserve"> ▲有线鼠标连接线</w:t>
            </w:r>
          </w:p>
        </w:tc>
        <w:tc>
          <w:tcPr>
            <w:tcW w:w="2735" w:type="pct"/>
            <w:tcBorders>
              <w:top w:val="single" w:color="auto" w:sz="4" w:space="0"/>
              <w:left w:val="single" w:color="auto" w:sz="4" w:space="0"/>
              <w:bottom w:val="single" w:color="auto" w:sz="4" w:space="0"/>
              <w:right w:val="single" w:color="auto" w:sz="4" w:space="0"/>
            </w:tcBorders>
            <w:vAlign w:val="center"/>
          </w:tcPr>
          <w:p w14:paraId="32611FE5">
            <w:pPr>
              <w:widowControl/>
              <w:rPr>
                <w:rFonts w:ascii="宋体" w:hAnsi="宋体"/>
                <w:color w:val="auto"/>
                <w:kern w:val="0"/>
                <w:sz w:val="22"/>
                <w:szCs w:val="22"/>
              </w:rPr>
            </w:pPr>
            <w:r>
              <w:rPr>
                <w:rFonts w:hint="eastAsia" w:ascii="宋体" w:hAnsi="宋体"/>
                <w:color w:val="auto"/>
                <w:kern w:val="0"/>
                <w:sz w:val="22"/>
                <w:szCs w:val="22"/>
              </w:rPr>
              <w:t>≥1.5米</w:t>
            </w:r>
          </w:p>
        </w:tc>
      </w:tr>
      <w:tr w14:paraId="4EE2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F42F1DE">
            <w:pPr>
              <w:widowControl/>
              <w:rPr>
                <w:rFonts w:ascii="宋体" w:hAnsi="宋体"/>
                <w:color w:val="auto"/>
                <w:kern w:val="0"/>
                <w:sz w:val="22"/>
                <w:szCs w:val="22"/>
              </w:rPr>
            </w:pPr>
            <w:r>
              <w:rPr>
                <w:rFonts w:hint="eastAsia" w:ascii="宋体" w:hAnsi="宋体"/>
                <w:color w:val="auto"/>
                <w:kern w:val="0"/>
                <w:sz w:val="22"/>
                <w:szCs w:val="22"/>
              </w:rPr>
              <w:t>59</w:t>
            </w:r>
          </w:p>
        </w:tc>
        <w:tc>
          <w:tcPr>
            <w:tcW w:w="0" w:type="auto"/>
            <w:vMerge w:val="continue"/>
            <w:tcBorders>
              <w:top w:val="nil"/>
              <w:left w:val="single" w:color="auto" w:sz="4" w:space="0"/>
              <w:bottom w:val="single" w:color="auto" w:sz="4" w:space="0"/>
              <w:right w:val="single" w:color="auto" w:sz="4" w:space="0"/>
            </w:tcBorders>
            <w:vAlign w:val="center"/>
          </w:tcPr>
          <w:p w14:paraId="28FF8302">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30E1CA0">
            <w:pPr>
              <w:widowControl/>
              <w:jc w:val="left"/>
              <w:rPr>
                <w:rFonts w:ascii="宋体" w:hAnsi="宋体"/>
                <w:color w:val="auto"/>
                <w:kern w:val="0"/>
                <w:sz w:val="22"/>
                <w:szCs w:val="22"/>
              </w:rPr>
            </w:pPr>
            <w:r>
              <w:rPr>
                <w:rFonts w:hint="eastAsia" w:ascii="宋体" w:hAnsi="宋体"/>
                <w:color w:val="auto"/>
                <w:kern w:val="0"/>
                <w:sz w:val="22"/>
                <w:szCs w:val="22"/>
              </w:rPr>
              <w:t xml:space="preserve"> ▲鼠标DPI 分辨率</w:t>
            </w:r>
          </w:p>
        </w:tc>
        <w:tc>
          <w:tcPr>
            <w:tcW w:w="2735" w:type="pct"/>
            <w:tcBorders>
              <w:top w:val="single" w:color="auto" w:sz="4" w:space="0"/>
              <w:left w:val="single" w:color="auto" w:sz="4" w:space="0"/>
              <w:bottom w:val="single" w:color="auto" w:sz="4" w:space="0"/>
              <w:right w:val="single" w:color="auto" w:sz="4" w:space="0"/>
            </w:tcBorders>
            <w:vAlign w:val="center"/>
          </w:tcPr>
          <w:p w14:paraId="0236ED86">
            <w:pPr>
              <w:widowControl/>
              <w:rPr>
                <w:rFonts w:ascii="宋体" w:hAnsi="宋体"/>
                <w:color w:val="auto"/>
                <w:kern w:val="0"/>
                <w:sz w:val="22"/>
                <w:szCs w:val="22"/>
              </w:rPr>
            </w:pPr>
            <w:r>
              <w:rPr>
                <w:rFonts w:hint="eastAsia" w:ascii="宋体" w:hAnsi="宋体"/>
                <w:color w:val="auto"/>
                <w:kern w:val="0"/>
                <w:sz w:val="22"/>
                <w:szCs w:val="22"/>
              </w:rPr>
              <w:t>800~1600</w:t>
            </w:r>
          </w:p>
        </w:tc>
      </w:tr>
      <w:tr w14:paraId="7605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85B3CE2">
            <w:pPr>
              <w:widowControl/>
              <w:rPr>
                <w:rFonts w:ascii="宋体" w:hAnsi="宋体"/>
                <w:color w:val="auto"/>
                <w:kern w:val="0"/>
                <w:sz w:val="22"/>
                <w:szCs w:val="22"/>
              </w:rPr>
            </w:pPr>
            <w:r>
              <w:rPr>
                <w:rFonts w:hint="eastAsia" w:ascii="宋体" w:hAnsi="宋体"/>
                <w:color w:val="auto"/>
                <w:kern w:val="0"/>
                <w:sz w:val="22"/>
                <w:szCs w:val="22"/>
              </w:rPr>
              <w:t>60</w:t>
            </w:r>
          </w:p>
        </w:tc>
        <w:tc>
          <w:tcPr>
            <w:tcW w:w="0" w:type="auto"/>
            <w:vMerge w:val="continue"/>
            <w:tcBorders>
              <w:top w:val="nil"/>
              <w:left w:val="single" w:color="auto" w:sz="4" w:space="0"/>
              <w:bottom w:val="single" w:color="auto" w:sz="4" w:space="0"/>
              <w:right w:val="single" w:color="auto" w:sz="4" w:space="0"/>
            </w:tcBorders>
            <w:vAlign w:val="center"/>
          </w:tcPr>
          <w:p w14:paraId="066D9CF5">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457C526D">
            <w:pPr>
              <w:widowControl/>
              <w:jc w:val="left"/>
              <w:rPr>
                <w:rFonts w:ascii="宋体" w:hAnsi="宋体"/>
                <w:color w:val="auto"/>
                <w:kern w:val="0"/>
                <w:sz w:val="22"/>
                <w:szCs w:val="22"/>
              </w:rPr>
            </w:pPr>
            <w:r>
              <w:rPr>
                <w:rFonts w:hint="eastAsia" w:ascii="宋体" w:hAnsi="宋体"/>
                <w:color w:val="auto"/>
                <w:kern w:val="0"/>
                <w:sz w:val="22"/>
                <w:szCs w:val="22"/>
              </w:rPr>
              <w:t xml:space="preserve"> ▲鼠标颜色</w:t>
            </w:r>
          </w:p>
        </w:tc>
        <w:tc>
          <w:tcPr>
            <w:tcW w:w="2735" w:type="pct"/>
            <w:tcBorders>
              <w:top w:val="single" w:color="auto" w:sz="4" w:space="0"/>
              <w:left w:val="single" w:color="auto" w:sz="4" w:space="0"/>
              <w:bottom w:val="single" w:color="auto" w:sz="4" w:space="0"/>
              <w:right w:val="single" w:color="auto" w:sz="4" w:space="0"/>
            </w:tcBorders>
            <w:vAlign w:val="center"/>
          </w:tcPr>
          <w:p w14:paraId="4F68D499">
            <w:pPr>
              <w:widowControl/>
              <w:rPr>
                <w:rFonts w:ascii="宋体" w:hAnsi="宋体"/>
                <w:color w:val="auto"/>
                <w:kern w:val="0"/>
                <w:sz w:val="22"/>
                <w:szCs w:val="22"/>
              </w:rPr>
            </w:pPr>
            <w:r>
              <w:rPr>
                <w:rFonts w:hint="eastAsia" w:ascii="宋体" w:hAnsi="宋体"/>
                <w:color w:val="auto"/>
                <w:kern w:val="0"/>
                <w:sz w:val="22"/>
                <w:szCs w:val="22"/>
              </w:rPr>
              <w:t>黑色 / 银色 / 白色等商务色系</w:t>
            </w:r>
          </w:p>
        </w:tc>
      </w:tr>
      <w:tr w14:paraId="1523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00A2D45">
            <w:pPr>
              <w:widowControl/>
              <w:rPr>
                <w:rFonts w:ascii="宋体" w:hAnsi="宋体"/>
                <w:color w:val="auto"/>
                <w:kern w:val="0"/>
                <w:sz w:val="22"/>
                <w:szCs w:val="22"/>
              </w:rPr>
            </w:pPr>
            <w:r>
              <w:rPr>
                <w:rFonts w:hint="eastAsia" w:ascii="宋体" w:hAnsi="宋体"/>
                <w:color w:val="auto"/>
                <w:kern w:val="0"/>
                <w:sz w:val="22"/>
                <w:szCs w:val="22"/>
              </w:rPr>
              <w:t>61</w:t>
            </w:r>
          </w:p>
        </w:tc>
        <w:tc>
          <w:tcPr>
            <w:tcW w:w="0" w:type="auto"/>
            <w:vMerge w:val="continue"/>
            <w:tcBorders>
              <w:top w:val="nil"/>
              <w:left w:val="single" w:color="auto" w:sz="4" w:space="0"/>
              <w:bottom w:val="single" w:color="auto" w:sz="4" w:space="0"/>
              <w:right w:val="single" w:color="auto" w:sz="4" w:space="0"/>
            </w:tcBorders>
            <w:vAlign w:val="center"/>
          </w:tcPr>
          <w:p w14:paraId="5D2647C9">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4B26231B">
            <w:pPr>
              <w:widowControl/>
              <w:jc w:val="left"/>
              <w:rPr>
                <w:rFonts w:ascii="宋体" w:hAnsi="宋体"/>
                <w:color w:val="auto"/>
                <w:kern w:val="0"/>
                <w:sz w:val="22"/>
                <w:szCs w:val="22"/>
              </w:rPr>
            </w:pPr>
            <w:r>
              <w:rPr>
                <w:rFonts w:hint="eastAsia" w:ascii="宋体" w:hAnsi="宋体"/>
                <w:color w:val="auto"/>
                <w:kern w:val="0"/>
                <w:sz w:val="22"/>
                <w:szCs w:val="22"/>
              </w:rPr>
              <w:t xml:space="preserve"> ▲鼠标其他要求</w:t>
            </w:r>
          </w:p>
        </w:tc>
        <w:tc>
          <w:tcPr>
            <w:tcW w:w="2735" w:type="pct"/>
            <w:tcBorders>
              <w:top w:val="single" w:color="auto" w:sz="4" w:space="0"/>
              <w:left w:val="single" w:color="auto" w:sz="4" w:space="0"/>
              <w:bottom w:val="single" w:color="auto" w:sz="4" w:space="0"/>
              <w:right w:val="single" w:color="auto" w:sz="4" w:space="0"/>
            </w:tcBorders>
            <w:vAlign w:val="center"/>
          </w:tcPr>
          <w:p w14:paraId="38A6B676">
            <w:pPr>
              <w:widowControl/>
              <w:rPr>
                <w:rFonts w:ascii="宋体" w:hAnsi="宋体"/>
                <w:color w:val="auto"/>
                <w:kern w:val="0"/>
                <w:sz w:val="22"/>
                <w:szCs w:val="22"/>
              </w:rPr>
            </w:pPr>
            <w:r>
              <w:rPr>
                <w:rFonts w:hint="eastAsia" w:ascii="宋体" w:hAnsi="宋体"/>
                <w:color w:val="auto"/>
                <w:kern w:val="0"/>
                <w:sz w:val="22"/>
                <w:szCs w:val="22"/>
              </w:rPr>
              <w:t>其它参数应符合GB/T 26245的相关规定</w:t>
            </w:r>
          </w:p>
        </w:tc>
      </w:tr>
      <w:tr w14:paraId="1896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92666BB">
            <w:pPr>
              <w:widowControl/>
              <w:rPr>
                <w:rFonts w:ascii="宋体" w:hAnsi="宋体"/>
                <w:color w:val="auto"/>
                <w:kern w:val="0"/>
                <w:sz w:val="22"/>
                <w:szCs w:val="22"/>
              </w:rPr>
            </w:pPr>
            <w:r>
              <w:rPr>
                <w:rFonts w:hint="eastAsia" w:ascii="宋体" w:hAnsi="宋体"/>
                <w:color w:val="auto"/>
                <w:kern w:val="0"/>
                <w:sz w:val="22"/>
                <w:szCs w:val="22"/>
              </w:rPr>
              <w:t>62</w:t>
            </w:r>
          </w:p>
        </w:tc>
        <w:tc>
          <w:tcPr>
            <w:tcW w:w="0" w:type="auto"/>
            <w:vMerge w:val="continue"/>
            <w:tcBorders>
              <w:top w:val="nil"/>
              <w:left w:val="single" w:color="auto" w:sz="4" w:space="0"/>
              <w:bottom w:val="single" w:color="auto" w:sz="4" w:space="0"/>
              <w:right w:val="single" w:color="auto" w:sz="4" w:space="0"/>
            </w:tcBorders>
            <w:vAlign w:val="center"/>
          </w:tcPr>
          <w:p w14:paraId="7B4C5AEF">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12A0C50">
            <w:pPr>
              <w:widowControl/>
              <w:jc w:val="left"/>
              <w:rPr>
                <w:rFonts w:ascii="宋体" w:hAnsi="宋体"/>
                <w:color w:val="auto"/>
                <w:kern w:val="0"/>
                <w:sz w:val="22"/>
                <w:szCs w:val="22"/>
              </w:rPr>
            </w:pPr>
            <w:r>
              <w:rPr>
                <w:rFonts w:hint="eastAsia" w:ascii="宋体" w:hAnsi="宋体"/>
                <w:color w:val="auto"/>
                <w:kern w:val="0"/>
                <w:sz w:val="22"/>
                <w:szCs w:val="22"/>
              </w:rPr>
              <w:t>内置光驱</w:t>
            </w:r>
          </w:p>
        </w:tc>
        <w:tc>
          <w:tcPr>
            <w:tcW w:w="2735" w:type="pct"/>
            <w:tcBorders>
              <w:top w:val="single" w:color="auto" w:sz="4" w:space="0"/>
              <w:left w:val="single" w:color="auto" w:sz="4" w:space="0"/>
              <w:bottom w:val="single" w:color="auto" w:sz="4" w:space="0"/>
              <w:right w:val="single" w:color="auto" w:sz="4" w:space="0"/>
            </w:tcBorders>
            <w:vAlign w:val="center"/>
          </w:tcPr>
          <w:p w14:paraId="2BC3DB0B">
            <w:pPr>
              <w:widowControl/>
              <w:rPr>
                <w:rFonts w:ascii="宋体" w:hAnsi="宋体"/>
                <w:color w:val="auto"/>
                <w:kern w:val="0"/>
                <w:sz w:val="22"/>
                <w:szCs w:val="22"/>
              </w:rPr>
            </w:pPr>
            <w:r>
              <w:rPr>
                <w:rFonts w:hint="eastAsia" w:ascii="宋体" w:hAnsi="宋体"/>
                <w:color w:val="auto"/>
                <w:kern w:val="0"/>
                <w:sz w:val="22"/>
                <w:szCs w:val="22"/>
              </w:rPr>
              <w:t>无要求</w:t>
            </w:r>
          </w:p>
        </w:tc>
      </w:tr>
      <w:tr w14:paraId="600C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E1B6C6B">
            <w:pPr>
              <w:widowControl/>
              <w:rPr>
                <w:rFonts w:ascii="宋体" w:hAnsi="宋体"/>
                <w:color w:val="auto"/>
                <w:kern w:val="0"/>
                <w:sz w:val="22"/>
                <w:szCs w:val="22"/>
              </w:rPr>
            </w:pPr>
            <w:r>
              <w:rPr>
                <w:rFonts w:hint="eastAsia" w:ascii="宋体" w:hAnsi="宋体"/>
                <w:color w:val="auto"/>
                <w:kern w:val="0"/>
                <w:sz w:val="22"/>
                <w:szCs w:val="22"/>
              </w:rPr>
              <w:t>63</w:t>
            </w:r>
          </w:p>
        </w:tc>
        <w:tc>
          <w:tcPr>
            <w:tcW w:w="807" w:type="pct"/>
            <w:vMerge w:val="restart"/>
            <w:tcBorders>
              <w:top w:val="nil"/>
              <w:left w:val="single" w:color="auto" w:sz="4" w:space="0"/>
              <w:bottom w:val="single" w:color="auto" w:sz="4" w:space="0"/>
              <w:right w:val="single" w:color="auto" w:sz="4" w:space="0"/>
            </w:tcBorders>
            <w:vAlign w:val="center"/>
          </w:tcPr>
          <w:p w14:paraId="5E8EC951">
            <w:pPr>
              <w:widowControl/>
              <w:rPr>
                <w:rFonts w:ascii="宋体" w:hAnsi="宋体"/>
                <w:color w:val="auto"/>
                <w:kern w:val="0"/>
                <w:sz w:val="22"/>
                <w:szCs w:val="22"/>
              </w:rPr>
            </w:pPr>
            <w:r>
              <w:rPr>
                <w:rFonts w:hint="eastAsia" w:ascii="宋体" w:hAnsi="宋体"/>
                <w:color w:val="auto"/>
                <w:kern w:val="0"/>
                <w:sz w:val="22"/>
                <w:szCs w:val="22"/>
              </w:rPr>
              <w:t>▲网络设备规格</w:t>
            </w:r>
          </w:p>
        </w:tc>
        <w:tc>
          <w:tcPr>
            <w:tcW w:w="1096" w:type="pct"/>
            <w:tcBorders>
              <w:top w:val="single" w:color="auto" w:sz="4" w:space="0"/>
              <w:left w:val="single" w:color="auto" w:sz="4" w:space="0"/>
              <w:bottom w:val="single" w:color="auto" w:sz="4" w:space="0"/>
              <w:right w:val="single" w:color="auto" w:sz="4" w:space="0"/>
            </w:tcBorders>
            <w:vAlign w:val="center"/>
          </w:tcPr>
          <w:p w14:paraId="30C36959">
            <w:pPr>
              <w:widowControl/>
              <w:jc w:val="left"/>
              <w:rPr>
                <w:rFonts w:ascii="宋体" w:hAnsi="宋体"/>
                <w:color w:val="auto"/>
                <w:kern w:val="0"/>
                <w:sz w:val="22"/>
                <w:szCs w:val="22"/>
              </w:rPr>
            </w:pPr>
            <w:r>
              <w:rPr>
                <w:rFonts w:hint="eastAsia" w:ascii="宋体" w:hAnsi="宋体"/>
                <w:color w:val="auto"/>
                <w:kern w:val="0"/>
                <w:sz w:val="22"/>
                <w:szCs w:val="22"/>
              </w:rPr>
              <w:t xml:space="preserve"> ▲有线网卡数量</w:t>
            </w:r>
          </w:p>
        </w:tc>
        <w:tc>
          <w:tcPr>
            <w:tcW w:w="2735" w:type="pct"/>
            <w:tcBorders>
              <w:top w:val="single" w:color="auto" w:sz="4" w:space="0"/>
              <w:left w:val="single" w:color="auto" w:sz="4" w:space="0"/>
              <w:bottom w:val="single" w:color="auto" w:sz="4" w:space="0"/>
              <w:right w:val="single" w:color="auto" w:sz="4" w:space="0"/>
            </w:tcBorders>
            <w:vAlign w:val="center"/>
          </w:tcPr>
          <w:p w14:paraId="63EAEC8F">
            <w:pPr>
              <w:widowControl/>
              <w:rPr>
                <w:rFonts w:ascii="宋体" w:hAnsi="宋体"/>
                <w:color w:val="auto"/>
                <w:kern w:val="0"/>
                <w:sz w:val="22"/>
                <w:szCs w:val="22"/>
              </w:rPr>
            </w:pPr>
            <w:r>
              <w:rPr>
                <w:rFonts w:hint="eastAsia" w:ascii="宋体" w:hAnsi="宋体"/>
                <w:color w:val="auto"/>
                <w:kern w:val="0"/>
                <w:sz w:val="22"/>
                <w:szCs w:val="22"/>
              </w:rPr>
              <w:t>≥1</w:t>
            </w:r>
          </w:p>
        </w:tc>
      </w:tr>
      <w:tr w14:paraId="17B6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D0703C6">
            <w:pPr>
              <w:widowControl/>
              <w:rPr>
                <w:rFonts w:ascii="宋体" w:hAnsi="宋体"/>
                <w:color w:val="auto"/>
                <w:kern w:val="0"/>
                <w:sz w:val="22"/>
                <w:szCs w:val="22"/>
              </w:rPr>
            </w:pPr>
            <w:r>
              <w:rPr>
                <w:rFonts w:hint="eastAsia" w:ascii="宋体" w:hAnsi="宋体"/>
                <w:color w:val="auto"/>
                <w:kern w:val="0"/>
                <w:sz w:val="22"/>
                <w:szCs w:val="22"/>
              </w:rPr>
              <w:t>64</w:t>
            </w:r>
          </w:p>
        </w:tc>
        <w:tc>
          <w:tcPr>
            <w:tcW w:w="0" w:type="auto"/>
            <w:vMerge w:val="continue"/>
            <w:tcBorders>
              <w:top w:val="nil"/>
              <w:left w:val="single" w:color="auto" w:sz="4" w:space="0"/>
              <w:bottom w:val="single" w:color="auto" w:sz="4" w:space="0"/>
              <w:right w:val="single" w:color="auto" w:sz="4" w:space="0"/>
            </w:tcBorders>
            <w:vAlign w:val="center"/>
          </w:tcPr>
          <w:p w14:paraId="7CFB9AAD">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8A9DD82">
            <w:pPr>
              <w:widowControl/>
              <w:jc w:val="left"/>
              <w:rPr>
                <w:rFonts w:ascii="宋体" w:hAnsi="宋体"/>
                <w:color w:val="auto"/>
                <w:kern w:val="0"/>
                <w:sz w:val="22"/>
                <w:szCs w:val="22"/>
              </w:rPr>
            </w:pPr>
            <w:r>
              <w:rPr>
                <w:rFonts w:hint="eastAsia" w:ascii="宋体" w:hAnsi="宋体"/>
                <w:color w:val="auto"/>
                <w:kern w:val="0"/>
                <w:sz w:val="22"/>
                <w:szCs w:val="22"/>
              </w:rPr>
              <w:t>无线网卡及天线数量</w:t>
            </w:r>
          </w:p>
        </w:tc>
        <w:tc>
          <w:tcPr>
            <w:tcW w:w="2735" w:type="pct"/>
            <w:tcBorders>
              <w:top w:val="single" w:color="auto" w:sz="4" w:space="0"/>
              <w:left w:val="single" w:color="auto" w:sz="4" w:space="0"/>
              <w:bottom w:val="single" w:color="auto" w:sz="4" w:space="0"/>
              <w:right w:val="single" w:color="auto" w:sz="4" w:space="0"/>
            </w:tcBorders>
            <w:vAlign w:val="center"/>
          </w:tcPr>
          <w:p w14:paraId="6FC8979B">
            <w:pPr>
              <w:widowControl/>
              <w:rPr>
                <w:rFonts w:ascii="宋体" w:hAnsi="宋体"/>
                <w:color w:val="auto"/>
                <w:kern w:val="0"/>
                <w:sz w:val="22"/>
                <w:szCs w:val="22"/>
              </w:rPr>
            </w:pPr>
            <w:r>
              <w:rPr>
                <w:rFonts w:hint="eastAsia" w:ascii="宋体" w:hAnsi="宋体"/>
                <w:color w:val="auto"/>
                <w:kern w:val="0"/>
                <w:sz w:val="22"/>
                <w:szCs w:val="22"/>
              </w:rPr>
              <w:t>≥0</w:t>
            </w:r>
          </w:p>
        </w:tc>
      </w:tr>
      <w:tr w14:paraId="3546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138718B">
            <w:pPr>
              <w:widowControl/>
              <w:rPr>
                <w:rFonts w:ascii="宋体" w:hAnsi="宋体"/>
                <w:color w:val="auto"/>
                <w:kern w:val="0"/>
                <w:sz w:val="22"/>
                <w:szCs w:val="22"/>
              </w:rPr>
            </w:pPr>
            <w:r>
              <w:rPr>
                <w:rFonts w:hint="eastAsia" w:ascii="宋体" w:hAnsi="宋体"/>
                <w:color w:val="auto"/>
                <w:kern w:val="0"/>
                <w:sz w:val="22"/>
                <w:szCs w:val="22"/>
              </w:rPr>
              <w:t>65</w:t>
            </w:r>
          </w:p>
        </w:tc>
        <w:tc>
          <w:tcPr>
            <w:tcW w:w="0" w:type="auto"/>
            <w:vMerge w:val="continue"/>
            <w:tcBorders>
              <w:top w:val="nil"/>
              <w:left w:val="single" w:color="auto" w:sz="4" w:space="0"/>
              <w:bottom w:val="single" w:color="auto" w:sz="4" w:space="0"/>
              <w:right w:val="single" w:color="auto" w:sz="4" w:space="0"/>
            </w:tcBorders>
            <w:vAlign w:val="center"/>
          </w:tcPr>
          <w:p w14:paraId="00D71D28">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085D3164">
            <w:pPr>
              <w:widowControl/>
              <w:jc w:val="left"/>
              <w:rPr>
                <w:rFonts w:ascii="宋体" w:hAnsi="宋体"/>
                <w:color w:val="auto"/>
                <w:kern w:val="0"/>
                <w:sz w:val="22"/>
                <w:szCs w:val="22"/>
              </w:rPr>
            </w:pPr>
            <w:r>
              <w:rPr>
                <w:rFonts w:hint="eastAsia" w:ascii="宋体" w:hAnsi="宋体"/>
                <w:color w:val="auto"/>
                <w:kern w:val="0"/>
                <w:sz w:val="22"/>
                <w:szCs w:val="22"/>
              </w:rPr>
              <w:t>单无线网卡天线数量</w:t>
            </w:r>
          </w:p>
        </w:tc>
        <w:tc>
          <w:tcPr>
            <w:tcW w:w="2735" w:type="pct"/>
            <w:tcBorders>
              <w:top w:val="single" w:color="auto" w:sz="4" w:space="0"/>
              <w:left w:val="single" w:color="auto" w:sz="4" w:space="0"/>
              <w:bottom w:val="single" w:color="auto" w:sz="4" w:space="0"/>
              <w:right w:val="single" w:color="auto" w:sz="4" w:space="0"/>
            </w:tcBorders>
            <w:vAlign w:val="center"/>
          </w:tcPr>
          <w:p w14:paraId="672B37F2">
            <w:pPr>
              <w:widowControl/>
              <w:rPr>
                <w:rFonts w:ascii="宋体" w:hAnsi="宋体"/>
                <w:color w:val="auto"/>
                <w:kern w:val="0"/>
                <w:sz w:val="22"/>
                <w:szCs w:val="22"/>
              </w:rPr>
            </w:pPr>
            <w:r>
              <w:rPr>
                <w:rFonts w:hint="eastAsia" w:ascii="宋体" w:hAnsi="宋体"/>
                <w:color w:val="auto"/>
                <w:kern w:val="0"/>
                <w:sz w:val="22"/>
                <w:szCs w:val="22"/>
              </w:rPr>
              <w:t>≥0</w:t>
            </w:r>
          </w:p>
        </w:tc>
      </w:tr>
      <w:tr w14:paraId="7D9B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46051AF">
            <w:pPr>
              <w:widowControl/>
              <w:rPr>
                <w:rFonts w:ascii="宋体" w:hAnsi="宋体"/>
                <w:color w:val="auto"/>
                <w:kern w:val="0"/>
                <w:sz w:val="22"/>
                <w:szCs w:val="22"/>
              </w:rPr>
            </w:pPr>
            <w:r>
              <w:rPr>
                <w:rFonts w:hint="eastAsia" w:ascii="宋体" w:hAnsi="宋体"/>
                <w:color w:val="auto"/>
                <w:kern w:val="0"/>
                <w:sz w:val="22"/>
                <w:szCs w:val="22"/>
              </w:rPr>
              <w:t>66</w:t>
            </w:r>
          </w:p>
        </w:tc>
        <w:tc>
          <w:tcPr>
            <w:tcW w:w="807" w:type="pct"/>
            <w:vMerge w:val="restart"/>
            <w:tcBorders>
              <w:top w:val="nil"/>
              <w:left w:val="single" w:color="auto" w:sz="4" w:space="0"/>
              <w:bottom w:val="single" w:color="auto" w:sz="4" w:space="0"/>
              <w:right w:val="single" w:color="auto" w:sz="4" w:space="0"/>
            </w:tcBorders>
            <w:vAlign w:val="center"/>
          </w:tcPr>
          <w:p w14:paraId="6D2F8D8F">
            <w:pPr>
              <w:widowControl/>
              <w:rPr>
                <w:rFonts w:ascii="宋体" w:hAnsi="宋体"/>
                <w:color w:val="auto"/>
                <w:kern w:val="0"/>
                <w:sz w:val="22"/>
                <w:szCs w:val="22"/>
              </w:rPr>
            </w:pPr>
            <w:r>
              <w:rPr>
                <w:rFonts w:hint="eastAsia" w:ascii="宋体" w:hAnsi="宋体"/>
                <w:color w:val="auto"/>
                <w:kern w:val="0"/>
                <w:sz w:val="22"/>
                <w:szCs w:val="22"/>
              </w:rPr>
              <w:t>▲外部接口规格</w:t>
            </w:r>
          </w:p>
        </w:tc>
        <w:tc>
          <w:tcPr>
            <w:tcW w:w="1096" w:type="pct"/>
            <w:tcBorders>
              <w:top w:val="single" w:color="auto" w:sz="4" w:space="0"/>
              <w:left w:val="single" w:color="auto" w:sz="4" w:space="0"/>
              <w:bottom w:val="single" w:color="auto" w:sz="4" w:space="0"/>
              <w:right w:val="single" w:color="auto" w:sz="4" w:space="0"/>
            </w:tcBorders>
            <w:vAlign w:val="center"/>
          </w:tcPr>
          <w:p w14:paraId="720BCF11">
            <w:pPr>
              <w:widowControl/>
              <w:jc w:val="left"/>
              <w:rPr>
                <w:rFonts w:ascii="宋体" w:hAnsi="宋体"/>
                <w:color w:val="auto"/>
                <w:kern w:val="0"/>
                <w:sz w:val="22"/>
                <w:szCs w:val="22"/>
              </w:rPr>
            </w:pPr>
            <w:r>
              <w:rPr>
                <w:rFonts w:hint="eastAsia" w:ascii="宋体" w:hAnsi="宋体"/>
                <w:color w:val="auto"/>
                <w:kern w:val="0"/>
                <w:sz w:val="22"/>
                <w:szCs w:val="22"/>
              </w:rPr>
              <w:t>▲USB接口数量</w:t>
            </w:r>
          </w:p>
        </w:tc>
        <w:tc>
          <w:tcPr>
            <w:tcW w:w="2735" w:type="pct"/>
            <w:tcBorders>
              <w:top w:val="single" w:color="auto" w:sz="4" w:space="0"/>
              <w:left w:val="single" w:color="auto" w:sz="4" w:space="0"/>
              <w:bottom w:val="single" w:color="auto" w:sz="4" w:space="0"/>
              <w:right w:val="single" w:color="auto" w:sz="4" w:space="0"/>
            </w:tcBorders>
            <w:vAlign w:val="center"/>
          </w:tcPr>
          <w:p w14:paraId="35A6A414">
            <w:pPr>
              <w:widowControl/>
              <w:rPr>
                <w:rFonts w:ascii="宋体" w:hAnsi="宋体"/>
                <w:color w:val="auto"/>
                <w:kern w:val="0"/>
                <w:sz w:val="22"/>
                <w:szCs w:val="22"/>
              </w:rPr>
            </w:pPr>
            <w:r>
              <w:rPr>
                <w:rFonts w:hint="eastAsia" w:ascii="宋体" w:hAnsi="宋体"/>
                <w:color w:val="auto"/>
                <w:kern w:val="0"/>
                <w:sz w:val="22"/>
                <w:szCs w:val="22"/>
              </w:rPr>
              <w:t>前置端口：≥ 3 个 USB Type-A 10Gbps端口，1 个 USB Type-C 10Gbps 端口</w:t>
            </w:r>
          </w:p>
          <w:p w14:paraId="0AC06407">
            <w:pPr>
              <w:widowControl/>
              <w:rPr>
                <w:rFonts w:ascii="Calibri" w:hAnsi="Calibri"/>
                <w:color w:val="auto"/>
                <w:sz w:val="22"/>
                <w:szCs w:val="22"/>
              </w:rPr>
            </w:pPr>
            <w:r>
              <w:rPr>
                <w:rFonts w:hint="eastAsia" w:ascii="宋体" w:hAnsi="宋体"/>
                <w:color w:val="auto"/>
                <w:kern w:val="0"/>
                <w:sz w:val="22"/>
                <w:szCs w:val="22"/>
              </w:rPr>
              <w:t>后置端口：≥3 个 USB Type-A 5Gbps端口，2 个 USB Type-A 480 Mbps端口</w:t>
            </w:r>
          </w:p>
        </w:tc>
      </w:tr>
      <w:tr w14:paraId="7536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E8FF218">
            <w:pPr>
              <w:widowControl/>
              <w:rPr>
                <w:rFonts w:ascii="宋体" w:hAnsi="宋体"/>
                <w:color w:val="auto"/>
                <w:kern w:val="0"/>
                <w:sz w:val="22"/>
                <w:szCs w:val="22"/>
              </w:rPr>
            </w:pPr>
            <w:r>
              <w:rPr>
                <w:rFonts w:hint="eastAsia" w:ascii="宋体" w:hAnsi="宋体"/>
                <w:color w:val="auto"/>
                <w:kern w:val="0"/>
                <w:sz w:val="22"/>
                <w:szCs w:val="22"/>
              </w:rPr>
              <w:t>67</w:t>
            </w:r>
          </w:p>
        </w:tc>
        <w:tc>
          <w:tcPr>
            <w:tcW w:w="0" w:type="auto"/>
            <w:vMerge w:val="continue"/>
            <w:tcBorders>
              <w:top w:val="nil"/>
              <w:left w:val="single" w:color="auto" w:sz="4" w:space="0"/>
              <w:bottom w:val="single" w:color="auto" w:sz="4" w:space="0"/>
              <w:right w:val="single" w:color="auto" w:sz="4" w:space="0"/>
            </w:tcBorders>
            <w:vAlign w:val="center"/>
          </w:tcPr>
          <w:p w14:paraId="51576590">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691536D6">
            <w:pPr>
              <w:widowControl/>
              <w:jc w:val="left"/>
              <w:rPr>
                <w:rFonts w:ascii="宋体" w:hAnsi="宋体"/>
                <w:color w:val="auto"/>
                <w:kern w:val="0"/>
                <w:sz w:val="22"/>
                <w:szCs w:val="22"/>
              </w:rPr>
            </w:pPr>
            <w:r>
              <w:rPr>
                <w:rFonts w:hint="eastAsia" w:ascii="宋体" w:hAnsi="宋体"/>
                <w:color w:val="auto"/>
                <w:kern w:val="0"/>
                <w:sz w:val="22"/>
                <w:szCs w:val="22"/>
              </w:rPr>
              <w:t>USB母座接口要求</w:t>
            </w:r>
          </w:p>
        </w:tc>
        <w:tc>
          <w:tcPr>
            <w:tcW w:w="2735" w:type="pct"/>
            <w:tcBorders>
              <w:top w:val="single" w:color="auto" w:sz="4" w:space="0"/>
              <w:left w:val="single" w:color="auto" w:sz="4" w:space="0"/>
              <w:bottom w:val="single" w:color="auto" w:sz="4" w:space="0"/>
              <w:right w:val="single" w:color="auto" w:sz="4" w:space="0"/>
            </w:tcBorders>
            <w:vAlign w:val="center"/>
          </w:tcPr>
          <w:p w14:paraId="726737D3">
            <w:pPr>
              <w:widowControl/>
              <w:rPr>
                <w:rFonts w:ascii="宋体" w:hAnsi="宋体"/>
                <w:color w:val="auto"/>
                <w:kern w:val="0"/>
                <w:sz w:val="22"/>
                <w:szCs w:val="22"/>
              </w:rPr>
            </w:pPr>
            <w:r>
              <w:rPr>
                <w:rFonts w:hint="eastAsia" w:ascii="宋体" w:hAnsi="宋体"/>
                <w:color w:val="auto"/>
                <w:kern w:val="0"/>
                <w:sz w:val="22"/>
                <w:szCs w:val="22"/>
              </w:rPr>
              <w:t>/</w:t>
            </w:r>
          </w:p>
        </w:tc>
      </w:tr>
      <w:tr w14:paraId="32B1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C80CE7E">
            <w:pPr>
              <w:widowControl/>
              <w:rPr>
                <w:rFonts w:ascii="宋体" w:hAnsi="宋体"/>
                <w:color w:val="auto"/>
                <w:kern w:val="0"/>
                <w:sz w:val="22"/>
                <w:szCs w:val="22"/>
              </w:rPr>
            </w:pPr>
            <w:r>
              <w:rPr>
                <w:rFonts w:hint="eastAsia" w:ascii="宋体" w:hAnsi="宋体"/>
                <w:color w:val="auto"/>
                <w:kern w:val="0"/>
                <w:sz w:val="22"/>
                <w:szCs w:val="22"/>
              </w:rPr>
              <w:t>68</w:t>
            </w:r>
          </w:p>
        </w:tc>
        <w:tc>
          <w:tcPr>
            <w:tcW w:w="0" w:type="auto"/>
            <w:vMerge w:val="continue"/>
            <w:tcBorders>
              <w:top w:val="nil"/>
              <w:left w:val="single" w:color="auto" w:sz="4" w:space="0"/>
              <w:bottom w:val="single" w:color="auto" w:sz="4" w:space="0"/>
              <w:right w:val="single" w:color="auto" w:sz="4" w:space="0"/>
            </w:tcBorders>
            <w:vAlign w:val="center"/>
          </w:tcPr>
          <w:p w14:paraId="035B9943">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2E33DC2">
            <w:pPr>
              <w:widowControl/>
              <w:jc w:val="left"/>
              <w:rPr>
                <w:rFonts w:ascii="宋体" w:hAnsi="宋体"/>
                <w:color w:val="auto"/>
                <w:kern w:val="0"/>
                <w:sz w:val="22"/>
                <w:szCs w:val="22"/>
              </w:rPr>
            </w:pPr>
            <w:r>
              <w:rPr>
                <w:rFonts w:hint="eastAsia" w:ascii="宋体" w:hAnsi="宋体"/>
                <w:color w:val="auto"/>
                <w:kern w:val="0"/>
                <w:sz w:val="22"/>
                <w:szCs w:val="22"/>
              </w:rPr>
              <w:t>▲视频接口数量</w:t>
            </w:r>
          </w:p>
        </w:tc>
        <w:tc>
          <w:tcPr>
            <w:tcW w:w="2735" w:type="pct"/>
            <w:tcBorders>
              <w:top w:val="single" w:color="auto" w:sz="4" w:space="0"/>
              <w:left w:val="single" w:color="auto" w:sz="4" w:space="0"/>
              <w:bottom w:val="single" w:color="auto" w:sz="4" w:space="0"/>
              <w:right w:val="single" w:color="auto" w:sz="4" w:space="0"/>
            </w:tcBorders>
            <w:vAlign w:val="center"/>
          </w:tcPr>
          <w:p w14:paraId="08CE14CC">
            <w:pPr>
              <w:widowControl/>
              <w:rPr>
                <w:rFonts w:ascii="宋体" w:hAnsi="宋体"/>
                <w:color w:val="auto"/>
                <w:kern w:val="0"/>
                <w:sz w:val="22"/>
                <w:szCs w:val="22"/>
              </w:rPr>
            </w:pPr>
            <w:r>
              <w:rPr>
                <w:rFonts w:hint="eastAsia" w:ascii="宋体" w:hAnsi="宋体"/>
                <w:color w:val="auto"/>
                <w:kern w:val="0"/>
                <w:sz w:val="22"/>
                <w:szCs w:val="22"/>
              </w:rPr>
              <w:t>≥2</w:t>
            </w:r>
          </w:p>
        </w:tc>
      </w:tr>
      <w:tr w14:paraId="052E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EA0DFA7">
            <w:pPr>
              <w:widowControl/>
              <w:rPr>
                <w:rFonts w:ascii="宋体" w:hAnsi="宋体"/>
                <w:color w:val="auto"/>
                <w:kern w:val="0"/>
                <w:sz w:val="22"/>
                <w:szCs w:val="22"/>
              </w:rPr>
            </w:pPr>
            <w:r>
              <w:rPr>
                <w:rFonts w:hint="eastAsia" w:ascii="宋体" w:hAnsi="宋体"/>
                <w:color w:val="auto"/>
                <w:kern w:val="0"/>
                <w:sz w:val="22"/>
                <w:szCs w:val="22"/>
              </w:rPr>
              <w:t>69</w:t>
            </w:r>
          </w:p>
        </w:tc>
        <w:tc>
          <w:tcPr>
            <w:tcW w:w="0" w:type="auto"/>
            <w:vMerge w:val="continue"/>
            <w:tcBorders>
              <w:top w:val="nil"/>
              <w:left w:val="single" w:color="auto" w:sz="4" w:space="0"/>
              <w:bottom w:val="single" w:color="auto" w:sz="4" w:space="0"/>
              <w:right w:val="single" w:color="auto" w:sz="4" w:space="0"/>
            </w:tcBorders>
            <w:vAlign w:val="center"/>
          </w:tcPr>
          <w:p w14:paraId="15740F14">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40D9ED4F">
            <w:pPr>
              <w:widowControl/>
              <w:jc w:val="left"/>
              <w:rPr>
                <w:rFonts w:ascii="宋体" w:hAnsi="宋体"/>
                <w:color w:val="auto"/>
                <w:kern w:val="0"/>
                <w:sz w:val="22"/>
                <w:szCs w:val="22"/>
              </w:rPr>
            </w:pPr>
            <w:r>
              <w:rPr>
                <w:rFonts w:hint="eastAsia" w:ascii="宋体" w:hAnsi="宋体"/>
                <w:color w:val="auto"/>
                <w:kern w:val="0"/>
                <w:sz w:val="22"/>
                <w:szCs w:val="22"/>
              </w:rPr>
              <w:t>▲音频接口数量</w:t>
            </w:r>
          </w:p>
        </w:tc>
        <w:tc>
          <w:tcPr>
            <w:tcW w:w="2735" w:type="pct"/>
            <w:tcBorders>
              <w:top w:val="single" w:color="auto" w:sz="4" w:space="0"/>
              <w:left w:val="single" w:color="auto" w:sz="4" w:space="0"/>
              <w:bottom w:val="single" w:color="auto" w:sz="4" w:space="0"/>
              <w:right w:val="single" w:color="auto" w:sz="4" w:space="0"/>
            </w:tcBorders>
            <w:vAlign w:val="center"/>
          </w:tcPr>
          <w:p w14:paraId="22C65777">
            <w:pPr>
              <w:widowControl/>
              <w:rPr>
                <w:rFonts w:ascii="宋体" w:hAnsi="宋体"/>
                <w:color w:val="auto"/>
                <w:kern w:val="0"/>
                <w:sz w:val="22"/>
                <w:szCs w:val="22"/>
              </w:rPr>
            </w:pPr>
            <w:r>
              <w:rPr>
                <w:rFonts w:hint="eastAsia" w:ascii="宋体" w:hAnsi="宋体"/>
                <w:color w:val="auto"/>
                <w:kern w:val="0"/>
                <w:sz w:val="22"/>
                <w:szCs w:val="22"/>
              </w:rPr>
              <w:t>前置端口：≥1 个耳机 / 麦克风组合插孔</w:t>
            </w:r>
          </w:p>
          <w:p w14:paraId="1611E5F6">
            <w:pPr>
              <w:widowControl/>
              <w:rPr>
                <w:rFonts w:ascii="宋体" w:hAnsi="宋体"/>
                <w:color w:val="auto"/>
                <w:kern w:val="0"/>
                <w:sz w:val="22"/>
                <w:szCs w:val="22"/>
              </w:rPr>
            </w:pPr>
            <w:r>
              <w:rPr>
                <w:rFonts w:hint="eastAsia" w:ascii="宋体" w:hAnsi="宋体"/>
                <w:color w:val="auto"/>
                <w:kern w:val="0"/>
                <w:sz w:val="22"/>
                <w:szCs w:val="22"/>
              </w:rPr>
              <w:t>后面端口：≥1 个音频线路端口</w:t>
            </w:r>
          </w:p>
        </w:tc>
      </w:tr>
      <w:tr w14:paraId="53AA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D6D2B51">
            <w:pPr>
              <w:widowControl/>
              <w:rPr>
                <w:rFonts w:ascii="宋体" w:hAnsi="宋体"/>
                <w:color w:val="auto"/>
                <w:kern w:val="0"/>
                <w:sz w:val="22"/>
                <w:szCs w:val="22"/>
              </w:rPr>
            </w:pPr>
            <w:r>
              <w:rPr>
                <w:rFonts w:hint="eastAsia" w:ascii="宋体" w:hAnsi="宋体"/>
                <w:color w:val="auto"/>
                <w:kern w:val="0"/>
                <w:sz w:val="22"/>
                <w:szCs w:val="22"/>
              </w:rPr>
              <w:t>70</w:t>
            </w:r>
          </w:p>
        </w:tc>
        <w:tc>
          <w:tcPr>
            <w:tcW w:w="0" w:type="auto"/>
            <w:vMerge w:val="continue"/>
            <w:tcBorders>
              <w:top w:val="nil"/>
              <w:left w:val="single" w:color="auto" w:sz="4" w:space="0"/>
              <w:bottom w:val="single" w:color="auto" w:sz="4" w:space="0"/>
              <w:right w:val="single" w:color="auto" w:sz="4" w:space="0"/>
            </w:tcBorders>
            <w:vAlign w:val="center"/>
          </w:tcPr>
          <w:p w14:paraId="388742E2">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51666ED7">
            <w:pPr>
              <w:widowControl/>
              <w:jc w:val="left"/>
              <w:rPr>
                <w:rFonts w:ascii="宋体" w:hAnsi="宋体"/>
                <w:color w:val="auto"/>
                <w:kern w:val="0"/>
                <w:sz w:val="22"/>
                <w:szCs w:val="22"/>
              </w:rPr>
            </w:pPr>
            <w:r>
              <w:rPr>
                <w:rFonts w:hint="eastAsia" w:ascii="宋体" w:hAnsi="宋体"/>
                <w:color w:val="auto"/>
                <w:kern w:val="0"/>
                <w:sz w:val="22"/>
                <w:szCs w:val="22"/>
              </w:rPr>
              <w:t>存储卡接口数量</w:t>
            </w:r>
          </w:p>
        </w:tc>
        <w:tc>
          <w:tcPr>
            <w:tcW w:w="2735" w:type="pct"/>
            <w:tcBorders>
              <w:top w:val="single" w:color="auto" w:sz="4" w:space="0"/>
              <w:left w:val="single" w:color="auto" w:sz="4" w:space="0"/>
              <w:bottom w:val="single" w:color="auto" w:sz="4" w:space="0"/>
              <w:right w:val="single" w:color="auto" w:sz="4" w:space="0"/>
            </w:tcBorders>
            <w:vAlign w:val="center"/>
          </w:tcPr>
          <w:p w14:paraId="70765ED5">
            <w:pPr>
              <w:widowControl/>
              <w:rPr>
                <w:rFonts w:ascii="宋体" w:hAnsi="宋体"/>
                <w:color w:val="auto"/>
                <w:kern w:val="0"/>
                <w:sz w:val="22"/>
                <w:szCs w:val="22"/>
              </w:rPr>
            </w:pPr>
            <w:r>
              <w:rPr>
                <w:rFonts w:hint="eastAsia" w:ascii="宋体" w:hAnsi="宋体"/>
                <w:color w:val="auto"/>
                <w:kern w:val="0"/>
                <w:sz w:val="22"/>
                <w:szCs w:val="22"/>
              </w:rPr>
              <w:t>≥0</w:t>
            </w:r>
          </w:p>
        </w:tc>
      </w:tr>
      <w:tr w14:paraId="4DA6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3A2E19C">
            <w:pPr>
              <w:widowControl/>
              <w:rPr>
                <w:rFonts w:ascii="宋体" w:hAnsi="宋体"/>
                <w:color w:val="auto"/>
                <w:kern w:val="0"/>
                <w:sz w:val="22"/>
                <w:szCs w:val="22"/>
              </w:rPr>
            </w:pPr>
            <w:r>
              <w:rPr>
                <w:rFonts w:hint="eastAsia" w:ascii="宋体" w:hAnsi="宋体"/>
                <w:color w:val="auto"/>
                <w:kern w:val="0"/>
                <w:sz w:val="22"/>
                <w:szCs w:val="22"/>
              </w:rPr>
              <w:t>71</w:t>
            </w:r>
          </w:p>
        </w:tc>
        <w:tc>
          <w:tcPr>
            <w:tcW w:w="807" w:type="pct"/>
            <w:vMerge w:val="restart"/>
            <w:tcBorders>
              <w:top w:val="nil"/>
              <w:left w:val="single" w:color="auto" w:sz="4" w:space="0"/>
              <w:bottom w:val="single" w:color="auto" w:sz="4" w:space="0"/>
              <w:right w:val="single" w:color="auto" w:sz="4" w:space="0"/>
            </w:tcBorders>
            <w:vAlign w:val="center"/>
          </w:tcPr>
          <w:p w14:paraId="070610E5">
            <w:pPr>
              <w:widowControl/>
              <w:rPr>
                <w:rFonts w:ascii="宋体" w:hAnsi="宋体"/>
                <w:color w:val="auto"/>
                <w:kern w:val="0"/>
                <w:sz w:val="22"/>
                <w:szCs w:val="22"/>
              </w:rPr>
            </w:pPr>
            <w:r>
              <w:rPr>
                <w:rFonts w:hint="eastAsia" w:ascii="宋体" w:hAnsi="宋体"/>
                <w:color w:val="auto"/>
                <w:kern w:val="0"/>
                <w:sz w:val="22"/>
                <w:szCs w:val="22"/>
              </w:rPr>
              <w:t>▲整机基础规格</w:t>
            </w:r>
          </w:p>
        </w:tc>
        <w:tc>
          <w:tcPr>
            <w:tcW w:w="1096" w:type="pct"/>
            <w:tcBorders>
              <w:top w:val="single" w:color="auto" w:sz="4" w:space="0"/>
              <w:left w:val="single" w:color="auto" w:sz="4" w:space="0"/>
              <w:bottom w:val="single" w:color="auto" w:sz="4" w:space="0"/>
              <w:right w:val="single" w:color="auto" w:sz="4" w:space="0"/>
            </w:tcBorders>
            <w:vAlign w:val="center"/>
          </w:tcPr>
          <w:p w14:paraId="5921464D">
            <w:pPr>
              <w:widowControl/>
              <w:jc w:val="left"/>
              <w:rPr>
                <w:rFonts w:ascii="宋体" w:hAnsi="宋体"/>
                <w:color w:val="auto"/>
                <w:kern w:val="0"/>
                <w:sz w:val="22"/>
                <w:szCs w:val="22"/>
              </w:rPr>
            </w:pPr>
            <w:r>
              <w:rPr>
                <w:rFonts w:hint="eastAsia" w:ascii="宋体" w:hAnsi="宋体"/>
                <w:color w:val="auto"/>
                <w:kern w:val="0"/>
                <w:sz w:val="22"/>
                <w:szCs w:val="22"/>
              </w:rPr>
              <w:t>▲整机外观</w:t>
            </w:r>
          </w:p>
        </w:tc>
        <w:tc>
          <w:tcPr>
            <w:tcW w:w="2735" w:type="pct"/>
            <w:tcBorders>
              <w:top w:val="single" w:color="auto" w:sz="4" w:space="0"/>
              <w:left w:val="single" w:color="auto" w:sz="4" w:space="0"/>
              <w:bottom w:val="single" w:color="auto" w:sz="4" w:space="0"/>
              <w:right w:val="single" w:color="auto" w:sz="4" w:space="0"/>
            </w:tcBorders>
            <w:vAlign w:val="center"/>
          </w:tcPr>
          <w:p w14:paraId="333BFA76">
            <w:pPr>
              <w:widowControl/>
              <w:rPr>
                <w:rFonts w:ascii="宋体" w:hAnsi="宋体"/>
                <w:color w:val="auto"/>
                <w:kern w:val="0"/>
                <w:sz w:val="22"/>
                <w:szCs w:val="22"/>
              </w:rPr>
            </w:pPr>
            <w:r>
              <w:rPr>
                <w:rFonts w:hint="eastAsia" w:ascii="宋体" w:hAnsi="宋体"/>
                <w:color w:val="auto"/>
                <w:kern w:val="0"/>
                <w:sz w:val="22"/>
                <w:szCs w:val="22"/>
              </w:rPr>
              <w:t xml:space="preserve">a) 产品表面不应有凹痕、划伤、裂缝、变形和污染等。表面涂层均匀，不应起泡、龟裂、脱落和磨损，金属零部件无锈蚀及其它机械损伤； </w:t>
            </w:r>
            <w:r>
              <w:rPr>
                <w:rFonts w:hint="eastAsia" w:ascii="宋体" w:hAnsi="宋体"/>
                <w:color w:val="auto"/>
                <w:kern w:val="0"/>
                <w:sz w:val="22"/>
                <w:szCs w:val="22"/>
              </w:rPr>
              <w:br w:type="textWrapping"/>
            </w:r>
            <w:r>
              <w:rPr>
                <w:rFonts w:hint="eastAsia" w:ascii="宋体" w:hAnsi="宋体"/>
                <w:color w:val="auto"/>
                <w:kern w:val="0"/>
                <w:sz w:val="22"/>
                <w:szCs w:val="22"/>
              </w:rPr>
              <w:t>b) 产品表面说明功能的文字、符号、标志，应清晰、端正、牢固</w:t>
            </w:r>
          </w:p>
        </w:tc>
      </w:tr>
      <w:tr w14:paraId="1383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0F6A230">
            <w:pPr>
              <w:widowControl/>
              <w:rPr>
                <w:rFonts w:ascii="宋体" w:hAnsi="宋体"/>
                <w:color w:val="auto"/>
                <w:kern w:val="0"/>
                <w:sz w:val="22"/>
                <w:szCs w:val="22"/>
              </w:rPr>
            </w:pPr>
            <w:r>
              <w:rPr>
                <w:rFonts w:hint="eastAsia" w:ascii="宋体" w:hAnsi="宋体"/>
                <w:color w:val="auto"/>
                <w:kern w:val="0"/>
                <w:sz w:val="22"/>
                <w:szCs w:val="22"/>
              </w:rPr>
              <w:t>72</w:t>
            </w:r>
          </w:p>
        </w:tc>
        <w:tc>
          <w:tcPr>
            <w:tcW w:w="0" w:type="auto"/>
            <w:vMerge w:val="continue"/>
            <w:tcBorders>
              <w:top w:val="nil"/>
              <w:left w:val="single" w:color="auto" w:sz="4" w:space="0"/>
              <w:bottom w:val="single" w:color="auto" w:sz="4" w:space="0"/>
              <w:right w:val="single" w:color="auto" w:sz="4" w:space="0"/>
            </w:tcBorders>
            <w:vAlign w:val="center"/>
          </w:tcPr>
          <w:p w14:paraId="76D87944">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F482DDE">
            <w:pPr>
              <w:widowControl/>
              <w:jc w:val="left"/>
              <w:rPr>
                <w:rFonts w:ascii="宋体" w:hAnsi="宋体"/>
                <w:color w:val="auto"/>
                <w:kern w:val="0"/>
                <w:sz w:val="22"/>
                <w:szCs w:val="22"/>
              </w:rPr>
            </w:pPr>
            <w:r>
              <w:rPr>
                <w:rFonts w:hint="eastAsia" w:ascii="宋体" w:hAnsi="宋体"/>
                <w:color w:val="auto"/>
                <w:kern w:val="0"/>
                <w:sz w:val="22"/>
                <w:szCs w:val="22"/>
              </w:rPr>
              <w:t>▲状态指示灯</w:t>
            </w:r>
          </w:p>
        </w:tc>
        <w:tc>
          <w:tcPr>
            <w:tcW w:w="2735" w:type="pct"/>
            <w:tcBorders>
              <w:top w:val="single" w:color="auto" w:sz="4" w:space="0"/>
              <w:left w:val="single" w:color="auto" w:sz="4" w:space="0"/>
              <w:bottom w:val="single" w:color="auto" w:sz="4" w:space="0"/>
              <w:right w:val="single" w:color="auto" w:sz="4" w:space="0"/>
            </w:tcBorders>
            <w:vAlign w:val="center"/>
          </w:tcPr>
          <w:p w14:paraId="60C1C848">
            <w:pPr>
              <w:widowControl/>
              <w:rPr>
                <w:rFonts w:ascii="宋体" w:hAnsi="宋体"/>
                <w:color w:val="auto"/>
                <w:kern w:val="0"/>
                <w:sz w:val="22"/>
                <w:szCs w:val="22"/>
              </w:rPr>
            </w:pPr>
            <w:r>
              <w:rPr>
                <w:rFonts w:hint="eastAsia" w:ascii="宋体" w:hAnsi="宋体"/>
                <w:color w:val="auto"/>
                <w:kern w:val="0"/>
                <w:sz w:val="22"/>
                <w:szCs w:val="22"/>
              </w:rPr>
              <w:t>在产品显著位置提供状态指示功能，如运行状态，并由供应商提供详细参数</w:t>
            </w:r>
          </w:p>
        </w:tc>
      </w:tr>
      <w:tr w14:paraId="3A05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28D5F32">
            <w:pPr>
              <w:widowControl/>
              <w:rPr>
                <w:rFonts w:ascii="宋体" w:hAnsi="宋体"/>
                <w:color w:val="auto"/>
                <w:kern w:val="0"/>
                <w:sz w:val="22"/>
                <w:szCs w:val="22"/>
              </w:rPr>
            </w:pPr>
            <w:r>
              <w:rPr>
                <w:rFonts w:hint="eastAsia" w:ascii="宋体" w:hAnsi="宋体"/>
                <w:color w:val="auto"/>
                <w:kern w:val="0"/>
                <w:sz w:val="22"/>
                <w:szCs w:val="22"/>
              </w:rPr>
              <w:t>73</w:t>
            </w:r>
          </w:p>
        </w:tc>
        <w:tc>
          <w:tcPr>
            <w:tcW w:w="0" w:type="auto"/>
            <w:vMerge w:val="continue"/>
            <w:tcBorders>
              <w:top w:val="nil"/>
              <w:left w:val="single" w:color="auto" w:sz="4" w:space="0"/>
              <w:bottom w:val="single" w:color="auto" w:sz="4" w:space="0"/>
              <w:right w:val="single" w:color="auto" w:sz="4" w:space="0"/>
            </w:tcBorders>
            <w:vAlign w:val="center"/>
          </w:tcPr>
          <w:p w14:paraId="03CF6B0A">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458D333E">
            <w:pPr>
              <w:widowControl/>
              <w:jc w:val="left"/>
              <w:rPr>
                <w:rFonts w:ascii="宋体" w:hAnsi="宋体"/>
                <w:color w:val="auto"/>
                <w:kern w:val="0"/>
                <w:sz w:val="22"/>
                <w:szCs w:val="22"/>
              </w:rPr>
            </w:pPr>
            <w:r>
              <w:rPr>
                <w:rFonts w:hint="eastAsia" w:ascii="宋体" w:hAnsi="宋体"/>
                <w:color w:val="auto"/>
                <w:kern w:val="0"/>
                <w:sz w:val="22"/>
                <w:szCs w:val="22"/>
              </w:rPr>
              <w:t>▲整机结构</w:t>
            </w:r>
          </w:p>
        </w:tc>
        <w:tc>
          <w:tcPr>
            <w:tcW w:w="2735" w:type="pct"/>
            <w:tcBorders>
              <w:top w:val="single" w:color="auto" w:sz="4" w:space="0"/>
              <w:left w:val="single" w:color="auto" w:sz="4" w:space="0"/>
              <w:bottom w:val="single" w:color="auto" w:sz="4" w:space="0"/>
              <w:right w:val="single" w:color="auto" w:sz="4" w:space="0"/>
            </w:tcBorders>
            <w:vAlign w:val="center"/>
          </w:tcPr>
          <w:p w14:paraId="24E794A6">
            <w:pPr>
              <w:widowControl/>
              <w:rPr>
                <w:rFonts w:ascii="宋体" w:hAnsi="宋体"/>
                <w:color w:val="auto"/>
                <w:kern w:val="0"/>
                <w:sz w:val="22"/>
                <w:szCs w:val="22"/>
              </w:rPr>
            </w:pPr>
            <w:r>
              <w:rPr>
                <w:rFonts w:hint="eastAsia" w:ascii="宋体" w:hAnsi="宋体"/>
                <w:color w:val="auto"/>
                <w:kern w:val="0"/>
                <w:sz w:val="22"/>
                <w:szCs w:val="22"/>
              </w:rPr>
              <w:t>a) 机箱应符合GB/T 4208、GB/T 26246 的相关规定；</w:t>
            </w:r>
          </w:p>
          <w:p w14:paraId="409674AE">
            <w:pPr>
              <w:widowControl/>
              <w:rPr>
                <w:rFonts w:ascii="宋体" w:hAnsi="宋体"/>
                <w:color w:val="auto"/>
                <w:kern w:val="0"/>
                <w:sz w:val="22"/>
                <w:szCs w:val="22"/>
              </w:rPr>
            </w:pPr>
            <w:r>
              <w:rPr>
                <w:rFonts w:hint="eastAsia" w:ascii="宋体" w:hAnsi="宋体"/>
                <w:color w:val="auto"/>
                <w:kern w:val="0"/>
                <w:sz w:val="22"/>
                <w:szCs w:val="22"/>
              </w:rPr>
              <w:t>b) 产品内部结构应符合通用部件的安装需求；</w:t>
            </w:r>
          </w:p>
          <w:p w14:paraId="57EBC2E0">
            <w:pPr>
              <w:widowControl/>
              <w:rPr>
                <w:rFonts w:ascii="宋体" w:hAnsi="宋体"/>
                <w:color w:val="auto"/>
                <w:kern w:val="0"/>
                <w:sz w:val="22"/>
                <w:szCs w:val="22"/>
              </w:rPr>
            </w:pPr>
            <w:r>
              <w:rPr>
                <w:rFonts w:hint="eastAsia" w:ascii="宋体" w:hAnsi="宋体"/>
                <w:color w:val="auto"/>
                <w:kern w:val="0"/>
                <w:sz w:val="22"/>
                <w:szCs w:val="22"/>
              </w:rPr>
              <w:t xml:space="preserve">c) 所有输入输出接口应符合相关国家或行业标准； </w:t>
            </w:r>
          </w:p>
          <w:p w14:paraId="0AE41A5E">
            <w:pPr>
              <w:widowControl/>
              <w:rPr>
                <w:rFonts w:ascii="宋体" w:hAnsi="宋体"/>
                <w:color w:val="auto"/>
                <w:kern w:val="0"/>
                <w:sz w:val="22"/>
                <w:szCs w:val="22"/>
              </w:rPr>
            </w:pPr>
            <w:r>
              <w:rPr>
                <w:rFonts w:hint="eastAsia" w:ascii="宋体" w:hAnsi="宋体"/>
                <w:color w:val="auto"/>
                <w:kern w:val="0"/>
                <w:sz w:val="22"/>
                <w:szCs w:val="22"/>
              </w:rPr>
              <w:t xml:space="preserve">d) 产品零部件应紧固无松动，可插拔部件应可靠连接，开关、按钮和其它控制部件应灵活可靠，布局应方便使用； </w:t>
            </w:r>
          </w:p>
          <w:p w14:paraId="0902AC28">
            <w:pPr>
              <w:widowControl/>
              <w:rPr>
                <w:rFonts w:ascii="宋体" w:hAnsi="宋体"/>
                <w:color w:val="auto"/>
                <w:kern w:val="0"/>
                <w:sz w:val="22"/>
                <w:szCs w:val="22"/>
              </w:rPr>
            </w:pPr>
            <w:r>
              <w:rPr>
                <w:rFonts w:hint="eastAsia" w:ascii="宋体" w:hAnsi="宋体"/>
                <w:color w:val="auto"/>
                <w:kern w:val="0"/>
                <w:sz w:val="22"/>
                <w:szCs w:val="22"/>
              </w:rPr>
              <w:t xml:space="preserve">e) 所有I/O连接器及需插接线缆的部位应预留采购人操作空间，方便插拔解锁与插拔线缆； </w:t>
            </w:r>
          </w:p>
          <w:p w14:paraId="08916D1C">
            <w:pPr>
              <w:widowControl/>
              <w:rPr>
                <w:rFonts w:ascii="宋体" w:hAnsi="宋体"/>
                <w:color w:val="auto"/>
                <w:kern w:val="0"/>
                <w:sz w:val="22"/>
                <w:szCs w:val="22"/>
              </w:rPr>
            </w:pPr>
            <w:r>
              <w:rPr>
                <w:rFonts w:hint="eastAsia" w:ascii="宋体" w:hAnsi="宋体"/>
                <w:color w:val="auto"/>
                <w:kern w:val="0"/>
                <w:sz w:val="22"/>
                <w:szCs w:val="22"/>
              </w:rPr>
              <w:t xml:space="preserve">f) 可插拔板卡插槽部位应预留安装、拆卸或更换板卡空间； </w:t>
            </w:r>
          </w:p>
          <w:p w14:paraId="5B4057BE">
            <w:pPr>
              <w:widowControl/>
              <w:rPr>
                <w:rFonts w:ascii="宋体" w:hAnsi="宋体"/>
                <w:color w:val="auto"/>
                <w:kern w:val="0"/>
                <w:sz w:val="22"/>
                <w:szCs w:val="22"/>
              </w:rPr>
            </w:pPr>
            <w:r>
              <w:rPr>
                <w:rFonts w:hint="eastAsia" w:ascii="宋体" w:hAnsi="宋体"/>
                <w:color w:val="auto"/>
                <w:kern w:val="0"/>
                <w:sz w:val="22"/>
                <w:szCs w:val="22"/>
              </w:rPr>
              <w:t xml:space="preserve">g) 拆装可能接触到的金属剪口或金属尖角部位应做防划伤处理，以保证安全； </w:t>
            </w:r>
          </w:p>
          <w:p w14:paraId="3905D421">
            <w:pPr>
              <w:widowControl/>
              <w:rPr>
                <w:rFonts w:ascii="宋体" w:hAnsi="宋体"/>
                <w:color w:val="auto"/>
                <w:kern w:val="0"/>
                <w:sz w:val="22"/>
                <w:szCs w:val="22"/>
              </w:rPr>
            </w:pPr>
            <w:r>
              <w:rPr>
                <w:rFonts w:hint="eastAsia" w:ascii="宋体" w:hAnsi="宋体"/>
                <w:color w:val="auto"/>
                <w:kern w:val="0"/>
                <w:sz w:val="22"/>
                <w:szCs w:val="22"/>
              </w:rPr>
              <w:t xml:space="preserve">h) 整机内部走线应规整，固线结构和位置要合理可靠并做防割线处理，需便于理线和插拔操作，走线应不影响系统各主要部件组装和拆卸； </w:t>
            </w:r>
          </w:p>
          <w:p w14:paraId="27B3B83D">
            <w:pPr>
              <w:widowControl/>
              <w:rPr>
                <w:rFonts w:ascii="宋体" w:hAnsi="宋体"/>
                <w:color w:val="auto"/>
                <w:kern w:val="0"/>
                <w:sz w:val="22"/>
                <w:szCs w:val="22"/>
              </w:rPr>
            </w:pPr>
            <w:r>
              <w:rPr>
                <w:rFonts w:hint="eastAsia" w:ascii="宋体" w:hAnsi="宋体"/>
                <w:color w:val="auto"/>
                <w:kern w:val="0"/>
                <w:sz w:val="22"/>
                <w:szCs w:val="22"/>
              </w:rPr>
              <w:t xml:space="preserve">i) 如需通过孔走线，过线孔应做防割线处理； </w:t>
            </w:r>
          </w:p>
          <w:p w14:paraId="55125914">
            <w:pPr>
              <w:widowControl/>
              <w:rPr>
                <w:rFonts w:ascii="宋体" w:hAnsi="宋体"/>
                <w:color w:val="auto"/>
                <w:kern w:val="0"/>
                <w:sz w:val="22"/>
                <w:szCs w:val="22"/>
              </w:rPr>
            </w:pPr>
            <w:r>
              <w:rPr>
                <w:rFonts w:hint="eastAsia" w:ascii="宋体" w:hAnsi="宋体"/>
                <w:color w:val="auto"/>
                <w:kern w:val="0"/>
                <w:sz w:val="22"/>
                <w:szCs w:val="22"/>
              </w:rPr>
              <w:t xml:space="preserve">j) 各插头位置和插拔方向应合理，应做到插拔无障碍设计，具备防呆设计，有效避免误操作； </w:t>
            </w:r>
          </w:p>
          <w:p w14:paraId="4AA8ACC7">
            <w:pPr>
              <w:widowControl/>
              <w:rPr>
                <w:rFonts w:ascii="宋体" w:hAnsi="宋体"/>
                <w:color w:val="auto"/>
                <w:kern w:val="0"/>
                <w:sz w:val="22"/>
                <w:szCs w:val="22"/>
              </w:rPr>
            </w:pPr>
            <w:r>
              <w:rPr>
                <w:rFonts w:hint="eastAsia" w:ascii="宋体" w:hAnsi="宋体"/>
                <w:color w:val="auto"/>
                <w:kern w:val="0"/>
                <w:sz w:val="22"/>
                <w:szCs w:val="22"/>
              </w:rPr>
              <w:t xml:space="preserve">k) 各主要部件拆装无障碍，使用常规工具拆装，无特殊拆装工具需求； </w:t>
            </w:r>
          </w:p>
          <w:p w14:paraId="2DE75643">
            <w:pPr>
              <w:widowControl/>
              <w:rPr>
                <w:rFonts w:ascii="宋体" w:hAnsi="宋体"/>
                <w:color w:val="auto"/>
                <w:kern w:val="0"/>
                <w:sz w:val="22"/>
                <w:szCs w:val="22"/>
              </w:rPr>
            </w:pPr>
            <w:r>
              <w:rPr>
                <w:rFonts w:hint="eastAsia" w:ascii="宋体" w:hAnsi="宋体"/>
                <w:color w:val="auto"/>
                <w:kern w:val="0"/>
                <w:sz w:val="22"/>
                <w:szCs w:val="22"/>
              </w:rPr>
              <w:t xml:space="preserve">l) 各主要部件拆装步骤要少，各自拆装需避免相互干扰； </w:t>
            </w:r>
          </w:p>
          <w:p w14:paraId="5A400400">
            <w:pPr>
              <w:widowControl/>
              <w:rPr>
                <w:rFonts w:ascii="宋体" w:hAnsi="宋体"/>
                <w:color w:val="auto"/>
                <w:kern w:val="0"/>
                <w:sz w:val="22"/>
                <w:szCs w:val="22"/>
              </w:rPr>
            </w:pPr>
            <w:r>
              <w:rPr>
                <w:rFonts w:hint="eastAsia" w:ascii="宋体" w:hAnsi="宋体"/>
                <w:color w:val="auto"/>
                <w:kern w:val="0"/>
                <w:sz w:val="22"/>
                <w:szCs w:val="22"/>
              </w:rPr>
              <w:t>m) 对于整机或零部件外表面为高亮面的，应粘贴保护膜，保护膜需粘贴牢固，运输、组装等过程不易脱落，撕下无残留；</w:t>
            </w:r>
          </w:p>
          <w:p w14:paraId="2149C7C9">
            <w:pPr>
              <w:widowControl/>
              <w:rPr>
                <w:rFonts w:ascii="宋体" w:hAnsi="宋体"/>
                <w:color w:val="auto"/>
                <w:kern w:val="0"/>
                <w:sz w:val="22"/>
                <w:szCs w:val="22"/>
              </w:rPr>
            </w:pPr>
            <w:r>
              <w:rPr>
                <w:rFonts w:hint="eastAsia" w:ascii="宋体" w:hAnsi="宋体"/>
                <w:color w:val="auto"/>
                <w:kern w:val="0"/>
                <w:sz w:val="22"/>
                <w:szCs w:val="22"/>
              </w:rPr>
              <w:t>n) 其它要求应符合GB/T 9813.1的相关规定</w:t>
            </w:r>
          </w:p>
        </w:tc>
      </w:tr>
      <w:tr w14:paraId="2089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44ED47D">
            <w:pPr>
              <w:widowControl/>
              <w:rPr>
                <w:rFonts w:ascii="宋体" w:hAnsi="宋体"/>
                <w:color w:val="auto"/>
                <w:kern w:val="0"/>
                <w:sz w:val="22"/>
                <w:szCs w:val="22"/>
              </w:rPr>
            </w:pPr>
            <w:r>
              <w:rPr>
                <w:rFonts w:hint="eastAsia" w:ascii="宋体" w:hAnsi="宋体"/>
                <w:color w:val="auto"/>
                <w:kern w:val="0"/>
                <w:sz w:val="22"/>
                <w:szCs w:val="22"/>
              </w:rPr>
              <w:t>74</w:t>
            </w:r>
          </w:p>
        </w:tc>
        <w:tc>
          <w:tcPr>
            <w:tcW w:w="0" w:type="auto"/>
            <w:vMerge w:val="continue"/>
            <w:tcBorders>
              <w:top w:val="nil"/>
              <w:left w:val="single" w:color="auto" w:sz="4" w:space="0"/>
              <w:bottom w:val="single" w:color="auto" w:sz="4" w:space="0"/>
              <w:right w:val="single" w:color="auto" w:sz="4" w:space="0"/>
            </w:tcBorders>
            <w:vAlign w:val="center"/>
          </w:tcPr>
          <w:p w14:paraId="542DBB06">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FDE1707">
            <w:pPr>
              <w:widowControl/>
              <w:jc w:val="left"/>
              <w:rPr>
                <w:rFonts w:ascii="宋体" w:hAnsi="宋体"/>
                <w:color w:val="auto"/>
                <w:kern w:val="0"/>
                <w:sz w:val="22"/>
                <w:szCs w:val="22"/>
              </w:rPr>
            </w:pPr>
            <w:r>
              <w:rPr>
                <w:rFonts w:hint="eastAsia" w:ascii="宋体" w:hAnsi="宋体"/>
                <w:color w:val="auto"/>
                <w:kern w:val="0"/>
                <w:sz w:val="22"/>
                <w:szCs w:val="22"/>
              </w:rPr>
              <w:t>▲机箱防护要求</w:t>
            </w:r>
          </w:p>
        </w:tc>
        <w:tc>
          <w:tcPr>
            <w:tcW w:w="2735" w:type="pct"/>
            <w:tcBorders>
              <w:top w:val="single" w:color="auto" w:sz="4" w:space="0"/>
              <w:left w:val="single" w:color="auto" w:sz="4" w:space="0"/>
              <w:bottom w:val="single" w:color="auto" w:sz="4" w:space="0"/>
              <w:right w:val="single" w:color="auto" w:sz="4" w:space="0"/>
            </w:tcBorders>
            <w:vAlign w:val="center"/>
          </w:tcPr>
          <w:p w14:paraId="6FB783AB">
            <w:pPr>
              <w:widowControl/>
              <w:rPr>
                <w:rFonts w:ascii="宋体" w:hAnsi="宋体"/>
                <w:color w:val="auto"/>
                <w:kern w:val="0"/>
                <w:sz w:val="22"/>
                <w:szCs w:val="22"/>
              </w:rPr>
            </w:pPr>
            <w:r>
              <w:rPr>
                <w:rFonts w:hint="eastAsia" w:ascii="宋体" w:hAnsi="宋体"/>
                <w:color w:val="auto"/>
                <w:kern w:val="0"/>
                <w:sz w:val="22"/>
                <w:szCs w:val="22"/>
              </w:rPr>
              <w:t>机箱应符合GB/T 4208中IP20防护要求</w:t>
            </w:r>
          </w:p>
        </w:tc>
      </w:tr>
      <w:tr w14:paraId="4E59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67EC448">
            <w:pPr>
              <w:widowControl/>
              <w:rPr>
                <w:rFonts w:ascii="宋体" w:hAnsi="宋体"/>
                <w:color w:val="auto"/>
                <w:kern w:val="0"/>
                <w:sz w:val="22"/>
                <w:szCs w:val="22"/>
              </w:rPr>
            </w:pPr>
            <w:r>
              <w:rPr>
                <w:rFonts w:hint="eastAsia" w:ascii="宋体" w:hAnsi="宋体"/>
                <w:color w:val="auto"/>
                <w:kern w:val="0"/>
                <w:sz w:val="22"/>
                <w:szCs w:val="22"/>
              </w:rPr>
              <w:t>75</w:t>
            </w:r>
          </w:p>
        </w:tc>
        <w:tc>
          <w:tcPr>
            <w:tcW w:w="0" w:type="auto"/>
            <w:vMerge w:val="continue"/>
            <w:tcBorders>
              <w:top w:val="nil"/>
              <w:left w:val="single" w:color="auto" w:sz="4" w:space="0"/>
              <w:bottom w:val="single" w:color="auto" w:sz="4" w:space="0"/>
              <w:right w:val="single" w:color="auto" w:sz="4" w:space="0"/>
            </w:tcBorders>
            <w:vAlign w:val="center"/>
          </w:tcPr>
          <w:p w14:paraId="2755AE0E">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2FC4BD6C">
            <w:pPr>
              <w:widowControl/>
              <w:jc w:val="left"/>
              <w:rPr>
                <w:rFonts w:ascii="宋体" w:hAnsi="宋体"/>
                <w:color w:val="auto"/>
                <w:kern w:val="0"/>
                <w:sz w:val="22"/>
                <w:szCs w:val="22"/>
              </w:rPr>
            </w:pPr>
            <w:r>
              <w:rPr>
                <w:rFonts w:hint="eastAsia" w:ascii="宋体" w:hAnsi="宋体"/>
                <w:color w:val="auto"/>
                <w:kern w:val="0"/>
                <w:sz w:val="22"/>
                <w:szCs w:val="22"/>
              </w:rPr>
              <w:t>▲整机噪音</w:t>
            </w:r>
          </w:p>
        </w:tc>
        <w:tc>
          <w:tcPr>
            <w:tcW w:w="2735" w:type="pct"/>
            <w:tcBorders>
              <w:top w:val="single" w:color="auto" w:sz="4" w:space="0"/>
              <w:left w:val="single" w:color="auto" w:sz="4" w:space="0"/>
              <w:bottom w:val="single" w:color="auto" w:sz="4" w:space="0"/>
              <w:right w:val="single" w:color="auto" w:sz="4" w:space="0"/>
            </w:tcBorders>
            <w:vAlign w:val="center"/>
          </w:tcPr>
          <w:p w14:paraId="17A9DAA3">
            <w:pPr>
              <w:widowControl/>
              <w:rPr>
                <w:rFonts w:ascii="宋体" w:hAnsi="宋体"/>
                <w:color w:val="auto"/>
                <w:kern w:val="0"/>
                <w:sz w:val="22"/>
                <w:szCs w:val="22"/>
              </w:rPr>
            </w:pPr>
            <w:r>
              <w:rPr>
                <w:rFonts w:hint="eastAsia" w:ascii="宋体" w:hAnsi="宋体"/>
                <w:color w:val="auto"/>
                <w:kern w:val="0"/>
                <w:sz w:val="22"/>
                <w:szCs w:val="22"/>
              </w:rPr>
              <w:t>产品工作在空闲状态下，产品的声功率级应不超过 12 分贝（1.2Bel 贝尔）</w:t>
            </w:r>
          </w:p>
        </w:tc>
      </w:tr>
      <w:tr w14:paraId="382C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B3DBE6C">
            <w:pPr>
              <w:widowControl/>
              <w:rPr>
                <w:rFonts w:ascii="宋体" w:hAnsi="宋体"/>
                <w:color w:val="auto"/>
                <w:kern w:val="0"/>
                <w:sz w:val="22"/>
                <w:szCs w:val="22"/>
              </w:rPr>
            </w:pPr>
            <w:r>
              <w:rPr>
                <w:rFonts w:hint="eastAsia" w:ascii="宋体" w:hAnsi="宋体"/>
                <w:color w:val="auto"/>
                <w:kern w:val="0"/>
                <w:sz w:val="22"/>
                <w:szCs w:val="22"/>
              </w:rPr>
              <w:t>76</w:t>
            </w:r>
          </w:p>
        </w:tc>
        <w:tc>
          <w:tcPr>
            <w:tcW w:w="0" w:type="auto"/>
            <w:vMerge w:val="continue"/>
            <w:tcBorders>
              <w:top w:val="nil"/>
              <w:left w:val="single" w:color="auto" w:sz="4" w:space="0"/>
              <w:bottom w:val="single" w:color="auto" w:sz="4" w:space="0"/>
              <w:right w:val="single" w:color="auto" w:sz="4" w:space="0"/>
            </w:tcBorders>
            <w:vAlign w:val="center"/>
          </w:tcPr>
          <w:p w14:paraId="74C4ADA1">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2F2BD226">
            <w:pPr>
              <w:widowControl/>
              <w:jc w:val="left"/>
              <w:rPr>
                <w:rFonts w:ascii="宋体" w:hAnsi="宋体"/>
                <w:color w:val="auto"/>
                <w:kern w:val="0"/>
                <w:sz w:val="22"/>
                <w:szCs w:val="22"/>
              </w:rPr>
            </w:pPr>
            <w:r>
              <w:rPr>
                <w:rFonts w:hint="eastAsia" w:ascii="宋体" w:hAnsi="宋体"/>
                <w:color w:val="auto"/>
                <w:kern w:val="0"/>
                <w:sz w:val="22"/>
                <w:szCs w:val="22"/>
              </w:rPr>
              <w:t>▲整机散热</w:t>
            </w:r>
          </w:p>
        </w:tc>
        <w:tc>
          <w:tcPr>
            <w:tcW w:w="2735" w:type="pct"/>
            <w:tcBorders>
              <w:top w:val="single" w:color="auto" w:sz="4" w:space="0"/>
              <w:left w:val="single" w:color="auto" w:sz="4" w:space="0"/>
              <w:bottom w:val="single" w:color="auto" w:sz="4" w:space="0"/>
              <w:right w:val="single" w:color="auto" w:sz="4" w:space="0"/>
            </w:tcBorders>
            <w:vAlign w:val="center"/>
          </w:tcPr>
          <w:p w14:paraId="1CDA0608">
            <w:pPr>
              <w:widowControl/>
              <w:rPr>
                <w:rFonts w:ascii="宋体" w:hAnsi="宋体"/>
                <w:color w:val="auto"/>
                <w:kern w:val="0"/>
                <w:sz w:val="22"/>
                <w:szCs w:val="22"/>
              </w:rPr>
            </w:pPr>
            <w:r>
              <w:rPr>
                <w:rFonts w:hint="eastAsia" w:ascii="宋体" w:hAnsi="宋体"/>
                <w:color w:val="auto"/>
                <w:kern w:val="0"/>
                <w:sz w:val="22"/>
                <w:szCs w:val="22"/>
              </w:rPr>
              <w:t xml:space="preserve">在环境温度25℃及处理器满载情况下，产品表面温度应符合如下要求： </w:t>
            </w:r>
            <w:r>
              <w:rPr>
                <w:rFonts w:hint="eastAsia" w:ascii="宋体" w:hAnsi="宋体"/>
                <w:color w:val="auto"/>
                <w:kern w:val="0"/>
                <w:sz w:val="22"/>
                <w:szCs w:val="22"/>
              </w:rPr>
              <w:br w:type="textWrapping"/>
            </w:r>
            <w:r>
              <w:rPr>
                <w:rFonts w:hint="eastAsia" w:ascii="宋体" w:hAnsi="宋体"/>
                <w:color w:val="auto"/>
                <w:kern w:val="0"/>
                <w:sz w:val="22"/>
                <w:szCs w:val="22"/>
              </w:rPr>
              <w:t>a) 出风口在机箱后面板情况下，出风口温度不高于55℃；</w:t>
            </w:r>
            <w:r>
              <w:rPr>
                <w:rFonts w:hint="eastAsia" w:ascii="宋体" w:hAnsi="宋体"/>
                <w:color w:val="auto"/>
                <w:kern w:val="0"/>
                <w:sz w:val="22"/>
                <w:szCs w:val="22"/>
              </w:rPr>
              <w:br w:type="textWrapping"/>
            </w:r>
            <w:r>
              <w:rPr>
                <w:rFonts w:hint="eastAsia" w:ascii="宋体" w:hAnsi="宋体"/>
                <w:color w:val="auto"/>
                <w:kern w:val="0"/>
                <w:sz w:val="22"/>
                <w:szCs w:val="22"/>
              </w:rPr>
              <w:t xml:space="preserve">b) 可触及面温度不高于45℃； </w:t>
            </w:r>
            <w:r>
              <w:rPr>
                <w:rFonts w:hint="eastAsia" w:ascii="宋体" w:hAnsi="宋体"/>
                <w:color w:val="auto"/>
                <w:kern w:val="0"/>
                <w:sz w:val="22"/>
                <w:szCs w:val="22"/>
              </w:rPr>
              <w:br w:type="textWrapping"/>
            </w:r>
            <w:r>
              <w:rPr>
                <w:rFonts w:hint="eastAsia" w:ascii="宋体" w:hAnsi="宋体"/>
                <w:color w:val="auto"/>
                <w:kern w:val="0"/>
                <w:sz w:val="22"/>
                <w:szCs w:val="22"/>
              </w:rPr>
              <w:t>c) 显示器表面温度：显示屏不高于38℃，显示屏上下灯带位置温度（如涉及）不高于40℃，出风口温度不高于45℃</w:t>
            </w:r>
          </w:p>
        </w:tc>
      </w:tr>
      <w:tr w14:paraId="43C6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773E7B1">
            <w:pPr>
              <w:widowControl/>
              <w:rPr>
                <w:rFonts w:ascii="宋体" w:hAnsi="宋体"/>
                <w:color w:val="auto"/>
                <w:kern w:val="0"/>
                <w:sz w:val="22"/>
                <w:szCs w:val="22"/>
              </w:rPr>
            </w:pPr>
            <w:r>
              <w:rPr>
                <w:rFonts w:hint="eastAsia" w:ascii="宋体" w:hAnsi="宋体"/>
                <w:color w:val="auto"/>
                <w:kern w:val="0"/>
                <w:sz w:val="22"/>
                <w:szCs w:val="22"/>
              </w:rPr>
              <w:t>77</w:t>
            </w:r>
          </w:p>
        </w:tc>
        <w:tc>
          <w:tcPr>
            <w:tcW w:w="0" w:type="auto"/>
            <w:vMerge w:val="continue"/>
            <w:tcBorders>
              <w:top w:val="nil"/>
              <w:left w:val="single" w:color="auto" w:sz="4" w:space="0"/>
              <w:bottom w:val="single" w:color="auto" w:sz="4" w:space="0"/>
              <w:right w:val="single" w:color="auto" w:sz="4" w:space="0"/>
            </w:tcBorders>
            <w:vAlign w:val="center"/>
          </w:tcPr>
          <w:p w14:paraId="5FD65559">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891AEB6">
            <w:pPr>
              <w:widowControl/>
              <w:jc w:val="left"/>
              <w:rPr>
                <w:rFonts w:ascii="宋体" w:hAnsi="宋体"/>
                <w:color w:val="auto"/>
                <w:kern w:val="0"/>
                <w:sz w:val="22"/>
                <w:szCs w:val="22"/>
              </w:rPr>
            </w:pPr>
            <w:r>
              <w:rPr>
                <w:rFonts w:hint="eastAsia" w:ascii="宋体" w:hAnsi="宋体"/>
                <w:color w:val="auto"/>
                <w:kern w:val="0"/>
                <w:sz w:val="22"/>
                <w:szCs w:val="22"/>
              </w:rPr>
              <w:t>▲整机能效限定值</w:t>
            </w:r>
          </w:p>
        </w:tc>
        <w:tc>
          <w:tcPr>
            <w:tcW w:w="2735" w:type="pct"/>
            <w:tcBorders>
              <w:top w:val="single" w:color="auto" w:sz="4" w:space="0"/>
              <w:left w:val="single" w:color="auto" w:sz="4" w:space="0"/>
              <w:bottom w:val="single" w:color="auto" w:sz="4" w:space="0"/>
              <w:right w:val="single" w:color="auto" w:sz="4" w:space="0"/>
            </w:tcBorders>
            <w:vAlign w:val="center"/>
          </w:tcPr>
          <w:p w14:paraId="54FBEBA5">
            <w:pPr>
              <w:widowControl/>
              <w:rPr>
                <w:rFonts w:ascii="宋体" w:hAnsi="宋体"/>
                <w:color w:val="auto"/>
                <w:kern w:val="0"/>
                <w:sz w:val="22"/>
                <w:szCs w:val="22"/>
              </w:rPr>
            </w:pPr>
            <w:r>
              <w:rPr>
                <w:rFonts w:hint="eastAsia" w:ascii="宋体" w:hAnsi="宋体"/>
                <w:color w:val="auto"/>
                <w:kern w:val="0"/>
                <w:sz w:val="22"/>
                <w:szCs w:val="22"/>
              </w:rPr>
              <w:t>产品能效限定值应达到GB 28380-2012 标准中能效等级2级及以上</w:t>
            </w:r>
          </w:p>
        </w:tc>
      </w:tr>
      <w:tr w14:paraId="2316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8B1E556">
            <w:pPr>
              <w:widowControl/>
              <w:rPr>
                <w:rFonts w:ascii="宋体" w:hAnsi="宋体"/>
                <w:color w:val="auto"/>
                <w:kern w:val="0"/>
                <w:sz w:val="22"/>
                <w:szCs w:val="22"/>
              </w:rPr>
            </w:pPr>
            <w:r>
              <w:rPr>
                <w:rFonts w:hint="eastAsia" w:ascii="宋体" w:hAnsi="宋体"/>
                <w:color w:val="auto"/>
                <w:kern w:val="0"/>
                <w:sz w:val="22"/>
                <w:szCs w:val="22"/>
              </w:rPr>
              <w:t>78</w:t>
            </w:r>
          </w:p>
        </w:tc>
        <w:tc>
          <w:tcPr>
            <w:tcW w:w="0" w:type="auto"/>
            <w:vMerge w:val="continue"/>
            <w:tcBorders>
              <w:top w:val="nil"/>
              <w:left w:val="single" w:color="auto" w:sz="4" w:space="0"/>
              <w:bottom w:val="single" w:color="auto" w:sz="4" w:space="0"/>
              <w:right w:val="single" w:color="auto" w:sz="4" w:space="0"/>
            </w:tcBorders>
            <w:vAlign w:val="center"/>
          </w:tcPr>
          <w:p w14:paraId="2062882F">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822DB5C">
            <w:pPr>
              <w:widowControl/>
              <w:jc w:val="left"/>
              <w:rPr>
                <w:rFonts w:ascii="宋体" w:hAnsi="宋体"/>
                <w:color w:val="auto"/>
                <w:kern w:val="0"/>
                <w:sz w:val="22"/>
                <w:szCs w:val="22"/>
              </w:rPr>
            </w:pPr>
            <w:r>
              <w:rPr>
                <w:rFonts w:hint="eastAsia" w:ascii="宋体" w:hAnsi="宋体"/>
                <w:color w:val="auto"/>
                <w:kern w:val="0"/>
                <w:sz w:val="22"/>
                <w:szCs w:val="22"/>
              </w:rPr>
              <w:t>▲机身材质</w:t>
            </w:r>
          </w:p>
        </w:tc>
        <w:tc>
          <w:tcPr>
            <w:tcW w:w="2735" w:type="pct"/>
            <w:tcBorders>
              <w:top w:val="single" w:color="auto" w:sz="4" w:space="0"/>
              <w:left w:val="single" w:color="auto" w:sz="4" w:space="0"/>
              <w:bottom w:val="single" w:color="auto" w:sz="4" w:space="0"/>
              <w:right w:val="single" w:color="auto" w:sz="4" w:space="0"/>
            </w:tcBorders>
            <w:vAlign w:val="center"/>
          </w:tcPr>
          <w:p w14:paraId="41C2A6EC">
            <w:pPr>
              <w:widowControl/>
              <w:rPr>
                <w:rFonts w:ascii="宋体" w:hAnsi="宋体"/>
                <w:color w:val="auto"/>
                <w:kern w:val="0"/>
                <w:sz w:val="22"/>
                <w:szCs w:val="22"/>
              </w:rPr>
            </w:pPr>
            <w:r>
              <w:rPr>
                <w:rFonts w:hint="eastAsia" w:ascii="宋体" w:hAnsi="宋体"/>
                <w:color w:val="auto"/>
                <w:kern w:val="0"/>
                <w:sz w:val="22"/>
                <w:szCs w:val="22"/>
              </w:rPr>
              <w:t>塑料/金属</w:t>
            </w:r>
          </w:p>
        </w:tc>
      </w:tr>
      <w:tr w14:paraId="315F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6597831">
            <w:pPr>
              <w:widowControl/>
              <w:rPr>
                <w:rFonts w:ascii="宋体" w:hAnsi="宋体"/>
                <w:color w:val="auto"/>
                <w:kern w:val="0"/>
                <w:sz w:val="22"/>
                <w:szCs w:val="22"/>
              </w:rPr>
            </w:pPr>
            <w:r>
              <w:rPr>
                <w:rFonts w:hint="eastAsia" w:ascii="宋体" w:hAnsi="宋体"/>
                <w:color w:val="auto"/>
                <w:kern w:val="0"/>
                <w:sz w:val="22"/>
                <w:szCs w:val="22"/>
              </w:rPr>
              <w:t>79</w:t>
            </w:r>
          </w:p>
        </w:tc>
        <w:tc>
          <w:tcPr>
            <w:tcW w:w="0" w:type="auto"/>
            <w:vMerge w:val="continue"/>
            <w:tcBorders>
              <w:top w:val="nil"/>
              <w:left w:val="single" w:color="auto" w:sz="4" w:space="0"/>
              <w:bottom w:val="single" w:color="auto" w:sz="4" w:space="0"/>
              <w:right w:val="single" w:color="auto" w:sz="4" w:space="0"/>
            </w:tcBorders>
            <w:vAlign w:val="center"/>
          </w:tcPr>
          <w:p w14:paraId="72A43313">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01A9CE0">
            <w:pPr>
              <w:widowControl/>
              <w:jc w:val="left"/>
              <w:rPr>
                <w:rFonts w:ascii="宋体" w:hAnsi="宋体"/>
                <w:color w:val="auto"/>
                <w:kern w:val="0"/>
                <w:sz w:val="22"/>
                <w:szCs w:val="22"/>
              </w:rPr>
            </w:pPr>
            <w:r>
              <w:rPr>
                <w:rFonts w:hint="eastAsia" w:ascii="宋体" w:hAnsi="宋体"/>
                <w:color w:val="auto"/>
                <w:kern w:val="0"/>
                <w:sz w:val="22"/>
                <w:szCs w:val="22"/>
              </w:rPr>
              <w:t>▲机身颜色</w:t>
            </w:r>
          </w:p>
        </w:tc>
        <w:tc>
          <w:tcPr>
            <w:tcW w:w="2735" w:type="pct"/>
            <w:tcBorders>
              <w:top w:val="single" w:color="auto" w:sz="4" w:space="0"/>
              <w:left w:val="single" w:color="auto" w:sz="4" w:space="0"/>
              <w:bottom w:val="single" w:color="auto" w:sz="4" w:space="0"/>
              <w:right w:val="single" w:color="auto" w:sz="4" w:space="0"/>
            </w:tcBorders>
            <w:vAlign w:val="center"/>
          </w:tcPr>
          <w:p w14:paraId="6E57DB96">
            <w:pPr>
              <w:widowControl/>
              <w:rPr>
                <w:rFonts w:ascii="宋体" w:hAnsi="宋体"/>
                <w:color w:val="auto"/>
                <w:kern w:val="0"/>
                <w:sz w:val="22"/>
                <w:szCs w:val="22"/>
              </w:rPr>
            </w:pPr>
            <w:r>
              <w:rPr>
                <w:rFonts w:hint="eastAsia" w:ascii="宋体" w:hAnsi="宋体"/>
                <w:color w:val="auto"/>
                <w:kern w:val="0"/>
                <w:sz w:val="22"/>
                <w:szCs w:val="22"/>
              </w:rPr>
              <w:t>含黑色商务色系</w:t>
            </w:r>
          </w:p>
        </w:tc>
      </w:tr>
      <w:tr w14:paraId="5E71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B23FD4E">
            <w:pPr>
              <w:widowControl/>
              <w:rPr>
                <w:rFonts w:ascii="宋体" w:hAnsi="宋体"/>
                <w:color w:val="auto"/>
                <w:kern w:val="0"/>
                <w:sz w:val="22"/>
                <w:szCs w:val="22"/>
              </w:rPr>
            </w:pPr>
            <w:r>
              <w:rPr>
                <w:rFonts w:hint="eastAsia" w:ascii="宋体" w:hAnsi="宋体"/>
                <w:color w:val="auto"/>
                <w:kern w:val="0"/>
                <w:sz w:val="22"/>
                <w:szCs w:val="22"/>
              </w:rPr>
              <w:t>80</w:t>
            </w:r>
          </w:p>
        </w:tc>
        <w:tc>
          <w:tcPr>
            <w:tcW w:w="0" w:type="auto"/>
            <w:vMerge w:val="continue"/>
            <w:tcBorders>
              <w:top w:val="nil"/>
              <w:left w:val="single" w:color="auto" w:sz="4" w:space="0"/>
              <w:bottom w:val="single" w:color="auto" w:sz="4" w:space="0"/>
              <w:right w:val="single" w:color="auto" w:sz="4" w:space="0"/>
            </w:tcBorders>
            <w:vAlign w:val="center"/>
          </w:tcPr>
          <w:p w14:paraId="086C9D15">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6119C70">
            <w:pPr>
              <w:widowControl/>
              <w:jc w:val="left"/>
              <w:rPr>
                <w:rFonts w:ascii="宋体" w:hAnsi="宋体"/>
                <w:color w:val="auto"/>
                <w:kern w:val="0"/>
                <w:sz w:val="22"/>
                <w:szCs w:val="22"/>
              </w:rPr>
            </w:pPr>
            <w:r>
              <w:rPr>
                <w:rFonts w:hint="eastAsia" w:ascii="宋体" w:hAnsi="宋体"/>
                <w:color w:val="auto"/>
                <w:kern w:val="0"/>
                <w:sz w:val="22"/>
                <w:szCs w:val="22"/>
              </w:rPr>
              <w:t>▲机箱尺寸容量</w:t>
            </w:r>
          </w:p>
        </w:tc>
        <w:tc>
          <w:tcPr>
            <w:tcW w:w="2735" w:type="pct"/>
            <w:tcBorders>
              <w:top w:val="single" w:color="auto" w:sz="4" w:space="0"/>
              <w:left w:val="single" w:color="auto" w:sz="4" w:space="0"/>
              <w:bottom w:val="single" w:color="auto" w:sz="4" w:space="0"/>
              <w:right w:val="single" w:color="auto" w:sz="4" w:space="0"/>
            </w:tcBorders>
            <w:vAlign w:val="center"/>
          </w:tcPr>
          <w:p w14:paraId="6B9CFA9D">
            <w:pPr>
              <w:widowControl/>
              <w:rPr>
                <w:rFonts w:ascii="宋体" w:hAnsi="宋体"/>
                <w:color w:val="auto"/>
                <w:kern w:val="0"/>
                <w:sz w:val="22"/>
                <w:szCs w:val="22"/>
              </w:rPr>
            </w:pPr>
            <w:r>
              <w:rPr>
                <w:rFonts w:hint="eastAsia" w:ascii="宋体" w:hAnsi="宋体"/>
                <w:color w:val="auto"/>
                <w:kern w:val="0"/>
                <w:sz w:val="22"/>
                <w:szCs w:val="22"/>
              </w:rPr>
              <w:t>机箱:≤16.5L</w:t>
            </w:r>
          </w:p>
        </w:tc>
      </w:tr>
      <w:tr w14:paraId="7686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299F602">
            <w:pPr>
              <w:widowControl/>
              <w:rPr>
                <w:rFonts w:ascii="宋体" w:hAnsi="宋体"/>
                <w:color w:val="auto"/>
                <w:kern w:val="0"/>
                <w:sz w:val="22"/>
                <w:szCs w:val="22"/>
              </w:rPr>
            </w:pPr>
            <w:r>
              <w:rPr>
                <w:rFonts w:hint="eastAsia" w:ascii="宋体" w:hAnsi="宋体"/>
                <w:color w:val="auto"/>
                <w:kern w:val="0"/>
                <w:sz w:val="22"/>
                <w:szCs w:val="22"/>
              </w:rPr>
              <w:t>81</w:t>
            </w:r>
          </w:p>
        </w:tc>
        <w:tc>
          <w:tcPr>
            <w:tcW w:w="807" w:type="pct"/>
            <w:vMerge w:val="restart"/>
            <w:tcBorders>
              <w:top w:val="nil"/>
              <w:left w:val="single" w:color="auto" w:sz="4" w:space="0"/>
              <w:bottom w:val="single" w:color="auto" w:sz="4" w:space="0"/>
              <w:right w:val="single" w:color="auto" w:sz="4" w:space="0"/>
            </w:tcBorders>
            <w:vAlign w:val="center"/>
          </w:tcPr>
          <w:p w14:paraId="413260C4">
            <w:pPr>
              <w:widowControl/>
              <w:rPr>
                <w:rFonts w:ascii="宋体" w:hAnsi="宋体"/>
                <w:color w:val="auto"/>
                <w:kern w:val="0"/>
                <w:sz w:val="22"/>
                <w:szCs w:val="22"/>
              </w:rPr>
            </w:pPr>
            <w:r>
              <w:rPr>
                <w:rFonts w:hint="eastAsia" w:ascii="宋体" w:hAnsi="宋体"/>
                <w:color w:val="auto"/>
                <w:kern w:val="0"/>
                <w:sz w:val="22"/>
                <w:szCs w:val="22"/>
              </w:rPr>
              <w:t>▲CPU 性能</w:t>
            </w:r>
          </w:p>
        </w:tc>
        <w:tc>
          <w:tcPr>
            <w:tcW w:w="1096" w:type="pct"/>
            <w:tcBorders>
              <w:top w:val="single" w:color="auto" w:sz="4" w:space="0"/>
              <w:left w:val="single" w:color="auto" w:sz="4" w:space="0"/>
              <w:bottom w:val="single" w:color="auto" w:sz="4" w:space="0"/>
              <w:right w:val="single" w:color="auto" w:sz="4" w:space="0"/>
            </w:tcBorders>
            <w:vAlign w:val="center"/>
          </w:tcPr>
          <w:p w14:paraId="3304CCFE">
            <w:pPr>
              <w:widowControl/>
              <w:jc w:val="left"/>
              <w:rPr>
                <w:rFonts w:ascii="宋体" w:hAnsi="宋体"/>
                <w:color w:val="auto"/>
                <w:kern w:val="0"/>
                <w:sz w:val="22"/>
                <w:szCs w:val="22"/>
              </w:rPr>
            </w:pPr>
            <w:r>
              <w:rPr>
                <w:rFonts w:hint="eastAsia" w:ascii="宋体" w:hAnsi="宋体"/>
                <w:color w:val="auto"/>
                <w:kern w:val="0"/>
                <w:sz w:val="22"/>
                <w:szCs w:val="22"/>
              </w:rPr>
              <w:t xml:space="preserve"> ▲CPU物理核数</w:t>
            </w:r>
          </w:p>
        </w:tc>
        <w:tc>
          <w:tcPr>
            <w:tcW w:w="2735" w:type="pct"/>
            <w:tcBorders>
              <w:top w:val="single" w:color="auto" w:sz="4" w:space="0"/>
              <w:left w:val="single" w:color="auto" w:sz="4" w:space="0"/>
              <w:bottom w:val="single" w:color="auto" w:sz="4" w:space="0"/>
              <w:right w:val="single" w:color="auto" w:sz="4" w:space="0"/>
            </w:tcBorders>
            <w:vAlign w:val="center"/>
          </w:tcPr>
          <w:p w14:paraId="22DBBC36">
            <w:pPr>
              <w:widowControl/>
              <w:rPr>
                <w:rFonts w:ascii="宋体" w:hAnsi="宋体"/>
                <w:color w:val="auto"/>
                <w:kern w:val="0"/>
                <w:sz w:val="22"/>
                <w:szCs w:val="22"/>
              </w:rPr>
            </w:pPr>
            <w:r>
              <w:rPr>
                <w:rFonts w:hint="eastAsia" w:ascii="宋体" w:hAnsi="宋体"/>
                <w:color w:val="auto"/>
                <w:kern w:val="0"/>
                <w:sz w:val="22"/>
                <w:szCs w:val="22"/>
              </w:rPr>
              <w:t>≥14</w:t>
            </w:r>
          </w:p>
        </w:tc>
      </w:tr>
      <w:tr w14:paraId="0A9A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E6319F1">
            <w:pPr>
              <w:widowControl/>
              <w:rPr>
                <w:rFonts w:ascii="宋体" w:hAnsi="宋体"/>
                <w:color w:val="auto"/>
                <w:kern w:val="0"/>
                <w:sz w:val="22"/>
                <w:szCs w:val="22"/>
              </w:rPr>
            </w:pPr>
            <w:r>
              <w:rPr>
                <w:rFonts w:hint="eastAsia" w:ascii="宋体" w:hAnsi="宋体"/>
                <w:color w:val="auto"/>
                <w:kern w:val="0"/>
                <w:sz w:val="22"/>
                <w:szCs w:val="22"/>
              </w:rPr>
              <w:t>82</w:t>
            </w:r>
          </w:p>
        </w:tc>
        <w:tc>
          <w:tcPr>
            <w:tcW w:w="0" w:type="auto"/>
            <w:vMerge w:val="continue"/>
            <w:tcBorders>
              <w:top w:val="nil"/>
              <w:left w:val="single" w:color="auto" w:sz="4" w:space="0"/>
              <w:bottom w:val="single" w:color="auto" w:sz="4" w:space="0"/>
              <w:right w:val="single" w:color="auto" w:sz="4" w:space="0"/>
            </w:tcBorders>
            <w:vAlign w:val="center"/>
          </w:tcPr>
          <w:p w14:paraId="53C7CAEB">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5BA3AD71">
            <w:pPr>
              <w:widowControl/>
              <w:jc w:val="left"/>
              <w:rPr>
                <w:rFonts w:ascii="宋体" w:hAnsi="宋体"/>
                <w:color w:val="auto"/>
                <w:kern w:val="0"/>
                <w:sz w:val="22"/>
                <w:szCs w:val="22"/>
              </w:rPr>
            </w:pPr>
            <w:r>
              <w:rPr>
                <w:rFonts w:hint="eastAsia" w:ascii="宋体" w:hAnsi="宋体"/>
                <w:color w:val="auto"/>
                <w:kern w:val="0"/>
                <w:sz w:val="22"/>
                <w:szCs w:val="22"/>
              </w:rPr>
              <w:t xml:space="preserve"> ▲CPU主频</w:t>
            </w:r>
          </w:p>
        </w:tc>
        <w:tc>
          <w:tcPr>
            <w:tcW w:w="2735" w:type="pct"/>
            <w:tcBorders>
              <w:top w:val="single" w:color="auto" w:sz="4" w:space="0"/>
              <w:left w:val="single" w:color="auto" w:sz="4" w:space="0"/>
              <w:bottom w:val="single" w:color="auto" w:sz="4" w:space="0"/>
              <w:right w:val="single" w:color="auto" w:sz="4" w:space="0"/>
            </w:tcBorders>
            <w:vAlign w:val="center"/>
          </w:tcPr>
          <w:p w14:paraId="31690DF8">
            <w:pPr>
              <w:widowControl/>
              <w:rPr>
                <w:rFonts w:ascii="宋体" w:hAnsi="宋体"/>
                <w:color w:val="auto"/>
                <w:kern w:val="0"/>
                <w:sz w:val="22"/>
                <w:szCs w:val="22"/>
              </w:rPr>
            </w:pPr>
            <w:r>
              <w:rPr>
                <w:rFonts w:hint="eastAsia" w:ascii="宋体" w:hAnsi="宋体"/>
                <w:color w:val="auto"/>
                <w:kern w:val="0"/>
                <w:sz w:val="22"/>
                <w:szCs w:val="22"/>
              </w:rPr>
              <w:t>≥2.6GHz</w:t>
            </w:r>
          </w:p>
        </w:tc>
      </w:tr>
      <w:tr w14:paraId="799D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92DABF9">
            <w:pPr>
              <w:widowControl/>
              <w:rPr>
                <w:rFonts w:ascii="宋体" w:hAnsi="宋体"/>
                <w:color w:val="auto"/>
                <w:kern w:val="0"/>
                <w:sz w:val="22"/>
                <w:szCs w:val="22"/>
              </w:rPr>
            </w:pPr>
            <w:r>
              <w:rPr>
                <w:rFonts w:hint="eastAsia" w:ascii="宋体" w:hAnsi="宋体"/>
                <w:color w:val="auto"/>
                <w:kern w:val="0"/>
                <w:sz w:val="22"/>
                <w:szCs w:val="22"/>
              </w:rPr>
              <w:t>83</w:t>
            </w:r>
          </w:p>
        </w:tc>
        <w:tc>
          <w:tcPr>
            <w:tcW w:w="0" w:type="auto"/>
            <w:vMerge w:val="continue"/>
            <w:tcBorders>
              <w:top w:val="nil"/>
              <w:left w:val="single" w:color="auto" w:sz="4" w:space="0"/>
              <w:bottom w:val="single" w:color="auto" w:sz="4" w:space="0"/>
              <w:right w:val="single" w:color="auto" w:sz="4" w:space="0"/>
            </w:tcBorders>
            <w:vAlign w:val="center"/>
          </w:tcPr>
          <w:p w14:paraId="45BA59F9">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0ECCCB31">
            <w:pPr>
              <w:widowControl/>
              <w:jc w:val="left"/>
              <w:rPr>
                <w:rFonts w:ascii="宋体" w:hAnsi="宋体"/>
                <w:color w:val="auto"/>
                <w:kern w:val="0"/>
                <w:sz w:val="22"/>
                <w:szCs w:val="22"/>
              </w:rPr>
            </w:pPr>
            <w:r>
              <w:rPr>
                <w:rFonts w:hint="eastAsia" w:ascii="宋体" w:hAnsi="宋体"/>
                <w:color w:val="auto"/>
                <w:kern w:val="0"/>
                <w:sz w:val="22"/>
                <w:szCs w:val="22"/>
              </w:rPr>
              <w:t xml:space="preserve"> ▲CPU 末级缓存容量</w:t>
            </w:r>
          </w:p>
        </w:tc>
        <w:tc>
          <w:tcPr>
            <w:tcW w:w="2735" w:type="pct"/>
            <w:tcBorders>
              <w:top w:val="single" w:color="auto" w:sz="4" w:space="0"/>
              <w:left w:val="single" w:color="auto" w:sz="4" w:space="0"/>
              <w:bottom w:val="single" w:color="auto" w:sz="4" w:space="0"/>
              <w:right w:val="single" w:color="auto" w:sz="4" w:space="0"/>
            </w:tcBorders>
            <w:vAlign w:val="center"/>
          </w:tcPr>
          <w:p w14:paraId="6DD7079E">
            <w:pPr>
              <w:widowControl/>
              <w:rPr>
                <w:rFonts w:ascii="宋体" w:hAnsi="宋体"/>
                <w:color w:val="auto"/>
                <w:kern w:val="0"/>
                <w:sz w:val="22"/>
                <w:szCs w:val="22"/>
              </w:rPr>
            </w:pPr>
            <w:r>
              <w:rPr>
                <w:rFonts w:hint="eastAsia" w:ascii="宋体" w:hAnsi="宋体"/>
                <w:color w:val="auto"/>
                <w:kern w:val="0"/>
                <w:sz w:val="22"/>
                <w:szCs w:val="22"/>
              </w:rPr>
              <w:t>≥24MB</w:t>
            </w:r>
          </w:p>
        </w:tc>
      </w:tr>
      <w:tr w14:paraId="2614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C5A6951">
            <w:pPr>
              <w:widowControl/>
              <w:rPr>
                <w:rFonts w:ascii="宋体" w:hAnsi="宋体"/>
                <w:color w:val="auto"/>
                <w:kern w:val="0"/>
                <w:sz w:val="22"/>
                <w:szCs w:val="22"/>
              </w:rPr>
            </w:pPr>
            <w:r>
              <w:rPr>
                <w:rFonts w:hint="eastAsia" w:ascii="宋体" w:hAnsi="宋体"/>
                <w:color w:val="auto"/>
                <w:kern w:val="0"/>
                <w:sz w:val="22"/>
                <w:szCs w:val="22"/>
              </w:rPr>
              <w:t>84</w:t>
            </w:r>
          </w:p>
        </w:tc>
        <w:tc>
          <w:tcPr>
            <w:tcW w:w="0" w:type="auto"/>
            <w:vMerge w:val="continue"/>
            <w:tcBorders>
              <w:top w:val="nil"/>
              <w:left w:val="single" w:color="auto" w:sz="4" w:space="0"/>
              <w:bottom w:val="single" w:color="auto" w:sz="4" w:space="0"/>
              <w:right w:val="single" w:color="auto" w:sz="4" w:space="0"/>
            </w:tcBorders>
            <w:vAlign w:val="center"/>
          </w:tcPr>
          <w:p w14:paraId="329C030E">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ECAB83C">
            <w:pPr>
              <w:widowControl/>
              <w:jc w:val="left"/>
              <w:rPr>
                <w:rFonts w:ascii="宋体" w:hAnsi="宋体"/>
                <w:color w:val="auto"/>
                <w:kern w:val="0"/>
                <w:sz w:val="22"/>
                <w:szCs w:val="22"/>
              </w:rPr>
            </w:pPr>
            <w:r>
              <w:rPr>
                <w:rFonts w:hint="eastAsia" w:ascii="宋体" w:hAnsi="宋体"/>
                <w:color w:val="auto"/>
                <w:kern w:val="0"/>
                <w:sz w:val="22"/>
                <w:szCs w:val="22"/>
              </w:rPr>
              <w:t xml:space="preserve"> ▲CPU支持的内存最高速率</w:t>
            </w:r>
          </w:p>
        </w:tc>
        <w:tc>
          <w:tcPr>
            <w:tcW w:w="2735" w:type="pct"/>
            <w:tcBorders>
              <w:top w:val="single" w:color="auto" w:sz="4" w:space="0"/>
              <w:left w:val="single" w:color="auto" w:sz="4" w:space="0"/>
              <w:bottom w:val="single" w:color="auto" w:sz="4" w:space="0"/>
              <w:right w:val="single" w:color="auto" w:sz="4" w:space="0"/>
            </w:tcBorders>
            <w:vAlign w:val="center"/>
          </w:tcPr>
          <w:p w14:paraId="161AF22C">
            <w:pPr>
              <w:widowControl/>
              <w:rPr>
                <w:rFonts w:ascii="宋体" w:hAnsi="宋体"/>
                <w:color w:val="auto"/>
                <w:kern w:val="0"/>
                <w:sz w:val="22"/>
                <w:szCs w:val="22"/>
              </w:rPr>
            </w:pPr>
            <w:r>
              <w:rPr>
                <w:rFonts w:hint="eastAsia" w:ascii="宋体" w:hAnsi="宋体"/>
                <w:color w:val="auto"/>
                <w:kern w:val="0"/>
                <w:sz w:val="22"/>
                <w:szCs w:val="22"/>
              </w:rPr>
              <w:t>≥4800MT/s</w:t>
            </w:r>
          </w:p>
        </w:tc>
      </w:tr>
      <w:tr w14:paraId="7F41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42CCE7D">
            <w:pPr>
              <w:widowControl/>
              <w:rPr>
                <w:rFonts w:ascii="宋体" w:hAnsi="宋体"/>
                <w:color w:val="auto"/>
                <w:kern w:val="0"/>
                <w:sz w:val="22"/>
                <w:szCs w:val="22"/>
              </w:rPr>
            </w:pPr>
            <w:r>
              <w:rPr>
                <w:rFonts w:hint="eastAsia" w:ascii="宋体" w:hAnsi="宋体"/>
                <w:color w:val="auto"/>
                <w:kern w:val="0"/>
                <w:sz w:val="22"/>
                <w:szCs w:val="22"/>
              </w:rPr>
              <w:t>85</w:t>
            </w:r>
          </w:p>
        </w:tc>
        <w:tc>
          <w:tcPr>
            <w:tcW w:w="807" w:type="pct"/>
            <w:tcBorders>
              <w:top w:val="single" w:color="auto" w:sz="4" w:space="0"/>
              <w:left w:val="single" w:color="auto" w:sz="4" w:space="0"/>
              <w:bottom w:val="single" w:color="auto" w:sz="4" w:space="0"/>
              <w:right w:val="single" w:color="auto" w:sz="4" w:space="0"/>
            </w:tcBorders>
            <w:vAlign w:val="center"/>
          </w:tcPr>
          <w:p w14:paraId="348F55CD">
            <w:pPr>
              <w:widowControl/>
              <w:rPr>
                <w:rFonts w:ascii="宋体" w:hAnsi="宋体"/>
                <w:color w:val="auto"/>
                <w:kern w:val="0"/>
                <w:sz w:val="22"/>
                <w:szCs w:val="22"/>
              </w:rPr>
            </w:pPr>
            <w:r>
              <w:rPr>
                <w:rFonts w:hint="eastAsia" w:ascii="宋体" w:hAnsi="宋体"/>
                <w:color w:val="auto"/>
                <w:kern w:val="0"/>
                <w:sz w:val="22"/>
                <w:szCs w:val="22"/>
              </w:rPr>
              <w:t>▲内存性能</w:t>
            </w:r>
          </w:p>
        </w:tc>
        <w:tc>
          <w:tcPr>
            <w:tcW w:w="1096" w:type="pct"/>
            <w:tcBorders>
              <w:top w:val="single" w:color="auto" w:sz="4" w:space="0"/>
              <w:left w:val="single" w:color="auto" w:sz="4" w:space="0"/>
              <w:bottom w:val="single" w:color="auto" w:sz="4" w:space="0"/>
              <w:right w:val="single" w:color="auto" w:sz="4" w:space="0"/>
            </w:tcBorders>
            <w:vAlign w:val="center"/>
          </w:tcPr>
          <w:p w14:paraId="70FA3DC4">
            <w:pPr>
              <w:widowControl/>
              <w:jc w:val="left"/>
              <w:rPr>
                <w:rFonts w:ascii="宋体" w:hAnsi="宋体"/>
                <w:color w:val="auto"/>
                <w:kern w:val="0"/>
                <w:sz w:val="22"/>
                <w:szCs w:val="22"/>
              </w:rPr>
            </w:pPr>
            <w:r>
              <w:rPr>
                <w:rFonts w:hint="eastAsia" w:ascii="宋体" w:hAnsi="宋体"/>
                <w:color w:val="auto"/>
                <w:kern w:val="0"/>
                <w:sz w:val="22"/>
                <w:szCs w:val="22"/>
              </w:rPr>
              <w:t xml:space="preserve"> ▲内存读写速率</w:t>
            </w:r>
          </w:p>
        </w:tc>
        <w:tc>
          <w:tcPr>
            <w:tcW w:w="2735" w:type="pct"/>
            <w:tcBorders>
              <w:top w:val="single" w:color="auto" w:sz="4" w:space="0"/>
              <w:left w:val="single" w:color="auto" w:sz="4" w:space="0"/>
              <w:bottom w:val="single" w:color="auto" w:sz="4" w:space="0"/>
              <w:right w:val="single" w:color="auto" w:sz="4" w:space="0"/>
            </w:tcBorders>
            <w:vAlign w:val="center"/>
          </w:tcPr>
          <w:p w14:paraId="64508168">
            <w:pPr>
              <w:widowControl/>
              <w:rPr>
                <w:rFonts w:ascii="宋体" w:hAnsi="宋体"/>
                <w:color w:val="auto"/>
                <w:kern w:val="0"/>
                <w:sz w:val="22"/>
                <w:szCs w:val="22"/>
              </w:rPr>
            </w:pPr>
            <w:r>
              <w:rPr>
                <w:rFonts w:hint="eastAsia" w:ascii="宋体" w:hAnsi="宋体"/>
                <w:color w:val="auto"/>
                <w:kern w:val="0"/>
                <w:sz w:val="22"/>
                <w:szCs w:val="22"/>
              </w:rPr>
              <w:t>≥4800MT/s</w:t>
            </w:r>
          </w:p>
        </w:tc>
      </w:tr>
      <w:tr w14:paraId="13C0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05AC569">
            <w:pPr>
              <w:widowControl/>
              <w:rPr>
                <w:rFonts w:ascii="宋体" w:hAnsi="宋体"/>
                <w:color w:val="auto"/>
                <w:kern w:val="0"/>
                <w:sz w:val="22"/>
                <w:szCs w:val="22"/>
              </w:rPr>
            </w:pPr>
            <w:r>
              <w:rPr>
                <w:rFonts w:hint="eastAsia" w:ascii="宋体" w:hAnsi="宋体"/>
                <w:color w:val="auto"/>
                <w:kern w:val="0"/>
                <w:sz w:val="22"/>
                <w:szCs w:val="22"/>
              </w:rPr>
              <w:t>86</w:t>
            </w:r>
          </w:p>
        </w:tc>
        <w:tc>
          <w:tcPr>
            <w:tcW w:w="807" w:type="pct"/>
            <w:vMerge w:val="restart"/>
            <w:tcBorders>
              <w:top w:val="nil"/>
              <w:left w:val="single" w:color="auto" w:sz="4" w:space="0"/>
              <w:bottom w:val="single" w:color="auto" w:sz="4" w:space="0"/>
              <w:right w:val="single" w:color="auto" w:sz="4" w:space="0"/>
            </w:tcBorders>
            <w:vAlign w:val="center"/>
          </w:tcPr>
          <w:p w14:paraId="5440858B">
            <w:pPr>
              <w:widowControl/>
              <w:rPr>
                <w:rFonts w:ascii="宋体" w:hAnsi="宋体"/>
                <w:color w:val="auto"/>
                <w:kern w:val="0"/>
                <w:sz w:val="22"/>
                <w:szCs w:val="22"/>
              </w:rPr>
            </w:pPr>
            <w:r>
              <w:rPr>
                <w:rFonts w:hint="eastAsia" w:ascii="宋体" w:hAnsi="宋体"/>
                <w:color w:val="auto"/>
                <w:kern w:val="0"/>
                <w:sz w:val="22"/>
                <w:szCs w:val="22"/>
              </w:rPr>
              <w:t>▲显卡性能</w:t>
            </w:r>
          </w:p>
        </w:tc>
        <w:tc>
          <w:tcPr>
            <w:tcW w:w="1096" w:type="pct"/>
            <w:tcBorders>
              <w:top w:val="single" w:color="auto" w:sz="4" w:space="0"/>
              <w:left w:val="single" w:color="auto" w:sz="4" w:space="0"/>
              <w:bottom w:val="single" w:color="auto" w:sz="4" w:space="0"/>
              <w:right w:val="single" w:color="auto" w:sz="4" w:space="0"/>
            </w:tcBorders>
            <w:vAlign w:val="center"/>
          </w:tcPr>
          <w:p w14:paraId="2FED263B">
            <w:pPr>
              <w:widowControl/>
              <w:jc w:val="left"/>
              <w:rPr>
                <w:rFonts w:ascii="宋体" w:hAnsi="宋体"/>
                <w:color w:val="auto"/>
                <w:kern w:val="0"/>
                <w:sz w:val="22"/>
                <w:szCs w:val="22"/>
              </w:rPr>
            </w:pPr>
            <w:r>
              <w:rPr>
                <w:rFonts w:hint="eastAsia" w:ascii="宋体" w:hAnsi="宋体"/>
                <w:color w:val="auto"/>
                <w:kern w:val="0"/>
                <w:sz w:val="22"/>
                <w:szCs w:val="22"/>
              </w:rPr>
              <w:t xml:space="preserve"> ▲显示分辨率</w:t>
            </w:r>
          </w:p>
        </w:tc>
        <w:tc>
          <w:tcPr>
            <w:tcW w:w="2735" w:type="pct"/>
            <w:tcBorders>
              <w:top w:val="single" w:color="auto" w:sz="4" w:space="0"/>
              <w:left w:val="single" w:color="auto" w:sz="4" w:space="0"/>
              <w:bottom w:val="single" w:color="auto" w:sz="4" w:space="0"/>
              <w:right w:val="single" w:color="auto" w:sz="4" w:space="0"/>
            </w:tcBorders>
            <w:vAlign w:val="center"/>
          </w:tcPr>
          <w:p w14:paraId="7C7E50BE">
            <w:pPr>
              <w:widowControl/>
              <w:rPr>
                <w:rFonts w:ascii="宋体" w:hAnsi="宋体"/>
                <w:color w:val="auto"/>
                <w:kern w:val="0"/>
                <w:sz w:val="22"/>
                <w:szCs w:val="22"/>
              </w:rPr>
            </w:pPr>
            <w:r>
              <w:rPr>
                <w:rFonts w:hint="eastAsia" w:ascii="宋体" w:hAnsi="宋体"/>
                <w:color w:val="auto"/>
                <w:kern w:val="0"/>
                <w:sz w:val="22"/>
                <w:szCs w:val="22"/>
              </w:rPr>
              <w:t>≥1920x1080</w:t>
            </w:r>
          </w:p>
        </w:tc>
      </w:tr>
      <w:tr w14:paraId="0D88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00F10FE">
            <w:pPr>
              <w:widowControl/>
              <w:rPr>
                <w:rFonts w:ascii="宋体" w:hAnsi="宋体"/>
                <w:color w:val="auto"/>
                <w:kern w:val="0"/>
                <w:sz w:val="22"/>
                <w:szCs w:val="22"/>
              </w:rPr>
            </w:pPr>
            <w:r>
              <w:rPr>
                <w:rFonts w:hint="eastAsia" w:ascii="宋体" w:hAnsi="宋体"/>
                <w:color w:val="auto"/>
                <w:kern w:val="0"/>
                <w:sz w:val="22"/>
                <w:szCs w:val="22"/>
              </w:rPr>
              <w:t>87</w:t>
            </w:r>
          </w:p>
        </w:tc>
        <w:tc>
          <w:tcPr>
            <w:tcW w:w="0" w:type="auto"/>
            <w:vMerge w:val="continue"/>
            <w:tcBorders>
              <w:top w:val="nil"/>
              <w:left w:val="single" w:color="auto" w:sz="4" w:space="0"/>
              <w:bottom w:val="single" w:color="auto" w:sz="4" w:space="0"/>
              <w:right w:val="single" w:color="auto" w:sz="4" w:space="0"/>
            </w:tcBorders>
            <w:vAlign w:val="center"/>
          </w:tcPr>
          <w:p w14:paraId="74A6198D">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69CF3185">
            <w:pPr>
              <w:widowControl/>
              <w:jc w:val="left"/>
              <w:rPr>
                <w:rFonts w:ascii="宋体" w:hAnsi="宋体"/>
                <w:color w:val="auto"/>
                <w:kern w:val="0"/>
                <w:sz w:val="22"/>
                <w:szCs w:val="22"/>
              </w:rPr>
            </w:pPr>
            <w:r>
              <w:rPr>
                <w:rFonts w:hint="eastAsia" w:ascii="宋体" w:hAnsi="宋体"/>
                <w:color w:val="auto"/>
                <w:kern w:val="0"/>
                <w:sz w:val="22"/>
                <w:szCs w:val="22"/>
              </w:rPr>
              <w:t xml:space="preserve"> ▲显卡显示芯片核心频率</w:t>
            </w:r>
          </w:p>
        </w:tc>
        <w:tc>
          <w:tcPr>
            <w:tcW w:w="2735" w:type="pct"/>
            <w:tcBorders>
              <w:top w:val="single" w:color="auto" w:sz="4" w:space="0"/>
              <w:left w:val="single" w:color="auto" w:sz="4" w:space="0"/>
              <w:bottom w:val="single" w:color="auto" w:sz="4" w:space="0"/>
              <w:right w:val="single" w:color="auto" w:sz="4" w:space="0"/>
            </w:tcBorders>
            <w:vAlign w:val="center"/>
          </w:tcPr>
          <w:p w14:paraId="4F329259">
            <w:pPr>
              <w:widowControl/>
              <w:rPr>
                <w:rFonts w:ascii="宋体" w:hAnsi="宋体"/>
                <w:color w:val="auto"/>
                <w:kern w:val="0"/>
                <w:sz w:val="22"/>
                <w:szCs w:val="22"/>
              </w:rPr>
            </w:pPr>
            <w:r>
              <w:rPr>
                <w:rFonts w:hint="eastAsia" w:ascii="宋体" w:hAnsi="宋体"/>
                <w:color w:val="auto"/>
                <w:kern w:val="0"/>
                <w:sz w:val="22"/>
                <w:szCs w:val="22"/>
              </w:rPr>
              <w:t>≥300MHz（集成显卡性能）</w:t>
            </w:r>
          </w:p>
        </w:tc>
      </w:tr>
      <w:tr w14:paraId="1BA3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7DADE64">
            <w:pPr>
              <w:widowControl/>
              <w:rPr>
                <w:rFonts w:ascii="宋体" w:hAnsi="宋体"/>
                <w:color w:val="auto"/>
                <w:kern w:val="0"/>
                <w:sz w:val="22"/>
                <w:szCs w:val="22"/>
              </w:rPr>
            </w:pPr>
            <w:r>
              <w:rPr>
                <w:rFonts w:hint="eastAsia" w:ascii="宋体" w:hAnsi="宋体"/>
                <w:color w:val="auto"/>
                <w:kern w:val="0"/>
                <w:sz w:val="22"/>
                <w:szCs w:val="22"/>
              </w:rPr>
              <w:t>88</w:t>
            </w:r>
          </w:p>
        </w:tc>
        <w:tc>
          <w:tcPr>
            <w:tcW w:w="0" w:type="auto"/>
            <w:vMerge w:val="continue"/>
            <w:tcBorders>
              <w:top w:val="nil"/>
              <w:left w:val="single" w:color="auto" w:sz="4" w:space="0"/>
              <w:bottom w:val="single" w:color="auto" w:sz="4" w:space="0"/>
              <w:right w:val="single" w:color="auto" w:sz="4" w:space="0"/>
            </w:tcBorders>
            <w:vAlign w:val="center"/>
          </w:tcPr>
          <w:p w14:paraId="1FE77820">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8C8D5B8">
            <w:pPr>
              <w:widowControl/>
              <w:jc w:val="left"/>
              <w:rPr>
                <w:rFonts w:ascii="宋体" w:hAnsi="宋体"/>
                <w:color w:val="auto"/>
                <w:kern w:val="0"/>
                <w:sz w:val="22"/>
                <w:szCs w:val="22"/>
              </w:rPr>
            </w:pPr>
            <w:r>
              <w:rPr>
                <w:rFonts w:hint="eastAsia" w:ascii="宋体" w:hAnsi="宋体"/>
                <w:color w:val="auto"/>
                <w:kern w:val="0"/>
                <w:sz w:val="22"/>
                <w:szCs w:val="22"/>
              </w:rPr>
              <w:t xml:space="preserve"> ▲显存等效频率</w:t>
            </w:r>
          </w:p>
        </w:tc>
        <w:tc>
          <w:tcPr>
            <w:tcW w:w="2735" w:type="pct"/>
            <w:tcBorders>
              <w:top w:val="single" w:color="auto" w:sz="4" w:space="0"/>
              <w:left w:val="single" w:color="auto" w:sz="4" w:space="0"/>
              <w:bottom w:val="single" w:color="auto" w:sz="4" w:space="0"/>
              <w:right w:val="single" w:color="auto" w:sz="4" w:space="0"/>
            </w:tcBorders>
            <w:vAlign w:val="center"/>
          </w:tcPr>
          <w:p w14:paraId="12416D8F">
            <w:pPr>
              <w:widowControl/>
              <w:rPr>
                <w:rFonts w:ascii="宋体" w:hAnsi="宋体"/>
                <w:color w:val="auto"/>
                <w:kern w:val="0"/>
                <w:sz w:val="22"/>
                <w:szCs w:val="22"/>
              </w:rPr>
            </w:pPr>
            <w:r>
              <w:rPr>
                <w:rFonts w:hint="eastAsia" w:ascii="宋体" w:hAnsi="宋体"/>
                <w:color w:val="auto"/>
                <w:kern w:val="0"/>
                <w:sz w:val="22"/>
                <w:szCs w:val="22"/>
              </w:rPr>
              <w:t>≥1000MT/s（集成显卡性能）</w:t>
            </w:r>
          </w:p>
        </w:tc>
      </w:tr>
      <w:tr w14:paraId="7304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FFFCF75">
            <w:pPr>
              <w:widowControl/>
              <w:rPr>
                <w:rFonts w:ascii="宋体" w:hAnsi="宋体"/>
                <w:color w:val="auto"/>
                <w:kern w:val="0"/>
                <w:sz w:val="22"/>
                <w:szCs w:val="22"/>
              </w:rPr>
            </w:pPr>
            <w:r>
              <w:rPr>
                <w:rFonts w:hint="eastAsia" w:ascii="宋体" w:hAnsi="宋体"/>
                <w:color w:val="auto"/>
                <w:kern w:val="0"/>
                <w:sz w:val="22"/>
                <w:szCs w:val="22"/>
              </w:rPr>
              <w:t>89</w:t>
            </w:r>
          </w:p>
        </w:tc>
        <w:tc>
          <w:tcPr>
            <w:tcW w:w="0" w:type="auto"/>
            <w:vMerge w:val="continue"/>
            <w:tcBorders>
              <w:top w:val="nil"/>
              <w:left w:val="single" w:color="auto" w:sz="4" w:space="0"/>
              <w:bottom w:val="single" w:color="auto" w:sz="4" w:space="0"/>
              <w:right w:val="single" w:color="auto" w:sz="4" w:space="0"/>
            </w:tcBorders>
            <w:vAlign w:val="center"/>
          </w:tcPr>
          <w:p w14:paraId="62EFDE74">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64D6D56">
            <w:pPr>
              <w:widowControl/>
              <w:jc w:val="left"/>
              <w:rPr>
                <w:rFonts w:ascii="宋体" w:hAnsi="宋体"/>
                <w:color w:val="auto"/>
                <w:kern w:val="0"/>
                <w:sz w:val="22"/>
                <w:szCs w:val="22"/>
              </w:rPr>
            </w:pPr>
            <w:r>
              <w:rPr>
                <w:rFonts w:hint="eastAsia" w:ascii="宋体" w:hAnsi="宋体"/>
                <w:color w:val="auto"/>
                <w:kern w:val="0"/>
                <w:sz w:val="22"/>
                <w:szCs w:val="22"/>
              </w:rPr>
              <w:t xml:space="preserve"> ▲显卡可支持多屏同时显示数量</w:t>
            </w:r>
          </w:p>
        </w:tc>
        <w:tc>
          <w:tcPr>
            <w:tcW w:w="2735" w:type="pct"/>
            <w:tcBorders>
              <w:top w:val="single" w:color="auto" w:sz="4" w:space="0"/>
              <w:left w:val="single" w:color="auto" w:sz="4" w:space="0"/>
              <w:bottom w:val="single" w:color="auto" w:sz="4" w:space="0"/>
              <w:right w:val="single" w:color="auto" w:sz="4" w:space="0"/>
            </w:tcBorders>
            <w:vAlign w:val="center"/>
          </w:tcPr>
          <w:p w14:paraId="6A91444C">
            <w:pPr>
              <w:widowControl/>
              <w:rPr>
                <w:rFonts w:ascii="宋体" w:hAnsi="宋体"/>
                <w:color w:val="auto"/>
                <w:kern w:val="0"/>
                <w:sz w:val="22"/>
                <w:szCs w:val="22"/>
              </w:rPr>
            </w:pPr>
            <w:r>
              <w:rPr>
                <w:rFonts w:hint="eastAsia" w:ascii="宋体" w:hAnsi="宋体"/>
                <w:color w:val="auto"/>
                <w:kern w:val="0"/>
                <w:sz w:val="22"/>
                <w:szCs w:val="22"/>
              </w:rPr>
              <w:t>显卡支持≥2块屏幕同时显示，分辨率≥1920×1080</w:t>
            </w:r>
          </w:p>
        </w:tc>
      </w:tr>
      <w:tr w14:paraId="1B2E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EBFCA2F">
            <w:pPr>
              <w:widowControl/>
              <w:rPr>
                <w:rFonts w:ascii="宋体" w:hAnsi="宋体"/>
                <w:color w:val="auto"/>
                <w:kern w:val="0"/>
                <w:sz w:val="22"/>
                <w:szCs w:val="22"/>
              </w:rPr>
            </w:pPr>
            <w:r>
              <w:rPr>
                <w:rFonts w:hint="eastAsia" w:ascii="宋体" w:hAnsi="宋体"/>
                <w:color w:val="auto"/>
                <w:kern w:val="0"/>
                <w:sz w:val="22"/>
                <w:szCs w:val="22"/>
              </w:rPr>
              <w:t>90</w:t>
            </w:r>
          </w:p>
        </w:tc>
        <w:tc>
          <w:tcPr>
            <w:tcW w:w="807" w:type="pct"/>
            <w:vMerge w:val="restart"/>
            <w:tcBorders>
              <w:top w:val="nil"/>
              <w:left w:val="single" w:color="auto" w:sz="4" w:space="0"/>
              <w:bottom w:val="single" w:color="auto" w:sz="4" w:space="0"/>
              <w:right w:val="single" w:color="auto" w:sz="4" w:space="0"/>
            </w:tcBorders>
            <w:vAlign w:val="center"/>
          </w:tcPr>
          <w:p w14:paraId="0EB5642A">
            <w:pPr>
              <w:widowControl/>
              <w:rPr>
                <w:rFonts w:ascii="宋体" w:hAnsi="宋体"/>
                <w:color w:val="auto"/>
                <w:kern w:val="0"/>
                <w:sz w:val="22"/>
                <w:szCs w:val="22"/>
              </w:rPr>
            </w:pPr>
            <w:r>
              <w:rPr>
                <w:rFonts w:hint="eastAsia" w:ascii="宋体" w:hAnsi="宋体"/>
                <w:color w:val="auto"/>
                <w:kern w:val="0"/>
                <w:sz w:val="22"/>
                <w:szCs w:val="22"/>
              </w:rPr>
              <w:t>▲显示设备性能</w:t>
            </w:r>
          </w:p>
        </w:tc>
        <w:tc>
          <w:tcPr>
            <w:tcW w:w="1096" w:type="pct"/>
            <w:tcBorders>
              <w:top w:val="single" w:color="auto" w:sz="4" w:space="0"/>
              <w:left w:val="single" w:color="auto" w:sz="4" w:space="0"/>
              <w:bottom w:val="single" w:color="auto" w:sz="4" w:space="0"/>
              <w:right w:val="single" w:color="auto" w:sz="4" w:space="0"/>
            </w:tcBorders>
            <w:vAlign w:val="center"/>
          </w:tcPr>
          <w:p w14:paraId="7A5D9723">
            <w:pPr>
              <w:widowControl/>
              <w:jc w:val="left"/>
              <w:rPr>
                <w:rFonts w:ascii="宋体" w:hAnsi="宋体"/>
                <w:color w:val="auto"/>
                <w:kern w:val="0"/>
                <w:sz w:val="22"/>
                <w:szCs w:val="22"/>
              </w:rPr>
            </w:pPr>
            <w:r>
              <w:rPr>
                <w:rFonts w:hint="eastAsia" w:ascii="宋体" w:hAnsi="宋体"/>
                <w:color w:val="auto"/>
                <w:kern w:val="0"/>
                <w:sz w:val="22"/>
                <w:szCs w:val="22"/>
              </w:rPr>
              <w:t xml:space="preserve"> ▲显示屏刷新率</w:t>
            </w:r>
          </w:p>
        </w:tc>
        <w:tc>
          <w:tcPr>
            <w:tcW w:w="2735" w:type="pct"/>
            <w:tcBorders>
              <w:top w:val="single" w:color="auto" w:sz="4" w:space="0"/>
              <w:left w:val="single" w:color="auto" w:sz="4" w:space="0"/>
              <w:bottom w:val="single" w:color="auto" w:sz="4" w:space="0"/>
              <w:right w:val="single" w:color="auto" w:sz="4" w:space="0"/>
            </w:tcBorders>
            <w:vAlign w:val="center"/>
          </w:tcPr>
          <w:p w14:paraId="0A764BAB">
            <w:pPr>
              <w:widowControl/>
              <w:rPr>
                <w:rFonts w:ascii="宋体" w:hAnsi="宋体"/>
                <w:color w:val="auto"/>
                <w:kern w:val="0"/>
                <w:sz w:val="22"/>
                <w:szCs w:val="22"/>
              </w:rPr>
            </w:pPr>
            <w:r>
              <w:rPr>
                <w:rFonts w:hint="eastAsia" w:ascii="宋体" w:hAnsi="宋体"/>
                <w:color w:val="auto"/>
                <w:kern w:val="0"/>
                <w:sz w:val="22"/>
                <w:szCs w:val="22"/>
              </w:rPr>
              <w:t>≥75Hz</w:t>
            </w:r>
          </w:p>
        </w:tc>
      </w:tr>
      <w:tr w14:paraId="47F7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DD9F497">
            <w:pPr>
              <w:widowControl/>
              <w:rPr>
                <w:rFonts w:ascii="宋体" w:hAnsi="宋体"/>
                <w:color w:val="auto"/>
                <w:kern w:val="0"/>
                <w:sz w:val="22"/>
                <w:szCs w:val="22"/>
              </w:rPr>
            </w:pPr>
            <w:r>
              <w:rPr>
                <w:rFonts w:hint="eastAsia" w:ascii="宋体" w:hAnsi="宋体"/>
                <w:color w:val="auto"/>
                <w:kern w:val="0"/>
                <w:sz w:val="22"/>
                <w:szCs w:val="22"/>
              </w:rPr>
              <w:t>91</w:t>
            </w:r>
          </w:p>
        </w:tc>
        <w:tc>
          <w:tcPr>
            <w:tcW w:w="0" w:type="auto"/>
            <w:vMerge w:val="continue"/>
            <w:tcBorders>
              <w:top w:val="nil"/>
              <w:left w:val="single" w:color="auto" w:sz="4" w:space="0"/>
              <w:bottom w:val="single" w:color="auto" w:sz="4" w:space="0"/>
              <w:right w:val="single" w:color="auto" w:sz="4" w:space="0"/>
            </w:tcBorders>
            <w:vAlign w:val="center"/>
          </w:tcPr>
          <w:p w14:paraId="71D5F06F">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0762ECD9">
            <w:pPr>
              <w:widowControl/>
              <w:jc w:val="left"/>
              <w:rPr>
                <w:rFonts w:ascii="宋体" w:hAnsi="宋体"/>
                <w:color w:val="auto"/>
                <w:kern w:val="0"/>
                <w:sz w:val="22"/>
                <w:szCs w:val="22"/>
              </w:rPr>
            </w:pPr>
            <w:r>
              <w:rPr>
                <w:rFonts w:hint="eastAsia" w:ascii="宋体" w:hAnsi="宋体"/>
                <w:color w:val="auto"/>
                <w:kern w:val="0"/>
                <w:sz w:val="22"/>
                <w:szCs w:val="22"/>
              </w:rPr>
              <w:t xml:space="preserve"> ▲显示屏位深</w:t>
            </w:r>
          </w:p>
        </w:tc>
        <w:tc>
          <w:tcPr>
            <w:tcW w:w="2735" w:type="pct"/>
            <w:tcBorders>
              <w:top w:val="single" w:color="auto" w:sz="4" w:space="0"/>
              <w:left w:val="single" w:color="auto" w:sz="4" w:space="0"/>
              <w:bottom w:val="single" w:color="auto" w:sz="4" w:space="0"/>
              <w:right w:val="single" w:color="auto" w:sz="4" w:space="0"/>
            </w:tcBorders>
            <w:vAlign w:val="center"/>
          </w:tcPr>
          <w:p w14:paraId="6CA96217">
            <w:pPr>
              <w:widowControl/>
              <w:rPr>
                <w:rFonts w:ascii="宋体" w:hAnsi="宋体"/>
                <w:color w:val="auto"/>
                <w:kern w:val="0"/>
                <w:sz w:val="22"/>
                <w:szCs w:val="22"/>
              </w:rPr>
            </w:pPr>
            <w:r>
              <w:rPr>
                <w:rFonts w:hint="eastAsia" w:ascii="宋体" w:hAnsi="宋体"/>
                <w:color w:val="auto"/>
                <w:kern w:val="0"/>
                <w:sz w:val="22"/>
                <w:szCs w:val="22"/>
              </w:rPr>
              <w:t>≥8位</w:t>
            </w:r>
          </w:p>
        </w:tc>
      </w:tr>
      <w:tr w14:paraId="3D57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9CCDC80">
            <w:pPr>
              <w:widowControl/>
              <w:rPr>
                <w:rFonts w:ascii="宋体" w:hAnsi="宋体"/>
                <w:color w:val="auto"/>
                <w:kern w:val="0"/>
                <w:sz w:val="22"/>
                <w:szCs w:val="22"/>
              </w:rPr>
            </w:pPr>
            <w:r>
              <w:rPr>
                <w:rFonts w:hint="eastAsia" w:ascii="宋体" w:hAnsi="宋体"/>
                <w:color w:val="auto"/>
                <w:kern w:val="0"/>
                <w:sz w:val="22"/>
                <w:szCs w:val="22"/>
              </w:rPr>
              <w:t>92</w:t>
            </w:r>
          </w:p>
        </w:tc>
        <w:tc>
          <w:tcPr>
            <w:tcW w:w="0" w:type="auto"/>
            <w:vMerge w:val="continue"/>
            <w:tcBorders>
              <w:top w:val="nil"/>
              <w:left w:val="single" w:color="auto" w:sz="4" w:space="0"/>
              <w:bottom w:val="single" w:color="auto" w:sz="4" w:space="0"/>
              <w:right w:val="single" w:color="auto" w:sz="4" w:space="0"/>
            </w:tcBorders>
            <w:vAlign w:val="center"/>
          </w:tcPr>
          <w:p w14:paraId="39122522">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56BE758B">
            <w:pPr>
              <w:widowControl/>
              <w:jc w:val="left"/>
              <w:rPr>
                <w:rFonts w:ascii="宋体" w:hAnsi="宋体"/>
                <w:color w:val="auto"/>
                <w:kern w:val="0"/>
                <w:sz w:val="22"/>
                <w:szCs w:val="22"/>
              </w:rPr>
            </w:pPr>
            <w:r>
              <w:rPr>
                <w:rFonts w:hint="eastAsia" w:ascii="宋体" w:hAnsi="宋体"/>
                <w:color w:val="auto"/>
                <w:kern w:val="0"/>
                <w:sz w:val="22"/>
                <w:szCs w:val="22"/>
              </w:rPr>
              <w:t xml:space="preserve"> ▲显示屏色域</w:t>
            </w:r>
          </w:p>
        </w:tc>
        <w:tc>
          <w:tcPr>
            <w:tcW w:w="2735" w:type="pct"/>
            <w:tcBorders>
              <w:top w:val="single" w:color="auto" w:sz="4" w:space="0"/>
              <w:left w:val="single" w:color="auto" w:sz="4" w:space="0"/>
              <w:bottom w:val="single" w:color="auto" w:sz="4" w:space="0"/>
              <w:right w:val="single" w:color="auto" w:sz="4" w:space="0"/>
            </w:tcBorders>
            <w:vAlign w:val="center"/>
          </w:tcPr>
          <w:p w14:paraId="16B6438C">
            <w:pPr>
              <w:widowControl/>
              <w:rPr>
                <w:rFonts w:ascii="宋体" w:hAnsi="宋体"/>
                <w:color w:val="auto"/>
                <w:kern w:val="0"/>
                <w:sz w:val="22"/>
                <w:szCs w:val="22"/>
              </w:rPr>
            </w:pPr>
            <w:r>
              <w:rPr>
                <w:rFonts w:hint="eastAsia" w:ascii="宋体" w:hAnsi="宋体"/>
                <w:color w:val="auto"/>
                <w:kern w:val="0"/>
                <w:sz w:val="22"/>
                <w:szCs w:val="22"/>
              </w:rPr>
              <w:t>≥99% sRGB 或≥72% NTSC</w:t>
            </w:r>
          </w:p>
        </w:tc>
      </w:tr>
      <w:tr w14:paraId="1097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A9F0A37">
            <w:pPr>
              <w:widowControl/>
              <w:rPr>
                <w:rFonts w:ascii="宋体" w:hAnsi="宋体"/>
                <w:color w:val="auto"/>
                <w:kern w:val="0"/>
                <w:sz w:val="22"/>
                <w:szCs w:val="22"/>
              </w:rPr>
            </w:pPr>
            <w:r>
              <w:rPr>
                <w:rFonts w:hint="eastAsia" w:ascii="宋体" w:hAnsi="宋体"/>
                <w:color w:val="auto"/>
                <w:kern w:val="0"/>
                <w:sz w:val="22"/>
                <w:szCs w:val="22"/>
              </w:rPr>
              <w:t>93</w:t>
            </w:r>
          </w:p>
        </w:tc>
        <w:tc>
          <w:tcPr>
            <w:tcW w:w="0" w:type="auto"/>
            <w:vMerge w:val="continue"/>
            <w:tcBorders>
              <w:top w:val="nil"/>
              <w:left w:val="single" w:color="auto" w:sz="4" w:space="0"/>
              <w:bottom w:val="single" w:color="auto" w:sz="4" w:space="0"/>
              <w:right w:val="single" w:color="auto" w:sz="4" w:space="0"/>
            </w:tcBorders>
            <w:vAlign w:val="center"/>
          </w:tcPr>
          <w:p w14:paraId="2ACEBB34">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1063403">
            <w:pPr>
              <w:widowControl/>
              <w:jc w:val="left"/>
              <w:rPr>
                <w:rFonts w:ascii="宋体" w:hAnsi="宋体"/>
                <w:color w:val="auto"/>
                <w:kern w:val="0"/>
                <w:sz w:val="22"/>
                <w:szCs w:val="22"/>
              </w:rPr>
            </w:pPr>
            <w:r>
              <w:rPr>
                <w:rFonts w:hint="eastAsia" w:ascii="宋体" w:hAnsi="宋体"/>
                <w:color w:val="auto"/>
                <w:kern w:val="0"/>
                <w:sz w:val="22"/>
                <w:szCs w:val="22"/>
              </w:rPr>
              <w:t>▲ 显示屏色准</w:t>
            </w:r>
          </w:p>
        </w:tc>
        <w:tc>
          <w:tcPr>
            <w:tcW w:w="2735" w:type="pct"/>
            <w:tcBorders>
              <w:top w:val="single" w:color="auto" w:sz="4" w:space="0"/>
              <w:left w:val="single" w:color="auto" w:sz="4" w:space="0"/>
              <w:bottom w:val="single" w:color="auto" w:sz="4" w:space="0"/>
              <w:right w:val="single" w:color="auto" w:sz="4" w:space="0"/>
            </w:tcBorders>
            <w:vAlign w:val="center"/>
          </w:tcPr>
          <w:p w14:paraId="24CD8E02">
            <w:pPr>
              <w:widowControl/>
              <w:rPr>
                <w:rFonts w:ascii="宋体" w:hAnsi="宋体"/>
                <w:color w:val="auto"/>
                <w:kern w:val="0"/>
                <w:sz w:val="22"/>
                <w:szCs w:val="22"/>
              </w:rPr>
            </w:pPr>
            <w:r>
              <w:rPr>
                <w:rFonts w:hint="eastAsia" w:ascii="宋体" w:hAnsi="宋体"/>
                <w:color w:val="auto"/>
                <w:kern w:val="0"/>
                <w:sz w:val="22"/>
                <w:szCs w:val="22"/>
              </w:rPr>
              <w:t>△E ≤ 4</w:t>
            </w:r>
          </w:p>
        </w:tc>
      </w:tr>
      <w:tr w14:paraId="748B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9F08941">
            <w:pPr>
              <w:widowControl/>
              <w:rPr>
                <w:rFonts w:ascii="宋体" w:hAnsi="宋体"/>
                <w:color w:val="auto"/>
                <w:kern w:val="0"/>
                <w:sz w:val="22"/>
                <w:szCs w:val="22"/>
              </w:rPr>
            </w:pPr>
            <w:r>
              <w:rPr>
                <w:rFonts w:hint="eastAsia" w:ascii="宋体" w:hAnsi="宋体"/>
                <w:color w:val="auto"/>
                <w:kern w:val="0"/>
                <w:sz w:val="22"/>
                <w:szCs w:val="22"/>
              </w:rPr>
              <w:t>94</w:t>
            </w:r>
          </w:p>
        </w:tc>
        <w:tc>
          <w:tcPr>
            <w:tcW w:w="0" w:type="auto"/>
            <w:vMerge w:val="continue"/>
            <w:tcBorders>
              <w:top w:val="nil"/>
              <w:left w:val="single" w:color="auto" w:sz="4" w:space="0"/>
              <w:bottom w:val="single" w:color="auto" w:sz="4" w:space="0"/>
              <w:right w:val="single" w:color="auto" w:sz="4" w:space="0"/>
            </w:tcBorders>
            <w:vAlign w:val="center"/>
          </w:tcPr>
          <w:p w14:paraId="6C10A030">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836CF12">
            <w:pPr>
              <w:widowControl/>
              <w:jc w:val="left"/>
              <w:rPr>
                <w:rFonts w:ascii="宋体" w:hAnsi="宋体"/>
                <w:color w:val="auto"/>
                <w:kern w:val="0"/>
                <w:sz w:val="22"/>
                <w:szCs w:val="22"/>
              </w:rPr>
            </w:pPr>
            <w:r>
              <w:rPr>
                <w:rFonts w:hint="eastAsia" w:ascii="宋体" w:hAnsi="宋体"/>
                <w:color w:val="auto"/>
                <w:kern w:val="0"/>
                <w:sz w:val="22"/>
                <w:szCs w:val="22"/>
              </w:rPr>
              <w:t>▲ 显示屏响应时间</w:t>
            </w:r>
          </w:p>
        </w:tc>
        <w:tc>
          <w:tcPr>
            <w:tcW w:w="2735" w:type="pct"/>
            <w:tcBorders>
              <w:top w:val="single" w:color="auto" w:sz="4" w:space="0"/>
              <w:left w:val="single" w:color="auto" w:sz="4" w:space="0"/>
              <w:bottom w:val="single" w:color="auto" w:sz="4" w:space="0"/>
              <w:right w:val="single" w:color="auto" w:sz="4" w:space="0"/>
            </w:tcBorders>
            <w:vAlign w:val="center"/>
          </w:tcPr>
          <w:p w14:paraId="1FD0115F">
            <w:pPr>
              <w:widowControl/>
              <w:rPr>
                <w:rFonts w:ascii="宋体" w:hAnsi="宋体"/>
                <w:color w:val="auto"/>
                <w:kern w:val="0"/>
                <w:sz w:val="22"/>
                <w:szCs w:val="22"/>
              </w:rPr>
            </w:pPr>
            <w:r>
              <w:rPr>
                <w:rFonts w:hint="eastAsia" w:ascii="宋体" w:hAnsi="宋体"/>
                <w:color w:val="auto"/>
                <w:kern w:val="0"/>
                <w:sz w:val="22"/>
                <w:szCs w:val="22"/>
              </w:rPr>
              <w:t>≤8ms</w:t>
            </w:r>
          </w:p>
        </w:tc>
      </w:tr>
      <w:tr w14:paraId="295D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9308812">
            <w:pPr>
              <w:widowControl/>
              <w:rPr>
                <w:rFonts w:ascii="宋体" w:hAnsi="宋体"/>
                <w:color w:val="auto"/>
                <w:kern w:val="0"/>
                <w:sz w:val="22"/>
                <w:szCs w:val="22"/>
              </w:rPr>
            </w:pPr>
            <w:r>
              <w:rPr>
                <w:rFonts w:hint="eastAsia" w:ascii="宋体" w:hAnsi="宋体"/>
                <w:color w:val="auto"/>
                <w:kern w:val="0"/>
                <w:sz w:val="22"/>
                <w:szCs w:val="22"/>
              </w:rPr>
              <w:t>95</w:t>
            </w:r>
          </w:p>
        </w:tc>
        <w:tc>
          <w:tcPr>
            <w:tcW w:w="0" w:type="auto"/>
            <w:vMerge w:val="continue"/>
            <w:tcBorders>
              <w:top w:val="nil"/>
              <w:left w:val="single" w:color="auto" w:sz="4" w:space="0"/>
              <w:bottom w:val="single" w:color="auto" w:sz="4" w:space="0"/>
              <w:right w:val="single" w:color="auto" w:sz="4" w:space="0"/>
            </w:tcBorders>
            <w:vAlign w:val="center"/>
          </w:tcPr>
          <w:p w14:paraId="2934EC72">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69D7B2AB">
            <w:pPr>
              <w:widowControl/>
              <w:jc w:val="left"/>
              <w:rPr>
                <w:rFonts w:ascii="宋体" w:hAnsi="宋体"/>
                <w:color w:val="auto"/>
                <w:kern w:val="0"/>
                <w:sz w:val="22"/>
                <w:szCs w:val="22"/>
              </w:rPr>
            </w:pPr>
            <w:r>
              <w:rPr>
                <w:rFonts w:hint="eastAsia" w:ascii="宋体" w:hAnsi="宋体"/>
                <w:color w:val="auto"/>
                <w:kern w:val="0"/>
                <w:sz w:val="22"/>
                <w:szCs w:val="22"/>
              </w:rPr>
              <w:t xml:space="preserve"> ▲显示屏亮度</w:t>
            </w:r>
          </w:p>
        </w:tc>
        <w:tc>
          <w:tcPr>
            <w:tcW w:w="2735" w:type="pct"/>
            <w:tcBorders>
              <w:top w:val="single" w:color="auto" w:sz="4" w:space="0"/>
              <w:left w:val="single" w:color="auto" w:sz="4" w:space="0"/>
              <w:bottom w:val="single" w:color="auto" w:sz="4" w:space="0"/>
              <w:right w:val="single" w:color="auto" w:sz="4" w:space="0"/>
            </w:tcBorders>
            <w:vAlign w:val="center"/>
          </w:tcPr>
          <w:p w14:paraId="3A2DD595">
            <w:pPr>
              <w:widowControl/>
              <w:rPr>
                <w:rFonts w:ascii="宋体" w:hAnsi="宋体"/>
                <w:color w:val="auto"/>
                <w:kern w:val="0"/>
                <w:sz w:val="22"/>
                <w:szCs w:val="22"/>
              </w:rPr>
            </w:pPr>
            <w:r>
              <w:rPr>
                <w:rFonts w:hint="eastAsia" w:ascii="宋体" w:hAnsi="宋体"/>
                <w:color w:val="auto"/>
                <w:kern w:val="0"/>
                <w:sz w:val="22"/>
                <w:szCs w:val="22"/>
              </w:rPr>
              <w:t>≥250尼特</w:t>
            </w:r>
          </w:p>
        </w:tc>
      </w:tr>
      <w:tr w14:paraId="7FBD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056C76D">
            <w:pPr>
              <w:widowControl/>
              <w:rPr>
                <w:rFonts w:ascii="宋体" w:hAnsi="宋体"/>
                <w:color w:val="auto"/>
                <w:kern w:val="0"/>
                <w:sz w:val="22"/>
                <w:szCs w:val="22"/>
              </w:rPr>
            </w:pPr>
            <w:r>
              <w:rPr>
                <w:rFonts w:hint="eastAsia" w:ascii="宋体" w:hAnsi="宋体"/>
                <w:color w:val="auto"/>
                <w:kern w:val="0"/>
                <w:sz w:val="22"/>
                <w:szCs w:val="22"/>
              </w:rPr>
              <w:t>96</w:t>
            </w:r>
          </w:p>
        </w:tc>
        <w:tc>
          <w:tcPr>
            <w:tcW w:w="0" w:type="auto"/>
            <w:vMerge w:val="continue"/>
            <w:tcBorders>
              <w:top w:val="nil"/>
              <w:left w:val="single" w:color="auto" w:sz="4" w:space="0"/>
              <w:bottom w:val="single" w:color="auto" w:sz="4" w:space="0"/>
              <w:right w:val="single" w:color="auto" w:sz="4" w:space="0"/>
            </w:tcBorders>
            <w:vAlign w:val="center"/>
          </w:tcPr>
          <w:p w14:paraId="1A431DF2">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ADEC7AE">
            <w:pPr>
              <w:widowControl/>
              <w:jc w:val="left"/>
              <w:rPr>
                <w:rFonts w:ascii="宋体" w:hAnsi="宋体"/>
                <w:color w:val="auto"/>
                <w:kern w:val="0"/>
                <w:sz w:val="22"/>
                <w:szCs w:val="22"/>
              </w:rPr>
            </w:pPr>
            <w:r>
              <w:rPr>
                <w:rFonts w:hint="eastAsia" w:ascii="宋体" w:hAnsi="宋体"/>
                <w:color w:val="auto"/>
                <w:kern w:val="0"/>
                <w:sz w:val="22"/>
                <w:szCs w:val="22"/>
              </w:rPr>
              <w:t>▲ 显示屏亮度一致性</w:t>
            </w:r>
          </w:p>
        </w:tc>
        <w:tc>
          <w:tcPr>
            <w:tcW w:w="2735" w:type="pct"/>
            <w:tcBorders>
              <w:top w:val="single" w:color="auto" w:sz="4" w:space="0"/>
              <w:left w:val="single" w:color="auto" w:sz="4" w:space="0"/>
              <w:bottom w:val="single" w:color="auto" w:sz="4" w:space="0"/>
              <w:right w:val="single" w:color="auto" w:sz="4" w:space="0"/>
            </w:tcBorders>
            <w:vAlign w:val="center"/>
          </w:tcPr>
          <w:p w14:paraId="4D03F619">
            <w:pPr>
              <w:widowControl/>
              <w:rPr>
                <w:rFonts w:ascii="宋体" w:hAnsi="宋体"/>
                <w:color w:val="auto"/>
                <w:kern w:val="0"/>
                <w:sz w:val="22"/>
                <w:szCs w:val="22"/>
              </w:rPr>
            </w:pPr>
            <w:r>
              <w:rPr>
                <w:rFonts w:hint="eastAsia" w:ascii="宋体" w:hAnsi="宋体"/>
                <w:color w:val="auto"/>
                <w:kern w:val="0"/>
                <w:sz w:val="22"/>
                <w:szCs w:val="22"/>
              </w:rPr>
              <w:t>≥70%</w:t>
            </w:r>
          </w:p>
        </w:tc>
      </w:tr>
      <w:tr w14:paraId="4537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0C2A768">
            <w:pPr>
              <w:widowControl/>
              <w:rPr>
                <w:rFonts w:ascii="宋体" w:hAnsi="宋体"/>
                <w:color w:val="auto"/>
                <w:kern w:val="0"/>
                <w:sz w:val="22"/>
                <w:szCs w:val="22"/>
              </w:rPr>
            </w:pPr>
            <w:r>
              <w:rPr>
                <w:rFonts w:hint="eastAsia" w:ascii="宋体" w:hAnsi="宋体"/>
                <w:color w:val="auto"/>
                <w:kern w:val="0"/>
                <w:sz w:val="22"/>
                <w:szCs w:val="22"/>
              </w:rPr>
              <w:t>97</w:t>
            </w:r>
          </w:p>
        </w:tc>
        <w:tc>
          <w:tcPr>
            <w:tcW w:w="0" w:type="auto"/>
            <w:vMerge w:val="continue"/>
            <w:tcBorders>
              <w:top w:val="nil"/>
              <w:left w:val="single" w:color="auto" w:sz="4" w:space="0"/>
              <w:bottom w:val="single" w:color="auto" w:sz="4" w:space="0"/>
              <w:right w:val="single" w:color="auto" w:sz="4" w:space="0"/>
            </w:tcBorders>
            <w:vAlign w:val="center"/>
          </w:tcPr>
          <w:p w14:paraId="63906EBC">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73872FD">
            <w:pPr>
              <w:widowControl/>
              <w:jc w:val="left"/>
              <w:rPr>
                <w:rFonts w:ascii="宋体" w:hAnsi="宋体"/>
                <w:color w:val="auto"/>
                <w:kern w:val="0"/>
                <w:sz w:val="22"/>
                <w:szCs w:val="22"/>
              </w:rPr>
            </w:pPr>
            <w:r>
              <w:rPr>
                <w:rFonts w:hint="eastAsia" w:ascii="宋体" w:hAnsi="宋体"/>
                <w:color w:val="auto"/>
                <w:kern w:val="0"/>
                <w:sz w:val="22"/>
                <w:szCs w:val="22"/>
              </w:rPr>
              <w:t xml:space="preserve"> ▲显示屏对比度</w:t>
            </w:r>
          </w:p>
        </w:tc>
        <w:tc>
          <w:tcPr>
            <w:tcW w:w="2735" w:type="pct"/>
            <w:tcBorders>
              <w:top w:val="single" w:color="auto" w:sz="4" w:space="0"/>
              <w:left w:val="single" w:color="auto" w:sz="4" w:space="0"/>
              <w:bottom w:val="single" w:color="auto" w:sz="4" w:space="0"/>
              <w:right w:val="single" w:color="auto" w:sz="4" w:space="0"/>
            </w:tcBorders>
            <w:vAlign w:val="center"/>
          </w:tcPr>
          <w:p w14:paraId="0BD3E0AE">
            <w:pPr>
              <w:widowControl/>
              <w:rPr>
                <w:rFonts w:ascii="宋体" w:hAnsi="宋体"/>
                <w:color w:val="auto"/>
                <w:kern w:val="0"/>
                <w:sz w:val="22"/>
                <w:szCs w:val="22"/>
              </w:rPr>
            </w:pPr>
            <w:r>
              <w:rPr>
                <w:rFonts w:hint="eastAsia" w:ascii="宋体" w:hAnsi="宋体"/>
                <w:color w:val="auto"/>
                <w:kern w:val="0"/>
                <w:sz w:val="22"/>
                <w:szCs w:val="22"/>
              </w:rPr>
              <w:t>≥500：1</w:t>
            </w:r>
          </w:p>
        </w:tc>
      </w:tr>
      <w:tr w14:paraId="47C8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7ECA484">
            <w:pPr>
              <w:widowControl/>
              <w:rPr>
                <w:rFonts w:ascii="宋体" w:hAnsi="宋体"/>
                <w:color w:val="auto"/>
                <w:kern w:val="0"/>
                <w:sz w:val="22"/>
                <w:szCs w:val="22"/>
              </w:rPr>
            </w:pPr>
            <w:r>
              <w:rPr>
                <w:rFonts w:hint="eastAsia" w:ascii="宋体" w:hAnsi="宋体"/>
                <w:color w:val="auto"/>
                <w:kern w:val="0"/>
                <w:sz w:val="22"/>
                <w:szCs w:val="22"/>
              </w:rPr>
              <w:t>98</w:t>
            </w:r>
          </w:p>
        </w:tc>
        <w:tc>
          <w:tcPr>
            <w:tcW w:w="0" w:type="auto"/>
            <w:vMerge w:val="continue"/>
            <w:tcBorders>
              <w:top w:val="nil"/>
              <w:left w:val="single" w:color="auto" w:sz="4" w:space="0"/>
              <w:bottom w:val="single" w:color="auto" w:sz="4" w:space="0"/>
              <w:right w:val="single" w:color="auto" w:sz="4" w:space="0"/>
            </w:tcBorders>
            <w:vAlign w:val="center"/>
          </w:tcPr>
          <w:p w14:paraId="0A9F580A">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AA15D7A">
            <w:pPr>
              <w:widowControl/>
              <w:jc w:val="left"/>
              <w:rPr>
                <w:rFonts w:ascii="宋体" w:hAnsi="宋体"/>
                <w:color w:val="auto"/>
                <w:kern w:val="0"/>
                <w:sz w:val="22"/>
                <w:szCs w:val="22"/>
              </w:rPr>
            </w:pPr>
            <w:r>
              <w:rPr>
                <w:rFonts w:hint="eastAsia" w:ascii="宋体" w:hAnsi="宋体"/>
                <w:color w:val="auto"/>
                <w:kern w:val="0"/>
                <w:sz w:val="22"/>
                <w:szCs w:val="22"/>
              </w:rPr>
              <w:t>▲ 显示屏其他参数</w:t>
            </w:r>
          </w:p>
        </w:tc>
        <w:tc>
          <w:tcPr>
            <w:tcW w:w="2735" w:type="pct"/>
            <w:tcBorders>
              <w:top w:val="single" w:color="auto" w:sz="4" w:space="0"/>
              <w:left w:val="single" w:color="auto" w:sz="4" w:space="0"/>
              <w:bottom w:val="single" w:color="auto" w:sz="4" w:space="0"/>
              <w:right w:val="single" w:color="auto" w:sz="4" w:space="0"/>
            </w:tcBorders>
            <w:vAlign w:val="center"/>
          </w:tcPr>
          <w:p w14:paraId="6C855667">
            <w:pPr>
              <w:widowControl/>
              <w:rPr>
                <w:rFonts w:ascii="宋体" w:hAnsi="宋体"/>
                <w:color w:val="auto"/>
                <w:kern w:val="0"/>
                <w:sz w:val="22"/>
                <w:szCs w:val="22"/>
              </w:rPr>
            </w:pPr>
            <w:r>
              <w:rPr>
                <w:rFonts w:hint="eastAsia" w:ascii="宋体" w:hAnsi="宋体"/>
                <w:color w:val="auto"/>
                <w:kern w:val="0"/>
                <w:sz w:val="22"/>
                <w:szCs w:val="22"/>
              </w:rPr>
              <w:t>主机和显示器兼容，标配显示器助手软件，可以实现密码保护功能，防止其他人未经许可使用，多台显示器同时调整设置；其它参数应符合 SJ/T 11292 的相关规定</w:t>
            </w:r>
          </w:p>
        </w:tc>
      </w:tr>
      <w:tr w14:paraId="55E2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81F046B">
            <w:pPr>
              <w:widowControl/>
              <w:rPr>
                <w:rFonts w:ascii="宋体" w:hAnsi="宋体"/>
                <w:color w:val="auto"/>
                <w:kern w:val="0"/>
                <w:sz w:val="22"/>
                <w:szCs w:val="22"/>
              </w:rPr>
            </w:pPr>
            <w:r>
              <w:rPr>
                <w:rFonts w:hint="eastAsia" w:ascii="宋体" w:hAnsi="宋体"/>
                <w:color w:val="auto"/>
                <w:kern w:val="0"/>
                <w:sz w:val="22"/>
                <w:szCs w:val="22"/>
              </w:rPr>
              <w:t>99</w:t>
            </w:r>
          </w:p>
        </w:tc>
        <w:tc>
          <w:tcPr>
            <w:tcW w:w="807" w:type="pct"/>
            <w:vMerge w:val="restart"/>
            <w:tcBorders>
              <w:top w:val="nil"/>
              <w:left w:val="single" w:color="auto" w:sz="4" w:space="0"/>
              <w:bottom w:val="single" w:color="auto" w:sz="4" w:space="0"/>
              <w:right w:val="single" w:color="auto" w:sz="4" w:space="0"/>
            </w:tcBorders>
            <w:vAlign w:val="center"/>
          </w:tcPr>
          <w:p w14:paraId="0F93D311">
            <w:pPr>
              <w:widowControl/>
              <w:rPr>
                <w:rFonts w:ascii="宋体" w:hAnsi="宋体"/>
                <w:color w:val="auto"/>
                <w:kern w:val="0"/>
                <w:sz w:val="22"/>
                <w:szCs w:val="22"/>
              </w:rPr>
            </w:pPr>
            <w:r>
              <w:rPr>
                <w:rFonts w:hint="eastAsia" w:ascii="宋体" w:hAnsi="宋体"/>
                <w:color w:val="auto"/>
                <w:kern w:val="0"/>
                <w:sz w:val="22"/>
                <w:szCs w:val="22"/>
              </w:rPr>
              <w:t>▲网络设备性能</w:t>
            </w:r>
          </w:p>
        </w:tc>
        <w:tc>
          <w:tcPr>
            <w:tcW w:w="1096" w:type="pct"/>
            <w:tcBorders>
              <w:top w:val="single" w:color="auto" w:sz="4" w:space="0"/>
              <w:left w:val="single" w:color="auto" w:sz="4" w:space="0"/>
              <w:bottom w:val="single" w:color="auto" w:sz="4" w:space="0"/>
              <w:right w:val="single" w:color="auto" w:sz="4" w:space="0"/>
            </w:tcBorders>
            <w:vAlign w:val="center"/>
          </w:tcPr>
          <w:p w14:paraId="0901F086">
            <w:pPr>
              <w:widowControl/>
              <w:jc w:val="left"/>
              <w:rPr>
                <w:rFonts w:ascii="宋体" w:hAnsi="宋体"/>
                <w:color w:val="auto"/>
                <w:kern w:val="0"/>
                <w:sz w:val="22"/>
                <w:szCs w:val="22"/>
              </w:rPr>
            </w:pPr>
            <w:r>
              <w:rPr>
                <w:rFonts w:hint="eastAsia" w:ascii="宋体" w:hAnsi="宋体"/>
                <w:color w:val="auto"/>
                <w:kern w:val="0"/>
                <w:sz w:val="22"/>
                <w:szCs w:val="22"/>
              </w:rPr>
              <w:t xml:space="preserve"> ▲有线网卡速率</w:t>
            </w:r>
          </w:p>
        </w:tc>
        <w:tc>
          <w:tcPr>
            <w:tcW w:w="2735" w:type="pct"/>
            <w:tcBorders>
              <w:top w:val="single" w:color="auto" w:sz="4" w:space="0"/>
              <w:left w:val="single" w:color="auto" w:sz="4" w:space="0"/>
              <w:bottom w:val="single" w:color="auto" w:sz="4" w:space="0"/>
              <w:right w:val="single" w:color="auto" w:sz="4" w:space="0"/>
            </w:tcBorders>
            <w:vAlign w:val="center"/>
          </w:tcPr>
          <w:p w14:paraId="010225C8">
            <w:pPr>
              <w:widowControl/>
              <w:rPr>
                <w:rFonts w:ascii="宋体" w:hAnsi="宋体"/>
                <w:color w:val="auto"/>
                <w:kern w:val="0"/>
                <w:sz w:val="22"/>
                <w:szCs w:val="22"/>
              </w:rPr>
            </w:pPr>
            <w:r>
              <w:rPr>
                <w:rFonts w:hint="eastAsia" w:ascii="宋体" w:hAnsi="宋体"/>
                <w:color w:val="auto"/>
                <w:kern w:val="0"/>
                <w:sz w:val="22"/>
                <w:szCs w:val="22"/>
              </w:rPr>
              <w:t>最高速率应不低于1000Mbps，应支持10Mbps、100Mbps、1000Mbps速率自适应</w:t>
            </w:r>
          </w:p>
        </w:tc>
      </w:tr>
      <w:tr w14:paraId="36C2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4CA9FE7">
            <w:pPr>
              <w:widowControl/>
              <w:rPr>
                <w:rFonts w:ascii="宋体" w:hAnsi="宋体"/>
                <w:color w:val="auto"/>
                <w:kern w:val="0"/>
                <w:sz w:val="22"/>
                <w:szCs w:val="22"/>
              </w:rPr>
            </w:pPr>
            <w:r>
              <w:rPr>
                <w:rFonts w:hint="eastAsia" w:ascii="宋体" w:hAnsi="宋体"/>
                <w:color w:val="auto"/>
                <w:kern w:val="0"/>
                <w:sz w:val="22"/>
                <w:szCs w:val="22"/>
              </w:rPr>
              <w:t>100</w:t>
            </w:r>
          </w:p>
        </w:tc>
        <w:tc>
          <w:tcPr>
            <w:tcW w:w="0" w:type="auto"/>
            <w:vMerge w:val="continue"/>
            <w:tcBorders>
              <w:top w:val="nil"/>
              <w:left w:val="single" w:color="auto" w:sz="4" w:space="0"/>
              <w:bottom w:val="single" w:color="auto" w:sz="4" w:space="0"/>
              <w:right w:val="single" w:color="auto" w:sz="4" w:space="0"/>
            </w:tcBorders>
            <w:vAlign w:val="center"/>
          </w:tcPr>
          <w:p w14:paraId="0555999D">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2B688E18">
            <w:pPr>
              <w:widowControl/>
              <w:jc w:val="left"/>
              <w:rPr>
                <w:rFonts w:ascii="宋体" w:hAnsi="宋体"/>
                <w:color w:val="auto"/>
                <w:kern w:val="0"/>
                <w:sz w:val="22"/>
                <w:szCs w:val="22"/>
              </w:rPr>
            </w:pPr>
            <w:r>
              <w:rPr>
                <w:rFonts w:hint="eastAsia" w:ascii="宋体" w:hAnsi="宋体"/>
                <w:color w:val="auto"/>
                <w:kern w:val="0"/>
                <w:sz w:val="22"/>
                <w:szCs w:val="22"/>
              </w:rPr>
              <w:t>支持无线网络通信技术协议</w:t>
            </w:r>
          </w:p>
        </w:tc>
        <w:tc>
          <w:tcPr>
            <w:tcW w:w="2735" w:type="pct"/>
            <w:tcBorders>
              <w:top w:val="single" w:color="auto" w:sz="4" w:space="0"/>
              <w:left w:val="single" w:color="auto" w:sz="4" w:space="0"/>
              <w:bottom w:val="single" w:color="auto" w:sz="4" w:space="0"/>
              <w:right w:val="single" w:color="auto" w:sz="4" w:space="0"/>
            </w:tcBorders>
            <w:vAlign w:val="center"/>
          </w:tcPr>
          <w:p w14:paraId="01B25DC3">
            <w:pPr>
              <w:widowControl/>
              <w:rPr>
                <w:rFonts w:ascii="宋体" w:hAnsi="宋体"/>
                <w:color w:val="auto"/>
                <w:kern w:val="0"/>
                <w:sz w:val="22"/>
                <w:szCs w:val="22"/>
              </w:rPr>
            </w:pPr>
            <w:r>
              <w:rPr>
                <w:rFonts w:hint="eastAsia" w:ascii="宋体" w:hAnsi="宋体"/>
                <w:color w:val="auto"/>
                <w:kern w:val="0"/>
                <w:sz w:val="22"/>
                <w:szCs w:val="22"/>
              </w:rPr>
              <w:t>/</w:t>
            </w:r>
          </w:p>
        </w:tc>
      </w:tr>
      <w:tr w14:paraId="602C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3E673FB">
            <w:pPr>
              <w:widowControl/>
              <w:rPr>
                <w:rFonts w:ascii="宋体" w:hAnsi="宋体"/>
                <w:color w:val="auto"/>
                <w:kern w:val="0"/>
                <w:sz w:val="22"/>
                <w:szCs w:val="22"/>
              </w:rPr>
            </w:pPr>
            <w:r>
              <w:rPr>
                <w:rFonts w:hint="eastAsia" w:ascii="宋体" w:hAnsi="宋体"/>
                <w:color w:val="auto"/>
                <w:kern w:val="0"/>
                <w:sz w:val="22"/>
                <w:szCs w:val="22"/>
              </w:rPr>
              <w:t>101</w:t>
            </w:r>
          </w:p>
        </w:tc>
        <w:tc>
          <w:tcPr>
            <w:tcW w:w="0" w:type="auto"/>
            <w:vMerge w:val="continue"/>
            <w:tcBorders>
              <w:top w:val="nil"/>
              <w:left w:val="single" w:color="auto" w:sz="4" w:space="0"/>
              <w:bottom w:val="single" w:color="auto" w:sz="4" w:space="0"/>
              <w:right w:val="single" w:color="auto" w:sz="4" w:space="0"/>
            </w:tcBorders>
            <w:vAlign w:val="center"/>
          </w:tcPr>
          <w:p w14:paraId="671209FA">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64979B04">
            <w:pPr>
              <w:widowControl/>
              <w:jc w:val="left"/>
              <w:rPr>
                <w:rFonts w:ascii="宋体" w:hAnsi="宋体"/>
                <w:color w:val="auto"/>
                <w:kern w:val="0"/>
                <w:sz w:val="22"/>
                <w:szCs w:val="22"/>
              </w:rPr>
            </w:pPr>
            <w:r>
              <w:rPr>
                <w:rFonts w:hint="eastAsia" w:ascii="宋体" w:hAnsi="宋体"/>
                <w:color w:val="auto"/>
                <w:kern w:val="0"/>
                <w:sz w:val="22"/>
                <w:szCs w:val="22"/>
              </w:rPr>
              <w:t>无线网卡频宽</w:t>
            </w:r>
          </w:p>
        </w:tc>
        <w:tc>
          <w:tcPr>
            <w:tcW w:w="2735" w:type="pct"/>
            <w:tcBorders>
              <w:top w:val="single" w:color="auto" w:sz="4" w:space="0"/>
              <w:left w:val="single" w:color="auto" w:sz="4" w:space="0"/>
              <w:bottom w:val="single" w:color="auto" w:sz="4" w:space="0"/>
              <w:right w:val="single" w:color="auto" w:sz="4" w:space="0"/>
            </w:tcBorders>
            <w:vAlign w:val="center"/>
          </w:tcPr>
          <w:p w14:paraId="03190B68">
            <w:pPr>
              <w:widowControl/>
              <w:rPr>
                <w:rFonts w:ascii="宋体" w:hAnsi="宋体"/>
                <w:color w:val="auto"/>
                <w:kern w:val="0"/>
                <w:sz w:val="22"/>
                <w:szCs w:val="22"/>
              </w:rPr>
            </w:pPr>
            <w:r>
              <w:rPr>
                <w:rFonts w:hint="eastAsia" w:ascii="宋体" w:hAnsi="宋体"/>
                <w:color w:val="auto"/>
                <w:kern w:val="0"/>
                <w:sz w:val="22"/>
                <w:szCs w:val="22"/>
              </w:rPr>
              <w:t>/</w:t>
            </w:r>
          </w:p>
        </w:tc>
      </w:tr>
      <w:tr w14:paraId="03E2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02F78B1">
            <w:pPr>
              <w:widowControl/>
              <w:rPr>
                <w:rFonts w:ascii="宋体" w:hAnsi="宋体"/>
                <w:color w:val="auto"/>
                <w:kern w:val="0"/>
                <w:sz w:val="22"/>
                <w:szCs w:val="22"/>
              </w:rPr>
            </w:pPr>
            <w:r>
              <w:rPr>
                <w:rFonts w:hint="eastAsia" w:ascii="宋体" w:hAnsi="宋体"/>
                <w:color w:val="auto"/>
                <w:kern w:val="0"/>
                <w:sz w:val="22"/>
                <w:szCs w:val="22"/>
              </w:rPr>
              <w:t>102</w:t>
            </w:r>
          </w:p>
        </w:tc>
        <w:tc>
          <w:tcPr>
            <w:tcW w:w="807" w:type="pct"/>
            <w:vMerge w:val="restart"/>
            <w:tcBorders>
              <w:top w:val="nil"/>
              <w:left w:val="single" w:color="auto" w:sz="4" w:space="0"/>
              <w:bottom w:val="single" w:color="auto" w:sz="4" w:space="0"/>
              <w:right w:val="single" w:color="auto" w:sz="4" w:space="0"/>
            </w:tcBorders>
            <w:vAlign w:val="center"/>
          </w:tcPr>
          <w:p w14:paraId="041EA345">
            <w:pPr>
              <w:widowControl/>
              <w:rPr>
                <w:rFonts w:ascii="宋体" w:hAnsi="宋体"/>
                <w:color w:val="auto"/>
                <w:kern w:val="0"/>
                <w:sz w:val="22"/>
                <w:szCs w:val="22"/>
              </w:rPr>
            </w:pPr>
            <w:r>
              <w:rPr>
                <w:rFonts w:hint="eastAsia" w:ascii="宋体" w:hAnsi="宋体"/>
                <w:color w:val="auto"/>
                <w:kern w:val="0"/>
                <w:sz w:val="22"/>
                <w:szCs w:val="22"/>
              </w:rPr>
              <w:t>▲主板功能</w:t>
            </w:r>
          </w:p>
        </w:tc>
        <w:tc>
          <w:tcPr>
            <w:tcW w:w="1096" w:type="pct"/>
            <w:tcBorders>
              <w:top w:val="single" w:color="auto" w:sz="4" w:space="0"/>
              <w:left w:val="single" w:color="auto" w:sz="4" w:space="0"/>
              <w:bottom w:val="single" w:color="auto" w:sz="4" w:space="0"/>
              <w:right w:val="single" w:color="auto" w:sz="4" w:space="0"/>
            </w:tcBorders>
            <w:vAlign w:val="center"/>
          </w:tcPr>
          <w:p w14:paraId="35378116">
            <w:pPr>
              <w:widowControl/>
              <w:jc w:val="left"/>
              <w:rPr>
                <w:rFonts w:ascii="宋体" w:hAnsi="宋体"/>
                <w:color w:val="auto"/>
                <w:kern w:val="0"/>
                <w:sz w:val="22"/>
                <w:szCs w:val="22"/>
              </w:rPr>
            </w:pPr>
            <w:r>
              <w:rPr>
                <w:rFonts w:hint="eastAsia" w:ascii="宋体" w:hAnsi="宋体"/>
                <w:color w:val="auto"/>
                <w:kern w:val="0"/>
                <w:sz w:val="22"/>
                <w:szCs w:val="22"/>
              </w:rPr>
              <w:t>▲ 内存扩展接口(板载内存不涉及)</w:t>
            </w:r>
          </w:p>
        </w:tc>
        <w:tc>
          <w:tcPr>
            <w:tcW w:w="2735" w:type="pct"/>
            <w:tcBorders>
              <w:top w:val="single" w:color="auto" w:sz="4" w:space="0"/>
              <w:left w:val="single" w:color="auto" w:sz="4" w:space="0"/>
              <w:bottom w:val="single" w:color="auto" w:sz="4" w:space="0"/>
              <w:right w:val="single" w:color="auto" w:sz="4" w:space="0"/>
            </w:tcBorders>
            <w:vAlign w:val="center"/>
          </w:tcPr>
          <w:p w14:paraId="461A794C">
            <w:pPr>
              <w:widowControl/>
              <w:rPr>
                <w:rFonts w:ascii="宋体" w:hAnsi="宋体"/>
                <w:color w:val="auto"/>
                <w:kern w:val="0"/>
                <w:sz w:val="22"/>
                <w:szCs w:val="22"/>
              </w:rPr>
            </w:pPr>
            <w:r>
              <w:rPr>
                <w:rFonts w:hint="eastAsia" w:ascii="宋体" w:hAnsi="宋体"/>
                <w:color w:val="auto"/>
                <w:kern w:val="0"/>
                <w:sz w:val="22"/>
                <w:szCs w:val="22"/>
              </w:rPr>
              <w:t>≥2 个</w:t>
            </w:r>
          </w:p>
        </w:tc>
      </w:tr>
      <w:tr w14:paraId="1B68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1EB23FF">
            <w:pPr>
              <w:widowControl/>
              <w:rPr>
                <w:rFonts w:ascii="宋体" w:hAnsi="宋体"/>
                <w:color w:val="auto"/>
                <w:kern w:val="0"/>
                <w:sz w:val="22"/>
                <w:szCs w:val="22"/>
              </w:rPr>
            </w:pPr>
            <w:r>
              <w:rPr>
                <w:rFonts w:hint="eastAsia" w:ascii="宋体" w:hAnsi="宋体"/>
                <w:color w:val="auto"/>
                <w:kern w:val="0"/>
                <w:sz w:val="22"/>
                <w:szCs w:val="22"/>
              </w:rPr>
              <w:t>103</w:t>
            </w:r>
          </w:p>
        </w:tc>
        <w:tc>
          <w:tcPr>
            <w:tcW w:w="0" w:type="auto"/>
            <w:vMerge w:val="continue"/>
            <w:tcBorders>
              <w:top w:val="nil"/>
              <w:left w:val="single" w:color="auto" w:sz="4" w:space="0"/>
              <w:bottom w:val="single" w:color="auto" w:sz="4" w:space="0"/>
              <w:right w:val="single" w:color="auto" w:sz="4" w:space="0"/>
            </w:tcBorders>
            <w:vAlign w:val="center"/>
          </w:tcPr>
          <w:p w14:paraId="5B8A9FA0">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0105FDA4">
            <w:pPr>
              <w:widowControl/>
              <w:jc w:val="left"/>
              <w:rPr>
                <w:rFonts w:ascii="宋体" w:hAnsi="宋体"/>
                <w:color w:val="auto"/>
                <w:kern w:val="0"/>
                <w:sz w:val="22"/>
                <w:szCs w:val="22"/>
              </w:rPr>
            </w:pPr>
            <w:r>
              <w:rPr>
                <w:rFonts w:hint="eastAsia" w:ascii="宋体" w:hAnsi="宋体"/>
                <w:color w:val="auto"/>
                <w:kern w:val="0"/>
                <w:sz w:val="22"/>
                <w:szCs w:val="22"/>
              </w:rPr>
              <w:t>存储扩展接口(板载存储不涉及)</w:t>
            </w:r>
          </w:p>
        </w:tc>
        <w:tc>
          <w:tcPr>
            <w:tcW w:w="2735" w:type="pct"/>
            <w:tcBorders>
              <w:top w:val="single" w:color="auto" w:sz="4" w:space="0"/>
              <w:left w:val="single" w:color="auto" w:sz="4" w:space="0"/>
              <w:bottom w:val="single" w:color="auto" w:sz="4" w:space="0"/>
              <w:right w:val="single" w:color="auto" w:sz="4" w:space="0"/>
            </w:tcBorders>
            <w:vAlign w:val="center"/>
          </w:tcPr>
          <w:p w14:paraId="6889B2CA">
            <w:pPr>
              <w:widowControl/>
              <w:rPr>
                <w:rFonts w:ascii="宋体" w:hAnsi="宋体"/>
                <w:color w:val="auto"/>
                <w:kern w:val="0"/>
                <w:sz w:val="22"/>
                <w:szCs w:val="22"/>
              </w:rPr>
            </w:pPr>
            <w:r>
              <w:rPr>
                <w:rFonts w:hint="eastAsia" w:ascii="宋体" w:hAnsi="宋体"/>
                <w:color w:val="auto"/>
                <w:kern w:val="0"/>
                <w:sz w:val="22"/>
                <w:szCs w:val="22"/>
              </w:rPr>
              <w:t>供应商给出主板支持存储扩展接口类型，如UFS3.0、SATA3.0、SAS3.0、M.2 等类型接口</w:t>
            </w:r>
          </w:p>
        </w:tc>
      </w:tr>
      <w:tr w14:paraId="352C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BE64707">
            <w:pPr>
              <w:widowControl/>
              <w:rPr>
                <w:rFonts w:ascii="宋体" w:hAnsi="宋体"/>
                <w:color w:val="auto"/>
                <w:kern w:val="0"/>
                <w:sz w:val="22"/>
                <w:szCs w:val="22"/>
              </w:rPr>
            </w:pPr>
            <w:r>
              <w:rPr>
                <w:rFonts w:hint="eastAsia" w:ascii="宋体" w:hAnsi="宋体"/>
                <w:color w:val="auto"/>
                <w:kern w:val="0"/>
                <w:sz w:val="22"/>
                <w:szCs w:val="22"/>
              </w:rPr>
              <w:t>104</w:t>
            </w:r>
          </w:p>
        </w:tc>
        <w:tc>
          <w:tcPr>
            <w:tcW w:w="0" w:type="auto"/>
            <w:vMerge w:val="continue"/>
            <w:tcBorders>
              <w:top w:val="nil"/>
              <w:left w:val="single" w:color="auto" w:sz="4" w:space="0"/>
              <w:bottom w:val="single" w:color="auto" w:sz="4" w:space="0"/>
              <w:right w:val="single" w:color="auto" w:sz="4" w:space="0"/>
            </w:tcBorders>
            <w:vAlign w:val="center"/>
          </w:tcPr>
          <w:p w14:paraId="60926429">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2578CDF">
            <w:pPr>
              <w:widowControl/>
              <w:jc w:val="left"/>
              <w:rPr>
                <w:rFonts w:ascii="宋体" w:hAnsi="宋体"/>
                <w:color w:val="auto"/>
                <w:kern w:val="0"/>
                <w:sz w:val="22"/>
                <w:szCs w:val="22"/>
              </w:rPr>
            </w:pPr>
            <w:r>
              <w:rPr>
                <w:rFonts w:hint="eastAsia" w:ascii="宋体" w:hAnsi="宋体"/>
                <w:color w:val="auto"/>
                <w:kern w:val="0"/>
                <w:sz w:val="22"/>
                <w:szCs w:val="22"/>
              </w:rPr>
              <w:t>▲ 主板USB 瞬间过流保护</w:t>
            </w:r>
          </w:p>
        </w:tc>
        <w:tc>
          <w:tcPr>
            <w:tcW w:w="2735" w:type="pct"/>
            <w:tcBorders>
              <w:top w:val="single" w:color="auto" w:sz="4" w:space="0"/>
              <w:left w:val="single" w:color="auto" w:sz="4" w:space="0"/>
              <w:bottom w:val="single" w:color="auto" w:sz="4" w:space="0"/>
              <w:right w:val="single" w:color="auto" w:sz="4" w:space="0"/>
            </w:tcBorders>
            <w:vAlign w:val="center"/>
          </w:tcPr>
          <w:p w14:paraId="3389B482">
            <w:pPr>
              <w:widowControl/>
              <w:rPr>
                <w:rFonts w:ascii="宋体" w:hAnsi="宋体"/>
                <w:color w:val="auto"/>
                <w:kern w:val="0"/>
                <w:sz w:val="22"/>
                <w:szCs w:val="22"/>
              </w:rPr>
            </w:pPr>
            <w:r>
              <w:rPr>
                <w:rFonts w:hint="eastAsia" w:ascii="宋体" w:hAnsi="宋体"/>
                <w:color w:val="auto"/>
                <w:kern w:val="0"/>
                <w:sz w:val="22"/>
                <w:szCs w:val="22"/>
              </w:rPr>
              <w:t>支持有瞬间过流保护功能</w:t>
            </w:r>
          </w:p>
        </w:tc>
      </w:tr>
      <w:tr w14:paraId="4D44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AC3D67E">
            <w:pPr>
              <w:widowControl/>
              <w:rPr>
                <w:rFonts w:ascii="宋体" w:hAnsi="宋体"/>
                <w:color w:val="auto"/>
                <w:kern w:val="0"/>
                <w:sz w:val="22"/>
                <w:szCs w:val="22"/>
              </w:rPr>
            </w:pPr>
            <w:r>
              <w:rPr>
                <w:rFonts w:hint="eastAsia" w:ascii="宋体" w:hAnsi="宋体"/>
                <w:color w:val="auto"/>
                <w:kern w:val="0"/>
                <w:sz w:val="22"/>
                <w:szCs w:val="22"/>
              </w:rPr>
              <w:t>105</w:t>
            </w:r>
          </w:p>
        </w:tc>
        <w:tc>
          <w:tcPr>
            <w:tcW w:w="0" w:type="auto"/>
            <w:vMerge w:val="continue"/>
            <w:tcBorders>
              <w:top w:val="nil"/>
              <w:left w:val="single" w:color="auto" w:sz="4" w:space="0"/>
              <w:bottom w:val="single" w:color="auto" w:sz="4" w:space="0"/>
              <w:right w:val="single" w:color="auto" w:sz="4" w:space="0"/>
            </w:tcBorders>
            <w:vAlign w:val="center"/>
          </w:tcPr>
          <w:p w14:paraId="505C0953">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2D2FFE10">
            <w:pPr>
              <w:widowControl/>
              <w:jc w:val="left"/>
              <w:rPr>
                <w:rFonts w:ascii="宋体" w:hAnsi="宋体"/>
                <w:color w:val="auto"/>
                <w:kern w:val="0"/>
                <w:sz w:val="22"/>
                <w:szCs w:val="22"/>
              </w:rPr>
            </w:pPr>
            <w:r>
              <w:rPr>
                <w:rFonts w:hint="eastAsia" w:ascii="宋体" w:hAnsi="宋体"/>
                <w:color w:val="auto"/>
                <w:kern w:val="0"/>
                <w:sz w:val="22"/>
                <w:szCs w:val="22"/>
              </w:rPr>
              <w:t xml:space="preserve"> ▲主板防静电保护</w:t>
            </w:r>
          </w:p>
        </w:tc>
        <w:tc>
          <w:tcPr>
            <w:tcW w:w="2735" w:type="pct"/>
            <w:tcBorders>
              <w:top w:val="single" w:color="auto" w:sz="4" w:space="0"/>
              <w:left w:val="single" w:color="auto" w:sz="4" w:space="0"/>
              <w:bottom w:val="single" w:color="auto" w:sz="4" w:space="0"/>
              <w:right w:val="single" w:color="auto" w:sz="4" w:space="0"/>
            </w:tcBorders>
            <w:vAlign w:val="center"/>
          </w:tcPr>
          <w:p w14:paraId="4CAC3F97">
            <w:pPr>
              <w:widowControl/>
              <w:rPr>
                <w:rFonts w:ascii="宋体" w:hAnsi="宋体"/>
                <w:color w:val="auto"/>
                <w:kern w:val="0"/>
                <w:sz w:val="22"/>
                <w:szCs w:val="22"/>
              </w:rPr>
            </w:pPr>
            <w:r>
              <w:rPr>
                <w:rFonts w:hint="eastAsia" w:ascii="宋体" w:hAnsi="宋体"/>
                <w:color w:val="auto"/>
                <w:kern w:val="0"/>
                <w:sz w:val="22"/>
                <w:szCs w:val="22"/>
              </w:rPr>
              <w:t>支持防静电保护功能</w:t>
            </w:r>
          </w:p>
        </w:tc>
      </w:tr>
      <w:tr w14:paraId="6699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402B3C6">
            <w:pPr>
              <w:widowControl/>
              <w:rPr>
                <w:rFonts w:ascii="宋体" w:hAnsi="宋体"/>
                <w:color w:val="auto"/>
                <w:kern w:val="0"/>
                <w:sz w:val="22"/>
                <w:szCs w:val="22"/>
              </w:rPr>
            </w:pPr>
            <w:r>
              <w:rPr>
                <w:rFonts w:hint="eastAsia" w:ascii="宋体" w:hAnsi="宋体"/>
                <w:color w:val="auto"/>
                <w:kern w:val="0"/>
                <w:sz w:val="22"/>
                <w:szCs w:val="22"/>
              </w:rPr>
              <w:t>106</w:t>
            </w:r>
          </w:p>
        </w:tc>
        <w:tc>
          <w:tcPr>
            <w:tcW w:w="0" w:type="auto"/>
            <w:vMerge w:val="continue"/>
            <w:tcBorders>
              <w:top w:val="nil"/>
              <w:left w:val="single" w:color="auto" w:sz="4" w:space="0"/>
              <w:bottom w:val="single" w:color="auto" w:sz="4" w:space="0"/>
              <w:right w:val="single" w:color="auto" w:sz="4" w:space="0"/>
            </w:tcBorders>
            <w:vAlign w:val="center"/>
          </w:tcPr>
          <w:p w14:paraId="1BAE83C2">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EB4D0D6">
            <w:pPr>
              <w:widowControl/>
              <w:jc w:val="left"/>
              <w:rPr>
                <w:rFonts w:ascii="宋体" w:hAnsi="宋体"/>
                <w:color w:val="auto"/>
                <w:kern w:val="0"/>
                <w:sz w:val="22"/>
                <w:szCs w:val="22"/>
              </w:rPr>
            </w:pPr>
            <w:r>
              <w:rPr>
                <w:rFonts w:hint="eastAsia" w:ascii="宋体" w:hAnsi="宋体"/>
                <w:color w:val="auto"/>
                <w:kern w:val="0"/>
                <w:sz w:val="22"/>
                <w:szCs w:val="22"/>
              </w:rPr>
              <w:t xml:space="preserve"> ▲I/O接口功能</w:t>
            </w:r>
          </w:p>
        </w:tc>
        <w:tc>
          <w:tcPr>
            <w:tcW w:w="2735" w:type="pct"/>
            <w:tcBorders>
              <w:top w:val="single" w:color="auto" w:sz="4" w:space="0"/>
              <w:left w:val="single" w:color="auto" w:sz="4" w:space="0"/>
              <w:bottom w:val="single" w:color="auto" w:sz="4" w:space="0"/>
              <w:right w:val="single" w:color="auto" w:sz="4" w:space="0"/>
            </w:tcBorders>
            <w:vAlign w:val="center"/>
          </w:tcPr>
          <w:p w14:paraId="14C25AA5">
            <w:pPr>
              <w:widowControl/>
              <w:rPr>
                <w:rFonts w:ascii="宋体" w:hAnsi="宋体"/>
                <w:color w:val="auto"/>
                <w:kern w:val="0"/>
                <w:sz w:val="22"/>
                <w:szCs w:val="22"/>
              </w:rPr>
            </w:pPr>
            <w:r>
              <w:rPr>
                <w:rFonts w:hint="eastAsia" w:ascii="宋体" w:hAnsi="宋体"/>
                <w:color w:val="auto"/>
                <w:kern w:val="0"/>
                <w:sz w:val="22"/>
                <w:szCs w:val="22"/>
              </w:rPr>
              <w:t>提供基于标准USB接口外设连接功能、基于音频输入输出接口的音频扩展功能、基于PCIe接口板卡扩展功能、基于HDMI或VGA或Type-C或DVI或DP 等接口外接显示器扩展功能、基于存储接口对产品进行增容功能等。产品I/O接口，应具备外接标准USB设备、显示器、音频设备等内外部设备能力</w:t>
            </w:r>
          </w:p>
        </w:tc>
      </w:tr>
      <w:tr w14:paraId="59B1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ED6A9F2">
            <w:pPr>
              <w:widowControl/>
              <w:rPr>
                <w:rFonts w:ascii="宋体" w:hAnsi="宋体"/>
                <w:color w:val="auto"/>
                <w:kern w:val="0"/>
                <w:sz w:val="22"/>
                <w:szCs w:val="22"/>
              </w:rPr>
            </w:pPr>
            <w:r>
              <w:rPr>
                <w:rFonts w:hint="eastAsia" w:ascii="宋体" w:hAnsi="宋体"/>
                <w:color w:val="auto"/>
                <w:kern w:val="0"/>
                <w:sz w:val="22"/>
                <w:szCs w:val="22"/>
              </w:rPr>
              <w:t>107</w:t>
            </w:r>
          </w:p>
        </w:tc>
        <w:tc>
          <w:tcPr>
            <w:tcW w:w="807" w:type="pct"/>
            <w:vMerge w:val="restart"/>
            <w:tcBorders>
              <w:top w:val="nil"/>
              <w:left w:val="single" w:color="auto" w:sz="4" w:space="0"/>
              <w:bottom w:val="single" w:color="auto" w:sz="4" w:space="0"/>
              <w:right w:val="single" w:color="auto" w:sz="4" w:space="0"/>
            </w:tcBorders>
            <w:vAlign w:val="center"/>
          </w:tcPr>
          <w:p w14:paraId="1E7685F5">
            <w:pPr>
              <w:widowControl/>
              <w:rPr>
                <w:rFonts w:ascii="宋体" w:hAnsi="宋体"/>
                <w:color w:val="auto"/>
                <w:kern w:val="0"/>
                <w:sz w:val="22"/>
                <w:szCs w:val="22"/>
              </w:rPr>
            </w:pPr>
            <w:r>
              <w:rPr>
                <w:rFonts w:hint="eastAsia" w:ascii="宋体" w:hAnsi="宋体"/>
                <w:color w:val="auto"/>
                <w:kern w:val="0"/>
                <w:sz w:val="22"/>
                <w:szCs w:val="22"/>
              </w:rPr>
              <w:t>▲显卡功能</w:t>
            </w:r>
          </w:p>
        </w:tc>
        <w:tc>
          <w:tcPr>
            <w:tcW w:w="1096" w:type="pct"/>
            <w:tcBorders>
              <w:top w:val="single" w:color="auto" w:sz="4" w:space="0"/>
              <w:left w:val="single" w:color="auto" w:sz="4" w:space="0"/>
              <w:bottom w:val="single" w:color="auto" w:sz="4" w:space="0"/>
              <w:right w:val="single" w:color="auto" w:sz="4" w:space="0"/>
            </w:tcBorders>
            <w:vAlign w:val="center"/>
          </w:tcPr>
          <w:p w14:paraId="358BB73F">
            <w:pPr>
              <w:widowControl/>
              <w:jc w:val="left"/>
              <w:rPr>
                <w:rFonts w:ascii="宋体" w:hAnsi="宋体"/>
                <w:color w:val="auto"/>
                <w:kern w:val="0"/>
                <w:sz w:val="22"/>
                <w:szCs w:val="22"/>
              </w:rPr>
            </w:pPr>
            <w:r>
              <w:rPr>
                <w:rFonts w:hint="eastAsia" w:ascii="宋体" w:hAnsi="宋体"/>
                <w:color w:val="auto"/>
                <w:kern w:val="0"/>
                <w:sz w:val="22"/>
                <w:szCs w:val="22"/>
              </w:rPr>
              <w:t>▲显卡外接显示接口</w:t>
            </w:r>
          </w:p>
        </w:tc>
        <w:tc>
          <w:tcPr>
            <w:tcW w:w="2735" w:type="pct"/>
            <w:tcBorders>
              <w:top w:val="single" w:color="auto" w:sz="4" w:space="0"/>
              <w:left w:val="single" w:color="auto" w:sz="4" w:space="0"/>
              <w:bottom w:val="single" w:color="auto" w:sz="4" w:space="0"/>
              <w:right w:val="single" w:color="auto" w:sz="4" w:space="0"/>
            </w:tcBorders>
            <w:vAlign w:val="center"/>
          </w:tcPr>
          <w:p w14:paraId="30642858">
            <w:pPr>
              <w:widowControl/>
              <w:rPr>
                <w:rFonts w:ascii="宋体" w:hAnsi="宋体"/>
                <w:color w:val="auto"/>
                <w:kern w:val="0"/>
                <w:sz w:val="22"/>
                <w:szCs w:val="22"/>
              </w:rPr>
            </w:pPr>
            <w:r>
              <w:rPr>
                <w:rFonts w:hint="eastAsia" w:ascii="宋体" w:hAnsi="宋体"/>
                <w:color w:val="auto"/>
                <w:kern w:val="0"/>
                <w:sz w:val="22"/>
                <w:szCs w:val="22"/>
              </w:rPr>
              <w:t>显卡至少支持 VGA、HDMI 2 种显示接口，并与显示器接口相匹配</w:t>
            </w:r>
          </w:p>
        </w:tc>
      </w:tr>
      <w:tr w14:paraId="52E4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14FB39A">
            <w:pPr>
              <w:widowControl/>
              <w:rPr>
                <w:rFonts w:ascii="宋体" w:hAnsi="宋体"/>
                <w:color w:val="auto"/>
                <w:kern w:val="0"/>
                <w:sz w:val="22"/>
                <w:szCs w:val="22"/>
              </w:rPr>
            </w:pPr>
            <w:r>
              <w:rPr>
                <w:rFonts w:hint="eastAsia" w:ascii="宋体" w:hAnsi="宋体"/>
                <w:color w:val="auto"/>
                <w:kern w:val="0"/>
                <w:sz w:val="22"/>
                <w:szCs w:val="22"/>
              </w:rPr>
              <w:t>108</w:t>
            </w:r>
          </w:p>
        </w:tc>
        <w:tc>
          <w:tcPr>
            <w:tcW w:w="0" w:type="auto"/>
            <w:vMerge w:val="continue"/>
            <w:tcBorders>
              <w:top w:val="nil"/>
              <w:left w:val="single" w:color="auto" w:sz="4" w:space="0"/>
              <w:bottom w:val="single" w:color="auto" w:sz="4" w:space="0"/>
              <w:right w:val="single" w:color="auto" w:sz="4" w:space="0"/>
            </w:tcBorders>
            <w:vAlign w:val="center"/>
          </w:tcPr>
          <w:p w14:paraId="3063EFD6">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351345F">
            <w:pPr>
              <w:widowControl/>
              <w:jc w:val="left"/>
              <w:rPr>
                <w:rFonts w:ascii="宋体" w:hAnsi="宋体"/>
                <w:color w:val="auto"/>
                <w:kern w:val="0"/>
                <w:sz w:val="22"/>
                <w:szCs w:val="22"/>
              </w:rPr>
            </w:pPr>
            <w:r>
              <w:rPr>
                <w:rFonts w:hint="eastAsia" w:ascii="宋体" w:hAnsi="宋体"/>
                <w:color w:val="auto"/>
                <w:kern w:val="0"/>
                <w:sz w:val="22"/>
                <w:szCs w:val="22"/>
              </w:rPr>
              <w:t>独立显卡数量</w:t>
            </w:r>
          </w:p>
        </w:tc>
        <w:tc>
          <w:tcPr>
            <w:tcW w:w="2735" w:type="pct"/>
            <w:tcBorders>
              <w:top w:val="single" w:color="auto" w:sz="4" w:space="0"/>
              <w:left w:val="single" w:color="auto" w:sz="4" w:space="0"/>
              <w:bottom w:val="single" w:color="auto" w:sz="4" w:space="0"/>
              <w:right w:val="single" w:color="auto" w:sz="4" w:space="0"/>
            </w:tcBorders>
            <w:vAlign w:val="center"/>
          </w:tcPr>
          <w:p w14:paraId="6E3D2447">
            <w:pPr>
              <w:widowControl/>
              <w:rPr>
                <w:rFonts w:ascii="宋体" w:hAnsi="宋体"/>
                <w:color w:val="auto"/>
                <w:kern w:val="0"/>
                <w:sz w:val="22"/>
                <w:szCs w:val="22"/>
              </w:rPr>
            </w:pPr>
            <w:r>
              <w:rPr>
                <w:rFonts w:hint="eastAsia" w:ascii="宋体" w:hAnsi="宋体"/>
                <w:color w:val="auto"/>
                <w:kern w:val="0"/>
                <w:sz w:val="22"/>
                <w:szCs w:val="22"/>
              </w:rPr>
              <w:t>≥0</w:t>
            </w:r>
          </w:p>
        </w:tc>
      </w:tr>
      <w:tr w14:paraId="1945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0026B9A">
            <w:pPr>
              <w:widowControl/>
              <w:rPr>
                <w:rFonts w:ascii="宋体" w:hAnsi="宋体"/>
                <w:color w:val="auto"/>
                <w:kern w:val="0"/>
                <w:sz w:val="22"/>
                <w:szCs w:val="22"/>
              </w:rPr>
            </w:pPr>
            <w:r>
              <w:rPr>
                <w:rFonts w:hint="eastAsia" w:ascii="宋体" w:hAnsi="宋体"/>
                <w:color w:val="auto"/>
                <w:kern w:val="0"/>
                <w:sz w:val="22"/>
                <w:szCs w:val="22"/>
              </w:rPr>
              <w:t>109</w:t>
            </w:r>
          </w:p>
        </w:tc>
        <w:tc>
          <w:tcPr>
            <w:tcW w:w="807" w:type="pct"/>
            <w:vMerge w:val="restart"/>
            <w:tcBorders>
              <w:top w:val="nil"/>
              <w:left w:val="single" w:color="auto" w:sz="4" w:space="0"/>
              <w:bottom w:val="single" w:color="auto" w:sz="4" w:space="0"/>
              <w:right w:val="single" w:color="auto" w:sz="4" w:space="0"/>
            </w:tcBorders>
            <w:vAlign w:val="center"/>
          </w:tcPr>
          <w:p w14:paraId="013C35E0">
            <w:pPr>
              <w:widowControl/>
              <w:rPr>
                <w:rFonts w:ascii="宋体" w:hAnsi="宋体"/>
                <w:color w:val="auto"/>
                <w:kern w:val="0"/>
                <w:sz w:val="22"/>
                <w:szCs w:val="22"/>
              </w:rPr>
            </w:pPr>
            <w:r>
              <w:rPr>
                <w:rFonts w:hint="eastAsia" w:ascii="宋体" w:hAnsi="宋体"/>
                <w:color w:val="auto"/>
                <w:kern w:val="0"/>
                <w:sz w:val="22"/>
                <w:szCs w:val="22"/>
              </w:rPr>
              <w:t>显示设备功能</w:t>
            </w:r>
          </w:p>
        </w:tc>
        <w:tc>
          <w:tcPr>
            <w:tcW w:w="1096" w:type="pct"/>
            <w:tcBorders>
              <w:top w:val="single" w:color="auto" w:sz="4" w:space="0"/>
              <w:left w:val="single" w:color="auto" w:sz="4" w:space="0"/>
              <w:bottom w:val="single" w:color="auto" w:sz="4" w:space="0"/>
              <w:right w:val="single" w:color="auto" w:sz="4" w:space="0"/>
            </w:tcBorders>
            <w:vAlign w:val="center"/>
          </w:tcPr>
          <w:p w14:paraId="25DCA541">
            <w:pPr>
              <w:widowControl/>
              <w:jc w:val="left"/>
              <w:rPr>
                <w:rFonts w:ascii="宋体" w:hAnsi="宋体"/>
                <w:color w:val="auto"/>
                <w:kern w:val="0"/>
                <w:sz w:val="22"/>
                <w:szCs w:val="22"/>
              </w:rPr>
            </w:pPr>
            <w:r>
              <w:rPr>
                <w:rFonts w:hint="eastAsia" w:ascii="宋体" w:hAnsi="宋体"/>
                <w:color w:val="auto"/>
                <w:kern w:val="0"/>
                <w:sz w:val="22"/>
                <w:szCs w:val="22"/>
              </w:rPr>
              <w:t xml:space="preserve"> ▲显示器接口</w:t>
            </w:r>
          </w:p>
        </w:tc>
        <w:tc>
          <w:tcPr>
            <w:tcW w:w="2735" w:type="pct"/>
            <w:tcBorders>
              <w:top w:val="single" w:color="auto" w:sz="4" w:space="0"/>
              <w:left w:val="single" w:color="auto" w:sz="4" w:space="0"/>
              <w:bottom w:val="single" w:color="auto" w:sz="4" w:space="0"/>
              <w:right w:val="single" w:color="auto" w:sz="4" w:space="0"/>
            </w:tcBorders>
            <w:vAlign w:val="center"/>
          </w:tcPr>
          <w:p w14:paraId="17999761">
            <w:pPr>
              <w:widowControl/>
              <w:rPr>
                <w:rFonts w:ascii="宋体" w:hAnsi="宋体"/>
                <w:color w:val="auto"/>
                <w:kern w:val="0"/>
                <w:sz w:val="22"/>
                <w:szCs w:val="22"/>
              </w:rPr>
            </w:pPr>
            <w:r>
              <w:rPr>
                <w:rFonts w:hint="eastAsia" w:ascii="宋体" w:hAnsi="宋体"/>
                <w:color w:val="auto"/>
                <w:kern w:val="0"/>
                <w:sz w:val="22"/>
                <w:szCs w:val="22"/>
              </w:rPr>
              <w:t>至少两种接口，显示器应与集成显卡外接显示接口匹配</w:t>
            </w:r>
          </w:p>
        </w:tc>
      </w:tr>
      <w:tr w14:paraId="75E3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B41D864">
            <w:pPr>
              <w:widowControl/>
              <w:rPr>
                <w:rFonts w:ascii="宋体" w:hAnsi="宋体"/>
                <w:color w:val="auto"/>
                <w:kern w:val="0"/>
                <w:sz w:val="22"/>
                <w:szCs w:val="22"/>
              </w:rPr>
            </w:pPr>
            <w:r>
              <w:rPr>
                <w:rFonts w:hint="eastAsia" w:ascii="宋体" w:hAnsi="宋体"/>
                <w:color w:val="auto"/>
                <w:kern w:val="0"/>
                <w:sz w:val="22"/>
                <w:szCs w:val="22"/>
              </w:rPr>
              <w:t>110</w:t>
            </w:r>
          </w:p>
        </w:tc>
        <w:tc>
          <w:tcPr>
            <w:tcW w:w="0" w:type="auto"/>
            <w:vMerge w:val="continue"/>
            <w:tcBorders>
              <w:top w:val="nil"/>
              <w:left w:val="single" w:color="auto" w:sz="4" w:space="0"/>
              <w:bottom w:val="single" w:color="auto" w:sz="4" w:space="0"/>
              <w:right w:val="single" w:color="auto" w:sz="4" w:space="0"/>
            </w:tcBorders>
            <w:vAlign w:val="center"/>
          </w:tcPr>
          <w:p w14:paraId="747F8B94">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4379635A">
            <w:pPr>
              <w:widowControl/>
              <w:jc w:val="left"/>
              <w:rPr>
                <w:rFonts w:ascii="宋体" w:hAnsi="宋体"/>
                <w:color w:val="auto"/>
                <w:kern w:val="0"/>
                <w:sz w:val="22"/>
                <w:szCs w:val="22"/>
              </w:rPr>
            </w:pPr>
            <w:r>
              <w:rPr>
                <w:rFonts w:hint="eastAsia" w:ascii="宋体" w:hAnsi="宋体"/>
                <w:color w:val="auto"/>
                <w:kern w:val="0"/>
                <w:sz w:val="22"/>
                <w:szCs w:val="22"/>
              </w:rPr>
              <w:t>▲ 显示器支架</w:t>
            </w:r>
          </w:p>
        </w:tc>
        <w:tc>
          <w:tcPr>
            <w:tcW w:w="2735" w:type="pct"/>
            <w:tcBorders>
              <w:top w:val="single" w:color="auto" w:sz="4" w:space="0"/>
              <w:left w:val="single" w:color="auto" w:sz="4" w:space="0"/>
              <w:bottom w:val="single" w:color="auto" w:sz="4" w:space="0"/>
              <w:right w:val="single" w:color="auto" w:sz="4" w:space="0"/>
            </w:tcBorders>
            <w:vAlign w:val="center"/>
          </w:tcPr>
          <w:p w14:paraId="2AEDA880">
            <w:pPr>
              <w:widowControl/>
              <w:rPr>
                <w:rFonts w:ascii="宋体" w:hAnsi="宋体"/>
                <w:color w:val="auto"/>
                <w:kern w:val="0"/>
                <w:sz w:val="22"/>
                <w:szCs w:val="22"/>
              </w:rPr>
            </w:pPr>
            <w:r>
              <w:rPr>
                <w:rFonts w:hint="eastAsia" w:ascii="宋体" w:hAnsi="宋体"/>
                <w:color w:val="auto"/>
                <w:kern w:val="0"/>
                <w:sz w:val="22"/>
                <w:szCs w:val="22"/>
              </w:rPr>
              <w:t>显示器应提供显示器支架</w:t>
            </w:r>
          </w:p>
        </w:tc>
      </w:tr>
      <w:tr w14:paraId="7007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2778E33">
            <w:pPr>
              <w:widowControl/>
              <w:rPr>
                <w:rFonts w:ascii="宋体" w:hAnsi="宋体"/>
                <w:color w:val="auto"/>
                <w:kern w:val="0"/>
                <w:sz w:val="22"/>
                <w:szCs w:val="22"/>
              </w:rPr>
            </w:pPr>
            <w:r>
              <w:rPr>
                <w:rFonts w:hint="eastAsia" w:ascii="宋体" w:hAnsi="宋体"/>
                <w:color w:val="auto"/>
                <w:kern w:val="0"/>
                <w:sz w:val="22"/>
                <w:szCs w:val="22"/>
              </w:rPr>
              <w:t>111</w:t>
            </w:r>
          </w:p>
        </w:tc>
        <w:tc>
          <w:tcPr>
            <w:tcW w:w="0" w:type="auto"/>
            <w:vMerge w:val="continue"/>
            <w:tcBorders>
              <w:top w:val="nil"/>
              <w:left w:val="single" w:color="auto" w:sz="4" w:space="0"/>
              <w:bottom w:val="single" w:color="auto" w:sz="4" w:space="0"/>
              <w:right w:val="single" w:color="auto" w:sz="4" w:space="0"/>
            </w:tcBorders>
            <w:vAlign w:val="center"/>
          </w:tcPr>
          <w:p w14:paraId="12ECACA9">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4AC7AF59">
            <w:pPr>
              <w:widowControl/>
              <w:jc w:val="left"/>
              <w:rPr>
                <w:rFonts w:ascii="宋体" w:hAnsi="宋体"/>
                <w:color w:val="auto"/>
                <w:kern w:val="0"/>
                <w:sz w:val="22"/>
                <w:szCs w:val="22"/>
              </w:rPr>
            </w:pPr>
            <w:r>
              <w:rPr>
                <w:rFonts w:hint="eastAsia" w:ascii="宋体" w:hAnsi="宋体"/>
                <w:color w:val="auto"/>
                <w:kern w:val="0"/>
                <w:sz w:val="22"/>
                <w:szCs w:val="22"/>
              </w:rPr>
              <w:t>▲ 显示器参数调节</w:t>
            </w:r>
          </w:p>
        </w:tc>
        <w:tc>
          <w:tcPr>
            <w:tcW w:w="2735" w:type="pct"/>
            <w:tcBorders>
              <w:top w:val="single" w:color="auto" w:sz="4" w:space="0"/>
              <w:left w:val="single" w:color="auto" w:sz="4" w:space="0"/>
              <w:bottom w:val="single" w:color="auto" w:sz="4" w:space="0"/>
              <w:right w:val="single" w:color="auto" w:sz="4" w:space="0"/>
            </w:tcBorders>
            <w:vAlign w:val="center"/>
          </w:tcPr>
          <w:p w14:paraId="48B8586A">
            <w:pPr>
              <w:widowControl/>
              <w:rPr>
                <w:rFonts w:ascii="宋体" w:hAnsi="宋体"/>
                <w:color w:val="auto"/>
                <w:kern w:val="0"/>
                <w:sz w:val="22"/>
                <w:szCs w:val="22"/>
              </w:rPr>
            </w:pPr>
            <w:r>
              <w:rPr>
                <w:rFonts w:hint="eastAsia" w:ascii="宋体" w:hAnsi="宋体"/>
                <w:color w:val="auto"/>
                <w:kern w:val="0"/>
                <w:sz w:val="22"/>
                <w:szCs w:val="22"/>
              </w:rPr>
              <w:t>a)提供OSD选单按钮用于调节色彩、模式等；</w:t>
            </w:r>
            <w:r>
              <w:rPr>
                <w:rFonts w:hint="eastAsia" w:ascii="宋体" w:hAnsi="宋体"/>
                <w:color w:val="auto"/>
                <w:kern w:val="0"/>
                <w:sz w:val="22"/>
                <w:szCs w:val="22"/>
              </w:rPr>
              <w:br w:type="textWrapping"/>
            </w:r>
            <w:r>
              <w:rPr>
                <w:rFonts w:hint="eastAsia" w:ascii="宋体" w:hAnsi="宋体"/>
                <w:color w:val="auto"/>
                <w:kern w:val="0"/>
                <w:sz w:val="22"/>
                <w:szCs w:val="22"/>
              </w:rPr>
              <w:t>b)支持色温、亮度、对比度调节</w:t>
            </w:r>
          </w:p>
        </w:tc>
      </w:tr>
      <w:tr w14:paraId="2D2B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A2A06EF">
            <w:pPr>
              <w:widowControl/>
              <w:rPr>
                <w:rFonts w:ascii="宋体" w:hAnsi="宋体"/>
                <w:color w:val="auto"/>
                <w:kern w:val="0"/>
                <w:sz w:val="22"/>
                <w:szCs w:val="22"/>
              </w:rPr>
            </w:pPr>
            <w:r>
              <w:rPr>
                <w:rFonts w:hint="eastAsia" w:ascii="宋体" w:hAnsi="宋体"/>
                <w:color w:val="auto"/>
                <w:kern w:val="0"/>
                <w:sz w:val="22"/>
                <w:szCs w:val="22"/>
              </w:rPr>
              <w:t>112</w:t>
            </w:r>
          </w:p>
        </w:tc>
        <w:tc>
          <w:tcPr>
            <w:tcW w:w="807" w:type="pct"/>
            <w:vMerge w:val="restart"/>
            <w:tcBorders>
              <w:top w:val="nil"/>
              <w:left w:val="single" w:color="auto" w:sz="4" w:space="0"/>
              <w:bottom w:val="single" w:color="auto" w:sz="4" w:space="0"/>
              <w:right w:val="single" w:color="auto" w:sz="4" w:space="0"/>
            </w:tcBorders>
            <w:vAlign w:val="center"/>
          </w:tcPr>
          <w:p w14:paraId="491D1874">
            <w:pPr>
              <w:widowControl/>
              <w:rPr>
                <w:rFonts w:ascii="宋体" w:hAnsi="宋体"/>
                <w:color w:val="auto"/>
                <w:kern w:val="0"/>
                <w:sz w:val="22"/>
                <w:szCs w:val="22"/>
              </w:rPr>
            </w:pPr>
            <w:r>
              <w:rPr>
                <w:rFonts w:hint="eastAsia" w:ascii="宋体" w:hAnsi="宋体"/>
                <w:color w:val="auto"/>
                <w:kern w:val="0"/>
                <w:sz w:val="22"/>
                <w:szCs w:val="22"/>
              </w:rPr>
              <w:t>外设功能</w:t>
            </w:r>
          </w:p>
        </w:tc>
        <w:tc>
          <w:tcPr>
            <w:tcW w:w="1096" w:type="pct"/>
            <w:tcBorders>
              <w:top w:val="single" w:color="auto" w:sz="4" w:space="0"/>
              <w:left w:val="single" w:color="auto" w:sz="4" w:space="0"/>
              <w:bottom w:val="single" w:color="auto" w:sz="4" w:space="0"/>
              <w:right w:val="single" w:color="auto" w:sz="4" w:space="0"/>
            </w:tcBorders>
            <w:vAlign w:val="center"/>
          </w:tcPr>
          <w:p w14:paraId="05316C55">
            <w:pPr>
              <w:widowControl/>
              <w:jc w:val="left"/>
              <w:rPr>
                <w:rFonts w:ascii="宋体" w:hAnsi="宋体"/>
                <w:color w:val="auto"/>
                <w:kern w:val="0"/>
                <w:sz w:val="22"/>
                <w:szCs w:val="22"/>
              </w:rPr>
            </w:pPr>
            <w:r>
              <w:rPr>
                <w:rFonts w:hint="eastAsia" w:ascii="宋体" w:hAnsi="宋体"/>
                <w:color w:val="auto"/>
                <w:kern w:val="0"/>
                <w:sz w:val="22"/>
                <w:szCs w:val="22"/>
              </w:rPr>
              <w:t>摄像头物理隐私保护开关</w:t>
            </w:r>
          </w:p>
        </w:tc>
        <w:tc>
          <w:tcPr>
            <w:tcW w:w="2735" w:type="pct"/>
            <w:tcBorders>
              <w:top w:val="single" w:color="auto" w:sz="4" w:space="0"/>
              <w:left w:val="single" w:color="auto" w:sz="4" w:space="0"/>
              <w:bottom w:val="single" w:color="auto" w:sz="4" w:space="0"/>
              <w:right w:val="single" w:color="auto" w:sz="4" w:space="0"/>
            </w:tcBorders>
            <w:vAlign w:val="center"/>
          </w:tcPr>
          <w:p w14:paraId="4CA32DB3">
            <w:pPr>
              <w:widowControl/>
              <w:rPr>
                <w:rFonts w:ascii="宋体" w:hAnsi="宋体"/>
                <w:color w:val="auto"/>
                <w:kern w:val="0"/>
                <w:sz w:val="22"/>
                <w:szCs w:val="22"/>
              </w:rPr>
            </w:pPr>
            <w:r>
              <w:rPr>
                <w:rFonts w:hint="eastAsia" w:ascii="宋体" w:hAnsi="宋体"/>
                <w:color w:val="auto"/>
                <w:kern w:val="0"/>
                <w:sz w:val="22"/>
                <w:szCs w:val="22"/>
              </w:rPr>
              <w:t>/</w:t>
            </w:r>
          </w:p>
        </w:tc>
      </w:tr>
      <w:tr w14:paraId="7B88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B410C50">
            <w:pPr>
              <w:widowControl/>
              <w:rPr>
                <w:rFonts w:ascii="宋体" w:hAnsi="宋体"/>
                <w:color w:val="auto"/>
                <w:kern w:val="0"/>
                <w:sz w:val="22"/>
                <w:szCs w:val="22"/>
              </w:rPr>
            </w:pPr>
            <w:r>
              <w:rPr>
                <w:rFonts w:hint="eastAsia" w:ascii="宋体" w:hAnsi="宋体"/>
                <w:color w:val="auto"/>
                <w:kern w:val="0"/>
                <w:sz w:val="22"/>
                <w:szCs w:val="22"/>
              </w:rPr>
              <w:t>113</w:t>
            </w:r>
          </w:p>
        </w:tc>
        <w:tc>
          <w:tcPr>
            <w:tcW w:w="0" w:type="auto"/>
            <w:vMerge w:val="continue"/>
            <w:tcBorders>
              <w:top w:val="nil"/>
              <w:left w:val="single" w:color="auto" w:sz="4" w:space="0"/>
              <w:bottom w:val="single" w:color="auto" w:sz="4" w:space="0"/>
              <w:right w:val="single" w:color="auto" w:sz="4" w:space="0"/>
            </w:tcBorders>
            <w:vAlign w:val="center"/>
          </w:tcPr>
          <w:p w14:paraId="1B4D245E">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57E550A9">
            <w:pPr>
              <w:widowControl/>
              <w:jc w:val="left"/>
              <w:rPr>
                <w:rFonts w:ascii="宋体" w:hAnsi="宋体"/>
                <w:color w:val="auto"/>
                <w:kern w:val="0"/>
                <w:sz w:val="22"/>
                <w:szCs w:val="22"/>
              </w:rPr>
            </w:pPr>
            <w:r>
              <w:rPr>
                <w:rFonts w:hint="eastAsia" w:ascii="宋体" w:hAnsi="宋体"/>
                <w:color w:val="auto"/>
                <w:kern w:val="0"/>
                <w:sz w:val="22"/>
                <w:szCs w:val="22"/>
              </w:rPr>
              <w:t>传声器降噪</w:t>
            </w:r>
          </w:p>
        </w:tc>
        <w:tc>
          <w:tcPr>
            <w:tcW w:w="2735" w:type="pct"/>
            <w:tcBorders>
              <w:top w:val="single" w:color="auto" w:sz="4" w:space="0"/>
              <w:left w:val="single" w:color="auto" w:sz="4" w:space="0"/>
              <w:bottom w:val="single" w:color="auto" w:sz="4" w:space="0"/>
              <w:right w:val="single" w:color="auto" w:sz="4" w:space="0"/>
            </w:tcBorders>
            <w:vAlign w:val="center"/>
          </w:tcPr>
          <w:p w14:paraId="1A06DA1D">
            <w:pPr>
              <w:widowControl/>
              <w:rPr>
                <w:rFonts w:ascii="宋体" w:hAnsi="宋体"/>
                <w:color w:val="auto"/>
                <w:kern w:val="0"/>
                <w:sz w:val="22"/>
                <w:szCs w:val="22"/>
              </w:rPr>
            </w:pPr>
            <w:r>
              <w:rPr>
                <w:rFonts w:hint="eastAsia" w:ascii="宋体" w:hAnsi="宋体"/>
                <w:color w:val="auto"/>
                <w:kern w:val="0"/>
                <w:sz w:val="22"/>
                <w:szCs w:val="22"/>
              </w:rPr>
              <w:t>/</w:t>
            </w:r>
          </w:p>
        </w:tc>
      </w:tr>
      <w:tr w14:paraId="019C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D6DA12B">
            <w:pPr>
              <w:widowControl/>
              <w:rPr>
                <w:rFonts w:ascii="宋体" w:hAnsi="宋体"/>
                <w:color w:val="auto"/>
                <w:kern w:val="0"/>
                <w:sz w:val="22"/>
                <w:szCs w:val="22"/>
              </w:rPr>
            </w:pPr>
            <w:r>
              <w:rPr>
                <w:rFonts w:hint="eastAsia" w:ascii="宋体" w:hAnsi="宋体"/>
                <w:color w:val="auto"/>
                <w:kern w:val="0"/>
                <w:sz w:val="22"/>
                <w:szCs w:val="22"/>
              </w:rPr>
              <w:t>114</w:t>
            </w:r>
          </w:p>
        </w:tc>
        <w:tc>
          <w:tcPr>
            <w:tcW w:w="0" w:type="auto"/>
            <w:vMerge w:val="continue"/>
            <w:tcBorders>
              <w:top w:val="nil"/>
              <w:left w:val="single" w:color="auto" w:sz="4" w:space="0"/>
              <w:bottom w:val="single" w:color="auto" w:sz="4" w:space="0"/>
              <w:right w:val="single" w:color="auto" w:sz="4" w:space="0"/>
            </w:tcBorders>
            <w:vAlign w:val="center"/>
          </w:tcPr>
          <w:p w14:paraId="50D31846">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2FDA33F9">
            <w:pPr>
              <w:widowControl/>
              <w:jc w:val="left"/>
              <w:rPr>
                <w:rFonts w:ascii="宋体" w:hAnsi="宋体"/>
                <w:color w:val="auto"/>
                <w:kern w:val="0"/>
                <w:sz w:val="22"/>
                <w:szCs w:val="22"/>
              </w:rPr>
            </w:pPr>
            <w:r>
              <w:rPr>
                <w:rFonts w:hint="eastAsia" w:ascii="宋体" w:hAnsi="宋体"/>
                <w:color w:val="auto"/>
                <w:kern w:val="0"/>
                <w:sz w:val="22"/>
                <w:szCs w:val="22"/>
              </w:rPr>
              <w:t>键盘背光</w:t>
            </w:r>
          </w:p>
        </w:tc>
        <w:tc>
          <w:tcPr>
            <w:tcW w:w="2735" w:type="pct"/>
            <w:tcBorders>
              <w:top w:val="single" w:color="auto" w:sz="4" w:space="0"/>
              <w:left w:val="single" w:color="auto" w:sz="4" w:space="0"/>
              <w:bottom w:val="single" w:color="auto" w:sz="4" w:space="0"/>
              <w:right w:val="single" w:color="auto" w:sz="4" w:space="0"/>
            </w:tcBorders>
            <w:vAlign w:val="center"/>
          </w:tcPr>
          <w:p w14:paraId="63184035">
            <w:pPr>
              <w:widowControl/>
              <w:rPr>
                <w:rFonts w:ascii="宋体" w:hAnsi="宋体"/>
                <w:color w:val="auto"/>
                <w:kern w:val="0"/>
                <w:sz w:val="22"/>
                <w:szCs w:val="22"/>
              </w:rPr>
            </w:pPr>
            <w:r>
              <w:rPr>
                <w:rFonts w:hint="eastAsia" w:ascii="宋体" w:hAnsi="宋体"/>
                <w:color w:val="auto"/>
                <w:kern w:val="0"/>
                <w:sz w:val="22"/>
                <w:szCs w:val="22"/>
              </w:rPr>
              <w:t>/</w:t>
            </w:r>
          </w:p>
        </w:tc>
      </w:tr>
      <w:tr w14:paraId="309B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DB3573A">
            <w:pPr>
              <w:widowControl/>
              <w:rPr>
                <w:rFonts w:ascii="宋体" w:hAnsi="宋体"/>
                <w:color w:val="auto"/>
                <w:kern w:val="0"/>
                <w:sz w:val="22"/>
                <w:szCs w:val="22"/>
              </w:rPr>
            </w:pPr>
            <w:r>
              <w:rPr>
                <w:rFonts w:hint="eastAsia" w:ascii="宋体" w:hAnsi="宋体"/>
                <w:color w:val="auto"/>
                <w:kern w:val="0"/>
                <w:sz w:val="22"/>
                <w:szCs w:val="22"/>
              </w:rPr>
              <w:t>115</w:t>
            </w:r>
          </w:p>
        </w:tc>
        <w:tc>
          <w:tcPr>
            <w:tcW w:w="0" w:type="auto"/>
            <w:vMerge w:val="continue"/>
            <w:tcBorders>
              <w:top w:val="nil"/>
              <w:left w:val="single" w:color="auto" w:sz="4" w:space="0"/>
              <w:bottom w:val="single" w:color="auto" w:sz="4" w:space="0"/>
              <w:right w:val="single" w:color="auto" w:sz="4" w:space="0"/>
            </w:tcBorders>
            <w:vAlign w:val="center"/>
          </w:tcPr>
          <w:p w14:paraId="3F99F453">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588A71A">
            <w:pPr>
              <w:widowControl/>
              <w:jc w:val="left"/>
              <w:rPr>
                <w:rFonts w:ascii="宋体" w:hAnsi="宋体"/>
                <w:color w:val="auto"/>
                <w:kern w:val="0"/>
                <w:sz w:val="22"/>
                <w:szCs w:val="22"/>
              </w:rPr>
            </w:pPr>
            <w:r>
              <w:rPr>
                <w:rFonts w:hint="eastAsia" w:ascii="宋体" w:hAnsi="宋体"/>
                <w:color w:val="auto"/>
                <w:kern w:val="0"/>
                <w:sz w:val="22"/>
                <w:szCs w:val="22"/>
              </w:rPr>
              <w:t>光驱功能</w:t>
            </w:r>
          </w:p>
        </w:tc>
        <w:tc>
          <w:tcPr>
            <w:tcW w:w="2735" w:type="pct"/>
            <w:tcBorders>
              <w:top w:val="single" w:color="auto" w:sz="4" w:space="0"/>
              <w:left w:val="single" w:color="auto" w:sz="4" w:space="0"/>
              <w:bottom w:val="single" w:color="auto" w:sz="4" w:space="0"/>
              <w:right w:val="single" w:color="auto" w:sz="4" w:space="0"/>
            </w:tcBorders>
            <w:vAlign w:val="center"/>
          </w:tcPr>
          <w:p w14:paraId="6CFB53D3">
            <w:pPr>
              <w:widowControl/>
              <w:rPr>
                <w:rFonts w:ascii="宋体" w:hAnsi="宋体"/>
                <w:color w:val="auto"/>
                <w:kern w:val="0"/>
                <w:sz w:val="22"/>
                <w:szCs w:val="22"/>
              </w:rPr>
            </w:pPr>
            <w:r>
              <w:rPr>
                <w:rFonts w:hint="eastAsia" w:ascii="宋体" w:hAnsi="宋体"/>
                <w:color w:val="auto"/>
                <w:kern w:val="0"/>
                <w:sz w:val="22"/>
                <w:szCs w:val="22"/>
              </w:rPr>
              <w:t>/</w:t>
            </w:r>
          </w:p>
        </w:tc>
      </w:tr>
      <w:tr w14:paraId="589A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E6D0EBB">
            <w:pPr>
              <w:widowControl/>
              <w:rPr>
                <w:rFonts w:ascii="宋体" w:hAnsi="宋体"/>
                <w:color w:val="auto"/>
                <w:kern w:val="0"/>
                <w:sz w:val="22"/>
                <w:szCs w:val="22"/>
              </w:rPr>
            </w:pPr>
            <w:r>
              <w:rPr>
                <w:rFonts w:hint="eastAsia" w:ascii="宋体" w:hAnsi="宋体"/>
                <w:color w:val="auto"/>
                <w:kern w:val="0"/>
                <w:sz w:val="22"/>
                <w:szCs w:val="22"/>
              </w:rPr>
              <w:t>116</w:t>
            </w:r>
          </w:p>
        </w:tc>
        <w:tc>
          <w:tcPr>
            <w:tcW w:w="807" w:type="pct"/>
            <w:vMerge w:val="restart"/>
            <w:tcBorders>
              <w:top w:val="nil"/>
              <w:left w:val="single" w:color="auto" w:sz="4" w:space="0"/>
              <w:bottom w:val="single" w:color="auto" w:sz="4" w:space="0"/>
              <w:right w:val="single" w:color="auto" w:sz="4" w:space="0"/>
            </w:tcBorders>
            <w:vAlign w:val="center"/>
          </w:tcPr>
          <w:p w14:paraId="524142A8">
            <w:pPr>
              <w:widowControl/>
              <w:rPr>
                <w:rFonts w:ascii="宋体" w:hAnsi="宋体"/>
                <w:color w:val="auto"/>
                <w:kern w:val="0"/>
                <w:sz w:val="22"/>
                <w:szCs w:val="22"/>
              </w:rPr>
            </w:pPr>
            <w:r>
              <w:rPr>
                <w:rFonts w:hint="eastAsia" w:ascii="宋体" w:hAnsi="宋体"/>
                <w:color w:val="auto"/>
                <w:kern w:val="0"/>
                <w:sz w:val="22"/>
                <w:szCs w:val="22"/>
              </w:rPr>
              <w:t>▲存储功能</w:t>
            </w:r>
          </w:p>
        </w:tc>
        <w:tc>
          <w:tcPr>
            <w:tcW w:w="1096" w:type="pct"/>
            <w:tcBorders>
              <w:top w:val="single" w:color="auto" w:sz="4" w:space="0"/>
              <w:left w:val="single" w:color="auto" w:sz="4" w:space="0"/>
              <w:bottom w:val="single" w:color="auto" w:sz="4" w:space="0"/>
              <w:right w:val="single" w:color="auto" w:sz="4" w:space="0"/>
            </w:tcBorders>
            <w:vAlign w:val="center"/>
          </w:tcPr>
          <w:p w14:paraId="1E99AB98">
            <w:pPr>
              <w:widowControl/>
              <w:jc w:val="left"/>
              <w:rPr>
                <w:rFonts w:ascii="宋体" w:hAnsi="宋体"/>
                <w:color w:val="auto"/>
                <w:kern w:val="0"/>
                <w:sz w:val="22"/>
                <w:szCs w:val="22"/>
              </w:rPr>
            </w:pPr>
            <w:r>
              <w:rPr>
                <w:rFonts w:hint="eastAsia" w:ascii="宋体" w:hAnsi="宋体"/>
                <w:color w:val="auto"/>
                <w:kern w:val="0"/>
                <w:sz w:val="22"/>
                <w:szCs w:val="22"/>
              </w:rPr>
              <w:t>▲存储功能</w:t>
            </w:r>
          </w:p>
        </w:tc>
        <w:tc>
          <w:tcPr>
            <w:tcW w:w="2735" w:type="pct"/>
            <w:tcBorders>
              <w:top w:val="single" w:color="auto" w:sz="4" w:space="0"/>
              <w:left w:val="single" w:color="auto" w:sz="4" w:space="0"/>
              <w:bottom w:val="single" w:color="auto" w:sz="4" w:space="0"/>
              <w:right w:val="single" w:color="auto" w:sz="4" w:space="0"/>
            </w:tcBorders>
            <w:vAlign w:val="center"/>
          </w:tcPr>
          <w:p w14:paraId="4A6CAAA3">
            <w:pPr>
              <w:widowControl/>
              <w:rPr>
                <w:rFonts w:ascii="宋体" w:hAnsi="宋体"/>
                <w:color w:val="auto"/>
                <w:kern w:val="0"/>
                <w:sz w:val="22"/>
                <w:szCs w:val="22"/>
              </w:rPr>
            </w:pPr>
            <w:r>
              <w:rPr>
                <w:rFonts w:hint="eastAsia" w:ascii="宋体" w:hAnsi="宋体"/>
                <w:color w:val="auto"/>
                <w:kern w:val="0"/>
                <w:sz w:val="22"/>
                <w:szCs w:val="22"/>
              </w:rPr>
              <w:t>通过SATA固态存储/PCIe固态存储/UFS固态存储/SATA硬磁盘等存储部件提供存储功能</w:t>
            </w:r>
          </w:p>
        </w:tc>
      </w:tr>
      <w:tr w14:paraId="5210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FB77C25">
            <w:pPr>
              <w:widowControl/>
              <w:rPr>
                <w:rFonts w:ascii="宋体" w:hAnsi="宋体"/>
                <w:color w:val="auto"/>
                <w:kern w:val="0"/>
                <w:sz w:val="22"/>
                <w:szCs w:val="22"/>
              </w:rPr>
            </w:pPr>
            <w:r>
              <w:rPr>
                <w:rFonts w:hint="eastAsia" w:ascii="宋体" w:hAnsi="宋体"/>
                <w:color w:val="auto"/>
                <w:kern w:val="0"/>
                <w:sz w:val="22"/>
                <w:szCs w:val="22"/>
              </w:rPr>
              <w:t>117</w:t>
            </w:r>
          </w:p>
        </w:tc>
        <w:tc>
          <w:tcPr>
            <w:tcW w:w="0" w:type="auto"/>
            <w:vMerge w:val="continue"/>
            <w:tcBorders>
              <w:top w:val="nil"/>
              <w:left w:val="single" w:color="auto" w:sz="4" w:space="0"/>
              <w:bottom w:val="single" w:color="auto" w:sz="4" w:space="0"/>
              <w:right w:val="single" w:color="auto" w:sz="4" w:space="0"/>
            </w:tcBorders>
            <w:vAlign w:val="center"/>
          </w:tcPr>
          <w:p w14:paraId="5CF2D910">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0664F335">
            <w:pPr>
              <w:widowControl/>
              <w:jc w:val="left"/>
              <w:rPr>
                <w:rFonts w:ascii="宋体" w:hAnsi="宋体"/>
                <w:color w:val="auto"/>
                <w:kern w:val="0"/>
                <w:sz w:val="22"/>
                <w:szCs w:val="22"/>
              </w:rPr>
            </w:pPr>
            <w:r>
              <w:rPr>
                <w:rFonts w:hint="eastAsia" w:ascii="宋体" w:hAnsi="宋体"/>
                <w:color w:val="auto"/>
                <w:kern w:val="0"/>
                <w:sz w:val="22"/>
                <w:szCs w:val="22"/>
              </w:rPr>
              <w:t>内置控制器固态存储加密</w:t>
            </w:r>
          </w:p>
        </w:tc>
        <w:tc>
          <w:tcPr>
            <w:tcW w:w="2735" w:type="pct"/>
            <w:tcBorders>
              <w:top w:val="single" w:color="auto" w:sz="4" w:space="0"/>
              <w:left w:val="single" w:color="auto" w:sz="4" w:space="0"/>
              <w:bottom w:val="single" w:color="auto" w:sz="4" w:space="0"/>
              <w:right w:val="single" w:color="auto" w:sz="4" w:space="0"/>
            </w:tcBorders>
            <w:vAlign w:val="center"/>
          </w:tcPr>
          <w:p w14:paraId="25627322">
            <w:pPr>
              <w:widowControl/>
              <w:rPr>
                <w:rFonts w:ascii="宋体" w:hAnsi="宋体"/>
                <w:color w:val="auto"/>
                <w:kern w:val="0"/>
                <w:sz w:val="22"/>
                <w:szCs w:val="22"/>
              </w:rPr>
            </w:pPr>
            <w:r>
              <w:rPr>
                <w:rFonts w:hint="eastAsia" w:ascii="宋体" w:hAnsi="宋体"/>
                <w:color w:val="auto"/>
                <w:kern w:val="0"/>
                <w:sz w:val="22"/>
                <w:szCs w:val="22"/>
              </w:rPr>
              <w:t>固态存储通过内置控制器硬件支持加密，不依赖处理器，保障数据安全性，但不得影响存储性能。</w:t>
            </w:r>
          </w:p>
          <w:p w14:paraId="4CEB1F8B">
            <w:pPr>
              <w:widowControl/>
              <w:rPr>
                <w:rFonts w:ascii="宋体" w:hAnsi="宋体"/>
                <w:color w:val="auto"/>
                <w:kern w:val="0"/>
                <w:sz w:val="22"/>
                <w:szCs w:val="22"/>
              </w:rPr>
            </w:pPr>
            <w:r>
              <w:rPr>
                <w:rFonts w:hint="eastAsia" w:ascii="宋体" w:hAnsi="宋体"/>
                <w:color w:val="auto"/>
                <w:kern w:val="0"/>
                <w:sz w:val="22"/>
                <w:szCs w:val="22"/>
              </w:rPr>
              <w:t xml:space="preserve">a) 支持加密功能，且加密功能开启不影响SSD读写性能； </w:t>
            </w:r>
          </w:p>
          <w:p w14:paraId="40D986FF">
            <w:pPr>
              <w:widowControl/>
              <w:rPr>
                <w:rFonts w:ascii="宋体" w:hAnsi="宋体"/>
                <w:color w:val="auto"/>
                <w:kern w:val="0"/>
                <w:sz w:val="22"/>
                <w:szCs w:val="22"/>
              </w:rPr>
            </w:pPr>
            <w:r>
              <w:rPr>
                <w:rFonts w:hint="eastAsia" w:ascii="宋体" w:hAnsi="宋体"/>
                <w:color w:val="auto"/>
                <w:kern w:val="0"/>
                <w:sz w:val="22"/>
                <w:szCs w:val="22"/>
              </w:rPr>
              <w:t>b) 支持固件加密、安全启动和安全升级；</w:t>
            </w:r>
          </w:p>
          <w:p w14:paraId="5E94928B">
            <w:pPr>
              <w:widowControl/>
              <w:rPr>
                <w:rFonts w:ascii="宋体" w:hAnsi="宋体"/>
                <w:color w:val="auto"/>
                <w:kern w:val="0"/>
                <w:sz w:val="22"/>
                <w:szCs w:val="22"/>
              </w:rPr>
            </w:pPr>
            <w:r>
              <w:rPr>
                <w:rFonts w:hint="eastAsia" w:ascii="宋体" w:hAnsi="宋体"/>
                <w:color w:val="auto"/>
                <w:kern w:val="0"/>
                <w:sz w:val="22"/>
                <w:szCs w:val="22"/>
              </w:rPr>
              <w:t>c) 支持数据的安全擦除</w:t>
            </w:r>
          </w:p>
        </w:tc>
      </w:tr>
      <w:tr w14:paraId="2284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9871A25">
            <w:pPr>
              <w:widowControl/>
              <w:rPr>
                <w:rFonts w:ascii="宋体" w:hAnsi="宋体"/>
                <w:color w:val="auto"/>
                <w:kern w:val="0"/>
                <w:sz w:val="22"/>
                <w:szCs w:val="22"/>
              </w:rPr>
            </w:pPr>
            <w:r>
              <w:rPr>
                <w:rFonts w:hint="eastAsia" w:ascii="宋体" w:hAnsi="宋体"/>
                <w:color w:val="auto"/>
                <w:kern w:val="0"/>
                <w:sz w:val="22"/>
                <w:szCs w:val="22"/>
              </w:rPr>
              <w:t>118</w:t>
            </w:r>
          </w:p>
        </w:tc>
        <w:tc>
          <w:tcPr>
            <w:tcW w:w="807" w:type="pct"/>
            <w:vMerge w:val="restart"/>
            <w:tcBorders>
              <w:top w:val="nil"/>
              <w:left w:val="single" w:color="auto" w:sz="4" w:space="0"/>
              <w:bottom w:val="single" w:color="auto" w:sz="4" w:space="0"/>
              <w:right w:val="single" w:color="auto" w:sz="4" w:space="0"/>
            </w:tcBorders>
            <w:vAlign w:val="center"/>
          </w:tcPr>
          <w:p w14:paraId="265EB1A0">
            <w:pPr>
              <w:widowControl/>
              <w:rPr>
                <w:rFonts w:ascii="宋体" w:hAnsi="宋体"/>
                <w:color w:val="auto"/>
                <w:kern w:val="0"/>
                <w:sz w:val="22"/>
                <w:szCs w:val="22"/>
              </w:rPr>
            </w:pPr>
            <w:r>
              <w:rPr>
                <w:rFonts w:hint="eastAsia" w:ascii="宋体" w:hAnsi="宋体"/>
                <w:color w:val="auto"/>
                <w:kern w:val="0"/>
                <w:sz w:val="22"/>
                <w:szCs w:val="22"/>
              </w:rPr>
              <w:t>▲网络设备功能</w:t>
            </w:r>
          </w:p>
        </w:tc>
        <w:tc>
          <w:tcPr>
            <w:tcW w:w="1096" w:type="pct"/>
            <w:tcBorders>
              <w:top w:val="single" w:color="auto" w:sz="4" w:space="0"/>
              <w:left w:val="single" w:color="auto" w:sz="4" w:space="0"/>
              <w:bottom w:val="single" w:color="auto" w:sz="4" w:space="0"/>
              <w:right w:val="single" w:color="auto" w:sz="4" w:space="0"/>
            </w:tcBorders>
            <w:vAlign w:val="center"/>
          </w:tcPr>
          <w:p w14:paraId="71C23F72">
            <w:pPr>
              <w:widowControl/>
              <w:jc w:val="left"/>
              <w:rPr>
                <w:rFonts w:ascii="宋体" w:hAnsi="宋体"/>
                <w:color w:val="auto"/>
                <w:kern w:val="0"/>
                <w:sz w:val="22"/>
                <w:szCs w:val="22"/>
              </w:rPr>
            </w:pPr>
            <w:r>
              <w:rPr>
                <w:rFonts w:hint="eastAsia" w:ascii="宋体" w:hAnsi="宋体"/>
                <w:color w:val="auto"/>
                <w:kern w:val="0"/>
                <w:sz w:val="22"/>
                <w:szCs w:val="22"/>
              </w:rPr>
              <w:t>▲网络功能</w:t>
            </w:r>
          </w:p>
        </w:tc>
        <w:tc>
          <w:tcPr>
            <w:tcW w:w="2735" w:type="pct"/>
            <w:tcBorders>
              <w:top w:val="single" w:color="auto" w:sz="4" w:space="0"/>
              <w:left w:val="single" w:color="auto" w:sz="4" w:space="0"/>
              <w:bottom w:val="single" w:color="auto" w:sz="4" w:space="0"/>
              <w:right w:val="single" w:color="auto" w:sz="4" w:space="0"/>
            </w:tcBorders>
            <w:vAlign w:val="center"/>
          </w:tcPr>
          <w:p w14:paraId="77A6DBEB">
            <w:pPr>
              <w:widowControl/>
              <w:rPr>
                <w:rFonts w:ascii="宋体" w:hAnsi="宋体"/>
                <w:color w:val="auto"/>
                <w:kern w:val="0"/>
                <w:sz w:val="22"/>
                <w:szCs w:val="22"/>
              </w:rPr>
            </w:pPr>
            <w:r>
              <w:rPr>
                <w:rFonts w:hint="eastAsia" w:ascii="宋体" w:hAnsi="宋体"/>
                <w:color w:val="auto"/>
                <w:kern w:val="0"/>
                <w:sz w:val="22"/>
                <w:szCs w:val="22"/>
              </w:rPr>
              <w:t>a)支持网络连接、网络开启/关闭功能；</w:t>
            </w:r>
            <w:r>
              <w:rPr>
                <w:rFonts w:hint="eastAsia" w:ascii="宋体" w:hAnsi="宋体"/>
                <w:color w:val="auto"/>
                <w:kern w:val="0"/>
                <w:sz w:val="22"/>
                <w:szCs w:val="22"/>
              </w:rPr>
              <w:br w:type="textWrapping"/>
            </w:r>
            <w:r>
              <w:rPr>
                <w:rFonts w:hint="eastAsia" w:ascii="宋体" w:hAnsi="宋体"/>
                <w:color w:val="auto"/>
                <w:kern w:val="0"/>
                <w:sz w:val="22"/>
                <w:szCs w:val="22"/>
              </w:rPr>
              <w:t>b)支持访问网络和数据交换功能</w:t>
            </w:r>
          </w:p>
        </w:tc>
      </w:tr>
      <w:tr w14:paraId="6ED2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C575401">
            <w:pPr>
              <w:widowControl/>
              <w:rPr>
                <w:rFonts w:ascii="宋体" w:hAnsi="宋体"/>
                <w:color w:val="auto"/>
                <w:kern w:val="0"/>
                <w:sz w:val="22"/>
                <w:szCs w:val="22"/>
              </w:rPr>
            </w:pPr>
            <w:r>
              <w:rPr>
                <w:rFonts w:hint="eastAsia" w:ascii="宋体" w:hAnsi="宋体"/>
                <w:color w:val="auto"/>
                <w:kern w:val="0"/>
                <w:sz w:val="22"/>
                <w:szCs w:val="22"/>
              </w:rPr>
              <w:t>119</w:t>
            </w:r>
          </w:p>
        </w:tc>
        <w:tc>
          <w:tcPr>
            <w:tcW w:w="0" w:type="auto"/>
            <w:vMerge w:val="continue"/>
            <w:tcBorders>
              <w:top w:val="nil"/>
              <w:left w:val="single" w:color="auto" w:sz="4" w:space="0"/>
              <w:bottom w:val="single" w:color="auto" w:sz="4" w:space="0"/>
              <w:right w:val="single" w:color="auto" w:sz="4" w:space="0"/>
            </w:tcBorders>
            <w:vAlign w:val="center"/>
          </w:tcPr>
          <w:p w14:paraId="3338E880">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DA3E0A6">
            <w:pPr>
              <w:widowControl/>
              <w:jc w:val="left"/>
              <w:rPr>
                <w:rFonts w:ascii="宋体" w:hAnsi="宋体"/>
                <w:color w:val="auto"/>
                <w:kern w:val="0"/>
                <w:sz w:val="22"/>
                <w:szCs w:val="22"/>
              </w:rPr>
            </w:pPr>
            <w:r>
              <w:rPr>
                <w:rFonts w:hint="eastAsia" w:ascii="宋体" w:hAnsi="宋体"/>
                <w:color w:val="auto"/>
                <w:kern w:val="0"/>
                <w:sz w:val="22"/>
                <w:szCs w:val="22"/>
              </w:rPr>
              <w:t>无线网卡频段</w:t>
            </w:r>
          </w:p>
        </w:tc>
        <w:tc>
          <w:tcPr>
            <w:tcW w:w="2735" w:type="pct"/>
            <w:tcBorders>
              <w:top w:val="single" w:color="auto" w:sz="4" w:space="0"/>
              <w:left w:val="single" w:color="auto" w:sz="4" w:space="0"/>
              <w:bottom w:val="single" w:color="auto" w:sz="4" w:space="0"/>
              <w:right w:val="single" w:color="auto" w:sz="4" w:space="0"/>
            </w:tcBorders>
            <w:vAlign w:val="center"/>
          </w:tcPr>
          <w:p w14:paraId="5774B9DE">
            <w:pPr>
              <w:widowControl/>
              <w:rPr>
                <w:rFonts w:ascii="宋体" w:hAnsi="宋体"/>
                <w:color w:val="auto"/>
                <w:kern w:val="0"/>
                <w:sz w:val="22"/>
                <w:szCs w:val="22"/>
              </w:rPr>
            </w:pPr>
            <w:r>
              <w:rPr>
                <w:rFonts w:hint="eastAsia" w:ascii="宋体" w:hAnsi="宋体"/>
                <w:color w:val="auto"/>
                <w:kern w:val="0"/>
                <w:sz w:val="22"/>
                <w:szCs w:val="22"/>
              </w:rPr>
              <w:t>/</w:t>
            </w:r>
          </w:p>
        </w:tc>
      </w:tr>
      <w:tr w14:paraId="45AB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314F8F3">
            <w:pPr>
              <w:widowControl/>
              <w:rPr>
                <w:rFonts w:ascii="宋体" w:hAnsi="宋体"/>
                <w:color w:val="auto"/>
                <w:kern w:val="0"/>
                <w:sz w:val="22"/>
                <w:szCs w:val="22"/>
              </w:rPr>
            </w:pPr>
            <w:r>
              <w:rPr>
                <w:rFonts w:hint="eastAsia" w:ascii="宋体" w:hAnsi="宋体"/>
                <w:color w:val="auto"/>
                <w:kern w:val="0"/>
                <w:sz w:val="22"/>
                <w:szCs w:val="22"/>
              </w:rPr>
              <w:t>120</w:t>
            </w:r>
          </w:p>
        </w:tc>
        <w:tc>
          <w:tcPr>
            <w:tcW w:w="0" w:type="auto"/>
            <w:vMerge w:val="continue"/>
            <w:tcBorders>
              <w:top w:val="nil"/>
              <w:left w:val="single" w:color="auto" w:sz="4" w:space="0"/>
              <w:bottom w:val="single" w:color="auto" w:sz="4" w:space="0"/>
              <w:right w:val="single" w:color="auto" w:sz="4" w:space="0"/>
            </w:tcBorders>
            <w:vAlign w:val="center"/>
          </w:tcPr>
          <w:p w14:paraId="6E853A6B">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7DC48C0">
            <w:pPr>
              <w:widowControl/>
              <w:jc w:val="left"/>
              <w:rPr>
                <w:rFonts w:ascii="宋体" w:hAnsi="宋体"/>
                <w:color w:val="auto"/>
                <w:kern w:val="0"/>
                <w:sz w:val="22"/>
                <w:szCs w:val="22"/>
              </w:rPr>
            </w:pPr>
            <w:r>
              <w:rPr>
                <w:rFonts w:hint="eastAsia" w:ascii="宋体" w:hAnsi="宋体"/>
                <w:color w:val="auto"/>
                <w:kern w:val="0"/>
                <w:sz w:val="22"/>
                <w:szCs w:val="22"/>
              </w:rPr>
              <w:t>物理开关</w:t>
            </w:r>
          </w:p>
        </w:tc>
        <w:tc>
          <w:tcPr>
            <w:tcW w:w="2735" w:type="pct"/>
            <w:tcBorders>
              <w:top w:val="single" w:color="auto" w:sz="4" w:space="0"/>
              <w:left w:val="single" w:color="auto" w:sz="4" w:space="0"/>
              <w:bottom w:val="single" w:color="auto" w:sz="4" w:space="0"/>
              <w:right w:val="single" w:color="auto" w:sz="4" w:space="0"/>
            </w:tcBorders>
            <w:vAlign w:val="center"/>
          </w:tcPr>
          <w:p w14:paraId="69E90C45">
            <w:pPr>
              <w:widowControl/>
              <w:rPr>
                <w:rFonts w:ascii="宋体" w:hAnsi="宋体"/>
                <w:color w:val="auto"/>
                <w:kern w:val="0"/>
                <w:sz w:val="22"/>
                <w:szCs w:val="22"/>
              </w:rPr>
            </w:pPr>
            <w:r>
              <w:rPr>
                <w:rFonts w:hint="eastAsia" w:ascii="宋体" w:hAnsi="宋体"/>
                <w:color w:val="auto"/>
                <w:kern w:val="0"/>
                <w:sz w:val="22"/>
                <w:szCs w:val="22"/>
              </w:rPr>
              <w:t>/</w:t>
            </w:r>
          </w:p>
        </w:tc>
      </w:tr>
      <w:tr w14:paraId="59A8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0CBF69E">
            <w:pPr>
              <w:widowControl/>
              <w:rPr>
                <w:rFonts w:ascii="宋体" w:hAnsi="宋体"/>
                <w:color w:val="auto"/>
                <w:kern w:val="0"/>
                <w:sz w:val="22"/>
                <w:szCs w:val="22"/>
              </w:rPr>
            </w:pPr>
            <w:r>
              <w:rPr>
                <w:rFonts w:hint="eastAsia" w:ascii="宋体" w:hAnsi="宋体"/>
                <w:color w:val="auto"/>
                <w:kern w:val="0"/>
                <w:sz w:val="22"/>
                <w:szCs w:val="22"/>
              </w:rPr>
              <w:t>121</w:t>
            </w:r>
          </w:p>
        </w:tc>
        <w:tc>
          <w:tcPr>
            <w:tcW w:w="0" w:type="auto"/>
            <w:vMerge w:val="continue"/>
            <w:tcBorders>
              <w:top w:val="nil"/>
              <w:left w:val="single" w:color="auto" w:sz="4" w:space="0"/>
              <w:bottom w:val="single" w:color="auto" w:sz="4" w:space="0"/>
              <w:right w:val="single" w:color="auto" w:sz="4" w:space="0"/>
            </w:tcBorders>
            <w:vAlign w:val="center"/>
          </w:tcPr>
          <w:p w14:paraId="579BAD78">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28236C06">
            <w:pPr>
              <w:widowControl/>
              <w:jc w:val="left"/>
              <w:rPr>
                <w:rFonts w:ascii="宋体" w:hAnsi="宋体"/>
                <w:color w:val="auto"/>
                <w:kern w:val="0"/>
                <w:sz w:val="22"/>
                <w:szCs w:val="22"/>
              </w:rPr>
            </w:pPr>
            <w:r>
              <w:rPr>
                <w:rFonts w:hint="eastAsia" w:ascii="宋体" w:hAnsi="宋体"/>
                <w:color w:val="auto"/>
                <w:kern w:val="0"/>
                <w:sz w:val="22"/>
                <w:szCs w:val="22"/>
              </w:rPr>
              <w:t>▲数据传输</w:t>
            </w:r>
          </w:p>
        </w:tc>
        <w:tc>
          <w:tcPr>
            <w:tcW w:w="2735" w:type="pct"/>
            <w:tcBorders>
              <w:top w:val="single" w:color="auto" w:sz="4" w:space="0"/>
              <w:left w:val="single" w:color="auto" w:sz="4" w:space="0"/>
              <w:bottom w:val="single" w:color="auto" w:sz="4" w:space="0"/>
              <w:right w:val="single" w:color="auto" w:sz="4" w:space="0"/>
            </w:tcBorders>
            <w:vAlign w:val="center"/>
          </w:tcPr>
          <w:p w14:paraId="45EE679E">
            <w:pPr>
              <w:widowControl/>
              <w:rPr>
                <w:rFonts w:ascii="宋体" w:hAnsi="宋体"/>
                <w:color w:val="auto"/>
                <w:kern w:val="0"/>
                <w:sz w:val="22"/>
                <w:szCs w:val="22"/>
              </w:rPr>
            </w:pPr>
            <w:r>
              <w:rPr>
                <w:rFonts w:hint="eastAsia" w:ascii="宋体" w:hAnsi="宋体"/>
                <w:color w:val="auto"/>
                <w:kern w:val="0"/>
                <w:sz w:val="22"/>
                <w:szCs w:val="22"/>
              </w:rPr>
              <w:t>支持数据传输能力，并提供数据流量和异常日志记录功能</w:t>
            </w:r>
          </w:p>
        </w:tc>
      </w:tr>
      <w:tr w14:paraId="20F4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321FD96">
            <w:pPr>
              <w:widowControl/>
              <w:rPr>
                <w:rFonts w:ascii="宋体" w:hAnsi="宋体"/>
                <w:color w:val="auto"/>
                <w:kern w:val="0"/>
                <w:sz w:val="22"/>
                <w:szCs w:val="22"/>
              </w:rPr>
            </w:pPr>
            <w:r>
              <w:rPr>
                <w:rFonts w:hint="eastAsia" w:ascii="宋体" w:hAnsi="宋体"/>
                <w:color w:val="auto"/>
                <w:kern w:val="0"/>
                <w:sz w:val="22"/>
                <w:szCs w:val="22"/>
              </w:rPr>
              <w:t>122</w:t>
            </w:r>
          </w:p>
        </w:tc>
        <w:tc>
          <w:tcPr>
            <w:tcW w:w="0" w:type="auto"/>
            <w:vMerge w:val="continue"/>
            <w:tcBorders>
              <w:top w:val="nil"/>
              <w:left w:val="single" w:color="auto" w:sz="4" w:space="0"/>
              <w:bottom w:val="single" w:color="auto" w:sz="4" w:space="0"/>
              <w:right w:val="single" w:color="auto" w:sz="4" w:space="0"/>
            </w:tcBorders>
            <w:vAlign w:val="center"/>
          </w:tcPr>
          <w:p w14:paraId="0FF2DA17">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35E0B3E">
            <w:pPr>
              <w:widowControl/>
              <w:jc w:val="left"/>
              <w:rPr>
                <w:rFonts w:ascii="宋体" w:hAnsi="宋体"/>
                <w:color w:val="auto"/>
                <w:kern w:val="0"/>
                <w:sz w:val="22"/>
                <w:szCs w:val="22"/>
              </w:rPr>
            </w:pPr>
            <w:r>
              <w:rPr>
                <w:rFonts w:hint="eastAsia" w:ascii="宋体" w:hAnsi="宋体"/>
                <w:color w:val="auto"/>
                <w:kern w:val="0"/>
                <w:sz w:val="22"/>
                <w:szCs w:val="22"/>
              </w:rPr>
              <w:t>蓝牙协议</w:t>
            </w:r>
          </w:p>
        </w:tc>
        <w:tc>
          <w:tcPr>
            <w:tcW w:w="2735" w:type="pct"/>
            <w:tcBorders>
              <w:top w:val="single" w:color="auto" w:sz="4" w:space="0"/>
              <w:left w:val="single" w:color="auto" w:sz="4" w:space="0"/>
              <w:bottom w:val="single" w:color="auto" w:sz="4" w:space="0"/>
              <w:right w:val="single" w:color="auto" w:sz="4" w:space="0"/>
            </w:tcBorders>
            <w:vAlign w:val="center"/>
          </w:tcPr>
          <w:p w14:paraId="44B55561">
            <w:pPr>
              <w:widowControl/>
              <w:rPr>
                <w:rFonts w:ascii="宋体" w:hAnsi="宋体"/>
                <w:color w:val="auto"/>
                <w:kern w:val="0"/>
                <w:sz w:val="22"/>
                <w:szCs w:val="22"/>
              </w:rPr>
            </w:pPr>
            <w:r>
              <w:rPr>
                <w:rFonts w:hint="eastAsia" w:ascii="宋体" w:hAnsi="宋体"/>
                <w:color w:val="auto"/>
                <w:kern w:val="0"/>
                <w:sz w:val="22"/>
                <w:szCs w:val="22"/>
              </w:rPr>
              <w:t>/</w:t>
            </w:r>
          </w:p>
        </w:tc>
      </w:tr>
      <w:tr w14:paraId="4075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CB114EB">
            <w:pPr>
              <w:widowControl/>
              <w:rPr>
                <w:rFonts w:ascii="宋体" w:hAnsi="宋体"/>
                <w:color w:val="auto"/>
                <w:kern w:val="0"/>
                <w:sz w:val="22"/>
                <w:szCs w:val="22"/>
              </w:rPr>
            </w:pPr>
            <w:r>
              <w:rPr>
                <w:rFonts w:hint="eastAsia" w:ascii="宋体" w:hAnsi="宋体"/>
                <w:color w:val="auto"/>
                <w:kern w:val="0"/>
                <w:sz w:val="22"/>
                <w:szCs w:val="22"/>
              </w:rPr>
              <w:t>123</w:t>
            </w:r>
          </w:p>
        </w:tc>
        <w:tc>
          <w:tcPr>
            <w:tcW w:w="0" w:type="auto"/>
            <w:vMerge w:val="continue"/>
            <w:tcBorders>
              <w:top w:val="nil"/>
              <w:left w:val="single" w:color="auto" w:sz="4" w:space="0"/>
              <w:bottom w:val="single" w:color="auto" w:sz="4" w:space="0"/>
              <w:right w:val="single" w:color="auto" w:sz="4" w:space="0"/>
            </w:tcBorders>
            <w:vAlign w:val="center"/>
          </w:tcPr>
          <w:p w14:paraId="3BA6D4DC">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629DAE8A">
            <w:pPr>
              <w:widowControl/>
              <w:jc w:val="left"/>
              <w:rPr>
                <w:rFonts w:ascii="宋体" w:hAnsi="宋体"/>
                <w:color w:val="auto"/>
                <w:kern w:val="0"/>
                <w:sz w:val="22"/>
                <w:szCs w:val="22"/>
              </w:rPr>
            </w:pPr>
            <w:r>
              <w:rPr>
                <w:rFonts w:hint="eastAsia" w:ascii="宋体" w:hAnsi="宋体"/>
                <w:color w:val="auto"/>
                <w:kern w:val="0"/>
                <w:sz w:val="22"/>
                <w:szCs w:val="22"/>
              </w:rPr>
              <w:t>▲有线网卡接口类型</w:t>
            </w:r>
          </w:p>
        </w:tc>
        <w:tc>
          <w:tcPr>
            <w:tcW w:w="2735" w:type="pct"/>
            <w:tcBorders>
              <w:top w:val="single" w:color="auto" w:sz="4" w:space="0"/>
              <w:left w:val="single" w:color="auto" w:sz="4" w:space="0"/>
              <w:bottom w:val="single" w:color="auto" w:sz="4" w:space="0"/>
              <w:right w:val="single" w:color="auto" w:sz="4" w:space="0"/>
            </w:tcBorders>
            <w:vAlign w:val="center"/>
          </w:tcPr>
          <w:p w14:paraId="7D34BECC">
            <w:pPr>
              <w:widowControl/>
              <w:rPr>
                <w:rFonts w:ascii="宋体" w:hAnsi="宋体"/>
                <w:color w:val="auto"/>
                <w:kern w:val="0"/>
                <w:sz w:val="22"/>
                <w:szCs w:val="22"/>
              </w:rPr>
            </w:pPr>
            <w:r>
              <w:rPr>
                <w:rFonts w:hint="eastAsia" w:ascii="宋体" w:hAnsi="宋体"/>
                <w:color w:val="auto"/>
                <w:kern w:val="0"/>
                <w:sz w:val="22"/>
                <w:szCs w:val="22"/>
              </w:rPr>
              <w:t>支持RJ45接口</w:t>
            </w:r>
          </w:p>
        </w:tc>
      </w:tr>
      <w:tr w14:paraId="2DCF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2304786">
            <w:pPr>
              <w:widowControl/>
              <w:rPr>
                <w:rFonts w:ascii="宋体" w:hAnsi="宋体"/>
                <w:color w:val="auto"/>
                <w:kern w:val="0"/>
                <w:sz w:val="22"/>
                <w:szCs w:val="22"/>
              </w:rPr>
            </w:pPr>
            <w:r>
              <w:rPr>
                <w:rFonts w:hint="eastAsia" w:ascii="宋体" w:hAnsi="宋体"/>
                <w:color w:val="auto"/>
                <w:kern w:val="0"/>
                <w:sz w:val="22"/>
                <w:szCs w:val="22"/>
              </w:rPr>
              <w:t>124</w:t>
            </w:r>
          </w:p>
        </w:tc>
        <w:tc>
          <w:tcPr>
            <w:tcW w:w="0" w:type="auto"/>
            <w:vMerge w:val="continue"/>
            <w:tcBorders>
              <w:top w:val="nil"/>
              <w:left w:val="single" w:color="auto" w:sz="4" w:space="0"/>
              <w:bottom w:val="single" w:color="auto" w:sz="4" w:space="0"/>
              <w:right w:val="single" w:color="auto" w:sz="4" w:space="0"/>
            </w:tcBorders>
            <w:vAlign w:val="center"/>
          </w:tcPr>
          <w:p w14:paraId="122FB5DE">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463DD32D">
            <w:pPr>
              <w:widowControl/>
              <w:jc w:val="left"/>
              <w:rPr>
                <w:rFonts w:ascii="宋体" w:hAnsi="宋体"/>
                <w:color w:val="auto"/>
                <w:kern w:val="0"/>
                <w:sz w:val="22"/>
                <w:szCs w:val="22"/>
              </w:rPr>
            </w:pPr>
            <w:r>
              <w:rPr>
                <w:rFonts w:hint="eastAsia" w:ascii="宋体" w:hAnsi="宋体"/>
                <w:color w:val="auto"/>
                <w:kern w:val="0"/>
                <w:sz w:val="22"/>
                <w:szCs w:val="22"/>
              </w:rPr>
              <w:t>无线网卡标准</w:t>
            </w:r>
          </w:p>
        </w:tc>
        <w:tc>
          <w:tcPr>
            <w:tcW w:w="2735" w:type="pct"/>
            <w:tcBorders>
              <w:top w:val="single" w:color="auto" w:sz="4" w:space="0"/>
              <w:left w:val="single" w:color="auto" w:sz="4" w:space="0"/>
              <w:bottom w:val="single" w:color="auto" w:sz="4" w:space="0"/>
              <w:right w:val="single" w:color="auto" w:sz="4" w:space="0"/>
            </w:tcBorders>
            <w:vAlign w:val="center"/>
          </w:tcPr>
          <w:p w14:paraId="290B2252">
            <w:pPr>
              <w:widowControl/>
              <w:rPr>
                <w:rFonts w:ascii="宋体" w:hAnsi="宋体"/>
                <w:color w:val="auto"/>
                <w:kern w:val="0"/>
                <w:sz w:val="22"/>
                <w:szCs w:val="22"/>
              </w:rPr>
            </w:pPr>
            <w:r>
              <w:rPr>
                <w:rFonts w:hint="eastAsia" w:ascii="宋体" w:hAnsi="宋体"/>
                <w:color w:val="auto"/>
                <w:kern w:val="0"/>
                <w:sz w:val="22"/>
                <w:szCs w:val="22"/>
              </w:rPr>
              <w:t>若配备无线网卡，产品应符合GB 15629.11所有部分</w:t>
            </w:r>
          </w:p>
        </w:tc>
      </w:tr>
      <w:tr w14:paraId="4AE9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6C41F22">
            <w:pPr>
              <w:widowControl/>
              <w:rPr>
                <w:rFonts w:ascii="宋体" w:hAnsi="宋体"/>
                <w:color w:val="auto"/>
                <w:kern w:val="0"/>
                <w:sz w:val="22"/>
                <w:szCs w:val="22"/>
              </w:rPr>
            </w:pPr>
            <w:r>
              <w:rPr>
                <w:rFonts w:hint="eastAsia" w:ascii="宋体" w:hAnsi="宋体"/>
                <w:color w:val="auto"/>
                <w:kern w:val="0"/>
                <w:sz w:val="22"/>
                <w:szCs w:val="22"/>
              </w:rPr>
              <w:t>125</w:t>
            </w:r>
          </w:p>
        </w:tc>
        <w:tc>
          <w:tcPr>
            <w:tcW w:w="0" w:type="auto"/>
            <w:vMerge w:val="continue"/>
            <w:tcBorders>
              <w:top w:val="nil"/>
              <w:left w:val="single" w:color="auto" w:sz="4" w:space="0"/>
              <w:bottom w:val="single" w:color="auto" w:sz="4" w:space="0"/>
              <w:right w:val="single" w:color="auto" w:sz="4" w:space="0"/>
            </w:tcBorders>
            <w:vAlign w:val="center"/>
          </w:tcPr>
          <w:p w14:paraId="2BA2C6AC">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402DF946">
            <w:pPr>
              <w:widowControl/>
              <w:jc w:val="left"/>
              <w:rPr>
                <w:rFonts w:ascii="宋体" w:hAnsi="宋体"/>
                <w:color w:val="auto"/>
                <w:kern w:val="0"/>
                <w:sz w:val="22"/>
                <w:szCs w:val="22"/>
              </w:rPr>
            </w:pPr>
            <w:r>
              <w:rPr>
                <w:rFonts w:hint="eastAsia" w:ascii="宋体" w:hAnsi="宋体"/>
                <w:color w:val="auto"/>
                <w:kern w:val="0"/>
                <w:sz w:val="22"/>
                <w:szCs w:val="22"/>
              </w:rPr>
              <w:t>▲网络设备拆装</w:t>
            </w:r>
          </w:p>
        </w:tc>
        <w:tc>
          <w:tcPr>
            <w:tcW w:w="2735" w:type="pct"/>
            <w:tcBorders>
              <w:top w:val="single" w:color="auto" w:sz="4" w:space="0"/>
              <w:left w:val="single" w:color="auto" w:sz="4" w:space="0"/>
              <w:bottom w:val="single" w:color="auto" w:sz="4" w:space="0"/>
              <w:right w:val="single" w:color="auto" w:sz="4" w:space="0"/>
            </w:tcBorders>
            <w:vAlign w:val="center"/>
          </w:tcPr>
          <w:p w14:paraId="59BE69D4">
            <w:pPr>
              <w:widowControl/>
              <w:rPr>
                <w:rFonts w:ascii="宋体" w:hAnsi="宋体"/>
                <w:color w:val="auto"/>
                <w:kern w:val="0"/>
                <w:sz w:val="22"/>
                <w:szCs w:val="22"/>
              </w:rPr>
            </w:pPr>
            <w:r>
              <w:rPr>
                <w:rFonts w:hint="eastAsia" w:ascii="宋体" w:hAnsi="宋体"/>
                <w:color w:val="auto"/>
                <w:kern w:val="0"/>
                <w:sz w:val="22"/>
                <w:szCs w:val="22"/>
              </w:rPr>
              <w:t>网络设备支持物理拆装，包括无线网卡和蓝牙模块等</w:t>
            </w:r>
          </w:p>
        </w:tc>
      </w:tr>
      <w:tr w14:paraId="41B1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308561A">
            <w:pPr>
              <w:widowControl/>
              <w:rPr>
                <w:rFonts w:ascii="宋体" w:hAnsi="宋体"/>
                <w:color w:val="auto"/>
                <w:kern w:val="0"/>
                <w:sz w:val="22"/>
                <w:szCs w:val="22"/>
              </w:rPr>
            </w:pPr>
            <w:r>
              <w:rPr>
                <w:rFonts w:hint="eastAsia" w:ascii="宋体" w:hAnsi="宋体"/>
                <w:color w:val="auto"/>
                <w:kern w:val="0"/>
                <w:sz w:val="22"/>
                <w:szCs w:val="22"/>
              </w:rPr>
              <w:t>126</w:t>
            </w:r>
          </w:p>
        </w:tc>
        <w:tc>
          <w:tcPr>
            <w:tcW w:w="807" w:type="pct"/>
            <w:vMerge w:val="restart"/>
            <w:tcBorders>
              <w:top w:val="nil"/>
              <w:left w:val="single" w:color="auto" w:sz="4" w:space="0"/>
              <w:bottom w:val="single" w:color="auto" w:sz="4" w:space="0"/>
              <w:right w:val="single" w:color="auto" w:sz="4" w:space="0"/>
            </w:tcBorders>
            <w:vAlign w:val="center"/>
          </w:tcPr>
          <w:p w14:paraId="736D3244">
            <w:pPr>
              <w:widowControl/>
              <w:rPr>
                <w:rFonts w:ascii="宋体" w:hAnsi="宋体"/>
                <w:color w:val="auto"/>
                <w:kern w:val="0"/>
                <w:sz w:val="22"/>
                <w:szCs w:val="22"/>
              </w:rPr>
            </w:pPr>
            <w:r>
              <w:rPr>
                <w:rFonts w:hint="eastAsia" w:ascii="宋体" w:hAnsi="宋体"/>
                <w:color w:val="auto"/>
                <w:kern w:val="0"/>
                <w:sz w:val="22"/>
                <w:szCs w:val="22"/>
              </w:rPr>
              <w:t>▲外部接口功能</w:t>
            </w:r>
          </w:p>
        </w:tc>
        <w:tc>
          <w:tcPr>
            <w:tcW w:w="1096" w:type="pct"/>
            <w:tcBorders>
              <w:top w:val="single" w:color="auto" w:sz="4" w:space="0"/>
              <w:left w:val="single" w:color="auto" w:sz="4" w:space="0"/>
              <w:bottom w:val="single" w:color="auto" w:sz="4" w:space="0"/>
              <w:right w:val="single" w:color="auto" w:sz="4" w:space="0"/>
            </w:tcBorders>
            <w:vAlign w:val="center"/>
          </w:tcPr>
          <w:p w14:paraId="5D28AFC1">
            <w:pPr>
              <w:widowControl/>
              <w:jc w:val="left"/>
              <w:rPr>
                <w:rFonts w:ascii="宋体" w:hAnsi="宋体"/>
                <w:color w:val="auto"/>
                <w:kern w:val="0"/>
                <w:sz w:val="22"/>
                <w:szCs w:val="22"/>
              </w:rPr>
            </w:pPr>
            <w:r>
              <w:rPr>
                <w:rFonts w:hint="eastAsia" w:ascii="宋体" w:hAnsi="宋体"/>
                <w:color w:val="auto"/>
                <w:kern w:val="0"/>
                <w:sz w:val="22"/>
                <w:szCs w:val="22"/>
              </w:rPr>
              <w:t>▲音频接口类型</w:t>
            </w:r>
          </w:p>
        </w:tc>
        <w:tc>
          <w:tcPr>
            <w:tcW w:w="2735" w:type="pct"/>
            <w:tcBorders>
              <w:top w:val="single" w:color="auto" w:sz="4" w:space="0"/>
              <w:left w:val="single" w:color="auto" w:sz="4" w:space="0"/>
              <w:bottom w:val="single" w:color="auto" w:sz="4" w:space="0"/>
              <w:right w:val="single" w:color="auto" w:sz="4" w:space="0"/>
            </w:tcBorders>
            <w:vAlign w:val="center"/>
          </w:tcPr>
          <w:p w14:paraId="3E153DD3">
            <w:pPr>
              <w:widowControl/>
              <w:rPr>
                <w:rFonts w:ascii="宋体" w:hAnsi="宋体"/>
                <w:color w:val="auto"/>
                <w:kern w:val="0"/>
                <w:sz w:val="22"/>
                <w:szCs w:val="22"/>
              </w:rPr>
            </w:pPr>
            <w:r>
              <w:rPr>
                <w:rFonts w:hint="eastAsia" w:ascii="宋体" w:hAnsi="宋体"/>
                <w:color w:val="auto"/>
                <w:kern w:val="0"/>
                <w:sz w:val="22"/>
                <w:szCs w:val="22"/>
              </w:rPr>
              <w:t>支持3.5mm孔径3段式或4段式接口</w:t>
            </w:r>
          </w:p>
        </w:tc>
      </w:tr>
      <w:tr w14:paraId="1859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A95741E">
            <w:pPr>
              <w:widowControl/>
              <w:rPr>
                <w:rFonts w:ascii="宋体" w:hAnsi="宋体"/>
                <w:color w:val="auto"/>
                <w:kern w:val="0"/>
                <w:sz w:val="22"/>
                <w:szCs w:val="22"/>
              </w:rPr>
            </w:pPr>
            <w:r>
              <w:rPr>
                <w:rFonts w:hint="eastAsia" w:ascii="宋体" w:hAnsi="宋体"/>
                <w:color w:val="auto"/>
                <w:kern w:val="0"/>
                <w:sz w:val="22"/>
                <w:szCs w:val="22"/>
              </w:rPr>
              <w:t>127</w:t>
            </w:r>
          </w:p>
        </w:tc>
        <w:tc>
          <w:tcPr>
            <w:tcW w:w="0" w:type="auto"/>
            <w:vMerge w:val="continue"/>
            <w:tcBorders>
              <w:top w:val="nil"/>
              <w:left w:val="single" w:color="auto" w:sz="4" w:space="0"/>
              <w:bottom w:val="single" w:color="auto" w:sz="4" w:space="0"/>
              <w:right w:val="single" w:color="auto" w:sz="4" w:space="0"/>
            </w:tcBorders>
            <w:vAlign w:val="center"/>
          </w:tcPr>
          <w:p w14:paraId="7686D715">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48FD3296">
            <w:pPr>
              <w:widowControl/>
              <w:jc w:val="left"/>
              <w:rPr>
                <w:rFonts w:ascii="宋体" w:hAnsi="宋体"/>
                <w:color w:val="auto"/>
                <w:kern w:val="0"/>
                <w:sz w:val="22"/>
                <w:szCs w:val="22"/>
              </w:rPr>
            </w:pPr>
            <w:r>
              <w:rPr>
                <w:rFonts w:hint="eastAsia" w:ascii="宋体" w:hAnsi="宋体"/>
                <w:color w:val="auto"/>
                <w:kern w:val="0"/>
                <w:sz w:val="22"/>
                <w:szCs w:val="22"/>
              </w:rPr>
              <w:t>▲视频接口类型</w:t>
            </w:r>
          </w:p>
        </w:tc>
        <w:tc>
          <w:tcPr>
            <w:tcW w:w="2735" w:type="pct"/>
            <w:tcBorders>
              <w:top w:val="single" w:color="auto" w:sz="4" w:space="0"/>
              <w:left w:val="single" w:color="auto" w:sz="4" w:space="0"/>
              <w:bottom w:val="single" w:color="auto" w:sz="4" w:space="0"/>
              <w:right w:val="single" w:color="auto" w:sz="4" w:space="0"/>
            </w:tcBorders>
            <w:shd w:val="clear" w:color="auto" w:fill="FFFFFF"/>
            <w:vAlign w:val="center"/>
          </w:tcPr>
          <w:p w14:paraId="5EC7C2DE">
            <w:pPr>
              <w:widowControl/>
              <w:textAlignment w:val="center"/>
              <w:rPr>
                <w:rFonts w:ascii="宋体" w:hAnsi="宋体"/>
                <w:color w:val="auto"/>
                <w:sz w:val="22"/>
                <w:szCs w:val="22"/>
              </w:rPr>
            </w:pPr>
            <w:r>
              <w:rPr>
                <w:rFonts w:hint="eastAsia" w:ascii="宋体" w:hAnsi="宋体"/>
                <w:color w:val="auto"/>
                <w:kern w:val="0"/>
                <w:sz w:val="22"/>
                <w:szCs w:val="22"/>
              </w:rPr>
              <w:t>支持 VGA、HDMI 2 种显示接口</w:t>
            </w:r>
          </w:p>
        </w:tc>
      </w:tr>
      <w:tr w14:paraId="6B3D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D2249F5">
            <w:pPr>
              <w:widowControl/>
              <w:rPr>
                <w:rFonts w:ascii="宋体" w:hAnsi="宋体"/>
                <w:color w:val="auto"/>
                <w:kern w:val="0"/>
                <w:sz w:val="22"/>
                <w:szCs w:val="22"/>
              </w:rPr>
            </w:pPr>
            <w:r>
              <w:rPr>
                <w:rFonts w:hint="eastAsia" w:ascii="宋体" w:hAnsi="宋体"/>
                <w:color w:val="auto"/>
                <w:kern w:val="0"/>
                <w:sz w:val="22"/>
                <w:szCs w:val="22"/>
              </w:rPr>
              <w:t>128</w:t>
            </w:r>
          </w:p>
        </w:tc>
        <w:tc>
          <w:tcPr>
            <w:tcW w:w="0" w:type="auto"/>
            <w:vMerge w:val="continue"/>
            <w:tcBorders>
              <w:top w:val="nil"/>
              <w:left w:val="single" w:color="auto" w:sz="4" w:space="0"/>
              <w:bottom w:val="single" w:color="auto" w:sz="4" w:space="0"/>
              <w:right w:val="single" w:color="auto" w:sz="4" w:space="0"/>
            </w:tcBorders>
            <w:vAlign w:val="center"/>
          </w:tcPr>
          <w:p w14:paraId="09E00F3B">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485A1C1C">
            <w:pPr>
              <w:widowControl/>
              <w:jc w:val="left"/>
              <w:rPr>
                <w:rFonts w:ascii="宋体" w:hAnsi="宋体"/>
                <w:color w:val="auto"/>
                <w:kern w:val="0"/>
                <w:sz w:val="22"/>
                <w:szCs w:val="22"/>
              </w:rPr>
            </w:pPr>
            <w:r>
              <w:rPr>
                <w:rFonts w:hint="eastAsia" w:ascii="宋体" w:hAnsi="宋体"/>
                <w:color w:val="auto"/>
                <w:kern w:val="0"/>
                <w:sz w:val="22"/>
                <w:szCs w:val="22"/>
              </w:rPr>
              <w:t>▲HDMI、DP、 Type-C显示接口要求</w:t>
            </w:r>
          </w:p>
        </w:tc>
        <w:tc>
          <w:tcPr>
            <w:tcW w:w="2735" w:type="pct"/>
            <w:tcBorders>
              <w:top w:val="single" w:color="auto" w:sz="4" w:space="0"/>
              <w:left w:val="single" w:color="auto" w:sz="4" w:space="0"/>
              <w:bottom w:val="single" w:color="auto" w:sz="4" w:space="0"/>
              <w:right w:val="single" w:color="auto" w:sz="4" w:space="0"/>
            </w:tcBorders>
            <w:vAlign w:val="center"/>
          </w:tcPr>
          <w:p w14:paraId="606B11B6">
            <w:pPr>
              <w:widowControl/>
              <w:rPr>
                <w:rFonts w:ascii="宋体" w:hAnsi="宋体"/>
                <w:color w:val="auto"/>
                <w:kern w:val="0"/>
                <w:sz w:val="22"/>
                <w:szCs w:val="22"/>
              </w:rPr>
            </w:pPr>
            <w:r>
              <w:rPr>
                <w:rFonts w:hint="eastAsia" w:ascii="宋体" w:hAnsi="宋体"/>
                <w:color w:val="auto"/>
                <w:kern w:val="0"/>
                <w:sz w:val="22"/>
                <w:szCs w:val="22"/>
              </w:rPr>
              <w:t>若提供HDMI或DP作为显示接口，应支持音频和视频同步输出</w:t>
            </w:r>
          </w:p>
        </w:tc>
      </w:tr>
      <w:tr w14:paraId="4B63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6F430E0">
            <w:pPr>
              <w:widowControl/>
              <w:rPr>
                <w:rFonts w:ascii="宋体" w:hAnsi="宋体"/>
                <w:color w:val="auto"/>
                <w:kern w:val="0"/>
                <w:sz w:val="22"/>
                <w:szCs w:val="22"/>
              </w:rPr>
            </w:pPr>
            <w:r>
              <w:rPr>
                <w:rFonts w:hint="eastAsia" w:ascii="宋体" w:hAnsi="宋体"/>
                <w:color w:val="auto"/>
                <w:kern w:val="0"/>
                <w:sz w:val="22"/>
                <w:szCs w:val="22"/>
              </w:rPr>
              <w:t>129</w:t>
            </w:r>
          </w:p>
        </w:tc>
        <w:tc>
          <w:tcPr>
            <w:tcW w:w="0" w:type="auto"/>
            <w:vMerge w:val="continue"/>
            <w:tcBorders>
              <w:top w:val="nil"/>
              <w:left w:val="single" w:color="auto" w:sz="4" w:space="0"/>
              <w:bottom w:val="single" w:color="auto" w:sz="4" w:space="0"/>
              <w:right w:val="single" w:color="auto" w:sz="4" w:space="0"/>
            </w:tcBorders>
            <w:vAlign w:val="center"/>
          </w:tcPr>
          <w:p w14:paraId="53C9FAC0">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5FFA89CD">
            <w:pPr>
              <w:widowControl/>
              <w:jc w:val="left"/>
              <w:rPr>
                <w:rFonts w:ascii="宋体" w:hAnsi="宋体"/>
                <w:color w:val="auto"/>
                <w:kern w:val="0"/>
                <w:sz w:val="22"/>
                <w:szCs w:val="22"/>
              </w:rPr>
            </w:pPr>
            <w:r>
              <w:rPr>
                <w:rFonts w:hint="eastAsia" w:ascii="宋体" w:hAnsi="宋体"/>
                <w:color w:val="auto"/>
                <w:kern w:val="0"/>
                <w:sz w:val="22"/>
                <w:szCs w:val="22"/>
              </w:rPr>
              <w:t>其他接口</w:t>
            </w:r>
          </w:p>
        </w:tc>
        <w:tc>
          <w:tcPr>
            <w:tcW w:w="2735" w:type="pct"/>
            <w:tcBorders>
              <w:top w:val="single" w:color="auto" w:sz="4" w:space="0"/>
              <w:left w:val="single" w:color="auto" w:sz="4" w:space="0"/>
              <w:bottom w:val="single" w:color="auto" w:sz="4" w:space="0"/>
              <w:right w:val="single" w:color="auto" w:sz="4" w:space="0"/>
            </w:tcBorders>
            <w:vAlign w:val="center"/>
          </w:tcPr>
          <w:p w14:paraId="76C98DE3">
            <w:pPr>
              <w:widowControl/>
              <w:rPr>
                <w:rFonts w:ascii="宋体" w:hAnsi="宋体"/>
                <w:color w:val="auto"/>
                <w:kern w:val="0"/>
                <w:sz w:val="22"/>
                <w:szCs w:val="22"/>
              </w:rPr>
            </w:pPr>
            <w:r>
              <w:rPr>
                <w:rFonts w:hint="eastAsia" w:ascii="宋体" w:hAnsi="宋体"/>
                <w:color w:val="auto"/>
                <w:kern w:val="0"/>
                <w:sz w:val="22"/>
                <w:szCs w:val="22"/>
              </w:rPr>
              <w:t>a) 标配 1 个串行接口，可实现 GB/T 6107 的功能；</w:t>
            </w:r>
          </w:p>
        </w:tc>
      </w:tr>
      <w:tr w14:paraId="5BF7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0ACA280">
            <w:pPr>
              <w:widowControl/>
              <w:rPr>
                <w:rFonts w:ascii="宋体" w:hAnsi="宋体"/>
                <w:color w:val="auto"/>
                <w:kern w:val="0"/>
                <w:sz w:val="22"/>
                <w:szCs w:val="22"/>
              </w:rPr>
            </w:pPr>
            <w:r>
              <w:rPr>
                <w:rFonts w:hint="eastAsia" w:ascii="宋体" w:hAnsi="宋体"/>
                <w:color w:val="auto"/>
                <w:kern w:val="0"/>
                <w:sz w:val="22"/>
                <w:szCs w:val="22"/>
              </w:rPr>
              <w:t>130</w:t>
            </w:r>
          </w:p>
        </w:tc>
        <w:tc>
          <w:tcPr>
            <w:tcW w:w="0" w:type="auto"/>
            <w:vMerge w:val="continue"/>
            <w:tcBorders>
              <w:top w:val="nil"/>
              <w:left w:val="single" w:color="auto" w:sz="4" w:space="0"/>
              <w:bottom w:val="single" w:color="auto" w:sz="4" w:space="0"/>
              <w:right w:val="single" w:color="auto" w:sz="4" w:space="0"/>
            </w:tcBorders>
            <w:vAlign w:val="center"/>
          </w:tcPr>
          <w:p w14:paraId="42C66EE4">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CF8F6A9">
            <w:pPr>
              <w:widowControl/>
              <w:jc w:val="left"/>
              <w:rPr>
                <w:rFonts w:ascii="宋体" w:hAnsi="宋体"/>
                <w:color w:val="auto"/>
                <w:kern w:val="0"/>
                <w:sz w:val="22"/>
                <w:szCs w:val="22"/>
              </w:rPr>
            </w:pPr>
            <w:r>
              <w:rPr>
                <w:rFonts w:hint="eastAsia" w:ascii="宋体" w:hAnsi="宋体"/>
                <w:color w:val="auto"/>
                <w:kern w:val="0"/>
                <w:sz w:val="22"/>
                <w:szCs w:val="22"/>
              </w:rPr>
              <w:t>存储卡接口类型</w:t>
            </w:r>
          </w:p>
        </w:tc>
        <w:tc>
          <w:tcPr>
            <w:tcW w:w="2735" w:type="pct"/>
            <w:tcBorders>
              <w:top w:val="single" w:color="auto" w:sz="4" w:space="0"/>
              <w:left w:val="single" w:color="auto" w:sz="4" w:space="0"/>
              <w:bottom w:val="single" w:color="auto" w:sz="4" w:space="0"/>
              <w:right w:val="single" w:color="auto" w:sz="4" w:space="0"/>
            </w:tcBorders>
            <w:vAlign w:val="center"/>
          </w:tcPr>
          <w:p w14:paraId="5C90F5E3">
            <w:pPr>
              <w:widowControl/>
              <w:rPr>
                <w:rFonts w:ascii="宋体" w:hAnsi="宋体"/>
                <w:color w:val="auto"/>
                <w:kern w:val="0"/>
                <w:sz w:val="22"/>
                <w:szCs w:val="22"/>
              </w:rPr>
            </w:pPr>
            <w:r>
              <w:rPr>
                <w:rFonts w:hint="eastAsia" w:ascii="宋体" w:hAnsi="宋体"/>
                <w:color w:val="auto"/>
                <w:kern w:val="0"/>
                <w:sz w:val="22"/>
                <w:szCs w:val="22"/>
              </w:rPr>
              <w:t>/</w:t>
            </w:r>
          </w:p>
        </w:tc>
      </w:tr>
      <w:tr w14:paraId="521C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6DEE7E2">
            <w:pPr>
              <w:widowControl/>
              <w:rPr>
                <w:rFonts w:ascii="宋体" w:hAnsi="宋体"/>
                <w:color w:val="auto"/>
                <w:kern w:val="0"/>
                <w:sz w:val="22"/>
                <w:szCs w:val="22"/>
              </w:rPr>
            </w:pPr>
            <w:r>
              <w:rPr>
                <w:rFonts w:hint="eastAsia" w:ascii="宋体" w:hAnsi="宋体"/>
                <w:color w:val="auto"/>
                <w:kern w:val="0"/>
                <w:sz w:val="22"/>
                <w:szCs w:val="22"/>
              </w:rPr>
              <w:t>131</w:t>
            </w:r>
          </w:p>
        </w:tc>
        <w:tc>
          <w:tcPr>
            <w:tcW w:w="807" w:type="pct"/>
            <w:tcBorders>
              <w:top w:val="single" w:color="auto" w:sz="4" w:space="0"/>
              <w:left w:val="single" w:color="auto" w:sz="4" w:space="0"/>
              <w:bottom w:val="single" w:color="auto" w:sz="4" w:space="0"/>
              <w:right w:val="single" w:color="auto" w:sz="4" w:space="0"/>
            </w:tcBorders>
            <w:vAlign w:val="center"/>
          </w:tcPr>
          <w:p w14:paraId="3E49DE81">
            <w:pPr>
              <w:widowControl/>
              <w:rPr>
                <w:rFonts w:ascii="宋体" w:hAnsi="宋体"/>
                <w:color w:val="auto"/>
                <w:kern w:val="0"/>
                <w:sz w:val="22"/>
                <w:szCs w:val="22"/>
              </w:rPr>
            </w:pPr>
            <w:r>
              <w:rPr>
                <w:rFonts w:hint="eastAsia" w:ascii="宋体" w:hAnsi="宋体"/>
                <w:color w:val="auto"/>
                <w:kern w:val="0"/>
                <w:sz w:val="22"/>
                <w:szCs w:val="22"/>
              </w:rPr>
              <w:t>▲电源功能</w:t>
            </w:r>
          </w:p>
        </w:tc>
        <w:tc>
          <w:tcPr>
            <w:tcW w:w="1096" w:type="pct"/>
            <w:tcBorders>
              <w:top w:val="single" w:color="auto" w:sz="4" w:space="0"/>
              <w:left w:val="single" w:color="auto" w:sz="4" w:space="0"/>
              <w:bottom w:val="single" w:color="auto" w:sz="4" w:space="0"/>
              <w:right w:val="single" w:color="auto" w:sz="4" w:space="0"/>
            </w:tcBorders>
            <w:vAlign w:val="center"/>
          </w:tcPr>
          <w:p w14:paraId="2406DD84">
            <w:pPr>
              <w:widowControl/>
              <w:jc w:val="left"/>
              <w:rPr>
                <w:rFonts w:ascii="宋体" w:hAnsi="宋体"/>
                <w:color w:val="auto"/>
                <w:kern w:val="0"/>
                <w:sz w:val="22"/>
                <w:szCs w:val="22"/>
              </w:rPr>
            </w:pPr>
            <w:r>
              <w:rPr>
                <w:rFonts w:hint="eastAsia" w:ascii="宋体" w:hAnsi="宋体"/>
                <w:color w:val="auto"/>
                <w:kern w:val="0"/>
                <w:sz w:val="22"/>
                <w:szCs w:val="22"/>
              </w:rPr>
              <w:t>▲电源线适配能力</w:t>
            </w:r>
          </w:p>
        </w:tc>
        <w:tc>
          <w:tcPr>
            <w:tcW w:w="2735" w:type="pct"/>
            <w:tcBorders>
              <w:top w:val="single" w:color="auto" w:sz="4" w:space="0"/>
              <w:left w:val="single" w:color="auto" w:sz="4" w:space="0"/>
              <w:bottom w:val="single" w:color="auto" w:sz="4" w:space="0"/>
              <w:right w:val="single" w:color="auto" w:sz="4" w:space="0"/>
            </w:tcBorders>
            <w:vAlign w:val="center"/>
          </w:tcPr>
          <w:p w14:paraId="6F69CAA4">
            <w:pPr>
              <w:widowControl/>
              <w:rPr>
                <w:rFonts w:ascii="宋体" w:hAnsi="宋体"/>
                <w:color w:val="auto"/>
                <w:kern w:val="0"/>
                <w:sz w:val="22"/>
                <w:szCs w:val="22"/>
              </w:rPr>
            </w:pPr>
            <w:r>
              <w:rPr>
                <w:rFonts w:hint="eastAsia" w:ascii="宋体" w:hAnsi="宋体"/>
                <w:color w:val="auto"/>
                <w:kern w:val="0"/>
                <w:sz w:val="22"/>
                <w:szCs w:val="22"/>
              </w:rPr>
              <w:t>电源适配器电线组件应符合 GB/T15934 的要求，可拆线的插头和连接器可以不做要求</w:t>
            </w:r>
          </w:p>
        </w:tc>
      </w:tr>
      <w:tr w14:paraId="7C51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1153ED0">
            <w:pPr>
              <w:widowControl/>
              <w:rPr>
                <w:rFonts w:ascii="宋体" w:hAnsi="宋体"/>
                <w:color w:val="auto"/>
                <w:kern w:val="0"/>
                <w:sz w:val="22"/>
                <w:szCs w:val="22"/>
              </w:rPr>
            </w:pPr>
            <w:r>
              <w:rPr>
                <w:rFonts w:hint="eastAsia" w:ascii="宋体" w:hAnsi="宋体"/>
                <w:color w:val="auto"/>
                <w:kern w:val="0"/>
                <w:sz w:val="22"/>
                <w:szCs w:val="22"/>
              </w:rPr>
              <w:t>132</w:t>
            </w:r>
          </w:p>
        </w:tc>
        <w:tc>
          <w:tcPr>
            <w:tcW w:w="807" w:type="pct"/>
            <w:vMerge w:val="restart"/>
            <w:tcBorders>
              <w:top w:val="nil"/>
              <w:left w:val="single" w:color="auto" w:sz="4" w:space="0"/>
              <w:bottom w:val="single" w:color="auto" w:sz="4" w:space="0"/>
              <w:right w:val="single" w:color="auto" w:sz="4" w:space="0"/>
            </w:tcBorders>
            <w:vAlign w:val="center"/>
          </w:tcPr>
          <w:p w14:paraId="1A481D6A">
            <w:pPr>
              <w:widowControl/>
              <w:rPr>
                <w:rFonts w:ascii="宋体" w:hAnsi="宋体"/>
                <w:color w:val="auto"/>
                <w:kern w:val="0"/>
                <w:sz w:val="22"/>
                <w:szCs w:val="22"/>
              </w:rPr>
            </w:pPr>
            <w:r>
              <w:rPr>
                <w:rFonts w:hint="eastAsia" w:ascii="宋体" w:hAnsi="宋体"/>
                <w:color w:val="auto"/>
                <w:kern w:val="0"/>
                <w:sz w:val="22"/>
                <w:szCs w:val="22"/>
              </w:rPr>
              <w:t>▲操作系统及软件功能</w:t>
            </w:r>
          </w:p>
        </w:tc>
        <w:tc>
          <w:tcPr>
            <w:tcW w:w="1096" w:type="pct"/>
            <w:tcBorders>
              <w:top w:val="single" w:color="auto" w:sz="4" w:space="0"/>
              <w:left w:val="single" w:color="auto" w:sz="4" w:space="0"/>
              <w:bottom w:val="single" w:color="auto" w:sz="4" w:space="0"/>
              <w:right w:val="single" w:color="auto" w:sz="4" w:space="0"/>
            </w:tcBorders>
            <w:vAlign w:val="center"/>
          </w:tcPr>
          <w:p w14:paraId="136B30AB">
            <w:pPr>
              <w:widowControl/>
              <w:jc w:val="left"/>
              <w:rPr>
                <w:rFonts w:ascii="宋体" w:hAnsi="宋体"/>
                <w:color w:val="auto"/>
                <w:kern w:val="0"/>
                <w:sz w:val="22"/>
                <w:szCs w:val="22"/>
              </w:rPr>
            </w:pPr>
            <w:r>
              <w:rPr>
                <w:rFonts w:hint="eastAsia" w:ascii="宋体" w:hAnsi="宋体"/>
                <w:color w:val="auto"/>
                <w:kern w:val="0"/>
                <w:sz w:val="22"/>
                <w:szCs w:val="22"/>
              </w:rPr>
              <w:t>▲中文信息处理要求</w:t>
            </w:r>
          </w:p>
        </w:tc>
        <w:tc>
          <w:tcPr>
            <w:tcW w:w="2735" w:type="pct"/>
            <w:tcBorders>
              <w:top w:val="single" w:color="auto" w:sz="4" w:space="0"/>
              <w:left w:val="single" w:color="auto" w:sz="4" w:space="0"/>
              <w:bottom w:val="single" w:color="auto" w:sz="4" w:space="0"/>
              <w:right w:val="single" w:color="auto" w:sz="4" w:space="0"/>
            </w:tcBorders>
            <w:vAlign w:val="center"/>
          </w:tcPr>
          <w:p w14:paraId="75A9F4BA">
            <w:pPr>
              <w:widowControl/>
              <w:rPr>
                <w:rFonts w:ascii="宋体" w:hAnsi="宋体"/>
                <w:color w:val="auto"/>
                <w:kern w:val="0"/>
                <w:sz w:val="22"/>
                <w:szCs w:val="22"/>
              </w:rPr>
            </w:pPr>
            <w:r>
              <w:rPr>
                <w:rFonts w:hint="eastAsia" w:ascii="宋体" w:hAnsi="宋体"/>
                <w:color w:val="auto"/>
                <w:kern w:val="0"/>
                <w:sz w:val="22"/>
                <w:szCs w:val="22"/>
              </w:rPr>
              <w:t>符合GB 18030的相关规定</w:t>
            </w:r>
          </w:p>
        </w:tc>
      </w:tr>
      <w:tr w14:paraId="0DCE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D8DFF26">
            <w:pPr>
              <w:widowControl/>
              <w:rPr>
                <w:rFonts w:ascii="宋体" w:hAnsi="宋体"/>
                <w:color w:val="auto"/>
                <w:kern w:val="0"/>
                <w:sz w:val="22"/>
                <w:szCs w:val="22"/>
              </w:rPr>
            </w:pPr>
            <w:r>
              <w:rPr>
                <w:rFonts w:hint="eastAsia" w:ascii="宋体" w:hAnsi="宋体"/>
                <w:color w:val="auto"/>
                <w:kern w:val="0"/>
                <w:sz w:val="22"/>
                <w:szCs w:val="22"/>
              </w:rPr>
              <w:t>133</w:t>
            </w:r>
          </w:p>
        </w:tc>
        <w:tc>
          <w:tcPr>
            <w:tcW w:w="0" w:type="auto"/>
            <w:vMerge w:val="continue"/>
            <w:tcBorders>
              <w:top w:val="nil"/>
              <w:left w:val="single" w:color="auto" w:sz="4" w:space="0"/>
              <w:bottom w:val="single" w:color="auto" w:sz="4" w:space="0"/>
              <w:right w:val="single" w:color="auto" w:sz="4" w:space="0"/>
            </w:tcBorders>
            <w:vAlign w:val="center"/>
          </w:tcPr>
          <w:p w14:paraId="21474F03">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477616FF">
            <w:pPr>
              <w:widowControl/>
              <w:jc w:val="left"/>
              <w:rPr>
                <w:rFonts w:ascii="宋体" w:hAnsi="宋体"/>
                <w:color w:val="auto"/>
                <w:kern w:val="0"/>
                <w:sz w:val="22"/>
                <w:szCs w:val="22"/>
              </w:rPr>
            </w:pPr>
            <w:r>
              <w:rPr>
                <w:rFonts w:hint="eastAsia" w:ascii="宋体" w:hAnsi="宋体"/>
                <w:color w:val="auto"/>
                <w:kern w:val="0"/>
                <w:sz w:val="22"/>
                <w:szCs w:val="22"/>
              </w:rPr>
              <w:t>▲操作系统备份及还原功能</w:t>
            </w:r>
          </w:p>
        </w:tc>
        <w:tc>
          <w:tcPr>
            <w:tcW w:w="2735" w:type="pct"/>
            <w:tcBorders>
              <w:top w:val="single" w:color="auto" w:sz="4" w:space="0"/>
              <w:left w:val="single" w:color="auto" w:sz="4" w:space="0"/>
              <w:bottom w:val="single" w:color="auto" w:sz="4" w:space="0"/>
              <w:right w:val="single" w:color="auto" w:sz="4" w:space="0"/>
            </w:tcBorders>
            <w:vAlign w:val="center"/>
          </w:tcPr>
          <w:p w14:paraId="7E56F5CC">
            <w:pPr>
              <w:widowControl/>
              <w:rPr>
                <w:rFonts w:ascii="宋体" w:hAnsi="宋体"/>
                <w:color w:val="auto"/>
                <w:kern w:val="0"/>
                <w:sz w:val="22"/>
                <w:szCs w:val="22"/>
              </w:rPr>
            </w:pPr>
            <w:r>
              <w:rPr>
                <w:rFonts w:hint="eastAsia" w:ascii="宋体" w:hAnsi="宋体"/>
                <w:color w:val="auto"/>
                <w:kern w:val="0"/>
                <w:sz w:val="22"/>
                <w:szCs w:val="22"/>
              </w:rPr>
              <w:t>支持操作系统备份及还原功能</w:t>
            </w:r>
          </w:p>
        </w:tc>
      </w:tr>
      <w:tr w14:paraId="45E0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A8817B6">
            <w:pPr>
              <w:widowControl/>
              <w:rPr>
                <w:rFonts w:ascii="宋体" w:hAnsi="宋体"/>
                <w:color w:val="auto"/>
                <w:kern w:val="0"/>
                <w:sz w:val="22"/>
                <w:szCs w:val="22"/>
              </w:rPr>
            </w:pPr>
            <w:r>
              <w:rPr>
                <w:rFonts w:hint="eastAsia" w:ascii="宋体" w:hAnsi="宋体"/>
                <w:color w:val="auto"/>
                <w:kern w:val="0"/>
                <w:sz w:val="22"/>
                <w:szCs w:val="22"/>
              </w:rPr>
              <w:t>134</w:t>
            </w:r>
          </w:p>
        </w:tc>
        <w:tc>
          <w:tcPr>
            <w:tcW w:w="0" w:type="auto"/>
            <w:vMerge w:val="continue"/>
            <w:tcBorders>
              <w:top w:val="nil"/>
              <w:left w:val="single" w:color="auto" w:sz="4" w:space="0"/>
              <w:bottom w:val="single" w:color="auto" w:sz="4" w:space="0"/>
              <w:right w:val="single" w:color="auto" w:sz="4" w:space="0"/>
            </w:tcBorders>
            <w:vAlign w:val="center"/>
          </w:tcPr>
          <w:p w14:paraId="364F800B">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214ABE94">
            <w:pPr>
              <w:widowControl/>
              <w:jc w:val="left"/>
              <w:rPr>
                <w:rFonts w:ascii="宋体" w:hAnsi="宋体"/>
                <w:color w:val="auto"/>
                <w:kern w:val="0"/>
                <w:sz w:val="22"/>
                <w:szCs w:val="22"/>
              </w:rPr>
            </w:pPr>
            <w:r>
              <w:rPr>
                <w:rFonts w:hint="eastAsia" w:ascii="宋体" w:hAnsi="宋体"/>
                <w:color w:val="auto"/>
                <w:kern w:val="0"/>
                <w:sz w:val="22"/>
                <w:szCs w:val="22"/>
              </w:rPr>
              <w:t>▲固件备份还原能力</w:t>
            </w:r>
          </w:p>
        </w:tc>
        <w:tc>
          <w:tcPr>
            <w:tcW w:w="2735" w:type="pct"/>
            <w:tcBorders>
              <w:top w:val="single" w:color="auto" w:sz="4" w:space="0"/>
              <w:left w:val="single" w:color="auto" w:sz="4" w:space="0"/>
              <w:bottom w:val="single" w:color="auto" w:sz="4" w:space="0"/>
              <w:right w:val="single" w:color="auto" w:sz="4" w:space="0"/>
            </w:tcBorders>
            <w:vAlign w:val="center"/>
          </w:tcPr>
          <w:p w14:paraId="5F6F2D2E">
            <w:pPr>
              <w:widowControl/>
              <w:rPr>
                <w:rFonts w:ascii="宋体" w:hAnsi="宋体"/>
                <w:color w:val="auto"/>
                <w:kern w:val="0"/>
                <w:sz w:val="22"/>
                <w:szCs w:val="22"/>
              </w:rPr>
            </w:pPr>
            <w:r>
              <w:rPr>
                <w:rFonts w:hint="eastAsia" w:ascii="宋体" w:hAnsi="宋体"/>
                <w:color w:val="auto"/>
                <w:kern w:val="0"/>
                <w:sz w:val="22"/>
                <w:szCs w:val="22"/>
              </w:rPr>
              <w:t>支持备份及还原固件的功能</w:t>
            </w:r>
          </w:p>
        </w:tc>
      </w:tr>
      <w:tr w14:paraId="56EA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A19BF17">
            <w:pPr>
              <w:widowControl/>
              <w:rPr>
                <w:rFonts w:ascii="宋体" w:hAnsi="宋体"/>
                <w:color w:val="auto"/>
                <w:kern w:val="0"/>
                <w:sz w:val="22"/>
                <w:szCs w:val="22"/>
              </w:rPr>
            </w:pPr>
            <w:r>
              <w:rPr>
                <w:rFonts w:hint="eastAsia" w:ascii="宋体" w:hAnsi="宋体"/>
                <w:color w:val="auto"/>
                <w:kern w:val="0"/>
                <w:sz w:val="22"/>
                <w:szCs w:val="22"/>
              </w:rPr>
              <w:t>135</w:t>
            </w:r>
          </w:p>
        </w:tc>
        <w:tc>
          <w:tcPr>
            <w:tcW w:w="0" w:type="auto"/>
            <w:vMerge w:val="continue"/>
            <w:tcBorders>
              <w:top w:val="nil"/>
              <w:left w:val="single" w:color="auto" w:sz="4" w:space="0"/>
              <w:bottom w:val="single" w:color="auto" w:sz="4" w:space="0"/>
              <w:right w:val="single" w:color="auto" w:sz="4" w:space="0"/>
            </w:tcBorders>
            <w:vAlign w:val="center"/>
          </w:tcPr>
          <w:p w14:paraId="3B56A72D">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19E4B19">
            <w:pPr>
              <w:widowControl/>
              <w:jc w:val="left"/>
              <w:rPr>
                <w:rFonts w:ascii="宋体" w:hAnsi="宋体"/>
                <w:color w:val="auto"/>
                <w:kern w:val="0"/>
                <w:sz w:val="22"/>
                <w:szCs w:val="22"/>
              </w:rPr>
            </w:pPr>
            <w:r>
              <w:rPr>
                <w:rFonts w:hint="eastAsia" w:ascii="宋体" w:hAnsi="宋体"/>
                <w:color w:val="auto"/>
                <w:kern w:val="0"/>
                <w:sz w:val="22"/>
                <w:szCs w:val="22"/>
              </w:rPr>
              <w:t>▲操作系统及驱动升级</w:t>
            </w:r>
          </w:p>
        </w:tc>
        <w:tc>
          <w:tcPr>
            <w:tcW w:w="2735" w:type="pct"/>
            <w:tcBorders>
              <w:top w:val="single" w:color="auto" w:sz="4" w:space="0"/>
              <w:left w:val="single" w:color="auto" w:sz="4" w:space="0"/>
              <w:bottom w:val="single" w:color="auto" w:sz="4" w:space="0"/>
              <w:right w:val="single" w:color="auto" w:sz="4" w:space="0"/>
            </w:tcBorders>
            <w:vAlign w:val="center"/>
          </w:tcPr>
          <w:p w14:paraId="1C929E12">
            <w:pPr>
              <w:widowControl/>
              <w:rPr>
                <w:rFonts w:ascii="宋体" w:hAnsi="宋体"/>
                <w:color w:val="auto"/>
                <w:kern w:val="0"/>
                <w:sz w:val="22"/>
                <w:szCs w:val="22"/>
              </w:rPr>
            </w:pPr>
            <w:r>
              <w:rPr>
                <w:rFonts w:hint="eastAsia" w:ascii="宋体" w:hAnsi="宋体"/>
                <w:color w:val="auto"/>
                <w:kern w:val="0"/>
                <w:sz w:val="22"/>
                <w:szCs w:val="22"/>
              </w:rPr>
              <w:t>支持通过网络、闪存盘等方式对操作系统、驱动进行升级</w:t>
            </w:r>
          </w:p>
        </w:tc>
      </w:tr>
      <w:tr w14:paraId="20C5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7E2F985">
            <w:pPr>
              <w:widowControl/>
              <w:rPr>
                <w:rFonts w:ascii="宋体" w:hAnsi="宋体"/>
                <w:color w:val="auto"/>
                <w:kern w:val="0"/>
                <w:sz w:val="22"/>
                <w:szCs w:val="22"/>
              </w:rPr>
            </w:pPr>
            <w:r>
              <w:rPr>
                <w:rFonts w:hint="eastAsia" w:ascii="宋体" w:hAnsi="宋体"/>
                <w:color w:val="auto"/>
                <w:kern w:val="0"/>
                <w:sz w:val="22"/>
                <w:szCs w:val="22"/>
              </w:rPr>
              <w:t>136</w:t>
            </w:r>
          </w:p>
        </w:tc>
        <w:tc>
          <w:tcPr>
            <w:tcW w:w="0" w:type="auto"/>
            <w:vMerge w:val="continue"/>
            <w:tcBorders>
              <w:top w:val="nil"/>
              <w:left w:val="single" w:color="auto" w:sz="4" w:space="0"/>
              <w:bottom w:val="single" w:color="auto" w:sz="4" w:space="0"/>
              <w:right w:val="single" w:color="auto" w:sz="4" w:space="0"/>
            </w:tcBorders>
            <w:vAlign w:val="center"/>
          </w:tcPr>
          <w:p w14:paraId="6E48BB00">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112F78C">
            <w:pPr>
              <w:widowControl/>
              <w:jc w:val="left"/>
              <w:rPr>
                <w:rFonts w:ascii="宋体" w:hAnsi="宋体"/>
                <w:color w:val="auto"/>
                <w:kern w:val="0"/>
                <w:sz w:val="22"/>
                <w:szCs w:val="22"/>
              </w:rPr>
            </w:pPr>
            <w:r>
              <w:rPr>
                <w:rFonts w:hint="eastAsia" w:ascii="宋体" w:hAnsi="宋体"/>
                <w:color w:val="auto"/>
                <w:kern w:val="0"/>
                <w:sz w:val="22"/>
                <w:szCs w:val="22"/>
              </w:rPr>
              <w:t>▲固件升级</w:t>
            </w:r>
          </w:p>
        </w:tc>
        <w:tc>
          <w:tcPr>
            <w:tcW w:w="2735" w:type="pct"/>
            <w:tcBorders>
              <w:top w:val="single" w:color="auto" w:sz="4" w:space="0"/>
              <w:left w:val="single" w:color="auto" w:sz="4" w:space="0"/>
              <w:bottom w:val="single" w:color="auto" w:sz="4" w:space="0"/>
              <w:right w:val="single" w:color="auto" w:sz="4" w:space="0"/>
            </w:tcBorders>
            <w:vAlign w:val="center"/>
          </w:tcPr>
          <w:p w14:paraId="0DD16889">
            <w:pPr>
              <w:widowControl/>
              <w:rPr>
                <w:rFonts w:ascii="宋体" w:hAnsi="宋体"/>
                <w:color w:val="auto"/>
                <w:kern w:val="0"/>
                <w:sz w:val="22"/>
                <w:szCs w:val="22"/>
              </w:rPr>
            </w:pPr>
            <w:r>
              <w:rPr>
                <w:rFonts w:hint="eastAsia" w:ascii="宋体" w:hAnsi="宋体"/>
                <w:color w:val="auto"/>
                <w:kern w:val="0"/>
                <w:sz w:val="22"/>
                <w:szCs w:val="22"/>
              </w:rPr>
              <w:t>支持通过网络、闪存盘等方式对固件进行升级</w:t>
            </w:r>
          </w:p>
        </w:tc>
      </w:tr>
      <w:tr w14:paraId="7FDA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07ECC35">
            <w:pPr>
              <w:widowControl/>
              <w:rPr>
                <w:rFonts w:ascii="宋体" w:hAnsi="宋体"/>
                <w:color w:val="auto"/>
                <w:kern w:val="0"/>
                <w:sz w:val="22"/>
                <w:szCs w:val="22"/>
              </w:rPr>
            </w:pPr>
            <w:r>
              <w:rPr>
                <w:rFonts w:hint="eastAsia" w:ascii="宋体" w:hAnsi="宋体"/>
                <w:color w:val="auto"/>
                <w:kern w:val="0"/>
                <w:sz w:val="22"/>
                <w:szCs w:val="22"/>
              </w:rPr>
              <w:t>137</w:t>
            </w:r>
          </w:p>
        </w:tc>
        <w:tc>
          <w:tcPr>
            <w:tcW w:w="0" w:type="auto"/>
            <w:vMerge w:val="continue"/>
            <w:tcBorders>
              <w:top w:val="nil"/>
              <w:left w:val="single" w:color="auto" w:sz="4" w:space="0"/>
              <w:bottom w:val="single" w:color="auto" w:sz="4" w:space="0"/>
              <w:right w:val="single" w:color="auto" w:sz="4" w:space="0"/>
            </w:tcBorders>
            <w:vAlign w:val="center"/>
          </w:tcPr>
          <w:p w14:paraId="33C6EFA4">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6D2A368">
            <w:pPr>
              <w:widowControl/>
              <w:jc w:val="left"/>
              <w:rPr>
                <w:rFonts w:ascii="宋体" w:hAnsi="宋体"/>
                <w:color w:val="auto"/>
                <w:kern w:val="0"/>
                <w:sz w:val="22"/>
                <w:szCs w:val="22"/>
              </w:rPr>
            </w:pPr>
            <w:r>
              <w:rPr>
                <w:rFonts w:hint="eastAsia" w:ascii="宋体" w:hAnsi="宋体"/>
                <w:color w:val="auto"/>
                <w:kern w:val="0"/>
                <w:sz w:val="22"/>
                <w:szCs w:val="22"/>
              </w:rPr>
              <w:t>▲BIOS支持关闭通讯接口</w:t>
            </w:r>
          </w:p>
        </w:tc>
        <w:tc>
          <w:tcPr>
            <w:tcW w:w="2735" w:type="pct"/>
            <w:tcBorders>
              <w:top w:val="single" w:color="auto" w:sz="4" w:space="0"/>
              <w:left w:val="single" w:color="auto" w:sz="4" w:space="0"/>
              <w:bottom w:val="single" w:color="auto" w:sz="4" w:space="0"/>
              <w:right w:val="single" w:color="auto" w:sz="4" w:space="0"/>
            </w:tcBorders>
            <w:vAlign w:val="center"/>
          </w:tcPr>
          <w:p w14:paraId="28CB647C">
            <w:pPr>
              <w:widowControl/>
              <w:rPr>
                <w:rFonts w:ascii="宋体" w:hAnsi="宋体"/>
                <w:color w:val="auto"/>
                <w:kern w:val="0"/>
                <w:sz w:val="22"/>
                <w:szCs w:val="22"/>
              </w:rPr>
            </w:pPr>
            <w:r>
              <w:rPr>
                <w:rFonts w:hint="eastAsia" w:ascii="宋体" w:hAnsi="宋体"/>
                <w:color w:val="auto"/>
                <w:kern w:val="0"/>
                <w:sz w:val="22"/>
                <w:szCs w:val="22"/>
              </w:rPr>
              <w:t>支持BIOS关闭以太网及USB接口</w:t>
            </w:r>
          </w:p>
        </w:tc>
      </w:tr>
      <w:tr w14:paraId="5417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03C122F">
            <w:pPr>
              <w:widowControl/>
              <w:rPr>
                <w:rFonts w:ascii="宋体" w:hAnsi="宋体"/>
                <w:color w:val="auto"/>
                <w:kern w:val="0"/>
                <w:sz w:val="22"/>
                <w:szCs w:val="22"/>
              </w:rPr>
            </w:pPr>
            <w:r>
              <w:rPr>
                <w:rFonts w:hint="eastAsia" w:ascii="宋体" w:hAnsi="宋体"/>
                <w:color w:val="auto"/>
                <w:kern w:val="0"/>
                <w:sz w:val="22"/>
                <w:szCs w:val="22"/>
              </w:rPr>
              <w:t>138</w:t>
            </w:r>
          </w:p>
        </w:tc>
        <w:tc>
          <w:tcPr>
            <w:tcW w:w="0" w:type="auto"/>
            <w:vMerge w:val="continue"/>
            <w:tcBorders>
              <w:top w:val="nil"/>
              <w:left w:val="single" w:color="auto" w:sz="4" w:space="0"/>
              <w:bottom w:val="single" w:color="auto" w:sz="4" w:space="0"/>
              <w:right w:val="single" w:color="auto" w:sz="4" w:space="0"/>
            </w:tcBorders>
            <w:vAlign w:val="center"/>
          </w:tcPr>
          <w:p w14:paraId="4F04DC23">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694A5D4A">
            <w:pPr>
              <w:widowControl/>
              <w:jc w:val="left"/>
              <w:rPr>
                <w:rFonts w:ascii="宋体" w:hAnsi="宋体"/>
                <w:color w:val="auto"/>
                <w:kern w:val="0"/>
                <w:sz w:val="22"/>
                <w:szCs w:val="22"/>
              </w:rPr>
            </w:pPr>
            <w:r>
              <w:rPr>
                <w:rFonts w:hint="eastAsia" w:ascii="宋体" w:hAnsi="宋体"/>
                <w:color w:val="auto"/>
                <w:kern w:val="0"/>
                <w:sz w:val="22"/>
                <w:szCs w:val="22"/>
              </w:rPr>
              <w:t>▲固件查看信息</w:t>
            </w:r>
          </w:p>
        </w:tc>
        <w:tc>
          <w:tcPr>
            <w:tcW w:w="2735" w:type="pct"/>
            <w:tcBorders>
              <w:top w:val="single" w:color="auto" w:sz="4" w:space="0"/>
              <w:left w:val="single" w:color="auto" w:sz="4" w:space="0"/>
              <w:bottom w:val="single" w:color="auto" w:sz="4" w:space="0"/>
              <w:right w:val="single" w:color="auto" w:sz="4" w:space="0"/>
            </w:tcBorders>
            <w:vAlign w:val="center"/>
          </w:tcPr>
          <w:p w14:paraId="4CDAA22A">
            <w:pPr>
              <w:widowControl/>
              <w:rPr>
                <w:rFonts w:ascii="宋体" w:hAnsi="宋体"/>
                <w:color w:val="auto"/>
                <w:kern w:val="0"/>
                <w:sz w:val="22"/>
                <w:szCs w:val="22"/>
              </w:rPr>
            </w:pPr>
            <w:r>
              <w:rPr>
                <w:rFonts w:hint="eastAsia" w:ascii="宋体" w:hAnsi="宋体"/>
                <w:color w:val="auto"/>
                <w:kern w:val="0"/>
                <w:sz w:val="22"/>
                <w:szCs w:val="22"/>
              </w:rPr>
              <w:t>支持查看固件版本、内存信息、主板信息、处理器信息和系统时间信息等功能</w:t>
            </w:r>
          </w:p>
        </w:tc>
      </w:tr>
      <w:tr w14:paraId="2432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44E3F62">
            <w:pPr>
              <w:widowControl/>
              <w:rPr>
                <w:rFonts w:ascii="宋体" w:hAnsi="宋体"/>
                <w:color w:val="auto"/>
                <w:kern w:val="0"/>
                <w:sz w:val="22"/>
                <w:szCs w:val="22"/>
              </w:rPr>
            </w:pPr>
            <w:r>
              <w:rPr>
                <w:rFonts w:hint="eastAsia" w:ascii="宋体" w:hAnsi="宋体"/>
                <w:color w:val="auto"/>
                <w:kern w:val="0"/>
                <w:sz w:val="22"/>
                <w:szCs w:val="22"/>
              </w:rPr>
              <w:t>139</w:t>
            </w:r>
          </w:p>
        </w:tc>
        <w:tc>
          <w:tcPr>
            <w:tcW w:w="0" w:type="auto"/>
            <w:vMerge w:val="continue"/>
            <w:tcBorders>
              <w:top w:val="nil"/>
              <w:left w:val="single" w:color="auto" w:sz="4" w:space="0"/>
              <w:bottom w:val="single" w:color="auto" w:sz="4" w:space="0"/>
              <w:right w:val="single" w:color="auto" w:sz="4" w:space="0"/>
            </w:tcBorders>
            <w:vAlign w:val="center"/>
          </w:tcPr>
          <w:p w14:paraId="4A75CCF1">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627E85E">
            <w:pPr>
              <w:widowControl/>
              <w:jc w:val="left"/>
              <w:rPr>
                <w:rFonts w:ascii="宋体" w:hAnsi="宋体"/>
                <w:color w:val="auto"/>
                <w:kern w:val="0"/>
                <w:sz w:val="22"/>
                <w:szCs w:val="22"/>
              </w:rPr>
            </w:pPr>
            <w:r>
              <w:rPr>
                <w:rFonts w:hint="eastAsia" w:ascii="宋体" w:hAnsi="宋体"/>
                <w:color w:val="auto"/>
                <w:kern w:val="0"/>
                <w:sz w:val="22"/>
                <w:szCs w:val="22"/>
              </w:rPr>
              <w:t>▲固件设置启动顺序</w:t>
            </w:r>
          </w:p>
        </w:tc>
        <w:tc>
          <w:tcPr>
            <w:tcW w:w="2735" w:type="pct"/>
            <w:tcBorders>
              <w:top w:val="single" w:color="auto" w:sz="4" w:space="0"/>
              <w:left w:val="single" w:color="auto" w:sz="4" w:space="0"/>
              <w:bottom w:val="single" w:color="auto" w:sz="4" w:space="0"/>
              <w:right w:val="single" w:color="auto" w:sz="4" w:space="0"/>
            </w:tcBorders>
            <w:vAlign w:val="center"/>
          </w:tcPr>
          <w:p w14:paraId="0EDEFCA2">
            <w:pPr>
              <w:widowControl/>
              <w:rPr>
                <w:rFonts w:ascii="宋体" w:hAnsi="宋体"/>
                <w:color w:val="auto"/>
                <w:kern w:val="0"/>
                <w:sz w:val="22"/>
                <w:szCs w:val="22"/>
              </w:rPr>
            </w:pPr>
            <w:r>
              <w:rPr>
                <w:rFonts w:hint="eastAsia" w:ascii="宋体" w:hAnsi="宋体"/>
                <w:color w:val="auto"/>
                <w:kern w:val="0"/>
                <w:sz w:val="22"/>
                <w:szCs w:val="22"/>
              </w:rPr>
              <w:t>支持设置启动顺序功能，并按照设置的启动顺序启动</w:t>
            </w:r>
          </w:p>
        </w:tc>
      </w:tr>
      <w:tr w14:paraId="7E4F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0247FE2">
            <w:pPr>
              <w:widowControl/>
              <w:rPr>
                <w:rFonts w:ascii="宋体" w:hAnsi="宋体"/>
                <w:color w:val="auto"/>
                <w:kern w:val="0"/>
                <w:sz w:val="22"/>
                <w:szCs w:val="22"/>
              </w:rPr>
            </w:pPr>
            <w:r>
              <w:rPr>
                <w:rFonts w:hint="eastAsia" w:ascii="宋体" w:hAnsi="宋体"/>
                <w:color w:val="auto"/>
                <w:kern w:val="0"/>
                <w:sz w:val="22"/>
                <w:szCs w:val="22"/>
              </w:rPr>
              <w:t>140</w:t>
            </w:r>
          </w:p>
        </w:tc>
        <w:tc>
          <w:tcPr>
            <w:tcW w:w="0" w:type="auto"/>
            <w:vMerge w:val="continue"/>
            <w:tcBorders>
              <w:top w:val="nil"/>
              <w:left w:val="single" w:color="auto" w:sz="4" w:space="0"/>
              <w:bottom w:val="single" w:color="auto" w:sz="4" w:space="0"/>
              <w:right w:val="single" w:color="auto" w:sz="4" w:space="0"/>
            </w:tcBorders>
            <w:vAlign w:val="center"/>
          </w:tcPr>
          <w:p w14:paraId="793F803D">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6A17B8A9">
            <w:pPr>
              <w:widowControl/>
              <w:jc w:val="left"/>
              <w:rPr>
                <w:rFonts w:ascii="宋体" w:hAnsi="宋体"/>
                <w:color w:val="auto"/>
                <w:kern w:val="0"/>
                <w:sz w:val="22"/>
                <w:szCs w:val="22"/>
              </w:rPr>
            </w:pPr>
            <w:r>
              <w:rPr>
                <w:rFonts w:hint="eastAsia" w:ascii="宋体" w:hAnsi="宋体"/>
                <w:color w:val="auto"/>
                <w:kern w:val="0"/>
                <w:sz w:val="22"/>
                <w:szCs w:val="22"/>
              </w:rPr>
              <w:t>▲固件设置口令</w:t>
            </w:r>
          </w:p>
        </w:tc>
        <w:tc>
          <w:tcPr>
            <w:tcW w:w="2735" w:type="pct"/>
            <w:tcBorders>
              <w:top w:val="single" w:color="auto" w:sz="4" w:space="0"/>
              <w:left w:val="single" w:color="auto" w:sz="4" w:space="0"/>
              <w:bottom w:val="single" w:color="auto" w:sz="4" w:space="0"/>
              <w:right w:val="single" w:color="auto" w:sz="4" w:space="0"/>
            </w:tcBorders>
            <w:vAlign w:val="center"/>
          </w:tcPr>
          <w:p w14:paraId="14E8B991">
            <w:pPr>
              <w:widowControl/>
              <w:rPr>
                <w:rFonts w:ascii="宋体" w:hAnsi="宋体"/>
                <w:color w:val="auto"/>
                <w:kern w:val="0"/>
                <w:sz w:val="22"/>
                <w:szCs w:val="22"/>
              </w:rPr>
            </w:pPr>
            <w:r>
              <w:rPr>
                <w:rFonts w:hint="eastAsia" w:ascii="宋体" w:hAnsi="宋体"/>
                <w:color w:val="auto"/>
                <w:kern w:val="0"/>
                <w:sz w:val="22"/>
                <w:szCs w:val="22"/>
              </w:rPr>
              <w:t>支持设置口令、修改口令、验证口令功能</w:t>
            </w:r>
          </w:p>
        </w:tc>
      </w:tr>
      <w:tr w14:paraId="51E8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9A6880E">
            <w:pPr>
              <w:widowControl/>
              <w:rPr>
                <w:rFonts w:ascii="宋体" w:hAnsi="宋体"/>
                <w:color w:val="auto"/>
                <w:kern w:val="0"/>
                <w:sz w:val="22"/>
                <w:szCs w:val="22"/>
              </w:rPr>
            </w:pPr>
            <w:r>
              <w:rPr>
                <w:rFonts w:hint="eastAsia" w:ascii="宋体" w:hAnsi="宋体"/>
                <w:color w:val="auto"/>
                <w:kern w:val="0"/>
                <w:sz w:val="22"/>
                <w:szCs w:val="22"/>
              </w:rPr>
              <w:t>141</w:t>
            </w:r>
          </w:p>
        </w:tc>
        <w:tc>
          <w:tcPr>
            <w:tcW w:w="0" w:type="auto"/>
            <w:vMerge w:val="continue"/>
            <w:tcBorders>
              <w:top w:val="nil"/>
              <w:left w:val="single" w:color="auto" w:sz="4" w:space="0"/>
              <w:bottom w:val="single" w:color="auto" w:sz="4" w:space="0"/>
              <w:right w:val="single" w:color="auto" w:sz="4" w:space="0"/>
            </w:tcBorders>
            <w:vAlign w:val="center"/>
          </w:tcPr>
          <w:p w14:paraId="00EDC1BE">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8871C22">
            <w:pPr>
              <w:widowControl/>
              <w:jc w:val="left"/>
              <w:rPr>
                <w:rFonts w:ascii="宋体" w:hAnsi="宋体"/>
                <w:color w:val="auto"/>
                <w:kern w:val="0"/>
                <w:sz w:val="22"/>
                <w:szCs w:val="22"/>
              </w:rPr>
            </w:pPr>
            <w:r>
              <w:rPr>
                <w:rFonts w:hint="eastAsia" w:ascii="宋体" w:hAnsi="宋体"/>
                <w:color w:val="auto"/>
                <w:kern w:val="0"/>
                <w:sz w:val="22"/>
                <w:szCs w:val="22"/>
              </w:rPr>
              <w:t>▲固件设置网络引导</w:t>
            </w:r>
          </w:p>
        </w:tc>
        <w:tc>
          <w:tcPr>
            <w:tcW w:w="2735" w:type="pct"/>
            <w:tcBorders>
              <w:top w:val="single" w:color="auto" w:sz="4" w:space="0"/>
              <w:left w:val="single" w:color="auto" w:sz="4" w:space="0"/>
              <w:bottom w:val="single" w:color="auto" w:sz="4" w:space="0"/>
              <w:right w:val="single" w:color="auto" w:sz="4" w:space="0"/>
            </w:tcBorders>
            <w:vAlign w:val="center"/>
          </w:tcPr>
          <w:p w14:paraId="1F3F11AC">
            <w:pPr>
              <w:widowControl/>
              <w:rPr>
                <w:rFonts w:ascii="宋体" w:hAnsi="宋体"/>
                <w:color w:val="auto"/>
                <w:kern w:val="0"/>
                <w:sz w:val="22"/>
                <w:szCs w:val="22"/>
              </w:rPr>
            </w:pPr>
            <w:r>
              <w:rPr>
                <w:rFonts w:hint="eastAsia" w:ascii="宋体" w:hAnsi="宋体"/>
                <w:color w:val="auto"/>
                <w:kern w:val="0"/>
                <w:sz w:val="22"/>
                <w:szCs w:val="22"/>
              </w:rPr>
              <w:t>支持网络引导启动和关闭功能</w:t>
            </w:r>
          </w:p>
        </w:tc>
      </w:tr>
      <w:tr w14:paraId="712D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40062FF">
            <w:pPr>
              <w:widowControl/>
              <w:rPr>
                <w:rFonts w:ascii="宋体" w:hAnsi="宋体"/>
                <w:color w:val="auto"/>
                <w:kern w:val="0"/>
                <w:sz w:val="22"/>
                <w:szCs w:val="22"/>
              </w:rPr>
            </w:pPr>
            <w:r>
              <w:rPr>
                <w:rFonts w:hint="eastAsia" w:ascii="宋体" w:hAnsi="宋体"/>
                <w:color w:val="auto"/>
                <w:kern w:val="0"/>
                <w:sz w:val="22"/>
                <w:szCs w:val="22"/>
              </w:rPr>
              <w:t>142</w:t>
            </w:r>
          </w:p>
        </w:tc>
        <w:tc>
          <w:tcPr>
            <w:tcW w:w="807" w:type="pct"/>
            <w:vMerge w:val="restart"/>
            <w:tcBorders>
              <w:top w:val="nil"/>
              <w:left w:val="single" w:color="auto" w:sz="4" w:space="0"/>
              <w:bottom w:val="single" w:color="auto" w:sz="4" w:space="0"/>
              <w:right w:val="single" w:color="auto" w:sz="4" w:space="0"/>
            </w:tcBorders>
            <w:vAlign w:val="center"/>
          </w:tcPr>
          <w:p w14:paraId="74FE3FF7">
            <w:pPr>
              <w:widowControl/>
              <w:rPr>
                <w:rFonts w:ascii="宋体" w:hAnsi="宋体"/>
                <w:color w:val="auto"/>
                <w:kern w:val="0"/>
                <w:sz w:val="22"/>
                <w:szCs w:val="22"/>
              </w:rPr>
            </w:pPr>
            <w:r>
              <w:rPr>
                <w:rFonts w:hint="eastAsia" w:ascii="宋体" w:hAnsi="宋体"/>
                <w:color w:val="auto"/>
                <w:kern w:val="0"/>
                <w:sz w:val="22"/>
                <w:szCs w:val="22"/>
              </w:rPr>
              <w:t>生物识别功能</w:t>
            </w:r>
          </w:p>
        </w:tc>
        <w:tc>
          <w:tcPr>
            <w:tcW w:w="1096" w:type="pct"/>
            <w:tcBorders>
              <w:top w:val="single" w:color="auto" w:sz="4" w:space="0"/>
              <w:left w:val="single" w:color="auto" w:sz="4" w:space="0"/>
              <w:bottom w:val="single" w:color="auto" w:sz="4" w:space="0"/>
              <w:right w:val="single" w:color="auto" w:sz="4" w:space="0"/>
            </w:tcBorders>
            <w:vAlign w:val="center"/>
          </w:tcPr>
          <w:p w14:paraId="45F4E668">
            <w:pPr>
              <w:widowControl/>
              <w:jc w:val="left"/>
              <w:rPr>
                <w:rFonts w:ascii="宋体" w:hAnsi="宋体"/>
                <w:color w:val="auto"/>
                <w:kern w:val="0"/>
                <w:sz w:val="22"/>
                <w:szCs w:val="22"/>
              </w:rPr>
            </w:pPr>
            <w:r>
              <w:rPr>
                <w:rFonts w:hint="eastAsia" w:ascii="宋体" w:hAnsi="宋体"/>
                <w:color w:val="auto"/>
                <w:kern w:val="0"/>
                <w:sz w:val="22"/>
                <w:szCs w:val="22"/>
              </w:rPr>
              <w:t>指纹识别</w:t>
            </w:r>
          </w:p>
        </w:tc>
        <w:tc>
          <w:tcPr>
            <w:tcW w:w="2735" w:type="pct"/>
            <w:tcBorders>
              <w:top w:val="single" w:color="auto" w:sz="4" w:space="0"/>
              <w:left w:val="single" w:color="auto" w:sz="4" w:space="0"/>
              <w:bottom w:val="single" w:color="auto" w:sz="4" w:space="0"/>
              <w:right w:val="single" w:color="auto" w:sz="4" w:space="0"/>
            </w:tcBorders>
            <w:vAlign w:val="center"/>
          </w:tcPr>
          <w:p w14:paraId="6BCB25D4">
            <w:pPr>
              <w:widowControl/>
              <w:rPr>
                <w:rFonts w:ascii="宋体" w:hAnsi="宋体"/>
                <w:color w:val="auto"/>
                <w:kern w:val="0"/>
                <w:sz w:val="22"/>
                <w:szCs w:val="22"/>
              </w:rPr>
            </w:pPr>
            <w:r>
              <w:rPr>
                <w:rFonts w:hint="eastAsia" w:ascii="宋体" w:hAnsi="宋体"/>
                <w:color w:val="auto"/>
                <w:kern w:val="0"/>
                <w:sz w:val="22"/>
                <w:szCs w:val="22"/>
              </w:rPr>
              <w:t>/</w:t>
            </w:r>
          </w:p>
        </w:tc>
      </w:tr>
      <w:tr w14:paraId="4529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B5491C4">
            <w:pPr>
              <w:widowControl/>
              <w:rPr>
                <w:rFonts w:ascii="宋体" w:hAnsi="宋体"/>
                <w:color w:val="auto"/>
                <w:kern w:val="0"/>
                <w:sz w:val="22"/>
                <w:szCs w:val="22"/>
              </w:rPr>
            </w:pPr>
            <w:r>
              <w:rPr>
                <w:rFonts w:hint="eastAsia" w:ascii="宋体" w:hAnsi="宋体"/>
                <w:color w:val="auto"/>
                <w:kern w:val="0"/>
                <w:sz w:val="22"/>
                <w:szCs w:val="22"/>
              </w:rPr>
              <w:t>143</w:t>
            </w:r>
          </w:p>
        </w:tc>
        <w:tc>
          <w:tcPr>
            <w:tcW w:w="0" w:type="auto"/>
            <w:vMerge w:val="continue"/>
            <w:tcBorders>
              <w:top w:val="nil"/>
              <w:left w:val="single" w:color="auto" w:sz="4" w:space="0"/>
              <w:bottom w:val="single" w:color="auto" w:sz="4" w:space="0"/>
              <w:right w:val="single" w:color="auto" w:sz="4" w:space="0"/>
            </w:tcBorders>
            <w:vAlign w:val="center"/>
          </w:tcPr>
          <w:p w14:paraId="26E5976C">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5CB5CCFF">
            <w:pPr>
              <w:widowControl/>
              <w:jc w:val="left"/>
              <w:rPr>
                <w:rFonts w:ascii="宋体" w:hAnsi="宋体"/>
                <w:color w:val="auto"/>
                <w:kern w:val="0"/>
                <w:sz w:val="22"/>
                <w:szCs w:val="22"/>
              </w:rPr>
            </w:pPr>
            <w:r>
              <w:rPr>
                <w:rFonts w:hint="eastAsia" w:ascii="宋体" w:hAnsi="宋体"/>
                <w:color w:val="auto"/>
                <w:kern w:val="0"/>
                <w:sz w:val="22"/>
                <w:szCs w:val="22"/>
              </w:rPr>
              <w:t>人脸识别</w:t>
            </w:r>
          </w:p>
        </w:tc>
        <w:tc>
          <w:tcPr>
            <w:tcW w:w="2735" w:type="pct"/>
            <w:tcBorders>
              <w:top w:val="single" w:color="auto" w:sz="4" w:space="0"/>
              <w:left w:val="single" w:color="auto" w:sz="4" w:space="0"/>
              <w:bottom w:val="single" w:color="auto" w:sz="4" w:space="0"/>
              <w:right w:val="single" w:color="auto" w:sz="4" w:space="0"/>
            </w:tcBorders>
            <w:vAlign w:val="center"/>
          </w:tcPr>
          <w:p w14:paraId="2ABC5332">
            <w:pPr>
              <w:widowControl/>
              <w:rPr>
                <w:rFonts w:ascii="宋体" w:hAnsi="宋体"/>
                <w:color w:val="auto"/>
                <w:kern w:val="0"/>
                <w:sz w:val="22"/>
                <w:szCs w:val="22"/>
              </w:rPr>
            </w:pPr>
            <w:r>
              <w:rPr>
                <w:rFonts w:hint="eastAsia" w:ascii="宋体" w:hAnsi="宋体"/>
                <w:color w:val="auto"/>
                <w:kern w:val="0"/>
                <w:sz w:val="22"/>
                <w:szCs w:val="22"/>
              </w:rPr>
              <w:t>/</w:t>
            </w:r>
          </w:p>
        </w:tc>
      </w:tr>
      <w:tr w14:paraId="4087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5CF4F00">
            <w:pPr>
              <w:widowControl/>
              <w:rPr>
                <w:rFonts w:ascii="宋体" w:hAnsi="宋体"/>
                <w:color w:val="auto"/>
                <w:kern w:val="0"/>
                <w:sz w:val="22"/>
                <w:szCs w:val="22"/>
              </w:rPr>
            </w:pPr>
            <w:r>
              <w:rPr>
                <w:rFonts w:hint="eastAsia" w:ascii="宋体" w:hAnsi="宋体"/>
                <w:color w:val="auto"/>
                <w:kern w:val="0"/>
                <w:sz w:val="22"/>
                <w:szCs w:val="22"/>
              </w:rPr>
              <w:t>144</w:t>
            </w:r>
          </w:p>
        </w:tc>
        <w:tc>
          <w:tcPr>
            <w:tcW w:w="0" w:type="auto"/>
            <w:vMerge w:val="continue"/>
            <w:tcBorders>
              <w:top w:val="nil"/>
              <w:left w:val="single" w:color="auto" w:sz="4" w:space="0"/>
              <w:bottom w:val="single" w:color="auto" w:sz="4" w:space="0"/>
              <w:right w:val="single" w:color="auto" w:sz="4" w:space="0"/>
            </w:tcBorders>
            <w:vAlign w:val="center"/>
          </w:tcPr>
          <w:p w14:paraId="62B49B9C">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6DB340D">
            <w:pPr>
              <w:widowControl/>
              <w:jc w:val="left"/>
              <w:rPr>
                <w:rFonts w:ascii="宋体" w:hAnsi="宋体"/>
                <w:color w:val="auto"/>
                <w:kern w:val="0"/>
                <w:sz w:val="22"/>
                <w:szCs w:val="22"/>
              </w:rPr>
            </w:pPr>
            <w:r>
              <w:rPr>
                <w:rFonts w:hint="eastAsia" w:ascii="宋体" w:hAnsi="宋体"/>
                <w:color w:val="auto"/>
                <w:kern w:val="0"/>
                <w:sz w:val="22"/>
                <w:szCs w:val="22"/>
              </w:rPr>
              <w:t>静脉识别</w:t>
            </w:r>
          </w:p>
        </w:tc>
        <w:tc>
          <w:tcPr>
            <w:tcW w:w="2735" w:type="pct"/>
            <w:tcBorders>
              <w:top w:val="single" w:color="auto" w:sz="4" w:space="0"/>
              <w:left w:val="single" w:color="auto" w:sz="4" w:space="0"/>
              <w:bottom w:val="single" w:color="auto" w:sz="4" w:space="0"/>
              <w:right w:val="single" w:color="auto" w:sz="4" w:space="0"/>
            </w:tcBorders>
            <w:vAlign w:val="center"/>
          </w:tcPr>
          <w:p w14:paraId="4282CB1D">
            <w:pPr>
              <w:widowControl/>
              <w:rPr>
                <w:rFonts w:ascii="宋体" w:hAnsi="宋体"/>
                <w:color w:val="auto"/>
                <w:kern w:val="0"/>
                <w:sz w:val="22"/>
                <w:szCs w:val="22"/>
              </w:rPr>
            </w:pPr>
            <w:r>
              <w:rPr>
                <w:rFonts w:hint="eastAsia" w:ascii="宋体" w:hAnsi="宋体"/>
                <w:color w:val="auto"/>
                <w:kern w:val="0"/>
                <w:sz w:val="22"/>
                <w:szCs w:val="22"/>
              </w:rPr>
              <w:t>/</w:t>
            </w:r>
          </w:p>
        </w:tc>
      </w:tr>
      <w:tr w14:paraId="7293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5725768">
            <w:pPr>
              <w:widowControl/>
              <w:rPr>
                <w:rFonts w:ascii="宋体" w:hAnsi="宋体"/>
                <w:color w:val="auto"/>
                <w:kern w:val="0"/>
                <w:sz w:val="22"/>
                <w:szCs w:val="22"/>
              </w:rPr>
            </w:pPr>
            <w:r>
              <w:rPr>
                <w:rFonts w:hint="eastAsia" w:ascii="宋体" w:hAnsi="宋体"/>
                <w:color w:val="auto"/>
                <w:kern w:val="0"/>
                <w:sz w:val="22"/>
                <w:szCs w:val="22"/>
              </w:rPr>
              <w:t>145</w:t>
            </w:r>
          </w:p>
        </w:tc>
        <w:tc>
          <w:tcPr>
            <w:tcW w:w="807" w:type="pct"/>
            <w:vMerge w:val="restart"/>
            <w:tcBorders>
              <w:top w:val="nil"/>
              <w:left w:val="single" w:color="auto" w:sz="4" w:space="0"/>
              <w:bottom w:val="single" w:color="auto" w:sz="4" w:space="0"/>
              <w:right w:val="single" w:color="auto" w:sz="4" w:space="0"/>
            </w:tcBorders>
            <w:vAlign w:val="center"/>
          </w:tcPr>
          <w:p w14:paraId="421F7A91">
            <w:pPr>
              <w:widowControl/>
              <w:rPr>
                <w:rFonts w:ascii="宋体" w:hAnsi="宋体"/>
                <w:color w:val="auto"/>
                <w:kern w:val="0"/>
                <w:sz w:val="22"/>
                <w:szCs w:val="22"/>
              </w:rPr>
            </w:pPr>
            <w:r>
              <w:rPr>
                <w:rFonts w:hint="eastAsia" w:ascii="宋体" w:hAnsi="宋体"/>
                <w:color w:val="auto"/>
                <w:kern w:val="0"/>
                <w:sz w:val="22"/>
                <w:szCs w:val="22"/>
              </w:rPr>
              <w:t>硬件加速功能</w:t>
            </w:r>
          </w:p>
        </w:tc>
        <w:tc>
          <w:tcPr>
            <w:tcW w:w="1096" w:type="pct"/>
            <w:tcBorders>
              <w:top w:val="single" w:color="auto" w:sz="4" w:space="0"/>
              <w:left w:val="single" w:color="auto" w:sz="4" w:space="0"/>
              <w:bottom w:val="single" w:color="auto" w:sz="4" w:space="0"/>
              <w:right w:val="single" w:color="auto" w:sz="4" w:space="0"/>
            </w:tcBorders>
            <w:vAlign w:val="center"/>
          </w:tcPr>
          <w:p w14:paraId="5E2182BF">
            <w:pPr>
              <w:widowControl/>
              <w:jc w:val="left"/>
              <w:rPr>
                <w:rFonts w:ascii="宋体" w:hAnsi="宋体"/>
                <w:color w:val="auto"/>
                <w:kern w:val="0"/>
                <w:sz w:val="22"/>
                <w:szCs w:val="22"/>
              </w:rPr>
            </w:pPr>
            <w:r>
              <w:rPr>
                <w:rFonts w:hint="eastAsia" w:ascii="宋体" w:hAnsi="宋体"/>
                <w:color w:val="auto"/>
                <w:kern w:val="0"/>
                <w:sz w:val="22"/>
                <w:szCs w:val="22"/>
              </w:rPr>
              <w:t>NPU/GPU等AI加速模块</w:t>
            </w:r>
          </w:p>
        </w:tc>
        <w:tc>
          <w:tcPr>
            <w:tcW w:w="2735" w:type="pct"/>
            <w:tcBorders>
              <w:top w:val="single" w:color="auto" w:sz="4" w:space="0"/>
              <w:left w:val="single" w:color="auto" w:sz="4" w:space="0"/>
              <w:bottom w:val="single" w:color="auto" w:sz="4" w:space="0"/>
              <w:right w:val="single" w:color="auto" w:sz="4" w:space="0"/>
            </w:tcBorders>
            <w:vAlign w:val="center"/>
          </w:tcPr>
          <w:p w14:paraId="5F22B4B0">
            <w:pPr>
              <w:widowControl/>
              <w:rPr>
                <w:rFonts w:ascii="宋体" w:hAnsi="宋体"/>
                <w:color w:val="auto"/>
                <w:kern w:val="0"/>
                <w:sz w:val="22"/>
                <w:szCs w:val="22"/>
              </w:rPr>
            </w:pPr>
            <w:r>
              <w:rPr>
                <w:rFonts w:hint="eastAsia" w:ascii="宋体" w:hAnsi="宋体"/>
                <w:color w:val="auto"/>
                <w:kern w:val="0"/>
                <w:sz w:val="22"/>
                <w:szCs w:val="22"/>
              </w:rPr>
              <w:t>/</w:t>
            </w:r>
          </w:p>
        </w:tc>
      </w:tr>
      <w:tr w14:paraId="04C0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72347DD">
            <w:pPr>
              <w:widowControl/>
              <w:rPr>
                <w:rFonts w:ascii="宋体" w:hAnsi="宋体"/>
                <w:color w:val="auto"/>
                <w:kern w:val="0"/>
                <w:sz w:val="22"/>
                <w:szCs w:val="22"/>
              </w:rPr>
            </w:pPr>
            <w:r>
              <w:rPr>
                <w:rFonts w:hint="eastAsia" w:ascii="宋体" w:hAnsi="宋体"/>
                <w:color w:val="auto"/>
                <w:kern w:val="0"/>
                <w:sz w:val="22"/>
                <w:szCs w:val="22"/>
              </w:rPr>
              <w:t>146</w:t>
            </w:r>
          </w:p>
        </w:tc>
        <w:tc>
          <w:tcPr>
            <w:tcW w:w="0" w:type="auto"/>
            <w:vMerge w:val="continue"/>
            <w:tcBorders>
              <w:top w:val="nil"/>
              <w:left w:val="single" w:color="auto" w:sz="4" w:space="0"/>
              <w:bottom w:val="single" w:color="auto" w:sz="4" w:space="0"/>
              <w:right w:val="single" w:color="auto" w:sz="4" w:space="0"/>
            </w:tcBorders>
            <w:vAlign w:val="center"/>
          </w:tcPr>
          <w:p w14:paraId="60B7FE51">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E46EC0D">
            <w:pPr>
              <w:widowControl/>
              <w:jc w:val="left"/>
              <w:rPr>
                <w:rFonts w:ascii="宋体" w:hAnsi="宋体"/>
                <w:color w:val="auto"/>
                <w:kern w:val="0"/>
                <w:sz w:val="22"/>
                <w:szCs w:val="22"/>
              </w:rPr>
            </w:pPr>
            <w:r>
              <w:rPr>
                <w:rFonts w:hint="eastAsia" w:ascii="宋体" w:hAnsi="宋体"/>
                <w:color w:val="auto"/>
                <w:kern w:val="0"/>
                <w:sz w:val="22"/>
                <w:szCs w:val="22"/>
              </w:rPr>
              <w:t>视频编解码加速模块</w:t>
            </w:r>
          </w:p>
        </w:tc>
        <w:tc>
          <w:tcPr>
            <w:tcW w:w="2735" w:type="pct"/>
            <w:tcBorders>
              <w:top w:val="single" w:color="auto" w:sz="4" w:space="0"/>
              <w:left w:val="single" w:color="auto" w:sz="4" w:space="0"/>
              <w:bottom w:val="single" w:color="auto" w:sz="4" w:space="0"/>
              <w:right w:val="single" w:color="auto" w:sz="4" w:space="0"/>
            </w:tcBorders>
            <w:vAlign w:val="center"/>
          </w:tcPr>
          <w:p w14:paraId="2FCD88D6">
            <w:pPr>
              <w:widowControl/>
              <w:rPr>
                <w:rFonts w:ascii="宋体" w:hAnsi="宋体"/>
                <w:color w:val="auto"/>
                <w:kern w:val="0"/>
                <w:sz w:val="22"/>
                <w:szCs w:val="22"/>
              </w:rPr>
            </w:pPr>
            <w:r>
              <w:rPr>
                <w:rFonts w:hint="eastAsia" w:ascii="宋体" w:hAnsi="宋体"/>
                <w:color w:val="auto"/>
                <w:kern w:val="0"/>
                <w:sz w:val="22"/>
                <w:szCs w:val="22"/>
              </w:rPr>
              <w:t>/</w:t>
            </w:r>
          </w:p>
        </w:tc>
      </w:tr>
      <w:tr w14:paraId="4918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5C149AD">
            <w:pPr>
              <w:widowControl/>
              <w:rPr>
                <w:rFonts w:ascii="宋体" w:hAnsi="宋体"/>
                <w:color w:val="auto"/>
                <w:kern w:val="0"/>
                <w:sz w:val="22"/>
                <w:szCs w:val="22"/>
              </w:rPr>
            </w:pPr>
            <w:r>
              <w:rPr>
                <w:rFonts w:hint="eastAsia" w:ascii="宋体" w:hAnsi="宋体"/>
                <w:color w:val="auto"/>
                <w:kern w:val="0"/>
                <w:sz w:val="22"/>
                <w:szCs w:val="22"/>
              </w:rPr>
              <w:t>147</w:t>
            </w:r>
          </w:p>
        </w:tc>
        <w:tc>
          <w:tcPr>
            <w:tcW w:w="0" w:type="auto"/>
            <w:vMerge w:val="continue"/>
            <w:tcBorders>
              <w:top w:val="nil"/>
              <w:left w:val="single" w:color="auto" w:sz="4" w:space="0"/>
              <w:bottom w:val="single" w:color="auto" w:sz="4" w:space="0"/>
              <w:right w:val="single" w:color="auto" w:sz="4" w:space="0"/>
            </w:tcBorders>
            <w:vAlign w:val="center"/>
          </w:tcPr>
          <w:p w14:paraId="7C725013">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61B13CE8">
            <w:pPr>
              <w:widowControl/>
              <w:jc w:val="left"/>
              <w:rPr>
                <w:rFonts w:ascii="宋体" w:hAnsi="宋体"/>
                <w:color w:val="auto"/>
                <w:kern w:val="0"/>
                <w:sz w:val="22"/>
                <w:szCs w:val="22"/>
              </w:rPr>
            </w:pPr>
            <w:r>
              <w:rPr>
                <w:rFonts w:hint="eastAsia" w:ascii="宋体" w:hAnsi="宋体"/>
                <w:color w:val="auto"/>
                <w:kern w:val="0"/>
                <w:sz w:val="22"/>
                <w:szCs w:val="22"/>
              </w:rPr>
              <w:t>影像处理加速模块</w:t>
            </w:r>
          </w:p>
        </w:tc>
        <w:tc>
          <w:tcPr>
            <w:tcW w:w="2735" w:type="pct"/>
            <w:tcBorders>
              <w:top w:val="single" w:color="auto" w:sz="4" w:space="0"/>
              <w:left w:val="single" w:color="auto" w:sz="4" w:space="0"/>
              <w:bottom w:val="single" w:color="auto" w:sz="4" w:space="0"/>
              <w:right w:val="single" w:color="auto" w:sz="4" w:space="0"/>
            </w:tcBorders>
            <w:vAlign w:val="center"/>
          </w:tcPr>
          <w:p w14:paraId="387F458C">
            <w:pPr>
              <w:widowControl/>
              <w:rPr>
                <w:rFonts w:ascii="宋体" w:hAnsi="宋体"/>
                <w:color w:val="auto"/>
                <w:kern w:val="0"/>
                <w:sz w:val="22"/>
                <w:szCs w:val="22"/>
              </w:rPr>
            </w:pPr>
            <w:r>
              <w:rPr>
                <w:rFonts w:hint="eastAsia" w:ascii="宋体" w:hAnsi="宋体"/>
                <w:color w:val="auto"/>
                <w:kern w:val="0"/>
                <w:sz w:val="22"/>
                <w:szCs w:val="22"/>
              </w:rPr>
              <w:t>/</w:t>
            </w:r>
          </w:p>
        </w:tc>
      </w:tr>
      <w:tr w14:paraId="6A39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35422A5">
            <w:pPr>
              <w:widowControl/>
              <w:rPr>
                <w:rFonts w:ascii="宋体" w:hAnsi="宋体"/>
                <w:color w:val="auto"/>
                <w:kern w:val="0"/>
                <w:sz w:val="22"/>
                <w:szCs w:val="22"/>
              </w:rPr>
            </w:pPr>
            <w:r>
              <w:rPr>
                <w:rFonts w:hint="eastAsia" w:ascii="宋体" w:hAnsi="宋体"/>
                <w:color w:val="auto"/>
                <w:kern w:val="0"/>
                <w:sz w:val="22"/>
                <w:szCs w:val="22"/>
              </w:rPr>
              <w:t>148</w:t>
            </w:r>
          </w:p>
        </w:tc>
        <w:tc>
          <w:tcPr>
            <w:tcW w:w="807" w:type="pct"/>
            <w:vMerge w:val="restart"/>
            <w:tcBorders>
              <w:top w:val="nil"/>
              <w:left w:val="single" w:color="auto" w:sz="4" w:space="0"/>
              <w:bottom w:val="single" w:color="auto" w:sz="4" w:space="0"/>
              <w:right w:val="single" w:color="auto" w:sz="4" w:space="0"/>
            </w:tcBorders>
            <w:vAlign w:val="center"/>
          </w:tcPr>
          <w:p w14:paraId="11C4FCC1">
            <w:pPr>
              <w:widowControl/>
              <w:rPr>
                <w:rFonts w:ascii="宋体" w:hAnsi="宋体"/>
                <w:color w:val="auto"/>
                <w:kern w:val="0"/>
                <w:sz w:val="22"/>
                <w:szCs w:val="22"/>
              </w:rPr>
            </w:pPr>
            <w:r>
              <w:rPr>
                <w:rFonts w:hint="eastAsia" w:ascii="宋体" w:hAnsi="宋体"/>
                <w:color w:val="auto"/>
                <w:kern w:val="0"/>
                <w:sz w:val="22"/>
                <w:szCs w:val="22"/>
              </w:rPr>
              <w:t>▲存储设备可靠性</w:t>
            </w:r>
          </w:p>
        </w:tc>
        <w:tc>
          <w:tcPr>
            <w:tcW w:w="1096" w:type="pct"/>
            <w:tcBorders>
              <w:top w:val="single" w:color="auto" w:sz="4" w:space="0"/>
              <w:left w:val="single" w:color="auto" w:sz="4" w:space="0"/>
              <w:bottom w:val="single" w:color="auto" w:sz="4" w:space="0"/>
              <w:right w:val="single" w:color="auto" w:sz="4" w:space="0"/>
            </w:tcBorders>
            <w:vAlign w:val="center"/>
          </w:tcPr>
          <w:p w14:paraId="4D1A33B8">
            <w:pPr>
              <w:widowControl/>
              <w:jc w:val="left"/>
              <w:rPr>
                <w:rFonts w:ascii="宋体" w:hAnsi="宋体"/>
                <w:color w:val="auto"/>
                <w:kern w:val="0"/>
                <w:sz w:val="22"/>
                <w:szCs w:val="22"/>
              </w:rPr>
            </w:pPr>
            <w:r>
              <w:rPr>
                <w:rFonts w:hint="eastAsia" w:ascii="宋体" w:hAnsi="宋体"/>
                <w:color w:val="auto"/>
                <w:kern w:val="0"/>
                <w:sz w:val="22"/>
                <w:szCs w:val="22"/>
              </w:rPr>
              <w:t>▲固态存储寿命</w:t>
            </w:r>
          </w:p>
        </w:tc>
        <w:tc>
          <w:tcPr>
            <w:tcW w:w="2735" w:type="pct"/>
            <w:tcBorders>
              <w:top w:val="single" w:color="auto" w:sz="4" w:space="0"/>
              <w:left w:val="single" w:color="auto" w:sz="4" w:space="0"/>
              <w:bottom w:val="single" w:color="auto" w:sz="4" w:space="0"/>
              <w:right w:val="single" w:color="auto" w:sz="4" w:space="0"/>
            </w:tcBorders>
            <w:vAlign w:val="center"/>
          </w:tcPr>
          <w:p w14:paraId="66170C29">
            <w:pPr>
              <w:widowControl/>
              <w:rPr>
                <w:rFonts w:ascii="宋体" w:hAnsi="宋体"/>
                <w:color w:val="auto"/>
                <w:kern w:val="0"/>
                <w:sz w:val="22"/>
                <w:szCs w:val="22"/>
              </w:rPr>
            </w:pPr>
            <w:r>
              <w:rPr>
                <w:rFonts w:hint="eastAsia" w:ascii="宋体" w:hAnsi="宋体"/>
                <w:color w:val="auto"/>
                <w:kern w:val="0"/>
                <w:sz w:val="22"/>
                <w:szCs w:val="22"/>
              </w:rPr>
              <w:t>TBW ≥ 150TB（条件：500G 硬盘容量）</w:t>
            </w:r>
          </w:p>
        </w:tc>
      </w:tr>
      <w:tr w14:paraId="7FBA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BEA9BB4">
            <w:pPr>
              <w:widowControl/>
              <w:rPr>
                <w:rFonts w:ascii="宋体" w:hAnsi="宋体"/>
                <w:color w:val="auto"/>
                <w:kern w:val="0"/>
                <w:sz w:val="22"/>
                <w:szCs w:val="22"/>
              </w:rPr>
            </w:pPr>
            <w:r>
              <w:rPr>
                <w:rFonts w:hint="eastAsia" w:ascii="宋体" w:hAnsi="宋体"/>
                <w:color w:val="auto"/>
                <w:kern w:val="0"/>
                <w:sz w:val="22"/>
                <w:szCs w:val="22"/>
              </w:rPr>
              <w:t>149</w:t>
            </w:r>
          </w:p>
        </w:tc>
        <w:tc>
          <w:tcPr>
            <w:tcW w:w="0" w:type="auto"/>
            <w:vMerge w:val="continue"/>
            <w:tcBorders>
              <w:top w:val="nil"/>
              <w:left w:val="single" w:color="auto" w:sz="4" w:space="0"/>
              <w:bottom w:val="single" w:color="auto" w:sz="4" w:space="0"/>
              <w:right w:val="single" w:color="auto" w:sz="4" w:space="0"/>
            </w:tcBorders>
            <w:vAlign w:val="center"/>
          </w:tcPr>
          <w:p w14:paraId="3596FD85">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B95E22E">
            <w:pPr>
              <w:widowControl/>
              <w:jc w:val="left"/>
              <w:rPr>
                <w:rFonts w:ascii="宋体" w:hAnsi="宋体"/>
                <w:color w:val="auto"/>
                <w:kern w:val="0"/>
                <w:sz w:val="22"/>
                <w:szCs w:val="22"/>
              </w:rPr>
            </w:pPr>
            <w:r>
              <w:rPr>
                <w:rFonts w:hint="eastAsia" w:ascii="宋体" w:hAnsi="宋体"/>
                <w:color w:val="auto"/>
                <w:kern w:val="0"/>
                <w:sz w:val="22"/>
                <w:szCs w:val="22"/>
              </w:rPr>
              <w:t>▲机械硬盘寿命</w:t>
            </w:r>
          </w:p>
        </w:tc>
        <w:tc>
          <w:tcPr>
            <w:tcW w:w="2735" w:type="pct"/>
            <w:tcBorders>
              <w:top w:val="single" w:color="auto" w:sz="4" w:space="0"/>
              <w:left w:val="single" w:color="auto" w:sz="4" w:space="0"/>
              <w:bottom w:val="single" w:color="auto" w:sz="4" w:space="0"/>
              <w:right w:val="single" w:color="auto" w:sz="4" w:space="0"/>
            </w:tcBorders>
            <w:vAlign w:val="center"/>
          </w:tcPr>
          <w:p w14:paraId="4F6F7258">
            <w:pPr>
              <w:widowControl/>
              <w:rPr>
                <w:rFonts w:ascii="宋体" w:hAnsi="宋体"/>
                <w:color w:val="auto"/>
                <w:kern w:val="0"/>
                <w:sz w:val="22"/>
                <w:szCs w:val="22"/>
              </w:rPr>
            </w:pPr>
            <w:r>
              <w:rPr>
                <w:rFonts w:hint="eastAsia" w:ascii="宋体" w:hAnsi="宋体"/>
                <w:color w:val="auto"/>
                <w:kern w:val="0"/>
                <w:sz w:val="22"/>
                <w:szCs w:val="22"/>
              </w:rPr>
              <w:t>通电时间≥5万小时</w:t>
            </w:r>
          </w:p>
        </w:tc>
      </w:tr>
      <w:tr w14:paraId="1899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CBA35FD">
            <w:pPr>
              <w:widowControl/>
              <w:rPr>
                <w:rFonts w:ascii="宋体" w:hAnsi="宋体"/>
                <w:color w:val="auto"/>
                <w:kern w:val="0"/>
                <w:sz w:val="22"/>
                <w:szCs w:val="22"/>
              </w:rPr>
            </w:pPr>
            <w:r>
              <w:rPr>
                <w:rFonts w:hint="eastAsia" w:ascii="宋体" w:hAnsi="宋体"/>
                <w:color w:val="auto"/>
                <w:kern w:val="0"/>
                <w:sz w:val="22"/>
                <w:szCs w:val="22"/>
              </w:rPr>
              <w:t>150</w:t>
            </w:r>
          </w:p>
        </w:tc>
        <w:tc>
          <w:tcPr>
            <w:tcW w:w="807" w:type="pct"/>
            <w:tcBorders>
              <w:top w:val="single" w:color="auto" w:sz="4" w:space="0"/>
              <w:left w:val="single" w:color="auto" w:sz="4" w:space="0"/>
              <w:bottom w:val="single" w:color="auto" w:sz="4" w:space="0"/>
              <w:right w:val="single" w:color="auto" w:sz="4" w:space="0"/>
            </w:tcBorders>
            <w:vAlign w:val="center"/>
          </w:tcPr>
          <w:p w14:paraId="552B0245">
            <w:pPr>
              <w:widowControl/>
              <w:rPr>
                <w:rFonts w:ascii="宋体" w:hAnsi="宋体"/>
                <w:color w:val="auto"/>
                <w:kern w:val="0"/>
                <w:sz w:val="22"/>
                <w:szCs w:val="22"/>
              </w:rPr>
            </w:pPr>
            <w:r>
              <w:rPr>
                <w:rFonts w:hint="eastAsia" w:ascii="宋体" w:hAnsi="宋体"/>
                <w:color w:val="auto"/>
                <w:kern w:val="0"/>
                <w:sz w:val="22"/>
                <w:szCs w:val="22"/>
              </w:rPr>
              <w:t>▲显示设备可靠性</w:t>
            </w:r>
          </w:p>
        </w:tc>
        <w:tc>
          <w:tcPr>
            <w:tcW w:w="1096" w:type="pct"/>
            <w:tcBorders>
              <w:top w:val="single" w:color="auto" w:sz="4" w:space="0"/>
              <w:left w:val="single" w:color="auto" w:sz="4" w:space="0"/>
              <w:bottom w:val="single" w:color="auto" w:sz="4" w:space="0"/>
              <w:right w:val="single" w:color="auto" w:sz="4" w:space="0"/>
            </w:tcBorders>
            <w:vAlign w:val="center"/>
          </w:tcPr>
          <w:p w14:paraId="153A826C">
            <w:pPr>
              <w:widowControl/>
              <w:jc w:val="left"/>
              <w:rPr>
                <w:rFonts w:ascii="宋体" w:hAnsi="宋体"/>
                <w:color w:val="auto"/>
                <w:kern w:val="0"/>
                <w:sz w:val="22"/>
                <w:szCs w:val="22"/>
              </w:rPr>
            </w:pPr>
            <w:r>
              <w:rPr>
                <w:rFonts w:hint="eastAsia" w:ascii="宋体" w:hAnsi="宋体"/>
                <w:color w:val="auto"/>
                <w:kern w:val="0"/>
                <w:sz w:val="22"/>
                <w:szCs w:val="22"/>
              </w:rPr>
              <w:t>▲显示屏屏幕失效点</w:t>
            </w:r>
          </w:p>
        </w:tc>
        <w:tc>
          <w:tcPr>
            <w:tcW w:w="2735" w:type="pct"/>
            <w:tcBorders>
              <w:top w:val="single" w:color="auto" w:sz="4" w:space="0"/>
              <w:left w:val="single" w:color="auto" w:sz="4" w:space="0"/>
              <w:bottom w:val="single" w:color="auto" w:sz="4" w:space="0"/>
              <w:right w:val="single" w:color="auto" w:sz="4" w:space="0"/>
            </w:tcBorders>
            <w:vAlign w:val="center"/>
          </w:tcPr>
          <w:p w14:paraId="59DC0B16">
            <w:pPr>
              <w:widowControl/>
              <w:rPr>
                <w:rFonts w:ascii="宋体" w:hAnsi="宋体"/>
                <w:color w:val="auto"/>
                <w:kern w:val="0"/>
                <w:sz w:val="22"/>
                <w:szCs w:val="22"/>
              </w:rPr>
            </w:pPr>
            <w:r>
              <w:rPr>
                <w:rFonts w:hint="eastAsia" w:ascii="宋体" w:hAnsi="宋体"/>
                <w:color w:val="auto"/>
                <w:kern w:val="0"/>
                <w:sz w:val="22"/>
                <w:szCs w:val="22"/>
              </w:rPr>
              <w:t>符合GB/T 9813.2的要求</w:t>
            </w:r>
          </w:p>
        </w:tc>
      </w:tr>
      <w:tr w14:paraId="126E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AACB194">
            <w:pPr>
              <w:widowControl/>
              <w:rPr>
                <w:rFonts w:ascii="宋体" w:hAnsi="宋体"/>
                <w:color w:val="auto"/>
                <w:kern w:val="0"/>
                <w:sz w:val="22"/>
                <w:szCs w:val="22"/>
              </w:rPr>
            </w:pPr>
            <w:r>
              <w:rPr>
                <w:rFonts w:hint="eastAsia" w:ascii="宋体" w:hAnsi="宋体"/>
                <w:color w:val="auto"/>
                <w:kern w:val="0"/>
                <w:sz w:val="22"/>
                <w:szCs w:val="22"/>
              </w:rPr>
              <w:t>151</w:t>
            </w:r>
          </w:p>
        </w:tc>
        <w:tc>
          <w:tcPr>
            <w:tcW w:w="807" w:type="pct"/>
            <w:vMerge w:val="restart"/>
            <w:tcBorders>
              <w:top w:val="nil"/>
              <w:left w:val="single" w:color="auto" w:sz="4" w:space="0"/>
              <w:bottom w:val="single" w:color="auto" w:sz="4" w:space="0"/>
              <w:right w:val="single" w:color="auto" w:sz="4" w:space="0"/>
            </w:tcBorders>
            <w:vAlign w:val="center"/>
          </w:tcPr>
          <w:p w14:paraId="14FF2B1E">
            <w:pPr>
              <w:widowControl/>
              <w:rPr>
                <w:rFonts w:ascii="宋体" w:hAnsi="宋体"/>
                <w:color w:val="auto"/>
                <w:kern w:val="0"/>
                <w:sz w:val="22"/>
                <w:szCs w:val="22"/>
              </w:rPr>
            </w:pPr>
            <w:r>
              <w:rPr>
                <w:rFonts w:hint="eastAsia" w:ascii="宋体" w:hAnsi="宋体"/>
                <w:color w:val="auto"/>
                <w:kern w:val="0"/>
                <w:sz w:val="22"/>
                <w:szCs w:val="22"/>
              </w:rPr>
              <w:t>▲外设可靠性</w:t>
            </w:r>
          </w:p>
        </w:tc>
        <w:tc>
          <w:tcPr>
            <w:tcW w:w="1096" w:type="pct"/>
            <w:tcBorders>
              <w:top w:val="single" w:color="auto" w:sz="4" w:space="0"/>
              <w:left w:val="single" w:color="auto" w:sz="4" w:space="0"/>
              <w:bottom w:val="single" w:color="auto" w:sz="4" w:space="0"/>
              <w:right w:val="single" w:color="auto" w:sz="4" w:space="0"/>
            </w:tcBorders>
            <w:vAlign w:val="center"/>
          </w:tcPr>
          <w:p w14:paraId="62EBE694">
            <w:pPr>
              <w:widowControl/>
              <w:jc w:val="left"/>
              <w:rPr>
                <w:rFonts w:ascii="宋体" w:hAnsi="宋体"/>
                <w:color w:val="auto"/>
                <w:kern w:val="0"/>
                <w:sz w:val="22"/>
                <w:szCs w:val="22"/>
              </w:rPr>
            </w:pPr>
            <w:r>
              <w:rPr>
                <w:rFonts w:hint="eastAsia" w:ascii="宋体" w:hAnsi="宋体"/>
                <w:color w:val="auto"/>
                <w:kern w:val="0"/>
                <w:sz w:val="22"/>
                <w:szCs w:val="22"/>
              </w:rPr>
              <w:t>▲键盘按键寿命</w:t>
            </w:r>
          </w:p>
        </w:tc>
        <w:tc>
          <w:tcPr>
            <w:tcW w:w="2735" w:type="pct"/>
            <w:tcBorders>
              <w:top w:val="single" w:color="auto" w:sz="4" w:space="0"/>
              <w:left w:val="single" w:color="auto" w:sz="4" w:space="0"/>
              <w:bottom w:val="single" w:color="auto" w:sz="4" w:space="0"/>
              <w:right w:val="single" w:color="auto" w:sz="4" w:space="0"/>
            </w:tcBorders>
            <w:vAlign w:val="center"/>
          </w:tcPr>
          <w:p w14:paraId="198497B1">
            <w:pPr>
              <w:widowControl/>
              <w:rPr>
                <w:rFonts w:ascii="宋体" w:hAnsi="宋体"/>
                <w:color w:val="auto"/>
                <w:kern w:val="0"/>
                <w:sz w:val="22"/>
                <w:szCs w:val="22"/>
              </w:rPr>
            </w:pPr>
            <w:r>
              <w:rPr>
                <w:rFonts w:hint="eastAsia" w:ascii="宋体" w:hAnsi="宋体"/>
                <w:color w:val="auto"/>
                <w:kern w:val="0"/>
                <w:sz w:val="22"/>
                <w:szCs w:val="22"/>
              </w:rPr>
              <w:t>≥1000万次</w:t>
            </w:r>
          </w:p>
        </w:tc>
      </w:tr>
      <w:tr w14:paraId="5FC7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04FB1BA">
            <w:pPr>
              <w:widowControl/>
              <w:rPr>
                <w:rFonts w:ascii="宋体" w:hAnsi="宋体"/>
                <w:color w:val="auto"/>
                <w:kern w:val="0"/>
                <w:sz w:val="22"/>
                <w:szCs w:val="22"/>
              </w:rPr>
            </w:pPr>
            <w:r>
              <w:rPr>
                <w:rFonts w:hint="eastAsia" w:ascii="宋体" w:hAnsi="宋体"/>
                <w:color w:val="auto"/>
                <w:kern w:val="0"/>
                <w:sz w:val="22"/>
                <w:szCs w:val="22"/>
              </w:rPr>
              <w:t>152</w:t>
            </w:r>
          </w:p>
        </w:tc>
        <w:tc>
          <w:tcPr>
            <w:tcW w:w="0" w:type="auto"/>
            <w:vMerge w:val="continue"/>
            <w:tcBorders>
              <w:top w:val="nil"/>
              <w:left w:val="single" w:color="auto" w:sz="4" w:space="0"/>
              <w:bottom w:val="single" w:color="auto" w:sz="4" w:space="0"/>
              <w:right w:val="single" w:color="auto" w:sz="4" w:space="0"/>
            </w:tcBorders>
            <w:vAlign w:val="center"/>
          </w:tcPr>
          <w:p w14:paraId="5BF5295D">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11CB1FE">
            <w:pPr>
              <w:widowControl/>
              <w:jc w:val="left"/>
              <w:rPr>
                <w:rFonts w:ascii="宋体" w:hAnsi="宋体"/>
                <w:color w:val="auto"/>
                <w:kern w:val="0"/>
                <w:sz w:val="22"/>
                <w:szCs w:val="22"/>
              </w:rPr>
            </w:pPr>
            <w:r>
              <w:rPr>
                <w:rFonts w:hint="eastAsia" w:ascii="宋体" w:hAnsi="宋体"/>
                <w:color w:val="auto"/>
                <w:kern w:val="0"/>
                <w:sz w:val="22"/>
                <w:szCs w:val="22"/>
              </w:rPr>
              <w:t>▲鼠标按键寿命</w:t>
            </w:r>
          </w:p>
        </w:tc>
        <w:tc>
          <w:tcPr>
            <w:tcW w:w="2735" w:type="pct"/>
            <w:tcBorders>
              <w:top w:val="single" w:color="auto" w:sz="4" w:space="0"/>
              <w:left w:val="single" w:color="auto" w:sz="4" w:space="0"/>
              <w:bottom w:val="single" w:color="auto" w:sz="4" w:space="0"/>
              <w:right w:val="single" w:color="auto" w:sz="4" w:space="0"/>
            </w:tcBorders>
            <w:vAlign w:val="center"/>
          </w:tcPr>
          <w:p w14:paraId="16DE3BFD">
            <w:pPr>
              <w:widowControl/>
              <w:rPr>
                <w:rFonts w:ascii="宋体" w:hAnsi="宋体"/>
                <w:color w:val="auto"/>
                <w:kern w:val="0"/>
                <w:sz w:val="22"/>
                <w:szCs w:val="22"/>
              </w:rPr>
            </w:pPr>
            <w:r>
              <w:rPr>
                <w:rFonts w:hint="eastAsia" w:ascii="宋体" w:hAnsi="宋体"/>
                <w:color w:val="auto"/>
                <w:kern w:val="0"/>
                <w:sz w:val="22"/>
                <w:szCs w:val="22"/>
              </w:rPr>
              <w:t>≥500万次</w:t>
            </w:r>
          </w:p>
        </w:tc>
      </w:tr>
      <w:tr w14:paraId="6F0F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55B02B6">
            <w:pPr>
              <w:widowControl/>
              <w:rPr>
                <w:rFonts w:ascii="宋体" w:hAnsi="宋体"/>
                <w:color w:val="auto"/>
                <w:kern w:val="0"/>
                <w:sz w:val="22"/>
                <w:szCs w:val="22"/>
              </w:rPr>
            </w:pPr>
            <w:r>
              <w:rPr>
                <w:rFonts w:hint="eastAsia" w:ascii="宋体" w:hAnsi="宋体"/>
                <w:color w:val="auto"/>
                <w:kern w:val="0"/>
                <w:sz w:val="22"/>
                <w:szCs w:val="22"/>
              </w:rPr>
              <w:t>153</w:t>
            </w:r>
          </w:p>
        </w:tc>
        <w:tc>
          <w:tcPr>
            <w:tcW w:w="0" w:type="auto"/>
            <w:vMerge w:val="continue"/>
            <w:tcBorders>
              <w:top w:val="nil"/>
              <w:left w:val="single" w:color="auto" w:sz="4" w:space="0"/>
              <w:bottom w:val="single" w:color="auto" w:sz="4" w:space="0"/>
              <w:right w:val="single" w:color="auto" w:sz="4" w:space="0"/>
            </w:tcBorders>
            <w:vAlign w:val="center"/>
          </w:tcPr>
          <w:p w14:paraId="355CCFB7">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229ADF7">
            <w:pPr>
              <w:widowControl/>
              <w:jc w:val="left"/>
              <w:rPr>
                <w:rFonts w:ascii="宋体" w:hAnsi="宋体"/>
                <w:color w:val="auto"/>
                <w:kern w:val="0"/>
                <w:sz w:val="22"/>
                <w:szCs w:val="22"/>
              </w:rPr>
            </w:pPr>
            <w:r>
              <w:rPr>
                <w:rFonts w:hint="eastAsia" w:ascii="宋体" w:hAnsi="宋体"/>
                <w:color w:val="auto"/>
                <w:kern w:val="0"/>
                <w:sz w:val="22"/>
                <w:szCs w:val="22"/>
              </w:rPr>
              <w:t>▲键盘鼠标线材寿命</w:t>
            </w:r>
          </w:p>
        </w:tc>
        <w:tc>
          <w:tcPr>
            <w:tcW w:w="2735" w:type="pct"/>
            <w:tcBorders>
              <w:top w:val="single" w:color="auto" w:sz="4" w:space="0"/>
              <w:left w:val="single" w:color="auto" w:sz="4" w:space="0"/>
              <w:bottom w:val="single" w:color="auto" w:sz="4" w:space="0"/>
              <w:right w:val="single" w:color="auto" w:sz="4" w:space="0"/>
            </w:tcBorders>
            <w:vAlign w:val="center"/>
          </w:tcPr>
          <w:p w14:paraId="448313A4">
            <w:pPr>
              <w:widowControl/>
              <w:rPr>
                <w:rFonts w:ascii="宋体" w:hAnsi="宋体"/>
                <w:color w:val="auto"/>
                <w:kern w:val="0"/>
                <w:sz w:val="22"/>
                <w:szCs w:val="22"/>
              </w:rPr>
            </w:pPr>
            <w:r>
              <w:rPr>
                <w:rFonts w:hint="eastAsia" w:ascii="宋体" w:hAnsi="宋体"/>
                <w:color w:val="auto"/>
                <w:kern w:val="0"/>
                <w:sz w:val="22"/>
                <w:szCs w:val="22"/>
              </w:rPr>
              <w:t>键盘鼠标所用线材经±60°弯折不低于3000次，功能、外观完好</w:t>
            </w:r>
          </w:p>
        </w:tc>
      </w:tr>
      <w:tr w14:paraId="06F7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67D2199">
            <w:pPr>
              <w:widowControl/>
              <w:rPr>
                <w:rFonts w:ascii="宋体" w:hAnsi="宋体"/>
                <w:color w:val="auto"/>
                <w:kern w:val="0"/>
                <w:sz w:val="22"/>
                <w:szCs w:val="22"/>
              </w:rPr>
            </w:pPr>
            <w:r>
              <w:rPr>
                <w:rFonts w:hint="eastAsia" w:ascii="宋体" w:hAnsi="宋体"/>
                <w:color w:val="auto"/>
                <w:kern w:val="0"/>
                <w:sz w:val="22"/>
                <w:szCs w:val="22"/>
              </w:rPr>
              <w:t>154</w:t>
            </w:r>
          </w:p>
        </w:tc>
        <w:tc>
          <w:tcPr>
            <w:tcW w:w="0" w:type="auto"/>
            <w:vMerge w:val="continue"/>
            <w:tcBorders>
              <w:top w:val="nil"/>
              <w:left w:val="single" w:color="auto" w:sz="4" w:space="0"/>
              <w:bottom w:val="single" w:color="auto" w:sz="4" w:space="0"/>
              <w:right w:val="single" w:color="auto" w:sz="4" w:space="0"/>
            </w:tcBorders>
            <w:vAlign w:val="center"/>
          </w:tcPr>
          <w:p w14:paraId="0D07F4B6">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88676D7">
            <w:pPr>
              <w:widowControl/>
              <w:jc w:val="left"/>
              <w:rPr>
                <w:rFonts w:ascii="宋体" w:hAnsi="宋体"/>
                <w:color w:val="auto"/>
                <w:kern w:val="0"/>
                <w:sz w:val="22"/>
                <w:szCs w:val="22"/>
              </w:rPr>
            </w:pPr>
            <w:r>
              <w:rPr>
                <w:rFonts w:hint="eastAsia" w:ascii="宋体" w:hAnsi="宋体"/>
                <w:color w:val="auto"/>
                <w:kern w:val="0"/>
                <w:sz w:val="22"/>
                <w:szCs w:val="22"/>
              </w:rPr>
              <w:t>▲风扇寿命</w:t>
            </w:r>
          </w:p>
        </w:tc>
        <w:tc>
          <w:tcPr>
            <w:tcW w:w="2735" w:type="pct"/>
            <w:tcBorders>
              <w:top w:val="single" w:color="auto" w:sz="4" w:space="0"/>
              <w:left w:val="single" w:color="auto" w:sz="4" w:space="0"/>
              <w:bottom w:val="single" w:color="auto" w:sz="4" w:space="0"/>
              <w:right w:val="single" w:color="auto" w:sz="4" w:space="0"/>
            </w:tcBorders>
            <w:vAlign w:val="center"/>
          </w:tcPr>
          <w:p w14:paraId="754AB6A2">
            <w:pPr>
              <w:widowControl/>
              <w:rPr>
                <w:rFonts w:ascii="宋体" w:hAnsi="宋体"/>
                <w:color w:val="auto"/>
                <w:kern w:val="0"/>
                <w:sz w:val="22"/>
                <w:szCs w:val="22"/>
              </w:rPr>
            </w:pPr>
            <w:r>
              <w:rPr>
                <w:rFonts w:hint="eastAsia" w:ascii="宋体" w:hAnsi="宋体"/>
                <w:color w:val="auto"/>
                <w:kern w:val="0"/>
                <w:sz w:val="22"/>
                <w:szCs w:val="22"/>
              </w:rPr>
              <w:t>≥4万小时</w:t>
            </w:r>
          </w:p>
        </w:tc>
      </w:tr>
      <w:tr w14:paraId="1DDD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6B4AF25">
            <w:pPr>
              <w:widowControl/>
              <w:rPr>
                <w:rFonts w:ascii="宋体" w:hAnsi="宋体"/>
                <w:color w:val="auto"/>
                <w:kern w:val="0"/>
                <w:sz w:val="22"/>
                <w:szCs w:val="22"/>
              </w:rPr>
            </w:pPr>
            <w:r>
              <w:rPr>
                <w:rFonts w:hint="eastAsia" w:ascii="宋体" w:hAnsi="宋体"/>
                <w:color w:val="auto"/>
                <w:kern w:val="0"/>
                <w:sz w:val="22"/>
                <w:szCs w:val="22"/>
              </w:rPr>
              <w:t>155</w:t>
            </w:r>
          </w:p>
        </w:tc>
        <w:tc>
          <w:tcPr>
            <w:tcW w:w="807" w:type="pct"/>
            <w:vMerge w:val="restart"/>
            <w:tcBorders>
              <w:top w:val="nil"/>
              <w:left w:val="single" w:color="auto" w:sz="4" w:space="0"/>
              <w:bottom w:val="single" w:color="auto" w:sz="4" w:space="0"/>
              <w:right w:val="single" w:color="auto" w:sz="4" w:space="0"/>
            </w:tcBorders>
            <w:vAlign w:val="center"/>
          </w:tcPr>
          <w:p w14:paraId="75EBAAD8">
            <w:pPr>
              <w:widowControl/>
              <w:rPr>
                <w:rFonts w:ascii="宋体" w:hAnsi="宋体"/>
                <w:color w:val="auto"/>
                <w:kern w:val="0"/>
                <w:sz w:val="22"/>
                <w:szCs w:val="22"/>
              </w:rPr>
            </w:pPr>
            <w:r>
              <w:rPr>
                <w:rFonts w:hint="eastAsia" w:ascii="宋体" w:hAnsi="宋体"/>
                <w:color w:val="auto"/>
                <w:kern w:val="0"/>
                <w:sz w:val="22"/>
                <w:szCs w:val="22"/>
              </w:rPr>
              <w:t>▲整机可靠性要求</w:t>
            </w:r>
          </w:p>
        </w:tc>
        <w:tc>
          <w:tcPr>
            <w:tcW w:w="1096" w:type="pct"/>
            <w:tcBorders>
              <w:top w:val="single" w:color="auto" w:sz="4" w:space="0"/>
              <w:left w:val="single" w:color="auto" w:sz="4" w:space="0"/>
              <w:bottom w:val="single" w:color="auto" w:sz="4" w:space="0"/>
              <w:right w:val="single" w:color="auto" w:sz="4" w:space="0"/>
            </w:tcBorders>
            <w:vAlign w:val="center"/>
          </w:tcPr>
          <w:p w14:paraId="64FBD219">
            <w:pPr>
              <w:widowControl/>
              <w:jc w:val="left"/>
              <w:rPr>
                <w:rFonts w:ascii="宋体" w:hAnsi="宋体"/>
                <w:color w:val="auto"/>
                <w:kern w:val="0"/>
                <w:sz w:val="22"/>
                <w:szCs w:val="22"/>
              </w:rPr>
            </w:pPr>
            <w:r>
              <w:rPr>
                <w:rFonts w:hint="eastAsia" w:ascii="宋体" w:hAnsi="宋体"/>
                <w:color w:val="auto"/>
                <w:kern w:val="0"/>
                <w:sz w:val="22"/>
                <w:szCs w:val="22"/>
              </w:rPr>
              <w:t>▲电磁兼容性要求的抗扰度</w:t>
            </w:r>
          </w:p>
        </w:tc>
        <w:tc>
          <w:tcPr>
            <w:tcW w:w="2735" w:type="pct"/>
            <w:tcBorders>
              <w:top w:val="single" w:color="auto" w:sz="4" w:space="0"/>
              <w:left w:val="single" w:color="auto" w:sz="4" w:space="0"/>
              <w:bottom w:val="single" w:color="auto" w:sz="4" w:space="0"/>
              <w:right w:val="single" w:color="auto" w:sz="4" w:space="0"/>
            </w:tcBorders>
            <w:vAlign w:val="center"/>
          </w:tcPr>
          <w:p w14:paraId="613956CC">
            <w:pPr>
              <w:widowControl/>
              <w:rPr>
                <w:rFonts w:ascii="宋体" w:hAnsi="宋体"/>
                <w:color w:val="auto"/>
                <w:kern w:val="0"/>
                <w:sz w:val="22"/>
                <w:szCs w:val="22"/>
              </w:rPr>
            </w:pPr>
            <w:r>
              <w:rPr>
                <w:rFonts w:hint="eastAsia" w:ascii="宋体" w:hAnsi="宋体"/>
                <w:color w:val="auto"/>
                <w:kern w:val="0"/>
                <w:sz w:val="22"/>
                <w:szCs w:val="22"/>
              </w:rPr>
              <w:t>符合GB/T 9254.2的规定</w:t>
            </w:r>
          </w:p>
        </w:tc>
      </w:tr>
      <w:tr w14:paraId="655D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C4C8934">
            <w:pPr>
              <w:widowControl/>
              <w:rPr>
                <w:rFonts w:ascii="宋体" w:hAnsi="宋体"/>
                <w:color w:val="auto"/>
                <w:kern w:val="0"/>
                <w:sz w:val="22"/>
                <w:szCs w:val="22"/>
              </w:rPr>
            </w:pPr>
            <w:r>
              <w:rPr>
                <w:rFonts w:hint="eastAsia" w:ascii="宋体" w:hAnsi="宋体"/>
                <w:color w:val="auto"/>
                <w:kern w:val="0"/>
                <w:sz w:val="22"/>
                <w:szCs w:val="22"/>
              </w:rPr>
              <w:t>156</w:t>
            </w:r>
          </w:p>
        </w:tc>
        <w:tc>
          <w:tcPr>
            <w:tcW w:w="0" w:type="auto"/>
            <w:vMerge w:val="continue"/>
            <w:tcBorders>
              <w:top w:val="nil"/>
              <w:left w:val="single" w:color="auto" w:sz="4" w:space="0"/>
              <w:bottom w:val="single" w:color="auto" w:sz="4" w:space="0"/>
              <w:right w:val="single" w:color="auto" w:sz="4" w:space="0"/>
            </w:tcBorders>
            <w:vAlign w:val="center"/>
          </w:tcPr>
          <w:p w14:paraId="007D35B4">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29808685">
            <w:pPr>
              <w:widowControl/>
              <w:jc w:val="left"/>
              <w:rPr>
                <w:rFonts w:ascii="宋体" w:hAnsi="宋体"/>
                <w:color w:val="auto"/>
                <w:kern w:val="0"/>
                <w:sz w:val="22"/>
                <w:szCs w:val="22"/>
              </w:rPr>
            </w:pPr>
            <w:r>
              <w:rPr>
                <w:rFonts w:hint="eastAsia" w:ascii="宋体" w:hAnsi="宋体"/>
                <w:color w:val="auto"/>
                <w:kern w:val="0"/>
                <w:sz w:val="22"/>
                <w:szCs w:val="22"/>
              </w:rPr>
              <w:t>▲环境条件要求的气候环境适应性</w:t>
            </w:r>
          </w:p>
        </w:tc>
        <w:tc>
          <w:tcPr>
            <w:tcW w:w="2735" w:type="pct"/>
            <w:tcBorders>
              <w:top w:val="single" w:color="auto" w:sz="4" w:space="0"/>
              <w:left w:val="single" w:color="auto" w:sz="4" w:space="0"/>
              <w:bottom w:val="single" w:color="auto" w:sz="4" w:space="0"/>
              <w:right w:val="single" w:color="auto" w:sz="4" w:space="0"/>
            </w:tcBorders>
            <w:vAlign w:val="center"/>
          </w:tcPr>
          <w:p w14:paraId="6BD264D0">
            <w:pPr>
              <w:widowControl/>
              <w:rPr>
                <w:rFonts w:ascii="宋体" w:hAnsi="宋体"/>
                <w:color w:val="auto"/>
                <w:kern w:val="0"/>
                <w:sz w:val="22"/>
                <w:szCs w:val="22"/>
              </w:rPr>
            </w:pPr>
            <w:r>
              <w:rPr>
                <w:rFonts w:hint="eastAsia" w:ascii="宋体" w:hAnsi="宋体"/>
                <w:color w:val="auto"/>
                <w:kern w:val="0"/>
                <w:sz w:val="22"/>
                <w:szCs w:val="22"/>
              </w:rPr>
              <w:t>符合GB/T 9813.1中规定</w:t>
            </w:r>
          </w:p>
        </w:tc>
      </w:tr>
      <w:tr w14:paraId="6166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BCE84DB">
            <w:pPr>
              <w:widowControl/>
              <w:rPr>
                <w:rFonts w:ascii="宋体" w:hAnsi="宋体"/>
                <w:color w:val="auto"/>
                <w:kern w:val="0"/>
                <w:sz w:val="22"/>
                <w:szCs w:val="22"/>
              </w:rPr>
            </w:pPr>
            <w:r>
              <w:rPr>
                <w:rFonts w:hint="eastAsia" w:ascii="宋体" w:hAnsi="宋体"/>
                <w:color w:val="auto"/>
                <w:kern w:val="0"/>
                <w:sz w:val="22"/>
                <w:szCs w:val="22"/>
              </w:rPr>
              <w:t>157</w:t>
            </w:r>
          </w:p>
        </w:tc>
        <w:tc>
          <w:tcPr>
            <w:tcW w:w="0" w:type="auto"/>
            <w:vMerge w:val="continue"/>
            <w:tcBorders>
              <w:top w:val="nil"/>
              <w:left w:val="single" w:color="auto" w:sz="4" w:space="0"/>
              <w:bottom w:val="single" w:color="auto" w:sz="4" w:space="0"/>
              <w:right w:val="single" w:color="auto" w:sz="4" w:space="0"/>
            </w:tcBorders>
            <w:vAlign w:val="center"/>
          </w:tcPr>
          <w:p w14:paraId="096D6283">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2F59AEC2">
            <w:pPr>
              <w:widowControl/>
              <w:jc w:val="left"/>
              <w:rPr>
                <w:rFonts w:ascii="宋体" w:hAnsi="宋体"/>
                <w:color w:val="auto"/>
                <w:kern w:val="0"/>
                <w:sz w:val="22"/>
                <w:szCs w:val="22"/>
              </w:rPr>
            </w:pPr>
            <w:r>
              <w:rPr>
                <w:rFonts w:hint="eastAsia" w:ascii="宋体" w:hAnsi="宋体"/>
                <w:color w:val="auto"/>
                <w:kern w:val="0"/>
                <w:sz w:val="22"/>
                <w:szCs w:val="22"/>
              </w:rPr>
              <w:t>▲环境条件要求的振动适应性</w:t>
            </w:r>
          </w:p>
        </w:tc>
        <w:tc>
          <w:tcPr>
            <w:tcW w:w="2735" w:type="pct"/>
            <w:tcBorders>
              <w:top w:val="single" w:color="auto" w:sz="4" w:space="0"/>
              <w:left w:val="single" w:color="auto" w:sz="4" w:space="0"/>
              <w:bottom w:val="single" w:color="auto" w:sz="4" w:space="0"/>
              <w:right w:val="single" w:color="auto" w:sz="4" w:space="0"/>
            </w:tcBorders>
            <w:vAlign w:val="center"/>
          </w:tcPr>
          <w:p w14:paraId="457E297B">
            <w:pPr>
              <w:widowControl/>
              <w:rPr>
                <w:rFonts w:ascii="宋体" w:hAnsi="宋体"/>
                <w:color w:val="auto"/>
                <w:kern w:val="0"/>
                <w:sz w:val="22"/>
                <w:szCs w:val="22"/>
              </w:rPr>
            </w:pPr>
            <w:r>
              <w:rPr>
                <w:rFonts w:hint="eastAsia" w:ascii="宋体" w:hAnsi="宋体"/>
                <w:color w:val="auto"/>
                <w:kern w:val="0"/>
                <w:sz w:val="22"/>
                <w:szCs w:val="22"/>
              </w:rPr>
              <w:t>符合GB/T 9813.1中规定</w:t>
            </w:r>
          </w:p>
        </w:tc>
      </w:tr>
      <w:tr w14:paraId="399A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F7348DC">
            <w:pPr>
              <w:widowControl/>
              <w:rPr>
                <w:rFonts w:ascii="宋体" w:hAnsi="宋体"/>
                <w:color w:val="auto"/>
                <w:kern w:val="0"/>
                <w:sz w:val="22"/>
                <w:szCs w:val="22"/>
              </w:rPr>
            </w:pPr>
            <w:r>
              <w:rPr>
                <w:rFonts w:hint="eastAsia" w:ascii="宋体" w:hAnsi="宋体"/>
                <w:color w:val="auto"/>
                <w:kern w:val="0"/>
                <w:sz w:val="22"/>
                <w:szCs w:val="22"/>
              </w:rPr>
              <w:t>158</w:t>
            </w:r>
          </w:p>
        </w:tc>
        <w:tc>
          <w:tcPr>
            <w:tcW w:w="0" w:type="auto"/>
            <w:vMerge w:val="continue"/>
            <w:tcBorders>
              <w:top w:val="nil"/>
              <w:left w:val="single" w:color="auto" w:sz="4" w:space="0"/>
              <w:bottom w:val="single" w:color="auto" w:sz="4" w:space="0"/>
              <w:right w:val="single" w:color="auto" w:sz="4" w:space="0"/>
            </w:tcBorders>
            <w:vAlign w:val="center"/>
          </w:tcPr>
          <w:p w14:paraId="6376C5DB">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5752297">
            <w:pPr>
              <w:widowControl/>
              <w:jc w:val="left"/>
              <w:rPr>
                <w:rFonts w:ascii="宋体" w:hAnsi="宋体"/>
                <w:color w:val="auto"/>
                <w:kern w:val="0"/>
                <w:sz w:val="22"/>
                <w:szCs w:val="22"/>
              </w:rPr>
            </w:pPr>
            <w:r>
              <w:rPr>
                <w:rFonts w:hint="eastAsia" w:ascii="宋体" w:hAnsi="宋体"/>
                <w:color w:val="auto"/>
                <w:kern w:val="0"/>
                <w:sz w:val="22"/>
                <w:szCs w:val="22"/>
              </w:rPr>
              <w:t>▲环境条件要求的冲击适应性</w:t>
            </w:r>
          </w:p>
        </w:tc>
        <w:tc>
          <w:tcPr>
            <w:tcW w:w="2735" w:type="pct"/>
            <w:tcBorders>
              <w:top w:val="single" w:color="auto" w:sz="4" w:space="0"/>
              <w:left w:val="single" w:color="auto" w:sz="4" w:space="0"/>
              <w:bottom w:val="single" w:color="auto" w:sz="4" w:space="0"/>
              <w:right w:val="single" w:color="auto" w:sz="4" w:space="0"/>
            </w:tcBorders>
            <w:vAlign w:val="center"/>
          </w:tcPr>
          <w:p w14:paraId="2359C265">
            <w:pPr>
              <w:widowControl/>
              <w:rPr>
                <w:rFonts w:ascii="宋体" w:hAnsi="宋体"/>
                <w:color w:val="auto"/>
                <w:kern w:val="0"/>
                <w:sz w:val="22"/>
                <w:szCs w:val="22"/>
              </w:rPr>
            </w:pPr>
            <w:r>
              <w:rPr>
                <w:rFonts w:hint="eastAsia" w:ascii="宋体" w:hAnsi="宋体"/>
                <w:color w:val="auto"/>
                <w:kern w:val="0"/>
                <w:sz w:val="22"/>
                <w:szCs w:val="22"/>
              </w:rPr>
              <w:t>符合GB/T9813.1中规定</w:t>
            </w:r>
          </w:p>
        </w:tc>
      </w:tr>
      <w:tr w14:paraId="02D7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827A34E">
            <w:pPr>
              <w:widowControl/>
              <w:rPr>
                <w:rFonts w:ascii="宋体" w:hAnsi="宋体"/>
                <w:color w:val="auto"/>
                <w:kern w:val="0"/>
                <w:sz w:val="22"/>
                <w:szCs w:val="22"/>
              </w:rPr>
            </w:pPr>
            <w:r>
              <w:rPr>
                <w:rFonts w:hint="eastAsia" w:ascii="宋体" w:hAnsi="宋体"/>
                <w:color w:val="auto"/>
                <w:kern w:val="0"/>
                <w:sz w:val="22"/>
                <w:szCs w:val="22"/>
              </w:rPr>
              <w:t>159</w:t>
            </w:r>
          </w:p>
        </w:tc>
        <w:tc>
          <w:tcPr>
            <w:tcW w:w="0" w:type="auto"/>
            <w:vMerge w:val="continue"/>
            <w:tcBorders>
              <w:top w:val="nil"/>
              <w:left w:val="single" w:color="auto" w:sz="4" w:space="0"/>
              <w:bottom w:val="single" w:color="auto" w:sz="4" w:space="0"/>
              <w:right w:val="single" w:color="auto" w:sz="4" w:space="0"/>
            </w:tcBorders>
            <w:vAlign w:val="center"/>
          </w:tcPr>
          <w:p w14:paraId="36785995">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43F2E6F9">
            <w:pPr>
              <w:widowControl/>
              <w:jc w:val="left"/>
              <w:rPr>
                <w:rFonts w:ascii="宋体" w:hAnsi="宋体"/>
                <w:color w:val="auto"/>
                <w:kern w:val="0"/>
                <w:sz w:val="22"/>
                <w:szCs w:val="22"/>
              </w:rPr>
            </w:pPr>
            <w:r>
              <w:rPr>
                <w:rFonts w:hint="eastAsia" w:ascii="宋体" w:hAnsi="宋体"/>
                <w:color w:val="auto"/>
                <w:kern w:val="0"/>
                <w:sz w:val="22"/>
                <w:szCs w:val="22"/>
              </w:rPr>
              <w:t>▲环境条件要求的碰撞适应性</w:t>
            </w:r>
          </w:p>
        </w:tc>
        <w:tc>
          <w:tcPr>
            <w:tcW w:w="2735" w:type="pct"/>
            <w:tcBorders>
              <w:top w:val="single" w:color="auto" w:sz="4" w:space="0"/>
              <w:left w:val="single" w:color="auto" w:sz="4" w:space="0"/>
              <w:bottom w:val="single" w:color="auto" w:sz="4" w:space="0"/>
              <w:right w:val="single" w:color="auto" w:sz="4" w:space="0"/>
            </w:tcBorders>
            <w:vAlign w:val="center"/>
          </w:tcPr>
          <w:p w14:paraId="4D54E588">
            <w:pPr>
              <w:widowControl/>
              <w:rPr>
                <w:rFonts w:ascii="宋体" w:hAnsi="宋体"/>
                <w:color w:val="auto"/>
                <w:kern w:val="0"/>
                <w:sz w:val="22"/>
                <w:szCs w:val="22"/>
              </w:rPr>
            </w:pPr>
            <w:r>
              <w:rPr>
                <w:rFonts w:hint="eastAsia" w:ascii="宋体" w:hAnsi="宋体"/>
                <w:color w:val="auto"/>
                <w:kern w:val="0"/>
                <w:sz w:val="22"/>
                <w:szCs w:val="22"/>
              </w:rPr>
              <w:t>符合GB/T9813.1中规定</w:t>
            </w:r>
          </w:p>
        </w:tc>
      </w:tr>
      <w:tr w14:paraId="275D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C317CA2">
            <w:pPr>
              <w:widowControl/>
              <w:rPr>
                <w:rFonts w:ascii="宋体" w:hAnsi="宋体"/>
                <w:color w:val="auto"/>
                <w:kern w:val="0"/>
                <w:sz w:val="22"/>
                <w:szCs w:val="22"/>
              </w:rPr>
            </w:pPr>
            <w:r>
              <w:rPr>
                <w:rFonts w:hint="eastAsia" w:ascii="宋体" w:hAnsi="宋体"/>
                <w:color w:val="auto"/>
                <w:kern w:val="0"/>
                <w:sz w:val="22"/>
                <w:szCs w:val="22"/>
              </w:rPr>
              <w:t>160</w:t>
            </w:r>
          </w:p>
        </w:tc>
        <w:tc>
          <w:tcPr>
            <w:tcW w:w="0" w:type="auto"/>
            <w:vMerge w:val="continue"/>
            <w:tcBorders>
              <w:top w:val="nil"/>
              <w:left w:val="single" w:color="auto" w:sz="4" w:space="0"/>
              <w:bottom w:val="single" w:color="auto" w:sz="4" w:space="0"/>
              <w:right w:val="single" w:color="auto" w:sz="4" w:space="0"/>
            </w:tcBorders>
            <w:vAlign w:val="center"/>
          </w:tcPr>
          <w:p w14:paraId="0B50A6C2">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36AC476">
            <w:pPr>
              <w:widowControl/>
              <w:jc w:val="left"/>
              <w:rPr>
                <w:rFonts w:ascii="宋体" w:hAnsi="宋体"/>
                <w:color w:val="auto"/>
                <w:kern w:val="0"/>
                <w:sz w:val="22"/>
                <w:szCs w:val="22"/>
              </w:rPr>
            </w:pPr>
            <w:r>
              <w:rPr>
                <w:rFonts w:hint="eastAsia" w:ascii="宋体" w:hAnsi="宋体"/>
                <w:color w:val="auto"/>
                <w:kern w:val="0"/>
                <w:sz w:val="22"/>
                <w:szCs w:val="22"/>
              </w:rPr>
              <w:t>▲环境条件要求的运输包装件跌落适应性</w:t>
            </w:r>
          </w:p>
        </w:tc>
        <w:tc>
          <w:tcPr>
            <w:tcW w:w="2735" w:type="pct"/>
            <w:tcBorders>
              <w:top w:val="single" w:color="auto" w:sz="4" w:space="0"/>
              <w:left w:val="single" w:color="auto" w:sz="4" w:space="0"/>
              <w:bottom w:val="single" w:color="auto" w:sz="4" w:space="0"/>
              <w:right w:val="single" w:color="auto" w:sz="4" w:space="0"/>
            </w:tcBorders>
            <w:vAlign w:val="center"/>
          </w:tcPr>
          <w:p w14:paraId="6BE35605">
            <w:pPr>
              <w:widowControl/>
              <w:rPr>
                <w:rFonts w:ascii="宋体" w:hAnsi="宋体"/>
                <w:color w:val="auto"/>
                <w:kern w:val="0"/>
                <w:sz w:val="22"/>
                <w:szCs w:val="22"/>
              </w:rPr>
            </w:pPr>
            <w:r>
              <w:rPr>
                <w:rFonts w:hint="eastAsia" w:ascii="宋体" w:hAnsi="宋体"/>
                <w:color w:val="auto"/>
                <w:kern w:val="0"/>
                <w:sz w:val="22"/>
                <w:szCs w:val="22"/>
              </w:rPr>
              <w:t>符合GB/T9813.1中规定</w:t>
            </w:r>
          </w:p>
        </w:tc>
      </w:tr>
      <w:tr w14:paraId="4541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DFE2411">
            <w:pPr>
              <w:widowControl/>
              <w:rPr>
                <w:rFonts w:ascii="宋体" w:hAnsi="宋体"/>
                <w:color w:val="auto"/>
                <w:kern w:val="0"/>
                <w:sz w:val="22"/>
                <w:szCs w:val="22"/>
              </w:rPr>
            </w:pPr>
            <w:r>
              <w:rPr>
                <w:rFonts w:hint="eastAsia" w:ascii="宋体" w:hAnsi="宋体"/>
                <w:color w:val="auto"/>
                <w:kern w:val="0"/>
                <w:sz w:val="22"/>
                <w:szCs w:val="22"/>
              </w:rPr>
              <w:t>161</w:t>
            </w:r>
          </w:p>
        </w:tc>
        <w:tc>
          <w:tcPr>
            <w:tcW w:w="0" w:type="auto"/>
            <w:vMerge w:val="continue"/>
            <w:tcBorders>
              <w:top w:val="nil"/>
              <w:left w:val="single" w:color="auto" w:sz="4" w:space="0"/>
              <w:bottom w:val="single" w:color="auto" w:sz="4" w:space="0"/>
              <w:right w:val="single" w:color="auto" w:sz="4" w:space="0"/>
            </w:tcBorders>
            <w:vAlign w:val="center"/>
          </w:tcPr>
          <w:p w14:paraId="4E16174B">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5CCE2F21">
            <w:pPr>
              <w:widowControl/>
              <w:jc w:val="left"/>
              <w:rPr>
                <w:rFonts w:ascii="宋体" w:hAnsi="宋体"/>
                <w:color w:val="auto"/>
                <w:kern w:val="0"/>
                <w:sz w:val="22"/>
                <w:szCs w:val="22"/>
              </w:rPr>
            </w:pPr>
            <w:r>
              <w:rPr>
                <w:rFonts w:hint="eastAsia" w:ascii="宋体" w:hAnsi="宋体"/>
                <w:color w:val="auto"/>
                <w:kern w:val="0"/>
                <w:sz w:val="22"/>
                <w:szCs w:val="22"/>
              </w:rPr>
              <w:t>▲MTBF测试</w:t>
            </w:r>
          </w:p>
        </w:tc>
        <w:tc>
          <w:tcPr>
            <w:tcW w:w="2735" w:type="pct"/>
            <w:tcBorders>
              <w:top w:val="single" w:color="auto" w:sz="4" w:space="0"/>
              <w:left w:val="single" w:color="auto" w:sz="4" w:space="0"/>
              <w:bottom w:val="single" w:color="auto" w:sz="4" w:space="0"/>
              <w:right w:val="single" w:color="auto" w:sz="4" w:space="0"/>
            </w:tcBorders>
            <w:vAlign w:val="center"/>
          </w:tcPr>
          <w:p w14:paraId="6B654F2D">
            <w:pPr>
              <w:widowControl/>
              <w:rPr>
                <w:rFonts w:ascii="宋体" w:hAnsi="宋体"/>
                <w:color w:val="auto"/>
                <w:kern w:val="0"/>
                <w:sz w:val="22"/>
                <w:szCs w:val="22"/>
              </w:rPr>
            </w:pPr>
            <w:r>
              <w:rPr>
                <w:rFonts w:hint="eastAsia" w:ascii="宋体" w:hAnsi="宋体"/>
                <w:color w:val="auto"/>
                <w:kern w:val="0"/>
                <w:sz w:val="22"/>
                <w:szCs w:val="22"/>
              </w:rPr>
              <w:t>MTBF(m1)≥3 万小时</w:t>
            </w:r>
          </w:p>
        </w:tc>
      </w:tr>
      <w:tr w14:paraId="32F8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5AC5F0A">
            <w:pPr>
              <w:widowControl/>
              <w:rPr>
                <w:rFonts w:ascii="宋体" w:hAnsi="宋体"/>
                <w:color w:val="auto"/>
                <w:kern w:val="0"/>
                <w:sz w:val="22"/>
                <w:szCs w:val="22"/>
              </w:rPr>
            </w:pPr>
            <w:r>
              <w:rPr>
                <w:rFonts w:hint="eastAsia" w:ascii="宋体" w:hAnsi="宋体"/>
                <w:color w:val="auto"/>
                <w:kern w:val="0"/>
                <w:sz w:val="22"/>
                <w:szCs w:val="22"/>
              </w:rPr>
              <w:t>162</w:t>
            </w:r>
          </w:p>
        </w:tc>
        <w:tc>
          <w:tcPr>
            <w:tcW w:w="807" w:type="pct"/>
            <w:vMerge w:val="restart"/>
            <w:tcBorders>
              <w:top w:val="nil"/>
              <w:left w:val="single" w:color="auto" w:sz="4" w:space="0"/>
              <w:bottom w:val="single" w:color="auto" w:sz="4" w:space="0"/>
              <w:right w:val="single" w:color="auto" w:sz="4" w:space="0"/>
            </w:tcBorders>
            <w:vAlign w:val="center"/>
          </w:tcPr>
          <w:p w14:paraId="3A1A0081">
            <w:pPr>
              <w:widowControl/>
              <w:rPr>
                <w:rFonts w:ascii="宋体" w:hAnsi="宋体"/>
                <w:color w:val="auto"/>
                <w:kern w:val="0"/>
                <w:sz w:val="22"/>
                <w:szCs w:val="22"/>
              </w:rPr>
            </w:pPr>
            <w:r>
              <w:rPr>
                <w:rFonts w:hint="eastAsia" w:ascii="宋体" w:hAnsi="宋体"/>
                <w:color w:val="auto"/>
                <w:kern w:val="0"/>
                <w:sz w:val="22"/>
                <w:szCs w:val="22"/>
              </w:rPr>
              <w:t>▲兼容要求</w:t>
            </w:r>
          </w:p>
        </w:tc>
        <w:tc>
          <w:tcPr>
            <w:tcW w:w="1096" w:type="pct"/>
            <w:tcBorders>
              <w:top w:val="single" w:color="auto" w:sz="4" w:space="0"/>
              <w:left w:val="single" w:color="auto" w:sz="4" w:space="0"/>
              <w:bottom w:val="single" w:color="auto" w:sz="4" w:space="0"/>
              <w:right w:val="single" w:color="auto" w:sz="4" w:space="0"/>
            </w:tcBorders>
            <w:vAlign w:val="center"/>
          </w:tcPr>
          <w:p w14:paraId="0DB3D881">
            <w:pPr>
              <w:widowControl/>
              <w:jc w:val="left"/>
              <w:rPr>
                <w:rFonts w:ascii="宋体" w:hAnsi="宋体"/>
                <w:color w:val="auto"/>
                <w:kern w:val="0"/>
                <w:sz w:val="22"/>
                <w:szCs w:val="22"/>
              </w:rPr>
            </w:pPr>
            <w:r>
              <w:rPr>
                <w:rFonts w:hint="eastAsia" w:ascii="宋体" w:hAnsi="宋体"/>
                <w:color w:val="auto"/>
                <w:kern w:val="0"/>
                <w:sz w:val="22"/>
                <w:szCs w:val="22"/>
              </w:rPr>
              <w:t>▲常用软件兼容</w:t>
            </w:r>
          </w:p>
        </w:tc>
        <w:tc>
          <w:tcPr>
            <w:tcW w:w="2735" w:type="pct"/>
            <w:tcBorders>
              <w:top w:val="single" w:color="auto" w:sz="4" w:space="0"/>
              <w:left w:val="single" w:color="auto" w:sz="4" w:space="0"/>
              <w:bottom w:val="single" w:color="auto" w:sz="4" w:space="0"/>
              <w:right w:val="single" w:color="auto" w:sz="4" w:space="0"/>
            </w:tcBorders>
            <w:vAlign w:val="center"/>
          </w:tcPr>
          <w:p w14:paraId="03E88087">
            <w:pPr>
              <w:widowControl/>
              <w:rPr>
                <w:rFonts w:ascii="宋体" w:hAnsi="宋体"/>
                <w:color w:val="auto"/>
                <w:kern w:val="0"/>
                <w:sz w:val="22"/>
                <w:szCs w:val="22"/>
              </w:rPr>
            </w:pPr>
            <w:r>
              <w:rPr>
                <w:rFonts w:hint="eastAsia" w:ascii="宋体" w:hAnsi="宋体"/>
                <w:color w:val="auto"/>
                <w:kern w:val="0"/>
                <w:sz w:val="22"/>
                <w:szCs w:val="22"/>
              </w:rPr>
              <w:t>支持流式软件、版式软件、浏览器、邮件采购人端、解压软件、多媒体、图形图像处理等常用软件</w:t>
            </w:r>
          </w:p>
        </w:tc>
      </w:tr>
      <w:tr w14:paraId="6096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A280269">
            <w:pPr>
              <w:widowControl/>
              <w:rPr>
                <w:rFonts w:ascii="宋体" w:hAnsi="宋体"/>
                <w:color w:val="auto"/>
                <w:kern w:val="0"/>
                <w:sz w:val="22"/>
                <w:szCs w:val="22"/>
              </w:rPr>
            </w:pPr>
            <w:r>
              <w:rPr>
                <w:rFonts w:hint="eastAsia" w:ascii="宋体" w:hAnsi="宋体"/>
                <w:color w:val="auto"/>
                <w:kern w:val="0"/>
                <w:sz w:val="22"/>
                <w:szCs w:val="22"/>
              </w:rPr>
              <w:t>163</w:t>
            </w:r>
          </w:p>
        </w:tc>
        <w:tc>
          <w:tcPr>
            <w:tcW w:w="0" w:type="auto"/>
            <w:vMerge w:val="continue"/>
            <w:tcBorders>
              <w:top w:val="nil"/>
              <w:left w:val="single" w:color="auto" w:sz="4" w:space="0"/>
              <w:bottom w:val="single" w:color="auto" w:sz="4" w:space="0"/>
              <w:right w:val="single" w:color="auto" w:sz="4" w:space="0"/>
            </w:tcBorders>
            <w:vAlign w:val="center"/>
          </w:tcPr>
          <w:p w14:paraId="316B49EC">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298F1A45">
            <w:pPr>
              <w:widowControl/>
              <w:jc w:val="left"/>
              <w:rPr>
                <w:rFonts w:ascii="宋体" w:hAnsi="宋体"/>
                <w:color w:val="auto"/>
                <w:kern w:val="0"/>
                <w:sz w:val="22"/>
                <w:szCs w:val="22"/>
              </w:rPr>
            </w:pPr>
            <w:r>
              <w:rPr>
                <w:rFonts w:hint="eastAsia" w:ascii="宋体" w:hAnsi="宋体"/>
                <w:color w:val="auto"/>
                <w:kern w:val="0"/>
                <w:sz w:val="22"/>
                <w:szCs w:val="22"/>
              </w:rPr>
              <w:t>▲数据库兼容</w:t>
            </w:r>
          </w:p>
        </w:tc>
        <w:tc>
          <w:tcPr>
            <w:tcW w:w="2735" w:type="pct"/>
            <w:tcBorders>
              <w:top w:val="single" w:color="auto" w:sz="4" w:space="0"/>
              <w:left w:val="single" w:color="auto" w:sz="4" w:space="0"/>
              <w:bottom w:val="single" w:color="auto" w:sz="4" w:space="0"/>
              <w:right w:val="single" w:color="auto" w:sz="4" w:space="0"/>
            </w:tcBorders>
            <w:vAlign w:val="center"/>
          </w:tcPr>
          <w:p w14:paraId="6DEE555F">
            <w:pPr>
              <w:widowControl/>
              <w:rPr>
                <w:rFonts w:ascii="宋体" w:hAnsi="宋体"/>
                <w:color w:val="auto"/>
                <w:kern w:val="0"/>
                <w:sz w:val="22"/>
                <w:szCs w:val="22"/>
              </w:rPr>
            </w:pPr>
            <w:r>
              <w:rPr>
                <w:rFonts w:hint="eastAsia" w:ascii="宋体" w:hAnsi="宋体"/>
                <w:color w:val="auto"/>
                <w:kern w:val="0"/>
                <w:sz w:val="22"/>
                <w:szCs w:val="22"/>
              </w:rPr>
              <w:t>兼容3个及以上厂商的数据库产品</w:t>
            </w:r>
          </w:p>
        </w:tc>
      </w:tr>
      <w:tr w14:paraId="7B2B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6749726">
            <w:pPr>
              <w:widowControl/>
              <w:rPr>
                <w:rFonts w:ascii="宋体" w:hAnsi="宋体"/>
                <w:color w:val="auto"/>
                <w:kern w:val="0"/>
                <w:sz w:val="22"/>
                <w:szCs w:val="22"/>
              </w:rPr>
            </w:pPr>
            <w:r>
              <w:rPr>
                <w:rFonts w:hint="eastAsia" w:ascii="宋体" w:hAnsi="宋体"/>
                <w:color w:val="auto"/>
                <w:kern w:val="0"/>
                <w:sz w:val="22"/>
                <w:szCs w:val="22"/>
              </w:rPr>
              <w:t>164</w:t>
            </w:r>
          </w:p>
        </w:tc>
        <w:tc>
          <w:tcPr>
            <w:tcW w:w="0" w:type="auto"/>
            <w:vMerge w:val="continue"/>
            <w:tcBorders>
              <w:top w:val="nil"/>
              <w:left w:val="single" w:color="auto" w:sz="4" w:space="0"/>
              <w:bottom w:val="single" w:color="auto" w:sz="4" w:space="0"/>
              <w:right w:val="single" w:color="auto" w:sz="4" w:space="0"/>
            </w:tcBorders>
            <w:vAlign w:val="center"/>
          </w:tcPr>
          <w:p w14:paraId="2C6009D0">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215A485F">
            <w:pPr>
              <w:widowControl/>
              <w:jc w:val="left"/>
              <w:rPr>
                <w:rFonts w:ascii="宋体" w:hAnsi="宋体"/>
                <w:color w:val="auto"/>
                <w:kern w:val="0"/>
                <w:sz w:val="22"/>
                <w:szCs w:val="22"/>
              </w:rPr>
            </w:pPr>
            <w:r>
              <w:rPr>
                <w:rFonts w:hint="eastAsia" w:ascii="宋体" w:hAnsi="宋体"/>
                <w:color w:val="auto"/>
                <w:kern w:val="0"/>
                <w:sz w:val="22"/>
                <w:szCs w:val="22"/>
              </w:rPr>
              <w:t>▲中间件兼容</w:t>
            </w:r>
          </w:p>
        </w:tc>
        <w:tc>
          <w:tcPr>
            <w:tcW w:w="2735" w:type="pct"/>
            <w:tcBorders>
              <w:top w:val="single" w:color="auto" w:sz="4" w:space="0"/>
              <w:left w:val="single" w:color="auto" w:sz="4" w:space="0"/>
              <w:bottom w:val="single" w:color="auto" w:sz="4" w:space="0"/>
              <w:right w:val="single" w:color="auto" w:sz="4" w:space="0"/>
            </w:tcBorders>
            <w:vAlign w:val="center"/>
          </w:tcPr>
          <w:p w14:paraId="5057246C">
            <w:pPr>
              <w:widowControl/>
              <w:rPr>
                <w:rFonts w:ascii="宋体" w:hAnsi="宋体"/>
                <w:color w:val="auto"/>
                <w:kern w:val="0"/>
                <w:sz w:val="22"/>
                <w:szCs w:val="22"/>
              </w:rPr>
            </w:pPr>
            <w:r>
              <w:rPr>
                <w:rFonts w:hint="eastAsia" w:ascii="宋体" w:hAnsi="宋体"/>
                <w:color w:val="auto"/>
                <w:kern w:val="0"/>
                <w:sz w:val="22"/>
                <w:szCs w:val="22"/>
              </w:rPr>
              <w:t>兼容3个及以上厂商中间件产品</w:t>
            </w:r>
          </w:p>
        </w:tc>
      </w:tr>
      <w:tr w14:paraId="70BF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7FC0E45">
            <w:pPr>
              <w:widowControl/>
              <w:rPr>
                <w:rFonts w:ascii="宋体" w:hAnsi="宋体"/>
                <w:color w:val="auto"/>
                <w:kern w:val="0"/>
                <w:sz w:val="22"/>
                <w:szCs w:val="22"/>
              </w:rPr>
            </w:pPr>
            <w:r>
              <w:rPr>
                <w:rFonts w:hint="eastAsia" w:ascii="宋体" w:hAnsi="宋体"/>
                <w:color w:val="auto"/>
                <w:kern w:val="0"/>
                <w:sz w:val="22"/>
                <w:szCs w:val="22"/>
              </w:rPr>
              <w:t>165</w:t>
            </w:r>
          </w:p>
        </w:tc>
        <w:tc>
          <w:tcPr>
            <w:tcW w:w="0" w:type="auto"/>
            <w:vMerge w:val="continue"/>
            <w:tcBorders>
              <w:top w:val="nil"/>
              <w:left w:val="single" w:color="auto" w:sz="4" w:space="0"/>
              <w:bottom w:val="single" w:color="auto" w:sz="4" w:space="0"/>
              <w:right w:val="single" w:color="auto" w:sz="4" w:space="0"/>
            </w:tcBorders>
            <w:vAlign w:val="center"/>
          </w:tcPr>
          <w:p w14:paraId="7F8445DC">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3E55FFE">
            <w:pPr>
              <w:widowControl/>
              <w:jc w:val="left"/>
              <w:rPr>
                <w:rFonts w:ascii="宋体" w:hAnsi="宋体"/>
                <w:color w:val="auto"/>
                <w:kern w:val="0"/>
                <w:sz w:val="22"/>
                <w:szCs w:val="22"/>
              </w:rPr>
            </w:pPr>
            <w:r>
              <w:rPr>
                <w:rFonts w:hint="eastAsia" w:ascii="宋体" w:hAnsi="宋体"/>
                <w:color w:val="auto"/>
                <w:kern w:val="0"/>
                <w:sz w:val="22"/>
                <w:szCs w:val="22"/>
              </w:rPr>
              <w:t>▲平台软件兼容</w:t>
            </w:r>
          </w:p>
        </w:tc>
        <w:tc>
          <w:tcPr>
            <w:tcW w:w="2735" w:type="pct"/>
            <w:tcBorders>
              <w:top w:val="single" w:color="auto" w:sz="4" w:space="0"/>
              <w:left w:val="single" w:color="auto" w:sz="4" w:space="0"/>
              <w:bottom w:val="single" w:color="auto" w:sz="4" w:space="0"/>
              <w:right w:val="single" w:color="auto" w:sz="4" w:space="0"/>
            </w:tcBorders>
            <w:vAlign w:val="center"/>
          </w:tcPr>
          <w:p w14:paraId="58F2C6FB">
            <w:pPr>
              <w:widowControl/>
              <w:rPr>
                <w:rFonts w:ascii="宋体" w:hAnsi="宋体"/>
                <w:color w:val="auto"/>
                <w:kern w:val="0"/>
                <w:sz w:val="22"/>
                <w:szCs w:val="22"/>
              </w:rPr>
            </w:pPr>
            <w:r>
              <w:rPr>
                <w:rFonts w:hint="eastAsia" w:ascii="宋体" w:hAnsi="宋体"/>
                <w:color w:val="auto"/>
                <w:kern w:val="0"/>
                <w:sz w:val="22"/>
                <w:szCs w:val="22"/>
              </w:rPr>
              <w:t>兼容3个及以上厂商云计算及大数据平台</w:t>
            </w:r>
          </w:p>
        </w:tc>
      </w:tr>
      <w:tr w14:paraId="064D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6E3DB1F">
            <w:pPr>
              <w:widowControl/>
              <w:rPr>
                <w:rFonts w:ascii="宋体" w:hAnsi="宋体"/>
                <w:color w:val="auto"/>
                <w:kern w:val="0"/>
                <w:sz w:val="22"/>
                <w:szCs w:val="22"/>
              </w:rPr>
            </w:pPr>
            <w:r>
              <w:rPr>
                <w:rFonts w:hint="eastAsia" w:ascii="宋体" w:hAnsi="宋体"/>
                <w:color w:val="auto"/>
                <w:kern w:val="0"/>
                <w:sz w:val="22"/>
                <w:szCs w:val="22"/>
              </w:rPr>
              <w:t>166</w:t>
            </w:r>
          </w:p>
        </w:tc>
        <w:tc>
          <w:tcPr>
            <w:tcW w:w="807" w:type="pct"/>
            <w:tcBorders>
              <w:top w:val="single" w:color="auto" w:sz="4" w:space="0"/>
              <w:left w:val="single" w:color="auto" w:sz="4" w:space="0"/>
              <w:bottom w:val="single" w:color="auto" w:sz="4" w:space="0"/>
              <w:right w:val="single" w:color="auto" w:sz="4" w:space="0"/>
            </w:tcBorders>
            <w:vAlign w:val="center"/>
          </w:tcPr>
          <w:p w14:paraId="156BC56E">
            <w:pPr>
              <w:widowControl/>
              <w:rPr>
                <w:rFonts w:ascii="宋体" w:hAnsi="宋体"/>
                <w:color w:val="auto"/>
                <w:kern w:val="0"/>
                <w:sz w:val="22"/>
                <w:szCs w:val="22"/>
              </w:rPr>
            </w:pPr>
            <w:r>
              <w:rPr>
                <w:rFonts w:hint="eastAsia" w:ascii="宋体" w:hAnsi="宋体"/>
                <w:color w:val="auto"/>
                <w:kern w:val="0"/>
                <w:sz w:val="22"/>
                <w:szCs w:val="22"/>
              </w:rPr>
              <w:t>▲包装及运输要求</w:t>
            </w:r>
          </w:p>
        </w:tc>
        <w:tc>
          <w:tcPr>
            <w:tcW w:w="1096" w:type="pct"/>
            <w:tcBorders>
              <w:top w:val="single" w:color="auto" w:sz="4" w:space="0"/>
              <w:left w:val="single" w:color="auto" w:sz="4" w:space="0"/>
              <w:bottom w:val="single" w:color="auto" w:sz="4" w:space="0"/>
              <w:right w:val="single" w:color="auto" w:sz="4" w:space="0"/>
            </w:tcBorders>
            <w:vAlign w:val="center"/>
          </w:tcPr>
          <w:p w14:paraId="1BD978BF">
            <w:pPr>
              <w:widowControl/>
              <w:jc w:val="left"/>
              <w:rPr>
                <w:rFonts w:ascii="宋体" w:hAnsi="宋体"/>
                <w:color w:val="auto"/>
                <w:kern w:val="0"/>
                <w:sz w:val="22"/>
                <w:szCs w:val="22"/>
              </w:rPr>
            </w:pPr>
            <w:r>
              <w:rPr>
                <w:rFonts w:hint="eastAsia" w:ascii="宋体" w:hAnsi="宋体"/>
                <w:color w:val="auto"/>
                <w:kern w:val="0"/>
                <w:sz w:val="22"/>
                <w:szCs w:val="22"/>
              </w:rPr>
              <w:t xml:space="preserve"> ▲标志、包装、运输和贮存</w:t>
            </w:r>
          </w:p>
        </w:tc>
        <w:tc>
          <w:tcPr>
            <w:tcW w:w="2735" w:type="pct"/>
            <w:tcBorders>
              <w:top w:val="single" w:color="auto" w:sz="4" w:space="0"/>
              <w:left w:val="single" w:color="auto" w:sz="4" w:space="0"/>
              <w:bottom w:val="single" w:color="auto" w:sz="4" w:space="0"/>
              <w:right w:val="single" w:color="auto" w:sz="4" w:space="0"/>
            </w:tcBorders>
            <w:vAlign w:val="center"/>
          </w:tcPr>
          <w:p w14:paraId="5C998A89">
            <w:pPr>
              <w:widowControl/>
              <w:rPr>
                <w:rFonts w:ascii="宋体" w:hAnsi="宋体"/>
                <w:color w:val="auto"/>
                <w:kern w:val="0"/>
                <w:sz w:val="22"/>
                <w:szCs w:val="22"/>
              </w:rPr>
            </w:pPr>
            <w:r>
              <w:rPr>
                <w:rFonts w:hint="eastAsia" w:ascii="宋体" w:hAnsi="宋体"/>
                <w:color w:val="auto"/>
                <w:kern w:val="0"/>
                <w:sz w:val="22"/>
                <w:szCs w:val="22"/>
              </w:rPr>
              <w:t>符合GB/T 9813.1和商品包装政府采购需求标准的相关规定</w:t>
            </w:r>
          </w:p>
        </w:tc>
      </w:tr>
      <w:tr w14:paraId="786C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75525C4">
            <w:pPr>
              <w:widowControl/>
              <w:rPr>
                <w:rFonts w:ascii="宋体" w:hAnsi="宋体"/>
                <w:color w:val="auto"/>
                <w:kern w:val="0"/>
                <w:sz w:val="22"/>
                <w:szCs w:val="22"/>
              </w:rPr>
            </w:pPr>
            <w:r>
              <w:rPr>
                <w:rFonts w:hint="eastAsia" w:ascii="宋体" w:hAnsi="宋体"/>
                <w:color w:val="auto"/>
                <w:kern w:val="0"/>
                <w:sz w:val="22"/>
                <w:szCs w:val="22"/>
              </w:rPr>
              <w:t>167</w:t>
            </w:r>
          </w:p>
        </w:tc>
        <w:tc>
          <w:tcPr>
            <w:tcW w:w="807" w:type="pct"/>
            <w:vMerge w:val="restart"/>
            <w:tcBorders>
              <w:top w:val="nil"/>
              <w:left w:val="single" w:color="auto" w:sz="4" w:space="0"/>
              <w:bottom w:val="single" w:color="auto" w:sz="4" w:space="0"/>
              <w:right w:val="single" w:color="auto" w:sz="4" w:space="0"/>
            </w:tcBorders>
            <w:vAlign w:val="center"/>
          </w:tcPr>
          <w:p w14:paraId="323B8BB7">
            <w:pPr>
              <w:widowControl/>
              <w:rPr>
                <w:rFonts w:ascii="宋体" w:hAnsi="宋体"/>
                <w:color w:val="auto"/>
                <w:kern w:val="0"/>
                <w:sz w:val="22"/>
                <w:szCs w:val="22"/>
              </w:rPr>
            </w:pPr>
            <w:r>
              <w:rPr>
                <w:rFonts w:hint="eastAsia" w:ascii="宋体" w:hAnsi="宋体"/>
                <w:color w:val="auto"/>
                <w:kern w:val="0"/>
                <w:sz w:val="22"/>
                <w:szCs w:val="22"/>
              </w:rPr>
              <w:t>服务要求</w:t>
            </w:r>
          </w:p>
        </w:tc>
        <w:tc>
          <w:tcPr>
            <w:tcW w:w="1096" w:type="pct"/>
            <w:tcBorders>
              <w:top w:val="single" w:color="auto" w:sz="4" w:space="0"/>
              <w:left w:val="single" w:color="auto" w:sz="4" w:space="0"/>
              <w:bottom w:val="single" w:color="auto" w:sz="4" w:space="0"/>
              <w:right w:val="single" w:color="auto" w:sz="4" w:space="0"/>
            </w:tcBorders>
            <w:vAlign w:val="center"/>
          </w:tcPr>
          <w:p w14:paraId="62F457A2">
            <w:pPr>
              <w:widowControl/>
              <w:jc w:val="left"/>
              <w:rPr>
                <w:rFonts w:ascii="宋体" w:hAnsi="宋体"/>
                <w:color w:val="auto"/>
                <w:kern w:val="0"/>
                <w:sz w:val="22"/>
                <w:szCs w:val="22"/>
              </w:rPr>
            </w:pPr>
            <w:r>
              <w:rPr>
                <w:rFonts w:hint="eastAsia" w:ascii="宋体" w:hAnsi="宋体"/>
                <w:color w:val="auto"/>
                <w:kern w:val="0"/>
                <w:sz w:val="22"/>
                <w:szCs w:val="22"/>
              </w:rPr>
              <w:t>▲配置检查工具</w:t>
            </w:r>
          </w:p>
        </w:tc>
        <w:tc>
          <w:tcPr>
            <w:tcW w:w="2735" w:type="pct"/>
            <w:tcBorders>
              <w:top w:val="single" w:color="auto" w:sz="4" w:space="0"/>
              <w:left w:val="single" w:color="auto" w:sz="4" w:space="0"/>
              <w:bottom w:val="single" w:color="auto" w:sz="4" w:space="0"/>
              <w:right w:val="single" w:color="auto" w:sz="4" w:space="0"/>
            </w:tcBorders>
            <w:vAlign w:val="center"/>
          </w:tcPr>
          <w:p w14:paraId="020885DB">
            <w:pPr>
              <w:widowControl/>
              <w:rPr>
                <w:rFonts w:ascii="宋体" w:hAnsi="宋体"/>
                <w:color w:val="auto"/>
                <w:kern w:val="0"/>
                <w:sz w:val="22"/>
                <w:szCs w:val="22"/>
              </w:rPr>
            </w:pPr>
            <w:r>
              <w:rPr>
                <w:rFonts w:hint="eastAsia" w:ascii="宋体" w:hAnsi="宋体"/>
                <w:color w:val="auto"/>
                <w:kern w:val="0"/>
                <w:sz w:val="22"/>
                <w:szCs w:val="22"/>
              </w:rPr>
              <w:t>供应商提供自检测试工具</w:t>
            </w:r>
          </w:p>
        </w:tc>
      </w:tr>
      <w:tr w14:paraId="37D0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1A9832E">
            <w:pPr>
              <w:widowControl/>
              <w:rPr>
                <w:rFonts w:ascii="宋体" w:hAnsi="宋体"/>
                <w:color w:val="auto"/>
                <w:kern w:val="0"/>
                <w:sz w:val="22"/>
                <w:szCs w:val="22"/>
              </w:rPr>
            </w:pPr>
            <w:r>
              <w:rPr>
                <w:rFonts w:hint="eastAsia" w:ascii="宋体" w:hAnsi="宋体"/>
                <w:color w:val="auto"/>
                <w:kern w:val="0"/>
                <w:sz w:val="22"/>
                <w:szCs w:val="22"/>
              </w:rPr>
              <w:t>168</w:t>
            </w:r>
          </w:p>
        </w:tc>
        <w:tc>
          <w:tcPr>
            <w:tcW w:w="0" w:type="auto"/>
            <w:vMerge w:val="continue"/>
            <w:tcBorders>
              <w:top w:val="nil"/>
              <w:left w:val="single" w:color="auto" w:sz="4" w:space="0"/>
              <w:bottom w:val="single" w:color="auto" w:sz="4" w:space="0"/>
              <w:right w:val="single" w:color="auto" w:sz="4" w:space="0"/>
            </w:tcBorders>
            <w:vAlign w:val="center"/>
          </w:tcPr>
          <w:p w14:paraId="0F91145A">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8F8C12B">
            <w:pPr>
              <w:widowControl/>
              <w:jc w:val="left"/>
              <w:rPr>
                <w:rFonts w:ascii="宋体" w:hAnsi="宋体"/>
                <w:color w:val="auto"/>
                <w:kern w:val="0"/>
                <w:sz w:val="22"/>
                <w:szCs w:val="22"/>
              </w:rPr>
            </w:pPr>
            <w:r>
              <w:rPr>
                <w:rFonts w:hint="eastAsia" w:ascii="宋体" w:hAnsi="宋体"/>
                <w:color w:val="auto"/>
                <w:kern w:val="0"/>
                <w:sz w:val="22"/>
                <w:szCs w:val="22"/>
              </w:rPr>
              <w:t>▲服务响应</w:t>
            </w:r>
          </w:p>
        </w:tc>
        <w:tc>
          <w:tcPr>
            <w:tcW w:w="2735" w:type="pct"/>
            <w:tcBorders>
              <w:top w:val="single" w:color="auto" w:sz="4" w:space="0"/>
              <w:left w:val="single" w:color="auto" w:sz="4" w:space="0"/>
              <w:bottom w:val="single" w:color="auto" w:sz="4" w:space="0"/>
              <w:right w:val="single" w:color="auto" w:sz="4" w:space="0"/>
            </w:tcBorders>
            <w:vAlign w:val="center"/>
          </w:tcPr>
          <w:p w14:paraId="306687C3">
            <w:pPr>
              <w:widowControl/>
              <w:rPr>
                <w:rFonts w:ascii="宋体" w:hAnsi="宋体"/>
                <w:color w:val="auto"/>
                <w:kern w:val="0"/>
                <w:sz w:val="22"/>
                <w:szCs w:val="22"/>
              </w:rPr>
            </w:pPr>
            <w:r>
              <w:rPr>
                <w:rFonts w:hint="eastAsia" w:ascii="宋体" w:hAnsi="宋体"/>
                <w:color w:val="auto"/>
                <w:kern w:val="0"/>
                <w:sz w:val="22"/>
                <w:szCs w:val="22"/>
              </w:rPr>
              <w:t>a)供应商提供电话、电子邮件、远程连接等多种形式服务；</w:t>
            </w:r>
            <w:r>
              <w:rPr>
                <w:rFonts w:hint="eastAsia" w:ascii="宋体" w:hAnsi="宋体"/>
                <w:color w:val="auto"/>
                <w:kern w:val="0"/>
                <w:sz w:val="22"/>
                <w:szCs w:val="22"/>
              </w:rPr>
              <w:br w:type="textWrapping"/>
            </w:r>
            <w:r>
              <w:rPr>
                <w:rFonts w:hint="eastAsia" w:ascii="宋体" w:hAnsi="宋体"/>
                <w:color w:val="auto"/>
                <w:kern w:val="0"/>
                <w:sz w:val="22"/>
                <w:szCs w:val="22"/>
              </w:rPr>
              <w:t xml:space="preserve">b)供应商提供同城4h、异地12h技术响应服务，2个工作日解决问题，对于未能解决的问题和故障应提供可行的升级方案，并提供周转设备或更换设备； </w:t>
            </w:r>
            <w:r>
              <w:rPr>
                <w:rFonts w:hint="eastAsia" w:ascii="宋体" w:hAnsi="宋体"/>
                <w:color w:val="auto"/>
                <w:kern w:val="0"/>
                <w:sz w:val="22"/>
                <w:szCs w:val="22"/>
              </w:rPr>
              <w:br w:type="textWrapping"/>
            </w:r>
            <w:r>
              <w:rPr>
                <w:rFonts w:hint="eastAsia" w:ascii="宋体" w:hAnsi="宋体"/>
                <w:color w:val="auto"/>
                <w:kern w:val="0"/>
                <w:sz w:val="22"/>
                <w:szCs w:val="22"/>
              </w:rPr>
              <w:t xml:space="preserve">c)建立全国技术服务体系和服务团体，符合专业服务体系标准要求，提供原厂中文服务； </w:t>
            </w:r>
            <w:r>
              <w:rPr>
                <w:rFonts w:hint="eastAsia" w:ascii="宋体" w:hAnsi="宋体"/>
                <w:color w:val="auto"/>
                <w:kern w:val="0"/>
                <w:sz w:val="22"/>
                <w:szCs w:val="22"/>
              </w:rPr>
              <w:br w:type="textWrapping"/>
            </w:r>
            <w:r>
              <w:rPr>
                <w:rFonts w:hint="eastAsia" w:ascii="宋体" w:hAnsi="宋体"/>
                <w:color w:val="auto"/>
                <w:kern w:val="0"/>
                <w:sz w:val="22"/>
                <w:szCs w:val="22"/>
              </w:rPr>
              <w:t>d)服务周期内提供产品的维修、换件和升级服务</w:t>
            </w:r>
          </w:p>
        </w:tc>
      </w:tr>
      <w:tr w14:paraId="271F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B32478F">
            <w:pPr>
              <w:widowControl/>
              <w:rPr>
                <w:rFonts w:ascii="宋体" w:hAnsi="宋体"/>
                <w:color w:val="auto"/>
                <w:kern w:val="0"/>
                <w:sz w:val="22"/>
                <w:szCs w:val="22"/>
              </w:rPr>
            </w:pPr>
            <w:r>
              <w:rPr>
                <w:rFonts w:hint="eastAsia" w:ascii="宋体" w:hAnsi="宋体"/>
                <w:color w:val="auto"/>
                <w:kern w:val="0"/>
                <w:sz w:val="22"/>
                <w:szCs w:val="22"/>
              </w:rPr>
              <w:t>169</w:t>
            </w:r>
          </w:p>
        </w:tc>
        <w:tc>
          <w:tcPr>
            <w:tcW w:w="0" w:type="auto"/>
            <w:vMerge w:val="continue"/>
            <w:tcBorders>
              <w:top w:val="nil"/>
              <w:left w:val="single" w:color="auto" w:sz="4" w:space="0"/>
              <w:bottom w:val="single" w:color="auto" w:sz="4" w:space="0"/>
              <w:right w:val="single" w:color="auto" w:sz="4" w:space="0"/>
            </w:tcBorders>
            <w:vAlign w:val="center"/>
          </w:tcPr>
          <w:p w14:paraId="37947B5F">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57D74148">
            <w:pPr>
              <w:widowControl/>
              <w:jc w:val="left"/>
              <w:textAlignment w:val="center"/>
              <w:rPr>
                <w:rFonts w:ascii="宋体" w:hAnsi="宋体"/>
                <w:color w:val="auto"/>
                <w:kern w:val="0"/>
                <w:sz w:val="22"/>
                <w:szCs w:val="22"/>
              </w:rPr>
            </w:pPr>
            <w:r>
              <w:rPr>
                <w:rFonts w:hint="eastAsia" w:ascii="宋体" w:hAnsi="宋体"/>
                <w:color w:val="auto"/>
                <w:kern w:val="0"/>
                <w:sz w:val="22"/>
                <w:szCs w:val="22"/>
              </w:rPr>
              <w:t>▲服务周期</w:t>
            </w:r>
          </w:p>
        </w:tc>
        <w:tc>
          <w:tcPr>
            <w:tcW w:w="2735" w:type="pct"/>
            <w:tcBorders>
              <w:top w:val="single" w:color="auto" w:sz="4" w:space="0"/>
              <w:left w:val="single" w:color="auto" w:sz="4" w:space="0"/>
              <w:bottom w:val="single" w:color="auto" w:sz="4" w:space="0"/>
              <w:right w:val="single" w:color="auto" w:sz="4" w:space="0"/>
            </w:tcBorders>
            <w:vAlign w:val="center"/>
          </w:tcPr>
          <w:p w14:paraId="5177EA0B">
            <w:pPr>
              <w:widowControl/>
              <w:textAlignment w:val="center"/>
              <w:rPr>
                <w:rFonts w:ascii="宋体" w:hAnsi="宋体"/>
                <w:color w:val="auto"/>
                <w:kern w:val="0"/>
                <w:sz w:val="22"/>
                <w:szCs w:val="22"/>
              </w:rPr>
            </w:pPr>
            <w:r>
              <w:rPr>
                <w:rFonts w:hint="eastAsia" w:ascii="宋体" w:hAnsi="宋体"/>
                <w:color w:val="auto"/>
                <w:kern w:val="0"/>
                <w:sz w:val="22"/>
                <w:szCs w:val="22"/>
              </w:rPr>
              <w:t>a) 设备停产后应继续提供质量保障服务（含备品备件），服务终止时间与最后一批设备交付时间间隔不低于</w:t>
            </w:r>
            <w:r>
              <w:rPr>
                <w:rFonts w:hint="eastAsia" w:ascii="宋体" w:hAnsi="宋体"/>
                <w:color w:val="auto"/>
                <w:kern w:val="0"/>
                <w:sz w:val="22"/>
                <w:szCs w:val="22"/>
                <w:lang w:val="en-US" w:eastAsia="zh-CN"/>
              </w:rPr>
              <w:t>5</w:t>
            </w:r>
            <w:r>
              <w:rPr>
                <w:rFonts w:hint="eastAsia" w:ascii="宋体" w:hAnsi="宋体"/>
                <w:color w:val="auto"/>
                <w:kern w:val="0"/>
                <w:sz w:val="22"/>
                <w:szCs w:val="22"/>
              </w:rPr>
              <w:t>年；  b) 产品停止服务时间应提前 1 年告知；c) 应明确产品发布日期</w:t>
            </w:r>
          </w:p>
        </w:tc>
      </w:tr>
      <w:tr w14:paraId="4966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61E7F0B">
            <w:pPr>
              <w:widowControl/>
              <w:rPr>
                <w:rFonts w:ascii="宋体" w:hAnsi="宋体"/>
                <w:color w:val="auto"/>
                <w:kern w:val="0"/>
                <w:sz w:val="22"/>
                <w:szCs w:val="22"/>
              </w:rPr>
            </w:pPr>
            <w:r>
              <w:rPr>
                <w:rFonts w:hint="eastAsia" w:ascii="宋体" w:hAnsi="宋体"/>
                <w:color w:val="auto"/>
                <w:kern w:val="0"/>
                <w:sz w:val="22"/>
                <w:szCs w:val="22"/>
              </w:rPr>
              <w:t>170</w:t>
            </w:r>
          </w:p>
        </w:tc>
        <w:tc>
          <w:tcPr>
            <w:tcW w:w="0" w:type="auto"/>
            <w:vMerge w:val="continue"/>
            <w:tcBorders>
              <w:top w:val="nil"/>
              <w:left w:val="single" w:color="auto" w:sz="4" w:space="0"/>
              <w:bottom w:val="single" w:color="auto" w:sz="4" w:space="0"/>
              <w:right w:val="single" w:color="auto" w:sz="4" w:space="0"/>
            </w:tcBorders>
            <w:vAlign w:val="center"/>
          </w:tcPr>
          <w:p w14:paraId="30F870BA">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2E255FE">
            <w:pPr>
              <w:widowControl/>
              <w:jc w:val="left"/>
              <w:rPr>
                <w:rFonts w:ascii="宋体" w:hAnsi="宋体"/>
                <w:color w:val="auto"/>
                <w:kern w:val="0"/>
                <w:sz w:val="22"/>
                <w:szCs w:val="22"/>
              </w:rPr>
            </w:pPr>
            <w:r>
              <w:rPr>
                <w:rFonts w:hint="eastAsia" w:ascii="宋体" w:hAnsi="宋体"/>
                <w:color w:val="auto"/>
                <w:kern w:val="0"/>
                <w:sz w:val="22"/>
                <w:szCs w:val="22"/>
              </w:rPr>
              <w:t>▲预装操作系统</w:t>
            </w:r>
          </w:p>
        </w:tc>
        <w:tc>
          <w:tcPr>
            <w:tcW w:w="2735" w:type="pct"/>
            <w:tcBorders>
              <w:top w:val="single" w:color="auto" w:sz="4" w:space="0"/>
              <w:left w:val="single" w:color="auto" w:sz="4" w:space="0"/>
              <w:bottom w:val="single" w:color="auto" w:sz="4" w:space="0"/>
              <w:right w:val="single" w:color="auto" w:sz="4" w:space="0"/>
            </w:tcBorders>
            <w:vAlign w:val="center"/>
          </w:tcPr>
          <w:p w14:paraId="32A052C9">
            <w:pPr>
              <w:widowControl/>
              <w:rPr>
                <w:rFonts w:ascii="宋体" w:hAnsi="宋体"/>
                <w:color w:val="auto"/>
                <w:kern w:val="0"/>
                <w:sz w:val="22"/>
                <w:szCs w:val="22"/>
              </w:rPr>
            </w:pPr>
            <w:r>
              <w:rPr>
                <w:rFonts w:hint="eastAsia" w:ascii="宋体" w:hAnsi="宋体"/>
                <w:color w:val="auto"/>
                <w:kern w:val="0"/>
                <w:sz w:val="22"/>
                <w:szCs w:val="22"/>
              </w:rPr>
              <w:t>预装符合桌面操作系统政府采购需求标准的正版操作系统（windows1</w:t>
            </w:r>
            <w:r>
              <w:rPr>
                <w:rFonts w:ascii="宋体" w:hAnsi="宋体"/>
                <w:color w:val="auto"/>
                <w:kern w:val="0"/>
                <w:sz w:val="22"/>
                <w:szCs w:val="22"/>
              </w:rPr>
              <w:t>1</w:t>
            </w:r>
            <w:r>
              <w:rPr>
                <w:rFonts w:hint="eastAsia" w:ascii="宋体" w:hAnsi="宋体"/>
                <w:color w:val="auto"/>
                <w:kern w:val="0"/>
                <w:sz w:val="22"/>
                <w:szCs w:val="22"/>
              </w:rPr>
              <w:t>及以上）</w:t>
            </w:r>
          </w:p>
        </w:tc>
      </w:tr>
      <w:tr w14:paraId="108C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7182041">
            <w:pPr>
              <w:widowControl/>
              <w:rPr>
                <w:rFonts w:ascii="宋体" w:hAnsi="宋体"/>
                <w:color w:val="auto"/>
                <w:kern w:val="0"/>
                <w:sz w:val="22"/>
                <w:szCs w:val="22"/>
              </w:rPr>
            </w:pPr>
            <w:r>
              <w:rPr>
                <w:rFonts w:hint="eastAsia" w:ascii="宋体" w:hAnsi="宋体"/>
                <w:color w:val="auto"/>
                <w:kern w:val="0"/>
                <w:sz w:val="22"/>
                <w:szCs w:val="22"/>
              </w:rPr>
              <w:t>171</w:t>
            </w:r>
          </w:p>
        </w:tc>
        <w:tc>
          <w:tcPr>
            <w:tcW w:w="0" w:type="auto"/>
            <w:vMerge w:val="continue"/>
            <w:tcBorders>
              <w:top w:val="nil"/>
              <w:left w:val="single" w:color="auto" w:sz="4" w:space="0"/>
              <w:bottom w:val="single" w:color="auto" w:sz="4" w:space="0"/>
              <w:right w:val="single" w:color="auto" w:sz="4" w:space="0"/>
            </w:tcBorders>
            <w:vAlign w:val="center"/>
          </w:tcPr>
          <w:p w14:paraId="0C96A08A">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1CBD1EE">
            <w:pPr>
              <w:widowControl/>
              <w:jc w:val="left"/>
              <w:rPr>
                <w:rFonts w:ascii="宋体" w:hAnsi="宋体"/>
                <w:color w:val="auto"/>
                <w:kern w:val="0"/>
                <w:sz w:val="22"/>
                <w:szCs w:val="22"/>
              </w:rPr>
            </w:pPr>
            <w:r>
              <w:rPr>
                <w:rFonts w:hint="eastAsia" w:ascii="宋体" w:hAnsi="宋体"/>
                <w:color w:val="auto"/>
                <w:kern w:val="0"/>
                <w:sz w:val="22"/>
                <w:szCs w:val="22"/>
              </w:rPr>
              <w:t>▲培训服务</w:t>
            </w:r>
          </w:p>
        </w:tc>
        <w:tc>
          <w:tcPr>
            <w:tcW w:w="2735" w:type="pct"/>
            <w:tcBorders>
              <w:top w:val="single" w:color="auto" w:sz="4" w:space="0"/>
              <w:left w:val="single" w:color="auto" w:sz="4" w:space="0"/>
              <w:bottom w:val="single" w:color="auto" w:sz="4" w:space="0"/>
              <w:right w:val="single" w:color="auto" w:sz="4" w:space="0"/>
            </w:tcBorders>
            <w:vAlign w:val="center"/>
          </w:tcPr>
          <w:p w14:paraId="2D27E21A">
            <w:pPr>
              <w:widowControl/>
              <w:rPr>
                <w:rFonts w:ascii="宋体" w:hAnsi="宋体"/>
                <w:color w:val="auto"/>
                <w:kern w:val="0"/>
                <w:sz w:val="22"/>
                <w:szCs w:val="22"/>
              </w:rPr>
            </w:pPr>
            <w:r>
              <w:rPr>
                <w:rFonts w:hint="eastAsia" w:ascii="宋体" w:hAnsi="宋体"/>
                <w:color w:val="auto"/>
                <w:kern w:val="0"/>
                <w:sz w:val="22"/>
                <w:szCs w:val="22"/>
              </w:rPr>
              <w:t>供应商提供培训材料、产品手册、培训视频等培训相关内容</w:t>
            </w:r>
          </w:p>
        </w:tc>
      </w:tr>
      <w:tr w14:paraId="041C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C58D9AE">
            <w:pPr>
              <w:widowControl/>
              <w:rPr>
                <w:rFonts w:ascii="宋体" w:hAnsi="宋体"/>
                <w:color w:val="auto"/>
                <w:kern w:val="0"/>
                <w:sz w:val="22"/>
                <w:szCs w:val="22"/>
              </w:rPr>
            </w:pPr>
            <w:r>
              <w:rPr>
                <w:rFonts w:hint="eastAsia" w:ascii="宋体" w:hAnsi="宋体"/>
                <w:color w:val="auto"/>
                <w:kern w:val="0"/>
                <w:sz w:val="22"/>
                <w:szCs w:val="22"/>
              </w:rPr>
              <w:t>172</w:t>
            </w:r>
          </w:p>
        </w:tc>
        <w:tc>
          <w:tcPr>
            <w:tcW w:w="0" w:type="auto"/>
            <w:vMerge w:val="continue"/>
            <w:tcBorders>
              <w:top w:val="nil"/>
              <w:left w:val="single" w:color="auto" w:sz="4" w:space="0"/>
              <w:bottom w:val="single" w:color="auto" w:sz="4" w:space="0"/>
              <w:right w:val="single" w:color="auto" w:sz="4" w:space="0"/>
            </w:tcBorders>
            <w:vAlign w:val="center"/>
          </w:tcPr>
          <w:p w14:paraId="2BA5B4AA">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588FDDFF">
            <w:pPr>
              <w:widowControl/>
              <w:jc w:val="left"/>
              <w:rPr>
                <w:rFonts w:ascii="宋体" w:hAnsi="宋体"/>
                <w:color w:val="auto"/>
                <w:kern w:val="0"/>
                <w:sz w:val="22"/>
                <w:szCs w:val="22"/>
              </w:rPr>
            </w:pPr>
            <w:r>
              <w:rPr>
                <w:rFonts w:hint="eastAsia" w:ascii="宋体" w:hAnsi="宋体"/>
                <w:color w:val="auto"/>
                <w:kern w:val="0"/>
                <w:sz w:val="22"/>
                <w:szCs w:val="22"/>
              </w:rPr>
              <w:t>▲典型问题解决手册</w:t>
            </w:r>
          </w:p>
        </w:tc>
        <w:tc>
          <w:tcPr>
            <w:tcW w:w="2735" w:type="pct"/>
            <w:tcBorders>
              <w:top w:val="single" w:color="auto" w:sz="4" w:space="0"/>
              <w:left w:val="single" w:color="auto" w:sz="4" w:space="0"/>
              <w:bottom w:val="single" w:color="auto" w:sz="4" w:space="0"/>
              <w:right w:val="single" w:color="auto" w:sz="4" w:space="0"/>
            </w:tcBorders>
            <w:vAlign w:val="center"/>
          </w:tcPr>
          <w:p w14:paraId="3EF8DD5D">
            <w:pPr>
              <w:widowControl/>
              <w:rPr>
                <w:rFonts w:ascii="宋体" w:hAnsi="宋体"/>
                <w:color w:val="auto"/>
                <w:kern w:val="0"/>
                <w:sz w:val="22"/>
                <w:szCs w:val="22"/>
              </w:rPr>
            </w:pPr>
            <w:r>
              <w:rPr>
                <w:rFonts w:hint="eastAsia" w:ascii="宋体" w:hAnsi="宋体"/>
                <w:color w:val="auto"/>
                <w:kern w:val="0"/>
                <w:sz w:val="22"/>
                <w:szCs w:val="22"/>
              </w:rPr>
              <w:t>供应商提供典型问题解决说明文档或视频</w:t>
            </w:r>
          </w:p>
        </w:tc>
      </w:tr>
      <w:tr w14:paraId="2B94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EB69005">
            <w:pPr>
              <w:widowControl/>
              <w:rPr>
                <w:rFonts w:ascii="宋体" w:hAnsi="宋体"/>
                <w:color w:val="auto"/>
                <w:kern w:val="0"/>
                <w:sz w:val="22"/>
                <w:szCs w:val="22"/>
              </w:rPr>
            </w:pPr>
            <w:r>
              <w:rPr>
                <w:rFonts w:hint="eastAsia" w:ascii="宋体" w:hAnsi="宋体"/>
                <w:color w:val="auto"/>
                <w:kern w:val="0"/>
                <w:sz w:val="22"/>
                <w:szCs w:val="22"/>
              </w:rPr>
              <w:t>173</w:t>
            </w:r>
          </w:p>
        </w:tc>
        <w:tc>
          <w:tcPr>
            <w:tcW w:w="0" w:type="auto"/>
            <w:vMerge w:val="continue"/>
            <w:tcBorders>
              <w:top w:val="nil"/>
              <w:left w:val="single" w:color="auto" w:sz="4" w:space="0"/>
              <w:bottom w:val="single" w:color="auto" w:sz="4" w:space="0"/>
              <w:right w:val="single" w:color="auto" w:sz="4" w:space="0"/>
            </w:tcBorders>
            <w:vAlign w:val="center"/>
          </w:tcPr>
          <w:p w14:paraId="5C279B7D">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0E79FE4A">
            <w:pPr>
              <w:widowControl/>
              <w:jc w:val="left"/>
              <w:rPr>
                <w:rFonts w:ascii="宋体" w:hAnsi="宋体"/>
                <w:color w:val="auto"/>
                <w:kern w:val="0"/>
                <w:sz w:val="22"/>
                <w:szCs w:val="22"/>
              </w:rPr>
            </w:pPr>
            <w:r>
              <w:rPr>
                <w:rFonts w:hint="eastAsia" w:ascii="宋体" w:hAnsi="宋体"/>
                <w:color w:val="auto"/>
                <w:kern w:val="0"/>
                <w:sz w:val="22"/>
                <w:szCs w:val="22"/>
              </w:rPr>
              <w:t>▲厂家升级软件与扩容服务</w:t>
            </w:r>
          </w:p>
        </w:tc>
        <w:tc>
          <w:tcPr>
            <w:tcW w:w="2735" w:type="pct"/>
            <w:tcBorders>
              <w:top w:val="single" w:color="auto" w:sz="4" w:space="0"/>
              <w:left w:val="single" w:color="auto" w:sz="4" w:space="0"/>
              <w:bottom w:val="single" w:color="auto" w:sz="4" w:space="0"/>
              <w:right w:val="single" w:color="auto" w:sz="4" w:space="0"/>
            </w:tcBorders>
            <w:vAlign w:val="center"/>
          </w:tcPr>
          <w:p w14:paraId="3688FE51">
            <w:pPr>
              <w:widowControl/>
              <w:rPr>
                <w:rFonts w:ascii="宋体" w:hAnsi="宋体"/>
                <w:color w:val="auto"/>
                <w:kern w:val="0"/>
                <w:sz w:val="22"/>
                <w:szCs w:val="22"/>
              </w:rPr>
            </w:pPr>
            <w:r>
              <w:rPr>
                <w:rFonts w:hint="eastAsia" w:ascii="宋体" w:hAnsi="宋体"/>
                <w:color w:val="auto"/>
                <w:kern w:val="0"/>
                <w:sz w:val="22"/>
                <w:szCs w:val="22"/>
              </w:rPr>
              <w:t>供应商提供上门升级部件/软件与扩容的增值服务</w:t>
            </w:r>
          </w:p>
        </w:tc>
      </w:tr>
      <w:tr w14:paraId="4C76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35F29C0">
            <w:pPr>
              <w:widowControl/>
              <w:rPr>
                <w:rFonts w:ascii="宋体" w:hAnsi="宋体"/>
                <w:color w:val="auto"/>
                <w:kern w:val="0"/>
                <w:sz w:val="22"/>
                <w:szCs w:val="22"/>
              </w:rPr>
            </w:pPr>
            <w:r>
              <w:rPr>
                <w:rFonts w:hint="eastAsia" w:ascii="宋体" w:hAnsi="宋体"/>
                <w:color w:val="auto"/>
                <w:kern w:val="0"/>
                <w:sz w:val="22"/>
                <w:szCs w:val="22"/>
              </w:rPr>
              <w:t>174</w:t>
            </w:r>
          </w:p>
        </w:tc>
        <w:tc>
          <w:tcPr>
            <w:tcW w:w="0" w:type="auto"/>
            <w:vMerge w:val="continue"/>
            <w:tcBorders>
              <w:top w:val="nil"/>
              <w:left w:val="single" w:color="auto" w:sz="4" w:space="0"/>
              <w:bottom w:val="single" w:color="auto" w:sz="4" w:space="0"/>
              <w:right w:val="single" w:color="auto" w:sz="4" w:space="0"/>
            </w:tcBorders>
            <w:vAlign w:val="center"/>
          </w:tcPr>
          <w:p w14:paraId="677B8362">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35361FC">
            <w:pPr>
              <w:widowControl/>
              <w:jc w:val="left"/>
              <w:rPr>
                <w:rFonts w:ascii="宋体" w:hAnsi="宋体"/>
                <w:color w:val="auto"/>
                <w:kern w:val="0"/>
                <w:sz w:val="22"/>
                <w:szCs w:val="22"/>
              </w:rPr>
            </w:pPr>
            <w:r>
              <w:rPr>
                <w:rFonts w:hint="eastAsia" w:ascii="宋体" w:hAnsi="宋体"/>
                <w:color w:val="auto"/>
                <w:kern w:val="0"/>
                <w:sz w:val="22"/>
                <w:szCs w:val="22"/>
              </w:rPr>
              <w:t>▲整机质量服务要求</w:t>
            </w:r>
          </w:p>
        </w:tc>
        <w:tc>
          <w:tcPr>
            <w:tcW w:w="2735" w:type="pct"/>
            <w:tcBorders>
              <w:top w:val="single" w:color="auto" w:sz="4" w:space="0"/>
              <w:left w:val="single" w:color="auto" w:sz="4" w:space="0"/>
              <w:bottom w:val="single" w:color="auto" w:sz="4" w:space="0"/>
              <w:right w:val="single" w:color="auto" w:sz="4" w:space="0"/>
            </w:tcBorders>
            <w:vAlign w:val="center"/>
          </w:tcPr>
          <w:p w14:paraId="798C181A">
            <w:pPr>
              <w:widowControl/>
              <w:rPr>
                <w:rFonts w:ascii="宋体" w:hAnsi="宋体"/>
                <w:color w:val="auto"/>
                <w:kern w:val="0"/>
                <w:sz w:val="22"/>
                <w:szCs w:val="22"/>
              </w:rPr>
            </w:pPr>
            <w:r>
              <w:rPr>
                <w:rFonts w:hint="eastAsia" w:ascii="宋体" w:hAnsi="宋体"/>
                <w:color w:val="auto"/>
                <w:kern w:val="0"/>
                <w:sz w:val="22"/>
                <w:szCs w:val="22"/>
              </w:rPr>
              <w:t xml:space="preserve">所投产品都必须是正规渠道出货且为整机出厂，产品号及型号都必须一致，按照供货商保修至少 </w:t>
            </w:r>
            <w:r>
              <w:rPr>
                <w:rFonts w:hint="eastAsia" w:ascii="宋体" w:hAnsi="宋体"/>
                <w:color w:val="auto"/>
                <w:kern w:val="0"/>
                <w:sz w:val="22"/>
                <w:szCs w:val="22"/>
                <w:lang w:val="en-US" w:eastAsia="zh-CN"/>
              </w:rPr>
              <w:t>5</w:t>
            </w:r>
            <w:r>
              <w:rPr>
                <w:rFonts w:hint="eastAsia" w:ascii="宋体" w:hAnsi="宋体"/>
                <w:color w:val="auto"/>
                <w:kern w:val="0"/>
                <w:sz w:val="22"/>
                <w:szCs w:val="22"/>
              </w:rPr>
              <w:t>年以上，供应商必须包含所有安装、调试及所需要的配件、材料（所有教室均需重新制作水晶头，并做网络测试和设备调试，如有损坏的电源线和网线均需免费更换）；投标产品可通过原厂质保商厂商的官方网站或 800 电话查询其设备保修为用户要求的保修。</w:t>
            </w:r>
          </w:p>
          <w:p w14:paraId="2D4BEB41">
            <w:pPr>
              <w:widowControl/>
              <w:rPr>
                <w:rFonts w:ascii="宋体" w:hAnsi="宋体"/>
                <w:color w:val="auto"/>
                <w:kern w:val="0"/>
                <w:sz w:val="22"/>
                <w:szCs w:val="22"/>
              </w:rPr>
            </w:pPr>
            <w:r>
              <w:rPr>
                <w:rFonts w:hint="eastAsia" w:ascii="宋体" w:hAnsi="宋体"/>
                <w:color w:val="auto"/>
                <w:kern w:val="0"/>
                <w:sz w:val="22"/>
                <w:szCs w:val="22"/>
              </w:rPr>
              <w:t>维保期内每学期初，免费开展一次软硬件巡检升级，并出具相应报告。</w:t>
            </w:r>
          </w:p>
        </w:tc>
      </w:tr>
      <w:tr w14:paraId="2FC2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34888BD">
            <w:pPr>
              <w:widowControl/>
              <w:rPr>
                <w:rFonts w:ascii="宋体" w:hAnsi="宋体"/>
                <w:color w:val="auto"/>
                <w:kern w:val="0"/>
                <w:sz w:val="22"/>
                <w:szCs w:val="22"/>
              </w:rPr>
            </w:pPr>
            <w:r>
              <w:rPr>
                <w:rFonts w:hint="eastAsia" w:ascii="宋体" w:hAnsi="宋体"/>
                <w:color w:val="auto"/>
                <w:kern w:val="0"/>
                <w:sz w:val="22"/>
                <w:szCs w:val="22"/>
              </w:rPr>
              <w:t>175</w:t>
            </w:r>
          </w:p>
        </w:tc>
        <w:tc>
          <w:tcPr>
            <w:tcW w:w="0" w:type="auto"/>
            <w:vMerge w:val="continue"/>
            <w:tcBorders>
              <w:top w:val="nil"/>
              <w:left w:val="single" w:color="auto" w:sz="4" w:space="0"/>
              <w:bottom w:val="single" w:color="auto" w:sz="4" w:space="0"/>
              <w:right w:val="single" w:color="auto" w:sz="4" w:space="0"/>
            </w:tcBorders>
            <w:vAlign w:val="center"/>
          </w:tcPr>
          <w:p w14:paraId="629531A7">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B7387F2">
            <w:pPr>
              <w:widowControl/>
              <w:jc w:val="left"/>
              <w:rPr>
                <w:rFonts w:ascii="宋体" w:hAnsi="宋体"/>
                <w:color w:val="auto"/>
                <w:kern w:val="0"/>
                <w:sz w:val="22"/>
                <w:szCs w:val="22"/>
              </w:rPr>
            </w:pPr>
            <w:r>
              <w:rPr>
                <w:rFonts w:hint="eastAsia" w:ascii="宋体" w:hAnsi="宋体"/>
                <w:color w:val="auto"/>
                <w:kern w:val="0"/>
                <w:sz w:val="22"/>
                <w:szCs w:val="22"/>
              </w:rPr>
              <w:t>▲合格证书要求</w:t>
            </w:r>
          </w:p>
        </w:tc>
        <w:tc>
          <w:tcPr>
            <w:tcW w:w="2735" w:type="pct"/>
            <w:tcBorders>
              <w:top w:val="single" w:color="auto" w:sz="4" w:space="0"/>
              <w:left w:val="single" w:color="auto" w:sz="4" w:space="0"/>
              <w:bottom w:val="single" w:color="auto" w:sz="4" w:space="0"/>
              <w:right w:val="single" w:color="auto" w:sz="4" w:space="0"/>
            </w:tcBorders>
            <w:vAlign w:val="center"/>
          </w:tcPr>
          <w:p w14:paraId="245C274E">
            <w:pPr>
              <w:widowControl/>
              <w:rPr>
                <w:rFonts w:ascii="宋体" w:hAnsi="宋体"/>
                <w:color w:val="auto"/>
                <w:kern w:val="0"/>
                <w:sz w:val="22"/>
                <w:szCs w:val="22"/>
              </w:rPr>
            </w:pPr>
            <w:r>
              <w:rPr>
                <w:rFonts w:hint="eastAsia" w:ascii="宋体" w:hAnsi="宋体"/>
                <w:color w:val="auto"/>
                <w:kern w:val="0"/>
                <w:sz w:val="22"/>
                <w:szCs w:val="22"/>
              </w:rPr>
              <w:t>供应商提供产品合格证。</w:t>
            </w:r>
          </w:p>
        </w:tc>
      </w:tr>
      <w:tr w14:paraId="4366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B5C9792">
            <w:pPr>
              <w:widowControl/>
              <w:rPr>
                <w:rFonts w:ascii="宋体" w:hAnsi="宋体"/>
                <w:color w:val="auto"/>
                <w:kern w:val="0"/>
                <w:sz w:val="22"/>
                <w:szCs w:val="22"/>
              </w:rPr>
            </w:pPr>
            <w:r>
              <w:rPr>
                <w:rFonts w:hint="eastAsia" w:ascii="宋体" w:hAnsi="宋体"/>
                <w:color w:val="auto"/>
                <w:kern w:val="0"/>
                <w:sz w:val="22"/>
                <w:szCs w:val="22"/>
              </w:rPr>
              <w:t>176</w:t>
            </w:r>
          </w:p>
        </w:tc>
        <w:tc>
          <w:tcPr>
            <w:tcW w:w="0" w:type="auto"/>
            <w:vMerge w:val="continue"/>
            <w:tcBorders>
              <w:top w:val="nil"/>
              <w:left w:val="single" w:color="auto" w:sz="4" w:space="0"/>
              <w:bottom w:val="single" w:color="auto" w:sz="4" w:space="0"/>
              <w:right w:val="single" w:color="auto" w:sz="4" w:space="0"/>
            </w:tcBorders>
            <w:vAlign w:val="center"/>
          </w:tcPr>
          <w:p w14:paraId="579385E3">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0B901832">
            <w:pPr>
              <w:widowControl/>
              <w:jc w:val="left"/>
              <w:rPr>
                <w:rFonts w:ascii="宋体" w:hAnsi="宋体"/>
                <w:color w:val="auto"/>
                <w:kern w:val="0"/>
                <w:sz w:val="22"/>
                <w:szCs w:val="22"/>
              </w:rPr>
            </w:pPr>
            <w:r>
              <w:rPr>
                <w:rFonts w:hint="eastAsia" w:ascii="宋体" w:hAnsi="宋体"/>
                <w:color w:val="auto"/>
                <w:kern w:val="0"/>
                <w:sz w:val="22"/>
                <w:szCs w:val="22"/>
              </w:rPr>
              <w:t>▲开箱组装/使用指导要求</w:t>
            </w:r>
          </w:p>
        </w:tc>
        <w:tc>
          <w:tcPr>
            <w:tcW w:w="2735" w:type="pct"/>
            <w:tcBorders>
              <w:top w:val="single" w:color="auto" w:sz="4" w:space="0"/>
              <w:left w:val="single" w:color="auto" w:sz="4" w:space="0"/>
              <w:bottom w:val="single" w:color="auto" w:sz="4" w:space="0"/>
              <w:right w:val="single" w:color="auto" w:sz="4" w:space="0"/>
            </w:tcBorders>
            <w:vAlign w:val="center"/>
          </w:tcPr>
          <w:p w14:paraId="46B8BF9D">
            <w:pPr>
              <w:widowControl/>
              <w:rPr>
                <w:rFonts w:ascii="宋体" w:hAnsi="宋体"/>
                <w:color w:val="auto"/>
                <w:kern w:val="0"/>
                <w:sz w:val="22"/>
                <w:szCs w:val="22"/>
              </w:rPr>
            </w:pPr>
            <w:r>
              <w:rPr>
                <w:rFonts w:hint="eastAsia" w:ascii="宋体" w:hAnsi="宋体"/>
                <w:color w:val="auto"/>
                <w:kern w:val="0"/>
                <w:sz w:val="22"/>
                <w:szCs w:val="22"/>
              </w:rPr>
              <w:t>供应商提供开箱组装/使用指导</w:t>
            </w:r>
          </w:p>
        </w:tc>
      </w:tr>
      <w:tr w14:paraId="5E47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9215BF6">
            <w:pPr>
              <w:widowControl/>
              <w:rPr>
                <w:rFonts w:ascii="宋体" w:hAnsi="宋体"/>
                <w:color w:val="auto"/>
                <w:kern w:val="0"/>
                <w:sz w:val="22"/>
                <w:szCs w:val="22"/>
              </w:rPr>
            </w:pPr>
            <w:r>
              <w:rPr>
                <w:rFonts w:hint="eastAsia" w:ascii="宋体" w:hAnsi="宋体"/>
                <w:color w:val="auto"/>
                <w:kern w:val="0"/>
                <w:sz w:val="22"/>
                <w:szCs w:val="22"/>
              </w:rPr>
              <w:t>177</w:t>
            </w:r>
          </w:p>
        </w:tc>
        <w:tc>
          <w:tcPr>
            <w:tcW w:w="0" w:type="auto"/>
            <w:vMerge w:val="continue"/>
            <w:tcBorders>
              <w:top w:val="nil"/>
              <w:left w:val="single" w:color="auto" w:sz="4" w:space="0"/>
              <w:bottom w:val="single" w:color="auto" w:sz="4" w:space="0"/>
              <w:right w:val="single" w:color="auto" w:sz="4" w:space="0"/>
            </w:tcBorders>
            <w:vAlign w:val="center"/>
          </w:tcPr>
          <w:p w14:paraId="4ED26E23">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3736E15">
            <w:pPr>
              <w:widowControl/>
              <w:jc w:val="left"/>
              <w:rPr>
                <w:rFonts w:ascii="宋体" w:hAnsi="宋体"/>
                <w:color w:val="auto"/>
                <w:kern w:val="0"/>
                <w:sz w:val="22"/>
                <w:szCs w:val="22"/>
              </w:rPr>
            </w:pPr>
            <w:r>
              <w:rPr>
                <w:rFonts w:hint="eastAsia" w:ascii="宋体" w:hAnsi="宋体"/>
                <w:color w:val="auto"/>
                <w:kern w:val="0"/>
                <w:sz w:val="22"/>
                <w:szCs w:val="22"/>
              </w:rPr>
              <w:t>▲驱动下载服务要求</w:t>
            </w:r>
          </w:p>
        </w:tc>
        <w:tc>
          <w:tcPr>
            <w:tcW w:w="2735" w:type="pct"/>
            <w:tcBorders>
              <w:top w:val="single" w:color="auto" w:sz="4" w:space="0"/>
              <w:left w:val="single" w:color="auto" w:sz="4" w:space="0"/>
              <w:bottom w:val="single" w:color="auto" w:sz="4" w:space="0"/>
              <w:right w:val="single" w:color="auto" w:sz="4" w:space="0"/>
            </w:tcBorders>
            <w:vAlign w:val="center"/>
          </w:tcPr>
          <w:p w14:paraId="185B5E2C">
            <w:pPr>
              <w:widowControl/>
              <w:rPr>
                <w:rFonts w:ascii="宋体" w:hAnsi="宋体"/>
                <w:color w:val="auto"/>
                <w:kern w:val="0"/>
                <w:sz w:val="22"/>
                <w:szCs w:val="22"/>
              </w:rPr>
            </w:pPr>
            <w:r>
              <w:rPr>
                <w:rFonts w:hint="eastAsia" w:ascii="宋体" w:hAnsi="宋体"/>
                <w:color w:val="auto"/>
                <w:kern w:val="0"/>
                <w:sz w:val="22"/>
                <w:szCs w:val="22"/>
              </w:rPr>
              <w:t>供应商提供驱动光盘或下载方式</w:t>
            </w:r>
          </w:p>
        </w:tc>
      </w:tr>
      <w:tr w14:paraId="7D9F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3C00202">
            <w:pPr>
              <w:widowControl/>
              <w:rPr>
                <w:rFonts w:ascii="宋体" w:hAnsi="宋体"/>
                <w:color w:val="auto"/>
                <w:kern w:val="0"/>
                <w:sz w:val="22"/>
                <w:szCs w:val="22"/>
              </w:rPr>
            </w:pPr>
            <w:r>
              <w:rPr>
                <w:rFonts w:hint="eastAsia" w:ascii="宋体" w:hAnsi="宋体"/>
                <w:color w:val="auto"/>
                <w:kern w:val="0"/>
                <w:sz w:val="22"/>
                <w:szCs w:val="22"/>
              </w:rPr>
              <w:t>178</w:t>
            </w:r>
          </w:p>
        </w:tc>
        <w:tc>
          <w:tcPr>
            <w:tcW w:w="0" w:type="auto"/>
            <w:vMerge w:val="continue"/>
            <w:tcBorders>
              <w:top w:val="nil"/>
              <w:left w:val="single" w:color="auto" w:sz="4" w:space="0"/>
              <w:bottom w:val="single" w:color="auto" w:sz="4" w:space="0"/>
              <w:right w:val="single" w:color="auto" w:sz="4" w:space="0"/>
            </w:tcBorders>
            <w:vAlign w:val="center"/>
          </w:tcPr>
          <w:p w14:paraId="3BA68A94">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B717E28">
            <w:pPr>
              <w:widowControl/>
              <w:jc w:val="left"/>
              <w:rPr>
                <w:rFonts w:ascii="宋体" w:hAnsi="宋体"/>
                <w:color w:val="auto"/>
                <w:kern w:val="0"/>
                <w:sz w:val="22"/>
                <w:szCs w:val="22"/>
              </w:rPr>
            </w:pPr>
            <w:r>
              <w:rPr>
                <w:rFonts w:hint="eastAsia" w:ascii="宋体" w:hAnsi="宋体"/>
                <w:color w:val="auto"/>
                <w:kern w:val="0"/>
                <w:sz w:val="22"/>
                <w:szCs w:val="22"/>
              </w:rPr>
              <w:t>▲兼容适配软件下载服务要求</w:t>
            </w:r>
          </w:p>
        </w:tc>
        <w:tc>
          <w:tcPr>
            <w:tcW w:w="2735" w:type="pct"/>
            <w:tcBorders>
              <w:top w:val="single" w:color="auto" w:sz="4" w:space="0"/>
              <w:left w:val="single" w:color="auto" w:sz="4" w:space="0"/>
              <w:bottom w:val="single" w:color="auto" w:sz="4" w:space="0"/>
              <w:right w:val="single" w:color="auto" w:sz="4" w:space="0"/>
            </w:tcBorders>
            <w:vAlign w:val="center"/>
          </w:tcPr>
          <w:p w14:paraId="49191C25">
            <w:pPr>
              <w:widowControl/>
              <w:rPr>
                <w:rFonts w:ascii="宋体" w:hAnsi="宋体"/>
                <w:color w:val="auto"/>
                <w:kern w:val="0"/>
                <w:sz w:val="22"/>
                <w:szCs w:val="22"/>
              </w:rPr>
            </w:pPr>
            <w:r>
              <w:rPr>
                <w:rFonts w:hint="eastAsia" w:ascii="宋体" w:hAnsi="宋体"/>
                <w:color w:val="auto"/>
                <w:kern w:val="0"/>
                <w:sz w:val="22"/>
                <w:szCs w:val="22"/>
              </w:rPr>
              <w:t>供应商提供兼容适配软件下载渠道（光盘、网站）</w:t>
            </w:r>
          </w:p>
        </w:tc>
      </w:tr>
      <w:tr w14:paraId="75D1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99EB09C">
            <w:pPr>
              <w:widowControl/>
              <w:rPr>
                <w:rFonts w:ascii="宋体" w:hAnsi="宋体"/>
                <w:color w:val="auto"/>
                <w:kern w:val="0"/>
                <w:sz w:val="22"/>
                <w:szCs w:val="22"/>
              </w:rPr>
            </w:pPr>
            <w:r>
              <w:rPr>
                <w:rFonts w:hint="eastAsia" w:ascii="宋体" w:hAnsi="宋体"/>
                <w:color w:val="auto"/>
                <w:kern w:val="0"/>
                <w:sz w:val="22"/>
                <w:szCs w:val="22"/>
              </w:rPr>
              <w:t>179</w:t>
            </w:r>
          </w:p>
        </w:tc>
        <w:tc>
          <w:tcPr>
            <w:tcW w:w="0" w:type="auto"/>
            <w:vMerge w:val="continue"/>
            <w:tcBorders>
              <w:top w:val="nil"/>
              <w:left w:val="single" w:color="auto" w:sz="4" w:space="0"/>
              <w:bottom w:val="single" w:color="auto" w:sz="4" w:space="0"/>
              <w:right w:val="single" w:color="auto" w:sz="4" w:space="0"/>
            </w:tcBorders>
            <w:vAlign w:val="center"/>
          </w:tcPr>
          <w:p w14:paraId="7D661020">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1C2A68B8">
            <w:pPr>
              <w:widowControl/>
              <w:jc w:val="left"/>
              <w:rPr>
                <w:rFonts w:ascii="宋体" w:hAnsi="宋体"/>
                <w:color w:val="auto"/>
                <w:kern w:val="0"/>
                <w:sz w:val="22"/>
                <w:szCs w:val="22"/>
              </w:rPr>
            </w:pPr>
            <w:r>
              <w:rPr>
                <w:rFonts w:hint="eastAsia" w:ascii="宋体" w:hAnsi="宋体"/>
                <w:color w:val="auto"/>
                <w:kern w:val="0"/>
                <w:sz w:val="22"/>
                <w:szCs w:val="22"/>
              </w:rPr>
              <w:t>跨架构平台应用兼容</w:t>
            </w:r>
          </w:p>
        </w:tc>
        <w:tc>
          <w:tcPr>
            <w:tcW w:w="2735" w:type="pct"/>
            <w:tcBorders>
              <w:top w:val="single" w:color="auto" w:sz="4" w:space="0"/>
              <w:left w:val="single" w:color="auto" w:sz="4" w:space="0"/>
              <w:bottom w:val="single" w:color="auto" w:sz="4" w:space="0"/>
              <w:right w:val="single" w:color="auto" w:sz="4" w:space="0"/>
            </w:tcBorders>
            <w:vAlign w:val="center"/>
          </w:tcPr>
          <w:p w14:paraId="3F2B0917">
            <w:pPr>
              <w:widowControl/>
              <w:rPr>
                <w:rFonts w:ascii="宋体" w:hAnsi="宋体"/>
                <w:color w:val="auto"/>
                <w:kern w:val="0"/>
                <w:sz w:val="22"/>
                <w:szCs w:val="22"/>
              </w:rPr>
            </w:pPr>
            <w:r>
              <w:rPr>
                <w:rFonts w:hint="eastAsia" w:ascii="宋体" w:hAnsi="宋体"/>
                <w:color w:val="auto"/>
                <w:kern w:val="0"/>
                <w:sz w:val="22"/>
                <w:szCs w:val="22"/>
              </w:rPr>
              <w:t>无要求</w:t>
            </w:r>
          </w:p>
        </w:tc>
      </w:tr>
      <w:tr w14:paraId="3534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4BB9994">
            <w:pPr>
              <w:widowControl/>
              <w:rPr>
                <w:rFonts w:ascii="宋体" w:hAnsi="宋体"/>
                <w:color w:val="auto"/>
                <w:kern w:val="0"/>
                <w:sz w:val="22"/>
                <w:szCs w:val="22"/>
              </w:rPr>
            </w:pPr>
            <w:r>
              <w:rPr>
                <w:rFonts w:hint="eastAsia" w:ascii="宋体" w:hAnsi="宋体"/>
                <w:color w:val="auto"/>
                <w:kern w:val="0"/>
                <w:sz w:val="22"/>
                <w:szCs w:val="22"/>
              </w:rPr>
              <w:t>180</w:t>
            </w:r>
          </w:p>
        </w:tc>
        <w:tc>
          <w:tcPr>
            <w:tcW w:w="807" w:type="pct"/>
            <w:tcBorders>
              <w:top w:val="single" w:color="auto" w:sz="4" w:space="0"/>
              <w:left w:val="single" w:color="auto" w:sz="4" w:space="0"/>
              <w:bottom w:val="single" w:color="auto" w:sz="4" w:space="0"/>
              <w:right w:val="single" w:color="auto" w:sz="4" w:space="0"/>
            </w:tcBorders>
            <w:vAlign w:val="center"/>
          </w:tcPr>
          <w:p w14:paraId="67A3BC78">
            <w:pPr>
              <w:widowControl/>
              <w:rPr>
                <w:rFonts w:ascii="宋体" w:hAnsi="宋体"/>
                <w:color w:val="auto"/>
                <w:kern w:val="0"/>
                <w:sz w:val="22"/>
                <w:szCs w:val="22"/>
              </w:rPr>
            </w:pPr>
            <w:r>
              <w:rPr>
                <w:rFonts w:hint="eastAsia" w:ascii="宋体" w:hAnsi="宋体"/>
                <w:color w:val="auto"/>
                <w:kern w:val="0"/>
                <w:sz w:val="22"/>
                <w:szCs w:val="22"/>
              </w:rPr>
              <w:t>▲供应链合规性</w:t>
            </w:r>
          </w:p>
        </w:tc>
        <w:tc>
          <w:tcPr>
            <w:tcW w:w="1096" w:type="pct"/>
            <w:tcBorders>
              <w:top w:val="single" w:color="auto" w:sz="4" w:space="0"/>
              <w:left w:val="single" w:color="auto" w:sz="4" w:space="0"/>
              <w:bottom w:val="single" w:color="auto" w:sz="4" w:space="0"/>
              <w:right w:val="single" w:color="auto" w:sz="4" w:space="0"/>
            </w:tcBorders>
            <w:vAlign w:val="center"/>
          </w:tcPr>
          <w:p w14:paraId="2B1A4DA9">
            <w:pPr>
              <w:widowControl/>
              <w:jc w:val="left"/>
              <w:rPr>
                <w:rFonts w:ascii="宋体" w:hAnsi="宋体"/>
                <w:color w:val="auto"/>
                <w:kern w:val="0"/>
                <w:sz w:val="22"/>
                <w:szCs w:val="22"/>
              </w:rPr>
            </w:pPr>
            <w:r>
              <w:rPr>
                <w:rFonts w:hint="eastAsia" w:ascii="宋体" w:hAnsi="宋体"/>
                <w:color w:val="auto"/>
                <w:kern w:val="0"/>
                <w:sz w:val="22"/>
                <w:szCs w:val="22"/>
              </w:rPr>
              <w:t>▲产品部件保障</w:t>
            </w:r>
          </w:p>
        </w:tc>
        <w:tc>
          <w:tcPr>
            <w:tcW w:w="2735" w:type="pct"/>
            <w:tcBorders>
              <w:top w:val="single" w:color="auto" w:sz="4" w:space="0"/>
              <w:left w:val="single" w:color="auto" w:sz="4" w:space="0"/>
              <w:bottom w:val="single" w:color="auto" w:sz="4" w:space="0"/>
              <w:right w:val="single" w:color="auto" w:sz="4" w:space="0"/>
            </w:tcBorders>
            <w:vAlign w:val="center"/>
          </w:tcPr>
          <w:p w14:paraId="68A3A52E">
            <w:pPr>
              <w:widowControl/>
              <w:rPr>
                <w:rFonts w:ascii="宋体" w:hAnsi="宋体"/>
                <w:color w:val="auto"/>
                <w:kern w:val="0"/>
                <w:sz w:val="22"/>
                <w:szCs w:val="22"/>
              </w:rPr>
            </w:pPr>
            <w:r>
              <w:rPr>
                <w:rFonts w:hint="eastAsia" w:ascii="宋体" w:hAnsi="宋体"/>
                <w:color w:val="auto"/>
                <w:kern w:val="0"/>
                <w:sz w:val="22"/>
                <w:szCs w:val="22"/>
              </w:rPr>
              <w:t>供应商保障产品主要部件，提供</w:t>
            </w:r>
            <w:r>
              <w:rPr>
                <w:rFonts w:ascii="宋体" w:hAnsi="宋体"/>
                <w:color w:val="auto"/>
                <w:kern w:val="0"/>
                <w:sz w:val="22"/>
                <w:szCs w:val="22"/>
              </w:rPr>
              <w:t>6</w:t>
            </w:r>
            <w:r>
              <w:rPr>
                <w:rFonts w:hint="eastAsia" w:ascii="宋体" w:hAnsi="宋体"/>
                <w:color w:val="auto"/>
                <w:kern w:val="0"/>
                <w:sz w:val="22"/>
                <w:szCs w:val="22"/>
              </w:rPr>
              <w:t>年的备件服务能力（自购买之日起），或提供可兼容原设备的升级换代产品</w:t>
            </w:r>
          </w:p>
        </w:tc>
      </w:tr>
      <w:tr w14:paraId="03B8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57C9A7B">
            <w:pPr>
              <w:widowControl/>
              <w:rPr>
                <w:rFonts w:ascii="宋体" w:hAnsi="宋体"/>
                <w:color w:val="auto"/>
                <w:kern w:val="0"/>
                <w:sz w:val="22"/>
                <w:szCs w:val="22"/>
              </w:rPr>
            </w:pPr>
            <w:r>
              <w:rPr>
                <w:rFonts w:hint="eastAsia" w:ascii="宋体" w:hAnsi="宋体"/>
                <w:color w:val="auto"/>
                <w:kern w:val="0"/>
                <w:sz w:val="22"/>
                <w:szCs w:val="22"/>
              </w:rPr>
              <w:t>181</w:t>
            </w:r>
          </w:p>
        </w:tc>
        <w:tc>
          <w:tcPr>
            <w:tcW w:w="807" w:type="pct"/>
            <w:vMerge w:val="restart"/>
            <w:tcBorders>
              <w:top w:val="nil"/>
              <w:left w:val="single" w:color="auto" w:sz="4" w:space="0"/>
              <w:bottom w:val="single" w:color="auto" w:sz="4" w:space="0"/>
              <w:right w:val="single" w:color="auto" w:sz="4" w:space="0"/>
            </w:tcBorders>
            <w:vAlign w:val="center"/>
          </w:tcPr>
          <w:p w14:paraId="3DB8E0B2">
            <w:pPr>
              <w:widowControl/>
              <w:rPr>
                <w:rFonts w:ascii="宋体" w:hAnsi="宋体"/>
                <w:color w:val="auto"/>
                <w:kern w:val="0"/>
                <w:sz w:val="22"/>
                <w:szCs w:val="22"/>
              </w:rPr>
            </w:pPr>
            <w:r>
              <w:rPr>
                <w:rFonts w:hint="eastAsia" w:ascii="宋体" w:hAnsi="宋体"/>
                <w:color w:val="auto"/>
                <w:kern w:val="0"/>
                <w:sz w:val="22"/>
                <w:szCs w:val="22"/>
              </w:rPr>
              <w:t>▲供应链质量</w:t>
            </w:r>
          </w:p>
        </w:tc>
        <w:tc>
          <w:tcPr>
            <w:tcW w:w="1096" w:type="pct"/>
            <w:tcBorders>
              <w:top w:val="single" w:color="auto" w:sz="4" w:space="0"/>
              <w:left w:val="single" w:color="auto" w:sz="4" w:space="0"/>
              <w:bottom w:val="single" w:color="auto" w:sz="4" w:space="0"/>
              <w:right w:val="single" w:color="auto" w:sz="4" w:space="0"/>
            </w:tcBorders>
            <w:vAlign w:val="center"/>
          </w:tcPr>
          <w:p w14:paraId="2373B4C1">
            <w:pPr>
              <w:widowControl/>
              <w:jc w:val="left"/>
              <w:rPr>
                <w:rFonts w:ascii="宋体" w:hAnsi="宋体"/>
                <w:color w:val="auto"/>
                <w:kern w:val="0"/>
                <w:sz w:val="22"/>
                <w:szCs w:val="22"/>
              </w:rPr>
            </w:pPr>
            <w:r>
              <w:rPr>
                <w:rFonts w:hint="eastAsia" w:ascii="宋体" w:hAnsi="宋体"/>
                <w:color w:val="auto"/>
                <w:kern w:val="0"/>
                <w:sz w:val="22"/>
                <w:szCs w:val="22"/>
              </w:rPr>
              <w:t>▲抗干扰性</w:t>
            </w:r>
          </w:p>
        </w:tc>
        <w:tc>
          <w:tcPr>
            <w:tcW w:w="2735" w:type="pct"/>
            <w:tcBorders>
              <w:top w:val="single" w:color="auto" w:sz="4" w:space="0"/>
              <w:left w:val="single" w:color="auto" w:sz="4" w:space="0"/>
              <w:bottom w:val="single" w:color="auto" w:sz="4" w:space="0"/>
              <w:right w:val="single" w:color="auto" w:sz="4" w:space="0"/>
            </w:tcBorders>
            <w:shd w:val="clear" w:color="auto" w:fill="FFFFFF"/>
            <w:vAlign w:val="center"/>
          </w:tcPr>
          <w:p w14:paraId="149C2FFD">
            <w:pPr>
              <w:widowControl/>
              <w:rPr>
                <w:rFonts w:ascii="宋体" w:hAnsi="宋体"/>
                <w:color w:val="auto"/>
                <w:kern w:val="0"/>
                <w:sz w:val="22"/>
                <w:szCs w:val="22"/>
              </w:rPr>
            </w:pPr>
            <w:r>
              <w:rPr>
                <w:rFonts w:hint="eastAsia" w:ascii="宋体" w:hAnsi="宋体"/>
                <w:color w:val="auto"/>
                <w:kern w:val="0"/>
                <w:sz w:val="22"/>
                <w:szCs w:val="22"/>
              </w:rPr>
              <w:t>当产品部件出现供应风险时，供应商应通知采购人并提供风险应对方案确保产品的服务保障。</w:t>
            </w:r>
          </w:p>
        </w:tc>
      </w:tr>
      <w:tr w14:paraId="353A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8A14424">
            <w:pPr>
              <w:widowControl/>
              <w:rPr>
                <w:rFonts w:ascii="宋体" w:hAnsi="宋体"/>
                <w:color w:val="auto"/>
                <w:kern w:val="0"/>
                <w:sz w:val="22"/>
                <w:szCs w:val="22"/>
              </w:rPr>
            </w:pPr>
            <w:r>
              <w:rPr>
                <w:rFonts w:hint="eastAsia" w:ascii="宋体" w:hAnsi="宋体"/>
                <w:color w:val="auto"/>
                <w:kern w:val="0"/>
                <w:sz w:val="22"/>
                <w:szCs w:val="22"/>
              </w:rPr>
              <w:t>182</w:t>
            </w:r>
          </w:p>
        </w:tc>
        <w:tc>
          <w:tcPr>
            <w:tcW w:w="0" w:type="auto"/>
            <w:vMerge w:val="continue"/>
            <w:tcBorders>
              <w:top w:val="nil"/>
              <w:left w:val="single" w:color="auto" w:sz="4" w:space="0"/>
              <w:bottom w:val="single" w:color="auto" w:sz="4" w:space="0"/>
              <w:right w:val="single" w:color="auto" w:sz="4" w:space="0"/>
            </w:tcBorders>
            <w:vAlign w:val="center"/>
          </w:tcPr>
          <w:p w14:paraId="2E53CE9F">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074840EE">
            <w:pPr>
              <w:widowControl/>
              <w:jc w:val="left"/>
              <w:rPr>
                <w:rFonts w:ascii="宋体" w:hAnsi="宋体"/>
                <w:color w:val="auto"/>
                <w:kern w:val="0"/>
                <w:sz w:val="22"/>
                <w:szCs w:val="22"/>
              </w:rPr>
            </w:pPr>
            <w:r>
              <w:rPr>
                <w:rFonts w:hint="eastAsia" w:ascii="宋体" w:hAnsi="宋体"/>
                <w:color w:val="auto"/>
                <w:kern w:val="0"/>
                <w:sz w:val="22"/>
                <w:szCs w:val="22"/>
              </w:rPr>
              <w:t>▲供应能力证明</w:t>
            </w:r>
          </w:p>
        </w:tc>
        <w:tc>
          <w:tcPr>
            <w:tcW w:w="2735" w:type="pct"/>
            <w:tcBorders>
              <w:top w:val="single" w:color="auto" w:sz="4" w:space="0"/>
              <w:left w:val="single" w:color="auto" w:sz="4" w:space="0"/>
              <w:bottom w:val="single" w:color="auto" w:sz="4" w:space="0"/>
              <w:right w:val="single" w:color="auto" w:sz="4" w:space="0"/>
            </w:tcBorders>
            <w:vAlign w:val="center"/>
          </w:tcPr>
          <w:p w14:paraId="0B1132BE">
            <w:pPr>
              <w:widowControl/>
              <w:rPr>
                <w:rFonts w:ascii="宋体" w:hAnsi="宋体"/>
                <w:color w:val="auto"/>
                <w:kern w:val="0"/>
                <w:sz w:val="22"/>
                <w:szCs w:val="22"/>
              </w:rPr>
            </w:pPr>
            <w:r>
              <w:rPr>
                <w:rFonts w:hint="eastAsia" w:ascii="宋体" w:hAnsi="宋体"/>
                <w:color w:val="auto"/>
                <w:kern w:val="0"/>
                <w:sz w:val="22"/>
                <w:szCs w:val="22"/>
              </w:rPr>
              <w:t>供应商提供供应链稳定承诺书,确保产品的部件在产品服务周期内稳定供货</w:t>
            </w:r>
          </w:p>
        </w:tc>
      </w:tr>
      <w:tr w14:paraId="18A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95A1508">
            <w:pPr>
              <w:widowControl/>
              <w:rPr>
                <w:rFonts w:ascii="宋体" w:hAnsi="宋体"/>
                <w:color w:val="auto"/>
                <w:kern w:val="0"/>
                <w:sz w:val="22"/>
                <w:szCs w:val="22"/>
              </w:rPr>
            </w:pPr>
            <w:r>
              <w:rPr>
                <w:rFonts w:hint="eastAsia" w:ascii="宋体" w:hAnsi="宋体"/>
                <w:color w:val="auto"/>
                <w:kern w:val="0"/>
                <w:sz w:val="22"/>
                <w:szCs w:val="22"/>
              </w:rPr>
              <w:t>183</w:t>
            </w:r>
          </w:p>
        </w:tc>
        <w:tc>
          <w:tcPr>
            <w:tcW w:w="807" w:type="pct"/>
            <w:tcBorders>
              <w:top w:val="single" w:color="auto" w:sz="4" w:space="0"/>
              <w:left w:val="single" w:color="auto" w:sz="4" w:space="0"/>
              <w:bottom w:val="single" w:color="auto" w:sz="4" w:space="0"/>
              <w:right w:val="single" w:color="auto" w:sz="4" w:space="0"/>
            </w:tcBorders>
            <w:vAlign w:val="center"/>
          </w:tcPr>
          <w:p w14:paraId="1D7950C5">
            <w:pPr>
              <w:widowControl/>
              <w:rPr>
                <w:rFonts w:ascii="宋体" w:hAnsi="宋体"/>
                <w:color w:val="auto"/>
                <w:kern w:val="0"/>
                <w:sz w:val="22"/>
                <w:szCs w:val="22"/>
              </w:rPr>
            </w:pPr>
            <w:r>
              <w:rPr>
                <w:rFonts w:hint="eastAsia" w:ascii="宋体" w:hAnsi="宋体"/>
                <w:color w:val="auto"/>
                <w:kern w:val="0"/>
                <w:sz w:val="22"/>
                <w:szCs w:val="22"/>
              </w:rPr>
              <w:t>▲关键部件安全要求</w:t>
            </w:r>
          </w:p>
        </w:tc>
        <w:tc>
          <w:tcPr>
            <w:tcW w:w="1096" w:type="pct"/>
            <w:tcBorders>
              <w:top w:val="single" w:color="auto" w:sz="4" w:space="0"/>
              <w:left w:val="single" w:color="auto" w:sz="4" w:space="0"/>
              <w:bottom w:val="single" w:color="auto" w:sz="4" w:space="0"/>
              <w:right w:val="single" w:color="auto" w:sz="4" w:space="0"/>
            </w:tcBorders>
            <w:vAlign w:val="center"/>
          </w:tcPr>
          <w:p w14:paraId="1E669DB7">
            <w:pPr>
              <w:widowControl/>
              <w:jc w:val="left"/>
              <w:rPr>
                <w:rFonts w:ascii="宋体" w:hAnsi="宋体"/>
                <w:color w:val="auto"/>
                <w:kern w:val="0"/>
                <w:sz w:val="22"/>
                <w:szCs w:val="22"/>
              </w:rPr>
            </w:pPr>
            <w:r>
              <w:rPr>
                <w:rFonts w:hint="eastAsia" w:ascii="宋体" w:hAnsi="宋体"/>
                <w:color w:val="auto"/>
                <w:kern w:val="0"/>
                <w:sz w:val="22"/>
                <w:szCs w:val="22"/>
              </w:rPr>
              <w:t>▲关键部件安全要求</w:t>
            </w:r>
          </w:p>
        </w:tc>
        <w:tc>
          <w:tcPr>
            <w:tcW w:w="2735" w:type="pct"/>
            <w:tcBorders>
              <w:top w:val="single" w:color="auto" w:sz="4" w:space="0"/>
              <w:left w:val="single" w:color="auto" w:sz="4" w:space="0"/>
              <w:bottom w:val="single" w:color="auto" w:sz="4" w:space="0"/>
              <w:right w:val="single" w:color="auto" w:sz="4" w:space="0"/>
            </w:tcBorders>
            <w:vAlign w:val="center"/>
          </w:tcPr>
          <w:p w14:paraId="6A9E0299">
            <w:pPr>
              <w:widowControl/>
              <w:rPr>
                <w:rFonts w:ascii="宋体" w:hAnsi="宋体"/>
                <w:color w:val="auto"/>
                <w:kern w:val="0"/>
                <w:sz w:val="22"/>
                <w:szCs w:val="22"/>
              </w:rPr>
            </w:pPr>
            <w:r>
              <w:rPr>
                <w:rFonts w:hint="eastAsia" w:ascii="宋体" w:hAnsi="宋体"/>
                <w:color w:val="auto"/>
                <w:kern w:val="0"/>
                <w:sz w:val="22"/>
                <w:szCs w:val="22"/>
              </w:rPr>
              <w:t>应当符合安全要求</w:t>
            </w:r>
          </w:p>
        </w:tc>
      </w:tr>
      <w:tr w14:paraId="4BBA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27BE5DF6">
            <w:pPr>
              <w:widowControl/>
              <w:rPr>
                <w:rFonts w:ascii="宋体" w:hAnsi="宋体"/>
                <w:color w:val="auto"/>
                <w:kern w:val="0"/>
                <w:sz w:val="22"/>
                <w:szCs w:val="22"/>
              </w:rPr>
            </w:pPr>
            <w:r>
              <w:rPr>
                <w:rFonts w:hint="eastAsia" w:ascii="宋体" w:hAnsi="宋体"/>
                <w:color w:val="auto"/>
                <w:kern w:val="0"/>
                <w:sz w:val="22"/>
                <w:szCs w:val="22"/>
              </w:rPr>
              <w:t>184</w:t>
            </w:r>
          </w:p>
        </w:tc>
        <w:tc>
          <w:tcPr>
            <w:tcW w:w="807" w:type="pct"/>
            <w:vMerge w:val="restart"/>
            <w:tcBorders>
              <w:top w:val="nil"/>
              <w:left w:val="single" w:color="auto" w:sz="4" w:space="0"/>
              <w:bottom w:val="single" w:color="auto" w:sz="4" w:space="0"/>
              <w:right w:val="single" w:color="auto" w:sz="4" w:space="0"/>
            </w:tcBorders>
            <w:vAlign w:val="center"/>
          </w:tcPr>
          <w:p w14:paraId="7EDD21CF">
            <w:pPr>
              <w:widowControl/>
              <w:rPr>
                <w:rFonts w:ascii="宋体" w:hAnsi="宋体"/>
                <w:color w:val="auto"/>
                <w:kern w:val="0"/>
                <w:sz w:val="22"/>
                <w:szCs w:val="22"/>
              </w:rPr>
            </w:pPr>
            <w:r>
              <w:rPr>
                <w:rFonts w:hint="eastAsia" w:ascii="宋体" w:hAnsi="宋体"/>
                <w:color w:val="auto"/>
                <w:kern w:val="0"/>
                <w:sz w:val="22"/>
                <w:szCs w:val="22"/>
              </w:rPr>
              <w:t>▲整机安全性要求</w:t>
            </w:r>
          </w:p>
        </w:tc>
        <w:tc>
          <w:tcPr>
            <w:tcW w:w="1096" w:type="pct"/>
            <w:tcBorders>
              <w:top w:val="single" w:color="auto" w:sz="4" w:space="0"/>
              <w:left w:val="single" w:color="auto" w:sz="4" w:space="0"/>
              <w:bottom w:val="single" w:color="auto" w:sz="4" w:space="0"/>
              <w:right w:val="single" w:color="auto" w:sz="4" w:space="0"/>
            </w:tcBorders>
            <w:vAlign w:val="center"/>
          </w:tcPr>
          <w:p w14:paraId="4AC6A104">
            <w:pPr>
              <w:widowControl/>
              <w:jc w:val="left"/>
              <w:rPr>
                <w:rFonts w:ascii="宋体" w:hAnsi="宋体"/>
                <w:color w:val="auto"/>
                <w:kern w:val="0"/>
                <w:sz w:val="22"/>
                <w:szCs w:val="22"/>
              </w:rPr>
            </w:pPr>
            <w:r>
              <w:rPr>
                <w:rFonts w:hint="eastAsia" w:ascii="宋体" w:hAnsi="宋体"/>
                <w:color w:val="auto"/>
                <w:kern w:val="0"/>
                <w:sz w:val="22"/>
                <w:szCs w:val="22"/>
              </w:rPr>
              <w:t>▲密码算法实现</w:t>
            </w:r>
          </w:p>
        </w:tc>
        <w:tc>
          <w:tcPr>
            <w:tcW w:w="2735" w:type="pct"/>
            <w:tcBorders>
              <w:top w:val="single" w:color="auto" w:sz="4" w:space="0"/>
              <w:left w:val="single" w:color="auto" w:sz="4" w:space="0"/>
              <w:bottom w:val="single" w:color="auto" w:sz="4" w:space="0"/>
              <w:right w:val="single" w:color="auto" w:sz="4" w:space="0"/>
            </w:tcBorders>
            <w:vAlign w:val="center"/>
          </w:tcPr>
          <w:p w14:paraId="66E49C2F">
            <w:pPr>
              <w:widowControl/>
              <w:rPr>
                <w:rFonts w:ascii="宋体" w:hAnsi="宋体"/>
                <w:color w:val="auto"/>
                <w:kern w:val="0"/>
                <w:sz w:val="22"/>
                <w:szCs w:val="22"/>
              </w:rPr>
            </w:pPr>
            <w:r>
              <w:rPr>
                <w:rFonts w:hint="eastAsia" w:ascii="宋体" w:hAnsi="宋体"/>
                <w:color w:val="auto"/>
                <w:kern w:val="0"/>
                <w:sz w:val="22"/>
                <w:szCs w:val="22"/>
              </w:rPr>
              <w:t>CPU 芯片应具备安全性</w:t>
            </w:r>
          </w:p>
        </w:tc>
      </w:tr>
      <w:tr w14:paraId="2E43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E6C1CAB">
            <w:pPr>
              <w:widowControl/>
              <w:rPr>
                <w:rFonts w:ascii="宋体" w:hAnsi="宋体"/>
                <w:color w:val="auto"/>
                <w:kern w:val="0"/>
                <w:sz w:val="22"/>
                <w:szCs w:val="22"/>
              </w:rPr>
            </w:pPr>
            <w:r>
              <w:rPr>
                <w:rFonts w:hint="eastAsia" w:ascii="宋体" w:hAnsi="宋体"/>
                <w:color w:val="auto"/>
                <w:kern w:val="0"/>
                <w:sz w:val="22"/>
                <w:szCs w:val="22"/>
              </w:rPr>
              <w:t>185</w:t>
            </w:r>
          </w:p>
        </w:tc>
        <w:tc>
          <w:tcPr>
            <w:tcW w:w="0" w:type="auto"/>
            <w:vMerge w:val="continue"/>
            <w:tcBorders>
              <w:top w:val="nil"/>
              <w:left w:val="single" w:color="auto" w:sz="4" w:space="0"/>
              <w:bottom w:val="single" w:color="auto" w:sz="4" w:space="0"/>
              <w:right w:val="single" w:color="auto" w:sz="4" w:space="0"/>
            </w:tcBorders>
            <w:vAlign w:val="center"/>
          </w:tcPr>
          <w:p w14:paraId="143CD4F0">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3BD31ACD">
            <w:pPr>
              <w:widowControl/>
              <w:jc w:val="left"/>
              <w:rPr>
                <w:rFonts w:ascii="宋体" w:hAnsi="宋体"/>
                <w:color w:val="auto"/>
                <w:kern w:val="0"/>
                <w:sz w:val="22"/>
                <w:szCs w:val="22"/>
              </w:rPr>
            </w:pPr>
            <w:r>
              <w:rPr>
                <w:rFonts w:hint="eastAsia" w:ascii="宋体" w:hAnsi="宋体"/>
                <w:color w:val="auto"/>
                <w:kern w:val="0"/>
                <w:sz w:val="22"/>
                <w:szCs w:val="22"/>
              </w:rPr>
              <w:t>▲USB端口管控</w:t>
            </w:r>
          </w:p>
        </w:tc>
        <w:tc>
          <w:tcPr>
            <w:tcW w:w="2735" w:type="pct"/>
            <w:tcBorders>
              <w:top w:val="single" w:color="auto" w:sz="4" w:space="0"/>
              <w:left w:val="single" w:color="auto" w:sz="4" w:space="0"/>
              <w:bottom w:val="single" w:color="auto" w:sz="4" w:space="0"/>
              <w:right w:val="single" w:color="auto" w:sz="4" w:space="0"/>
            </w:tcBorders>
            <w:vAlign w:val="center"/>
          </w:tcPr>
          <w:p w14:paraId="12510B8C">
            <w:pPr>
              <w:widowControl/>
              <w:rPr>
                <w:rFonts w:ascii="宋体" w:hAnsi="宋体"/>
                <w:color w:val="auto"/>
                <w:kern w:val="0"/>
                <w:sz w:val="22"/>
                <w:szCs w:val="22"/>
              </w:rPr>
            </w:pPr>
            <w:r>
              <w:rPr>
                <w:rFonts w:hint="eastAsia" w:ascii="宋体" w:hAnsi="宋体"/>
                <w:color w:val="auto"/>
                <w:kern w:val="0"/>
                <w:sz w:val="22"/>
                <w:szCs w:val="22"/>
              </w:rPr>
              <w:t>支持USB端口管控</w:t>
            </w:r>
          </w:p>
        </w:tc>
      </w:tr>
      <w:tr w14:paraId="3466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3DFBAFA">
            <w:pPr>
              <w:widowControl/>
              <w:rPr>
                <w:rFonts w:ascii="宋体" w:hAnsi="宋体"/>
                <w:color w:val="auto"/>
                <w:kern w:val="0"/>
                <w:sz w:val="22"/>
                <w:szCs w:val="22"/>
              </w:rPr>
            </w:pPr>
            <w:r>
              <w:rPr>
                <w:rFonts w:hint="eastAsia" w:ascii="宋体" w:hAnsi="宋体"/>
                <w:color w:val="auto"/>
                <w:kern w:val="0"/>
                <w:sz w:val="22"/>
                <w:szCs w:val="22"/>
              </w:rPr>
              <w:t>186</w:t>
            </w:r>
          </w:p>
        </w:tc>
        <w:tc>
          <w:tcPr>
            <w:tcW w:w="0" w:type="auto"/>
            <w:vMerge w:val="continue"/>
            <w:tcBorders>
              <w:top w:val="nil"/>
              <w:left w:val="single" w:color="auto" w:sz="4" w:space="0"/>
              <w:bottom w:val="single" w:color="auto" w:sz="4" w:space="0"/>
              <w:right w:val="single" w:color="auto" w:sz="4" w:space="0"/>
            </w:tcBorders>
            <w:vAlign w:val="center"/>
          </w:tcPr>
          <w:p w14:paraId="04A40250">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56F3AF14">
            <w:pPr>
              <w:widowControl/>
              <w:jc w:val="left"/>
              <w:rPr>
                <w:rFonts w:ascii="宋体" w:hAnsi="宋体"/>
                <w:color w:val="auto"/>
                <w:kern w:val="0"/>
                <w:sz w:val="22"/>
                <w:szCs w:val="22"/>
              </w:rPr>
            </w:pPr>
            <w:r>
              <w:rPr>
                <w:rFonts w:hint="eastAsia" w:ascii="宋体" w:hAnsi="宋体"/>
                <w:color w:val="auto"/>
                <w:kern w:val="0"/>
                <w:sz w:val="22"/>
                <w:szCs w:val="22"/>
              </w:rPr>
              <w:t>▲安全物理锁</w:t>
            </w:r>
          </w:p>
        </w:tc>
        <w:tc>
          <w:tcPr>
            <w:tcW w:w="2735" w:type="pct"/>
            <w:tcBorders>
              <w:top w:val="single" w:color="auto" w:sz="4" w:space="0"/>
              <w:left w:val="single" w:color="auto" w:sz="4" w:space="0"/>
              <w:bottom w:val="single" w:color="auto" w:sz="4" w:space="0"/>
              <w:right w:val="single" w:color="auto" w:sz="4" w:space="0"/>
            </w:tcBorders>
            <w:vAlign w:val="center"/>
          </w:tcPr>
          <w:p w14:paraId="6ECEC7D3">
            <w:pPr>
              <w:widowControl/>
              <w:rPr>
                <w:rFonts w:ascii="宋体" w:hAnsi="宋体"/>
                <w:color w:val="auto"/>
                <w:kern w:val="0"/>
                <w:sz w:val="22"/>
                <w:szCs w:val="22"/>
              </w:rPr>
            </w:pPr>
            <w:r>
              <w:rPr>
                <w:rFonts w:hint="eastAsia" w:ascii="宋体" w:hAnsi="宋体"/>
                <w:color w:val="auto"/>
                <w:kern w:val="0"/>
                <w:sz w:val="22"/>
                <w:szCs w:val="22"/>
              </w:rPr>
              <w:t>具备机箱锁孔；集成配件线缆锁</w:t>
            </w:r>
          </w:p>
        </w:tc>
      </w:tr>
      <w:tr w14:paraId="1290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768519E">
            <w:pPr>
              <w:widowControl/>
              <w:rPr>
                <w:rFonts w:ascii="宋体" w:hAnsi="宋体"/>
                <w:color w:val="auto"/>
                <w:kern w:val="0"/>
                <w:sz w:val="22"/>
                <w:szCs w:val="22"/>
              </w:rPr>
            </w:pPr>
            <w:r>
              <w:rPr>
                <w:rFonts w:hint="eastAsia" w:ascii="宋体" w:hAnsi="宋体"/>
                <w:color w:val="auto"/>
                <w:kern w:val="0"/>
                <w:sz w:val="22"/>
                <w:szCs w:val="22"/>
              </w:rPr>
              <w:t>187</w:t>
            </w:r>
          </w:p>
        </w:tc>
        <w:tc>
          <w:tcPr>
            <w:tcW w:w="0" w:type="auto"/>
            <w:vMerge w:val="continue"/>
            <w:tcBorders>
              <w:top w:val="nil"/>
              <w:left w:val="single" w:color="auto" w:sz="4" w:space="0"/>
              <w:bottom w:val="single" w:color="auto" w:sz="4" w:space="0"/>
              <w:right w:val="single" w:color="auto" w:sz="4" w:space="0"/>
            </w:tcBorders>
            <w:vAlign w:val="center"/>
          </w:tcPr>
          <w:p w14:paraId="64A209EB">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25BBC106">
            <w:pPr>
              <w:widowControl/>
              <w:jc w:val="left"/>
              <w:rPr>
                <w:rFonts w:ascii="宋体" w:hAnsi="宋体"/>
                <w:color w:val="auto"/>
                <w:kern w:val="0"/>
                <w:sz w:val="22"/>
                <w:szCs w:val="22"/>
              </w:rPr>
            </w:pPr>
            <w:r>
              <w:rPr>
                <w:rFonts w:hint="eastAsia" w:ascii="宋体" w:hAnsi="宋体"/>
                <w:color w:val="auto"/>
                <w:kern w:val="0"/>
                <w:sz w:val="22"/>
                <w:szCs w:val="22"/>
              </w:rPr>
              <w:t>▲信息安全基本要求</w:t>
            </w:r>
          </w:p>
        </w:tc>
        <w:tc>
          <w:tcPr>
            <w:tcW w:w="2735" w:type="pct"/>
            <w:tcBorders>
              <w:top w:val="single" w:color="auto" w:sz="4" w:space="0"/>
              <w:left w:val="single" w:color="auto" w:sz="4" w:space="0"/>
              <w:bottom w:val="single" w:color="auto" w:sz="4" w:space="0"/>
              <w:right w:val="single" w:color="auto" w:sz="4" w:space="0"/>
            </w:tcBorders>
            <w:vAlign w:val="center"/>
          </w:tcPr>
          <w:p w14:paraId="782163B5">
            <w:pPr>
              <w:widowControl/>
              <w:rPr>
                <w:rFonts w:ascii="宋体" w:hAnsi="宋体"/>
                <w:color w:val="auto"/>
                <w:kern w:val="0"/>
                <w:sz w:val="22"/>
                <w:szCs w:val="22"/>
              </w:rPr>
            </w:pPr>
            <w:r>
              <w:rPr>
                <w:rFonts w:hint="eastAsia" w:ascii="宋体" w:hAnsi="宋体"/>
                <w:color w:val="auto"/>
                <w:kern w:val="0"/>
                <w:sz w:val="22"/>
                <w:szCs w:val="22"/>
              </w:rPr>
              <w:t xml:space="preserve">a) 产品应符合GB/T 39276的5.2的规定； </w:t>
            </w:r>
            <w:r>
              <w:rPr>
                <w:rFonts w:hint="eastAsia" w:ascii="宋体" w:hAnsi="宋体"/>
                <w:color w:val="auto"/>
                <w:kern w:val="0"/>
                <w:sz w:val="22"/>
                <w:szCs w:val="22"/>
              </w:rPr>
              <w:br w:type="textWrapping"/>
            </w:r>
            <w:r>
              <w:rPr>
                <w:rFonts w:hint="eastAsia" w:ascii="宋体" w:hAnsi="宋体"/>
                <w:color w:val="auto"/>
                <w:kern w:val="0"/>
                <w:sz w:val="22"/>
                <w:szCs w:val="22"/>
              </w:rPr>
              <w:t xml:space="preserve">b) 生产厂商应建立漏洞跟踪表，保证产品版本涉及到的漏洞(如驱动程序等)可查看； </w:t>
            </w:r>
            <w:r>
              <w:rPr>
                <w:rFonts w:hint="eastAsia" w:ascii="宋体" w:hAnsi="宋体"/>
                <w:color w:val="auto"/>
                <w:kern w:val="0"/>
                <w:sz w:val="22"/>
                <w:szCs w:val="22"/>
              </w:rPr>
              <w:br w:type="textWrapping"/>
            </w:r>
            <w:r>
              <w:rPr>
                <w:rFonts w:hint="eastAsia" w:ascii="宋体" w:hAnsi="宋体"/>
                <w:color w:val="auto"/>
                <w:kern w:val="0"/>
                <w:sz w:val="22"/>
                <w:szCs w:val="22"/>
              </w:rPr>
              <w:t>c) 产品不得包含已知的恶意代码或漏洞，不存在未声明的指令、功能、接口</w:t>
            </w:r>
          </w:p>
        </w:tc>
      </w:tr>
      <w:tr w14:paraId="2752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CDFA062">
            <w:pPr>
              <w:widowControl/>
              <w:rPr>
                <w:rFonts w:ascii="宋体" w:hAnsi="宋体"/>
                <w:color w:val="auto"/>
                <w:kern w:val="0"/>
                <w:sz w:val="22"/>
                <w:szCs w:val="22"/>
              </w:rPr>
            </w:pPr>
            <w:r>
              <w:rPr>
                <w:rFonts w:hint="eastAsia" w:ascii="宋体" w:hAnsi="宋体"/>
                <w:color w:val="auto"/>
                <w:kern w:val="0"/>
                <w:sz w:val="22"/>
                <w:szCs w:val="22"/>
              </w:rPr>
              <w:t>188</w:t>
            </w:r>
          </w:p>
        </w:tc>
        <w:tc>
          <w:tcPr>
            <w:tcW w:w="0" w:type="auto"/>
            <w:vMerge w:val="continue"/>
            <w:tcBorders>
              <w:top w:val="nil"/>
              <w:left w:val="single" w:color="auto" w:sz="4" w:space="0"/>
              <w:bottom w:val="single" w:color="auto" w:sz="4" w:space="0"/>
              <w:right w:val="single" w:color="auto" w:sz="4" w:space="0"/>
            </w:tcBorders>
            <w:vAlign w:val="center"/>
          </w:tcPr>
          <w:p w14:paraId="3E9535E7">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72F994E2">
            <w:pPr>
              <w:widowControl/>
              <w:jc w:val="left"/>
              <w:rPr>
                <w:rFonts w:ascii="宋体" w:hAnsi="宋体"/>
                <w:color w:val="auto"/>
                <w:kern w:val="0"/>
                <w:sz w:val="22"/>
                <w:szCs w:val="22"/>
              </w:rPr>
            </w:pPr>
            <w:r>
              <w:rPr>
                <w:rFonts w:hint="eastAsia" w:ascii="宋体" w:hAnsi="宋体"/>
                <w:color w:val="auto"/>
                <w:kern w:val="0"/>
                <w:sz w:val="22"/>
                <w:szCs w:val="22"/>
              </w:rPr>
              <w:t>▲固件安全启动</w:t>
            </w:r>
          </w:p>
        </w:tc>
        <w:tc>
          <w:tcPr>
            <w:tcW w:w="2735" w:type="pct"/>
            <w:tcBorders>
              <w:top w:val="single" w:color="auto" w:sz="4" w:space="0"/>
              <w:left w:val="single" w:color="auto" w:sz="4" w:space="0"/>
              <w:bottom w:val="single" w:color="auto" w:sz="4" w:space="0"/>
              <w:right w:val="single" w:color="auto" w:sz="4" w:space="0"/>
            </w:tcBorders>
            <w:vAlign w:val="center"/>
          </w:tcPr>
          <w:p w14:paraId="25B71C2C">
            <w:pPr>
              <w:widowControl/>
              <w:rPr>
                <w:rFonts w:ascii="宋体" w:hAnsi="宋体"/>
                <w:color w:val="auto"/>
                <w:kern w:val="0"/>
                <w:sz w:val="22"/>
                <w:szCs w:val="22"/>
              </w:rPr>
            </w:pPr>
            <w:r>
              <w:rPr>
                <w:rFonts w:hint="eastAsia" w:ascii="宋体" w:hAnsi="宋体"/>
                <w:color w:val="auto"/>
                <w:kern w:val="0"/>
                <w:sz w:val="22"/>
                <w:szCs w:val="22"/>
              </w:rPr>
              <w:t>支持固件安全启动功能，固件启动过程中只有通过启动校验才能正常启动</w:t>
            </w:r>
          </w:p>
        </w:tc>
      </w:tr>
      <w:tr w14:paraId="2467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3B460D5">
            <w:pPr>
              <w:widowControl/>
              <w:rPr>
                <w:rFonts w:ascii="宋体" w:hAnsi="宋体"/>
                <w:color w:val="auto"/>
                <w:kern w:val="0"/>
                <w:sz w:val="22"/>
                <w:szCs w:val="22"/>
              </w:rPr>
            </w:pPr>
            <w:r>
              <w:rPr>
                <w:rFonts w:hint="eastAsia" w:ascii="宋体" w:hAnsi="宋体"/>
                <w:color w:val="auto"/>
                <w:kern w:val="0"/>
                <w:sz w:val="22"/>
                <w:szCs w:val="22"/>
              </w:rPr>
              <w:t>189</w:t>
            </w:r>
          </w:p>
        </w:tc>
        <w:tc>
          <w:tcPr>
            <w:tcW w:w="0" w:type="auto"/>
            <w:vMerge w:val="continue"/>
            <w:tcBorders>
              <w:top w:val="nil"/>
              <w:left w:val="single" w:color="auto" w:sz="4" w:space="0"/>
              <w:bottom w:val="single" w:color="auto" w:sz="4" w:space="0"/>
              <w:right w:val="single" w:color="auto" w:sz="4" w:space="0"/>
            </w:tcBorders>
            <w:vAlign w:val="center"/>
          </w:tcPr>
          <w:p w14:paraId="4579B010">
            <w:pPr>
              <w:widowControl/>
              <w:rPr>
                <w:rFonts w:ascii="宋体" w:hAnsi="宋体" w:cs="Arial"/>
                <w:color w:val="auto"/>
                <w:kern w:val="0"/>
                <w:sz w:val="22"/>
                <w:szCs w:val="22"/>
              </w:rPr>
            </w:pPr>
          </w:p>
        </w:tc>
        <w:tc>
          <w:tcPr>
            <w:tcW w:w="1096" w:type="pct"/>
            <w:tcBorders>
              <w:top w:val="single" w:color="auto" w:sz="4" w:space="0"/>
              <w:left w:val="single" w:color="auto" w:sz="4" w:space="0"/>
              <w:bottom w:val="single" w:color="auto" w:sz="4" w:space="0"/>
              <w:right w:val="single" w:color="auto" w:sz="4" w:space="0"/>
            </w:tcBorders>
            <w:vAlign w:val="center"/>
          </w:tcPr>
          <w:p w14:paraId="66DE2AE6">
            <w:pPr>
              <w:widowControl/>
              <w:jc w:val="left"/>
              <w:rPr>
                <w:rFonts w:ascii="宋体" w:hAnsi="宋体"/>
                <w:color w:val="auto"/>
                <w:kern w:val="0"/>
                <w:sz w:val="22"/>
                <w:szCs w:val="22"/>
              </w:rPr>
            </w:pPr>
            <w:r>
              <w:rPr>
                <w:rFonts w:hint="eastAsia" w:ascii="宋体" w:hAnsi="宋体"/>
                <w:color w:val="auto"/>
                <w:kern w:val="0"/>
                <w:sz w:val="22"/>
                <w:szCs w:val="22"/>
              </w:rPr>
              <w:t>▲限用物质的限量要求</w:t>
            </w:r>
          </w:p>
        </w:tc>
        <w:tc>
          <w:tcPr>
            <w:tcW w:w="2735" w:type="pct"/>
            <w:tcBorders>
              <w:top w:val="single" w:color="auto" w:sz="4" w:space="0"/>
              <w:left w:val="single" w:color="auto" w:sz="4" w:space="0"/>
              <w:bottom w:val="single" w:color="auto" w:sz="4" w:space="0"/>
              <w:right w:val="single" w:color="auto" w:sz="4" w:space="0"/>
            </w:tcBorders>
            <w:vAlign w:val="center"/>
          </w:tcPr>
          <w:p w14:paraId="6972CA01">
            <w:pPr>
              <w:widowControl/>
              <w:rPr>
                <w:rFonts w:ascii="宋体" w:hAnsi="宋体"/>
                <w:color w:val="auto"/>
                <w:kern w:val="0"/>
                <w:sz w:val="22"/>
                <w:szCs w:val="22"/>
              </w:rPr>
            </w:pPr>
            <w:r>
              <w:rPr>
                <w:rFonts w:hint="eastAsia" w:ascii="宋体" w:hAnsi="宋体"/>
                <w:color w:val="auto"/>
                <w:kern w:val="0"/>
                <w:sz w:val="22"/>
                <w:szCs w:val="22"/>
              </w:rPr>
              <w:t>符合GB/T 26572中规定</w:t>
            </w:r>
          </w:p>
        </w:tc>
      </w:tr>
    </w:tbl>
    <w:p w14:paraId="650283F5">
      <w:pPr>
        <w:pStyle w:val="62"/>
        <w:ind w:left="0" w:leftChars="0" w:firstLine="0" w:firstLineChars="0"/>
        <w:rPr>
          <w:color w:val="auto"/>
          <w:sz w:val="22"/>
          <w:szCs w:val="22"/>
        </w:rPr>
      </w:pPr>
    </w:p>
    <w:p w14:paraId="179A8959">
      <w:pPr>
        <w:spacing w:line="360" w:lineRule="auto"/>
        <w:rPr>
          <w:rFonts w:ascii="宋体" w:hAnsi="宋体"/>
          <w:b/>
          <w:bCs/>
          <w:color w:val="auto"/>
          <w:sz w:val="22"/>
          <w:szCs w:val="22"/>
        </w:rPr>
      </w:pPr>
      <w:r>
        <w:rPr>
          <w:rFonts w:hint="eastAsia" w:ascii="宋体" w:hAnsi="宋体"/>
          <w:b/>
          <w:bCs/>
          <w:color w:val="auto"/>
          <w:sz w:val="22"/>
          <w:szCs w:val="22"/>
        </w:rPr>
        <w:t>（</w:t>
      </w:r>
      <w:r>
        <w:rPr>
          <w:rFonts w:ascii="宋体" w:hAnsi="宋体"/>
          <w:b/>
          <w:bCs/>
          <w:color w:val="auto"/>
          <w:sz w:val="22"/>
          <w:szCs w:val="22"/>
        </w:rPr>
        <w:t>2</w:t>
      </w:r>
      <w:r>
        <w:rPr>
          <w:rFonts w:hint="eastAsia" w:ascii="宋体" w:hAnsi="宋体"/>
          <w:b/>
          <w:bCs/>
          <w:color w:val="auto"/>
          <w:sz w:val="22"/>
          <w:szCs w:val="22"/>
        </w:rPr>
        <w:t>）教学用台式计算机2：</w:t>
      </w:r>
      <w:r>
        <w:rPr>
          <w:rFonts w:ascii="宋体" w:hAnsi="宋体"/>
          <w:b/>
          <w:bCs/>
          <w:color w:val="auto"/>
          <w:sz w:val="22"/>
          <w:szCs w:val="22"/>
        </w:rPr>
        <w:t>208</w:t>
      </w:r>
      <w:r>
        <w:rPr>
          <w:rFonts w:hint="eastAsia" w:ascii="宋体" w:hAnsi="宋体"/>
          <w:b/>
          <w:bCs/>
          <w:color w:val="auto"/>
          <w:sz w:val="22"/>
          <w:szCs w:val="22"/>
        </w:rPr>
        <w:t>台</w:t>
      </w:r>
    </w:p>
    <w:tbl>
      <w:tblPr>
        <w:tblStyle w:val="63"/>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985"/>
        <w:gridCol w:w="2406"/>
        <w:gridCol w:w="4862"/>
      </w:tblGrid>
      <w:tr w14:paraId="4D92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47" w:type="pct"/>
            <w:tcBorders>
              <w:top w:val="single" w:color="auto" w:sz="4" w:space="0"/>
              <w:left w:val="single" w:color="auto" w:sz="4" w:space="0"/>
              <w:bottom w:val="single" w:color="auto" w:sz="4" w:space="0"/>
              <w:right w:val="single" w:color="auto" w:sz="4" w:space="0"/>
            </w:tcBorders>
          </w:tcPr>
          <w:p w14:paraId="578E541F">
            <w:pPr>
              <w:widowControl/>
              <w:jc w:val="center"/>
              <w:rPr>
                <w:rFonts w:ascii="宋体" w:hAnsi="宋体"/>
                <w:b/>
                <w:bCs/>
                <w:color w:val="auto"/>
                <w:kern w:val="0"/>
                <w:sz w:val="22"/>
                <w:szCs w:val="22"/>
              </w:rPr>
            </w:pPr>
            <w:r>
              <w:rPr>
                <w:rFonts w:hint="eastAsia" w:ascii="宋体" w:hAnsi="宋体"/>
                <w:b/>
                <w:bCs/>
                <w:color w:val="auto"/>
                <w:kern w:val="0"/>
                <w:sz w:val="22"/>
                <w:szCs w:val="22"/>
              </w:rPr>
              <w:t>序号</w:t>
            </w:r>
          </w:p>
        </w:tc>
        <w:tc>
          <w:tcPr>
            <w:tcW w:w="555" w:type="pct"/>
            <w:tcBorders>
              <w:top w:val="single" w:color="auto" w:sz="4" w:space="0"/>
              <w:left w:val="single" w:color="auto" w:sz="4" w:space="0"/>
              <w:bottom w:val="single" w:color="auto" w:sz="4" w:space="0"/>
              <w:right w:val="single" w:color="auto" w:sz="4" w:space="0"/>
            </w:tcBorders>
          </w:tcPr>
          <w:p w14:paraId="34F57D7F">
            <w:pPr>
              <w:widowControl/>
              <w:jc w:val="center"/>
              <w:rPr>
                <w:rFonts w:ascii="宋体" w:hAnsi="宋体"/>
                <w:b/>
                <w:bCs/>
                <w:color w:val="auto"/>
                <w:kern w:val="0"/>
                <w:sz w:val="22"/>
                <w:szCs w:val="22"/>
              </w:rPr>
            </w:pPr>
            <w:r>
              <w:rPr>
                <w:rFonts w:hint="eastAsia" w:ascii="宋体" w:hAnsi="宋体"/>
                <w:b/>
                <w:bCs/>
                <w:color w:val="auto"/>
                <w:kern w:val="0"/>
                <w:sz w:val="22"/>
                <w:szCs w:val="22"/>
              </w:rPr>
              <w:t>一级指标</w:t>
            </w:r>
          </w:p>
        </w:tc>
        <w:tc>
          <w:tcPr>
            <w:tcW w:w="1356" w:type="pct"/>
            <w:tcBorders>
              <w:top w:val="single" w:color="auto" w:sz="4" w:space="0"/>
              <w:left w:val="single" w:color="auto" w:sz="4" w:space="0"/>
              <w:bottom w:val="single" w:color="auto" w:sz="4" w:space="0"/>
              <w:right w:val="single" w:color="auto" w:sz="4" w:space="0"/>
            </w:tcBorders>
          </w:tcPr>
          <w:p w14:paraId="2F36C2C9">
            <w:pPr>
              <w:widowControl/>
              <w:jc w:val="center"/>
              <w:rPr>
                <w:rFonts w:ascii="宋体" w:hAnsi="宋体"/>
                <w:b/>
                <w:bCs/>
                <w:color w:val="auto"/>
                <w:kern w:val="0"/>
                <w:sz w:val="22"/>
                <w:szCs w:val="22"/>
              </w:rPr>
            </w:pPr>
            <w:r>
              <w:rPr>
                <w:rFonts w:hint="eastAsia" w:ascii="宋体" w:hAnsi="宋体"/>
                <w:b/>
                <w:bCs/>
                <w:color w:val="auto"/>
                <w:kern w:val="0"/>
                <w:sz w:val="22"/>
                <w:szCs w:val="22"/>
              </w:rPr>
              <w:t>二级指标</w:t>
            </w:r>
          </w:p>
        </w:tc>
        <w:tc>
          <w:tcPr>
            <w:tcW w:w="2740" w:type="pct"/>
            <w:tcBorders>
              <w:top w:val="single" w:color="auto" w:sz="4" w:space="0"/>
              <w:left w:val="single" w:color="auto" w:sz="4" w:space="0"/>
              <w:bottom w:val="single" w:color="auto" w:sz="4" w:space="0"/>
              <w:right w:val="single" w:color="auto" w:sz="4" w:space="0"/>
            </w:tcBorders>
          </w:tcPr>
          <w:p w14:paraId="4AAF83F6">
            <w:pPr>
              <w:widowControl/>
              <w:jc w:val="center"/>
              <w:rPr>
                <w:rFonts w:ascii="宋体" w:hAnsi="宋体"/>
                <w:b/>
                <w:bCs/>
                <w:color w:val="auto"/>
                <w:kern w:val="0"/>
                <w:sz w:val="22"/>
                <w:szCs w:val="22"/>
              </w:rPr>
            </w:pPr>
            <w:r>
              <w:rPr>
                <w:rFonts w:hint="eastAsia" w:ascii="宋体" w:hAnsi="宋体"/>
                <w:b/>
                <w:bCs/>
                <w:color w:val="auto"/>
                <w:kern w:val="0"/>
                <w:sz w:val="22"/>
                <w:szCs w:val="22"/>
              </w:rPr>
              <w:t>指标要求</w:t>
            </w:r>
          </w:p>
        </w:tc>
      </w:tr>
      <w:tr w14:paraId="318A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188A262F">
            <w:pPr>
              <w:widowControl/>
              <w:jc w:val="center"/>
              <w:rPr>
                <w:rFonts w:ascii="宋体" w:hAnsi="宋体"/>
                <w:color w:val="auto"/>
                <w:kern w:val="0"/>
                <w:sz w:val="22"/>
                <w:szCs w:val="22"/>
              </w:rPr>
            </w:pPr>
            <w:r>
              <w:rPr>
                <w:rFonts w:hint="eastAsia" w:ascii="宋体" w:hAnsi="宋体"/>
                <w:color w:val="auto"/>
                <w:kern w:val="0"/>
                <w:sz w:val="22"/>
                <w:szCs w:val="22"/>
              </w:rPr>
              <w:t>1</w:t>
            </w:r>
          </w:p>
        </w:tc>
        <w:tc>
          <w:tcPr>
            <w:tcW w:w="555" w:type="pct"/>
            <w:tcBorders>
              <w:top w:val="single" w:color="auto" w:sz="4" w:space="0"/>
              <w:left w:val="single" w:color="auto" w:sz="4" w:space="0"/>
              <w:bottom w:val="single" w:color="auto" w:sz="4" w:space="0"/>
              <w:right w:val="single" w:color="auto" w:sz="4" w:space="0"/>
            </w:tcBorders>
            <w:vAlign w:val="center"/>
          </w:tcPr>
          <w:p w14:paraId="42E4BF19">
            <w:pPr>
              <w:widowControl/>
              <w:jc w:val="center"/>
              <w:rPr>
                <w:rFonts w:ascii="宋体" w:hAnsi="宋体"/>
                <w:color w:val="auto"/>
                <w:kern w:val="0"/>
                <w:sz w:val="22"/>
                <w:szCs w:val="22"/>
              </w:rPr>
            </w:pPr>
            <w:r>
              <w:rPr>
                <w:rFonts w:hint="eastAsia" w:ascii="宋体" w:hAnsi="宋体"/>
                <w:color w:val="auto"/>
                <w:kern w:val="0"/>
                <w:sz w:val="22"/>
                <w:szCs w:val="22"/>
              </w:rPr>
              <w:t>▲CPU 规格</w:t>
            </w:r>
          </w:p>
        </w:tc>
        <w:tc>
          <w:tcPr>
            <w:tcW w:w="1356" w:type="pct"/>
            <w:tcBorders>
              <w:top w:val="single" w:color="auto" w:sz="4" w:space="0"/>
              <w:left w:val="single" w:color="auto" w:sz="4" w:space="0"/>
              <w:bottom w:val="single" w:color="auto" w:sz="4" w:space="0"/>
              <w:right w:val="single" w:color="auto" w:sz="4" w:space="0"/>
            </w:tcBorders>
            <w:vAlign w:val="center"/>
          </w:tcPr>
          <w:p w14:paraId="43BE0E78">
            <w:pPr>
              <w:widowControl/>
              <w:rPr>
                <w:rFonts w:ascii="宋体" w:hAnsi="宋体"/>
                <w:color w:val="auto"/>
                <w:kern w:val="0"/>
                <w:sz w:val="22"/>
                <w:szCs w:val="22"/>
              </w:rPr>
            </w:pPr>
            <w:r>
              <w:rPr>
                <w:rFonts w:hint="eastAsia" w:ascii="宋体" w:hAnsi="宋体"/>
                <w:color w:val="auto"/>
                <w:kern w:val="0"/>
                <w:sz w:val="22"/>
                <w:szCs w:val="22"/>
              </w:rPr>
              <w:t xml:space="preserve"> ▲CPU信息</w:t>
            </w:r>
          </w:p>
        </w:tc>
        <w:tc>
          <w:tcPr>
            <w:tcW w:w="2740" w:type="pct"/>
            <w:tcBorders>
              <w:top w:val="single" w:color="auto" w:sz="4" w:space="0"/>
              <w:left w:val="single" w:color="auto" w:sz="4" w:space="0"/>
              <w:bottom w:val="single" w:color="auto" w:sz="4" w:space="0"/>
              <w:right w:val="single" w:color="auto" w:sz="4" w:space="0"/>
            </w:tcBorders>
          </w:tcPr>
          <w:p w14:paraId="3B56F537">
            <w:pPr>
              <w:widowControl/>
              <w:numPr>
                <w:ilvl w:val="0"/>
                <w:numId w:val="3"/>
              </w:numPr>
              <w:adjustRightInd/>
              <w:rPr>
                <w:rFonts w:ascii="宋体" w:hAnsi="宋体"/>
                <w:color w:val="auto"/>
                <w:kern w:val="0"/>
                <w:sz w:val="22"/>
                <w:szCs w:val="22"/>
              </w:rPr>
            </w:pPr>
            <w:r>
              <w:rPr>
                <w:rFonts w:hint="eastAsia" w:ascii="宋体" w:hAnsi="宋体"/>
                <w:color w:val="auto"/>
                <w:kern w:val="0"/>
                <w:sz w:val="22"/>
                <w:szCs w:val="22"/>
              </w:rPr>
              <w:t>配置 1 颗 参照或相当于X86 处理器，支持超线程技术和睿频技术。</w:t>
            </w:r>
          </w:p>
          <w:p w14:paraId="229200B6">
            <w:pPr>
              <w:widowControl/>
              <w:numPr>
                <w:ilvl w:val="0"/>
                <w:numId w:val="3"/>
              </w:numPr>
              <w:adjustRightInd/>
              <w:rPr>
                <w:rFonts w:ascii="宋体" w:hAnsi="宋体"/>
                <w:color w:val="auto"/>
                <w:kern w:val="0"/>
                <w:sz w:val="22"/>
                <w:szCs w:val="22"/>
              </w:rPr>
            </w:pPr>
            <w:r>
              <w:rPr>
                <w:rFonts w:hint="eastAsia" w:ascii="宋体" w:hAnsi="宋体"/>
                <w:color w:val="auto"/>
                <w:kern w:val="0"/>
                <w:sz w:val="22"/>
                <w:szCs w:val="22"/>
              </w:rPr>
              <w:t>CPU：≥I7-14700（相当性能及以上）。性能核（P-Core）：基础频率：2.1 GHz 最大睿频：5.3 GHz，三级缓存（L3）：33 MB，65 W（基础功耗），最大睿频功耗（MTP）为 219 W，20 个物理核心（8个性能核 + 12个能效核），28 线程，内存最高速率：DDR5-5600 MT/s，单通道位宽 64 位（DDR5 标准）双通道总位宽 128 位，89.6 GB/s 理论带宽。</w:t>
            </w:r>
          </w:p>
          <w:p w14:paraId="70F544DD">
            <w:pPr>
              <w:widowControl/>
              <w:numPr>
                <w:ilvl w:val="0"/>
                <w:numId w:val="3"/>
              </w:numPr>
              <w:adjustRightInd/>
              <w:rPr>
                <w:rFonts w:ascii="宋体" w:hAnsi="宋体"/>
                <w:color w:val="auto"/>
                <w:kern w:val="0"/>
                <w:sz w:val="22"/>
                <w:szCs w:val="22"/>
              </w:rPr>
            </w:pPr>
            <w:r>
              <w:rPr>
                <w:rFonts w:hint="eastAsia" w:ascii="宋体" w:hAnsi="宋体"/>
                <w:color w:val="auto"/>
                <w:kern w:val="0"/>
                <w:sz w:val="22"/>
                <w:szCs w:val="22"/>
              </w:rPr>
              <w:t>投标时标明 CPU 信息，包含 CPU 型号、物理核心数、主频、末级缓存容量、线程数、热设计功耗及内存的最高速率、通道数和位宽等。</w:t>
            </w:r>
          </w:p>
        </w:tc>
      </w:tr>
      <w:tr w14:paraId="0300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7B91966D">
            <w:pPr>
              <w:widowControl/>
              <w:jc w:val="center"/>
              <w:rPr>
                <w:rFonts w:ascii="宋体" w:hAnsi="宋体"/>
                <w:color w:val="auto"/>
                <w:kern w:val="0"/>
                <w:sz w:val="22"/>
                <w:szCs w:val="22"/>
              </w:rPr>
            </w:pPr>
            <w:r>
              <w:rPr>
                <w:rFonts w:hint="eastAsia" w:ascii="宋体" w:hAnsi="宋体"/>
                <w:color w:val="auto"/>
                <w:kern w:val="0"/>
                <w:sz w:val="22"/>
                <w:szCs w:val="22"/>
              </w:rPr>
              <w:t>2</w:t>
            </w:r>
          </w:p>
        </w:tc>
        <w:tc>
          <w:tcPr>
            <w:tcW w:w="555" w:type="pct"/>
            <w:vMerge w:val="restart"/>
            <w:tcBorders>
              <w:top w:val="nil"/>
              <w:left w:val="single" w:color="auto" w:sz="4" w:space="0"/>
              <w:bottom w:val="single" w:color="auto" w:sz="4" w:space="0"/>
              <w:right w:val="single" w:color="auto" w:sz="4" w:space="0"/>
            </w:tcBorders>
            <w:vAlign w:val="center"/>
          </w:tcPr>
          <w:p w14:paraId="336BA485">
            <w:pPr>
              <w:widowControl/>
              <w:jc w:val="center"/>
              <w:rPr>
                <w:rFonts w:ascii="宋体" w:hAnsi="宋体"/>
                <w:color w:val="auto"/>
                <w:kern w:val="0"/>
                <w:sz w:val="22"/>
                <w:szCs w:val="22"/>
              </w:rPr>
            </w:pPr>
            <w:r>
              <w:rPr>
                <w:rFonts w:hint="eastAsia" w:ascii="宋体" w:hAnsi="宋体"/>
                <w:color w:val="auto"/>
                <w:kern w:val="0"/>
                <w:sz w:val="22"/>
                <w:szCs w:val="22"/>
              </w:rPr>
              <w:t>▲内存规格</w:t>
            </w:r>
          </w:p>
        </w:tc>
        <w:tc>
          <w:tcPr>
            <w:tcW w:w="1356" w:type="pct"/>
            <w:tcBorders>
              <w:top w:val="single" w:color="auto" w:sz="4" w:space="0"/>
              <w:left w:val="single" w:color="auto" w:sz="4" w:space="0"/>
              <w:bottom w:val="single" w:color="auto" w:sz="4" w:space="0"/>
              <w:right w:val="single" w:color="auto" w:sz="4" w:space="0"/>
            </w:tcBorders>
            <w:vAlign w:val="center"/>
          </w:tcPr>
          <w:p w14:paraId="2222070F">
            <w:pPr>
              <w:widowControl/>
              <w:rPr>
                <w:rFonts w:ascii="宋体" w:hAnsi="宋体"/>
                <w:color w:val="auto"/>
                <w:kern w:val="0"/>
                <w:sz w:val="22"/>
                <w:szCs w:val="22"/>
              </w:rPr>
            </w:pPr>
            <w:r>
              <w:rPr>
                <w:rFonts w:hint="eastAsia" w:ascii="宋体" w:hAnsi="宋体"/>
                <w:color w:val="auto"/>
                <w:kern w:val="0"/>
                <w:sz w:val="22"/>
                <w:szCs w:val="22"/>
              </w:rPr>
              <w:t xml:space="preserve"> ▲内存配置容量</w:t>
            </w:r>
          </w:p>
        </w:tc>
        <w:tc>
          <w:tcPr>
            <w:tcW w:w="2740" w:type="pct"/>
            <w:tcBorders>
              <w:top w:val="single" w:color="auto" w:sz="4" w:space="0"/>
              <w:left w:val="single" w:color="auto" w:sz="4" w:space="0"/>
              <w:bottom w:val="single" w:color="auto" w:sz="4" w:space="0"/>
              <w:right w:val="single" w:color="auto" w:sz="4" w:space="0"/>
            </w:tcBorders>
          </w:tcPr>
          <w:p w14:paraId="3F54332A">
            <w:pPr>
              <w:widowControl/>
              <w:rPr>
                <w:rFonts w:ascii="宋体" w:hAnsi="宋体"/>
                <w:color w:val="auto"/>
                <w:kern w:val="0"/>
                <w:sz w:val="22"/>
                <w:szCs w:val="22"/>
              </w:rPr>
            </w:pPr>
            <w:r>
              <w:rPr>
                <w:rFonts w:hint="eastAsia" w:ascii="宋体" w:hAnsi="宋体"/>
                <w:color w:val="auto"/>
                <w:kern w:val="0"/>
                <w:sz w:val="22"/>
                <w:szCs w:val="22"/>
              </w:rPr>
              <w:t>≥16GB</w:t>
            </w:r>
          </w:p>
        </w:tc>
      </w:tr>
      <w:tr w14:paraId="7FE0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32C48D89">
            <w:pPr>
              <w:widowControl/>
              <w:jc w:val="center"/>
              <w:rPr>
                <w:rFonts w:ascii="宋体" w:hAnsi="宋体"/>
                <w:color w:val="auto"/>
                <w:kern w:val="0"/>
                <w:sz w:val="22"/>
                <w:szCs w:val="22"/>
              </w:rPr>
            </w:pPr>
            <w:r>
              <w:rPr>
                <w:rFonts w:hint="eastAsia" w:ascii="宋体" w:hAnsi="宋体"/>
                <w:color w:val="auto"/>
                <w:kern w:val="0"/>
                <w:sz w:val="22"/>
                <w:szCs w:val="22"/>
              </w:rPr>
              <w:t>3</w:t>
            </w:r>
          </w:p>
        </w:tc>
        <w:tc>
          <w:tcPr>
            <w:tcW w:w="0" w:type="auto"/>
            <w:vMerge w:val="continue"/>
            <w:tcBorders>
              <w:top w:val="nil"/>
              <w:left w:val="single" w:color="auto" w:sz="4" w:space="0"/>
              <w:bottom w:val="single" w:color="auto" w:sz="4" w:space="0"/>
              <w:right w:val="single" w:color="auto" w:sz="4" w:space="0"/>
            </w:tcBorders>
            <w:vAlign w:val="center"/>
          </w:tcPr>
          <w:p w14:paraId="68AD118C">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vAlign w:val="center"/>
          </w:tcPr>
          <w:p w14:paraId="7C1CF9B5">
            <w:pPr>
              <w:widowControl/>
              <w:rPr>
                <w:rFonts w:ascii="宋体" w:hAnsi="宋体"/>
                <w:color w:val="auto"/>
                <w:kern w:val="0"/>
                <w:sz w:val="22"/>
                <w:szCs w:val="22"/>
              </w:rPr>
            </w:pPr>
            <w:r>
              <w:rPr>
                <w:rFonts w:hint="eastAsia" w:ascii="宋体" w:hAnsi="宋体"/>
                <w:color w:val="auto"/>
                <w:kern w:val="0"/>
                <w:sz w:val="22"/>
                <w:szCs w:val="22"/>
              </w:rPr>
              <w:t>▲ 内存类型</w:t>
            </w:r>
          </w:p>
        </w:tc>
        <w:tc>
          <w:tcPr>
            <w:tcW w:w="2740" w:type="pct"/>
            <w:tcBorders>
              <w:top w:val="single" w:color="auto" w:sz="4" w:space="0"/>
              <w:left w:val="single" w:color="auto" w:sz="4" w:space="0"/>
              <w:bottom w:val="single" w:color="auto" w:sz="4" w:space="0"/>
              <w:right w:val="single" w:color="auto" w:sz="4" w:space="0"/>
            </w:tcBorders>
          </w:tcPr>
          <w:p w14:paraId="157E70E6">
            <w:pPr>
              <w:widowControl/>
              <w:rPr>
                <w:rFonts w:ascii="宋体" w:hAnsi="宋体"/>
                <w:color w:val="auto"/>
                <w:kern w:val="0"/>
                <w:sz w:val="22"/>
                <w:szCs w:val="22"/>
              </w:rPr>
            </w:pPr>
            <w:r>
              <w:rPr>
                <w:rFonts w:hint="eastAsia" w:ascii="宋体" w:hAnsi="宋体"/>
                <w:color w:val="auto"/>
                <w:kern w:val="0"/>
                <w:sz w:val="22"/>
                <w:szCs w:val="22"/>
              </w:rPr>
              <w:t>标配 DDR5 4800 及以上内存类型</w:t>
            </w:r>
          </w:p>
        </w:tc>
      </w:tr>
      <w:tr w14:paraId="2C9A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0B58E668">
            <w:pPr>
              <w:widowControl/>
              <w:jc w:val="center"/>
              <w:rPr>
                <w:rFonts w:ascii="宋体" w:hAnsi="宋体"/>
                <w:color w:val="auto"/>
                <w:kern w:val="0"/>
                <w:sz w:val="22"/>
                <w:szCs w:val="22"/>
              </w:rPr>
            </w:pPr>
            <w:r>
              <w:rPr>
                <w:rFonts w:hint="eastAsia" w:ascii="宋体" w:hAnsi="宋体"/>
                <w:color w:val="auto"/>
                <w:kern w:val="0"/>
                <w:sz w:val="22"/>
                <w:szCs w:val="22"/>
              </w:rPr>
              <w:t>4</w:t>
            </w:r>
          </w:p>
        </w:tc>
        <w:tc>
          <w:tcPr>
            <w:tcW w:w="0" w:type="auto"/>
            <w:vMerge w:val="continue"/>
            <w:tcBorders>
              <w:top w:val="nil"/>
              <w:left w:val="single" w:color="auto" w:sz="4" w:space="0"/>
              <w:bottom w:val="single" w:color="auto" w:sz="4" w:space="0"/>
              <w:right w:val="single" w:color="auto" w:sz="4" w:space="0"/>
            </w:tcBorders>
            <w:vAlign w:val="center"/>
          </w:tcPr>
          <w:p w14:paraId="77706AF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vAlign w:val="center"/>
          </w:tcPr>
          <w:p w14:paraId="78A13926">
            <w:pPr>
              <w:widowControl/>
              <w:rPr>
                <w:rFonts w:ascii="宋体" w:hAnsi="宋体"/>
                <w:color w:val="auto"/>
                <w:kern w:val="0"/>
                <w:sz w:val="22"/>
                <w:szCs w:val="22"/>
              </w:rPr>
            </w:pPr>
            <w:r>
              <w:rPr>
                <w:rFonts w:hint="eastAsia" w:ascii="宋体" w:hAnsi="宋体"/>
                <w:color w:val="auto"/>
                <w:kern w:val="0"/>
                <w:sz w:val="22"/>
                <w:szCs w:val="22"/>
              </w:rPr>
              <w:t xml:space="preserve"> ▲内存条配置数量</w:t>
            </w:r>
          </w:p>
        </w:tc>
        <w:tc>
          <w:tcPr>
            <w:tcW w:w="2740" w:type="pct"/>
            <w:tcBorders>
              <w:top w:val="single" w:color="auto" w:sz="4" w:space="0"/>
              <w:left w:val="single" w:color="auto" w:sz="4" w:space="0"/>
              <w:bottom w:val="single" w:color="auto" w:sz="4" w:space="0"/>
              <w:right w:val="single" w:color="auto" w:sz="4" w:space="0"/>
            </w:tcBorders>
          </w:tcPr>
          <w:p w14:paraId="1B0C4F53">
            <w:pPr>
              <w:widowControl/>
              <w:rPr>
                <w:rFonts w:ascii="宋体" w:hAnsi="宋体"/>
                <w:color w:val="auto"/>
                <w:kern w:val="0"/>
                <w:sz w:val="22"/>
                <w:szCs w:val="22"/>
              </w:rPr>
            </w:pPr>
            <w:r>
              <w:rPr>
                <w:rFonts w:hint="eastAsia" w:ascii="宋体" w:hAnsi="宋体"/>
                <w:color w:val="auto"/>
                <w:kern w:val="0"/>
                <w:sz w:val="22"/>
                <w:szCs w:val="22"/>
              </w:rPr>
              <w:t>≥1</w:t>
            </w:r>
          </w:p>
        </w:tc>
      </w:tr>
      <w:tr w14:paraId="4BBC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232C0017">
            <w:pPr>
              <w:widowControl/>
              <w:jc w:val="center"/>
              <w:rPr>
                <w:rFonts w:ascii="宋体" w:hAnsi="宋体"/>
                <w:color w:val="auto"/>
                <w:kern w:val="0"/>
                <w:sz w:val="22"/>
                <w:szCs w:val="22"/>
              </w:rPr>
            </w:pPr>
            <w:r>
              <w:rPr>
                <w:rFonts w:hint="eastAsia" w:ascii="宋体" w:hAnsi="宋体"/>
                <w:color w:val="auto"/>
                <w:kern w:val="0"/>
                <w:sz w:val="22"/>
                <w:szCs w:val="22"/>
              </w:rPr>
              <w:t>5</w:t>
            </w:r>
          </w:p>
        </w:tc>
        <w:tc>
          <w:tcPr>
            <w:tcW w:w="555" w:type="pct"/>
            <w:vMerge w:val="restart"/>
            <w:tcBorders>
              <w:top w:val="nil"/>
              <w:left w:val="single" w:color="auto" w:sz="4" w:space="0"/>
              <w:bottom w:val="single" w:color="auto" w:sz="4" w:space="0"/>
              <w:right w:val="single" w:color="auto" w:sz="4" w:space="0"/>
            </w:tcBorders>
            <w:vAlign w:val="center"/>
          </w:tcPr>
          <w:p w14:paraId="1C0842EB">
            <w:pPr>
              <w:widowControl/>
              <w:jc w:val="center"/>
              <w:rPr>
                <w:rFonts w:ascii="宋体" w:hAnsi="宋体"/>
                <w:color w:val="auto"/>
                <w:kern w:val="0"/>
                <w:sz w:val="22"/>
                <w:szCs w:val="22"/>
              </w:rPr>
            </w:pPr>
            <w:r>
              <w:rPr>
                <w:rFonts w:hint="eastAsia" w:ascii="宋体" w:hAnsi="宋体"/>
                <w:color w:val="auto"/>
                <w:kern w:val="0"/>
                <w:sz w:val="22"/>
                <w:szCs w:val="22"/>
              </w:rPr>
              <w:t>▲主板规格</w:t>
            </w:r>
          </w:p>
        </w:tc>
        <w:tc>
          <w:tcPr>
            <w:tcW w:w="1356" w:type="pct"/>
            <w:tcBorders>
              <w:top w:val="single" w:color="auto" w:sz="4" w:space="0"/>
              <w:left w:val="single" w:color="auto" w:sz="4" w:space="0"/>
              <w:bottom w:val="single" w:color="auto" w:sz="4" w:space="0"/>
              <w:right w:val="single" w:color="auto" w:sz="4" w:space="0"/>
            </w:tcBorders>
            <w:vAlign w:val="center"/>
          </w:tcPr>
          <w:p w14:paraId="4DB09FF2">
            <w:pPr>
              <w:widowControl/>
              <w:rPr>
                <w:rFonts w:ascii="宋体" w:hAnsi="宋体"/>
                <w:color w:val="auto"/>
                <w:kern w:val="0"/>
                <w:sz w:val="22"/>
                <w:szCs w:val="22"/>
              </w:rPr>
            </w:pPr>
            <w:r>
              <w:rPr>
                <w:rFonts w:hint="eastAsia" w:ascii="宋体" w:hAnsi="宋体"/>
                <w:color w:val="auto"/>
                <w:kern w:val="0"/>
                <w:sz w:val="22"/>
                <w:szCs w:val="22"/>
              </w:rPr>
              <w:t xml:space="preserve"> ▲主板集成模块</w:t>
            </w:r>
          </w:p>
        </w:tc>
        <w:tc>
          <w:tcPr>
            <w:tcW w:w="2740" w:type="pct"/>
            <w:tcBorders>
              <w:top w:val="single" w:color="auto" w:sz="4" w:space="0"/>
              <w:left w:val="single" w:color="auto" w:sz="4" w:space="0"/>
              <w:bottom w:val="single" w:color="auto" w:sz="4" w:space="0"/>
              <w:right w:val="single" w:color="auto" w:sz="4" w:space="0"/>
            </w:tcBorders>
          </w:tcPr>
          <w:p w14:paraId="62AD487D">
            <w:pPr>
              <w:widowControl/>
              <w:rPr>
                <w:rFonts w:ascii="宋体" w:hAnsi="宋体"/>
                <w:color w:val="auto"/>
                <w:kern w:val="0"/>
                <w:sz w:val="22"/>
                <w:szCs w:val="22"/>
              </w:rPr>
            </w:pPr>
            <w:r>
              <w:rPr>
                <w:rFonts w:hint="eastAsia" w:ascii="宋体" w:hAnsi="宋体"/>
                <w:color w:val="auto"/>
                <w:kern w:val="0"/>
                <w:sz w:val="22"/>
                <w:szCs w:val="22"/>
              </w:rPr>
              <w:t>集成资源扩展模块、计算处理模块、音频扩展模块等，主板的互联拓扑可通过处理器或交换电路实现。</w:t>
            </w:r>
          </w:p>
        </w:tc>
      </w:tr>
      <w:tr w14:paraId="3AEF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5DC216E1">
            <w:pPr>
              <w:widowControl/>
              <w:jc w:val="center"/>
              <w:rPr>
                <w:rFonts w:ascii="宋体" w:hAnsi="宋体"/>
                <w:color w:val="auto"/>
                <w:kern w:val="0"/>
                <w:sz w:val="22"/>
                <w:szCs w:val="22"/>
              </w:rPr>
            </w:pPr>
            <w:r>
              <w:rPr>
                <w:rFonts w:hint="eastAsia" w:ascii="宋体" w:hAnsi="宋体"/>
                <w:color w:val="auto"/>
                <w:kern w:val="0"/>
                <w:sz w:val="22"/>
                <w:szCs w:val="22"/>
              </w:rPr>
              <w:t>6</w:t>
            </w:r>
          </w:p>
        </w:tc>
        <w:tc>
          <w:tcPr>
            <w:tcW w:w="0" w:type="auto"/>
            <w:vMerge w:val="continue"/>
            <w:tcBorders>
              <w:top w:val="nil"/>
              <w:left w:val="single" w:color="auto" w:sz="4" w:space="0"/>
              <w:bottom w:val="single" w:color="auto" w:sz="4" w:space="0"/>
              <w:right w:val="single" w:color="auto" w:sz="4" w:space="0"/>
            </w:tcBorders>
            <w:vAlign w:val="center"/>
          </w:tcPr>
          <w:p w14:paraId="3D0E81F9">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vAlign w:val="center"/>
          </w:tcPr>
          <w:p w14:paraId="36A8C1F4">
            <w:pPr>
              <w:widowControl/>
              <w:rPr>
                <w:rFonts w:ascii="宋体" w:hAnsi="宋体"/>
                <w:color w:val="auto"/>
                <w:kern w:val="0"/>
                <w:sz w:val="22"/>
                <w:szCs w:val="22"/>
              </w:rPr>
            </w:pPr>
            <w:r>
              <w:rPr>
                <w:rFonts w:hint="eastAsia" w:ascii="宋体" w:hAnsi="宋体"/>
                <w:color w:val="auto"/>
                <w:kern w:val="0"/>
                <w:sz w:val="22"/>
                <w:szCs w:val="22"/>
              </w:rPr>
              <w:t xml:space="preserve"> ▲主板支持的CPU和内存情况</w:t>
            </w:r>
          </w:p>
        </w:tc>
        <w:tc>
          <w:tcPr>
            <w:tcW w:w="2740" w:type="pct"/>
            <w:tcBorders>
              <w:top w:val="single" w:color="auto" w:sz="4" w:space="0"/>
              <w:left w:val="single" w:color="auto" w:sz="4" w:space="0"/>
              <w:bottom w:val="single" w:color="auto" w:sz="4" w:space="0"/>
              <w:right w:val="single" w:color="auto" w:sz="4" w:space="0"/>
            </w:tcBorders>
          </w:tcPr>
          <w:p w14:paraId="2A65FB00">
            <w:pPr>
              <w:widowControl/>
              <w:rPr>
                <w:rFonts w:ascii="宋体" w:hAnsi="宋体"/>
                <w:color w:val="auto"/>
                <w:kern w:val="0"/>
                <w:sz w:val="22"/>
                <w:szCs w:val="22"/>
              </w:rPr>
            </w:pPr>
            <w:r>
              <w:rPr>
                <w:rFonts w:hint="eastAsia" w:ascii="宋体" w:hAnsi="宋体"/>
                <w:color w:val="auto"/>
                <w:kern w:val="0"/>
                <w:sz w:val="22"/>
                <w:szCs w:val="22"/>
              </w:rPr>
              <w:t>主板支持 CPU 1 颗，支持内存≥2 根。投标时标明主板支持的 CPU 和内存型号和数量。</w:t>
            </w:r>
          </w:p>
        </w:tc>
      </w:tr>
      <w:tr w14:paraId="02DA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01FAA2FC">
            <w:pPr>
              <w:widowControl/>
              <w:jc w:val="center"/>
              <w:rPr>
                <w:rFonts w:ascii="宋体" w:hAnsi="宋体"/>
                <w:color w:val="auto"/>
                <w:kern w:val="0"/>
                <w:sz w:val="22"/>
                <w:szCs w:val="22"/>
              </w:rPr>
            </w:pPr>
            <w:r>
              <w:rPr>
                <w:rFonts w:hint="eastAsia" w:ascii="宋体" w:hAnsi="宋体"/>
                <w:color w:val="auto"/>
                <w:kern w:val="0"/>
                <w:sz w:val="22"/>
                <w:szCs w:val="22"/>
              </w:rPr>
              <w:t>7</w:t>
            </w:r>
          </w:p>
        </w:tc>
        <w:tc>
          <w:tcPr>
            <w:tcW w:w="0" w:type="auto"/>
            <w:vMerge w:val="continue"/>
            <w:tcBorders>
              <w:top w:val="nil"/>
              <w:left w:val="single" w:color="auto" w:sz="4" w:space="0"/>
              <w:bottom w:val="single" w:color="auto" w:sz="4" w:space="0"/>
              <w:right w:val="single" w:color="auto" w:sz="4" w:space="0"/>
            </w:tcBorders>
            <w:vAlign w:val="center"/>
          </w:tcPr>
          <w:p w14:paraId="1E029E8B">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vAlign w:val="center"/>
          </w:tcPr>
          <w:p w14:paraId="5A20C877">
            <w:pPr>
              <w:widowControl/>
              <w:rPr>
                <w:rFonts w:ascii="宋体" w:hAnsi="宋体"/>
                <w:color w:val="auto"/>
                <w:kern w:val="0"/>
                <w:sz w:val="22"/>
                <w:szCs w:val="22"/>
              </w:rPr>
            </w:pPr>
            <w:r>
              <w:rPr>
                <w:rFonts w:hint="eastAsia" w:ascii="宋体" w:hAnsi="宋体"/>
                <w:color w:val="auto"/>
                <w:kern w:val="0"/>
                <w:sz w:val="22"/>
                <w:szCs w:val="22"/>
              </w:rPr>
              <w:t>主板内置PCIe插槽数量</w:t>
            </w:r>
          </w:p>
        </w:tc>
        <w:tc>
          <w:tcPr>
            <w:tcW w:w="2740" w:type="pct"/>
            <w:tcBorders>
              <w:top w:val="single" w:color="auto" w:sz="4" w:space="0"/>
              <w:left w:val="single" w:color="auto" w:sz="4" w:space="0"/>
              <w:bottom w:val="single" w:color="auto" w:sz="4" w:space="0"/>
              <w:right w:val="single" w:color="auto" w:sz="4" w:space="0"/>
            </w:tcBorders>
          </w:tcPr>
          <w:p w14:paraId="55CF0C39">
            <w:pPr>
              <w:widowControl/>
              <w:rPr>
                <w:rFonts w:ascii="宋体" w:hAnsi="宋体"/>
                <w:color w:val="auto"/>
                <w:kern w:val="0"/>
                <w:sz w:val="22"/>
                <w:szCs w:val="22"/>
              </w:rPr>
            </w:pPr>
            <w:r>
              <w:rPr>
                <w:rFonts w:hint="eastAsia" w:ascii="宋体" w:hAnsi="宋体"/>
                <w:color w:val="auto"/>
                <w:kern w:val="0"/>
                <w:sz w:val="22"/>
                <w:szCs w:val="22"/>
              </w:rPr>
              <w:t>≥2个</w:t>
            </w:r>
          </w:p>
        </w:tc>
      </w:tr>
      <w:tr w14:paraId="73FC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21139F8F">
            <w:pPr>
              <w:widowControl/>
              <w:jc w:val="center"/>
              <w:rPr>
                <w:rFonts w:ascii="宋体" w:hAnsi="宋体"/>
                <w:color w:val="auto"/>
                <w:kern w:val="0"/>
                <w:sz w:val="22"/>
                <w:szCs w:val="22"/>
              </w:rPr>
            </w:pPr>
            <w:r>
              <w:rPr>
                <w:rFonts w:hint="eastAsia" w:ascii="宋体" w:hAnsi="宋体"/>
                <w:color w:val="auto"/>
                <w:kern w:val="0"/>
                <w:sz w:val="22"/>
                <w:szCs w:val="22"/>
              </w:rPr>
              <w:t>8</w:t>
            </w:r>
          </w:p>
        </w:tc>
        <w:tc>
          <w:tcPr>
            <w:tcW w:w="0" w:type="auto"/>
            <w:vMerge w:val="continue"/>
            <w:tcBorders>
              <w:top w:val="nil"/>
              <w:left w:val="single" w:color="auto" w:sz="4" w:space="0"/>
              <w:bottom w:val="single" w:color="auto" w:sz="4" w:space="0"/>
              <w:right w:val="single" w:color="auto" w:sz="4" w:space="0"/>
            </w:tcBorders>
            <w:vAlign w:val="center"/>
          </w:tcPr>
          <w:p w14:paraId="5631B819">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vAlign w:val="center"/>
          </w:tcPr>
          <w:p w14:paraId="56A97447">
            <w:pPr>
              <w:widowControl/>
              <w:rPr>
                <w:rFonts w:ascii="宋体" w:hAnsi="宋体"/>
                <w:color w:val="auto"/>
                <w:kern w:val="0"/>
                <w:sz w:val="22"/>
                <w:szCs w:val="22"/>
              </w:rPr>
            </w:pPr>
            <w:r>
              <w:rPr>
                <w:rFonts w:hint="eastAsia" w:ascii="宋体" w:hAnsi="宋体"/>
                <w:color w:val="auto"/>
                <w:kern w:val="0"/>
                <w:sz w:val="22"/>
                <w:szCs w:val="22"/>
              </w:rPr>
              <w:t>特殊孔位及接口</w:t>
            </w:r>
          </w:p>
        </w:tc>
        <w:tc>
          <w:tcPr>
            <w:tcW w:w="2740" w:type="pct"/>
            <w:tcBorders>
              <w:top w:val="single" w:color="auto" w:sz="4" w:space="0"/>
              <w:left w:val="single" w:color="auto" w:sz="4" w:space="0"/>
              <w:bottom w:val="single" w:color="auto" w:sz="4" w:space="0"/>
              <w:right w:val="single" w:color="auto" w:sz="4" w:space="0"/>
            </w:tcBorders>
          </w:tcPr>
          <w:p w14:paraId="6D8A258F">
            <w:pPr>
              <w:widowControl/>
              <w:rPr>
                <w:rFonts w:ascii="宋体" w:hAnsi="宋体"/>
                <w:color w:val="auto"/>
                <w:kern w:val="0"/>
                <w:sz w:val="22"/>
                <w:szCs w:val="22"/>
              </w:rPr>
            </w:pPr>
            <w:r>
              <w:rPr>
                <w:rFonts w:hint="eastAsia" w:ascii="宋体" w:hAnsi="宋体"/>
                <w:color w:val="auto"/>
                <w:kern w:val="0"/>
                <w:sz w:val="22"/>
                <w:szCs w:val="22"/>
              </w:rPr>
              <w:t xml:space="preserve">a）预留满足USB3.0数据传输规范的接口，工作电压5V，最大过电流应不小于3A； </w:t>
            </w:r>
            <w:r>
              <w:rPr>
                <w:rFonts w:hint="eastAsia" w:ascii="宋体" w:hAnsi="宋体"/>
                <w:color w:val="auto"/>
                <w:kern w:val="0"/>
                <w:sz w:val="22"/>
                <w:szCs w:val="22"/>
              </w:rPr>
              <w:br w:type="textWrapping"/>
            </w:r>
            <w:r>
              <w:rPr>
                <w:rFonts w:hint="eastAsia" w:ascii="宋体" w:hAnsi="宋体"/>
                <w:color w:val="auto"/>
                <w:kern w:val="0"/>
                <w:sz w:val="22"/>
                <w:szCs w:val="22"/>
              </w:rPr>
              <w:t>b) 预留多功能导入装置板卡安装孔位，采用内置方式与主机一体化集成，容量不小于145mm×125mm×16.5mm（长×宽×高）</w:t>
            </w:r>
          </w:p>
        </w:tc>
      </w:tr>
      <w:tr w14:paraId="5798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3D585A79">
            <w:pPr>
              <w:widowControl/>
              <w:jc w:val="center"/>
              <w:rPr>
                <w:rFonts w:ascii="宋体" w:hAnsi="宋体"/>
                <w:color w:val="auto"/>
                <w:kern w:val="0"/>
                <w:sz w:val="22"/>
                <w:szCs w:val="22"/>
              </w:rPr>
            </w:pPr>
            <w:r>
              <w:rPr>
                <w:rFonts w:hint="eastAsia" w:ascii="宋体" w:hAnsi="宋体"/>
                <w:color w:val="auto"/>
                <w:kern w:val="0"/>
                <w:sz w:val="22"/>
                <w:szCs w:val="22"/>
              </w:rPr>
              <w:t>9</w:t>
            </w:r>
          </w:p>
        </w:tc>
        <w:tc>
          <w:tcPr>
            <w:tcW w:w="0" w:type="auto"/>
            <w:vMerge w:val="continue"/>
            <w:tcBorders>
              <w:top w:val="nil"/>
              <w:left w:val="single" w:color="auto" w:sz="4" w:space="0"/>
              <w:bottom w:val="single" w:color="auto" w:sz="4" w:space="0"/>
              <w:right w:val="single" w:color="auto" w:sz="4" w:space="0"/>
            </w:tcBorders>
            <w:vAlign w:val="center"/>
          </w:tcPr>
          <w:p w14:paraId="590CCCCA">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vAlign w:val="center"/>
          </w:tcPr>
          <w:p w14:paraId="2BDF14F9">
            <w:pPr>
              <w:widowControl/>
              <w:rPr>
                <w:rFonts w:ascii="宋体" w:hAnsi="宋体"/>
                <w:color w:val="auto"/>
                <w:kern w:val="0"/>
                <w:sz w:val="22"/>
                <w:szCs w:val="22"/>
              </w:rPr>
            </w:pPr>
            <w:r>
              <w:rPr>
                <w:rFonts w:hint="eastAsia" w:ascii="宋体" w:hAnsi="宋体"/>
                <w:color w:val="auto"/>
                <w:kern w:val="0"/>
                <w:sz w:val="22"/>
                <w:szCs w:val="22"/>
              </w:rPr>
              <w:t xml:space="preserve"> ▲主板其他内置接口</w:t>
            </w:r>
          </w:p>
        </w:tc>
        <w:tc>
          <w:tcPr>
            <w:tcW w:w="2740" w:type="pct"/>
            <w:tcBorders>
              <w:top w:val="single" w:color="auto" w:sz="4" w:space="0"/>
              <w:left w:val="single" w:color="auto" w:sz="4" w:space="0"/>
              <w:bottom w:val="single" w:color="auto" w:sz="4" w:space="0"/>
              <w:right w:val="single" w:color="auto" w:sz="4" w:space="0"/>
            </w:tcBorders>
          </w:tcPr>
          <w:p w14:paraId="760B21F4">
            <w:pPr>
              <w:widowControl/>
              <w:rPr>
                <w:rFonts w:ascii="宋体" w:hAnsi="宋体"/>
                <w:color w:val="auto"/>
                <w:kern w:val="0"/>
                <w:sz w:val="22"/>
                <w:szCs w:val="22"/>
              </w:rPr>
            </w:pPr>
            <w:r>
              <w:rPr>
                <w:rFonts w:hint="eastAsia" w:ascii="宋体" w:hAnsi="宋体"/>
                <w:color w:val="auto"/>
                <w:kern w:val="0"/>
                <w:sz w:val="22"/>
                <w:szCs w:val="22"/>
              </w:rPr>
              <w:t>标配 2 个 M.2 硬盘插槽，1 个全高 PCI</w:t>
            </w:r>
          </w:p>
        </w:tc>
      </w:tr>
      <w:tr w14:paraId="7B31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002327A1">
            <w:pPr>
              <w:widowControl/>
              <w:jc w:val="center"/>
              <w:rPr>
                <w:rFonts w:ascii="宋体" w:hAnsi="宋体"/>
                <w:color w:val="auto"/>
                <w:kern w:val="0"/>
                <w:sz w:val="22"/>
                <w:szCs w:val="22"/>
              </w:rPr>
            </w:pPr>
            <w:r>
              <w:rPr>
                <w:rFonts w:hint="eastAsia" w:ascii="宋体" w:hAnsi="宋体"/>
                <w:color w:val="auto"/>
                <w:kern w:val="0"/>
                <w:sz w:val="22"/>
                <w:szCs w:val="22"/>
              </w:rPr>
              <w:t>10</w:t>
            </w:r>
          </w:p>
        </w:tc>
        <w:tc>
          <w:tcPr>
            <w:tcW w:w="0" w:type="auto"/>
            <w:vMerge w:val="continue"/>
            <w:tcBorders>
              <w:top w:val="nil"/>
              <w:left w:val="single" w:color="auto" w:sz="4" w:space="0"/>
              <w:bottom w:val="single" w:color="auto" w:sz="4" w:space="0"/>
              <w:right w:val="single" w:color="auto" w:sz="4" w:space="0"/>
            </w:tcBorders>
            <w:vAlign w:val="center"/>
          </w:tcPr>
          <w:p w14:paraId="27D30BB5">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vAlign w:val="center"/>
          </w:tcPr>
          <w:p w14:paraId="6D3C6A01">
            <w:pPr>
              <w:widowControl/>
              <w:rPr>
                <w:rFonts w:ascii="宋体" w:hAnsi="宋体"/>
                <w:color w:val="auto"/>
                <w:kern w:val="0"/>
                <w:sz w:val="22"/>
                <w:szCs w:val="22"/>
              </w:rPr>
            </w:pPr>
            <w:r>
              <w:rPr>
                <w:rFonts w:hint="eastAsia" w:ascii="宋体" w:hAnsi="宋体"/>
                <w:color w:val="auto"/>
                <w:kern w:val="0"/>
                <w:sz w:val="22"/>
                <w:szCs w:val="22"/>
              </w:rPr>
              <w:t xml:space="preserve"> ▲单内存插槽最大可支持容量（板载内存不涉及）</w:t>
            </w:r>
          </w:p>
        </w:tc>
        <w:tc>
          <w:tcPr>
            <w:tcW w:w="2740" w:type="pct"/>
            <w:tcBorders>
              <w:top w:val="single" w:color="auto" w:sz="4" w:space="0"/>
              <w:left w:val="single" w:color="auto" w:sz="4" w:space="0"/>
              <w:bottom w:val="single" w:color="auto" w:sz="4" w:space="0"/>
              <w:right w:val="single" w:color="auto" w:sz="4" w:space="0"/>
            </w:tcBorders>
          </w:tcPr>
          <w:p w14:paraId="1A591DED">
            <w:pPr>
              <w:widowControl/>
              <w:rPr>
                <w:rFonts w:ascii="宋体" w:hAnsi="宋体"/>
                <w:color w:val="auto"/>
                <w:kern w:val="0"/>
                <w:sz w:val="22"/>
                <w:szCs w:val="22"/>
              </w:rPr>
            </w:pPr>
            <w:r>
              <w:rPr>
                <w:rFonts w:hint="eastAsia" w:ascii="宋体" w:hAnsi="宋体"/>
                <w:color w:val="auto"/>
                <w:kern w:val="0"/>
                <w:sz w:val="22"/>
                <w:szCs w:val="22"/>
              </w:rPr>
              <w:t>≥32GB</w:t>
            </w:r>
          </w:p>
        </w:tc>
      </w:tr>
      <w:tr w14:paraId="7EB2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195C31B8">
            <w:pPr>
              <w:widowControl/>
              <w:rPr>
                <w:rFonts w:ascii="宋体" w:hAnsi="宋体"/>
                <w:color w:val="auto"/>
                <w:kern w:val="0"/>
                <w:sz w:val="22"/>
                <w:szCs w:val="22"/>
              </w:rPr>
            </w:pPr>
            <w:r>
              <w:rPr>
                <w:rFonts w:hint="eastAsia" w:ascii="宋体" w:hAnsi="宋体"/>
                <w:color w:val="auto"/>
                <w:kern w:val="0"/>
                <w:sz w:val="22"/>
                <w:szCs w:val="22"/>
              </w:rPr>
              <w:t>11</w:t>
            </w:r>
          </w:p>
        </w:tc>
        <w:tc>
          <w:tcPr>
            <w:tcW w:w="0" w:type="auto"/>
            <w:vMerge w:val="continue"/>
            <w:tcBorders>
              <w:top w:val="nil"/>
              <w:left w:val="single" w:color="auto" w:sz="4" w:space="0"/>
              <w:bottom w:val="single" w:color="auto" w:sz="4" w:space="0"/>
              <w:right w:val="single" w:color="auto" w:sz="4" w:space="0"/>
            </w:tcBorders>
            <w:vAlign w:val="center"/>
          </w:tcPr>
          <w:p w14:paraId="798ABDEC">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663D8983">
            <w:pPr>
              <w:widowControl/>
              <w:rPr>
                <w:rFonts w:ascii="宋体" w:hAnsi="宋体"/>
                <w:color w:val="auto"/>
                <w:kern w:val="0"/>
                <w:sz w:val="22"/>
                <w:szCs w:val="22"/>
              </w:rPr>
            </w:pPr>
            <w:r>
              <w:rPr>
                <w:rFonts w:hint="eastAsia" w:ascii="宋体" w:hAnsi="宋体"/>
                <w:color w:val="auto"/>
                <w:kern w:val="0"/>
                <w:sz w:val="22"/>
                <w:szCs w:val="22"/>
              </w:rPr>
              <w:t xml:space="preserve"> ▲内存插槽满配时提供的最高内存总容量</w:t>
            </w:r>
          </w:p>
        </w:tc>
        <w:tc>
          <w:tcPr>
            <w:tcW w:w="2740" w:type="pct"/>
            <w:tcBorders>
              <w:top w:val="single" w:color="auto" w:sz="4" w:space="0"/>
              <w:left w:val="single" w:color="auto" w:sz="4" w:space="0"/>
              <w:bottom w:val="single" w:color="auto" w:sz="4" w:space="0"/>
              <w:right w:val="single" w:color="auto" w:sz="4" w:space="0"/>
            </w:tcBorders>
          </w:tcPr>
          <w:p w14:paraId="355832EE">
            <w:pPr>
              <w:widowControl/>
              <w:rPr>
                <w:rFonts w:ascii="宋体" w:hAnsi="宋体"/>
                <w:color w:val="auto"/>
                <w:kern w:val="0"/>
                <w:sz w:val="22"/>
                <w:szCs w:val="22"/>
              </w:rPr>
            </w:pPr>
            <w:r>
              <w:rPr>
                <w:rFonts w:hint="eastAsia" w:ascii="宋体" w:hAnsi="宋体"/>
                <w:color w:val="auto"/>
                <w:kern w:val="0"/>
                <w:sz w:val="22"/>
                <w:szCs w:val="22"/>
              </w:rPr>
              <w:t>≥64GB</w:t>
            </w:r>
          </w:p>
        </w:tc>
      </w:tr>
      <w:tr w14:paraId="7CD1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1F4C1A07">
            <w:pPr>
              <w:widowControl/>
              <w:rPr>
                <w:rFonts w:ascii="宋体" w:hAnsi="宋体"/>
                <w:color w:val="auto"/>
                <w:kern w:val="0"/>
                <w:sz w:val="22"/>
                <w:szCs w:val="22"/>
              </w:rPr>
            </w:pPr>
            <w:r>
              <w:rPr>
                <w:rFonts w:hint="eastAsia" w:ascii="宋体" w:hAnsi="宋体"/>
                <w:color w:val="auto"/>
                <w:kern w:val="0"/>
                <w:sz w:val="22"/>
                <w:szCs w:val="22"/>
              </w:rPr>
              <w:t>12</w:t>
            </w:r>
          </w:p>
        </w:tc>
        <w:tc>
          <w:tcPr>
            <w:tcW w:w="555" w:type="pct"/>
            <w:vMerge w:val="restart"/>
            <w:tcBorders>
              <w:top w:val="nil"/>
              <w:left w:val="single" w:color="auto" w:sz="4" w:space="0"/>
              <w:bottom w:val="single" w:color="auto" w:sz="4" w:space="0"/>
              <w:right w:val="single" w:color="auto" w:sz="4" w:space="0"/>
            </w:tcBorders>
            <w:vAlign w:val="center"/>
          </w:tcPr>
          <w:p w14:paraId="019EFAAD">
            <w:pPr>
              <w:widowControl/>
              <w:rPr>
                <w:rFonts w:ascii="宋体" w:hAnsi="宋体"/>
                <w:color w:val="auto"/>
                <w:kern w:val="0"/>
                <w:sz w:val="22"/>
                <w:szCs w:val="22"/>
              </w:rPr>
            </w:pPr>
            <w:r>
              <w:rPr>
                <w:rFonts w:hint="eastAsia" w:ascii="宋体" w:hAnsi="宋体"/>
                <w:color w:val="auto"/>
                <w:kern w:val="0"/>
                <w:sz w:val="22"/>
                <w:szCs w:val="22"/>
              </w:rPr>
              <w:t>▲存储设备规格</w:t>
            </w:r>
          </w:p>
        </w:tc>
        <w:tc>
          <w:tcPr>
            <w:tcW w:w="1356" w:type="pct"/>
            <w:tcBorders>
              <w:top w:val="single" w:color="auto" w:sz="4" w:space="0"/>
              <w:left w:val="single" w:color="auto" w:sz="4" w:space="0"/>
              <w:bottom w:val="single" w:color="auto" w:sz="4" w:space="0"/>
              <w:right w:val="single" w:color="auto" w:sz="4" w:space="0"/>
            </w:tcBorders>
          </w:tcPr>
          <w:p w14:paraId="28E0D388">
            <w:pPr>
              <w:widowControl/>
              <w:rPr>
                <w:rFonts w:ascii="宋体" w:hAnsi="宋体"/>
                <w:color w:val="auto"/>
                <w:kern w:val="0"/>
                <w:sz w:val="22"/>
                <w:szCs w:val="22"/>
              </w:rPr>
            </w:pPr>
            <w:r>
              <w:rPr>
                <w:rFonts w:hint="eastAsia" w:ascii="宋体" w:hAnsi="宋体"/>
                <w:color w:val="auto"/>
                <w:kern w:val="0"/>
                <w:sz w:val="22"/>
                <w:szCs w:val="22"/>
              </w:rPr>
              <w:t xml:space="preserve"> ▲固态盘数量</w:t>
            </w:r>
          </w:p>
        </w:tc>
        <w:tc>
          <w:tcPr>
            <w:tcW w:w="2740" w:type="pct"/>
            <w:tcBorders>
              <w:top w:val="single" w:color="auto" w:sz="4" w:space="0"/>
              <w:left w:val="single" w:color="auto" w:sz="4" w:space="0"/>
              <w:bottom w:val="single" w:color="auto" w:sz="4" w:space="0"/>
              <w:right w:val="single" w:color="auto" w:sz="4" w:space="0"/>
            </w:tcBorders>
          </w:tcPr>
          <w:p w14:paraId="5E309082">
            <w:pPr>
              <w:widowControl/>
              <w:rPr>
                <w:rFonts w:ascii="宋体" w:hAnsi="宋体"/>
                <w:color w:val="auto"/>
                <w:kern w:val="0"/>
                <w:sz w:val="22"/>
                <w:szCs w:val="22"/>
              </w:rPr>
            </w:pPr>
            <w:r>
              <w:rPr>
                <w:rFonts w:hint="eastAsia" w:ascii="宋体" w:hAnsi="宋体"/>
                <w:color w:val="auto"/>
                <w:kern w:val="0"/>
                <w:sz w:val="22"/>
                <w:szCs w:val="22"/>
              </w:rPr>
              <w:t>≥1个</w:t>
            </w:r>
          </w:p>
        </w:tc>
      </w:tr>
      <w:tr w14:paraId="094D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783CBA6A">
            <w:pPr>
              <w:widowControl/>
              <w:rPr>
                <w:rFonts w:ascii="宋体" w:hAnsi="宋体"/>
                <w:color w:val="auto"/>
                <w:kern w:val="0"/>
                <w:sz w:val="22"/>
                <w:szCs w:val="22"/>
              </w:rPr>
            </w:pPr>
            <w:r>
              <w:rPr>
                <w:rFonts w:hint="eastAsia" w:ascii="宋体" w:hAnsi="宋体"/>
                <w:color w:val="auto"/>
                <w:kern w:val="0"/>
                <w:sz w:val="22"/>
                <w:szCs w:val="22"/>
              </w:rPr>
              <w:t>13</w:t>
            </w:r>
          </w:p>
        </w:tc>
        <w:tc>
          <w:tcPr>
            <w:tcW w:w="0" w:type="auto"/>
            <w:vMerge w:val="continue"/>
            <w:tcBorders>
              <w:top w:val="nil"/>
              <w:left w:val="single" w:color="auto" w:sz="4" w:space="0"/>
              <w:bottom w:val="single" w:color="auto" w:sz="4" w:space="0"/>
              <w:right w:val="single" w:color="auto" w:sz="4" w:space="0"/>
            </w:tcBorders>
            <w:vAlign w:val="center"/>
          </w:tcPr>
          <w:p w14:paraId="2B0392F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320CEAEA">
            <w:pPr>
              <w:widowControl/>
              <w:rPr>
                <w:rFonts w:ascii="宋体" w:hAnsi="宋体"/>
                <w:color w:val="auto"/>
                <w:kern w:val="0"/>
                <w:sz w:val="22"/>
                <w:szCs w:val="22"/>
              </w:rPr>
            </w:pPr>
            <w:r>
              <w:rPr>
                <w:rFonts w:hint="eastAsia" w:ascii="宋体" w:hAnsi="宋体"/>
                <w:color w:val="auto"/>
                <w:kern w:val="0"/>
                <w:sz w:val="22"/>
                <w:szCs w:val="22"/>
              </w:rPr>
              <w:t xml:space="preserve"> ▲固态存储容量</w:t>
            </w:r>
          </w:p>
        </w:tc>
        <w:tc>
          <w:tcPr>
            <w:tcW w:w="2740" w:type="pct"/>
            <w:tcBorders>
              <w:top w:val="single" w:color="auto" w:sz="4" w:space="0"/>
              <w:left w:val="single" w:color="auto" w:sz="4" w:space="0"/>
              <w:bottom w:val="single" w:color="auto" w:sz="4" w:space="0"/>
              <w:right w:val="single" w:color="auto" w:sz="4" w:space="0"/>
            </w:tcBorders>
            <w:vAlign w:val="center"/>
          </w:tcPr>
          <w:p w14:paraId="7483F57B">
            <w:pPr>
              <w:widowControl/>
              <w:jc w:val="left"/>
              <w:textAlignment w:val="center"/>
              <w:rPr>
                <w:rFonts w:ascii="宋体" w:hAnsi="宋体"/>
                <w:color w:val="auto"/>
                <w:kern w:val="0"/>
                <w:sz w:val="22"/>
                <w:szCs w:val="22"/>
              </w:rPr>
            </w:pPr>
            <w:r>
              <w:rPr>
                <w:rFonts w:hint="eastAsia" w:ascii="宋体" w:hAnsi="宋体"/>
                <w:color w:val="auto"/>
                <w:kern w:val="0"/>
                <w:sz w:val="22"/>
                <w:szCs w:val="22"/>
              </w:rPr>
              <w:t>≥1TB M.2 PCIe</w:t>
            </w:r>
          </w:p>
        </w:tc>
      </w:tr>
      <w:tr w14:paraId="3953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2D8BF49D">
            <w:pPr>
              <w:widowControl/>
              <w:rPr>
                <w:rFonts w:ascii="宋体" w:hAnsi="宋体"/>
                <w:color w:val="auto"/>
                <w:kern w:val="0"/>
                <w:sz w:val="22"/>
                <w:szCs w:val="22"/>
              </w:rPr>
            </w:pPr>
            <w:r>
              <w:rPr>
                <w:rFonts w:hint="eastAsia" w:ascii="宋体" w:hAnsi="宋体"/>
                <w:color w:val="auto"/>
                <w:kern w:val="0"/>
                <w:sz w:val="22"/>
                <w:szCs w:val="22"/>
              </w:rPr>
              <w:t>14</w:t>
            </w:r>
          </w:p>
        </w:tc>
        <w:tc>
          <w:tcPr>
            <w:tcW w:w="0" w:type="auto"/>
            <w:vMerge w:val="continue"/>
            <w:tcBorders>
              <w:top w:val="nil"/>
              <w:left w:val="single" w:color="auto" w:sz="4" w:space="0"/>
              <w:bottom w:val="single" w:color="auto" w:sz="4" w:space="0"/>
              <w:right w:val="single" w:color="auto" w:sz="4" w:space="0"/>
            </w:tcBorders>
            <w:vAlign w:val="center"/>
          </w:tcPr>
          <w:p w14:paraId="3D73D38D">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AD931C8">
            <w:pPr>
              <w:widowControl/>
              <w:rPr>
                <w:rFonts w:ascii="宋体" w:hAnsi="宋体"/>
                <w:color w:val="auto"/>
                <w:kern w:val="0"/>
                <w:sz w:val="22"/>
                <w:szCs w:val="22"/>
              </w:rPr>
            </w:pPr>
            <w:r>
              <w:rPr>
                <w:rFonts w:hint="eastAsia" w:ascii="宋体" w:hAnsi="宋体"/>
                <w:color w:val="auto"/>
                <w:kern w:val="0"/>
                <w:sz w:val="22"/>
                <w:szCs w:val="22"/>
              </w:rPr>
              <w:t>机械硬盘数量</w:t>
            </w:r>
          </w:p>
        </w:tc>
        <w:tc>
          <w:tcPr>
            <w:tcW w:w="2740" w:type="pct"/>
            <w:tcBorders>
              <w:top w:val="single" w:color="auto" w:sz="4" w:space="0"/>
              <w:left w:val="single" w:color="auto" w:sz="4" w:space="0"/>
              <w:bottom w:val="single" w:color="auto" w:sz="4" w:space="0"/>
              <w:right w:val="single" w:color="auto" w:sz="4" w:space="0"/>
            </w:tcBorders>
          </w:tcPr>
          <w:p w14:paraId="62D536EF">
            <w:pPr>
              <w:widowControl/>
              <w:rPr>
                <w:rFonts w:ascii="宋体" w:hAnsi="宋体"/>
                <w:color w:val="auto"/>
                <w:kern w:val="0"/>
                <w:sz w:val="22"/>
                <w:szCs w:val="22"/>
              </w:rPr>
            </w:pPr>
            <w:r>
              <w:rPr>
                <w:rFonts w:hint="eastAsia" w:ascii="宋体" w:hAnsi="宋体"/>
                <w:color w:val="auto"/>
                <w:kern w:val="0"/>
                <w:sz w:val="22"/>
                <w:szCs w:val="22"/>
              </w:rPr>
              <w:t>/</w:t>
            </w:r>
          </w:p>
        </w:tc>
      </w:tr>
      <w:tr w14:paraId="1DD7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0D374B61">
            <w:pPr>
              <w:widowControl/>
              <w:rPr>
                <w:rFonts w:ascii="宋体" w:hAnsi="宋体"/>
                <w:color w:val="auto"/>
                <w:kern w:val="0"/>
                <w:sz w:val="22"/>
                <w:szCs w:val="22"/>
              </w:rPr>
            </w:pPr>
            <w:r>
              <w:rPr>
                <w:rFonts w:hint="eastAsia" w:ascii="宋体" w:hAnsi="宋体"/>
                <w:color w:val="auto"/>
                <w:kern w:val="0"/>
                <w:sz w:val="22"/>
                <w:szCs w:val="22"/>
              </w:rPr>
              <w:t>15</w:t>
            </w:r>
          </w:p>
        </w:tc>
        <w:tc>
          <w:tcPr>
            <w:tcW w:w="0" w:type="auto"/>
            <w:vMerge w:val="continue"/>
            <w:tcBorders>
              <w:top w:val="nil"/>
              <w:left w:val="single" w:color="auto" w:sz="4" w:space="0"/>
              <w:bottom w:val="single" w:color="auto" w:sz="4" w:space="0"/>
              <w:right w:val="single" w:color="auto" w:sz="4" w:space="0"/>
            </w:tcBorders>
            <w:vAlign w:val="center"/>
          </w:tcPr>
          <w:p w14:paraId="27D0E9FA">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683CA512">
            <w:pPr>
              <w:widowControl/>
              <w:rPr>
                <w:rFonts w:ascii="宋体" w:hAnsi="宋体"/>
                <w:color w:val="auto"/>
                <w:kern w:val="0"/>
                <w:sz w:val="22"/>
                <w:szCs w:val="22"/>
              </w:rPr>
            </w:pPr>
            <w:r>
              <w:rPr>
                <w:rFonts w:hint="eastAsia" w:ascii="宋体" w:hAnsi="宋体"/>
                <w:color w:val="auto"/>
                <w:kern w:val="0"/>
                <w:sz w:val="22"/>
                <w:szCs w:val="22"/>
              </w:rPr>
              <w:t>机械硬盘总容量</w:t>
            </w:r>
          </w:p>
        </w:tc>
        <w:tc>
          <w:tcPr>
            <w:tcW w:w="2740" w:type="pct"/>
            <w:tcBorders>
              <w:top w:val="single" w:color="auto" w:sz="4" w:space="0"/>
              <w:left w:val="single" w:color="auto" w:sz="4" w:space="0"/>
              <w:bottom w:val="single" w:color="auto" w:sz="4" w:space="0"/>
              <w:right w:val="single" w:color="auto" w:sz="4" w:space="0"/>
            </w:tcBorders>
          </w:tcPr>
          <w:p w14:paraId="170D6752">
            <w:pPr>
              <w:widowControl/>
              <w:rPr>
                <w:rFonts w:ascii="宋体" w:hAnsi="宋体"/>
                <w:color w:val="auto"/>
                <w:kern w:val="0"/>
                <w:sz w:val="22"/>
                <w:szCs w:val="22"/>
              </w:rPr>
            </w:pPr>
            <w:r>
              <w:rPr>
                <w:rFonts w:hint="eastAsia" w:ascii="宋体" w:hAnsi="宋体"/>
                <w:color w:val="auto"/>
                <w:kern w:val="0"/>
                <w:sz w:val="22"/>
                <w:szCs w:val="22"/>
              </w:rPr>
              <w:t>/</w:t>
            </w:r>
          </w:p>
        </w:tc>
      </w:tr>
      <w:tr w14:paraId="347A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18392E6F">
            <w:pPr>
              <w:widowControl/>
              <w:rPr>
                <w:rFonts w:ascii="宋体" w:hAnsi="宋体"/>
                <w:color w:val="auto"/>
                <w:kern w:val="0"/>
                <w:sz w:val="22"/>
                <w:szCs w:val="22"/>
              </w:rPr>
            </w:pPr>
            <w:r>
              <w:rPr>
                <w:rFonts w:hint="eastAsia" w:ascii="宋体" w:hAnsi="宋体"/>
                <w:color w:val="auto"/>
                <w:kern w:val="0"/>
                <w:sz w:val="22"/>
                <w:szCs w:val="22"/>
              </w:rPr>
              <w:t>16</w:t>
            </w:r>
          </w:p>
        </w:tc>
        <w:tc>
          <w:tcPr>
            <w:tcW w:w="0" w:type="auto"/>
            <w:vMerge w:val="continue"/>
            <w:tcBorders>
              <w:top w:val="nil"/>
              <w:left w:val="single" w:color="auto" w:sz="4" w:space="0"/>
              <w:bottom w:val="single" w:color="auto" w:sz="4" w:space="0"/>
              <w:right w:val="single" w:color="auto" w:sz="4" w:space="0"/>
            </w:tcBorders>
            <w:vAlign w:val="center"/>
          </w:tcPr>
          <w:p w14:paraId="20EC9403">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37025012">
            <w:pPr>
              <w:widowControl/>
              <w:rPr>
                <w:rFonts w:ascii="宋体" w:hAnsi="宋体"/>
                <w:color w:val="auto"/>
                <w:kern w:val="0"/>
                <w:sz w:val="22"/>
                <w:szCs w:val="22"/>
              </w:rPr>
            </w:pPr>
            <w:r>
              <w:rPr>
                <w:rFonts w:hint="eastAsia" w:ascii="宋体" w:hAnsi="宋体"/>
                <w:color w:val="auto"/>
                <w:kern w:val="0"/>
                <w:sz w:val="22"/>
                <w:szCs w:val="22"/>
              </w:rPr>
              <w:t>机械硬盘转速</w:t>
            </w:r>
          </w:p>
        </w:tc>
        <w:tc>
          <w:tcPr>
            <w:tcW w:w="2740" w:type="pct"/>
            <w:tcBorders>
              <w:top w:val="single" w:color="auto" w:sz="4" w:space="0"/>
              <w:left w:val="single" w:color="auto" w:sz="4" w:space="0"/>
              <w:bottom w:val="single" w:color="auto" w:sz="4" w:space="0"/>
              <w:right w:val="single" w:color="auto" w:sz="4" w:space="0"/>
            </w:tcBorders>
          </w:tcPr>
          <w:p w14:paraId="32C5BC57">
            <w:pPr>
              <w:widowControl/>
              <w:rPr>
                <w:rFonts w:ascii="宋体" w:hAnsi="宋体"/>
                <w:color w:val="auto"/>
                <w:kern w:val="0"/>
                <w:sz w:val="22"/>
                <w:szCs w:val="22"/>
              </w:rPr>
            </w:pPr>
            <w:r>
              <w:rPr>
                <w:rFonts w:hint="eastAsia" w:ascii="宋体" w:hAnsi="宋体"/>
                <w:color w:val="auto"/>
                <w:kern w:val="0"/>
                <w:sz w:val="22"/>
                <w:szCs w:val="22"/>
              </w:rPr>
              <w:t>/</w:t>
            </w:r>
          </w:p>
        </w:tc>
      </w:tr>
      <w:tr w14:paraId="4E5C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47" w:type="pct"/>
            <w:tcBorders>
              <w:top w:val="single" w:color="auto" w:sz="4" w:space="0"/>
              <w:left w:val="single" w:color="auto" w:sz="4" w:space="0"/>
              <w:bottom w:val="single" w:color="auto" w:sz="4" w:space="0"/>
              <w:right w:val="single" w:color="auto" w:sz="4" w:space="0"/>
            </w:tcBorders>
          </w:tcPr>
          <w:p w14:paraId="0F32A5BC">
            <w:pPr>
              <w:widowControl/>
              <w:rPr>
                <w:rFonts w:ascii="宋体" w:hAnsi="宋体"/>
                <w:color w:val="auto"/>
                <w:kern w:val="0"/>
                <w:sz w:val="22"/>
                <w:szCs w:val="22"/>
              </w:rPr>
            </w:pPr>
            <w:r>
              <w:rPr>
                <w:rFonts w:hint="eastAsia" w:ascii="宋体" w:hAnsi="宋体"/>
                <w:color w:val="auto"/>
                <w:kern w:val="0"/>
                <w:sz w:val="22"/>
                <w:szCs w:val="22"/>
              </w:rPr>
              <w:t>17</w:t>
            </w:r>
          </w:p>
        </w:tc>
        <w:tc>
          <w:tcPr>
            <w:tcW w:w="0" w:type="auto"/>
            <w:vMerge w:val="continue"/>
            <w:tcBorders>
              <w:top w:val="nil"/>
              <w:left w:val="single" w:color="auto" w:sz="4" w:space="0"/>
              <w:bottom w:val="single" w:color="auto" w:sz="4" w:space="0"/>
              <w:right w:val="single" w:color="auto" w:sz="4" w:space="0"/>
            </w:tcBorders>
            <w:vAlign w:val="center"/>
          </w:tcPr>
          <w:p w14:paraId="47382678">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7A1F1CAA">
            <w:pPr>
              <w:widowControl/>
              <w:rPr>
                <w:rFonts w:ascii="宋体" w:hAnsi="宋体"/>
                <w:color w:val="auto"/>
                <w:kern w:val="0"/>
                <w:sz w:val="22"/>
                <w:szCs w:val="22"/>
              </w:rPr>
            </w:pPr>
            <w:r>
              <w:rPr>
                <w:rFonts w:hint="eastAsia" w:ascii="宋体" w:hAnsi="宋体"/>
                <w:color w:val="auto"/>
                <w:kern w:val="0"/>
                <w:sz w:val="22"/>
                <w:szCs w:val="22"/>
              </w:rPr>
              <w:t>机械硬盘接口协议</w:t>
            </w:r>
          </w:p>
        </w:tc>
        <w:tc>
          <w:tcPr>
            <w:tcW w:w="2740" w:type="pct"/>
            <w:tcBorders>
              <w:top w:val="single" w:color="auto" w:sz="4" w:space="0"/>
              <w:left w:val="single" w:color="auto" w:sz="4" w:space="0"/>
              <w:bottom w:val="single" w:color="auto" w:sz="4" w:space="0"/>
              <w:right w:val="single" w:color="auto" w:sz="4" w:space="0"/>
            </w:tcBorders>
          </w:tcPr>
          <w:p w14:paraId="771BD364">
            <w:pPr>
              <w:widowControl/>
              <w:rPr>
                <w:rFonts w:ascii="宋体" w:hAnsi="宋体"/>
                <w:color w:val="auto"/>
                <w:kern w:val="0"/>
                <w:sz w:val="22"/>
                <w:szCs w:val="22"/>
              </w:rPr>
            </w:pPr>
            <w:r>
              <w:rPr>
                <w:rFonts w:hint="eastAsia" w:ascii="宋体" w:hAnsi="宋体"/>
                <w:color w:val="auto"/>
                <w:kern w:val="0"/>
                <w:sz w:val="22"/>
                <w:szCs w:val="22"/>
              </w:rPr>
              <w:t>/</w:t>
            </w:r>
          </w:p>
        </w:tc>
      </w:tr>
      <w:tr w14:paraId="289A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47" w:type="pct"/>
            <w:tcBorders>
              <w:top w:val="single" w:color="auto" w:sz="4" w:space="0"/>
              <w:left w:val="single" w:color="auto" w:sz="4" w:space="0"/>
              <w:bottom w:val="single" w:color="auto" w:sz="4" w:space="0"/>
              <w:right w:val="single" w:color="auto" w:sz="4" w:space="0"/>
            </w:tcBorders>
          </w:tcPr>
          <w:p w14:paraId="24711687">
            <w:pPr>
              <w:widowControl/>
              <w:rPr>
                <w:rFonts w:ascii="宋体" w:hAnsi="宋体"/>
                <w:color w:val="auto"/>
                <w:kern w:val="0"/>
                <w:sz w:val="22"/>
                <w:szCs w:val="22"/>
              </w:rPr>
            </w:pPr>
            <w:r>
              <w:rPr>
                <w:rFonts w:hint="eastAsia" w:ascii="宋体" w:hAnsi="宋体"/>
                <w:color w:val="auto"/>
                <w:kern w:val="0"/>
                <w:sz w:val="22"/>
                <w:szCs w:val="22"/>
              </w:rPr>
              <w:t>18</w:t>
            </w:r>
          </w:p>
        </w:tc>
        <w:tc>
          <w:tcPr>
            <w:tcW w:w="0" w:type="auto"/>
            <w:vMerge w:val="continue"/>
            <w:tcBorders>
              <w:top w:val="nil"/>
              <w:left w:val="single" w:color="auto" w:sz="4" w:space="0"/>
              <w:bottom w:val="single" w:color="auto" w:sz="4" w:space="0"/>
              <w:right w:val="single" w:color="auto" w:sz="4" w:space="0"/>
            </w:tcBorders>
            <w:vAlign w:val="center"/>
          </w:tcPr>
          <w:p w14:paraId="1384BC4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2643C878">
            <w:pPr>
              <w:widowControl/>
              <w:rPr>
                <w:rFonts w:ascii="宋体" w:hAnsi="宋体"/>
                <w:color w:val="auto"/>
                <w:kern w:val="0"/>
                <w:sz w:val="22"/>
                <w:szCs w:val="22"/>
              </w:rPr>
            </w:pPr>
            <w:r>
              <w:rPr>
                <w:rFonts w:hint="eastAsia" w:ascii="宋体" w:hAnsi="宋体"/>
                <w:color w:val="auto"/>
                <w:sz w:val="22"/>
                <w:szCs w:val="22"/>
              </w:rPr>
              <w:t>此项指标不做要求</w:t>
            </w:r>
          </w:p>
        </w:tc>
        <w:tc>
          <w:tcPr>
            <w:tcW w:w="2740" w:type="pct"/>
            <w:tcBorders>
              <w:top w:val="single" w:color="auto" w:sz="4" w:space="0"/>
              <w:left w:val="single" w:color="auto" w:sz="4" w:space="0"/>
              <w:bottom w:val="single" w:color="auto" w:sz="4" w:space="0"/>
              <w:right w:val="single" w:color="auto" w:sz="4" w:space="0"/>
            </w:tcBorders>
          </w:tcPr>
          <w:p w14:paraId="51B3FF80">
            <w:pPr>
              <w:widowControl/>
              <w:rPr>
                <w:rFonts w:ascii="宋体" w:hAnsi="宋体"/>
                <w:color w:val="auto"/>
                <w:kern w:val="0"/>
                <w:sz w:val="22"/>
                <w:szCs w:val="22"/>
              </w:rPr>
            </w:pPr>
            <w:r>
              <w:rPr>
                <w:rFonts w:hint="eastAsia" w:ascii="宋体" w:hAnsi="宋体"/>
                <w:color w:val="auto"/>
                <w:kern w:val="0"/>
                <w:sz w:val="22"/>
                <w:szCs w:val="22"/>
              </w:rPr>
              <w:t>/</w:t>
            </w:r>
          </w:p>
        </w:tc>
      </w:tr>
      <w:tr w14:paraId="2AF9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47" w:type="pct"/>
            <w:tcBorders>
              <w:top w:val="single" w:color="auto" w:sz="4" w:space="0"/>
              <w:left w:val="single" w:color="auto" w:sz="4" w:space="0"/>
              <w:bottom w:val="single" w:color="auto" w:sz="4" w:space="0"/>
              <w:right w:val="single" w:color="auto" w:sz="4" w:space="0"/>
            </w:tcBorders>
          </w:tcPr>
          <w:p w14:paraId="7C542C0C">
            <w:pPr>
              <w:widowControl/>
              <w:rPr>
                <w:rFonts w:ascii="宋体" w:hAnsi="宋体"/>
                <w:color w:val="auto"/>
                <w:kern w:val="0"/>
                <w:sz w:val="22"/>
                <w:szCs w:val="22"/>
              </w:rPr>
            </w:pPr>
            <w:r>
              <w:rPr>
                <w:rFonts w:hint="eastAsia" w:ascii="宋体" w:hAnsi="宋体"/>
                <w:color w:val="auto"/>
                <w:kern w:val="0"/>
                <w:sz w:val="22"/>
                <w:szCs w:val="22"/>
              </w:rPr>
              <w:t>19</w:t>
            </w:r>
          </w:p>
        </w:tc>
        <w:tc>
          <w:tcPr>
            <w:tcW w:w="0" w:type="auto"/>
            <w:vMerge w:val="continue"/>
            <w:tcBorders>
              <w:top w:val="nil"/>
              <w:left w:val="single" w:color="auto" w:sz="4" w:space="0"/>
              <w:bottom w:val="single" w:color="auto" w:sz="4" w:space="0"/>
              <w:right w:val="single" w:color="auto" w:sz="4" w:space="0"/>
            </w:tcBorders>
            <w:vAlign w:val="center"/>
          </w:tcPr>
          <w:p w14:paraId="6653808A">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20B41F60">
            <w:pPr>
              <w:widowControl/>
              <w:rPr>
                <w:rFonts w:ascii="宋体" w:hAnsi="宋体"/>
                <w:color w:val="auto"/>
                <w:kern w:val="0"/>
                <w:sz w:val="22"/>
                <w:szCs w:val="22"/>
              </w:rPr>
            </w:pPr>
            <w:r>
              <w:rPr>
                <w:rFonts w:hint="eastAsia" w:ascii="宋体" w:hAnsi="宋体"/>
                <w:color w:val="auto"/>
                <w:kern w:val="0"/>
                <w:sz w:val="22"/>
                <w:szCs w:val="22"/>
              </w:rPr>
              <w:t>固态存储接口协议</w:t>
            </w:r>
          </w:p>
        </w:tc>
        <w:tc>
          <w:tcPr>
            <w:tcW w:w="2740" w:type="pct"/>
            <w:tcBorders>
              <w:top w:val="single" w:color="auto" w:sz="4" w:space="0"/>
              <w:left w:val="single" w:color="auto" w:sz="4" w:space="0"/>
              <w:bottom w:val="single" w:color="auto" w:sz="4" w:space="0"/>
              <w:right w:val="single" w:color="auto" w:sz="4" w:space="0"/>
            </w:tcBorders>
          </w:tcPr>
          <w:p w14:paraId="1C98686F">
            <w:pPr>
              <w:widowControl/>
              <w:rPr>
                <w:rFonts w:ascii="宋体" w:hAnsi="宋体"/>
                <w:color w:val="auto"/>
                <w:kern w:val="0"/>
                <w:sz w:val="22"/>
                <w:szCs w:val="22"/>
              </w:rPr>
            </w:pPr>
            <w:r>
              <w:rPr>
                <w:rFonts w:hint="eastAsia" w:ascii="宋体" w:hAnsi="宋体"/>
                <w:color w:val="auto"/>
                <w:kern w:val="0"/>
                <w:sz w:val="22"/>
                <w:szCs w:val="22"/>
              </w:rPr>
              <w:t>UFS/PCIe/NVMe等类型接口协议</w:t>
            </w:r>
          </w:p>
        </w:tc>
      </w:tr>
      <w:tr w14:paraId="4BFA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347" w:type="pct"/>
            <w:tcBorders>
              <w:top w:val="single" w:color="auto" w:sz="4" w:space="0"/>
              <w:left w:val="single" w:color="auto" w:sz="4" w:space="0"/>
              <w:bottom w:val="single" w:color="auto" w:sz="4" w:space="0"/>
              <w:right w:val="single" w:color="auto" w:sz="4" w:space="0"/>
            </w:tcBorders>
          </w:tcPr>
          <w:p w14:paraId="3AB5298C">
            <w:pPr>
              <w:widowControl/>
              <w:rPr>
                <w:rFonts w:ascii="宋体" w:hAnsi="宋体"/>
                <w:color w:val="auto"/>
                <w:kern w:val="0"/>
                <w:sz w:val="22"/>
                <w:szCs w:val="22"/>
              </w:rPr>
            </w:pPr>
            <w:r>
              <w:rPr>
                <w:rFonts w:hint="eastAsia" w:ascii="宋体" w:hAnsi="宋体"/>
                <w:color w:val="auto"/>
                <w:kern w:val="0"/>
                <w:sz w:val="22"/>
                <w:szCs w:val="22"/>
              </w:rPr>
              <w:t>20</w:t>
            </w:r>
          </w:p>
        </w:tc>
        <w:tc>
          <w:tcPr>
            <w:tcW w:w="0" w:type="auto"/>
            <w:vMerge w:val="continue"/>
            <w:tcBorders>
              <w:top w:val="nil"/>
              <w:left w:val="single" w:color="auto" w:sz="4" w:space="0"/>
              <w:bottom w:val="single" w:color="auto" w:sz="4" w:space="0"/>
              <w:right w:val="single" w:color="auto" w:sz="4" w:space="0"/>
            </w:tcBorders>
            <w:vAlign w:val="center"/>
          </w:tcPr>
          <w:p w14:paraId="59267CE3">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2CA6A7FF">
            <w:pPr>
              <w:widowControl/>
              <w:rPr>
                <w:rFonts w:ascii="宋体" w:hAnsi="宋体"/>
                <w:color w:val="auto"/>
                <w:kern w:val="0"/>
                <w:sz w:val="22"/>
                <w:szCs w:val="22"/>
              </w:rPr>
            </w:pPr>
            <w:r>
              <w:rPr>
                <w:rFonts w:hint="eastAsia" w:ascii="宋体" w:hAnsi="宋体"/>
                <w:color w:val="auto"/>
                <w:kern w:val="0"/>
                <w:sz w:val="22"/>
                <w:szCs w:val="22"/>
              </w:rPr>
              <w:t xml:space="preserve"> ▲固态存储形态</w:t>
            </w:r>
          </w:p>
        </w:tc>
        <w:tc>
          <w:tcPr>
            <w:tcW w:w="2740" w:type="pct"/>
            <w:tcBorders>
              <w:top w:val="single" w:color="auto" w:sz="4" w:space="0"/>
              <w:left w:val="single" w:color="auto" w:sz="4" w:space="0"/>
              <w:bottom w:val="single" w:color="auto" w:sz="4" w:space="0"/>
              <w:right w:val="single" w:color="auto" w:sz="4" w:space="0"/>
            </w:tcBorders>
          </w:tcPr>
          <w:p w14:paraId="078AC109">
            <w:pPr>
              <w:widowControl/>
              <w:rPr>
                <w:rFonts w:ascii="宋体" w:hAnsi="宋体"/>
                <w:color w:val="auto"/>
                <w:kern w:val="0"/>
                <w:sz w:val="22"/>
                <w:szCs w:val="22"/>
              </w:rPr>
            </w:pPr>
            <w:r>
              <w:rPr>
                <w:rFonts w:hint="eastAsia" w:ascii="宋体" w:hAnsi="宋体"/>
                <w:color w:val="auto"/>
                <w:kern w:val="0"/>
                <w:sz w:val="22"/>
                <w:szCs w:val="22"/>
              </w:rPr>
              <w:t>采用插卡或板载等形态，可选用符合 M.2 或 2.5 寸 SATA 或 mSATA 等标准的插卡形态</w:t>
            </w:r>
          </w:p>
        </w:tc>
      </w:tr>
      <w:tr w14:paraId="1D19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3C105F89">
            <w:pPr>
              <w:widowControl/>
              <w:rPr>
                <w:rFonts w:ascii="宋体" w:hAnsi="宋体"/>
                <w:color w:val="auto"/>
                <w:kern w:val="0"/>
                <w:sz w:val="22"/>
                <w:szCs w:val="22"/>
              </w:rPr>
            </w:pPr>
            <w:r>
              <w:rPr>
                <w:rFonts w:hint="eastAsia" w:ascii="宋体" w:hAnsi="宋体"/>
                <w:color w:val="auto"/>
                <w:kern w:val="0"/>
                <w:sz w:val="22"/>
                <w:szCs w:val="22"/>
              </w:rPr>
              <w:t>21</w:t>
            </w:r>
          </w:p>
        </w:tc>
        <w:tc>
          <w:tcPr>
            <w:tcW w:w="0" w:type="auto"/>
            <w:vMerge w:val="continue"/>
            <w:tcBorders>
              <w:top w:val="nil"/>
              <w:left w:val="single" w:color="auto" w:sz="4" w:space="0"/>
              <w:bottom w:val="single" w:color="auto" w:sz="4" w:space="0"/>
              <w:right w:val="single" w:color="auto" w:sz="4" w:space="0"/>
            </w:tcBorders>
            <w:vAlign w:val="center"/>
          </w:tcPr>
          <w:p w14:paraId="4909E318">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34461116">
            <w:pPr>
              <w:widowControl/>
              <w:rPr>
                <w:rFonts w:ascii="宋体" w:hAnsi="宋体"/>
                <w:color w:val="auto"/>
                <w:kern w:val="0"/>
                <w:sz w:val="22"/>
                <w:szCs w:val="22"/>
              </w:rPr>
            </w:pPr>
            <w:r>
              <w:rPr>
                <w:rFonts w:hint="eastAsia" w:ascii="宋体" w:hAnsi="宋体"/>
                <w:color w:val="auto"/>
                <w:kern w:val="0"/>
                <w:sz w:val="22"/>
                <w:szCs w:val="22"/>
              </w:rPr>
              <w:t>存储设备扩展盘位</w:t>
            </w:r>
          </w:p>
        </w:tc>
        <w:tc>
          <w:tcPr>
            <w:tcW w:w="2740" w:type="pct"/>
            <w:tcBorders>
              <w:top w:val="single" w:color="auto" w:sz="4" w:space="0"/>
              <w:left w:val="single" w:color="auto" w:sz="4" w:space="0"/>
              <w:bottom w:val="single" w:color="auto" w:sz="4" w:space="0"/>
              <w:right w:val="single" w:color="auto" w:sz="4" w:space="0"/>
            </w:tcBorders>
          </w:tcPr>
          <w:p w14:paraId="616551A0">
            <w:pPr>
              <w:widowControl/>
              <w:rPr>
                <w:rFonts w:ascii="宋体" w:hAnsi="宋体"/>
                <w:color w:val="auto"/>
                <w:kern w:val="0"/>
                <w:sz w:val="22"/>
                <w:szCs w:val="22"/>
              </w:rPr>
            </w:pPr>
            <w:r>
              <w:rPr>
                <w:rFonts w:hint="eastAsia" w:ascii="宋体" w:hAnsi="宋体"/>
                <w:color w:val="auto"/>
                <w:kern w:val="0"/>
                <w:sz w:val="22"/>
                <w:szCs w:val="22"/>
              </w:rPr>
              <w:t>机械硬盘扩展位≥1</w:t>
            </w:r>
          </w:p>
        </w:tc>
      </w:tr>
      <w:tr w14:paraId="4E9A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47" w:type="pct"/>
            <w:tcBorders>
              <w:top w:val="single" w:color="auto" w:sz="4" w:space="0"/>
              <w:left w:val="single" w:color="auto" w:sz="4" w:space="0"/>
              <w:bottom w:val="single" w:color="auto" w:sz="4" w:space="0"/>
              <w:right w:val="single" w:color="auto" w:sz="4" w:space="0"/>
            </w:tcBorders>
          </w:tcPr>
          <w:p w14:paraId="04AF30B5">
            <w:pPr>
              <w:widowControl/>
              <w:rPr>
                <w:rFonts w:ascii="宋体" w:hAnsi="宋体"/>
                <w:color w:val="auto"/>
                <w:kern w:val="0"/>
                <w:sz w:val="22"/>
                <w:szCs w:val="22"/>
              </w:rPr>
            </w:pPr>
            <w:r>
              <w:rPr>
                <w:rFonts w:hint="eastAsia" w:ascii="宋体" w:hAnsi="宋体"/>
                <w:color w:val="auto"/>
                <w:kern w:val="0"/>
                <w:sz w:val="22"/>
                <w:szCs w:val="22"/>
              </w:rPr>
              <w:t>22</w:t>
            </w:r>
          </w:p>
        </w:tc>
        <w:tc>
          <w:tcPr>
            <w:tcW w:w="0" w:type="auto"/>
            <w:vMerge w:val="continue"/>
            <w:tcBorders>
              <w:top w:val="nil"/>
              <w:left w:val="single" w:color="auto" w:sz="4" w:space="0"/>
              <w:bottom w:val="single" w:color="auto" w:sz="4" w:space="0"/>
              <w:right w:val="single" w:color="auto" w:sz="4" w:space="0"/>
            </w:tcBorders>
            <w:vAlign w:val="center"/>
          </w:tcPr>
          <w:p w14:paraId="5F887F63">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88EA621">
            <w:pPr>
              <w:widowControl/>
              <w:rPr>
                <w:rFonts w:ascii="宋体" w:hAnsi="宋体"/>
                <w:color w:val="auto"/>
                <w:kern w:val="0"/>
                <w:sz w:val="22"/>
                <w:szCs w:val="22"/>
              </w:rPr>
            </w:pPr>
            <w:r>
              <w:rPr>
                <w:rFonts w:hint="eastAsia" w:ascii="宋体" w:hAnsi="宋体"/>
                <w:color w:val="auto"/>
                <w:kern w:val="0"/>
                <w:sz w:val="22"/>
                <w:szCs w:val="22"/>
              </w:rPr>
              <w:t xml:space="preserve"> ▲存储设备其他参数要求</w:t>
            </w:r>
          </w:p>
        </w:tc>
        <w:tc>
          <w:tcPr>
            <w:tcW w:w="2740" w:type="pct"/>
            <w:tcBorders>
              <w:top w:val="single" w:color="auto" w:sz="4" w:space="0"/>
              <w:left w:val="single" w:color="auto" w:sz="4" w:space="0"/>
              <w:bottom w:val="single" w:color="auto" w:sz="4" w:space="0"/>
              <w:right w:val="single" w:color="auto" w:sz="4" w:space="0"/>
            </w:tcBorders>
          </w:tcPr>
          <w:p w14:paraId="5968AC0A">
            <w:pPr>
              <w:widowControl/>
              <w:rPr>
                <w:rFonts w:ascii="宋体" w:hAnsi="宋体"/>
                <w:color w:val="auto"/>
                <w:kern w:val="0"/>
                <w:sz w:val="22"/>
                <w:szCs w:val="22"/>
              </w:rPr>
            </w:pPr>
            <w:r>
              <w:rPr>
                <w:rFonts w:hint="eastAsia" w:ascii="宋体" w:hAnsi="宋体"/>
                <w:color w:val="auto"/>
                <w:kern w:val="0"/>
                <w:sz w:val="22"/>
                <w:szCs w:val="22"/>
              </w:rPr>
              <w:t>a)固态盘应符合SJ/T 11654相关规定；</w:t>
            </w:r>
            <w:r>
              <w:rPr>
                <w:rFonts w:hint="eastAsia" w:ascii="宋体" w:hAnsi="宋体"/>
                <w:color w:val="auto"/>
                <w:kern w:val="0"/>
                <w:sz w:val="22"/>
                <w:szCs w:val="22"/>
              </w:rPr>
              <w:br w:type="textWrapping"/>
            </w:r>
            <w:r>
              <w:rPr>
                <w:rFonts w:hint="eastAsia" w:ascii="宋体" w:hAnsi="宋体"/>
                <w:color w:val="auto"/>
                <w:kern w:val="0"/>
                <w:sz w:val="22"/>
                <w:szCs w:val="22"/>
              </w:rPr>
              <w:t>b)机械硬盘准备时间应不大于30s；侧面固定螺丝孔数量可为4孔或6孔；工作状态环境温度应满足5℃~55℃；其它参数应符合GB/T 12628相关规定</w:t>
            </w:r>
          </w:p>
        </w:tc>
      </w:tr>
      <w:tr w14:paraId="3952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18788031">
            <w:pPr>
              <w:widowControl/>
              <w:rPr>
                <w:rFonts w:ascii="宋体" w:hAnsi="宋体"/>
                <w:color w:val="auto"/>
                <w:kern w:val="0"/>
                <w:sz w:val="22"/>
                <w:szCs w:val="22"/>
              </w:rPr>
            </w:pPr>
            <w:r>
              <w:rPr>
                <w:rFonts w:hint="eastAsia" w:ascii="宋体" w:hAnsi="宋体"/>
                <w:color w:val="auto"/>
                <w:kern w:val="0"/>
                <w:sz w:val="22"/>
                <w:szCs w:val="22"/>
              </w:rPr>
              <w:t>23</w:t>
            </w:r>
          </w:p>
        </w:tc>
        <w:tc>
          <w:tcPr>
            <w:tcW w:w="555" w:type="pct"/>
            <w:vMerge w:val="restart"/>
            <w:tcBorders>
              <w:top w:val="nil"/>
              <w:left w:val="single" w:color="auto" w:sz="4" w:space="0"/>
              <w:bottom w:val="single" w:color="auto" w:sz="4" w:space="0"/>
              <w:right w:val="single" w:color="auto" w:sz="4" w:space="0"/>
            </w:tcBorders>
            <w:vAlign w:val="center"/>
          </w:tcPr>
          <w:p w14:paraId="015798CE">
            <w:pPr>
              <w:widowControl/>
              <w:rPr>
                <w:rFonts w:ascii="宋体" w:hAnsi="宋体"/>
                <w:color w:val="auto"/>
                <w:kern w:val="0"/>
                <w:sz w:val="22"/>
                <w:szCs w:val="22"/>
              </w:rPr>
            </w:pPr>
            <w:r>
              <w:rPr>
                <w:rFonts w:hint="eastAsia" w:ascii="宋体" w:hAnsi="宋体"/>
                <w:color w:val="auto"/>
                <w:kern w:val="0"/>
                <w:sz w:val="22"/>
                <w:szCs w:val="22"/>
              </w:rPr>
              <w:t xml:space="preserve"> ▲显卡规格</w:t>
            </w:r>
          </w:p>
        </w:tc>
        <w:tc>
          <w:tcPr>
            <w:tcW w:w="1356" w:type="pct"/>
            <w:tcBorders>
              <w:top w:val="single" w:color="auto" w:sz="4" w:space="0"/>
              <w:left w:val="single" w:color="auto" w:sz="4" w:space="0"/>
              <w:bottom w:val="single" w:color="auto" w:sz="4" w:space="0"/>
              <w:right w:val="single" w:color="auto" w:sz="4" w:space="0"/>
            </w:tcBorders>
          </w:tcPr>
          <w:p w14:paraId="42C6567A">
            <w:pPr>
              <w:widowControl/>
              <w:rPr>
                <w:rFonts w:ascii="宋体" w:hAnsi="宋体"/>
                <w:color w:val="auto"/>
                <w:kern w:val="0"/>
                <w:sz w:val="22"/>
                <w:szCs w:val="22"/>
              </w:rPr>
            </w:pPr>
            <w:r>
              <w:rPr>
                <w:rFonts w:hint="eastAsia" w:ascii="宋体" w:hAnsi="宋体"/>
                <w:color w:val="auto"/>
                <w:kern w:val="0"/>
                <w:sz w:val="22"/>
                <w:szCs w:val="22"/>
              </w:rPr>
              <w:t xml:space="preserve"> ▲显卡类型</w:t>
            </w:r>
          </w:p>
        </w:tc>
        <w:tc>
          <w:tcPr>
            <w:tcW w:w="2740" w:type="pct"/>
            <w:tcBorders>
              <w:top w:val="single" w:color="auto" w:sz="4" w:space="0"/>
              <w:left w:val="single" w:color="auto" w:sz="4" w:space="0"/>
              <w:bottom w:val="single" w:color="auto" w:sz="4" w:space="0"/>
              <w:right w:val="single" w:color="auto" w:sz="4" w:space="0"/>
            </w:tcBorders>
          </w:tcPr>
          <w:p w14:paraId="5825D37D">
            <w:pPr>
              <w:widowControl/>
              <w:rPr>
                <w:rFonts w:ascii="宋体" w:hAnsi="宋体"/>
                <w:color w:val="auto"/>
                <w:kern w:val="0"/>
                <w:sz w:val="22"/>
                <w:szCs w:val="22"/>
              </w:rPr>
            </w:pPr>
            <w:r>
              <w:rPr>
                <w:rFonts w:hint="eastAsia" w:ascii="宋体" w:hAnsi="宋体"/>
                <w:color w:val="auto"/>
                <w:kern w:val="0"/>
                <w:sz w:val="22"/>
                <w:szCs w:val="22"/>
              </w:rPr>
              <w:t>≥RTX5060 8G独立显卡</w:t>
            </w:r>
          </w:p>
        </w:tc>
      </w:tr>
      <w:tr w14:paraId="1D50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3B711346">
            <w:pPr>
              <w:widowControl/>
              <w:rPr>
                <w:rFonts w:ascii="宋体" w:hAnsi="宋体"/>
                <w:color w:val="auto"/>
                <w:kern w:val="0"/>
                <w:sz w:val="22"/>
                <w:szCs w:val="22"/>
              </w:rPr>
            </w:pPr>
            <w:r>
              <w:rPr>
                <w:rFonts w:hint="eastAsia" w:ascii="宋体" w:hAnsi="宋体"/>
                <w:color w:val="auto"/>
                <w:kern w:val="0"/>
                <w:sz w:val="22"/>
                <w:szCs w:val="22"/>
              </w:rPr>
              <w:t>24</w:t>
            </w:r>
          </w:p>
        </w:tc>
        <w:tc>
          <w:tcPr>
            <w:tcW w:w="0" w:type="auto"/>
            <w:vMerge w:val="continue"/>
            <w:tcBorders>
              <w:top w:val="nil"/>
              <w:left w:val="single" w:color="auto" w:sz="4" w:space="0"/>
              <w:bottom w:val="single" w:color="auto" w:sz="4" w:space="0"/>
              <w:right w:val="single" w:color="auto" w:sz="4" w:space="0"/>
            </w:tcBorders>
            <w:vAlign w:val="center"/>
          </w:tcPr>
          <w:p w14:paraId="1D60706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1620B28">
            <w:pPr>
              <w:widowControl/>
              <w:rPr>
                <w:rFonts w:ascii="宋体" w:hAnsi="宋体"/>
                <w:color w:val="auto"/>
                <w:kern w:val="0"/>
                <w:sz w:val="22"/>
                <w:szCs w:val="22"/>
              </w:rPr>
            </w:pPr>
            <w:r>
              <w:rPr>
                <w:rFonts w:hint="eastAsia" w:ascii="宋体" w:hAnsi="宋体"/>
                <w:color w:val="auto"/>
                <w:kern w:val="0"/>
                <w:sz w:val="22"/>
                <w:szCs w:val="22"/>
              </w:rPr>
              <w:t xml:space="preserve"> ▲独立显卡显存类型</w:t>
            </w:r>
          </w:p>
        </w:tc>
        <w:tc>
          <w:tcPr>
            <w:tcW w:w="2740" w:type="pct"/>
            <w:tcBorders>
              <w:top w:val="single" w:color="auto" w:sz="4" w:space="0"/>
              <w:left w:val="single" w:color="auto" w:sz="4" w:space="0"/>
              <w:bottom w:val="single" w:color="auto" w:sz="4" w:space="0"/>
              <w:right w:val="single" w:color="auto" w:sz="4" w:space="0"/>
            </w:tcBorders>
          </w:tcPr>
          <w:p w14:paraId="6A70EB40">
            <w:pPr>
              <w:widowControl/>
              <w:rPr>
                <w:rFonts w:ascii="宋体" w:hAnsi="宋体"/>
                <w:color w:val="auto"/>
                <w:kern w:val="0"/>
                <w:sz w:val="22"/>
                <w:szCs w:val="22"/>
              </w:rPr>
            </w:pPr>
            <w:r>
              <w:rPr>
                <w:rFonts w:hint="eastAsia" w:ascii="宋体" w:hAnsi="宋体"/>
                <w:color w:val="auto"/>
                <w:kern w:val="0"/>
                <w:sz w:val="22"/>
                <w:szCs w:val="22"/>
              </w:rPr>
              <w:t>≥GDDR7</w:t>
            </w:r>
          </w:p>
        </w:tc>
      </w:tr>
      <w:tr w14:paraId="7CE3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1120079F">
            <w:pPr>
              <w:widowControl/>
              <w:rPr>
                <w:rFonts w:ascii="宋体" w:hAnsi="宋体"/>
                <w:color w:val="auto"/>
                <w:kern w:val="0"/>
                <w:sz w:val="22"/>
                <w:szCs w:val="22"/>
              </w:rPr>
            </w:pPr>
            <w:r>
              <w:rPr>
                <w:rFonts w:hint="eastAsia" w:ascii="宋体" w:hAnsi="宋体"/>
                <w:color w:val="auto"/>
                <w:kern w:val="0"/>
                <w:sz w:val="22"/>
                <w:szCs w:val="22"/>
              </w:rPr>
              <w:t>25</w:t>
            </w:r>
          </w:p>
        </w:tc>
        <w:tc>
          <w:tcPr>
            <w:tcW w:w="0" w:type="auto"/>
            <w:vMerge w:val="continue"/>
            <w:tcBorders>
              <w:top w:val="nil"/>
              <w:left w:val="single" w:color="auto" w:sz="4" w:space="0"/>
              <w:bottom w:val="single" w:color="auto" w:sz="4" w:space="0"/>
              <w:right w:val="single" w:color="auto" w:sz="4" w:space="0"/>
            </w:tcBorders>
            <w:vAlign w:val="center"/>
          </w:tcPr>
          <w:p w14:paraId="37CC3BA3">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67975BCB">
            <w:pPr>
              <w:widowControl/>
              <w:rPr>
                <w:rFonts w:ascii="宋体" w:hAnsi="宋体"/>
                <w:color w:val="auto"/>
                <w:kern w:val="0"/>
                <w:sz w:val="22"/>
                <w:szCs w:val="22"/>
              </w:rPr>
            </w:pPr>
            <w:r>
              <w:rPr>
                <w:rFonts w:hint="eastAsia" w:ascii="宋体" w:hAnsi="宋体"/>
                <w:color w:val="auto"/>
                <w:kern w:val="0"/>
                <w:sz w:val="22"/>
                <w:szCs w:val="22"/>
              </w:rPr>
              <w:t xml:space="preserve"> ▲独立显卡显存位宽</w:t>
            </w:r>
          </w:p>
        </w:tc>
        <w:tc>
          <w:tcPr>
            <w:tcW w:w="2740" w:type="pct"/>
            <w:tcBorders>
              <w:top w:val="single" w:color="auto" w:sz="4" w:space="0"/>
              <w:left w:val="single" w:color="auto" w:sz="4" w:space="0"/>
              <w:bottom w:val="single" w:color="auto" w:sz="4" w:space="0"/>
              <w:right w:val="single" w:color="auto" w:sz="4" w:space="0"/>
            </w:tcBorders>
          </w:tcPr>
          <w:p w14:paraId="0687002D">
            <w:pPr>
              <w:widowControl/>
              <w:rPr>
                <w:rFonts w:ascii="宋体" w:hAnsi="宋体"/>
                <w:color w:val="auto"/>
                <w:kern w:val="0"/>
                <w:sz w:val="22"/>
                <w:szCs w:val="22"/>
              </w:rPr>
            </w:pPr>
            <w:r>
              <w:rPr>
                <w:rFonts w:hint="eastAsia" w:ascii="宋体" w:hAnsi="宋体"/>
                <w:color w:val="auto"/>
                <w:kern w:val="0"/>
                <w:sz w:val="22"/>
                <w:szCs w:val="22"/>
              </w:rPr>
              <w:t>≥128bit</w:t>
            </w:r>
          </w:p>
        </w:tc>
      </w:tr>
      <w:tr w14:paraId="77A3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10C1244F">
            <w:pPr>
              <w:widowControl/>
              <w:rPr>
                <w:rFonts w:ascii="宋体" w:hAnsi="宋体"/>
                <w:color w:val="auto"/>
                <w:kern w:val="0"/>
                <w:sz w:val="22"/>
                <w:szCs w:val="22"/>
              </w:rPr>
            </w:pPr>
            <w:r>
              <w:rPr>
                <w:rFonts w:hint="eastAsia" w:ascii="宋体" w:hAnsi="宋体"/>
                <w:color w:val="auto"/>
                <w:kern w:val="0"/>
                <w:sz w:val="22"/>
                <w:szCs w:val="22"/>
              </w:rPr>
              <w:t>26</w:t>
            </w:r>
          </w:p>
        </w:tc>
        <w:tc>
          <w:tcPr>
            <w:tcW w:w="0" w:type="auto"/>
            <w:vMerge w:val="continue"/>
            <w:tcBorders>
              <w:top w:val="nil"/>
              <w:left w:val="single" w:color="auto" w:sz="4" w:space="0"/>
              <w:bottom w:val="single" w:color="auto" w:sz="4" w:space="0"/>
              <w:right w:val="single" w:color="auto" w:sz="4" w:space="0"/>
            </w:tcBorders>
            <w:vAlign w:val="center"/>
          </w:tcPr>
          <w:p w14:paraId="2769F698">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54B61D9">
            <w:pPr>
              <w:widowControl/>
              <w:rPr>
                <w:rFonts w:ascii="宋体" w:hAnsi="宋体"/>
                <w:color w:val="auto"/>
                <w:kern w:val="0"/>
                <w:sz w:val="22"/>
                <w:szCs w:val="22"/>
              </w:rPr>
            </w:pPr>
            <w:r>
              <w:rPr>
                <w:rFonts w:hint="eastAsia" w:ascii="宋体" w:hAnsi="宋体"/>
                <w:color w:val="auto"/>
                <w:kern w:val="0"/>
                <w:sz w:val="22"/>
                <w:szCs w:val="22"/>
              </w:rPr>
              <w:t xml:space="preserve"> ▲独立显卡显存容量</w:t>
            </w:r>
          </w:p>
        </w:tc>
        <w:tc>
          <w:tcPr>
            <w:tcW w:w="2740" w:type="pct"/>
            <w:tcBorders>
              <w:top w:val="single" w:color="auto" w:sz="4" w:space="0"/>
              <w:left w:val="single" w:color="auto" w:sz="4" w:space="0"/>
              <w:bottom w:val="single" w:color="auto" w:sz="4" w:space="0"/>
              <w:right w:val="single" w:color="auto" w:sz="4" w:space="0"/>
            </w:tcBorders>
          </w:tcPr>
          <w:p w14:paraId="0454E889">
            <w:pPr>
              <w:widowControl/>
              <w:rPr>
                <w:rFonts w:ascii="宋体" w:hAnsi="宋体"/>
                <w:color w:val="auto"/>
                <w:kern w:val="0"/>
                <w:sz w:val="22"/>
                <w:szCs w:val="22"/>
              </w:rPr>
            </w:pPr>
            <w:r>
              <w:rPr>
                <w:rFonts w:hint="eastAsia" w:ascii="宋体" w:hAnsi="宋体"/>
                <w:color w:val="auto"/>
                <w:kern w:val="0"/>
                <w:sz w:val="22"/>
                <w:szCs w:val="22"/>
              </w:rPr>
              <w:t>≥ 8G</w:t>
            </w:r>
          </w:p>
        </w:tc>
      </w:tr>
      <w:tr w14:paraId="254C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47" w:type="pct"/>
            <w:tcBorders>
              <w:top w:val="single" w:color="auto" w:sz="4" w:space="0"/>
              <w:left w:val="single" w:color="auto" w:sz="4" w:space="0"/>
              <w:bottom w:val="single" w:color="auto" w:sz="4" w:space="0"/>
              <w:right w:val="single" w:color="auto" w:sz="4" w:space="0"/>
            </w:tcBorders>
          </w:tcPr>
          <w:p w14:paraId="66623DE4">
            <w:pPr>
              <w:widowControl/>
              <w:rPr>
                <w:rFonts w:ascii="宋体" w:hAnsi="宋体"/>
                <w:color w:val="auto"/>
                <w:kern w:val="0"/>
                <w:sz w:val="22"/>
                <w:szCs w:val="22"/>
              </w:rPr>
            </w:pPr>
            <w:r>
              <w:rPr>
                <w:rFonts w:hint="eastAsia" w:ascii="宋体" w:hAnsi="宋体"/>
                <w:color w:val="auto"/>
                <w:kern w:val="0"/>
                <w:sz w:val="22"/>
                <w:szCs w:val="22"/>
              </w:rPr>
              <w:t>27</w:t>
            </w:r>
          </w:p>
        </w:tc>
        <w:tc>
          <w:tcPr>
            <w:tcW w:w="0" w:type="auto"/>
            <w:vMerge w:val="continue"/>
            <w:tcBorders>
              <w:top w:val="nil"/>
              <w:left w:val="single" w:color="auto" w:sz="4" w:space="0"/>
              <w:bottom w:val="single" w:color="auto" w:sz="4" w:space="0"/>
              <w:right w:val="single" w:color="auto" w:sz="4" w:space="0"/>
            </w:tcBorders>
            <w:vAlign w:val="center"/>
          </w:tcPr>
          <w:p w14:paraId="6293F530">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3B20D43">
            <w:pPr>
              <w:widowControl/>
              <w:rPr>
                <w:rFonts w:ascii="宋体" w:hAnsi="宋体"/>
                <w:color w:val="auto"/>
                <w:kern w:val="0"/>
                <w:sz w:val="22"/>
                <w:szCs w:val="22"/>
              </w:rPr>
            </w:pPr>
            <w:r>
              <w:rPr>
                <w:rFonts w:hint="eastAsia" w:ascii="宋体" w:hAnsi="宋体"/>
                <w:color w:val="auto"/>
                <w:kern w:val="0"/>
                <w:sz w:val="22"/>
                <w:szCs w:val="22"/>
              </w:rPr>
              <w:t>独立显卡接口协议</w:t>
            </w:r>
          </w:p>
        </w:tc>
        <w:tc>
          <w:tcPr>
            <w:tcW w:w="2740" w:type="pct"/>
            <w:tcBorders>
              <w:top w:val="single" w:color="auto" w:sz="4" w:space="0"/>
              <w:left w:val="single" w:color="auto" w:sz="4" w:space="0"/>
              <w:bottom w:val="single" w:color="auto" w:sz="4" w:space="0"/>
              <w:right w:val="single" w:color="auto" w:sz="4" w:space="0"/>
            </w:tcBorders>
          </w:tcPr>
          <w:p w14:paraId="339FC7FC">
            <w:pPr>
              <w:widowControl/>
              <w:rPr>
                <w:rFonts w:ascii="宋体" w:hAnsi="宋体"/>
                <w:color w:val="auto"/>
                <w:kern w:val="0"/>
                <w:sz w:val="22"/>
                <w:szCs w:val="22"/>
              </w:rPr>
            </w:pPr>
            <w:r>
              <w:rPr>
                <w:rFonts w:hint="eastAsia" w:ascii="宋体" w:hAnsi="宋体"/>
                <w:color w:val="auto"/>
                <w:kern w:val="0"/>
                <w:sz w:val="22"/>
                <w:szCs w:val="22"/>
              </w:rPr>
              <w:t>≥PCIe 5.0 x16</w:t>
            </w:r>
          </w:p>
        </w:tc>
      </w:tr>
      <w:tr w14:paraId="7DFF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7922B112">
            <w:pPr>
              <w:widowControl/>
              <w:rPr>
                <w:rFonts w:ascii="宋体" w:hAnsi="宋体"/>
                <w:color w:val="auto"/>
                <w:kern w:val="0"/>
                <w:sz w:val="22"/>
                <w:szCs w:val="22"/>
              </w:rPr>
            </w:pPr>
            <w:r>
              <w:rPr>
                <w:rFonts w:hint="eastAsia" w:ascii="宋体" w:hAnsi="宋体"/>
                <w:color w:val="auto"/>
                <w:kern w:val="0"/>
                <w:sz w:val="22"/>
                <w:szCs w:val="22"/>
              </w:rPr>
              <w:t>28</w:t>
            </w:r>
          </w:p>
        </w:tc>
        <w:tc>
          <w:tcPr>
            <w:tcW w:w="555" w:type="pct"/>
            <w:vMerge w:val="restart"/>
            <w:tcBorders>
              <w:top w:val="nil"/>
              <w:left w:val="single" w:color="auto" w:sz="4" w:space="0"/>
              <w:bottom w:val="single" w:color="auto" w:sz="4" w:space="0"/>
              <w:right w:val="single" w:color="auto" w:sz="4" w:space="0"/>
            </w:tcBorders>
            <w:vAlign w:val="center"/>
          </w:tcPr>
          <w:p w14:paraId="35C98EFB">
            <w:pPr>
              <w:widowControl/>
              <w:rPr>
                <w:rFonts w:ascii="宋体" w:hAnsi="宋体"/>
                <w:color w:val="auto"/>
                <w:kern w:val="0"/>
                <w:sz w:val="22"/>
                <w:szCs w:val="22"/>
              </w:rPr>
            </w:pPr>
            <w:r>
              <w:rPr>
                <w:rFonts w:hint="eastAsia" w:ascii="宋体" w:hAnsi="宋体"/>
                <w:color w:val="auto"/>
                <w:kern w:val="0"/>
                <w:sz w:val="22"/>
                <w:szCs w:val="22"/>
              </w:rPr>
              <w:t>★显示设备规格</w:t>
            </w:r>
          </w:p>
        </w:tc>
        <w:tc>
          <w:tcPr>
            <w:tcW w:w="1356" w:type="pct"/>
            <w:tcBorders>
              <w:top w:val="single" w:color="auto" w:sz="4" w:space="0"/>
              <w:left w:val="single" w:color="auto" w:sz="4" w:space="0"/>
              <w:bottom w:val="single" w:color="auto" w:sz="4" w:space="0"/>
              <w:right w:val="single" w:color="auto" w:sz="4" w:space="0"/>
            </w:tcBorders>
          </w:tcPr>
          <w:p w14:paraId="7CDEDE7A">
            <w:pPr>
              <w:widowControl/>
              <w:rPr>
                <w:rFonts w:ascii="宋体" w:hAnsi="宋体"/>
                <w:color w:val="auto"/>
                <w:kern w:val="0"/>
                <w:sz w:val="22"/>
                <w:szCs w:val="22"/>
              </w:rPr>
            </w:pPr>
            <w:r>
              <w:rPr>
                <w:rFonts w:hint="eastAsia" w:ascii="宋体" w:hAnsi="宋体"/>
                <w:color w:val="auto"/>
                <w:kern w:val="0"/>
                <w:sz w:val="22"/>
                <w:szCs w:val="22"/>
              </w:rPr>
              <w:t xml:space="preserve"> ▲显示屏屏占比</w:t>
            </w:r>
          </w:p>
        </w:tc>
        <w:tc>
          <w:tcPr>
            <w:tcW w:w="2740" w:type="pct"/>
            <w:tcBorders>
              <w:top w:val="single" w:color="auto" w:sz="4" w:space="0"/>
              <w:left w:val="single" w:color="auto" w:sz="4" w:space="0"/>
              <w:bottom w:val="single" w:color="auto" w:sz="4" w:space="0"/>
              <w:right w:val="single" w:color="auto" w:sz="4" w:space="0"/>
            </w:tcBorders>
          </w:tcPr>
          <w:p w14:paraId="649CC6B1">
            <w:pPr>
              <w:widowControl/>
              <w:rPr>
                <w:rFonts w:ascii="宋体" w:hAnsi="宋体"/>
                <w:color w:val="auto"/>
                <w:kern w:val="0"/>
                <w:sz w:val="22"/>
                <w:szCs w:val="22"/>
              </w:rPr>
            </w:pPr>
            <w:r>
              <w:rPr>
                <w:rFonts w:hint="eastAsia" w:ascii="宋体" w:hAnsi="宋体"/>
                <w:color w:val="auto"/>
                <w:kern w:val="0"/>
                <w:sz w:val="22"/>
                <w:szCs w:val="22"/>
              </w:rPr>
              <w:t>≥80%</w:t>
            </w:r>
          </w:p>
        </w:tc>
      </w:tr>
      <w:tr w14:paraId="0B92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47" w:type="pct"/>
            <w:tcBorders>
              <w:top w:val="single" w:color="auto" w:sz="4" w:space="0"/>
              <w:left w:val="single" w:color="auto" w:sz="4" w:space="0"/>
              <w:bottom w:val="single" w:color="auto" w:sz="4" w:space="0"/>
              <w:right w:val="single" w:color="auto" w:sz="4" w:space="0"/>
            </w:tcBorders>
          </w:tcPr>
          <w:p w14:paraId="4221B4F4">
            <w:pPr>
              <w:widowControl/>
              <w:rPr>
                <w:rFonts w:ascii="宋体" w:hAnsi="宋体"/>
                <w:color w:val="auto"/>
                <w:kern w:val="0"/>
                <w:sz w:val="22"/>
                <w:szCs w:val="22"/>
              </w:rPr>
            </w:pPr>
            <w:r>
              <w:rPr>
                <w:rFonts w:hint="eastAsia" w:ascii="宋体" w:hAnsi="宋体"/>
                <w:color w:val="auto"/>
                <w:kern w:val="0"/>
                <w:sz w:val="22"/>
                <w:szCs w:val="22"/>
              </w:rPr>
              <w:t>29</w:t>
            </w:r>
          </w:p>
        </w:tc>
        <w:tc>
          <w:tcPr>
            <w:tcW w:w="0" w:type="auto"/>
            <w:vMerge w:val="continue"/>
            <w:tcBorders>
              <w:top w:val="nil"/>
              <w:left w:val="single" w:color="auto" w:sz="4" w:space="0"/>
              <w:bottom w:val="single" w:color="auto" w:sz="4" w:space="0"/>
              <w:right w:val="single" w:color="auto" w:sz="4" w:space="0"/>
            </w:tcBorders>
            <w:vAlign w:val="center"/>
          </w:tcPr>
          <w:p w14:paraId="66F7EAA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3106DE04">
            <w:pPr>
              <w:widowControl/>
              <w:rPr>
                <w:rFonts w:ascii="宋体" w:hAnsi="宋体"/>
                <w:color w:val="auto"/>
                <w:kern w:val="0"/>
                <w:sz w:val="22"/>
                <w:szCs w:val="22"/>
              </w:rPr>
            </w:pPr>
            <w:r>
              <w:rPr>
                <w:rFonts w:hint="eastAsia" w:ascii="宋体" w:hAnsi="宋体"/>
                <w:color w:val="auto"/>
                <w:kern w:val="0"/>
                <w:sz w:val="22"/>
                <w:szCs w:val="22"/>
              </w:rPr>
              <w:t xml:space="preserve"> ▲显示屏分辨率</w:t>
            </w:r>
          </w:p>
        </w:tc>
        <w:tc>
          <w:tcPr>
            <w:tcW w:w="2740" w:type="pct"/>
            <w:tcBorders>
              <w:top w:val="single" w:color="auto" w:sz="4" w:space="0"/>
              <w:left w:val="single" w:color="auto" w:sz="4" w:space="0"/>
              <w:bottom w:val="single" w:color="auto" w:sz="4" w:space="0"/>
              <w:right w:val="single" w:color="auto" w:sz="4" w:space="0"/>
            </w:tcBorders>
          </w:tcPr>
          <w:p w14:paraId="25DC58C1">
            <w:pPr>
              <w:rPr>
                <w:rFonts w:ascii="宋体" w:hAnsi="宋体"/>
                <w:color w:val="auto"/>
                <w:kern w:val="0"/>
                <w:sz w:val="22"/>
                <w:szCs w:val="22"/>
              </w:rPr>
            </w:pPr>
            <w:r>
              <w:rPr>
                <w:rFonts w:hint="eastAsia" w:ascii="宋体" w:hAnsi="宋体"/>
                <w:color w:val="auto"/>
                <w:kern w:val="0"/>
                <w:sz w:val="22"/>
                <w:szCs w:val="22"/>
              </w:rPr>
              <w:t>分辨率≥1920x1080</w:t>
            </w:r>
          </w:p>
        </w:tc>
      </w:tr>
      <w:tr w14:paraId="3F9C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246D884E">
            <w:pPr>
              <w:widowControl/>
              <w:rPr>
                <w:rFonts w:ascii="宋体" w:hAnsi="宋体"/>
                <w:color w:val="auto"/>
                <w:kern w:val="0"/>
                <w:sz w:val="22"/>
                <w:szCs w:val="22"/>
              </w:rPr>
            </w:pPr>
            <w:r>
              <w:rPr>
                <w:rFonts w:hint="eastAsia" w:ascii="宋体" w:hAnsi="宋体"/>
                <w:color w:val="auto"/>
                <w:kern w:val="0"/>
                <w:sz w:val="22"/>
                <w:szCs w:val="22"/>
              </w:rPr>
              <w:t>30</w:t>
            </w:r>
          </w:p>
        </w:tc>
        <w:tc>
          <w:tcPr>
            <w:tcW w:w="0" w:type="auto"/>
            <w:vMerge w:val="continue"/>
            <w:tcBorders>
              <w:top w:val="nil"/>
              <w:left w:val="single" w:color="auto" w:sz="4" w:space="0"/>
              <w:bottom w:val="single" w:color="auto" w:sz="4" w:space="0"/>
              <w:right w:val="single" w:color="auto" w:sz="4" w:space="0"/>
            </w:tcBorders>
            <w:vAlign w:val="center"/>
          </w:tcPr>
          <w:p w14:paraId="52B9E02B">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6655DCC9">
            <w:pPr>
              <w:widowControl/>
              <w:rPr>
                <w:rFonts w:ascii="宋体" w:hAnsi="宋体"/>
                <w:color w:val="auto"/>
                <w:kern w:val="0"/>
                <w:sz w:val="22"/>
                <w:szCs w:val="22"/>
              </w:rPr>
            </w:pPr>
            <w:r>
              <w:rPr>
                <w:rFonts w:hint="eastAsia" w:ascii="宋体" w:hAnsi="宋体"/>
                <w:color w:val="auto"/>
                <w:kern w:val="0"/>
                <w:sz w:val="22"/>
                <w:szCs w:val="22"/>
              </w:rPr>
              <w:t>显示屏像素密度</w:t>
            </w:r>
          </w:p>
        </w:tc>
        <w:tc>
          <w:tcPr>
            <w:tcW w:w="2740" w:type="pct"/>
            <w:tcBorders>
              <w:top w:val="single" w:color="auto" w:sz="4" w:space="0"/>
              <w:left w:val="single" w:color="auto" w:sz="4" w:space="0"/>
              <w:bottom w:val="single" w:color="auto" w:sz="4" w:space="0"/>
              <w:right w:val="single" w:color="auto" w:sz="4" w:space="0"/>
            </w:tcBorders>
          </w:tcPr>
          <w:p w14:paraId="6E22122B">
            <w:pPr>
              <w:widowControl/>
              <w:rPr>
                <w:rFonts w:ascii="宋体" w:hAnsi="宋体"/>
                <w:color w:val="auto"/>
                <w:kern w:val="0"/>
                <w:sz w:val="22"/>
                <w:szCs w:val="22"/>
              </w:rPr>
            </w:pPr>
            <w:r>
              <w:rPr>
                <w:rFonts w:hint="eastAsia" w:ascii="宋体" w:hAnsi="宋体"/>
                <w:color w:val="auto"/>
                <w:kern w:val="0"/>
                <w:sz w:val="22"/>
                <w:szCs w:val="22"/>
              </w:rPr>
              <w:t>≥85像素/英寸</w:t>
            </w:r>
          </w:p>
        </w:tc>
      </w:tr>
      <w:tr w14:paraId="6422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41D0440F">
            <w:pPr>
              <w:widowControl/>
              <w:rPr>
                <w:rFonts w:ascii="宋体" w:hAnsi="宋体"/>
                <w:color w:val="auto"/>
                <w:kern w:val="0"/>
                <w:sz w:val="22"/>
                <w:szCs w:val="22"/>
              </w:rPr>
            </w:pPr>
            <w:r>
              <w:rPr>
                <w:rFonts w:hint="eastAsia" w:ascii="宋体" w:hAnsi="宋体"/>
                <w:color w:val="auto"/>
                <w:kern w:val="0"/>
                <w:sz w:val="22"/>
                <w:szCs w:val="22"/>
              </w:rPr>
              <w:t>31</w:t>
            </w:r>
          </w:p>
        </w:tc>
        <w:tc>
          <w:tcPr>
            <w:tcW w:w="0" w:type="auto"/>
            <w:vMerge w:val="continue"/>
            <w:tcBorders>
              <w:top w:val="nil"/>
              <w:left w:val="single" w:color="auto" w:sz="4" w:space="0"/>
              <w:bottom w:val="single" w:color="auto" w:sz="4" w:space="0"/>
              <w:right w:val="single" w:color="auto" w:sz="4" w:space="0"/>
            </w:tcBorders>
            <w:vAlign w:val="center"/>
          </w:tcPr>
          <w:p w14:paraId="70857E5D">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F0B5245">
            <w:pPr>
              <w:widowControl/>
              <w:rPr>
                <w:rFonts w:ascii="宋体" w:hAnsi="宋体"/>
                <w:color w:val="auto"/>
                <w:kern w:val="0"/>
                <w:sz w:val="22"/>
                <w:szCs w:val="22"/>
              </w:rPr>
            </w:pPr>
            <w:r>
              <w:rPr>
                <w:rFonts w:hint="eastAsia" w:ascii="宋体" w:hAnsi="宋体"/>
                <w:color w:val="auto"/>
                <w:kern w:val="0"/>
                <w:sz w:val="22"/>
                <w:szCs w:val="22"/>
              </w:rPr>
              <w:t>显示屏可视角度</w:t>
            </w:r>
          </w:p>
        </w:tc>
        <w:tc>
          <w:tcPr>
            <w:tcW w:w="2740" w:type="pct"/>
            <w:tcBorders>
              <w:top w:val="single" w:color="auto" w:sz="4" w:space="0"/>
              <w:left w:val="single" w:color="auto" w:sz="4" w:space="0"/>
              <w:bottom w:val="single" w:color="auto" w:sz="4" w:space="0"/>
              <w:right w:val="single" w:color="auto" w:sz="4" w:space="0"/>
            </w:tcBorders>
          </w:tcPr>
          <w:p w14:paraId="18103557">
            <w:pPr>
              <w:widowControl/>
              <w:rPr>
                <w:rFonts w:ascii="宋体" w:hAnsi="宋体"/>
                <w:color w:val="auto"/>
                <w:kern w:val="0"/>
                <w:sz w:val="22"/>
                <w:szCs w:val="22"/>
              </w:rPr>
            </w:pPr>
            <w:r>
              <w:rPr>
                <w:rFonts w:hint="eastAsia" w:ascii="宋体" w:hAnsi="宋体"/>
                <w:color w:val="auto"/>
                <w:kern w:val="0"/>
                <w:sz w:val="22"/>
                <w:szCs w:val="22"/>
              </w:rPr>
              <w:t>水平≥178°</w:t>
            </w:r>
          </w:p>
        </w:tc>
      </w:tr>
      <w:tr w14:paraId="5FDF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47" w:type="pct"/>
            <w:tcBorders>
              <w:top w:val="single" w:color="auto" w:sz="4" w:space="0"/>
              <w:left w:val="single" w:color="auto" w:sz="4" w:space="0"/>
              <w:bottom w:val="single" w:color="auto" w:sz="4" w:space="0"/>
              <w:right w:val="single" w:color="auto" w:sz="4" w:space="0"/>
            </w:tcBorders>
          </w:tcPr>
          <w:p w14:paraId="1A6A9B17">
            <w:pPr>
              <w:widowControl/>
              <w:rPr>
                <w:rFonts w:ascii="宋体" w:hAnsi="宋体"/>
                <w:color w:val="auto"/>
                <w:kern w:val="0"/>
                <w:sz w:val="22"/>
                <w:szCs w:val="22"/>
              </w:rPr>
            </w:pPr>
            <w:r>
              <w:rPr>
                <w:rFonts w:hint="eastAsia" w:ascii="宋体" w:hAnsi="宋体"/>
                <w:color w:val="auto"/>
                <w:kern w:val="0"/>
                <w:sz w:val="22"/>
                <w:szCs w:val="22"/>
              </w:rPr>
              <w:t>32</w:t>
            </w:r>
          </w:p>
        </w:tc>
        <w:tc>
          <w:tcPr>
            <w:tcW w:w="0" w:type="auto"/>
            <w:vMerge w:val="continue"/>
            <w:tcBorders>
              <w:top w:val="nil"/>
              <w:left w:val="single" w:color="auto" w:sz="4" w:space="0"/>
              <w:bottom w:val="single" w:color="auto" w:sz="4" w:space="0"/>
              <w:right w:val="single" w:color="auto" w:sz="4" w:space="0"/>
            </w:tcBorders>
            <w:vAlign w:val="center"/>
          </w:tcPr>
          <w:p w14:paraId="139B9615">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1DBA6589">
            <w:pPr>
              <w:widowControl/>
              <w:rPr>
                <w:rFonts w:ascii="宋体" w:hAnsi="宋体"/>
                <w:color w:val="auto"/>
                <w:kern w:val="0"/>
                <w:sz w:val="22"/>
                <w:szCs w:val="22"/>
              </w:rPr>
            </w:pPr>
            <w:r>
              <w:rPr>
                <w:rFonts w:hint="eastAsia" w:ascii="宋体" w:hAnsi="宋体"/>
                <w:color w:val="auto"/>
                <w:kern w:val="0"/>
                <w:sz w:val="22"/>
                <w:szCs w:val="22"/>
              </w:rPr>
              <w:t xml:space="preserve"> ▲显示屏尺寸</w:t>
            </w:r>
          </w:p>
        </w:tc>
        <w:tc>
          <w:tcPr>
            <w:tcW w:w="2740" w:type="pct"/>
            <w:tcBorders>
              <w:top w:val="single" w:color="auto" w:sz="4" w:space="0"/>
              <w:left w:val="single" w:color="auto" w:sz="4" w:space="0"/>
              <w:bottom w:val="single" w:color="auto" w:sz="4" w:space="0"/>
              <w:right w:val="single" w:color="auto" w:sz="4" w:space="0"/>
            </w:tcBorders>
          </w:tcPr>
          <w:p w14:paraId="49751B2D">
            <w:pPr>
              <w:widowControl/>
              <w:rPr>
                <w:rFonts w:ascii="宋体" w:hAnsi="宋体"/>
                <w:color w:val="auto"/>
                <w:kern w:val="0"/>
                <w:sz w:val="22"/>
                <w:szCs w:val="22"/>
              </w:rPr>
            </w:pPr>
            <w:r>
              <w:rPr>
                <w:rFonts w:hint="eastAsia" w:ascii="宋体" w:hAnsi="宋体"/>
                <w:color w:val="auto"/>
                <w:kern w:val="0"/>
                <w:sz w:val="22"/>
                <w:szCs w:val="22"/>
              </w:rPr>
              <w:t>≥27" 宽屏 16:9 LED 背光液晶显示器</w:t>
            </w:r>
          </w:p>
        </w:tc>
      </w:tr>
      <w:tr w14:paraId="5BDF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5FB0F4FA">
            <w:pPr>
              <w:widowControl/>
              <w:rPr>
                <w:rFonts w:ascii="宋体" w:hAnsi="宋体"/>
                <w:color w:val="auto"/>
                <w:kern w:val="0"/>
                <w:sz w:val="22"/>
                <w:szCs w:val="22"/>
              </w:rPr>
            </w:pPr>
            <w:r>
              <w:rPr>
                <w:rFonts w:hint="eastAsia" w:ascii="宋体" w:hAnsi="宋体"/>
                <w:color w:val="auto"/>
                <w:kern w:val="0"/>
                <w:sz w:val="22"/>
                <w:szCs w:val="22"/>
              </w:rPr>
              <w:t>33</w:t>
            </w:r>
          </w:p>
        </w:tc>
        <w:tc>
          <w:tcPr>
            <w:tcW w:w="0" w:type="auto"/>
            <w:vMerge w:val="continue"/>
            <w:tcBorders>
              <w:top w:val="nil"/>
              <w:left w:val="single" w:color="auto" w:sz="4" w:space="0"/>
              <w:bottom w:val="single" w:color="auto" w:sz="4" w:space="0"/>
              <w:right w:val="single" w:color="auto" w:sz="4" w:space="0"/>
            </w:tcBorders>
            <w:vAlign w:val="center"/>
          </w:tcPr>
          <w:p w14:paraId="066C52AC">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5E3E1CB5">
            <w:pPr>
              <w:widowControl/>
              <w:rPr>
                <w:rFonts w:ascii="宋体" w:hAnsi="宋体"/>
                <w:color w:val="auto"/>
                <w:kern w:val="0"/>
                <w:sz w:val="22"/>
                <w:szCs w:val="22"/>
              </w:rPr>
            </w:pPr>
            <w:r>
              <w:rPr>
                <w:rFonts w:hint="eastAsia" w:ascii="宋体" w:hAnsi="宋体"/>
                <w:color w:val="auto"/>
                <w:kern w:val="0"/>
                <w:sz w:val="22"/>
                <w:szCs w:val="22"/>
              </w:rPr>
              <w:t xml:space="preserve"> ▲显示屏屏幕比例</w:t>
            </w:r>
          </w:p>
        </w:tc>
        <w:tc>
          <w:tcPr>
            <w:tcW w:w="2740" w:type="pct"/>
            <w:tcBorders>
              <w:top w:val="single" w:color="auto" w:sz="4" w:space="0"/>
              <w:left w:val="single" w:color="auto" w:sz="4" w:space="0"/>
              <w:bottom w:val="single" w:color="auto" w:sz="4" w:space="0"/>
              <w:right w:val="single" w:color="auto" w:sz="4" w:space="0"/>
            </w:tcBorders>
          </w:tcPr>
          <w:p w14:paraId="37003DBA">
            <w:pPr>
              <w:widowControl/>
              <w:rPr>
                <w:rFonts w:ascii="宋体" w:hAnsi="宋体"/>
                <w:color w:val="auto"/>
                <w:kern w:val="0"/>
                <w:sz w:val="22"/>
                <w:szCs w:val="22"/>
              </w:rPr>
            </w:pPr>
            <w:r>
              <w:rPr>
                <w:rFonts w:hint="eastAsia" w:ascii="宋体" w:hAnsi="宋体"/>
                <w:color w:val="auto"/>
                <w:kern w:val="0"/>
                <w:sz w:val="22"/>
                <w:szCs w:val="22"/>
              </w:rPr>
              <w:t>16:9</w:t>
            </w:r>
          </w:p>
        </w:tc>
      </w:tr>
      <w:tr w14:paraId="6ABB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5E76021B">
            <w:pPr>
              <w:widowControl/>
              <w:rPr>
                <w:rFonts w:ascii="宋体" w:hAnsi="宋体"/>
                <w:color w:val="auto"/>
                <w:kern w:val="0"/>
                <w:sz w:val="22"/>
                <w:szCs w:val="22"/>
              </w:rPr>
            </w:pPr>
            <w:r>
              <w:rPr>
                <w:rFonts w:hint="eastAsia" w:ascii="宋体" w:hAnsi="宋体"/>
                <w:color w:val="auto"/>
                <w:kern w:val="0"/>
                <w:sz w:val="22"/>
                <w:szCs w:val="22"/>
              </w:rPr>
              <w:t>34</w:t>
            </w:r>
          </w:p>
        </w:tc>
        <w:tc>
          <w:tcPr>
            <w:tcW w:w="0" w:type="auto"/>
            <w:vMerge w:val="continue"/>
            <w:tcBorders>
              <w:top w:val="nil"/>
              <w:left w:val="single" w:color="auto" w:sz="4" w:space="0"/>
              <w:bottom w:val="single" w:color="auto" w:sz="4" w:space="0"/>
              <w:right w:val="single" w:color="auto" w:sz="4" w:space="0"/>
            </w:tcBorders>
            <w:vAlign w:val="center"/>
          </w:tcPr>
          <w:p w14:paraId="506DB97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559535B8">
            <w:pPr>
              <w:widowControl/>
              <w:rPr>
                <w:rFonts w:ascii="宋体" w:hAnsi="宋体"/>
                <w:color w:val="auto"/>
                <w:kern w:val="0"/>
                <w:sz w:val="22"/>
                <w:szCs w:val="22"/>
              </w:rPr>
            </w:pPr>
            <w:r>
              <w:rPr>
                <w:rFonts w:hint="eastAsia" w:ascii="宋体" w:hAnsi="宋体"/>
                <w:color w:val="auto"/>
                <w:kern w:val="0"/>
                <w:sz w:val="22"/>
                <w:szCs w:val="22"/>
              </w:rPr>
              <w:t xml:space="preserve"> ▲显示器外观颜色</w:t>
            </w:r>
          </w:p>
        </w:tc>
        <w:tc>
          <w:tcPr>
            <w:tcW w:w="2740" w:type="pct"/>
            <w:tcBorders>
              <w:top w:val="single" w:color="auto" w:sz="4" w:space="0"/>
              <w:left w:val="single" w:color="auto" w:sz="4" w:space="0"/>
              <w:bottom w:val="single" w:color="auto" w:sz="4" w:space="0"/>
              <w:right w:val="single" w:color="auto" w:sz="4" w:space="0"/>
            </w:tcBorders>
          </w:tcPr>
          <w:p w14:paraId="7C5347C3">
            <w:pPr>
              <w:widowControl/>
              <w:rPr>
                <w:rFonts w:ascii="宋体" w:hAnsi="宋体"/>
                <w:color w:val="auto"/>
                <w:kern w:val="0"/>
                <w:sz w:val="22"/>
                <w:szCs w:val="22"/>
              </w:rPr>
            </w:pPr>
            <w:r>
              <w:rPr>
                <w:rFonts w:hint="eastAsia" w:ascii="宋体" w:hAnsi="宋体"/>
                <w:color w:val="auto"/>
                <w:kern w:val="0"/>
                <w:sz w:val="22"/>
                <w:szCs w:val="22"/>
              </w:rPr>
              <w:t>黑色</w:t>
            </w:r>
          </w:p>
        </w:tc>
      </w:tr>
      <w:tr w14:paraId="237A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347" w:type="pct"/>
            <w:tcBorders>
              <w:top w:val="single" w:color="auto" w:sz="4" w:space="0"/>
              <w:left w:val="single" w:color="auto" w:sz="4" w:space="0"/>
              <w:bottom w:val="single" w:color="auto" w:sz="4" w:space="0"/>
              <w:right w:val="single" w:color="auto" w:sz="4" w:space="0"/>
            </w:tcBorders>
          </w:tcPr>
          <w:p w14:paraId="617732AB">
            <w:pPr>
              <w:widowControl/>
              <w:rPr>
                <w:rFonts w:ascii="宋体" w:hAnsi="宋体"/>
                <w:color w:val="auto"/>
                <w:kern w:val="0"/>
                <w:sz w:val="22"/>
                <w:szCs w:val="22"/>
              </w:rPr>
            </w:pPr>
            <w:r>
              <w:rPr>
                <w:rFonts w:hint="eastAsia" w:ascii="宋体" w:hAnsi="宋体"/>
                <w:color w:val="auto"/>
                <w:kern w:val="0"/>
                <w:sz w:val="22"/>
                <w:szCs w:val="22"/>
              </w:rPr>
              <w:t>35</w:t>
            </w:r>
          </w:p>
        </w:tc>
        <w:tc>
          <w:tcPr>
            <w:tcW w:w="0" w:type="auto"/>
            <w:vMerge w:val="continue"/>
            <w:tcBorders>
              <w:top w:val="nil"/>
              <w:left w:val="single" w:color="auto" w:sz="4" w:space="0"/>
              <w:bottom w:val="single" w:color="auto" w:sz="4" w:space="0"/>
              <w:right w:val="single" w:color="auto" w:sz="4" w:space="0"/>
            </w:tcBorders>
            <w:vAlign w:val="center"/>
          </w:tcPr>
          <w:p w14:paraId="56A8060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245A88CA">
            <w:pPr>
              <w:widowControl/>
              <w:rPr>
                <w:rFonts w:ascii="宋体" w:hAnsi="宋体"/>
                <w:color w:val="auto"/>
                <w:kern w:val="0"/>
                <w:sz w:val="22"/>
                <w:szCs w:val="22"/>
              </w:rPr>
            </w:pPr>
            <w:r>
              <w:rPr>
                <w:rFonts w:hint="eastAsia" w:ascii="宋体" w:hAnsi="宋体"/>
                <w:color w:val="auto"/>
                <w:kern w:val="0"/>
                <w:sz w:val="22"/>
                <w:szCs w:val="22"/>
              </w:rPr>
              <w:t xml:space="preserve"> ▲显示屏防蓝光</w:t>
            </w:r>
          </w:p>
        </w:tc>
        <w:tc>
          <w:tcPr>
            <w:tcW w:w="2740" w:type="pct"/>
            <w:tcBorders>
              <w:top w:val="single" w:color="auto" w:sz="4" w:space="0"/>
              <w:left w:val="single" w:color="auto" w:sz="4" w:space="0"/>
              <w:bottom w:val="single" w:color="auto" w:sz="4" w:space="0"/>
              <w:right w:val="single" w:color="auto" w:sz="4" w:space="0"/>
            </w:tcBorders>
          </w:tcPr>
          <w:p w14:paraId="19671209">
            <w:pPr>
              <w:widowControl/>
              <w:rPr>
                <w:rFonts w:ascii="宋体" w:hAnsi="宋体"/>
                <w:color w:val="auto"/>
                <w:kern w:val="0"/>
                <w:sz w:val="22"/>
                <w:szCs w:val="22"/>
              </w:rPr>
            </w:pPr>
            <w:r>
              <w:rPr>
                <w:rFonts w:hint="eastAsia" w:ascii="宋体" w:hAnsi="宋体"/>
                <w:color w:val="auto"/>
                <w:kern w:val="0"/>
                <w:sz w:val="22"/>
                <w:szCs w:val="22"/>
              </w:rPr>
              <w:t>支持防蓝光模式，蓝光加权辐射亮度比应≤0.0012W/(</w:t>
            </w:r>
            <w:r>
              <w:rPr>
                <w:rFonts w:hint="eastAsia" w:ascii="微软雅黑" w:hAnsi="微软雅黑" w:eastAsia="微软雅黑" w:cs="微软雅黑"/>
                <w:color w:val="auto"/>
                <w:kern w:val="0"/>
                <w:sz w:val="22"/>
                <w:szCs w:val="22"/>
              </w:rPr>
              <w:t>・</w:t>
            </w:r>
            <w:r>
              <w:rPr>
                <w:rFonts w:hint="eastAsia" w:ascii="宋体" w:hAnsi="宋体"/>
                <w:color w:val="auto"/>
                <w:kern w:val="0"/>
                <w:sz w:val="22"/>
                <w:szCs w:val="22"/>
              </w:rPr>
              <w:t>cd</w:t>
            </w:r>
            <w:r>
              <w:rPr>
                <w:rFonts w:hint="eastAsia" w:ascii="微软雅黑" w:hAnsi="微软雅黑" w:eastAsia="微软雅黑" w:cs="微软雅黑"/>
                <w:color w:val="auto"/>
                <w:kern w:val="0"/>
                <w:sz w:val="22"/>
                <w:szCs w:val="22"/>
              </w:rPr>
              <w:t>・</w:t>
            </w:r>
            <w:r>
              <w:rPr>
                <w:rFonts w:hint="eastAsia" w:ascii="宋体" w:hAnsi="宋体"/>
                <w:color w:val="auto"/>
                <w:kern w:val="0"/>
                <w:sz w:val="22"/>
                <w:szCs w:val="22"/>
              </w:rPr>
              <w:t>sr)（瓦每坎特拉每球面度）</w:t>
            </w:r>
          </w:p>
        </w:tc>
      </w:tr>
      <w:tr w14:paraId="2360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603ADD91">
            <w:pPr>
              <w:widowControl/>
              <w:rPr>
                <w:rFonts w:ascii="宋体" w:hAnsi="宋体"/>
                <w:color w:val="auto"/>
                <w:kern w:val="0"/>
                <w:sz w:val="22"/>
                <w:szCs w:val="22"/>
              </w:rPr>
            </w:pPr>
            <w:r>
              <w:rPr>
                <w:rFonts w:hint="eastAsia" w:ascii="宋体" w:hAnsi="宋体"/>
                <w:color w:val="auto"/>
                <w:kern w:val="0"/>
                <w:sz w:val="22"/>
                <w:szCs w:val="22"/>
              </w:rPr>
              <w:t>36</w:t>
            </w:r>
          </w:p>
        </w:tc>
        <w:tc>
          <w:tcPr>
            <w:tcW w:w="0" w:type="auto"/>
            <w:vMerge w:val="continue"/>
            <w:tcBorders>
              <w:top w:val="nil"/>
              <w:left w:val="single" w:color="auto" w:sz="4" w:space="0"/>
              <w:bottom w:val="single" w:color="auto" w:sz="4" w:space="0"/>
              <w:right w:val="single" w:color="auto" w:sz="4" w:space="0"/>
            </w:tcBorders>
            <w:vAlign w:val="center"/>
          </w:tcPr>
          <w:p w14:paraId="6591F0F6">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14F7D474">
            <w:pPr>
              <w:widowControl/>
              <w:rPr>
                <w:rFonts w:ascii="宋体" w:hAnsi="宋体"/>
                <w:color w:val="auto"/>
                <w:kern w:val="0"/>
                <w:sz w:val="22"/>
                <w:szCs w:val="22"/>
              </w:rPr>
            </w:pPr>
            <w:r>
              <w:rPr>
                <w:rFonts w:hint="eastAsia" w:ascii="宋体" w:hAnsi="宋体"/>
                <w:color w:val="auto"/>
                <w:kern w:val="0"/>
                <w:sz w:val="22"/>
                <w:szCs w:val="22"/>
              </w:rPr>
              <w:t xml:space="preserve"> ▲显示屏低频闪</w:t>
            </w:r>
          </w:p>
        </w:tc>
        <w:tc>
          <w:tcPr>
            <w:tcW w:w="2740" w:type="pct"/>
            <w:tcBorders>
              <w:top w:val="single" w:color="auto" w:sz="4" w:space="0"/>
              <w:left w:val="single" w:color="auto" w:sz="4" w:space="0"/>
              <w:bottom w:val="single" w:color="auto" w:sz="4" w:space="0"/>
              <w:right w:val="single" w:color="auto" w:sz="4" w:space="0"/>
            </w:tcBorders>
          </w:tcPr>
          <w:p w14:paraId="2E3C6E37">
            <w:pPr>
              <w:widowControl/>
              <w:rPr>
                <w:rFonts w:ascii="宋体" w:hAnsi="宋体"/>
                <w:color w:val="auto"/>
                <w:kern w:val="0"/>
                <w:sz w:val="22"/>
                <w:szCs w:val="22"/>
              </w:rPr>
            </w:pPr>
            <w:r>
              <w:rPr>
                <w:rFonts w:hint="eastAsia" w:ascii="宋体" w:hAnsi="宋体"/>
                <w:color w:val="auto"/>
                <w:kern w:val="0"/>
                <w:sz w:val="22"/>
                <w:szCs w:val="22"/>
              </w:rPr>
              <w:t>显示屏应支持低频闪≤-35dB</w:t>
            </w:r>
          </w:p>
        </w:tc>
      </w:tr>
      <w:tr w14:paraId="75F7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6D5BDB10">
            <w:pPr>
              <w:widowControl/>
              <w:rPr>
                <w:rFonts w:ascii="宋体" w:hAnsi="宋体"/>
                <w:color w:val="auto"/>
                <w:kern w:val="0"/>
                <w:sz w:val="22"/>
                <w:szCs w:val="22"/>
              </w:rPr>
            </w:pPr>
            <w:r>
              <w:rPr>
                <w:rFonts w:hint="eastAsia" w:ascii="宋体" w:hAnsi="宋体"/>
                <w:color w:val="auto"/>
                <w:kern w:val="0"/>
                <w:sz w:val="22"/>
                <w:szCs w:val="22"/>
              </w:rPr>
              <w:t>37</w:t>
            </w:r>
          </w:p>
        </w:tc>
        <w:tc>
          <w:tcPr>
            <w:tcW w:w="0" w:type="auto"/>
            <w:vMerge w:val="continue"/>
            <w:tcBorders>
              <w:top w:val="nil"/>
              <w:left w:val="single" w:color="auto" w:sz="4" w:space="0"/>
              <w:bottom w:val="single" w:color="auto" w:sz="4" w:space="0"/>
              <w:right w:val="single" w:color="auto" w:sz="4" w:space="0"/>
            </w:tcBorders>
            <w:vAlign w:val="center"/>
          </w:tcPr>
          <w:p w14:paraId="2578E884">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2A8AFB41">
            <w:pPr>
              <w:widowControl/>
              <w:rPr>
                <w:rFonts w:ascii="宋体" w:hAnsi="宋体"/>
                <w:color w:val="auto"/>
                <w:kern w:val="0"/>
                <w:sz w:val="22"/>
                <w:szCs w:val="22"/>
              </w:rPr>
            </w:pPr>
            <w:r>
              <w:rPr>
                <w:rFonts w:hint="eastAsia" w:ascii="宋体" w:hAnsi="宋体"/>
                <w:color w:val="auto"/>
                <w:kern w:val="0"/>
                <w:sz w:val="22"/>
                <w:szCs w:val="22"/>
              </w:rPr>
              <w:t xml:space="preserve"> ▲显示屏防炫目</w:t>
            </w:r>
          </w:p>
        </w:tc>
        <w:tc>
          <w:tcPr>
            <w:tcW w:w="2740" w:type="pct"/>
            <w:tcBorders>
              <w:top w:val="single" w:color="auto" w:sz="4" w:space="0"/>
              <w:left w:val="single" w:color="auto" w:sz="4" w:space="0"/>
              <w:bottom w:val="single" w:color="auto" w:sz="4" w:space="0"/>
              <w:right w:val="single" w:color="auto" w:sz="4" w:space="0"/>
            </w:tcBorders>
          </w:tcPr>
          <w:p w14:paraId="3A5CB94F">
            <w:pPr>
              <w:widowControl/>
              <w:rPr>
                <w:rFonts w:ascii="宋体" w:hAnsi="宋体"/>
                <w:color w:val="auto"/>
                <w:kern w:val="0"/>
                <w:sz w:val="22"/>
                <w:szCs w:val="22"/>
              </w:rPr>
            </w:pPr>
            <w:r>
              <w:rPr>
                <w:rFonts w:hint="eastAsia" w:ascii="宋体" w:hAnsi="宋体"/>
                <w:color w:val="auto"/>
                <w:kern w:val="0"/>
                <w:sz w:val="22"/>
                <w:szCs w:val="22"/>
              </w:rPr>
              <w:t>显示屏镜面反射率≤10%</w:t>
            </w:r>
          </w:p>
        </w:tc>
      </w:tr>
      <w:tr w14:paraId="775B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5D12AECA">
            <w:pPr>
              <w:widowControl/>
              <w:rPr>
                <w:rFonts w:ascii="宋体" w:hAnsi="宋体"/>
                <w:color w:val="auto"/>
                <w:kern w:val="0"/>
                <w:sz w:val="22"/>
                <w:szCs w:val="22"/>
              </w:rPr>
            </w:pPr>
            <w:r>
              <w:rPr>
                <w:rFonts w:hint="eastAsia" w:ascii="宋体" w:hAnsi="宋体"/>
                <w:color w:val="auto"/>
                <w:kern w:val="0"/>
                <w:sz w:val="22"/>
                <w:szCs w:val="22"/>
              </w:rPr>
              <w:t>38</w:t>
            </w:r>
          </w:p>
        </w:tc>
        <w:tc>
          <w:tcPr>
            <w:tcW w:w="555" w:type="pct"/>
            <w:vMerge w:val="restart"/>
            <w:tcBorders>
              <w:top w:val="nil"/>
              <w:left w:val="single" w:color="auto" w:sz="4" w:space="0"/>
              <w:bottom w:val="single" w:color="auto" w:sz="4" w:space="0"/>
              <w:right w:val="single" w:color="auto" w:sz="4" w:space="0"/>
            </w:tcBorders>
            <w:vAlign w:val="center"/>
          </w:tcPr>
          <w:p w14:paraId="619A24D4">
            <w:pPr>
              <w:widowControl/>
              <w:rPr>
                <w:rFonts w:ascii="宋体" w:hAnsi="宋体"/>
                <w:color w:val="auto"/>
                <w:kern w:val="0"/>
                <w:sz w:val="22"/>
                <w:szCs w:val="22"/>
              </w:rPr>
            </w:pPr>
            <w:r>
              <w:rPr>
                <w:rFonts w:hint="eastAsia" w:ascii="宋体" w:hAnsi="宋体"/>
                <w:color w:val="auto"/>
                <w:kern w:val="0"/>
                <w:sz w:val="22"/>
                <w:szCs w:val="22"/>
              </w:rPr>
              <w:t>▲外设规格</w:t>
            </w:r>
          </w:p>
        </w:tc>
        <w:tc>
          <w:tcPr>
            <w:tcW w:w="1356" w:type="pct"/>
            <w:tcBorders>
              <w:top w:val="single" w:color="auto" w:sz="4" w:space="0"/>
              <w:left w:val="single" w:color="auto" w:sz="4" w:space="0"/>
              <w:bottom w:val="single" w:color="auto" w:sz="4" w:space="0"/>
              <w:right w:val="single" w:color="auto" w:sz="4" w:space="0"/>
            </w:tcBorders>
          </w:tcPr>
          <w:p w14:paraId="0DE11A80">
            <w:pPr>
              <w:widowControl/>
              <w:rPr>
                <w:rFonts w:ascii="宋体" w:hAnsi="宋体"/>
                <w:color w:val="auto"/>
                <w:kern w:val="0"/>
                <w:sz w:val="22"/>
                <w:szCs w:val="22"/>
              </w:rPr>
            </w:pPr>
            <w:r>
              <w:rPr>
                <w:rFonts w:hint="eastAsia" w:ascii="宋体" w:hAnsi="宋体"/>
                <w:color w:val="auto"/>
                <w:kern w:val="0"/>
                <w:sz w:val="22"/>
                <w:szCs w:val="22"/>
              </w:rPr>
              <w:t>传声器数量</w:t>
            </w:r>
          </w:p>
        </w:tc>
        <w:tc>
          <w:tcPr>
            <w:tcW w:w="2740" w:type="pct"/>
            <w:tcBorders>
              <w:top w:val="single" w:color="auto" w:sz="4" w:space="0"/>
              <w:left w:val="single" w:color="auto" w:sz="4" w:space="0"/>
              <w:bottom w:val="single" w:color="auto" w:sz="4" w:space="0"/>
              <w:right w:val="single" w:color="auto" w:sz="4" w:space="0"/>
            </w:tcBorders>
          </w:tcPr>
          <w:p w14:paraId="1576EC56">
            <w:pPr>
              <w:widowControl/>
              <w:rPr>
                <w:rFonts w:ascii="宋体" w:hAnsi="宋体"/>
                <w:color w:val="auto"/>
                <w:kern w:val="0"/>
                <w:sz w:val="22"/>
                <w:szCs w:val="22"/>
              </w:rPr>
            </w:pPr>
            <w:r>
              <w:rPr>
                <w:rFonts w:hint="eastAsia" w:ascii="宋体" w:hAnsi="宋体"/>
                <w:color w:val="auto"/>
                <w:kern w:val="0"/>
                <w:sz w:val="22"/>
                <w:szCs w:val="22"/>
              </w:rPr>
              <w:t>此项指标不做要求</w:t>
            </w:r>
          </w:p>
        </w:tc>
      </w:tr>
      <w:tr w14:paraId="4B00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245F1F3A">
            <w:pPr>
              <w:widowControl/>
              <w:rPr>
                <w:rFonts w:ascii="宋体" w:hAnsi="宋体"/>
                <w:color w:val="auto"/>
                <w:kern w:val="0"/>
                <w:sz w:val="22"/>
                <w:szCs w:val="22"/>
              </w:rPr>
            </w:pPr>
            <w:r>
              <w:rPr>
                <w:rFonts w:hint="eastAsia" w:ascii="宋体" w:hAnsi="宋体"/>
                <w:color w:val="auto"/>
                <w:kern w:val="0"/>
                <w:sz w:val="22"/>
                <w:szCs w:val="22"/>
              </w:rPr>
              <w:t>39</w:t>
            </w:r>
          </w:p>
        </w:tc>
        <w:tc>
          <w:tcPr>
            <w:tcW w:w="0" w:type="auto"/>
            <w:vMerge w:val="continue"/>
            <w:tcBorders>
              <w:top w:val="nil"/>
              <w:left w:val="single" w:color="auto" w:sz="4" w:space="0"/>
              <w:bottom w:val="single" w:color="auto" w:sz="4" w:space="0"/>
              <w:right w:val="single" w:color="auto" w:sz="4" w:space="0"/>
            </w:tcBorders>
            <w:vAlign w:val="center"/>
          </w:tcPr>
          <w:p w14:paraId="1A6C22C1">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10F5B643">
            <w:pPr>
              <w:widowControl/>
              <w:rPr>
                <w:rFonts w:ascii="宋体" w:hAnsi="宋体"/>
                <w:color w:val="auto"/>
                <w:kern w:val="0"/>
                <w:sz w:val="22"/>
                <w:szCs w:val="22"/>
              </w:rPr>
            </w:pPr>
            <w:r>
              <w:rPr>
                <w:rFonts w:hint="eastAsia" w:ascii="宋体" w:hAnsi="宋体"/>
                <w:color w:val="auto"/>
                <w:kern w:val="0"/>
                <w:sz w:val="22"/>
                <w:szCs w:val="22"/>
              </w:rPr>
              <w:t>扬声器数量</w:t>
            </w:r>
          </w:p>
        </w:tc>
        <w:tc>
          <w:tcPr>
            <w:tcW w:w="2740" w:type="pct"/>
            <w:tcBorders>
              <w:top w:val="single" w:color="auto" w:sz="4" w:space="0"/>
              <w:left w:val="single" w:color="auto" w:sz="4" w:space="0"/>
              <w:bottom w:val="single" w:color="auto" w:sz="4" w:space="0"/>
              <w:right w:val="single" w:color="auto" w:sz="4" w:space="0"/>
            </w:tcBorders>
          </w:tcPr>
          <w:p w14:paraId="315ABE6F">
            <w:pPr>
              <w:widowControl/>
              <w:rPr>
                <w:rFonts w:ascii="宋体" w:hAnsi="宋体"/>
                <w:color w:val="auto"/>
                <w:kern w:val="0"/>
                <w:sz w:val="22"/>
                <w:szCs w:val="22"/>
              </w:rPr>
            </w:pPr>
            <w:r>
              <w:rPr>
                <w:rFonts w:hint="eastAsia" w:ascii="宋体" w:hAnsi="宋体"/>
                <w:color w:val="auto"/>
                <w:kern w:val="0"/>
                <w:sz w:val="22"/>
                <w:szCs w:val="22"/>
              </w:rPr>
              <w:t>此项指标不做要求</w:t>
            </w:r>
          </w:p>
        </w:tc>
      </w:tr>
      <w:tr w14:paraId="0822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42D998A3">
            <w:pPr>
              <w:widowControl/>
              <w:rPr>
                <w:rFonts w:ascii="宋体" w:hAnsi="宋体"/>
                <w:color w:val="auto"/>
                <w:kern w:val="0"/>
                <w:sz w:val="22"/>
                <w:szCs w:val="22"/>
              </w:rPr>
            </w:pPr>
            <w:r>
              <w:rPr>
                <w:rFonts w:hint="eastAsia" w:ascii="宋体" w:hAnsi="宋体"/>
                <w:color w:val="auto"/>
                <w:kern w:val="0"/>
                <w:sz w:val="22"/>
                <w:szCs w:val="22"/>
              </w:rPr>
              <w:t>40</w:t>
            </w:r>
          </w:p>
        </w:tc>
        <w:tc>
          <w:tcPr>
            <w:tcW w:w="0" w:type="auto"/>
            <w:vMerge w:val="continue"/>
            <w:tcBorders>
              <w:top w:val="nil"/>
              <w:left w:val="single" w:color="auto" w:sz="4" w:space="0"/>
              <w:bottom w:val="single" w:color="auto" w:sz="4" w:space="0"/>
              <w:right w:val="single" w:color="auto" w:sz="4" w:space="0"/>
            </w:tcBorders>
            <w:vAlign w:val="center"/>
          </w:tcPr>
          <w:p w14:paraId="39DDE420">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22C5B8C">
            <w:pPr>
              <w:widowControl/>
              <w:rPr>
                <w:rFonts w:ascii="宋体" w:hAnsi="宋体"/>
                <w:color w:val="auto"/>
                <w:kern w:val="0"/>
                <w:sz w:val="22"/>
                <w:szCs w:val="22"/>
              </w:rPr>
            </w:pPr>
            <w:r>
              <w:rPr>
                <w:rFonts w:hint="eastAsia" w:ascii="宋体" w:hAnsi="宋体"/>
                <w:color w:val="auto"/>
                <w:kern w:val="0"/>
                <w:sz w:val="22"/>
                <w:szCs w:val="22"/>
              </w:rPr>
              <w:t xml:space="preserve"> ▲鼠标数量</w:t>
            </w:r>
          </w:p>
        </w:tc>
        <w:tc>
          <w:tcPr>
            <w:tcW w:w="2740" w:type="pct"/>
            <w:tcBorders>
              <w:top w:val="single" w:color="auto" w:sz="4" w:space="0"/>
              <w:left w:val="single" w:color="auto" w:sz="4" w:space="0"/>
              <w:bottom w:val="single" w:color="auto" w:sz="4" w:space="0"/>
              <w:right w:val="single" w:color="auto" w:sz="4" w:space="0"/>
            </w:tcBorders>
          </w:tcPr>
          <w:p w14:paraId="2BF692AE">
            <w:pPr>
              <w:widowControl/>
              <w:rPr>
                <w:rFonts w:ascii="宋体" w:hAnsi="宋体"/>
                <w:color w:val="auto"/>
                <w:kern w:val="0"/>
                <w:sz w:val="22"/>
                <w:szCs w:val="22"/>
              </w:rPr>
            </w:pPr>
            <w:r>
              <w:rPr>
                <w:rFonts w:hint="eastAsia" w:ascii="宋体" w:hAnsi="宋体"/>
                <w:color w:val="auto"/>
                <w:kern w:val="0"/>
                <w:sz w:val="22"/>
                <w:szCs w:val="22"/>
              </w:rPr>
              <w:t>≥1个</w:t>
            </w:r>
          </w:p>
        </w:tc>
      </w:tr>
      <w:tr w14:paraId="49D4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5A1F6DC3">
            <w:pPr>
              <w:widowControl/>
              <w:rPr>
                <w:rFonts w:ascii="宋体" w:hAnsi="宋体"/>
                <w:color w:val="auto"/>
                <w:kern w:val="0"/>
                <w:sz w:val="22"/>
                <w:szCs w:val="22"/>
              </w:rPr>
            </w:pPr>
            <w:r>
              <w:rPr>
                <w:rFonts w:hint="eastAsia" w:ascii="宋体" w:hAnsi="宋体"/>
                <w:color w:val="auto"/>
                <w:kern w:val="0"/>
                <w:sz w:val="22"/>
                <w:szCs w:val="22"/>
              </w:rPr>
              <w:t>41</w:t>
            </w:r>
          </w:p>
        </w:tc>
        <w:tc>
          <w:tcPr>
            <w:tcW w:w="0" w:type="auto"/>
            <w:vMerge w:val="continue"/>
            <w:tcBorders>
              <w:top w:val="nil"/>
              <w:left w:val="single" w:color="auto" w:sz="4" w:space="0"/>
              <w:bottom w:val="single" w:color="auto" w:sz="4" w:space="0"/>
              <w:right w:val="single" w:color="auto" w:sz="4" w:space="0"/>
            </w:tcBorders>
            <w:vAlign w:val="center"/>
          </w:tcPr>
          <w:p w14:paraId="02158E17">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19D7F9E4">
            <w:pPr>
              <w:widowControl/>
              <w:rPr>
                <w:rFonts w:ascii="宋体" w:hAnsi="宋体"/>
                <w:color w:val="auto"/>
                <w:kern w:val="0"/>
                <w:sz w:val="22"/>
                <w:szCs w:val="22"/>
              </w:rPr>
            </w:pPr>
            <w:r>
              <w:rPr>
                <w:rFonts w:hint="eastAsia" w:ascii="宋体" w:hAnsi="宋体"/>
                <w:color w:val="auto"/>
                <w:kern w:val="0"/>
                <w:sz w:val="22"/>
                <w:szCs w:val="22"/>
              </w:rPr>
              <w:t xml:space="preserve"> ▲键盘数量</w:t>
            </w:r>
          </w:p>
        </w:tc>
        <w:tc>
          <w:tcPr>
            <w:tcW w:w="2740" w:type="pct"/>
            <w:tcBorders>
              <w:top w:val="single" w:color="auto" w:sz="4" w:space="0"/>
              <w:left w:val="single" w:color="auto" w:sz="4" w:space="0"/>
              <w:bottom w:val="single" w:color="auto" w:sz="4" w:space="0"/>
              <w:right w:val="single" w:color="auto" w:sz="4" w:space="0"/>
            </w:tcBorders>
          </w:tcPr>
          <w:p w14:paraId="32B2102B">
            <w:pPr>
              <w:widowControl/>
              <w:rPr>
                <w:rFonts w:ascii="宋体" w:hAnsi="宋体"/>
                <w:color w:val="auto"/>
                <w:kern w:val="0"/>
                <w:sz w:val="22"/>
                <w:szCs w:val="22"/>
              </w:rPr>
            </w:pPr>
            <w:r>
              <w:rPr>
                <w:rFonts w:hint="eastAsia" w:ascii="宋体" w:hAnsi="宋体"/>
                <w:color w:val="auto"/>
                <w:kern w:val="0"/>
                <w:sz w:val="22"/>
                <w:szCs w:val="22"/>
              </w:rPr>
              <w:t>≥1个</w:t>
            </w:r>
          </w:p>
        </w:tc>
      </w:tr>
      <w:tr w14:paraId="6545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32F22D54">
            <w:pPr>
              <w:widowControl/>
              <w:rPr>
                <w:rFonts w:ascii="宋体" w:hAnsi="宋体"/>
                <w:color w:val="auto"/>
                <w:kern w:val="0"/>
                <w:sz w:val="22"/>
                <w:szCs w:val="22"/>
              </w:rPr>
            </w:pPr>
            <w:r>
              <w:rPr>
                <w:rFonts w:hint="eastAsia" w:ascii="宋体" w:hAnsi="宋体"/>
                <w:color w:val="auto"/>
                <w:kern w:val="0"/>
                <w:sz w:val="22"/>
                <w:szCs w:val="22"/>
              </w:rPr>
              <w:t>42</w:t>
            </w:r>
          </w:p>
        </w:tc>
        <w:tc>
          <w:tcPr>
            <w:tcW w:w="0" w:type="auto"/>
            <w:vMerge w:val="continue"/>
            <w:tcBorders>
              <w:top w:val="nil"/>
              <w:left w:val="single" w:color="auto" w:sz="4" w:space="0"/>
              <w:bottom w:val="single" w:color="auto" w:sz="4" w:space="0"/>
              <w:right w:val="single" w:color="auto" w:sz="4" w:space="0"/>
            </w:tcBorders>
            <w:vAlign w:val="center"/>
          </w:tcPr>
          <w:p w14:paraId="4D698564">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445C163">
            <w:pPr>
              <w:widowControl/>
              <w:rPr>
                <w:rFonts w:ascii="宋体" w:hAnsi="宋体"/>
                <w:color w:val="auto"/>
                <w:kern w:val="0"/>
                <w:sz w:val="22"/>
                <w:szCs w:val="22"/>
              </w:rPr>
            </w:pPr>
            <w:r>
              <w:rPr>
                <w:rFonts w:hint="eastAsia" w:ascii="宋体" w:hAnsi="宋体"/>
                <w:color w:val="auto"/>
                <w:kern w:val="0"/>
                <w:sz w:val="22"/>
                <w:szCs w:val="22"/>
              </w:rPr>
              <w:t>摄像头数量</w:t>
            </w:r>
          </w:p>
        </w:tc>
        <w:tc>
          <w:tcPr>
            <w:tcW w:w="2740" w:type="pct"/>
            <w:tcBorders>
              <w:top w:val="single" w:color="auto" w:sz="4" w:space="0"/>
              <w:left w:val="single" w:color="auto" w:sz="4" w:space="0"/>
              <w:bottom w:val="single" w:color="auto" w:sz="4" w:space="0"/>
              <w:right w:val="single" w:color="auto" w:sz="4" w:space="0"/>
            </w:tcBorders>
          </w:tcPr>
          <w:p w14:paraId="305AA5F3">
            <w:pPr>
              <w:widowControl/>
              <w:rPr>
                <w:rFonts w:ascii="宋体" w:hAnsi="宋体"/>
                <w:color w:val="auto"/>
                <w:kern w:val="0"/>
                <w:sz w:val="22"/>
                <w:szCs w:val="22"/>
              </w:rPr>
            </w:pPr>
            <w:r>
              <w:rPr>
                <w:rFonts w:hint="eastAsia" w:ascii="宋体" w:hAnsi="宋体"/>
                <w:color w:val="auto"/>
                <w:kern w:val="0"/>
                <w:sz w:val="22"/>
                <w:szCs w:val="22"/>
              </w:rPr>
              <w:t>/</w:t>
            </w:r>
          </w:p>
        </w:tc>
      </w:tr>
      <w:tr w14:paraId="2E26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7530D458">
            <w:pPr>
              <w:widowControl/>
              <w:rPr>
                <w:rFonts w:ascii="宋体" w:hAnsi="宋体"/>
                <w:color w:val="auto"/>
                <w:kern w:val="0"/>
                <w:sz w:val="22"/>
                <w:szCs w:val="22"/>
              </w:rPr>
            </w:pPr>
            <w:r>
              <w:rPr>
                <w:rFonts w:hint="eastAsia" w:ascii="宋体" w:hAnsi="宋体"/>
                <w:color w:val="auto"/>
                <w:kern w:val="0"/>
                <w:sz w:val="22"/>
                <w:szCs w:val="22"/>
              </w:rPr>
              <w:t>43</w:t>
            </w:r>
          </w:p>
        </w:tc>
        <w:tc>
          <w:tcPr>
            <w:tcW w:w="0" w:type="auto"/>
            <w:vMerge w:val="continue"/>
            <w:tcBorders>
              <w:top w:val="nil"/>
              <w:left w:val="single" w:color="auto" w:sz="4" w:space="0"/>
              <w:bottom w:val="single" w:color="auto" w:sz="4" w:space="0"/>
              <w:right w:val="single" w:color="auto" w:sz="4" w:space="0"/>
            </w:tcBorders>
            <w:vAlign w:val="center"/>
          </w:tcPr>
          <w:p w14:paraId="7E1DFF0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5228B813">
            <w:pPr>
              <w:widowControl/>
              <w:rPr>
                <w:rFonts w:ascii="宋体" w:hAnsi="宋体"/>
                <w:color w:val="auto"/>
                <w:kern w:val="0"/>
                <w:sz w:val="22"/>
                <w:szCs w:val="22"/>
              </w:rPr>
            </w:pPr>
            <w:r>
              <w:rPr>
                <w:rFonts w:hint="eastAsia" w:ascii="宋体" w:hAnsi="宋体"/>
                <w:color w:val="auto"/>
                <w:kern w:val="0"/>
                <w:sz w:val="22"/>
                <w:szCs w:val="22"/>
              </w:rPr>
              <w:t>光驱数量</w:t>
            </w:r>
          </w:p>
        </w:tc>
        <w:tc>
          <w:tcPr>
            <w:tcW w:w="2740" w:type="pct"/>
            <w:tcBorders>
              <w:top w:val="single" w:color="auto" w:sz="4" w:space="0"/>
              <w:left w:val="single" w:color="auto" w:sz="4" w:space="0"/>
              <w:bottom w:val="single" w:color="auto" w:sz="4" w:space="0"/>
              <w:right w:val="single" w:color="auto" w:sz="4" w:space="0"/>
            </w:tcBorders>
          </w:tcPr>
          <w:p w14:paraId="070E4E1A">
            <w:pPr>
              <w:widowControl/>
              <w:rPr>
                <w:rFonts w:ascii="宋体" w:hAnsi="宋体"/>
                <w:color w:val="auto"/>
                <w:kern w:val="0"/>
                <w:sz w:val="22"/>
                <w:szCs w:val="22"/>
              </w:rPr>
            </w:pPr>
            <w:r>
              <w:rPr>
                <w:rFonts w:hint="eastAsia" w:ascii="宋体" w:hAnsi="宋体"/>
                <w:color w:val="auto"/>
                <w:kern w:val="0"/>
                <w:sz w:val="22"/>
                <w:szCs w:val="22"/>
              </w:rPr>
              <w:t>/</w:t>
            </w:r>
          </w:p>
        </w:tc>
      </w:tr>
      <w:tr w14:paraId="1498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12049450">
            <w:pPr>
              <w:widowControl/>
              <w:rPr>
                <w:rFonts w:ascii="宋体" w:hAnsi="宋体"/>
                <w:color w:val="auto"/>
                <w:kern w:val="0"/>
                <w:sz w:val="22"/>
                <w:szCs w:val="22"/>
              </w:rPr>
            </w:pPr>
            <w:r>
              <w:rPr>
                <w:rFonts w:hint="eastAsia" w:ascii="宋体" w:hAnsi="宋体"/>
                <w:color w:val="auto"/>
                <w:kern w:val="0"/>
                <w:sz w:val="22"/>
                <w:szCs w:val="22"/>
              </w:rPr>
              <w:t>44</w:t>
            </w:r>
          </w:p>
        </w:tc>
        <w:tc>
          <w:tcPr>
            <w:tcW w:w="0" w:type="auto"/>
            <w:vMerge w:val="continue"/>
            <w:tcBorders>
              <w:top w:val="nil"/>
              <w:left w:val="single" w:color="auto" w:sz="4" w:space="0"/>
              <w:bottom w:val="single" w:color="auto" w:sz="4" w:space="0"/>
              <w:right w:val="single" w:color="auto" w:sz="4" w:space="0"/>
            </w:tcBorders>
            <w:vAlign w:val="center"/>
          </w:tcPr>
          <w:p w14:paraId="100B8C79">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5F0A6BEE">
            <w:pPr>
              <w:widowControl/>
              <w:rPr>
                <w:rFonts w:ascii="宋体" w:hAnsi="宋体"/>
                <w:color w:val="auto"/>
                <w:kern w:val="0"/>
                <w:sz w:val="22"/>
                <w:szCs w:val="22"/>
              </w:rPr>
            </w:pPr>
            <w:r>
              <w:rPr>
                <w:rFonts w:hint="eastAsia" w:ascii="宋体" w:hAnsi="宋体"/>
                <w:color w:val="auto"/>
                <w:kern w:val="0"/>
                <w:sz w:val="22"/>
                <w:szCs w:val="22"/>
              </w:rPr>
              <w:t xml:space="preserve"> ▲键盘按键数目</w:t>
            </w:r>
          </w:p>
        </w:tc>
        <w:tc>
          <w:tcPr>
            <w:tcW w:w="2740" w:type="pct"/>
            <w:tcBorders>
              <w:top w:val="single" w:color="auto" w:sz="4" w:space="0"/>
              <w:left w:val="single" w:color="auto" w:sz="4" w:space="0"/>
              <w:bottom w:val="single" w:color="auto" w:sz="4" w:space="0"/>
              <w:right w:val="single" w:color="auto" w:sz="4" w:space="0"/>
            </w:tcBorders>
          </w:tcPr>
          <w:p w14:paraId="333763CF">
            <w:pPr>
              <w:widowControl/>
              <w:rPr>
                <w:rFonts w:ascii="宋体" w:hAnsi="宋体"/>
                <w:color w:val="auto"/>
                <w:kern w:val="0"/>
                <w:sz w:val="22"/>
                <w:szCs w:val="22"/>
              </w:rPr>
            </w:pPr>
            <w:r>
              <w:rPr>
                <w:rFonts w:hint="eastAsia" w:ascii="宋体" w:hAnsi="宋体"/>
                <w:color w:val="auto"/>
                <w:kern w:val="0"/>
                <w:sz w:val="22"/>
                <w:szCs w:val="22"/>
              </w:rPr>
              <w:t>104键</w:t>
            </w:r>
          </w:p>
        </w:tc>
      </w:tr>
      <w:tr w14:paraId="4C1C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4E96266B">
            <w:pPr>
              <w:widowControl/>
              <w:rPr>
                <w:rFonts w:ascii="宋体" w:hAnsi="宋体"/>
                <w:color w:val="auto"/>
                <w:kern w:val="0"/>
                <w:sz w:val="22"/>
                <w:szCs w:val="22"/>
              </w:rPr>
            </w:pPr>
            <w:r>
              <w:rPr>
                <w:rFonts w:hint="eastAsia" w:ascii="宋体" w:hAnsi="宋体"/>
                <w:color w:val="auto"/>
                <w:kern w:val="0"/>
                <w:sz w:val="22"/>
                <w:szCs w:val="22"/>
              </w:rPr>
              <w:t>45</w:t>
            </w:r>
          </w:p>
        </w:tc>
        <w:tc>
          <w:tcPr>
            <w:tcW w:w="0" w:type="auto"/>
            <w:vMerge w:val="continue"/>
            <w:tcBorders>
              <w:top w:val="nil"/>
              <w:left w:val="single" w:color="auto" w:sz="4" w:space="0"/>
              <w:bottom w:val="single" w:color="auto" w:sz="4" w:space="0"/>
              <w:right w:val="single" w:color="auto" w:sz="4" w:space="0"/>
            </w:tcBorders>
            <w:vAlign w:val="center"/>
          </w:tcPr>
          <w:p w14:paraId="39CEF3F4">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277CC681">
            <w:pPr>
              <w:widowControl/>
              <w:rPr>
                <w:rFonts w:ascii="宋体" w:hAnsi="宋体"/>
                <w:color w:val="auto"/>
                <w:kern w:val="0"/>
                <w:sz w:val="22"/>
                <w:szCs w:val="22"/>
              </w:rPr>
            </w:pPr>
            <w:r>
              <w:rPr>
                <w:rFonts w:hint="eastAsia" w:ascii="宋体" w:hAnsi="宋体"/>
                <w:color w:val="auto"/>
                <w:kern w:val="0"/>
                <w:sz w:val="22"/>
                <w:szCs w:val="22"/>
              </w:rPr>
              <w:t>摄像头像素</w:t>
            </w:r>
          </w:p>
        </w:tc>
        <w:tc>
          <w:tcPr>
            <w:tcW w:w="2740" w:type="pct"/>
            <w:tcBorders>
              <w:top w:val="single" w:color="auto" w:sz="4" w:space="0"/>
              <w:left w:val="single" w:color="auto" w:sz="4" w:space="0"/>
              <w:bottom w:val="single" w:color="auto" w:sz="4" w:space="0"/>
              <w:right w:val="single" w:color="auto" w:sz="4" w:space="0"/>
            </w:tcBorders>
          </w:tcPr>
          <w:p w14:paraId="3F61B038">
            <w:pPr>
              <w:widowControl/>
              <w:rPr>
                <w:rFonts w:ascii="宋体" w:hAnsi="宋体"/>
                <w:color w:val="auto"/>
                <w:kern w:val="0"/>
                <w:sz w:val="22"/>
                <w:szCs w:val="22"/>
              </w:rPr>
            </w:pPr>
            <w:r>
              <w:rPr>
                <w:rFonts w:hint="eastAsia" w:ascii="宋体" w:hAnsi="宋体"/>
                <w:color w:val="auto"/>
                <w:kern w:val="0"/>
                <w:sz w:val="22"/>
                <w:szCs w:val="22"/>
              </w:rPr>
              <w:t>/</w:t>
            </w:r>
          </w:p>
        </w:tc>
      </w:tr>
      <w:tr w14:paraId="6876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02CB6606">
            <w:pPr>
              <w:widowControl/>
              <w:rPr>
                <w:rFonts w:ascii="宋体" w:hAnsi="宋体"/>
                <w:color w:val="auto"/>
                <w:kern w:val="0"/>
                <w:sz w:val="22"/>
                <w:szCs w:val="22"/>
              </w:rPr>
            </w:pPr>
            <w:r>
              <w:rPr>
                <w:rFonts w:hint="eastAsia" w:ascii="宋体" w:hAnsi="宋体"/>
                <w:color w:val="auto"/>
                <w:kern w:val="0"/>
                <w:sz w:val="22"/>
                <w:szCs w:val="22"/>
              </w:rPr>
              <w:t>46</w:t>
            </w:r>
          </w:p>
        </w:tc>
        <w:tc>
          <w:tcPr>
            <w:tcW w:w="0" w:type="auto"/>
            <w:vMerge w:val="continue"/>
            <w:tcBorders>
              <w:top w:val="nil"/>
              <w:left w:val="single" w:color="auto" w:sz="4" w:space="0"/>
              <w:bottom w:val="single" w:color="auto" w:sz="4" w:space="0"/>
              <w:right w:val="single" w:color="auto" w:sz="4" w:space="0"/>
            </w:tcBorders>
            <w:vAlign w:val="center"/>
          </w:tcPr>
          <w:p w14:paraId="75A4ACBC">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3F941544">
            <w:pPr>
              <w:widowControl/>
              <w:rPr>
                <w:rFonts w:ascii="宋体" w:hAnsi="宋体"/>
                <w:color w:val="auto"/>
                <w:kern w:val="0"/>
                <w:sz w:val="22"/>
                <w:szCs w:val="22"/>
              </w:rPr>
            </w:pPr>
            <w:r>
              <w:rPr>
                <w:rFonts w:hint="eastAsia" w:ascii="宋体" w:hAnsi="宋体"/>
                <w:color w:val="auto"/>
                <w:kern w:val="0"/>
                <w:sz w:val="22"/>
                <w:szCs w:val="22"/>
              </w:rPr>
              <w:t>摄像头分辨率</w:t>
            </w:r>
          </w:p>
        </w:tc>
        <w:tc>
          <w:tcPr>
            <w:tcW w:w="2740" w:type="pct"/>
            <w:tcBorders>
              <w:top w:val="single" w:color="auto" w:sz="4" w:space="0"/>
              <w:left w:val="single" w:color="auto" w:sz="4" w:space="0"/>
              <w:bottom w:val="single" w:color="auto" w:sz="4" w:space="0"/>
              <w:right w:val="single" w:color="auto" w:sz="4" w:space="0"/>
            </w:tcBorders>
          </w:tcPr>
          <w:p w14:paraId="61CB38CC">
            <w:pPr>
              <w:widowControl/>
              <w:rPr>
                <w:rFonts w:ascii="宋体" w:hAnsi="宋体"/>
                <w:color w:val="auto"/>
                <w:kern w:val="0"/>
                <w:sz w:val="22"/>
                <w:szCs w:val="22"/>
              </w:rPr>
            </w:pPr>
            <w:r>
              <w:rPr>
                <w:rFonts w:hint="eastAsia" w:ascii="宋体" w:hAnsi="宋体"/>
                <w:color w:val="auto"/>
                <w:kern w:val="0"/>
                <w:sz w:val="22"/>
                <w:szCs w:val="22"/>
              </w:rPr>
              <w:t>/</w:t>
            </w:r>
          </w:p>
        </w:tc>
      </w:tr>
      <w:tr w14:paraId="7997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25D07AD5">
            <w:pPr>
              <w:widowControl/>
              <w:rPr>
                <w:rFonts w:ascii="宋体" w:hAnsi="宋体"/>
                <w:color w:val="auto"/>
                <w:kern w:val="0"/>
                <w:sz w:val="22"/>
                <w:szCs w:val="22"/>
              </w:rPr>
            </w:pPr>
            <w:r>
              <w:rPr>
                <w:rFonts w:hint="eastAsia" w:ascii="宋体" w:hAnsi="宋体"/>
                <w:color w:val="auto"/>
                <w:kern w:val="0"/>
                <w:sz w:val="22"/>
                <w:szCs w:val="22"/>
              </w:rPr>
              <w:t>47</w:t>
            </w:r>
          </w:p>
        </w:tc>
        <w:tc>
          <w:tcPr>
            <w:tcW w:w="0" w:type="auto"/>
            <w:vMerge w:val="continue"/>
            <w:tcBorders>
              <w:top w:val="nil"/>
              <w:left w:val="single" w:color="auto" w:sz="4" w:space="0"/>
              <w:bottom w:val="single" w:color="auto" w:sz="4" w:space="0"/>
              <w:right w:val="single" w:color="auto" w:sz="4" w:space="0"/>
            </w:tcBorders>
            <w:vAlign w:val="center"/>
          </w:tcPr>
          <w:p w14:paraId="31425D38">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3FA43092">
            <w:pPr>
              <w:widowControl/>
              <w:rPr>
                <w:rFonts w:ascii="宋体" w:hAnsi="宋体"/>
                <w:color w:val="auto"/>
                <w:kern w:val="0"/>
                <w:sz w:val="22"/>
                <w:szCs w:val="22"/>
              </w:rPr>
            </w:pPr>
            <w:r>
              <w:rPr>
                <w:rFonts w:hint="eastAsia" w:ascii="宋体" w:hAnsi="宋体"/>
                <w:color w:val="auto"/>
                <w:kern w:val="0"/>
                <w:sz w:val="22"/>
                <w:szCs w:val="22"/>
              </w:rPr>
              <w:t>扬声器功率</w:t>
            </w:r>
          </w:p>
        </w:tc>
        <w:tc>
          <w:tcPr>
            <w:tcW w:w="2740" w:type="pct"/>
            <w:tcBorders>
              <w:top w:val="single" w:color="auto" w:sz="4" w:space="0"/>
              <w:left w:val="single" w:color="auto" w:sz="4" w:space="0"/>
              <w:bottom w:val="single" w:color="auto" w:sz="4" w:space="0"/>
              <w:right w:val="single" w:color="auto" w:sz="4" w:space="0"/>
            </w:tcBorders>
          </w:tcPr>
          <w:p w14:paraId="18596B09">
            <w:pPr>
              <w:widowControl/>
              <w:rPr>
                <w:rFonts w:ascii="宋体" w:hAnsi="宋体"/>
                <w:color w:val="auto"/>
                <w:kern w:val="0"/>
                <w:sz w:val="22"/>
                <w:szCs w:val="22"/>
              </w:rPr>
            </w:pPr>
            <w:r>
              <w:rPr>
                <w:rFonts w:hint="eastAsia" w:ascii="宋体" w:hAnsi="宋体"/>
                <w:color w:val="auto"/>
                <w:kern w:val="0"/>
                <w:sz w:val="22"/>
                <w:szCs w:val="22"/>
              </w:rPr>
              <w:t>/</w:t>
            </w:r>
          </w:p>
        </w:tc>
      </w:tr>
      <w:tr w14:paraId="00FE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47" w:type="pct"/>
            <w:tcBorders>
              <w:top w:val="single" w:color="auto" w:sz="4" w:space="0"/>
              <w:left w:val="single" w:color="auto" w:sz="4" w:space="0"/>
              <w:bottom w:val="single" w:color="auto" w:sz="4" w:space="0"/>
              <w:right w:val="single" w:color="auto" w:sz="4" w:space="0"/>
            </w:tcBorders>
          </w:tcPr>
          <w:p w14:paraId="0AB294EF">
            <w:pPr>
              <w:widowControl/>
              <w:rPr>
                <w:rFonts w:ascii="宋体" w:hAnsi="宋体"/>
                <w:color w:val="auto"/>
                <w:kern w:val="0"/>
                <w:sz w:val="22"/>
                <w:szCs w:val="22"/>
              </w:rPr>
            </w:pPr>
            <w:r>
              <w:rPr>
                <w:rFonts w:hint="eastAsia" w:ascii="宋体" w:hAnsi="宋体"/>
                <w:color w:val="auto"/>
                <w:kern w:val="0"/>
                <w:sz w:val="22"/>
                <w:szCs w:val="22"/>
              </w:rPr>
              <w:t>48</w:t>
            </w:r>
          </w:p>
        </w:tc>
        <w:tc>
          <w:tcPr>
            <w:tcW w:w="0" w:type="auto"/>
            <w:vMerge w:val="continue"/>
            <w:tcBorders>
              <w:top w:val="nil"/>
              <w:left w:val="single" w:color="auto" w:sz="4" w:space="0"/>
              <w:bottom w:val="single" w:color="auto" w:sz="4" w:space="0"/>
              <w:right w:val="single" w:color="auto" w:sz="4" w:space="0"/>
            </w:tcBorders>
            <w:vAlign w:val="center"/>
          </w:tcPr>
          <w:p w14:paraId="38BB45AA">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65C0D9A5">
            <w:pPr>
              <w:widowControl/>
              <w:rPr>
                <w:rFonts w:ascii="宋体" w:hAnsi="宋体"/>
                <w:color w:val="auto"/>
                <w:kern w:val="0"/>
                <w:sz w:val="22"/>
                <w:szCs w:val="22"/>
              </w:rPr>
            </w:pPr>
            <w:r>
              <w:rPr>
                <w:rFonts w:hint="eastAsia" w:ascii="宋体" w:hAnsi="宋体"/>
                <w:color w:val="auto"/>
                <w:kern w:val="0"/>
                <w:sz w:val="22"/>
                <w:szCs w:val="22"/>
              </w:rPr>
              <w:t>扬声器频率范围</w:t>
            </w:r>
          </w:p>
        </w:tc>
        <w:tc>
          <w:tcPr>
            <w:tcW w:w="2740" w:type="pct"/>
            <w:tcBorders>
              <w:top w:val="single" w:color="auto" w:sz="4" w:space="0"/>
              <w:left w:val="single" w:color="auto" w:sz="4" w:space="0"/>
              <w:bottom w:val="single" w:color="auto" w:sz="4" w:space="0"/>
              <w:right w:val="single" w:color="auto" w:sz="4" w:space="0"/>
            </w:tcBorders>
          </w:tcPr>
          <w:p w14:paraId="4956D2C7">
            <w:pPr>
              <w:widowControl/>
              <w:rPr>
                <w:rFonts w:ascii="宋体" w:hAnsi="宋体"/>
                <w:color w:val="auto"/>
                <w:kern w:val="0"/>
                <w:sz w:val="22"/>
                <w:szCs w:val="22"/>
              </w:rPr>
            </w:pPr>
            <w:r>
              <w:rPr>
                <w:rFonts w:hint="eastAsia" w:ascii="宋体" w:hAnsi="宋体"/>
                <w:color w:val="auto"/>
                <w:kern w:val="0"/>
                <w:sz w:val="22"/>
                <w:szCs w:val="22"/>
              </w:rPr>
              <w:t>/</w:t>
            </w:r>
          </w:p>
        </w:tc>
      </w:tr>
      <w:tr w14:paraId="7E02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26FBAA63">
            <w:pPr>
              <w:widowControl/>
              <w:rPr>
                <w:rFonts w:ascii="宋体" w:hAnsi="宋体"/>
                <w:color w:val="auto"/>
                <w:kern w:val="0"/>
                <w:sz w:val="22"/>
                <w:szCs w:val="22"/>
              </w:rPr>
            </w:pPr>
            <w:r>
              <w:rPr>
                <w:rFonts w:hint="eastAsia" w:ascii="宋体" w:hAnsi="宋体"/>
                <w:color w:val="auto"/>
                <w:kern w:val="0"/>
                <w:sz w:val="22"/>
                <w:szCs w:val="22"/>
              </w:rPr>
              <w:t>49</w:t>
            </w:r>
          </w:p>
        </w:tc>
        <w:tc>
          <w:tcPr>
            <w:tcW w:w="0" w:type="auto"/>
            <w:vMerge w:val="continue"/>
            <w:tcBorders>
              <w:top w:val="nil"/>
              <w:left w:val="single" w:color="auto" w:sz="4" w:space="0"/>
              <w:bottom w:val="single" w:color="auto" w:sz="4" w:space="0"/>
              <w:right w:val="single" w:color="auto" w:sz="4" w:space="0"/>
            </w:tcBorders>
            <w:vAlign w:val="center"/>
          </w:tcPr>
          <w:p w14:paraId="7CCD2F55">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64D81C0D">
            <w:pPr>
              <w:widowControl/>
              <w:rPr>
                <w:rFonts w:ascii="宋体" w:hAnsi="宋体"/>
                <w:color w:val="auto"/>
                <w:kern w:val="0"/>
                <w:sz w:val="22"/>
                <w:szCs w:val="22"/>
              </w:rPr>
            </w:pPr>
            <w:r>
              <w:rPr>
                <w:rFonts w:hint="eastAsia" w:ascii="宋体" w:hAnsi="宋体"/>
                <w:color w:val="auto"/>
                <w:kern w:val="0"/>
                <w:sz w:val="22"/>
                <w:szCs w:val="22"/>
              </w:rPr>
              <w:t>扬声器总谐波失真</w:t>
            </w:r>
          </w:p>
        </w:tc>
        <w:tc>
          <w:tcPr>
            <w:tcW w:w="2740" w:type="pct"/>
            <w:tcBorders>
              <w:top w:val="single" w:color="auto" w:sz="4" w:space="0"/>
              <w:left w:val="single" w:color="auto" w:sz="4" w:space="0"/>
              <w:bottom w:val="single" w:color="auto" w:sz="4" w:space="0"/>
              <w:right w:val="single" w:color="auto" w:sz="4" w:space="0"/>
            </w:tcBorders>
          </w:tcPr>
          <w:p w14:paraId="70A2E42D">
            <w:pPr>
              <w:widowControl/>
              <w:rPr>
                <w:rFonts w:ascii="宋体" w:hAnsi="宋体"/>
                <w:color w:val="auto"/>
                <w:kern w:val="0"/>
                <w:sz w:val="22"/>
                <w:szCs w:val="22"/>
              </w:rPr>
            </w:pPr>
            <w:r>
              <w:rPr>
                <w:rFonts w:hint="eastAsia" w:ascii="宋体" w:hAnsi="宋体"/>
                <w:color w:val="auto"/>
                <w:kern w:val="0"/>
                <w:sz w:val="22"/>
                <w:szCs w:val="22"/>
              </w:rPr>
              <w:t>/</w:t>
            </w:r>
          </w:p>
        </w:tc>
      </w:tr>
      <w:tr w14:paraId="35C4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47" w:type="pct"/>
            <w:tcBorders>
              <w:top w:val="single" w:color="auto" w:sz="4" w:space="0"/>
              <w:left w:val="single" w:color="auto" w:sz="4" w:space="0"/>
              <w:bottom w:val="single" w:color="auto" w:sz="4" w:space="0"/>
              <w:right w:val="single" w:color="auto" w:sz="4" w:space="0"/>
            </w:tcBorders>
          </w:tcPr>
          <w:p w14:paraId="4A2E1DE2">
            <w:pPr>
              <w:widowControl/>
              <w:rPr>
                <w:rFonts w:ascii="宋体" w:hAnsi="宋体"/>
                <w:color w:val="auto"/>
                <w:kern w:val="0"/>
                <w:sz w:val="22"/>
                <w:szCs w:val="22"/>
              </w:rPr>
            </w:pPr>
            <w:r>
              <w:rPr>
                <w:rFonts w:hint="eastAsia" w:ascii="宋体" w:hAnsi="宋体"/>
                <w:color w:val="auto"/>
                <w:kern w:val="0"/>
                <w:sz w:val="22"/>
                <w:szCs w:val="22"/>
              </w:rPr>
              <w:t>50</w:t>
            </w:r>
          </w:p>
        </w:tc>
        <w:tc>
          <w:tcPr>
            <w:tcW w:w="0" w:type="auto"/>
            <w:vMerge w:val="continue"/>
            <w:tcBorders>
              <w:top w:val="nil"/>
              <w:left w:val="single" w:color="auto" w:sz="4" w:space="0"/>
              <w:bottom w:val="single" w:color="auto" w:sz="4" w:space="0"/>
              <w:right w:val="single" w:color="auto" w:sz="4" w:space="0"/>
            </w:tcBorders>
            <w:vAlign w:val="center"/>
          </w:tcPr>
          <w:p w14:paraId="0C2A114E">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F71D114">
            <w:pPr>
              <w:widowControl/>
              <w:rPr>
                <w:rFonts w:ascii="宋体" w:hAnsi="宋体"/>
                <w:color w:val="auto"/>
                <w:kern w:val="0"/>
                <w:sz w:val="22"/>
                <w:szCs w:val="22"/>
              </w:rPr>
            </w:pPr>
            <w:r>
              <w:rPr>
                <w:rFonts w:hint="eastAsia" w:ascii="宋体" w:hAnsi="宋体"/>
                <w:color w:val="auto"/>
                <w:kern w:val="0"/>
                <w:sz w:val="22"/>
                <w:szCs w:val="22"/>
              </w:rPr>
              <w:t>扬声器最大声压级</w:t>
            </w:r>
          </w:p>
        </w:tc>
        <w:tc>
          <w:tcPr>
            <w:tcW w:w="2740" w:type="pct"/>
            <w:tcBorders>
              <w:top w:val="single" w:color="auto" w:sz="4" w:space="0"/>
              <w:left w:val="single" w:color="auto" w:sz="4" w:space="0"/>
              <w:bottom w:val="single" w:color="auto" w:sz="4" w:space="0"/>
              <w:right w:val="single" w:color="auto" w:sz="4" w:space="0"/>
            </w:tcBorders>
          </w:tcPr>
          <w:p w14:paraId="1433DDD5">
            <w:pPr>
              <w:widowControl/>
              <w:rPr>
                <w:rFonts w:ascii="宋体" w:hAnsi="宋体"/>
                <w:color w:val="auto"/>
                <w:kern w:val="0"/>
                <w:sz w:val="22"/>
                <w:szCs w:val="22"/>
              </w:rPr>
            </w:pPr>
            <w:r>
              <w:rPr>
                <w:rFonts w:hint="eastAsia" w:ascii="宋体" w:hAnsi="宋体"/>
                <w:color w:val="auto"/>
                <w:kern w:val="0"/>
                <w:sz w:val="22"/>
                <w:szCs w:val="22"/>
              </w:rPr>
              <w:t>/</w:t>
            </w:r>
          </w:p>
        </w:tc>
      </w:tr>
      <w:tr w14:paraId="6A17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587C9C2F">
            <w:pPr>
              <w:widowControl/>
              <w:rPr>
                <w:rFonts w:ascii="宋体" w:hAnsi="宋体"/>
                <w:color w:val="auto"/>
                <w:kern w:val="0"/>
                <w:sz w:val="22"/>
                <w:szCs w:val="22"/>
              </w:rPr>
            </w:pPr>
            <w:r>
              <w:rPr>
                <w:rFonts w:hint="eastAsia" w:ascii="宋体" w:hAnsi="宋体"/>
                <w:color w:val="auto"/>
                <w:kern w:val="0"/>
                <w:sz w:val="22"/>
                <w:szCs w:val="22"/>
              </w:rPr>
              <w:t>51</w:t>
            </w:r>
          </w:p>
        </w:tc>
        <w:tc>
          <w:tcPr>
            <w:tcW w:w="0" w:type="auto"/>
            <w:vMerge w:val="continue"/>
            <w:tcBorders>
              <w:top w:val="nil"/>
              <w:left w:val="single" w:color="auto" w:sz="4" w:space="0"/>
              <w:bottom w:val="single" w:color="auto" w:sz="4" w:space="0"/>
              <w:right w:val="single" w:color="auto" w:sz="4" w:space="0"/>
            </w:tcBorders>
            <w:vAlign w:val="center"/>
          </w:tcPr>
          <w:p w14:paraId="1E6B50F8">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6C08328A">
            <w:pPr>
              <w:widowControl/>
              <w:rPr>
                <w:rFonts w:ascii="宋体" w:hAnsi="宋体"/>
                <w:color w:val="auto"/>
                <w:kern w:val="0"/>
                <w:sz w:val="22"/>
                <w:szCs w:val="22"/>
              </w:rPr>
            </w:pPr>
            <w:r>
              <w:rPr>
                <w:rFonts w:hint="eastAsia" w:ascii="宋体" w:hAnsi="宋体"/>
                <w:color w:val="auto"/>
                <w:kern w:val="0"/>
                <w:sz w:val="22"/>
                <w:szCs w:val="22"/>
              </w:rPr>
              <w:t>▲键盘连接方式</w:t>
            </w:r>
          </w:p>
        </w:tc>
        <w:tc>
          <w:tcPr>
            <w:tcW w:w="2740" w:type="pct"/>
            <w:tcBorders>
              <w:top w:val="single" w:color="auto" w:sz="4" w:space="0"/>
              <w:left w:val="single" w:color="auto" w:sz="4" w:space="0"/>
              <w:bottom w:val="single" w:color="auto" w:sz="4" w:space="0"/>
              <w:right w:val="single" w:color="auto" w:sz="4" w:space="0"/>
            </w:tcBorders>
          </w:tcPr>
          <w:p w14:paraId="56D847D7">
            <w:pPr>
              <w:widowControl/>
              <w:rPr>
                <w:rFonts w:ascii="宋体" w:hAnsi="宋体"/>
                <w:color w:val="auto"/>
                <w:kern w:val="0"/>
                <w:sz w:val="22"/>
                <w:szCs w:val="22"/>
              </w:rPr>
            </w:pPr>
            <w:r>
              <w:rPr>
                <w:rFonts w:hint="eastAsia" w:ascii="宋体" w:hAnsi="宋体"/>
                <w:color w:val="auto"/>
                <w:kern w:val="0"/>
                <w:sz w:val="22"/>
                <w:szCs w:val="22"/>
              </w:rPr>
              <w:t>有线</w:t>
            </w:r>
          </w:p>
        </w:tc>
      </w:tr>
      <w:tr w14:paraId="3A83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47" w:type="pct"/>
            <w:tcBorders>
              <w:top w:val="single" w:color="auto" w:sz="4" w:space="0"/>
              <w:left w:val="single" w:color="auto" w:sz="4" w:space="0"/>
              <w:bottom w:val="single" w:color="auto" w:sz="4" w:space="0"/>
              <w:right w:val="single" w:color="auto" w:sz="4" w:space="0"/>
            </w:tcBorders>
          </w:tcPr>
          <w:p w14:paraId="62A202FD">
            <w:pPr>
              <w:widowControl/>
              <w:rPr>
                <w:rFonts w:ascii="宋体" w:hAnsi="宋体"/>
                <w:color w:val="auto"/>
                <w:kern w:val="0"/>
                <w:sz w:val="22"/>
                <w:szCs w:val="22"/>
              </w:rPr>
            </w:pPr>
            <w:r>
              <w:rPr>
                <w:rFonts w:hint="eastAsia" w:ascii="宋体" w:hAnsi="宋体"/>
                <w:color w:val="auto"/>
                <w:kern w:val="0"/>
                <w:sz w:val="22"/>
                <w:szCs w:val="22"/>
              </w:rPr>
              <w:t>52</w:t>
            </w:r>
          </w:p>
        </w:tc>
        <w:tc>
          <w:tcPr>
            <w:tcW w:w="0" w:type="auto"/>
            <w:vMerge w:val="continue"/>
            <w:tcBorders>
              <w:top w:val="nil"/>
              <w:left w:val="single" w:color="auto" w:sz="4" w:space="0"/>
              <w:bottom w:val="single" w:color="auto" w:sz="4" w:space="0"/>
              <w:right w:val="single" w:color="auto" w:sz="4" w:space="0"/>
            </w:tcBorders>
            <w:vAlign w:val="center"/>
          </w:tcPr>
          <w:p w14:paraId="7515F93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5621F47D">
            <w:pPr>
              <w:widowControl/>
              <w:rPr>
                <w:rFonts w:ascii="宋体" w:hAnsi="宋体"/>
                <w:color w:val="auto"/>
                <w:kern w:val="0"/>
                <w:sz w:val="22"/>
                <w:szCs w:val="22"/>
              </w:rPr>
            </w:pPr>
            <w:r>
              <w:rPr>
                <w:rFonts w:hint="eastAsia" w:ascii="宋体" w:hAnsi="宋体"/>
                <w:color w:val="auto"/>
                <w:kern w:val="0"/>
                <w:sz w:val="22"/>
                <w:szCs w:val="22"/>
              </w:rPr>
              <w:t>▲ 键盘键程</w:t>
            </w:r>
          </w:p>
        </w:tc>
        <w:tc>
          <w:tcPr>
            <w:tcW w:w="2740" w:type="pct"/>
            <w:tcBorders>
              <w:top w:val="single" w:color="auto" w:sz="4" w:space="0"/>
              <w:left w:val="single" w:color="auto" w:sz="4" w:space="0"/>
              <w:bottom w:val="single" w:color="auto" w:sz="4" w:space="0"/>
              <w:right w:val="single" w:color="auto" w:sz="4" w:space="0"/>
            </w:tcBorders>
          </w:tcPr>
          <w:p w14:paraId="237F4873">
            <w:pPr>
              <w:widowControl/>
              <w:rPr>
                <w:rFonts w:ascii="宋体" w:hAnsi="宋体"/>
                <w:color w:val="auto"/>
                <w:kern w:val="0"/>
                <w:sz w:val="22"/>
                <w:szCs w:val="22"/>
              </w:rPr>
            </w:pPr>
            <w:r>
              <w:rPr>
                <w:rFonts w:hint="eastAsia" w:ascii="宋体" w:hAnsi="宋体"/>
                <w:color w:val="auto"/>
                <w:kern w:val="0"/>
                <w:sz w:val="22"/>
                <w:szCs w:val="22"/>
              </w:rPr>
              <w:t>2.3mm ~ 4.0mm</w:t>
            </w:r>
          </w:p>
        </w:tc>
      </w:tr>
      <w:tr w14:paraId="42C4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3B5DD0D4">
            <w:pPr>
              <w:widowControl/>
              <w:rPr>
                <w:rFonts w:ascii="宋体" w:hAnsi="宋体"/>
                <w:color w:val="auto"/>
                <w:kern w:val="0"/>
                <w:sz w:val="22"/>
                <w:szCs w:val="22"/>
              </w:rPr>
            </w:pPr>
            <w:r>
              <w:rPr>
                <w:rFonts w:hint="eastAsia" w:ascii="宋体" w:hAnsi="宋体"/>
                <w:color w:val="auto"/>
                <w:kern w:val="0"/>
                <w:sz w:val="22"/>
                <w:szCs w:val="22"/>
              </w:rPr>
              <w:t>53</w:t>
            </w:r>
          </w:p>
        </w:tc>
        <w:tc>
          <w:tcPr>
            <w:tcW w:w="0" w:type="auto"/>
            <w:vMerge w:val="continue"/>
            <w:tcBorders>
              <w:top w:val="nil"/>
              <w:left w:val="single" w:color="auto" w:sz="4" w:space="0"/>
              <w:bottom w:val="single" w:color="auto" w:sz="4" w:space="0"/>
              <w:right w:val="single" w:color="auto" w:sz="4" w:space="0"/>
            </w:tcBorders>
            <w:vAlign w:val="center"/>
          </w:tcPr>
          <w:p w14:paraId="2E993563">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269F9BDB">
            <w:pPr>
              <w:widowControl/>
              <w:rPr>
                <w:rFonts w:ascii="宋体" w:hAnsi="宋体"/>
                <w:color w:val="auto"/>
                <w:kern w:val="0"/>
                <w:sz w:val="22"/>
                <w:szCs w:val="22"/>
              </w:rPr>
            </w:pPr>
            <w:r>
              <w:rPr>
                <w:rFonts w:hint="eastAsia" w:ascii="宋体" w:hAnsi="宋体"/>
                <w:color w:val="auto"/>
                <w:kern w:val="0"/>
                <w:sz w:val="22"/>
                <w:szCs w:val="22"/>
              </w:rPr>
              <w:t>▲键盘按键压力</w:t>
            </w:r>
          </w:p>
        </w:tc>
        <w:tc>
          <w:tcPr>
            <w:tcW w:w="2740" w:type="pct"/>
            <w:tcBorders>
              <w:top w:val="single" w:color="auto" w:sz="4" w:space="0"/>
              <w:left w:val="single" w:color="auto" w:sz="4" w:space="0"/>
              <w:bottom w:val="single" w:color="auto" w:sz="4" w:space="0"/>
              <w:right w:val="single" w:color="auto" w:sz="4" w:space="0"/>
            </w:tcBorders>
          </w:tcPr>
          <w:p w14:paraId="4D1A97C0">
            <w:pPr>
              <w:widowControl/>
              <w:rPr>
                <w:rFonts w:ascii="宋体" w:hAnsi="宋体"/>
                <w:color w:val="auto"/>
                <w:kern w:val="0"/>
                <w:sz w:val="22"/>
                <w:szCs w:val="22"/>
              </w:rPr>
            </w:pPr>
            <w:r>
              <w:rPr>
                <w:rFonts w:hint="eastAsia" w:ascii="宋体" w:hAnsi="宋体"/>
                <w:color w:val="auto"/>
                <w:kern w:val="0"/>
                <w:sz w:val="22"/>
                <w:szCs w:val="22"/>
              </w:rPr>
              <w:t>按键压力应在0.54 N±0.14N</w:t>
            </w:r>
          </w:p>
        </w:tc>
      </w:tr>
      <w:tr w14:paraId="04C0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52D25852">
            <w:pPr>
              <w:widowControl/>
              <w:rPr>
                <w:rFonts w:ascii="宋体" w:hAnsi="宋体"/>
                <w:color w:val="auto"/>
                <w:kern w:val="0"/>
                <w:sz w:val="22"/>
                <w:szCs w:val="22"/>
              </w:rPr>
            </w:pPr>
            <w:r>
              <w:rPr>
                <w:rFonts w:hint="eastAsia" w:ascii="宋体" w:hAnsi="宋体"/>
                <w:color w:val="auto"/>
                <w:kern w:val="0"/>
                <w:sz w:val="22"/>
                <w:szCs w:val="22"/>
              </w:rPr>
              <w:t>54</w:t>
            </w:r>
          </w:p>
        </w:tc>
        <w:tc>
          <w:tcPr>
            <w:tcW w:w="0" w:type="auto"/>
            <w:vMerge w:val="continue"/>
            <w:tcBorders>
              <w:top w:val="nil"/>
              <w:left w:val="single" w:color="auto" w:sz="4" w:space="0"/>
              <w:bottom w:val="single" w:color="auto" w:sz="4" w:space="0"/>
              <w:right w:val="single" w:color="auto" w:sz="4" w:space="0"/>
            </w:tcBorders>
            <w:vAlign w:val="center"/>
          </w:tcPr>
          <w:p w14:paraId="3BAB620A">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2C53BD1D">
            <w:pPr>
              <w:widowControl/>
              <w:rPr>
                <w:rFonts w:ascii="宋体" w:hAnsi="宋体"/>
                <w:color w:val="auto"/>
                <w:kern w:val="0"/>
                <w:sz w:val="22"/>
                <w:szCs w:val="22"/>
              </w:rPr>
            </w:pPr>
            <w:r>
              <w:rPr>
                <w:rFonts w:hint="eastAsia" w:ascii="宋体" w:hAnsi="宋体"/>
                <w:color w:val="auto"/>
                <w:kern w:val="0"/>
                <w:sz w:val="22"/>
                <w:szCs w:val="22"/>
              </w:rPr>
              <w:t>▲ 有线键盘连接线</w:t>
            </w:r>
          </w:p>
        </w:tc>
        <w:tc>
          <w:tcPr>
            <w:tcW w:w="2740" w:type="pct"/>
            <w:tcBorders>
              <w:top w:val="single" w:color="auto" w:sz="4" w:space="0"/>
              <w:left w:val="single" w:color="auto" w:sz="4" w:space="0"/>
              <w:bottom w:val="single" w:color="auto" w:sz="4" w:space="0"/>
              <w:right w:val="single" w:color="auto" w:sz="4" w:space="0"/>
            </w:tcBorders>
          </w:tcPr>
          <w:p w14:paraId="2E596DDA">
            <w:pPr>
              <w:widowControl/>
              <w:rPr>
                <w:rFonts w:ascii="宋体" w:hAnsi="宋体"/>
                <w:color w:val="auto"/>
                <w:kern w:val="0"/>
                <w:sz w:val="22"/>
                <w:szCs w:val="22"/>
              </w:rPr>
            </w:pPr>
            <w:r>
              <w:rPr>
                <w:rFonts w:hint="eastAsia" w:ascii="宋体" w:hAnsi="宋体"/>
                <w:color w:val="auto"/>
                <w:kern w:val="0"/>
                <w:sz w:val="22"/>
                <w:szCs w:val="22"/>
              </w:rPr>
              <w:t>≥1.5米</w:t>
            </w:r>
          </w:p>
        </w:tc>
      </w:tr>
      <w:tr w14:paraId="285B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3F73B1F2">
            <w:pPr>
              <w:widowControl/>
              <w:rPr>
                <w:rFonts w:ascii="宋体" w:hAnsi="宋体"/>
                <w:color w:val="auto"/>
                <w:kern w:val="0"/>
                <w:sz w:val="22"/>
                <w:szCs w:val="22"/>
              </w:rPr>
            </w:pPr>
            <w:r>
              <w:rPr>
                <w:rFonts w:hint="eastAsia" w:ascii="宋体" w:hAnsi="宋体"/>
                <w:color w:val="auto"/>
                <w:kern w:val="0"/>
                <w:sz w:val="22"/>
                <w:szCs w:val="22"/>
              </w:rPr>
              <w:t>55</w:t>
            </w:r>
          </w:p>
        </w:tc>
        <w:tc>
          <w:tcPr>
            <w:tcW w:w="0" w:type="auto"/>
            <w:vMerge w:val="continue"/>
            <w:tcBorders>
              <w:top w:val="nil"/>
              <w:left w:val="single" w:color="auto" w:sz="4" w:space="0"/>
              <w:bottom w:val="single" w:color="auto" w:sz="4" w:space="0"/>
              <w:right w:val="single" w:color="auto" w:sz="4" w:space="0"/>
            </w:tcBorders>
            <w:vAlign w:val="center"/>
          </w:tcPr>
          <w:p w14:paraId="352CED46">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5F82FB2">
            <w:pPr>
              <w:widowControl/>
              <w:rPr>
                <w:rFonts w:ascii="宋体" w:hAnsi="宋体"/>
                <w:color w:val="auto"/>
                <w:kern w:val="0"/>
                <w:sz w:val="22"/>
                <w:szCs w:val="22"/>
              </w:rPr>
            </w:pPr>
            <w:r>
              <w:rPr>
                <w:rFonts w:hint="eastAsia" w:ascii="宋体" w:hAnsi="宋体"/>
                <w:color w:val="auto"/>
                <w:kern w:val="0"/>
                <w:sz w:val="22"/>
                <w:szCs w:val="22"/>
              </w:rPr>
              <w:t>▲键盘颜色</w:t>
            </w:r>
          </w:p>
        </w:tc>
        <w:tc>
          <w:tcPr>
            <w:tcW w:w="2740" w:type="pct"/>
            <w:tcBorders>
              <w:top w:val="single" w:color="auto" w:sz="4" w:space="0"/>
              <w:left w:val="single" w:color="auto" w:sz="4" w:space="0"/>
              <w:bottom w:val="single" w:color="auto" w:sz="4" w:space="0"/>
              <w:right w:val="single" w:color="auto" w:sz="4" w:space="0"/>
            </w:tcBorders>
          </w:tcPr>
          <w:p w14:paraId="3EB8D6BF">
            <w:pPr>
              <w:widowControl/>
              <w:rPr>
                <w:rFonts w:ascii="宋体" w:hAnsi="宋体"/>
                <w:color w:val="auto"/>
                <w:kern w:val="0"/>
                <w:sz w:val="22"/>
                <w:szCs w:val="22"/>
              </w:rPr>
            </w:pPr>
            <w:r>
              <w:rPr>
                <w:rFonts w:hint="eastAsia" w:ascii="宋体" w:hAnsi="宋体"/>
                <w:color w:val="auto"/>
                <w:kern w:val="0"/>
                <w:sz w:val="22"/>
                <w:szCs w:val="22"/>
              </w:rPr>
              <w:t>黑色</w:t>
            </w:r>
          </w:p>
        </w:tc>
      </w:tr>
      <w:tr w14:paraId="763B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47" w:type="pct"/>
            <w:tcBorders>
              <w:top w:val="single" w:color="auto" w:sz="4" w:space="0"/>
              <w:left w:val="single" w:color="auto" w:sz="4" w:space="0"/>
              <w:bottom w:val="single" w:color="auto" w:sz="4" w:space="0"/>
              <w:right w:val="single" w:color="auto" w:sz="4" w:space="0"/>
            </w:tcBorders>
          </w:tcPr>
          <w:p w14:paraId="6F2434A7">
            <w:pPr>
              <w:widowControl/>
              <w:rPr>
                <w:rFonts w:ascii="宋体" w:hAnsi="宋体"/>
                <w:color w:val="auto"/>
                <w:kern w:val="0"/>
                <w:sz w:val="22"/>
                <w:szCs w:val="22"/>
              </w:rPr>
            </w:pPr>
            <w:r>
              <w:rPr>
                <w:rFonts w:hint="eastAsia" w:ascii="宋体" w:hAnsi="宋体"/>
                <w:color w:val="auto"/>
                <w:kern w:val="0"/>
                <w:sz w:val="22"/>
                <w:szCs w:val="22"/>
              </w:rPr>
              <w:t>56</w:t>
            </w:r>
          </w:p>
        </w:tc>
        <w:tc>
          <w:tcPr>
            <w:tcW w:w="0" w:type="auto"/>
            <w:vMerge w:val="continue"/>
            <w:tcBorders>
              <w:top w:val="nil"/>
              <w:left w:val="single" w:color="auto" w:sz="4" w:space="0"/>
              <w:bottom w:val="single" w:color="auto" w:sz="4" w:space="0"/>
              <w:right w:val="single" w:color="auto" w:sz="4" w:space="0"/>
            </w:tcBorders>
            <w:vAlign w:val="center"/>
          </w:tcPr>
          <w:p w14:paraId="16ED1D51">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2F40DA0B">
            <w:pPr>
              <w:widowControl/>
              <w:rPr>
                <w:rFonts w:ascii="宋体" w:hAnsi="宋体"/>
                <w:color w:val="auto"/>
                <w:kern w:val="0"/>
                <w:sz w:val="22"/>
                <w:szCs w:val="22"/>
              </w:rPr>
            </w:pPr>
            <w:r>
              <w:rPr>
                <w:rFonts w:hint="eastAsia" w:ascii="宋体" w:hAnsi="宋体"/>
                <w:color w:val="auto"/>
                <w:kern w:val="0"/>
                <w:sz w:val="22"/>
                <w:szCs w:val="22"/>
              </w:rPr>
              <w:t>键盘其他要求</w:t>
            </w:r>
          </w:p>
        </w:tc>
        <w:tc>
          <w:tcPr>
            <w:tcW w:w="2740" w:type="pct"/>
            <w:tcBorders>
              <w:top w:val="single" w:color="auto" w:sz="4" w:space="0"/>
              <w:left w:val="single" w:color="auto" w:sz="4" w:space="0"/>
              <w:bottom w:val="single" w:color="auto" w:sz="4" w:space="0"/>
              <w:right w:val="single" w:color="auto" w:sz="4" w:space="0"/>
            </w:tcBorders>
          </w:tcPr>
          <w:p w14:paraId="771FC3D5">
            <w:pPr>
              <w:widowControl/>
              <w:rPr>
                <w:rFonts w:ascii="宋体" w:hAnsi="宋体"/>
                <w:color w:val="auto"/>
                <w:kern w:val="0"/>
                <w:sz w:val="22"/>
                <w:szCs w:val="22"/>
              </w:rPr>
            </w:pPr>
            <w:r>
              <w:rPr>
                <w:rFonts w:hint="eastAsia" w:ascii="宋体" w:hAnsi="宋体"/>
                <w:color w:val="auto"/>
                <w:kern w:val="0"/>
                <w:sz w:val="22"/>
                <w:szCs w:val="22"/>
              </w:rPr>
              <w:t>键盘外观结构、连接方式、主要功能、安全、电磁兼容性、可靠性应符合GB/T 14081的相关规定</w:t>
            </w:r>
          </w:p>
        </w:tc>
      </w:tr>
      <w:tr w14:paraId="68D9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18F7A4D5">
            <w:pPr>
              <w:widowControl/>
              <w:rPr>
                <w:rFonts w:ascii="宋体" w:hAnsi="宋体"/>
                <w:color w:val="auto"/>
                <w:kern w:val="0"/>
                <w:sz w:val="22"/>
                <w:szCs w:val="22"/>
              </w:rPr>
            </w:pPr>
            <w:r>
              <w:rPr>
                <w:rFonts w:hint="eastAsia" w:ascii="宋体" w:hAnsi="宋体"/>
                <w:color w:val="auto"/>
                <w:kern w:val="0"/>
                <w:sz w:val="22"/>
                <w:szCs w:val="22"/>
              </w:rPr>
              <w:t>57</w:t>
            </w:r>
          </w:p>
        </w:tc>
        <w:tc>
          <w:tcPr>
            <w:tcW w:w="0" w:type="auto"/>
            <w:vMerge w:val="continue"/>
            <w:tcBorders>
              <w:top w:val="nil"/>
              <w:left w:val="single" w:color="auto" w:sz="4" w:space="0"/>
              <w:bottom w:val="single" w:color="auto" w:sz="4" w:space="0"/>
              <w:right w:val="single" w:color="auto" w:sz="4" w:space="0"/>
            </w:tcBorders>
            <w:vAlign w:val="center"/>
          </w:tcPr>
          <w:p w14:paraId="6914EB96">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750D7C23">
            <w:pPr>
              <w:widowControl/>
              <w:rPr>
                <w:rFonts w:ascii="宋体" w:hAnsi="宋体"/>
                <w:color w:val="auto"/>
                <w:kern w:val="0"/>
                <w:sz w:val="22"/>
                <w:szCs w:val="22"/>
              </w:rPr>
            </w:pPr>
            <w:r>
              <w:rPr>
                <w:rFonts w:hint="eastAsia" w:ascii="宋体" w:hAnsi="宋体"/>
                <w:color w:val="auto"/>
                <w:kern w:val="0"/>
                <w:sz w:val="22"/>
                <w:szCs w:val="22"/>
              </w:rPr>
              <w:t xml:space="preserve"> ▲鼠标连接方式</w:t>
            </w:r>
          </w:p>
        </w:tc>
        <w:tc>
          <w:tcPr>
            <w:tcW w:w="2740" w:type="pct"/>
            <w:tcBorders>
              <w:top w:val="single" w:color="auto" w:sz="4" w:space="0"/>
              <w:left w:val="single" w:color="auto" w:sz="4" w:space="0"/>
              <w:bottom w:val="single" w:color="auto" w:sz="4" w:space="0"/>
              <w:right w:val="single" w:color="auto" w:sz="4" w:space="0"/>
            </w:tcBorders>
          </w:tcPr>
          <w:p w14:paraId="0BC5D7FE">
            <w:pPr>
              <w:widowControl/>
              <w:rPr>
                <w:rFonts w:ascii="宋体" w:hAnsi="宋体"/>
                <w:color w:val="auto"/>
                <w:kern w:val="0"/>
                <w:sz w:val="22"/>
                <w:szCs w:val="22"/>
              </w:rPr>
            </w:pPr>
            <w:r>
              <w:rPr>
                <w:rFonts w:hint="eastAsia" w:ascii="宋体" w:hAnsi="宋体"/>
                <w:color w:val="auto"/>
                <w:kern w:val="0"/>
                <w:sz w:val="22"/>
                <w:szCs w:val="22"/>
              </w:rPr>
              <w:t>有线</w:t>
            </w:r>
          </w:p>
        </w:tc>
      </w:tr>
      <w:tr w14:paraId="45B3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74F85CB5">
            <w:pPr>
              <w:widowControl/>
              <w:rPr>
                <w:rFonts w:ascii="宋体" w:hAnsi="宋体"/>
                <w:color w:val="auto"/>
                <w:kern w:val="0"/>
                <w:sz w:val="22"/>
                <w:szCs w:val="22"/>
              </w:rPr>
            </w:pPr>
            <w:r>
              <w:rPr>
                <w:rFonts w:hint="eastAsia" w:ascii="宋体" w:hAnsi="宋体"/>
                <w:color w:val="auto"/>
                <w:kern w:val="0"/>
                <w:sz w:val="22"/>
                <w:szCs w:val="22"/>
              </w:rPr>
              <w:t>58</w:t>
            </w:r>
          </w:p>
        </w:tc>
        <w:tc>
          <w:tcPr>
            <w:tcW w:w="0" w:type="auto"/>
            <w:vMerge w:val="continue"/>
            <w:tcBorders>
              <w:top w:val="nil"/>
              <w:left w:val="single" w:color="auto" w:sz="4" w:space="0"/>
              <w:bottom w:val="single" w:color="auto" w:sz="4" w:space="0"/>
              <w:right w:val="single" w:color="auto" w:sz="4" w:space="0"/>
            </w:tcBorders>
            <w:vAlign w:val="center"/>
          </w:tcPr>
          <w:p w14:paraId="741864D1">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7D5ABC0">
            <w:pPr>
              <w:widowControl/>
              <w:rPr>
                <w:rFonts w:ascii="宋体" w:hAnsi="宋体"/>
                <w:color w:val="auto"/>
                <w:kern w:val="0"/>
                <w:sz w:val="22"/>
                <w:szCs w:val="22"/>
              </w:rPr>
            </w:pPr>
            <w:r>
              <w:rPr>
                <w:rFonts w:hint="eastAsia" w:ascii="宋体" w:hAnsi="宋体"/>
                <w:color w:val="auto"/>
                <w:kern w:val="0"/>
                <w:sz w:val="22"/>
                <w:szCs w:val="22"/>
              </w:rPr>
              <w:t xml:space="preserve"> ▲有线鼠标连接线</w:t>
            </w:r>
          </w:p>
        </w:tc>
        <w:tc>
          <w:tcPr>
            <w:tcW w:w="2740" w:type="pct"/>
            <w:tcBorders>
              <w:top w:val="single" w:color="auto" w:sz="4" w:space="0"/>
              <w:left w:val="single" w:color="auto" w:sz="4" w:space="0"/>
              <w:bottom w:val="single" w:color="auto" w:sz="4" w:space="0"/>
              <w:right w:val="single" w:color="auto" w:sz="4" w:space="0"/>
            </w:tcBorders>
          </w:tcPr>
          <w:p w14:paraId="7BF720E1">
            <w:pPr>
              <w:widowControl/>
              <w:rPr>
                <w:rFonts w:ascii="宋体" w:hAnsi="宋体"/>
                <w:color w:val="auto"/>
                <w:kern w:val="0"/>
                <w:sz w:val="22"/>
                <w:szCs w:val="22"/>
              </w:rPr>
            </w:pPr>
            <w:r>
              <w:rPr>
                <w:rFonts w:hint="eastAsia" w:ascii="宋体" w:hAnsi="宋体"/>
                <w:color w:val="auto"/>
                <w:kern w:val="0"/>
                <w:sz w:val="22"/>
                <w:szCs w:val="22"/>
              </w:rPr>
              <w:t>≥1.5米</w:t>
            </w:r>
          </w:p>
        </w:tc>
      </w:tr>
      <w:tr w14:paraId="76F2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474126E7">
            <w:pPr>
              <w:widowControl/>
              <w:rPr>
                <w:rFonts w:ascii="宋体" w:hAnsi="宋体"/>
                <w:color w:val="auto"/>
                <w:kern w:val="0"/>
                <w:sz w:val="22"/>
                <w:szCs w:val="22"/>
              </w:rPr>
            </w:pPr>
            <w:r>
              <w:rPr>
                <w:rFonts w:hint="eastAsia" w:ascii="宋体" w:hAnsi="宋体"/>
                <w:color w:val="auto"/>
                <w:kern w:val="0"/>
                <w:sz w:val="22"/>
                <w:szCs w:val="22"/>
              </w:rPr>
              <w:t>59</w:t>
            </w:r>
          </w:p>
        </w:tc>
        <w:tc>
          <w:tcPr>
            <w:tcW w:w="0" w:type="auto"/>
            <w:vMerge w:val="continue"/>
            <w:tcBorders>
              <w:top w:val="nil"/>
              <w:left w:val="single" w:color="auto" w:sz="4" w:space="0"/>
              <w:bottom w:val="single" w:color="auto" w:sz="4" w:space="0"/>
              <w:right w:val="single" w:color="auto" w:sz="4" w:space="0"/>
            </w:tcBorders>
            <w:vAlign w:val="center"/>
          </w:tcPr>
          <w:p w14:paraId="6A82562E">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265458E1">
            <w:pPr>
              <w:widowControl/>
              <w:rPr>
                <w:rFonts w:ascii="宋体" w:hAnsi="宋体"/>
                <w:color w:val="auto"/>
                <w:kern w:val="0"/>
                <w:sz w:val="22"/>
                <w:szCs w:val="22"/>
              </w:rPr>
            </w:pPr>
            <w:r>
              <w:rPr>
                <w:rFonts w:hint="eastAsia" w:ascii="宋体" w:hAnsi="宋体"/>
                <w:color w:val="auto"/>
                <w:kern w:val="0"/>
                <w:sz w:val="22"/>
                <w:szCs w:val="22"/>
              </w:rPr>
              <w:t xml:space="preserve"> ▲鼠标DPI 分辨率</w:t>
            </w:r>
          </w:p>
        </w:tc>
        <w:tc>
          <w:tcPr>
            <w:tcW w:w="2740" w:type="pct"/>
            <w:tcBorders>
              <w:top w:val="single" w:color="auto" w:sz="4" w:space="0"/>
              <w:left w:val="single" w:color="auto" w:sz="4" w:space="0"/>
              <w:bottom w:val="single" w:color="auto" w:sz="4" w:space="0"/>
              <w:right w:val="single" w:color="auto" w:sz="4" w:space="0"/>
            </w:tcBorders>
          </w:tcPr>
          <w:p w14:paraId="41EE53E9">
            <w:pPr>
              <w:widowControl/>
              <w:rPr>
                <w:rFonts w:ascii="宋体" w:hAnsi="宋体"/>
                <w:color w:val="auto"/>
                <w:kern w:val="0"/>
                <w:sz w:val="22"/>
                <w:szCs w:val="22"/>
              </w:rPr>
            </w:pPr>
            <w:r>
              <w:rPr>
                <w:rFonts w:hint="eastAsia" w:ascii="宋体" w:hAnsi="宋体"/>
                <w:color w:val="auto"/>
                <w:kern w:val="0"/>
                <w:sz w:val="22"/>
                <w:szCs w:val="22"/>
              </w:rPr>
              <w:t>800~1600</w:t>
            </w:r>
          </w:p>
        </w:tc>
      </w:tr>
      <w:tr w14:paraId="10FE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748CA489">
            <w:pPr>
              <w:widowControl/>
              <w:rPr>
                <w:rFonts w:ascii="宋体" w:hAnsi="宋体"/>
                <w:color w:val="auto"/>
                <w:kern w:val="0"/>
                <w:sz w:val="22"/>
                <w:szCs w:val="22"/>
              </w:rPr>
            </w:pPr>
            <w:r>
              <w:rPr>
                <w:rFonts w:hint="eastAsia" w:ascii="宋体" w:hAnsi="宋体"/>
                <w:color w:val="auto"/>
                <w:kern w:val="0"/>
                <w:sz w:val="22"/>
                <w:szCs w:val="22"/>
              </w:rPr>
              <w:t>60</w:t>
            </w:r>
          </w:p>
        </w:tc>
        <w:tc>
          <w:tcPr>
            <w:tcW w:w="0" w:type="auto"/>
            <w:vMerge w:val="continue"/>
            <w:tcBorders>
              <w:top w:val="nil"/>
              <w:left w:val="single" w:color="auto" w:sz="4" w:space="0"/>
              <w:bottom w:val="single" w:color="auto" w:sz="4" w:space="0"/>
              <w:right w:val="single" w:color="auto" w:sz="4" w:space="0"/>
            </w:tcBorders>
            <w:vAlign w:val="center"/>
          </w:tcPr>
          <w:p w14:paraId="59556281">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58F47F8">
            <w:pPr>
              <w:widowControl/>
              <w:rPr>
                <w:rFonts w:ascii="宋体" w:hAnsi="宋体"/>
                <w:color w:val="auto"/>
                <w:kern w:val="0"/>
                <w:sz w:val="22"/>
                <w:szCs w:val="22"/>
              </w:rPr>
            </w:pPr>
            <w:r>
              <w:rPr>
                <w:rFonts w:hint="eastAsia" w:ascii="宋体" w:hAnsi="宋体"/>
                <w:color w:val="auto"/>
                <w:kern w:val="0"/>
                <w:sz w:val="22"/>
                <w:szCs w:val="22"/>
              </w:rPr>
              <w:t>▲ 鼠标颜色</w:t>
            </w:r>
          </w:p>
        </w:tc>
        <w:tc>
          <w:tcPr>
            <w:tcW w:w="2740" w:type="pct"/>
            <w:tcBorders>
              <w:top w:val="single" w:color="auto" w:sz="4" w:space="0"/>
              <w:left w:val="single" w:color="auto" w:sz="4" w:space="0"/>
              <w:bottom w:val="single" w:color="auto" w:sz="4" w:space="0"/>
              <w:right w:val="single" w:color="auto" w:sz="4" w:space="0"/>
            </w:tcBorders>
          </w:tcPr>
          <w:p w14:paraId="202CEA0C">
            <w:pPr>
              <w:widowControl/>
              <w:rPr>
                <w:rFonts w:ascii="宋体" w:hAnsi="宋体"/>
                <w:color w:val="auto"/>
                <w:kern w:val="0"/>
                <w:sz w:val="22"/>
                <w:szCs w:val="22"/>
              </w:rPr>
            </w:pPr>
            <w:r>
              <w:rPr>
                <w:rFonts w:hint="eastAsia" w:ascii="宋体" w:hAnsi="宋体"/>
                <w:color w:val="auto"/>
                <w:kern w:val="0"/>
                <w:sz w:val="22"/>
                <w:szCs w:val="22"/>
              </w:rPr>
              <w:t>黑色 / 银色 / 白色等商务色系</w:t>
            </w:r>
          </w:p>
        </w:tc>
      </w:tr>
      <w:tr w14:paraId="5F61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0AB6C604">
            <w:pPr>
              <w:widowControl/>
              <w:rPr>
                <w:rFonts w:ascii="宋体" w:hAnsi="宋体"/>
                <w:color w:val="auto"/>
                <w:kern w:val="0"/>
                <w:sz w:val="22"/>
                <w:szCs w:val="22"/>
              </w:rPr>
            </w:pPr>
            <w:r>
              <w:rPr>
                <w:rFonts w:hint="eastAsia" w:ascii="宋体" w:hAnsi="宋体"/>
                <w:color w:val="auto"/>
                <w:kern w:val="0"/>
                <w:sz w:val="22"/>
                <w:szCs w:val="22"/>
              </w:rPr>
              <w:t>61</w:t>
            </w:r>
          </w:p>
        </w:tc>
        <w:tc>
          <w:tcPr>
            <w:tcW w:w="0" w:type="auto"/>
            <w:vMerge w:val="continue"/>
            <w:tcBorders>
              <w:top w:val="nil"/>
              <w:left w:val="single" w:color="auto" w:sz="4" w:space="0"/>
              <w:bottom w:val="single" w:color="auto" w:sz="4" w:space="0"/>
              <w:right w:val="single" w:color="auto" w:sz="4" w:space="0"/>
            </w:tcBorders>
            <w:vAlign w:val="center"/>
          </w:tcPr>
          <w:p w14:paraId="3DD72BE1">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18E4D88">
            <w:pPr>
              <w:widowControl/>
              <w:rPr>
                <w:rFonts w:ascii="宋体" w:hAnsi="宋体"/>
                <w:color w:val="auto"/>
                <w:kern w:val="0"/>
                <w:sz w:val="22"/>
                <w:szCs w:val="22"/>
              </w:rPr>
            </w:pPr>
            <w:r>
              <w:rPr>
                <w:rFonts w:hint="eastAsia" w:ascii="宋体" w:hAnsi="宋体"/>
                <w:color w:val="auto"/>
                <w:kern w:val="0"/>
                <w:sz w:val="22"/>
                <w:szCs w:val="22"/>
              </w:rPr>
              <w:t xml:space="preserve"> ▲鼠标其他要求</w:t>
            </w:r>
          </w:p>
        </w:tc>
        <w:tc>
          <w:tcPr>
            <w:tcW w:w="2740" w:type="pct"/>
            <w:tcBorders>
              <w:top w:val="single" w:color="auto" w:sz="4" w:space="0"/>
              <w:left w:val="single" w:color="auto" w:sz="4" w:space="0"/>
              <w:bottom w:val="single" w:color="auto" w:sz="4" w:space="0"/>
              <w:right w:val="single" w:color="auto" w:sz="4" w:space="0"/>
            </w:tcBorders>
          </w:tcPr>
          <w:p w14:paraId="00CEFB6B">
            <w:pPr>
              <w:widowControl/>
              <w:rPr>
                <w:rFonts w:ascii="宋体" w:hAnsi="宋体"/>
                <w:color w:val="auto"/>
                <w:kern w:val="0"/>
                <w:sz w:val="22"/>
                <w:szCs w:val="22"/>
              </w:rPr>
            </w:pPr>
            <w:r>
              <w:rPr>
                <w:rFonts w:hint="eastAsia" w:ascii="宋体" w:hAnsi="宋体"/>
                <w:color w:val="auto"/>
                <w:kern w:val="0"/>
                <w:sz w:val="22"/>
                <w:szCs w:val="22"/>
              </w:rPr>
              <w:t>其它参数应符合GB/T 26245的相关规定</w:t>
            </w:r>
          </w:p>
        </w:tc>
      </w:tr>
      <w:tr w14:paraId="5C52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528A64B4">
            <w:pPr>
              <w:widowControl/>
              <w:rPr>
                <w:rFonts w:ascii="宋体" w:hAnsi="宋体"/>
                <w:color w:val="auto"/>
                <w:kern w:val="0"/>
                <w:sz w:val="22"/>
                <w:szCs w:val="22"/>
              </w:rPr>
            </w:pPr>
            <w:r>
              <w:rPr>
                <w:rFonts w:hint="eastAsia" w:ascii="宋体" w:hAnsi="宋体"/>
                <w:color w:val="auto"/>
                <w:kern w:val="0"/>
                <w:sz w:val="22"/>
                <w:szCs w:val="22"/>
              </w:rPr>
              <w:t>62</w:t>
            </w:r>
          </w:p>
        </w:tc>
        <w:tc>
          <w:tcPr>
            <w:tcW w:w="0" w:type="auto"/>
            <w:vMerge w:val="continue"/>
            <w:tcBorders>
              <w:top w:val="nil"/>
              <w:left w:val="single" w:color="auto" w:sz="4" w:space="0"/>
              <w:bottom w:val="single" w:color="auto" w:sz="4" w:space="0"/>
              <w:right w:val="single" w:color="auto" w:sz="4" w:space="0"/>
            </w:tcBorders>
            <w:vAlign w:val="center"/>
          </w:tcPr>
          <w:p w14:paraId="3508EC15">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3CF103B9">
            <w:pPr>
              <w:widowControl/>
              <w:rPr>
                <w:rFonts w:ascii="宋体" w:hAnsi="宋体"/>
                <w:color w:val="auto"/>
                <w:kern w:val="0"/>
                <w:sz w:val="22"/>
                <w:szCs w:val="22"/>
              </w:rPr>
            </w:pPr>
            <w:r>
              <w:rPr>
                <w:rFonts w:hint="eastAsia" w:ascii="宋体" w:hAnsi="宋体"/>
                <w:color w:val="auto"/>
                <w:kern w:val="0"/>
                <w:sz w:val="22"/>
                <w:szCs w:val="22"/>
              </w:rPr>
              <w:t>内置光驱</w:t>
            </w:r>
          </w:p>
        </w:tc>
        <w:tc>
          <w:tcPr>
            <w:tcW w:w="2740" w:type="pct"/>
            <w:tcBorders>
              <w:top w:val="single" w:color="auto" w:sz="4" w:space="0"/>
              <w:left w:val="single" w:color="auto" w:sz="4" w:space="0"/>
              <w:bottom w:val="single" w:color="auto" w:sz="4" w:space="0"/>
              <w:right w:val="single" w:color="auto" w:sz="4" w:space="0"/>
            </w:tcBorders>
          </w:tcPr>
          <w:p w14:paraId="61321335">
            <w:pPr>
              <w:widowControl/>
              <w:rPr>
                <w:rFonts w:ascii="宋体" w:hAnsi="宋体"/>
                <w:color w:val="auto"/>
                <w:kern w:val="0"/>
                <w:sz w:val="22"/>
                <w:szCs w:val="22"/>
              </w:rPr>
            </w:pPr>
            <w:r>
              <w:rPr>
                <w:rFonts w:hint="eastAsia" w:ascii="宋体" w:hAnsi="宋体"/>
                <w:color w:val="auto"/>
                <w:kern w:val="0"/>
                <w:sz w:val="22"/>
                <w:szCs w:val="22"/>
              </w:rPr>
              <w:t>无要求</w:t>
            </w:r>
          </w:p>
        </w:tc>
      </w:tr>
      <w:tr w14:paraId="2B6B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567258DD">
            <w:pPr>
              <w:widowControl/>
              <w:rPr>
                <w:rFonts w:ascii="宋体" w:hAnsi="宋体"/>
                <w:color w:val="auto"/>
                <w:kern w:val="0"/>
                <w:sz w:val="22"/>
                <w:szCs w:val="22"/>
              </w:rPr>
            </w:pPr>
            <w:r>
              <w:rPr>
                <w:rFonts w:hint="eastAsia" w:ascii="宋体" w:hAnsi="宋体"/>
                <w:color w:val="auto"/>
                <w:kern w:val="0"/>
                <w:sz w:val="22"/>
                <w:szCs w:val="22"/>
              </w:rPr>
              <w:t>63</w:t>
            </w:r>
          </w:p>
        </w:tc>
        <w:tc>
          <w:tcPr>
            <w:tcW w:w="555" w:type="pct"/>
            <w:vMerge w:val="restart"/>
            <w:tcBorders>
              <w:top w:val="nil"/>
              <w:left w:val="single" w:color="auto" w:sz="4" w:space="0"/>
              <w:bottom w:val="single" w:color="auto" w:sz="4" w:space="0"/>
              <w:right w:val="single" w:color="auto" w:sz="4" w:space="0"/>
            </w:tcBorders>
            <w:vAlign w:val="center"/>
          </w:tcPr>
          <w:p w14:paraId="4FE60809">
            <w:pPr>
              <w:widowControl/>
              <w:rPr>
                <w:rFonts w:ascii="宋体" w:hAnsi="宋体"/>
                <w:color w:val="auto"/>
                <w:kern w:val="0"/>
                <w:sz w:val="22"/>
                <w:szCs w:val="22"/>
              </w:rPr>
            </w:pPr>
            <w:r>
              <w:rPr>
                <w:rFonts w:hint="eastAsia" w:ascii="宋体" w:hAnsi="宋体"/>
                <w:color w:val="auto"/>
                <w:kern w:val="0"/>
                <w:sz w:val="22"/>
                <w:szCs w:val="22"/>
              </w:rPr>
              <w:t>▲网络设备规格</w:t>
            </w:r>
          </w:p>
        </w:tc>
        <w:tc>
          <w:tcPr>
            <w:tcW w:w="1356" w:type="pct"/>
            <w:tcBorders>
              <w:top w:val="single" w:color="auto" w:sz="4" w:space="0"/>
              <w:left w:val="single" w:color="auto" w:sz="4" w:space="0"/>
              <w:bottom w:val="single" w:color="auto" w:sz="4" w:space="0"/>
              <w:right w:val="single" w:color="auto" w:sz="4" w:space="0"/>
            </w:tcBorders>
          </w:tcPr>
          <w:p w14:paraId="6E04ED52">
            <w:pPr>
              <w:widowControl/>
              <w:rPr>
                <w:rFonts w:ascii="宋体" w:hAnsi="宋体"/>
                <w:color w:val="auto"/>
                <w:kern w:val="0"/>
                <w:sz w:val="22"/>
                <w:szCs w:val="22"/>
              </w:rPr>
            </w:pPr>
            <w:r>
              <w:rPr>
                <w:rFonts w:hint="eastAsia" w:ascii="宋体" w:hAnsi="宋体"/>
                <w:color w:val="auto"/>
                <w:kern w:val="0"/>
                <w:sz w:val="22"/>
                <w:szCs w:val="22"/>
              </w:rPr>
              <w:t xml:space="preserve"> ▲有线网卡数量</w:t>
            </w:r>
          </w:p>
        </w:tc>
        <w:tc>
          <w:tcPr>
            <w:tcW w:w="2740" w:type="pct"/>
            <w:tcBorders>
              <w:top w:val="single" w:color="auto" w:sz="4" w:space="0"/>
              <w:left w:val="single" w:color="auto" w:sz="4" w:space="0"/>
              <w:bottom w:val="single" w:color="auto" w:sz="4" w:space="0"/>
              <w:right w:val="single" w:color="auto" w:sz="4" w:space="0"/>
            </w:tcBorders>
          </w:tcPr>
          <w:p w14:paraId="46185CB8">
            <w:pPr>
              <w:widowControl/>
              <w:rPr>
                <w:rFonts w:ascii="宋体" w:hAnsi="宋体"/>
                <w:color w:val="auto"/>
                <w:kern w:val="0"/>
                <w:sz w:val="22"/>
                <w:szCs w:val="22"/>
              </w:rPr>
            </w:pPr>
            <w:r>
              <w:rPr>
                <w:rFonts w:hint="eastAsia" w:ascii="宋体" w:hAnsi="宋体"/>
                <w:color w:val="auto"/>
                <w:kern w:val="0"/>
                <w:sz w:val="22"/>
                <w:szCs w:val="22"/>
              </w:rPr>
              <w:t>≥1</w:t>
            </w:r>
          </w:p>
        </w:tc>
      </w:tr>
      <w:tr w14:paraId="0B83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3DD76109">
            <w:pPr>
              <w:widowControl/>
              <w:rPr>
                <w:rFonts w:ascii="宋体" w:hAnsi="宋体"/>
                <w:color w:val="auto"/>
                <w:kern w:val="0"/>
                <w:sz w:val="22"/>
                <w:szCs w:val="22"/>
              </w:rPr>
            </w:pPr>
            <w:r>
              <w:rPr>
                <w:rFonts w:hint="eastAsia" w:ascii="宋体" w:hAnsi="宋体"/>
                <w:color w:val="auto"/>
                <w:kern w:val="0"/>
                <w:sz w:val="22"/>
                <w:szCs w:val="22"/>
              </w:rPr>
              <w:t>64</w:t>
            </w:r>
          </w:p>
        </w:tc>
        <w:tc>
          <w:tcPr>
            <w:tcW w:w="0" w:type="auto"/>
            <w:vMerge w:val="continue"/>
            <w:tcBorders>
              <w:top w:val="nil"/>
              <w:left w:val="single" w:color="auto" w:sz="4" w:space="0"/>
              <w:bottom w:val="single" w:color="auto" w:sz="4" w:space="0"/>
              <w:right w:val="single" w:color="auto" w:sz="4" w:space="0"/>
            </w:tcBorders>
            <w:vAlign w:val="center"/>
          </w:tcPr>
          <w:p w14:paraId="79AC245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6D84B14B">
            <w:pPr>
              <w:widowControl/>
              <w:rPr>
                <w:rFonts w:ascii="宋体" w:hAnsi="宋体"/>
                <w:color w:val="auto"/>
                <w:kern w:val="0"/>
                <w:sz w:val="22"/>
                <w:szCs w:val="22"/>
              </w:rPr>
            </w:pPr>
            <w:r>
              <w:rPr>
                <w:rFonts w:hint="eastAsia" w:ascii="宋体" w:hAnsi="宋体"/>
                <w:color w:val="auto"/>
                <w:kern w:val="0"/>
                <w:sz w:val="22"/>
                <w:szCs w:val="22"/>
              </w:rPr>
              <w:t>无线网卡及天线数量</w:t>
            </w:r>
          </w:p>
        </w:tc>
        <w:tc>
          <w:tcPr>
            <w:tcW w:w="2740" w:type="pct"/>
            <w:tcBorders>
              <w:top w:val="single" w:color="auto" w:sz="4" w:space="0"/>
              <w:left w:val="single" w:color="auto" w:sz="4" w:space="0"/>
              <w:bottom w:val="single" w:color="auto" w:sz="4" w:space="0"/>
              <w:right w:val="single" w:color="auto" w:sz="4" w:space="0"/>
            </w:tcBorders>
          </w:tcPr>
          <w:p w14:paraId="3EE0B748">
            <w:pPr>
              <w:widowControl/>
              <w:rPr>
                <w:rFonts w:ascii="宋体" w:hAnsi="宋体"/>
                <w:color w:val="auto"/>
                <w:kern w:val="0"/>
                <w:sz w:val="22"/>
                <w:szCs w:val="22"/>
              </w:rPr>
            </w:pPr>
            <w:r>
              <w:rPr>
                <w:rFonts w:hint="eastAsia" w:ascii="宋体" w:hAnsi="宋体"/>
                <w:color w:val="auto"/>
                <w:kern w:val="0"/>
                <w:sz w:val="22"/>
                <w:szCs w:val="22"/>
              </w:rPr>
              <w:t>≥0</w:t>
            </w:r>
          </w:p>
        </w:tc>
      </w:tr>
      <w:tr w14:paraId="3457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47" w:type="pct"/>
            <w:tcBorders>
              <w:top w:val="single" w:color="auto" w:sz="4" w:space="0"/>
              <w:left w:val="single" w:color="auto" w:sz="4" w:space="0"/>
              <w:bottom w:val="single" w:color="auto" w:sz="4" w:space="0"/>
              <w:right w:val="single" w:color="auto" w:sz="4" w:space="0"/>
            </w:tcBorders>
          </w:tcPr>
          <w:p w14:paraId="7D34D682">
            <w:pPr>
              <w:widowControl/>
              <w:rPr>
                <w:rFonts w:ascii="宋体" w:hAnsi="宋体"/>
                <w:color w:val="auto"/>
                <w:kern w:val="0"/>
                <w:sz w:val="22"/>
                <w:szCs w:val="22"/>
              </w:rPr>
            </w:pPr>
            <w:r>
              <w:rPr>
                <w:rFonts w:hint="eastAsia" w:ascii="宋体" w:hAnsi="宋体"/>
                <w:color w:val="auto"/>
                <w:kern w:val="0"/>
                <w:sz w:val="22"/>
                <w:szCs w:val="22"/>
              </w:rPr>
              <w:t>65</w:t>
            </w:r>
          </w:p>
        </w:tc>
        <w:tc>
          <w:tcPr>
            <w:tcW w:w="0" w:type="auto"/>
            <w:vMerge w:val="continue"/>
            <w:tcBorders>
              <w:top w:val="nil"/>
              <w:left w:val="single" w:color="auto" w:sz="4" w:space="0"/>
              <w:bottom w:val="single" w:color="auto" w:sz="4" w:space="0"/>
              <w:right w:val="single" w:color="auto" w:sz="4" w:space="0"/>
            </w:tcBorders>
            <w:vAlign w:val="center"/>
          </w:tcPr>
          <w:p w14:paraId="7160385F">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28F63978">
            <w:pPr>
              <w:widowControl/>
              <w:rPr>
                <w:rFonts w:ascii="宋体" w:hAnsi="宋体"/>
                <w:color w:val="auto"/>
                <w:kern w:val="0"/>
                <w:sz w:val="22"/>
                <w:szCs w:val="22"/>
              </w:rPr>
            </w:pPr>
            <w:r>
              <w:rPr>
                <w:rFonts w:hint="eastAsia" w:ascii="宋体" w:hAnsi="宋体"/>
                <w:color w:val="auto"/>
                <w:kern w:val="0"/>
                <w:sz w:val="22"/>
                <w:szCs w:val="22"/>
              </w:rPr>
              <w:t>单无线网卡天线数量</w:t>
            </w:r>
          </w:p>
        </w:tc>
        <w:tc>
          <w:tcPr>
            <w:tcW w:w="2740" w:type="pct"/>
            <w:tcBorders>
              <w:top w:val="single" w:color="auto" w:sz="4" w:space="0"/>
              <w:left w:val="single" w:color="auto" w:sz="4" w:space="0"/>
              <w:bottom w:val="single" w:color="auto" w:sz="4" w:space="0"/>
              <w:right w:val="single" w:color="auto" w:sz="4" w:space="0"/>
            </w:tcBorders>
          </w:tcPr>
          <w:p w14:paraId="2DC015AD">
            <w:pPr>
              <w:widowControl/>
              <w:rPr>
                <w:rFonts w:ascii="宋体" w:hAnsi="宋体"/>
                <w:color w:val="auto"/>
                <w:kern w:val="0"/>
                <w:sz w:val="22"/>
                <w:szCs w:val="22"/>
              </w:rPr>
            </w:pPr>
            <w:r>
              <w:rPr>
                <w:rFonts w:hint="eastAsia" w:ascii="宋体" w:hAnsi="宋体"/>
                <w:color w:val="auto"/>
                <w:kern w:val="0"/>
                <w:sz w:val="22"/>
                <w:szCs w:val="22"/>
              </w:rPr>
              <w:t>≥0</w:t>
            </w:r>
          </w:p>
        </w:tc>
      </w:tr>
      <w:tr w14:paraId="1FB1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1C0D0816">
            <w:pPr>
              <w:widowControl/>
              <w:rPr>
                <w:rFonts w:ascii="宋体" w:hAnsi="宋体"/>
                <w:color w:val="auto"/>
                <w:kern w:val="0"/>
                <w:sz w:val="22"/>
                <w:szCs w:val="22"/>
              </w:rPr>
            </w:pPr>
            <w:r>
              <w:rPr>
                <w:rFonts w:hint="eastAsia" w:ascii="宋体" w:hAnsi="宋体"/>
                <w:color w:val="auto"/>
                <w:kern w:val="0"/>
                <w:sz w:val="22"/>
                <w:szCs w:val="22"/>
              </w:rPr>
              <w:t>66</w:t>
            </w:r>
          </w:p>
        </w:tc>
        <w:tc>
          <w:tcPr>
            <w:tcW w:w="555" w:type="pct"/>
            <w:vMerge w:val="restart"/>
            <w:tcBorders>
              <w:top w:val="nil"/>
              <w:left w:val="single" w:color="auto" w:sz="4" w:space="0"/>
              <w:bottom w:val="single" w:color="auto" w:sz="4" w:space="0"/>
              <w:right w:val="single" w:color="auto" w:sz="4" w:space="0"/>
            </w:tcBorders>
            <w:vAlign w:val="center"/>
          </w:tcPr>
          <w:p w14:paraId="390A9BAB">
            <w:pPr>
              <w:widowControl/>
              <w:rPr>
                <w:rFonts w:ascii="宋体" w:hAnsi="宋体"/>
                <w:color w:val="auto"/>
                <w:kern w:val="0"/>
                <w:sz w:val="22"/>
                <w:szCs w:val="22"/>
              </w:rPr>
            </w:pPr>
            <w:r>
              <w:rPr>
                <w:rFonts w:hint="eastAsia" w:ascii="宋体" w:hAnsi="宋体"/>
                <w:color w:val="auto"/>
                <w:kern w:val="0"/>
                <w:sz w:val="22"/>
                <w:szCs w:val="22"/>
              </w:rPr>
              <w:t>▲外部接口规格</w:t>
            </w:r>
          </w:p>
        </w:tc>
        <w:tc>
          <w:tcPr>
            <w:tcW w:w="1356" w:type="pct"/>
            <w:tcBorders>
              <w:top w:val="single" w:color="auto" w:sz="4" w:space="0"/>
              <w:left w:val="single" w:color="auto" w:sz="4" w:space="0"/>
              <w:bottom w:val="single" w:color="auto" w:sz="4" w:space="0"/>
              <w:right w:val="single" w:color="auto" w:sz="4" w:space="0"/>
            </w:tcBorders>
          </w:tcPr>
          <w:p w14:paraId="1E11E88A">
            <w:pPr>
              <w:widowControl/>
              <w:rPr>
                <w:rFonts w:ascii="宋体" w:hAnsi="宋体"/>
                <w:color w:val="auto"/>
                <w:kern w:val="0"/>
                <w:sz w:val="22"/>
                <w:szCs w:val="22"/>
              </w:rPr>
            </w:pPr>
            <w:r>
              <w:rPr>
                <w:rFonts w:hint="eastAsia" w:ascii="宋体" w:hAnsi="宋体"/>
                <w:color w:val="auto"/>
                <w:kern w:val="0"/>
                <w:sz w:val="22"/>
                <w:szCs w:val="22"/>
              </w:rPr>
              <w:t>▲USB接口数量</w:t>
            </w:r>
          </w:p>
        </w:tc>
        <w:tc>
          <w:tcPr>
            <w:tcW w:w="2740" w:type="pct"/>
            <w:tcBorders>
              <w:top w:val="single" w:color="auto" w:sz="4" w:space="0"/>
              <w:left w:val="single" w:color="auto" w:sz="4" w:space="0"/>
              <w:bottom w:val="single" w:color="auto" w:sz="4" w:space="0"/>
              <w:right w:val="single" w:color="auto" w:sz="4" w:space="0"/>
            </w:tcBorders>
          </w:tcPr>
          <w:p w14:paraId="6E3F1442">
            <w:pPr>
              <w:widowControl/>
              <w:rPr>
                <w:rFonts w:ascii="宋体" w:hAnsi="宋体"/>
                <w:color w:val="auto"/>
                <w:kern w:val="0"/>
                <w:sz w:val="22"/>
                <w:szCs w:val="22"/>
              </w:rPr>
            </w:pPr>
            <w:r>
              <w:rPr>
                <w:rFonts w:hint="eastAsia" w:ascii="宋体" w:hAnsi="宋体"/>
                <w:color w:val="auto"/>
                <w:kern w:val="0"/>
                <w:sz w:val="22"/>
                <w:szCs w:val="22"/>
              </w:rPr>
              <w:t>前置端口：≥ 2 个 USB Type-A 10Gbps（USB3.2 Gen2）端口，2 个 USB Type-A 5Gbps（USB3.2 Gen1）端口，1 个 USB Type-C 端口</w:t>
            </w:r>
          </w:p>
        </w:tc>
      </w:tr>
      <w:tr w14:paraId="7CB9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47" w:type="pct"/>
            <w:tcBorders>
              <w:top w:val="single" w:color="auto" w:sz="4" w:space="0"/>
              <w:left w:val="single" w:color="auto" w:sz="4" w:space="0"/>
              <w:bottom w:val="single" w:color="auto" w:sz="4" w:space="0"/>
              <w:right w:val="single" w:color="auto" w:sz="4" w:space="0"/>
            </w:tcBorders>
          </w:tcPr>
          <w:p w14:paraId="555CCF66">
            <w:pPr>
              <w:widowControl/>
              <w:rPr>
                <w:rFonts w:ascii="宋体" w:hAnsi="宋体"/>
                <w:color w:val="auto"/>
                <w:kern w:val="0"/>
                <w:sz w:val="22"/>
                <w:szCs w:val="22"/>
              </w:rPr>
            </w:pPr>
            <w:r>
              <w:rPr>
                <w:rFonts w:hint="eastAsia" w:ascii="宋体" w:hAnsi="宋体"/>
                <w:color w:val="auto"/>
                <w:kern w:val="0"/>
                <w:sz w:val="22"/>
                <w:szCs w:val="22"/>
              </w:rPr>
              <w:t>67</w:t>
            </w:r>
          </w:p>
        </w:tc>
        <w:tc>
          <w:tcPr>
            <w:tcW w:w="0" w:type="auto"/>
            <w:vMerge w:val="continue"/>
            <w:tcBorders>
              <w:top w:val="nil"/>
              <w:left w:val="single" w:color="auto" w:sz="4" w:space="0"/>
              <w:bottom w:val="single" w:color="auto" w:sz="4" w:space="0"/>
              <w:right w:val="single" w:color="auto" w:sz="4" w:space="0"/>
            </w:tcBorders>
            <w:vAlign w:val="center"/>
          </w:tcPr>
          <w:p w14:paraId="62359FE9">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6EBED9C2">
            <w:pPr>
              <w:widowControl/>
              <w:rPr>
                <w:rFonts w:ascii="宋体" w:hAnsi="宋体"/>
                <w:color w:val="auto"/>
                <w:kern w:val="0"/>
                <w:sz w:val="22"/>
                <w:szCs w:val="22"/>
              </w:rPr>
            </w:pPr>
            <w:r>
              <w:rPr>
                <w:rFonts w:hint="eastAsia" w:ascii="宋体" w:hAnsi="宋体"/>
                <w:color w:val="auto"/>
                <w:kern w:val="0"/>
                <w:sz w:val="22"/>
                <w:szCs w:val="22"/>
              </w:rPr>
              <w:t>USB母座接口要求</w:t>
            </w:r>
          </w:p>
        </w:tc>
        <w:tc>
          <w:tcPr>
            <w:tcW w:w="2740" w:type="pct"/>
            <w:tcBorders>
              <w:top w:val="single" w:color="auto" w:sz="4" w:space="0"/>
              <w:left w:val="single" w:color="auto" w:sz="4" w:space="0"/>
              <w:bottom w:val="single" w:color="auto" w:sz="4" w:space="0"/>
              <w:right w:val="single" w:color="auto" w:sz="4" w:space="0"/>
            </w:tcBorders>
          </w:tcPr>
          <w:p w14:paraId="5815C397">
            <w:pPr>
              <w:widowControl/>
              <w:rPr>
                <w:rFonts w:ascii="宋体" w:hAnsi="宋体"/>
                <w:color w:val="auto"/>
                <w:kern w:val="0"/>
                <w:sz w:val="22"/>
                <w:szCs w:val="22"/>
              </w:rPr>
            </w:pPr>
            <w:r>
              <w:rPr>
                <w:rFonts w:hint="eastAsia" w:ascii="宋体" w:hAnsi="宋体"/>
                <w:color w:val="auto"/>
                <w:kern w:val="0"/>
                <w:sz w:val="22"/>
                <w:szCs w:val="22"/>
              </w:rPr>
              <w:t>/</w:t>
            </w:r>
          </w:p>
        </w:tc>
      </w:tr>
      <w:tr w14:paraId="3D60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211FCA28">
            <w:pPr>
              <w:widowControl/>
              <w:rPr>
                <w:rFonts w:ascii="宋体" w:hAnsi="宋体"/>
                <w:color w:val="auto"/>
                <w:kern w:val="0"/>
                <w:sz w:val="22"/>
                <w:szCs w:val="22"/>
              </w:rPr>
            </w:pPr>
            <w:r>
              <w:rPr>
                <w:rFonts w:hint="eastAsia" w:ascii="宋体" w:hAnsi="宋体"/>
                <w:color w:val="auto"/>
                <w:kern w:val="0"/>
                <w:sz w:val="22"/>
                <w:szCs w:val="22"/>
              </w:rPr>
              <w:t>68</w:t>
            </w:r>
          </w:p>
        </w:tc>
        <w:tc>
          <w:tcPr>
            <w:tcW w:w="0" w:type="auto"/>
            <w:vMerge w:val="continue"/>
            <w:tcBorders>
              <w:top w:val="nil"/>
              <w:left w:val="single" w:color="auto" w:sz="4" w:space="0"/>
              <w:bottom w:val="single" w:color="auto" w:sz="4" w:space="0"/>
              <w:right w:val="single" w:color="auto" w:sz="4" w:space="0"/>
            </w:tcBorders>
            <w:vAlign w:val="center"/>
          </w:tcPr>
          <w:p w14:paraId="008E041C">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7B427577">
            <w:pPr>
              <w:widowControl/>
              <w:rPr>
                <w:rFonts w:ascii="宋体" w:hAnsi="宋体"/>
                <w:color w:val="auto"/>
                <w:kern w:val="0"/>
                <w:sz w:val="22"/>
                <w:szCs w:val="22"/>
              </w:rPr>
            </w:pPr>
            <w:r>
              <w:rPr>
                <w:rFonts w:hint="eastAsia" w:ascii="宋体" w:hAnsi="宋体"/>
                <w:color w:val="auto"/>
                <w:kern w:val="0"/>
                <w:sz w:val="22"/>
                <w:szCs w:val="22"/>
              </w:rPr>
              <w:t>▲视频接口数量</w:t>
            </w:r>
          </w:p>
        </w:tc>
        <w:tc>
          <w:tcPr>
            <w:tcW w:w="2740" w:type="pct"/>
            <w:tcBorders>
              <w:top w:val="single" w:color="auto" w:sz="4" w:space="0"/>
              <w:left w:val="single" w:color="auto" w:sz="4" w:space="0"/>
              <w:bottom w:val="single" w:color="auto" w:sz="4" w:space="0"/>
              <w:right w:val="single" w:color="auto" w:sz="4" w:space="0"/>
            </w:tcBorders>
          </w:tcPr>
          <w:p w14:paraId="5FE56E50">
            <w:pPr>
              <w:widowControl/>
              <w:rPr>
                <w:rFonts w:ascii="宋体" w:hAnsi="宋体"/>
                <w:color w:val="auto"/>
                <w:kern w:val="0"/>
                <w:sz w:val="22"/>
                <w:szCs w:val="22"/>
              </w:rPr>
            </w:pPr>
            <w:r>
              <w:rPr>
                <w:rFonts w:hint="eastAsia" w:ascii="宋体" w:hAnsi="宋体"/>
                <w:color w:val="auto"/>
                <w:kern w:val="0"/>
                <w:sz w:val="22"/>
                <w:szCs w:val="22"/>
              </w:rPr>
              <w:t>≥2</w:t>
            </w:r>
          </w:p>
        </w:tc>
      </w:tr>
      <w:tr w14:paraId="250A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47" w:type="pct"/>
            <w:tcBorders>
              <w:top w:val="single" w:color="auto" w:sz="4" w:space="0"/>
              <w:left w:val="single" w:color="auto" w:sz="4" w:space="0"/>
              <w:bottom w:val="single" w:color="auto" w:sz="4" w:space="0"/>
              <w:right w:val="single" w:color="auto" w:sz="4" w:space="0"/>
            </w:tcBorders>
          </w:tcPr>
          <w:p w14:paraId="2B5456CB">
            <w:pPr>
              <w:widowControl/>
              <w:rPr>
                <w:rFonts w:ascii="宋体" w:hAnsi="宋体"/>
                <w:color w:val="auto"/>
                <w:kern w:val="0"/>
                <w:sz w:val="22"/>
                <w:szCs w:val="22"/>
              </w:rPr>
            </w:pPr>
            <w:r>
              <w:rPr>
                <w:rFonts w:hint="eastAsia" w:ascii="宋体" w:hAnsi="宋体"/>
                <w:color w:val="auto"/>
                <w:kern w:val="0"/>
                <w:sz w:val="22"/>
                <w:szCs w:val="22"/>
              </w:rPr>
              <w:t>69</w:t>
            </w:r>
          </w:p>
        </w:tc>
        <w:tc>
          <w:tcPr>
            <w:tcW w:w="0" w:type="auto"/>
            <w:vMerge w:val="continue"/>
            <w:tcBorders>
              <w:top w:val="nil"/>
              <w:left w:val="single" w:color="auto" w:sz="4" w:space="0"/>
              <w:bottom w:val="single" w:color="auto" w:sz="4" w:space="0"/>
              <w:right w:val="single" w:color="auto" w:sz="4" w:space="0"/>
            </w:tcBorders>
            <w:vAlign w:val="center"/>
          </w:tcPr>
          <w:p w14:paraId="31B2833D">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6C4D7AE6">
            <w:pPr>
              <w:widowControl/>
              <w:rPr>
                <w:rFonts w:ascii="宋体" w:hAnsi="宋体"/>
                <w:color w:val="auto"/>
                <w:kern w:val="0"/>
                <w:sz w:val="22"/>
                <w:szCs w:val="22"/>
              </w:rPr>
            </w:pPr>
            <w:r>
              <w:rPr>
                <w:rFonts w:hint="eastAsia" w:ascii="宋体" w:hAnsi="宋体"/>
                <w:color w:val="auto"/>
                <w:kern w:val="0"/>
                <w:sz w:val="22"/>
                <w:szCs w:val="22"/>
              </w:rPr>
              <w:t>▲音频接口数量</w:t>
            </w:r>
          </w:p>
        </w:tc>
        <w:tc>
          <w:tcPr>
            <w:tcW w:w="2740" w:type="pct"/>
            <w:tcBorders>
              <w:top w:val="single" w:color="auto" w:sz="4" w:space="0"/>
              <w:left w:val="single" w:color="auto" w:sz="4" w:space="0"/>
              <w:bottom w:val="single" w:color="auto" w:sz="4" w:space="0"/>
              <w:right w:val="single" w:color="auto" w:sz="4" w:space="0"/>
            </w:tcBorders>
          </w:tcPr>
          <w:p w14:paraId="4E28CF2E">
            <w:pPr>
              <w:widowControl/>
              <w:rPr>
                <w:rFonts w:ascii="宋体" w:hAnsi="宋体"/>
                <w:color w:val="auto"/>
                <w:kern w:val="0"/>
                <w:sz w:val="22"/>
                <w:szCs w:val="22"/>
              </w:rPr>
            </w:pPr>
            <w:r>
              <w:rPr>
                <w:rFonts w:hint="eastAsia" w:ascii="宋体" w:hAnsi="宋体"/>
                <w:color w:val="auto"/>
                <w:kern w:val="0"/>
                <w:sz w:val="22"/>
                <w:szCs w:val="22"/>
              </w:rPr>
              <w:t>前置端口：≥1 个耳机 / 麦克风组合插孔</w:t>
            </w:r>
          </w:p>
          <w:p w14:paraId="24E7741D">
            <w:pPr>
              <w:widowControl/>
              <w:rPr>
                <w:rFonts w:ascii="宋体" w:hAnsi="宋体"/>
                <w:color w:val="auto"/>
                <w:kern w:val="0"/>
                <w:sz w:val="22"/>
                <w:szCs w:val="22"/>
              </w:rPr>
            </w:pPr>
            <w:r>
              <w:rPr>
                <w:rFonts w:hint="eastAsia" w:ascii="宋体" w:hAnsi="宋体"/>
                <w:color w:val="auto"/>
                <w:kern w:val="0"/>
                <w:sz w:val="22"/>
                <w:szCs w:val="22"/>
              </w:rPr>
              <w:t>后面端口：≥1 个音频线路端口</w:t>
            </w:r>
          </w:p>
        </w:tc>
      </w:tr>
      <w:tr w14:paraId="5FEC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28030DC2">
            <w:pPr>
              <w:widowControl/>
              <w:rPr>
                <w:rFonts w:ascii="宋体" w:hAnsi="宋体"/>
                <w:color w:val="auto"/>
                <w:kern w:val="0"/>
                <w:sz w:val="22"/>
                <w:szCs w:val="22"/>
              </w:rPr>
            </w:pPr>
            <w:r>
              <w:rPr>
                <w:rFonts w:hint="eastAsia" w:ascii="宋体" w:hAnsi="宋体"/>
                <w:color w:val="auto"/>
                <w:kern w:val="0"/>
                <w:sz w:val="22"/>
                <w:szCs w:val="22"/>
              </w:rPr>
              <w:t>70</w:t>
            </w:r>
          </w:p>
        </w:tc>
        <w:tc>
          <w:tcPr>
            <w:tcW w:w="0" w:type="auto"/>
            <w:vMerge w:val="continue"/>
            <w:tcBorders>
              <w:top w:val="nil"/>
              <w:left w:val="single" w:color="auto" w:sz="4" w:space="0"/>
              <w:bottom w:val="single" w:color="auto" w:sz="4" w:space="0"/>
              <w:right w:val="single" w:color="auto" w:sz="4" w:space="0"/>
            </w:tcBorders>
            <w:vAlign w:val="center"/>
          </w:tcPr>
          <w:p w14:paraId="75E76309">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9192C7F">
            <w:pPr>
              <w:widowControl/>
              <w:rPr>
                <w:rFonts w:ascii="宋体" w:hAnsi="宋体"/>
                <w:color w:val="auto"/>
                <w:kern w:val="0"/>
                <w:sz w:val="22"/>
                <w:szCs w:val="22"/>
              </w:rPr>
            </w:pPr>
            <w:r>
              <w:rPr>
                <w:rFonts w:hint="eastAsia" w:ascii="宋体" w:hAnsi="宋体"/>
                <w:color w:val="auto"/>
                <w:kern w:val="0"/>
                <w:sz w:val="22"/>
                <w:szCs w:val="22"/>
              </w:rPr>
              <w:t>存储卡接口数量</w:t>
            </w:r>
          </w:p>
        </w:tc>
        <w:tc>
          <w:tcPr>
            <w:tcW w:w="2740" w:type="pct"/>
            <w:tcBorders>
              <w:top w:val="single" w:color="auto" w:sz="4" w:space="0"/>
              <w:left w:val="single" w:color="auto" w:sz="4" w:space="0"/>
              <w:bottom w:val="single" w:color="auto" w:sz="4" w:space="0"/>
              <w:right w:val="single" w:color="auto" w:sz="4" w:space="0"/>
            </w:tcBorders>
          </w:tcPr>
          <w:p w14:paraId="5B10D20B">
            <w:pPr>
              <w:widowControl/>
              <w:rPr>
                <w:rFonts w:ascii="宋体" w:hAnsi="宋体"/>
                <w:color w:val="auto"/>
                <w:kern w:val="0"/>
                <w:sz w:val="22"/>
                <w:szCs w:val="22"/>
              </w:rPr>
            </w:pPr>
            <w:r>
              <w:rPr>
                <w:rFonts w:hint="eastAsia" w:ascii="宋体" w:hAnsi="宋体"/>
                <w:color w:val="auto"/>
                <w:kern w:val="0"/>
                <w:sz w:val="22"/>
                <w:szCs w:val="22"/>
              </w:rPr>
              <w:t>≥0</w:t>
            </w:r>
          </w:p>
        </w:tc>
      </w:tr>
      <w:tr w14:paraId="38A5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47" w:type="pct"/>
            <w:tcBorders>
              <w:top w:val="single" w:color="auto" w:sz="4" w:space="0"/>
              <w:left w:val="single" w:color="auto" w:sz="4" w:space="0"/>
              <w:bottom w:val="single" w:color="auto" w:sz="4" w:space="0"/>
              <w:right w:val="single" w:color="auto" w:sz="4" w:space="0"/>
            </w:tcBorders>
          </w:tcPr>
          <w:p w14:paraId="2CC5F799">
            <w:pPr>
              <w:widowControl/>
              <w:rPr>
                <w:rFonts w:ascii="宋体" w:hAnsi="宋体"/>
                <w:color w:val="auto"/>
                <w:kern w:val="0"/>
                <w:sz w:val="22"/>
                <w:szCs w:val="22"/>
              </w:rPr>
            </w:pPr>
            <w:r>
              <w:rPr>
                <w:rFonts w:hint="eastAsia" w:ascii="宋体" w:hAnsi="宋体"/>
                <w:color w:val="auto"/>
                <w:kern w:val="0"/>
                <w:sz w:val="22"/>
                <w:szCs w:val="22"/>
              </w:rPr>
              <w:t>71</w:t>
            </w:r>
          </w:p>
        </w:tc>
        <w:tc>
          <w:tcPr>
            <w:tcW w:w="555" w:type="pct"/>
            <w:vMerge w:val="restart"/>
            <w:tcBorders>
              <w:top w:val="nil"/>
              <w:left w:val="single" w:color="auto" w:sz="4" w:space="0"/>
              <w:bottom w:val="single" w:color="auto" w:sz="4" w:space="0"/>
              <w:right w:val="single" w:color="auto" w:sz="4" w:space="0"/>
            </w:tcBorders>
            <w:vAlign w:val="center"/>
          </w:tcPr>
          <w:p w14:paraId="7382C4C5">
            <w:pPr>
              <w:widowControl/>
              <w:rPr>
                <w:rFonts w:ascii="宋体" w:hAnsi="宋体"/>
                <w:color w:val="auto"/>
                <w:kern w:val="0"/>
                <w:sz w:val="22"/>
                <w:szCs w:val="22"/>
              </w:rPr>
            </w:pPr>
            <w:r>
              <w:rPr>
                <w:rFonts w:hint="eastAsia" w:ascii="宋体" w:hAnsi="宋体"/>
                <w:color w:val="auto"/>
                <w:kern w:val="0"/>
                <w:sz w:val="22"/>
                <w:szCs w:val="22"/>
              </w:rPr>
              <w:t>▲整机基础规格</w:t>
            </w:r>
          </w:p>
        </w:tc>
        <w:tc>
          <w:tcPr>
            <w:tcW w:w="1356" w:type="pct"/>
            <w:tcBorders>
              <w:top w:val="single" w:color="auto" w:sz="4" w:space="0"/>
              <w:left w:val="single" w:color="auto" w:sz="4" w:space="0"/>
              <w:bottom w:val="single" w:color="auto" w:sz="4" w:space="0"/>
              <w:right w:val="single" w:color="auto" w:sz="4" w:space="0"/>
            </w:tcBorders>
          </w:tcPr>
          <w:p w14:paraId="41BCB68F">
            <w:pPr>
              <w:widowControl/>
              <w:rPr>
                <w:rFonts w:ascii="宋体" w:hAnsi="宋体"/>
                <w:color w:val="auto"/>
                <w:kern w:val="0"/>
                <w:sz w:val="22"/>
                <w:szCs w:val="22"/>
              </w:rPr>
            </w:pPr>
            <w:r>
              <w:rPr>
                <w:rFonts w:hint="eastAsia" w:ascii="宋体" w:hAnsi="宋体"/>
                <w:color w:val="auto"/>
                <w:kern w:val="0"/>
                <w:sz w:val="22"/>
                <w:szCs w:val="22"/>
              </w:rPr>
              <w:t xml:space="preserve"> ▲整机外观</w:t>
            </w:r>
          </w:p>
        </w:tc>
        <w:tc>
          <w:tcPr>
            <w:tcW w:w="2740" w:type="pct"/>
            <w:tcBorders>
              <w:top w:val="single" w:color="auto" w:sz="4" w:space="0"/>
              <w:left w:val="single" w:color="auto" w:sz="4" w:space="0"/>
              <w:bottom w:val="single" w:color="auto" w:sz="4" w:space="0"/>
              <w:right w:val="single" w:color="auto" w:sz="4" w:space="0"/>
            </w:tcBorders>
          </w:tcPr>
          <w:p w14:paraId="685F91E4">
            <w:pPr>
              <w:widowControl/>
              <w:rPr>
                <w:rFonts w:ascii="宋体" w:hAnsi="宋体"/>
                <w:color w:val="auto"/>
                <w:kern w:val="0"/>
                <w:sz w:val="22"/>
                <w:szCs w:val="22"/>
              </w:rPr>
            </w:pPr>
            <w:r>
              <w:rPr>
                <w:rFonts w:hint="eastAsia" w:ascii="宋体" w:hAnsi="宋体"/>
                <w:color w:val="auto"/>
                <w:kern w:val="0"/>
                <w:sz w:val="22"/>
                <w:szCs w:val="22"/>
              </w:rPr>
              <w:t xml:space="preserve">a) 产品表面不应有凹痕、划伤、裂缝、变形和污染等。表面涂层均匀，不应起泡、龟裂、脱落和磨损，金属零部件无锈蚀及其它机械损伤； </w:t>
            </w:r>
            <w:r>
              <w:rPr>
                <w:rFonts w:hint="eastAsia" w:ascii="宋体" w:hAnsi="宋体"/>
                <w:color w:val="auto"/>
                <w:kern w:val="0"/>
                <w:sz w:val="22"/>
                <w:szCs w:val="22"/>
              </w:rPr>
              <w:br w:type="textWrapping"/>
            </w:r>
            <w:r>
              <w:rPr>
                <w:rFonts w:hint="eastAsia" w:ascii="宋体" w:hAnsi="宋体"/>
                <w:color w:val="auto"/>
                <w:kern w:val="0"/>
                <w:sz w:val="22"/>
                <w:szCs w:val="22"/>
              </w:rPr>
              <w:t>b) 产品表面说明功能的文字、符号、标志，应清晰、端正、牢固</w:t>
            </w:r>
          </w:p>
        </w:tc>
      </w:tr>
      <w:tr w14:paraId="30E6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3F48BCF3">
            <w:pPr>
              <w:widowControl/>
              <w:rPr>
                <w:rFonts w:ascii="宋体" w:hAnsi="宋体"/>
                <w:color w:val="auto"/>
                <w:kern w:val="0"/>
                <w:sz w:val="22"/>
                <w:szCs w:val="22"/>
              </w:rPr>
            </w:pPr>
            <w:r>
              <w:rPr>
                <w:rFonts w:hint="eastAsia" w:ascii="宋体" w:hAnsi="宋体"/>
                <w:color w:val="auto"/>
                <w:kern w:val="0"/>
                <w:sz w:val="22"/>
                <w:szCs w:val="22"/>
              </w:rPr>
              <w:t>72</w:t>
            </w:r>
          </w:p>
        </w:tc>
        <w:tc>
          <w:tcPr>
            <w:tcW w:w="0" w:type="auto"/>
            <w:vMerge w:val="continue"/>
            <w:tcBorders>
              <w:top w:val="nil"/>
              <w:left w:val="single" w:color="auto" w:sz="4" w:space="0"/>
              <w:bottom w:val="single" w:color="auto" w:sz="4" w:space="0"/>
              <w:right w:val="single" w:color="auto" w:sz="4" w:space="0"/>
            </w:tcBorders>
            <w:vAlign w:val="center"/>
          </w:tcPr>
          <w:p w14:paraId="2716999C">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6393C2A6">
            <w:pPr>
              <w:widowControl/>
              <w:rPr>
                <w:rFonts w:ascii="宋体" w:hAnsi="宋体"/>
                <w:color w:val="auto"/>
                <w:kern w:val="0"/>
                <w:sz w:val="22"/>
                <w:szCs w:val="22"/>
              </w:rPr>
            </w:pPr>
            <w:r>
              <w:rPr>
                <w:rFonts w:hint="eastAsia" w:ascii="宋体" w:hAnsi="宋体"/>
                <w:color w:val="auto"/>
                <w:kern w:val="0"/>
                <w:sz w:val="22"/>
                <w:szCs w:val="22"/>
              </w:rPr>
              <w:t xml:space="preserve"> ▲状态指示灯</w:t>
            </w:r>
          </w:p>
        </w:tc>
        <w:tc>
          <w:tcPr>
            <w:tcW w:w="2740" w:type="pct"/>
            <w:tcBorders>
              <w:top w:val="single" w:color="auto" w:sz="4" w:space="0"/>
              <w:left w:val="single" w:color="auto" w:sz="4" w:space="0"/>
              <w:bottom w:val="single" w:color="auto" w:sz="4" w:space="0"/>
              <w:right w:val="single" w:color="auto" w:sz="4" w:space="0"/>
            </w:tcBorders>
          </w:tcPr>
          <w:p w14:paraId="3D74A7B3">
            <w:pPr>
              <w:widowControl/>
              <w:rPr>
                <w:rFonts w:ascii="宋体" w:hAnsi="宋体"/>
                <w:color w:val="auto"/>
                <w:kern w:val="0"/>
                <w:sz w:val="22"/>
                <w:szCs w:val="22"/>
              </w:rPr>
            </w:pPr>
            <w:r>
              <w:rPr>
                <w:rFonts w:hint="eastAsia" w:ascii="宋体" w:hAnsi="宋体"/>
                <w:color w:val="auto"/>
                <w:kern w:val="0"/>
                <w:sz w:val="22"/>
                <w:szCs w:val="22"/>
              </w:rPr>
              <w:t>在产品显著位置提供状态指示功能，如运行状态，并由供应商提供详细参数</w:t>
            </w:r>
          </w:p>
        </w:tc>
      </w:tr>
      <w:tr w14:paraId="7B04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13338F2F">
            <w:pPr>
              <w:widowControl/>
              <w:rPr>
                <w:rFonts w:ascii="宋体" w:hAnsi="宋体"/>
                <w:color w:val="auto"/>
                <w:kern w:val="0"/>
                <w:sz w:val="22"/>
                <w:szCs w:val="22"/>
              </w:rPr>
            </w:pPr>
            <w:r>
              <w:rPr>
                <w:rFonts w:hint="eastAsia" w:ascii="宋体" w:hAnsi="宋体"/>
                <w:color w:val="auto"/>
                <w:kern w:val="0"/>
                <w:sz w:val="22"/>
                <w:szCs w:val="22"/>
              </w:rPr>
              <w:t>73</w:t>
            </w:r>
          </w:p>
        </w:tc>
        <w:tc>
          <w:tcPr>
            <w:tcW w:w="0" w:type="auto"/>
            <w:vMerge w:val="continue"/>
            <w:tcBorders>
              <w:top w:val="nil"/>
              <w:left w:val="single" w:color="auto" w:sz="4" w:space="0"/>
              <w:bottom w:val="single" w:color="auto" w:sz="4" w:space="0"/>
              <w:right w:val="single" w:color="auto" w:sz="4" w:space="0"/>
            </w:tcBorders>
            <w:vAlign w:val="center"/>
          </w:tcPr>
          <w:p w14:paraId="60AC70D8">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6ED02074">
            <w:pPr>
              <w:widowControl/>
              <w:rPr>
                <w:rFonts w:ascii="宋体" w:hAnsi="宋体"/>
                <w:color w:val="auto"/>
                <w:kern w:val="0"/>
                <w:sz w:val="22"/>
                <w:szCs w:val="22"/>
              </w:rPr>
            </w:pPr>
            <w:r>
              <w:rPr>
                <w:rFonts w:hint="eastAsia" w:ascii="宋体" w:hAnsi="宋体"/>
                <w:color w:val="auto"/>
                <w:kern w:val="0"/>
                <w:sz w:val="22"/>
                <w:szCs w:val="22"/>
              </w:rPr>
              <w:t xml:space="preserve"> ▲整机结构</w:t>
            </w:r>
          </w:p>
        </w:tc>
        <w:tc>
          <w:tcPr>
            <w:tcW w:w="2740" w:type="pct"/>
            <w:tcBorders>
              <w:top w:val="single" w:color="auto" w:sz="4" w:space="0"/>
              <w:left w:val="single" w:color="auto" w:sz="4" w:space="0"/>
              <w:bottom w:val="single" w:color="auto" w:sz="4" w:space="0"/>
              <w:right w:val="single" w:color="auto" w:sz="4" w:space="0"/>
            </w:tcBorders>
          </w:tcPr>
          <w:p w14:paraId="1FB166E4">
            <w:pPr>
              <w:widowControl/>
              <w:rPr>
                <w:rFonts w:ascii="宋体" w:hAnsi="宋体"/>
                <w:color w:val="auto"/>
                <w:kern w:val="0"/>
                <w:sz w:val="22"/>
                <w:szCs w:val="22"/>
              </w:rPr>
            </w:pPr>
            <w:r>
              <w:rPr>
                <w:rFonts w:hint="eastAsia" w:ascii="宋体" w:hAnsi="宋体"/>
                <w:color w:val="auto"/>
                <w:kern w:val="0"/>
                <w:sz w:val="22"/>
                <w:szCs w:val="22"/>
              </w:rPr>
              <w:t>a) 机箱应符合GB/T 4208、GB/T 26246 的相关规定；</w:t>
            </w:r>
          </w:p>
          <w:p w14:paraId="5371C8A3">
            <w:pPr>
              <w:widowControl/>
              <w:rPr>
                <w:rFonts w:ascii="宋体" w:hAnsi="宋体"/>
                <w:color w:val="auto"/>
                <w:kern w:val="0"/>
                <w:sz w:val="22"/>
                <w:szCs w:val="22"/>
              </w:rPr>
            </w:pPr>
            <w:r>
              <w:rPr>
                <w:rFonts w:hint="eastAsia" w:ascii="宋体" w:hAnsi="宋体"/>
                <w:color w:val="auto"/>
                <w:kern w:val="0"/>
                <w:sz w:val="22"/>
                <w:szCs w:val="22"/>
              </w:rPr>
              <w:t>b) 产品内部结构应符合通用部件的安装需求；</w:t>
            </w:r>
          </w:p>
          <w:p w14:paraId="1016A088">
            <w:pPr>
              <w:widowControl/>
              <w:rPr>
                <w:rFonts w:ascii="宋体" w:hAnsi="宋体"/>
                <w:color w:val="auto"/>
                <w:kern w:val="0"/>
                <w:sz w:val="22"/>
                <w:szCs w:val="22"/>
              </w:rPr>
            </w:pPr>
            <w:r>
              <w:rPr>
                <w:rFonts w:hint="eastAsia" w:ascii="宋体" w:hAnsi="宋体"/>
                <w:color w:val="auto"/>
                <w:kern w:val="0"/>
                <w:sz w:val="22"/>
                <w:szCs w:val="22"/>
              </w:rPr>
              <w:t xml:space="preserve">c) 所有输入输出接口应符合相关国家或行业标准； </w:t>
            </w:r>
          </w:p>
          <w:p w14:paraId="120B8611">
            <w:pPr>
              <w:widowControl/>
              <w:rPr>
                <w:rFonts w:ascii="宋体" w:hAnsi="宋体"/>
                <w:color w:val="auto"/>
                <w:kern w:val="0"/>
                <w:sz w:val="22"/>
                <w:szCs w:val="22"/>
              </w:rPr>
            </w:pPr>
            <w:r>
              <w:rPr>
                <w:rFonts w:hint="eastAsia" w:ascii="宋体" w:hAnsi="宋体"/>
                <w:color w:val="auto"/>
                <w:kern w:val="0"/>
                <w:sz w:val="22"/>
                <w:szCs w:val="22"/>
              </w:rPr>
              <w:t xml:space="preserve">d) 产品零部件应紧固无松动，可插拔部件应可靠连接，开关、按钮和其它控制部件应灵活可靠，布局应方便使用； </w:t>
            </w:r>
          </w:p>
          <w:p w14:paraId="33641E82">
            <w:pPr>
              <w:widowControl/>
              <w:rPr>
                <w:rFonts w:ascii="宋体" w:hAnsi="宋体"/>
                <w:color w:val="auto"/>
                <w:kern w:val="0"/>
                <w:sz w:val="22"/>
                <w:szCs w:val="22"/>
              </w:rPr>
            </w:pPr>
            <w:r>
              <w:rPr>
                <w:rFonts w:hint="eastAsia" w:ascii="宋体" w:hAnsi="宋体"/>
                <w:color w:val="auto"/>
                <w:kern w:val="0"/>
                <w:sz w:val="22"/>
                <w:szCs w:val="22"/>
              </w:rPr>
              <w:t xml:space="preserve">e) 所有I/O连接器及需插接线缆的部位应预留采购人操作空间，方便插拔解锁与插拔线缆； </w:t>
            </w:r>
          </w:p>
          <w:p w14:paraId="317DC292">
            <w:pPr>
              <w:widowControl/>
              <w:rPr>
                <w:rFonts w:ascii="宋体" w:hAnsi="宋体"/>
                <w:color w:val="auto"/>
                <w:kern w:val="0"/>
                <w:sz w:val="22"/>
                <w:szCs w:val="22"/>
              </w:rPr>
            </w:pPr>
            <w:r>
              <w:rPr>
                <w:rFonts w:hint="eastAsia" w:ascii="宋体" w:hAnsi="宋体"/>
                <w:color w:val="auto"/>
                <w:kern w:val="0"/>
                <w:sz w:val="22"/>
                <w:szCs w:val="22"/>
              </w:rPr>
              <w:t xml:space="preserve">f) 可插拔板卡插槽部位应预留安装、拆卸或更换板卡空间； </w:t>
            </w:r>
          </w:p>
          <w:p w14:paraId="21461A44">
            <w:pPr>
              <w:widowControl/>
              <w:rPr>
                <w:rFonts w:ascii="宋体" w:hAnsi="宋体"/>
                <w:color w:val="auto"/>
                <w:kern w:val="0"/>
                <w:sz w:val="22"/>
                <w:szCs w:val="22"/>
              </w:rPr>
            </w:pPr>
            <w:r>
              <w:rPr>
                <w:rFonts w:hint="eastAsia" w:ascii="宋体" w:hAnsi="宋体"/>
                <w:color w:val="auto"/>
                <w:kern w:val="0"/>
                <w:sz w:val="22"/>
                <w:szCs w:val="22"/>
              </w:rPr>
              <w:t xml:space="preserve">g) 拆装可能接触到的金属剪口或金属尖角部位应做防划伤处理，以保证安全； </w:t>
            </w:r>
          </w:p>
          <w:p w14:paraId="6994DBD0">
            <w:pPr>
              <w:widowControl/>
              <w:rPr>
                <w:rFonts w:ascii="宋体" w:hAnsi="宋体"/>
                <w:color w:val="auto"/>
                <w:kern w:val="0"/>
                <w:sz w:val="22"/>
                <w:szCs w:val="22"/>
              </w:rPr>
            </w:pPr>
            <w:r>
              <w:rPr>
                <w:rFonts w:hint="eastAsia" w:ascii="宋体" w:hAnsi="宋体"/>
                <w:color w:val="auto"/>
                <w:kern w:val="0"/>
                <w:sz w:val="22"/>
                <w:szCs w:val="22"/>
              </w:rPr>
              <w:t xml:space="preserve">h) 整机内部走线应规整，固线结构和位置要合理可靠并做防割线处理，需便于理线和插拔操作，走线应不影响系统各主要部件组装和拆卸； </w:t>
            </w:r>
          </w:p>
          <w:p w14:paraId="13642F3A">
            <w:pPr>
              <w:widowControl/>
              <w:rPr>
                <w:rFonts w:ascii="宋体" w:hAnsi="宋体"/>
                <w:color w:val="auto"/>
                <w:kern w:val="0"/>
                <w:sz w:val="22"/>
                <w:szCs w:val="22"/>
              </w:rPr>
            </w:pPr>
            <w:r>
              <w:rPr>
                <w:rFonts w:hint="eastAsia" w:ascii="宋体" w:hAnsi="宋体"/>
                <w:color w:val="auto"/>
                <w:kern w:val="0"/>
                <w:sz w:val="22"/>
                <w:szCs w:val="22"/>
              </w:rPr>
              <w:t xml:space="preserve">i) 如需通过孔走线，过线孔应做防割线处理； </w:t>
            </w:r>
          </w:p>
          <w:p w14:paraId="2ED1A68B">
            <w:pPr>
              <w:widowControl/>
              <w:rPr>
                <w:rFonts w:ascii="宋体" w:hAnsi="宋体"/>
                <w:color w:val="auto"/>
                <w:kern w:val="0"/>
                <w:sz w:val="22"/>
                <w:szCs w:val="22"/>
              </w:rPr>
            </w:pPr>
            <w:r>
              <w:rPr>
                <w:rFonts w:hint="eastAsia" w:ascii="宋体" w:hAnsi="宋体"/>
                <w:color w:val="auto"/>
                <w:kern w:val="0"/>
                <w:sz w:val="22"/>
                <w:szCs w:val="22"/>
              </w:rPr>
              <w:t xml:space="preserve">j) 各插头位置和插拔方向应合理，应做到插拔无障碍设计，具备防呆设计，有效避免误操作； </w:t>
            </w:r>
          </w:p>
          <w:p w14:paraId="132ED76C">
            <w:pPr>
              <w:widowControl/>
              <w:rPr>
                <w:rFonts w:ascii="宋体" w:hAnsi="宋体"/>
                <w:color w:val="auto"/>
                <w:kern w:val="0"/>
                <w:sz w:val="22"/>
                <w:szCs w:val="22"/>
              </w:rPr>
            </w:pPr>
            <w:r>
              <w:rPr>
                <w:rFonts w:hint="eastAsia" w:ascii="宋体" w:hAnsi="宋体"/>
                <w:color w:val="auto"/>
                <w:kern w:val="0"/>
                <w:sz w:val="22"/>
                <w:szCs w:val="22"/>
              </w:rPr>
              <w:t xml:space="preserve">k) 各主要部件拆装无障碍，使用常规工具拆装，无特殊拆装工具需求； </w:t>
            </w:r>
          </w:p>
          <w:p w14:paraId="7A1FA7F3">
            <w:pPr>
              <w:widowControl/>
              <w:rPr>
                <w:rFonts w:ascii="宋体" w:hAnsi="宋体"/>
                <w:color w:val="auto"/>
                <w:kern w:val="0"/>
                <w:sz w:val="22"/>
                <w:szCs w:val="22"/>
              </w:rPr>
            </w:pPr>
            <w:r>
              <w:rPr>
                <w:rFonts w:hint="eastAsia" w:ascii="宋体" w:hAnsi="宋体"/>
                <w:color w:val="auto"/>
                <w:kern w:val="0"/>
                <w:sz w:val="22"/>
                <w:szCs w:val="22"/>
              </w:rPr>
              <w:t xml:space="preserve">l) 各主要部件拆装步骤要少，各自拆装需避免相互干扰； </w:t>
            </w:r>
          </w:p>
          <w:p w14:paraId="5F15ECD6">
            <w:pPr>
              <w:widowControl/>
              <w:rPr>
                <w:rFonts w:ascii="宋体" w:hAnsi="宋体"/>
                <w:color w:val="auto"/>
                <w:kern w:val="0"/>
                <w:sz w:val="22"/>
                <w:szCs w:val="22"/>
              </w:rPr>
            </w:pPr>
            <w:r>
              <w:rPr>
                <w:rFonts w:hint="eastAsia" w:ascii="宋体" w:hAnsi="宋体"/>
                <w:color w:val="auto"/>
                <w:kern w:val="0"/>
                <w:sz w:val="22"/>
                <w:szCs w:val="22"/>
              </w:rPr>
              <w:t>m) 对于整机或零部件外表面为高亮面的，应粘贴保护膜，保护膜需粘贴牢固，运输、组装等过程不易脱落，撕下无残留；</w:t>
            </w:r>
          </w:p>
          <w:p w14:paraId="25A18F50">
            <w:pPr>
              <w:widowControl/>
              <w:rPr>
                <w:rFonts w:ascii="宋体" w:hAnsi="宋体"/>
                <w:color w:val="auto"/>
                <w:kern w:val="0"/>
                <w:sz w:val="22"/>
                <w:szCs w:val="22"/>
              </w:rPr>
            </w:pPr>
            <w:r>
              <w:rPr>
                <w:rFonts w:hint="eastAsia" w:ascii="宋体" w:hAnsi="宋体"/>
                <w:color w:val="auto"/>
                <w:kern w:val="0"/>
                <w:sz w:val="22"/>
                <w:szCs w:val="22"/>
              </w:rPr>
              <w:t>n) 其它要求应符合GB/T 9813.1的相关规定</w:t>
            </w:r>
          </w:p>
        </w:tc>
      </w:tr>
      <w:tr w14:paraId="5ECA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33FA04BC">
            <w:pPr>
              <w:widowControl/>
              <w:rPr>
                <w:rFonts w:ascii="宋体" w:hAnsi="宋体"/>
                <w:color w:val="auto"/>
                <w:kern w:val="0"/>
                <w:sz w:val="22"/>
                <w:szCs w:val="22"/>
              </w:rPr>
            </w:pPr>
            <w:r>
              <w:rPr>
                <w:rFonts w:hint="eastAsia" w:ascii="宋体" w:hAnsi="宋体"/>
                <w:color w:val="auto"/>
                <w:kern w:val="0"/>
                <w:sz w:val="22"/>
                <w:szCs w:val="22"/>
              </w:rPr>
              <w:t>74</w:t>
            </w:r>
          </w:p>
        </w:tc>
        <w:tc>
          <w:tcPr>
            <w:tcW w:w="0" w:type="auto"/>
            <w:vMerge w:val="continue"/>
            <w:tcBorders>
              <w:top w:val="nil"/>
              <w:left w:val="single" w:color="auto" w:sz="4" w:space="0"/>
              <w:bottom w:val="single" w:color="auto" w:sz="4" w:space="0"/>
              <w:right w:val="single" w:color="auto" w:sz="4" w:space="0"/>
            </w:tcBorders>
            <w:vAlign w:val="center"/>
          </w:tcPr>
          <w:p w14:paraId="423DA44B">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7794E31D">
            <w:pPr>
              <w:widowControl/>
              <w:rPr>
                <w:rFonts w:ascii="宋体" w:hAnsi="宋体"/>
                <w:color w:val="auto"/>
                <w:kern w:val="0"/>
                <w:sz w:val="22"/>
                <w:szCs w:val="22"/>
              </w:rPr>
            </w:pPr>
            <w:r>
              <w:rPr>
                <w:rFonts w:hint="eastAsia" w:ascii="宋体" w:hAnsi="宋体"/>
                <w:color w:val="auto"/>
                <w:kern w:val="0"/>
                <w:sz w:val="22"/>
                <w:szCs w:val="22"/>
              </w:rPr>
              <w:t xml:space="preserve"> ▲机箱防护要求</w:t>
            </w:r>
          </w:p>
        </w:tc>
        <w:tc>
          <w:tcPr>
            <w:tcW w:w="2740" w:type="pct"/>
            <w:tcBorders>
              <w:top w:val="single" w:color="auto" w:sz="4" w:space="0"/>
              <w:left w:val="single" w:color="auto" w:sz="4" w:space="0"/>
              <w:bottom w:val="single" w:color="auto" w:sz="4" w:space="0"/>
              <w:right w:val="single" w:color="auto" w:sz="4" w:space="0"/>
            </w:tcBorders>
          </w:tcPr>
          <w:p w14:paraId="6B062EBD">
            <w:pPr>
              <w:widowControl/>
              <w:rPr>
                <w:rFonts w:ascii="宋体" w:hAnsi="宋体"/>
                <w:color w:val="auto"/>
                <w:kern w:val="0"/>
                <w:sz w:val="22"/>
                <w:szCs w:val="22"/>
              </w:rPr>
            </w:pPr>
            <w:r>
              <w:rPr>
                <w:rFonts w:hint="eastAsia" w:ascii="宋体" w:hAnsi="宋体"/>
                <w:color w:val="auto"/>
                <w:kern w:val="0"/>
                <w:sz w:val="22"/>
                <w:szCs w:val="22"/>
              </w:rPr>
              <w:t>机箱应符合GB/T 4208中IP20防护要求</w:t>
            </w:r>
          </w:p>
        </w:tc>
      </w:tr>
      <w:tr w14:paraId="7B45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067A80FE">
            <w:pPr>
              <w:widowControl/>
              <w:rPr>
                <w:rFonts w:ascii="宋体" w:hAnsi="宋体"/>
                <w:color w:val="auto"/>
                <w:kern w:val="0"/>
                <w:sz w:val="22"/>
                <w:szCs w:val="22"/>
              </w:rPr>
            </w:pPr>
            <w:r>
              <w:rPr>
                <w:rFonts w:hint="eastAsia" w:ascii="宋体" w:hAnsi="宋体"/>
                <w:color w:val="auto"/>
                <w:kern w:val="0"/>
                <w:sz w:val="22"/>
                <w:szCs w:val="22"/>
              </w:rPr>
              <w:t>75</w:t>
            </w:r>
          </w:p>
        </w:tc>
        <w:tc>
          <w:tcPr>
            <w:tcW w:w="0" w:type="auto"/>
            <w:vMerge w:val="continue"/>
            <w:tcBorders>
              <w:top w:val="nil"/>
              <w:left w:val="single" w:color="auto" w:sz="4" w:space="0"/>
              <w:bottom w:val="single" w:color="auto" w:sz="4" w:space="0"/>
              <w:right w:val="single" w:color="auto" w:sz="4" w:space="0"/>
            </w:tcBorders>
            <w:vAlign w:val="center"/>
          </w:tcPr>
          <w:p w14:paraId="7C07C62B">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36F790A0">
            <w:pPr>
              <w:widowControl/>
              <w:rPr>
                <w:rFonts w:ascii="宋体" w:hAnsi="宋体"/>
                <w:color w:val="auto"/>
                <w:kern w:val="0"/>
                <w:sz w:val="22"/>
                <w:szCs w:val="22"/>
              </w:rPr>
            </w:pPr>
            <w:r>
              <w:rPr>
                <w:rFonts w:hint="eastAsia" w:ascii="宋体" w:hAnsi="宋体"/>
                <w:color w:val="auto"/>
                <w:kern w:val="0"/>
                <w:sz w:val="22"/>
                <w:szCs w:val="22"/>
              </w:rPr>
              <w:t xml:space="preserve"> ▲整机噪音</w:t>
            </w:r>
          </w:p>
        </w:tc>
        <w:tc>
          <w:tcPr>
            <w:tcW w:w="2740" w:type="pct"/>
            <w:tcBorders>
              <w:top w:val="single" w:color="auto" w:sz="4" w:space="0"/>
              <w:left w:val="single" w:color="auto" w:sz="4" w:space="0"/>
              <w:bottom w:val="single" w:color="auto" w:sz="4" w:space="0"/>
              <w:right w:val="single" w:color="auto" w:sz="4" w:space="0"/>
            </w:tcBorders>
          </w:tcPr>
          <w:p w14:paraId="7E864A53">
            <w:pPr>
              <w:widowControl/>
              <w:rPr>
                <w:rFonts w:ascii="宋体" w:hAnsi="宋体"/>
                <w:color w:val="auto"/>
                <w:kern w:val="0"/>
                <w:sz w:val="22"/>
                <w:szCs w:val="22"/>
              </w:rPr>
            </w:pPr>
            <w:r>
              <w:rPr>
                <w:rFonts w:hint="eastAsia" w:ascii="宋体" w:hAnsi="宋体"/>
                <w:color w:val="auto"/>
                <w:kern w:val="0"/>
                <w:sz w:val="22"/>
                <w:szCs w:val="22"/>
              </w:rPr>
              <w:t>产品工作在空闲状态下，产品的声功率级应不超过 12 分贝（1.2Bel 贝尔）</w:t>
            </w:r>
          </w:p>
        </w:tc>
      </w:tr>
      <w:tr w14:paraId="772F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47" w:type="pct"/>
            <w:tcBorders>
              <w:top w:val="single" w:color="auto" w:sz="4" w:space="0"/>
              <w:left w:val="single" w:color="auto" w:sz="4" w:space="0"/>
              <w:bottom w:val="single" w:color="auto" w:sz="4" w:space="0"/>
              <w:right w:val="single" w:color="auto" w:sz="4" w:space="0"/>
            </w:tcBorders>
          </w:tcPr>
          <w:p w14:paraId="57A0D753">
            <w:pPr>
              <w:widowControl/>
              <w:rPr>
                <w:rFonts w:ascii="宋体" w:hAnsi="宋体"/>
                <w:color w:val="auto"/>
                <w:kern w:val="0"/>
                <w:sz w:val="22"/>
                <w:szCs w:val="22"/>
              </w:rPr>
            </w:pPr>
            <w:r>
              <w:rPr>
                <w:rFonts w:hint="eastAsia" w:ascii="宋体" w:hAnsi="宋体"/>
                <w:color w:val="auto"/>
                <w:kern w:val="0"/>
                <w:sz w:val="22"/>
                <w:szCs w:val="22"/>
              </w:rPr>
              <w:t>76</w:t>
            </w:r>
          </w:p>
        </w:tc>
        <w:tc>
          <w:tcPr>
            <w:tcW w:w="0" w:type="auto"/>
            <w:vMerge w:val="continue"/>
            <w:tcBorders>
              <w:top w:val="nil"/>
              <w:left w:val="single" w:color="auto" w:sz="4" w:space="0"/>
              <w:bottom w:val="single" w:color="auto" w:sz="4" w:space="0"/>
              <w:right w:val="single" w:color="auto" w:sz="4" w:space="0"/>
            </w:tcBorders>
            <w:vAlign w:val="center"/>
          </w:tcPr>
          <w:p w14:paraId="6AC6A464">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0B9ED31">
            <w:pPr>
              <w:widowControl/>
              <w:rPr>
                <w:rFonts w:ascii="宋体" w:hAnsi="宋体"/>
                <w:color w:val="auto"/>
                <w:kern w:val="0"/>
                <w:sz w:val="22"/>
                <w:szCs w:val="22"/>
              </w:rPr>
            </w:pPr>
            <w:r>
              <w:rPr>
                <w:rFonts w:hint="eastAsia" w:ascii="宋体" w:hAnsi="宋体"/>
                <w:color w:val="auto"/>
                <w:kern w:val="0"/>
                <w:sz w:val="22"/>
                <w:szCs w:val="22"/>
              </w:rPr>
              <w:t xml:space="preserve"> ▲整机散热</w:t>
            </w:r>
          </w:p>
        </w:tc>
        <w:tc>
          <w:tcPr>
            <w:tcW w:w="2740" w:type="pct"/>
            <w:tcBorders>
              <w:top w:val="single" w:color="auto" w:sz="4" w:space="0"/>
              <w:left w:val="single" w:color="auto" w:sz="4" w:space="0"/>
              <w:bottom w:val="single" w:color="auto" w:sz="4" w:space="0"/>
              <w:right w:val="single" w:color="auto" w:sz="4" w:space="0"/>
            </w:tcBorders>
          </w:tcPr>
          <w:p w14:paraId="65F7A366">
            <w:pPr>
              <w:widowControl/>
              <w:rPr>
                <w:rFonts w:ascii="宋体" w:hAnsi="宋体"/>
                <w:color w:val="auto"/>
                <w:kern w:val="0"/>
                <w:sz w:val="22"/>
                <w:szCs w:val="22"/>
              </w:rPr>
            </w:pPr>
            <w:r>
              <w:rPr>
                <w:rFonts w:hint="eastAsia" w:ascii="宋体" w:hAnsi="宋体"/>
                <w:color w:val="auto"/>
                <w:kern w:val="0"/>
                <w:sz w:val="22"/>
                <w:szCs w:val="22"/>
              </w:rPr>
              <w:t xml:space="preserve">在环境温度25℃及处理器满载情况下，产品表面温度应符合如下要求： </w:t>
            </w:r>
            <w:r>
              <w:rPr>
                <w:rFonts w:hint="eastAsia" w:ascii="宋体" w:hAnsi="宋体"/>
                <w:color w:val="auto"/>
                <w:kern w:val="0"/>
                <w:sz w:val="22"/>
                <w:szCs w:val="22"/>
              </w:rPr>
              <w:br w:type="textWrapping"/>
            </w:r>
            <w:r>
              <w:rPr>
                <w:rFonts w:hint="eastAsia" w:ascii="宋体" w:hAnsi="宋体"/>
                <w:color w:val="auto"/>
                <w:kern w:val="0"/>
                <w:sz w:val="22"/>
                <w:szCs w:val="22"/>
              </w:rPr>
              <w:t>a) 出风口在机箱后面板情况下，出风口温度不高于55℃；</w:t>
            </w:r>
            <w:r>
              <w:rPr>
                <w:rFonts w:hint="eastAsia" w:ascii="宋体" w:hAnsi="宋体"/>
                <w:color w:val="auto"/>
                <w:kern w:val="0"/>
                <w:sz w:val="22"/>
                <w:szCs w:val="22"/>
              </w:rPr>
              <w:br w:type="textWrapping"/>
            </w:r>
            <w:r>
              <w:rPr>
                <w:rFonts w:hint="eastAsia" w:ascii="宋体" w:hAnsi="宋体"/>
                <w:color w:val="auto"/>
                <w:kern w:val="0"/>
                <w:sz w:val="22"/>
                <w:szCs w:val="22"/>
              </w:rPr>
              <w:t xml:space="preserve">b) 可触及面温度不高于45℃； </w:t>
            </w:r>
            <w:r>
              <w:rPr>
                <w:rFonts w:hint="eastAsia" w:ascii="宋体" w:hAnsi="宋体"/>
                <w:color w:val="auto"/>
                <w:kern w:val="0"/>
                <w:sz w:val="22"/>
                <w:szCs w:val="22"/>
              </w:rPr>
              <w:br w:type="textWrapping"/>
            </w:r>
            <w:r>
              <w:rPr>
                <w:rFonts w:hint="eastAsia" w:ascii="宋体" w:hAnsi="宋体"/>
                <w:color w:val="auto"/>
                <w:kern w:val="0"/>
                <w:sz w:val="22"/>
                <w:szCs w:val="22"/>
              </w:rPr>
              <w:t>c) 显示器表面温度：显示屏不高于38℃，显示屏上下灯带位置温度（如涉及）不高于40℃，出风口温度不高于45℃</w:t>
            </w:r>
          </w:p>
        </w:tc>
      </w:tr>
      <w:tr w14:paraId="6D5D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0F055964">
            <w:pPr>
              <w:widowControl/>
              <w:rPr>
                <w:rFonts w:ascii="宋体" w:hAnsi="宋体"/>
                <w:color w:val="auto"/>
                <w:kern w:val="0"/>
                <w:sz w:val="22"/>
                <w:szCs w:val="22"/>
              </w:rPr>
            </w:pPr>
            <w:r>
              <w:rPr>
                <w:rFonts w:hint="eastAsia" w:ascii="宋体" w:hAnsi="宋体"/>
                <w:color w:val="auto"/>
                <w:kern w:val="0"/>
                <w:sz w:val="22"/>
                <w:szCs w:val="22"/>
              </w:rPr>
              <w:t>77</w:t>
            </w:r>
          </w:p>
        </w:tc>
        <w:tc>
          <w:tcPr>
            <w:tcW w:w="0" w:type="auto"/>
            <w:vMerge w:val="continue"/>
            <w:tcBorders>
              <w:top w:val="nil"/>
              <w:left w:val="single" w:color="auto" w:sz="4" w:space="0"/>
              <w:bottom w:val="single" w:color="auto" w:sz="4" w:space="0"/>
              <w:right w:val="single" w:color="auto" w:sz="4" w:space="0"/>
            </w:tcBorders>
            <w:vAlign w:val="center"/>
          </w:tcPr>
          <w:p w14:paraId="65495D6E">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7FED6354">
            <w:pPr>
              <w:widowControl/>
              <w:rPr>
                <w:rFonts w:ascii="宋体" w:hAnsi="宋体"/>
                <w:color w:val="auto"/>
                <w:kern w:val="0"/>
                <w:sz w:val="22"/>
                <w:szCs w:val="22"/>
              </w:rPr>
            </w:pPr>
            <w:r>
              <w:rPr>
                <w:rFonts w:hint="eastAsia" w:ascii="宋体" w:hAnsi="宋体"/>
                <w:color w:val="auto"/>
                <w:kern w:val="0"/>
                <w:sz w:val="22"/>
                <w:szCs w:val="22"/>
              </w:rPr>
              <w:t xml:space="preserve"> ▲整机能效限定值</w:t>
            </w:r>
          </w:p>
        </w:tc>
        <w:tc>
          <w:tcPr>
            <w:tcW w:w="2740" w:type="pct"/>
            <w:tcBorders>
              <w:top w:val="single" w:color="auto" w:sz="4" w:space="0"/>
              <w:left w:val="single" w:color="auto" w:sz="4" w:space="0"/>
              <w:bottom w:val="single" w:color="auto" w:sz="4" w:space="0"/>
              <w:right w:val="single" w:color="auto" w:sz="4" w:space="0"/>
            </w:tcBorders>
          </w:tcPr>
          <w:p w14:paraId="1ED2E19D">
            <w:pPr>
              <w:widowControl/>
              <w:rPr>
                <w:rFonts w:ascii="宋体" w:hAnsi="宋体"/>
                <w:color w:val="auto"/>
                <w:kern w:val="0"/>
                <w:sz w:val="22"/>
                <w:szCs w:val="22"/>
              </w:rPr>
            </w:pPr>
            <w:r>
              <w:rPr>
                <w:rFonts w:hint="eastAsia" w:ascii="宋体" w:hAnsi="宋体"/>
                <w:color w:val="auto"/>
                <w:kern w:val="0"/>
                <w:sz w:val="22"/>
                <w:szCs w:val="22"/>
              </w:rPr>
              <w:t>产品能效限定值应达到GB 28380-2012 标准中能效等级2级及以上</w:t>
            </w:r>
          </w:p>
        </w:tc>
      </w:tr>
      <w:tr w14:paraId="69E8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6800B24C">
            <w:pPr>
              <w:widowControl/>
              <w:rPr>
                <w:rFonts w:ascii="宋体" w:hAnsi="宋体"/>
                <w:color w:val="auto"/>
                <w:kern w:val="0"/>
                <w:sz w:val="22"/>
                <w:szCs w:val="22"/>
              </w:rPr>
            </w:pPr>
            <w:r>
              <w:rPr>
                <w:rFonts w:hint="eastAsia" w:ascii="宋体" w:hAnsi="宋体"/>
                <w:color w:val="auto"/>
                <w:kern w:val="0"/>
                <w:sz w:val="22"/>
                <w:szCs w:val="22"/>
              </w:rPr>
              <w:t>78</w:t>
            </w:r>
          </w:p>
        </w:tc>
        <w:tc>
          <w:tcPr>
            <w:tcW w:w="0" w:type="auto"/>
            <w:vMerge w:val="continue"/>
            <w:tcBorders>
              <w:top w:val="nil"/>
              <w:left w:val="single" w:color="auto" w:sz="4" w:space="0"/>
              <w:bottom w:val="single" w:color="auto" w:sz="4" w:space="0"/>
              <w:right w:val="single" w:color="auto" w:sz="4" w:space="0"/>
            </w:tcBorders>
            <w:vAlign w:val="center"/>
          </w:tcPr>
          <w:p w14:paraId="5DEB2E25">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2EE1124E">
            <w:pPr>
              <w:widowControl/>
              <w:rPr>
                <w:rFonts w:ascii="宋体" w:hAnsi="宋体"/>
                <w:color w:val="auto"/>
                <w:kern w:val="0"/>
                <w:sz w:val="22"/>
                <w:szCs w:val="22"/>
              </w:rPr>
            </w:pPr>
            <w:r>
              <w:rPr>
                <w:rFonts w:hint="eastAsia" w:ascii="宋体" w:hAnsi="宋体"/>
                <w:color w:val="auto"/>
                <w:kern w:val="0"/>
                <w:sz w:val="22"/>
                <w:szCs w:val="22"/>
              </w:rPr>
              <w:t xml:space="preserve"> ▲机身材质</w:t>
            </w:r>
          </w:p>
        </w:tc>
        <w:tc>
          <w:tcPr>
            <w:tcW w:w="2740" w:type="pct"/>
            <w:tcBorders>
              <w:top w:val="single" w:color="auto" w:sz="4" w:space="0"/>
              <w:left w:val="single" w:color="auto" w:sz="4" w:space="0"/>
              <w:bottom w:val="single" w:color="auto" w:sz="4" w:space="0"/>
              <w:right w:val="single" w:color="auto" w:sz="4" w:space="0"/>
            </w:tcBorders>
          </w:tcPr>
          <w:p w14:paraId="4418C9AE">
            <w:pPr>
              <w:widowControl/>
              <w:rPr>
                <w:rFonts w:ascii="宋体" w:hAnsi="宋体"/>
                <w:color w:val="auto"/>
                <w:kern w:val="0"/>
                <w:sz w:val="22"/>
                <w:szCs w:val="22"/>
              </w:rPr>
            </w:pPr>
            <w:r>
              <w:rPr>
                <w:rFonts w:hint="eastAsia" w:ascii="宋体" w:hAnsi="宋体"/>
                <w:color w:val="auto"/>
                <w:kern w:val="0"/>
                <w:sz w:val="22"/>
                <w:szCs w:val="22"/>
              </w:rPr>
              <w:t>塑料/金属</w:t>
            </w:r>
          </w:p>
        </w:tc>
      </w:tr>
      <w:tr w14:paraId="1EEE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47" w:type="pct"/>
            <w:tcBorders>
              <w:top w:val="single" w:color="auto" w:sz="4" w:space="0"/>
              <w:left w:val="single" w:color="auto" w:sz="4" w:space="0"/>
              <w:bottom w:val="single" w:color="auto" w:sz="4" w:space="0"/>
              <w:right w:val="single" w:color="auto" w:sz="4" w:space="0"/>
            </w:tcBorders>
          </w:tcPr>
          <w:p w14:paraId="7CEFDBB7">
            <w:pPr>
              <w:widowControl/>
              <w:rPr>
                <w:rFonts w:ascii="宋体" w:hAnsi="宋体"/>
                <w:color w:val="auto"/>
                <w:kern w:val="0"/>
                <w:sz w:val="22"/>
                <w:szCs w:val="22"/>
              </w:rPr>
            </w:pPr>
            <w:r>
              <w:rPr>
                <w:rFonts w:hint="eastAsia" w:ascii="宋体" w:hAnsi="宋体"/>
                <w:color w:val="auto"/>
                <w:kern w:val="0"/>
                <w:sz w:val="22"/>
                <w:szCs w:val="22"/>
              </w:rPr>
              <w:t>79</w:t>
            </w:r>
          </w:p>
        </w:tc>
        <w:tc>
          <w:tcPr>
            <w:tcW w:w="0" w:type="auto"/>
            <w:vMerge w:val="continue"/>
            <w:tcBorders>
              <w:top w:val="nil"/>
              <w:left w:val="single" w:color="auto" w:sz="4" w:space="0"/>
              <w:bottom w:val="single" w:color="auto" w:sz="4" w:space="0"/>
              <w:right w:val="single" w:color="auto" w:sz="4" w:space="0"/>
            </w:tcBorders>
            <w:vAlign w:val="center"/>
          </w:tcPr>
          <w:p w14:paraId="62B003BE">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15DFD877">
            <w:pPr>
              <w:widowControl/>
              <w:rPr>
                <w:rFonts w:ascii="宋体" w:hAnsi="宋体"/>
                <w:color w:val="auto"/>
                <w:kern w:val="0"/>
                <w:sz w:val="22"/>
                <w:szCs w:val="22"/>
              </w:rPr>
            </w:pPr>
            <w:r>
              <w:rPr>
                <w:rFonts w:hint="eastAsia" w:ascii="宋体" w:hAnsi="宋体"/>
                <w:color w:val="auto"/>
                <w:kern w:val="0"/>
                <w:sz w:val="22"/>
                <w:szCs w:val="22"/>
              </w:rPr>
              <w:t xml:space="preserve"> ▲机身颜色</w:t>
            </w:r>
          </w:p>
        </w:tc>
        <w:tc>
          <w:tcPr>
            <w:tcW w:w="2740" w:type="pct"/>
            <w:tcBorders>
              <w:top w:val="single" w:color="auto" w:sz="4" w:space="0"/>
              <w:left w:val="single" w:color="auto" w:sz="4" w:space="0"/>
              <w:bottom w:val="single" w:color="auto" w:sz="4" w:space="0"/>
              <w:right w:val="single" w:color="auto" w:sz="4" w:space="0"/>
            </w:tcBorders>
          </w:tcPr>
          <w:p w14:paraId="622B3BC9">
            <w:pPr>
              <w:widowControl/>
              <w:rPr>
                <w:rFonts w:ascii="宋体" w:hAnsi="宋体"/>
                <w:color w:val="auto"/>
                <w:kern w:val="0"/>
                <w:sz w:val="22"/>
                <w:szCs w:val="22"/>
              </w:rPr>
            </w:pPr>
            <w:r>
              <w:rPr>
                <w:rFonts w:hint="eastAsia" w:ascii="宋体" w:hAnsi="宋体"/>
                <w:color w:val="auto"/>
                <w:kern w:val="0"/>
                <w:sz w:val="22"/>
                <w:szCs w:val="22"/>
              </w:rPr>
              <w:t>含黑色商务色系</w:t>
            </w:r>
          </w:p>
        </w:tc>
      </w:tr>
      <w:tr w14:paraId="51CB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47" w:type="pct"/>
            <w:tcBorders>
              <w:top w:val="single" w:color="auto" w:sz="4" w:space="0"/>
              <w:left w:val="single" w:color="auto" w:sz="4" w:space="0"/>
              <w:bottom w:val="single" w:color="auto" w:sz="4" w:space="0"/>
              <w:right w:val="single" w:color="auto" w:sz="4" w:space="0"/>
            </w:tcBorders>
          </w:tcPr>
          <w:p w14:paraId="296C8DE8">
            <w:pPr>
              <w:widowControl/>
              <w:rPr>
                <w:rFonts w:ascii="宋体" w:hAnsi="宋体"/>
                <w:color w:val="auto"/>
                <w:kern w:val="0"/>
                <w:sz w:val="22"/>
                <w:szCs w:val="22"/>
              </w:rPr>
            </w:pPr>
            <w:r>
              <w:rPr>
                <w:rFonts w:hint="eastAsia" w:ascii="宋体" w:hAnsi="宋体"/>
                <w:color w:val="auto"/>
                <w:kern w:val="0"/>
                <w:sz w:val="22"/>
                <w:szCs w:val="22"/>
              </w:rPr>
              <w:t>80</w:t>
            </w:r>
          </w:p>
        </w:tc>
        <w:tc>
          <w:tcPr>
            <w:tcW w:w="0" w:type="auto"/>
            <w:vMerge w:val="continue"/>
            <w:tcBorders>
              <w:top w:val="nil"/>
              <w:left w:val="single" w:color="auto" w:sz="4" w:space="0"/>
              <w:bottom w:val="single" w:color="auto" w:sz="4" w:space="0"/>
              <w:right w:val="single" w:color="auto" w:sz="4" w:space="0"/>
            </w:tcBorders>
            <w:vAlign w:val="center"/>
          </w:tcPr>
          <w:p w14:paraId="6D35A9DA">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1360CD6E">
            <w:pPr>
              <w:widowControl/>
              <w:rPr>
                <w:rFonts w:ascii="宋体" w:hAnsi="宋体"/>
                <w:color w:val="auto"/>
                <w:kern w:val="0"/>
                <w:sz w:val="22"/>
                <w:szCs w:val="22"/>
              </w:rPr>
            </w:pPr>
            <w:r>
              <w:rPr>
                <w:rFonts w:hint="eastAsia" w:ascii="宋体" w:hAnsi="宋体"/>
                <w:color w:val="auto"/>
                <w:kern w:val="0"/>
                <w:sz w:val="22"/>
                <w:szCs w:val="22"/>
              </w:rPr>
              <w:t xml:space="preserve"> ▲机箱尺寸容量</w:t>
            </w:r>
          </w:p>
        </w:tc>
        <w:tc>
          <w:tcPr>
            <w:tcW w:w="2740" w:type="pct"/>
            <w:tcBorders>
              <w:top w:val="single" w:color="auto" w:sz="4" w:space="0"/>
              <w:left w:val="single" w:color="auto" w:sz="4" w:space="0"/>
              <w:bottom w:val="single" w:color="auto" w:sz="4" w:space="0"/>
              <w:right w:val="single" w:color="auto" w:sz="4" w:space="0"/>
            </w:tcBorders>
          </w:tcPr>
          <w:p w14:paraId="32910BCA">
            <w:pPr>
              <w:widowControl/>
              <w:rPr>
                <w:rFonts w:ascii="宋体" w:hAnsi="宋体"/>
                <w:color w:val="auto"/>
                <w:kern w:val="0"/>
                <w:sz w:val="22"/>
                <w:szCs w:val="22"/>
              </w:rPr>
            </w:pPr>
            <w:r>
              <w:rPr>
                <w:rFonts w:hint="eastAsia" w:ascii="宋体" w:hAnsi="宋体"/>
                <w:color w:val="auto"/>
                <w:kern w:val="0"/>
                <w:sz w:val="22"/>
                <w:szCs w:val="22"/>
              </w:rPr>
              <w:t>机箱:≤16L</w:t>
            </w:r>
          </w:p>
        </w:tc>
      </w:tr>
      <w:tr w14:paraId="38FC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28AE73DA">
            <w:pPr>
              <w:widowControl/>
              <w:rPr>
                <w:rFonts w:ascii="宋体" w:hAnsi="宋体"/>
                <w:color w:val="auto"/>
                <w:kern w:val="0"/>
                <w:sz w:val="22"/>
                <w:szCs w:val="22"/>
              </w:rPr>
            </w:pPr>
            <w:r>
              <w:rPr>
                <w:rFonts w:hint="eastAsia" w:ascii="宋体" w:hAnsi="宋体"/>
                <w:color w:val="auto"/>
                <w:kern w:val="0"/>
                <w:sz w:val="22"/>
                <w:szCs w:val="22"/>
              </w:rPr>
              <w:t>81</w:t>
            </w:r>
          </w:p>
        </w:tc>
        <w:tc>
          <w:tcPr>
            <w:tcW w:w="555" w:type="pct"/>
            <w:vMerge w:val="restart"/>
            <w:tcBorders>
              <w:top w:val="nil"/>
              <w:left w:val="single" w:color="auto" w:sz="4" w:space="0"/>
              <w:bottom w:val="single" w:color="auto" w:sz="4" w:space="0"/>
              <w:right w:val="single" w:color="auto" w:sz="4" w:space="0"/>
            </w:tcBorders>
            <w:vAlign w:val="center"/>
          </w:tcPr>
          <w:p w14:paraId="3846EC62">
            <w:pPr>
              <w:widowControl/>
              <w:rPr>
                <w:rFonts w:ascii="宋体" w:hAnsi="宋体"/>
                <w:color w:val="auto"/>
                <w:kern w:val="0"/>
                <w:sz w:val="22"/>
                <w:szCs w:val="22"/>
              </w:rPr>
            </w:pPr>
            <w:r>
              <w:rPr>
                <w:rFonts w:hint="eastAsia" w:ascii="宋体" w:hAnsi="宋体"/>
                <w:color w:val="auto"/>
                <w:kern w:val="0"/>
                <w:sz w:val="22"/>
                <w:szCs w:val="22"/>
              </w:rPr>
              <w:t>▲CPU 性能</w:t>
            </w:r>
          </w:p>
        </w:tc>
        <w:tc>
          <w:tcPr>
            <w:tcW w:w="1356" w:type="pct"/>
            <w:tcBorders>
              <w:top w:val="single" w:color="auto" w:sz="4" w:space="0"/>
              <w:left w:val="single" w:color="auto" w:sz="4" w:space="0"/>
              <w:bottom w:val="single" w:color="auto" w:sz="4" w:space="0"/>
              <w:right w:val="single" w:color="auto" w:sz="4" w:space="0"/>
            </w:tcBorders>
          </w:tcPr>
          <w:p w14:paraId="66322836">
            <w:pPr>
              <w:widowControl/>
              <w:rPr>
                <w:rFonts w:ascii="宋体" w:hAnsi="宋体"/>
                <w:color w:val="auto"/>
                <w:kern w:val="0"/>
                <w:sz w:val="22"/>
                <w:szCs w:val="22"/>
              </w:rPr>
            </w:pPr>
            <w:r>
              <w:rPr>
                <w:rFonts w:hint="eastAsia" w:ascii="宋体" w:hAnsi="宋体"/>
                <w:color w:val="auto"/>
                <w:kern w:val="0"/>
                <w:sz w:val="22"/>
                <w:szCs w:val="22"/>
              </w:rPr>
              <w:t xml:space="preserve"> ▲CPU物理核数</w:t>
            </w:r>
          </w:p>
        </w:tc>
        <w:tc>
          <w:tcPr>
            <w:tcW w:w="2740" w:type="pct"/>
            <w:tcBorders>
              <w:top w:val="single" w:color="auto" w:sz="4" w:space="0"/>
              <w:left w:val="single" w:color="auto" w:sz="4" w:space="0"/>
              <w:bottom w:val="single" w:color="auto" w:sz="4" w:space="0"/>
              <w:right w:val="single" w:color="auto" w:sz="4" w:space="0"/>
            </w:tcBorders>
          </w:tcPr>
          <w:p w14:paraId="103A744A">
            <w:pPr>
              <w:widowControl/>
              <w:rPr>
                <w:rFonts w:ascii="宋体" w:hAnsi="宋体"/>
                <w:color w:val="auto"/>
                <w:kern w:val="0"/>
                <w:sz w:val="22"/>
                <w:szCs w:val="22"/>
              </w:rPr>
            </w:pPr>
            <w:r>
              <w:rPr>
                <w:rFonts w:hint="eastAsia" w:ascii="宋体" w:hAnsi="宋体"/>
                <w:color w:val="auto"/>
                <w:kern w:val="0"/>
                <w:sz w:val="22"/>
                <w:szCs w:val="22"/>
              </w:rPr>
              <w:t>≥ I7-14700要求</w:t>
            </w:r>
            <w:bookmarkStart w:id="37" w:name="OLE_LINK51"/>
            <w:r>
              <w:rPr>
                <w:rFonts w:hint="eastAsia" w:ascii="宋体" w:hAnsi="宋体"/>
                <w:color w:val="auto"/>
                <w:kern w:val="0"/>
                <w:sz w:val="22"/>
                <w:szCs w:val="22"/>
              </w:rPr>
              <w:t>（相当性能及以上）</w:t>
            </w:r>
            <w:bookmarkEnd w:id="37"/>
          </w:p>
        </w:tc>
      </w:tr>
      <w:tr w14:paraId="0464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5D987354">
            <w:pPr>
              <w:widowControl/>
              <w:rPr>
                <w:rFonts w:ascii="宋体" w:hAnsi="宋体"/>
                <w:color w:val="auto"/>
                <w:kern w:val="0"/>
                <w:sz w:val="22"/>
                <w:szCs w:val="22"/>
              </w:rPr>
            </w:pPr>
            <w:r>
              <w:rPr>
                <w:rFonts w:hint="eastAsia" w:ascii="宋体" w:hAnsi="宋体"/>
                <w:color w:val="auto"/>
                <w:kern w:val="0"/>
                <w:sz w:val="22"/>
                <w:szCs w:val="22"/>
              </w:rPr>
              <w:t>82</w:t>
            </w:r>
          </w:p>
        </w:tc>
        <w:tc>
          <w:tcPr>
            <w:tcW w:w="0" w:type="auto"/>
            <w:vMerge w:val="continue"/>
            <w:tcBorders>
              <w:top w:val="nil"/>
              <w:left w:val="single" w:color="auto" w:sz="4" w:space="0"/>
              <w:bottom w:val="single" w:color="auto" w:sz="4" w:space="0"/>
              <w:right w:val="single" w:color="auto" w:sz="4" w:space="0"/>
            </w:tcBorders>
            <w:vAlign w:val="center"/>
          </w:tcPr>
          <w:p w14:paraId="49086583">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5FA5C639">
            <w:pPr>
              <w:widowControl/>
              <w:rPr>
                <w:rFonts w:ascii="宋体" w:hAnsi="宋体"/>
                <w:color w:val="auto"/>
                <w:kern w:val="0"/>
                <w:sz w:val="22"/>
                <w:szCs w:val="22"/>
              </w:rPr>
            </w:pPr>
            <w:r>
              <w:rPr>
                <w:rFonts w:hint="eastAsia" w:ascii="宋体" w:hAnsi="宋体"/>
                <w:color w:val="auto"/>
                <w:kern w:val="0"/>
                <w:sz w:val="22"/>
                <w:szCs w:val="22"/>
              </w:rPr>
              <w:t xml:space="preserve"> ▲CPU主频</w:t>
            </w:r>
          </w:p>
        </w:tc>
        <w:tc>
          <w:tcPr>
            <w:tcW w:w="2740" w:type="pct"/>
            <w:tcBorders>
              <w:top w:val="single" w:color="auto" w:sz="4" w:space="0"/>
              <w:left w:val="single" w:color="auto" w:sz="4" w:space="0"/>
              <w:bottom w:val="single" w:color="auto" w:sz="4" w:space="0"/>
              <w:right w:val="single" w:color="auto" w:sz="4" w:space="0"/>
            </w:tcBorders>
          </w:tcPr>
          <w:p w14:paraId="35B5FC46">
            <w:pPr>
              <w:widowControl/>
              <w:rPr>
                <w:rFonts w:ascii="宋体" w:hAnsi="宋体"/>
                <w:color w:val="auto"/>
                <w:kern w:val="0"/>
                <w:sz w:val="22"/>
                <w:szCs w:val="22"/>
              </w:rPr>
            </w:pPr>
            <w:r>
              <w:rPr>
                <w:rFonts w:hint="eastAsia" w:ascii="宋体" w:hAnsi="宋体"/>
                <w:color w:val="auto"/>
                <w:kern w:val="0"/>
                <w:sz w:val="22"/>
                <w:szCs w:val="22"/>
              </w:rPr>
              <w:t>≥ I7-14700要求（相当性能及以上）</w:t>
            </w:r>
          </w:p>
        </w:tc>
      </w:tr>
      <w:tr w14:paraId="58C7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44C9DF78">
            <w:pPr>
              <w:widowControl/>
              <w:rPr>
                <w:rFonts w:ascii="宋体" w:hAnsi="宋体"/>
                <w:color w:val="auto"/>
                <w:kern w:val="0"/>
                <w:sz w:val="22"/>
                <w:szCs w:val="22"/>
              </w:rPr>
            </w:pPr>
            <w:r>
              <w:rPr>
                <w:rFonts w:hint="eastAsia" w:ascii="宋体" w:hAnsi="宋体"/>
                <w:color w:val="auto"/>
                <w:kern w:val="0"/>
                <w:sz w:val="22"/>
                <w:szCs w:val="22"/>
              </w:rPr>
              <w:t>83</w:t>
            </w:r>
          </w:p>
        </w:tc>
        <w:tc>
          <w:tcPr>
            <w:tcW w:w="0" w:type="auto"/>
            <w:vMerge w:val="continue"/>
            <w:tcBorders>
              <w:top w:val="nil"/>
              <w:left w:val="single" w:color="auto" w:sz="4" w:space="0"/>
              <w:bottom w:val="single" w:color="auto" w:sz="4" w:space="0"/>
              <w:right w:val="single" w:color="auto" w:sz="4" w:space="0"/>
            </w:tcBorders>
            <w:vAlign w:val="center"/>
          </w:tcPr>
          <w:p w14:paraId="14438E83">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38030E52">
            <w:pPr>
              <w:widowControl/>
              <w:rPr>
                <w:rFonts w:ascii="宋体" w:hAnsi="宋体"/>
                <w:color w:val="auto"/>
                <w:kern w:val="0"/>
                <w:sz w:val="22"/>
                <w:szCs w:val="22"/>
              </w:rPr>
            </w:pPr>
            <w:r>
              <w:rPr>
                <w:rFonts w:hint="eastAsia" w:ascii="宋体" w:hAnsi="宋体"/>
                <w:color w:val="auto"/>
                <w:kern w:val="0"/>
                <w:sz w:val="22"/>
                <w:szCs w:val="22"/>
              </w:rPr>
              <w:t xml:space="preserve"> ▲CPU 末级缓存容量</w:t>
            </w:r>
          </w:p>
        </w:tc>
        <w:tc>
          <w:tcPr>
            <w:tcW w:w="2740" w:type="pct"/>
            <w:tcBorders>
              <w:top w:val="single" w:color="auto" w:sz="4" w:space="0"/>
              <w:left w:val="single" w:color="auto" w:sz="4" w:space="0"/>
              <w:bottom w:val="single" w:color="auto" w:sz="4" w:space="0"/>
              <w:right w:val="single" w:color="auto" w:sz="4" w:space="0"/>
            </w:tcBorders>
          </w:tcPr>
          <w:p w14:paraId="6994C01C">
            <w:pPr>
              <w:widowControl/>
              <w:rPr>
                <w:rFonts w:ascii="宋体" w:hAnsi="宋体"/>
                <w:color w:val="auto"/>
                <w:kern w:val="0"/>
                <w:sz w:val="22"/>
                <w:szCs w:val="22"/>
              </w:rPr>
            </w:pPr>
            <w:r>
              <w:rPr>
                <w:rFonts w:hint="eastAsia" w:ascii="宋体" w:hAnsi="宋体"/>
                <w:color w:val="auto"/>
                <w:kern w:val="0"/>
                <w:sz w:val="22"/>
                <w:szCs w:val="22"/>
              </w:rPr>
              <w:t>≥ I7-14700要求（相当性能及以上）</w:t>
            </w:r>
          </w:p>
        </w:tc>
      </w:tr>
      <w:tr w14:paraId="6E21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47" w:type="pct"/>
            <w:tcBorders>
              <w:top w:val="single" w:color="auto" w:sz="4" w:space="0"/>
              <w:left w:val="single" w:color="auto" w:sz="4" w:space="0"/>
              <w:bottom w:val="single" w:color="auto" w:sz="4" w:space="0"/>
              <w:right w:val="single" w:color="auto" w:sz="4" w:space="0"/>
            </w:tcBorders>
          </w:tcPr>
          <w:p w14:paraId="1AC1829F">
            <w:pPr>
              <w:widowControl/>
              <w:rPr>
                <w:rFonts w:ascii="宋体" w:hAnsi="宋体"/>
                <w:color w:val="auto"/>
                <w:kern w:val="0"/>
                <w:sz w:val="22"/>
                <w:szCs w:val="22"/>
              </w:rPr>
            </w:pPr>
            <w:r>
              <w:rPr>
                <w:rFonts w:hint="eastAsia" w:ascii="宋体" w:hAnsi="宋体"/>
                <w:color w:val="auto"/>
                <w:kern w:val="0"/>
                <w:sz w:val="22"/>
                <w:szCs w:val="22"/>
              </w:rPr>
              <w:t>84</w:t>
            </w:r>
          </w:p>
        </w:tc>
        <w:tc>
          <w:tcPr>
            <w:tcW w:w="0" w:type="auto"/>
            <w:vMerge w:val="continue"/>
            <w:tcBorders>
              <w:top w:val="nil"/>
              <w:left w:val="single" w:color="auto" w:sz="4" w:space="0"/>
              <w:bottom w:val="single" w:color="auto" w:sz="4" w:space="0"/>
              <w:right w:val="single" w:color="auto" w:sz="4" w:space="0"/>
            </w:tcBorders>
            <w:vAlign w:val="center"/>
          </w:tcPr>
          <w:p w14:paraId="1AD341CE">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7AD93C88">
            <w:pPr>
              <w:widowControl/>
              <w:rPr>
                <w:rFonts w:ascii="宋体" w:hAnsi="宋体"/>
                <w:color w:val="auto"/>
                <w:kern w:val="0"/>
                <w:sz w:val="22"/>
                <w:szCs w:val="22"/>
              </w:rPr>
            </w:pPr>
            <w:r>
              <w:rPr>
                <w:rFonts w:hint="eastAsia" w:ascii="宋体" w:hAnsi="宋体"/>
                <w:color w:val="auto"/>
                <w:kern w:val="0"/>
                <w:sz w:val="22"/>
                <w:szCs w:val="22"/>
              </w:rPr>
              <w:t>▲ CPU支持的内存最高速率</w:t>
            </w:r>
          </w:p>
        </w:tc>
        <w:tc>
          <w:tcPr>
            <w:tcW w:w="2740" w:type="pct"/>
            <w:tcBorders>
              <w:top w:val="single" w:color="auto" w:sz="4" w:space="0"/>
              <w:left w:val="single" w:color="auto" w:sz="4" w:space="0"/>
              <w:bottom w:val="single" w:color="auto" w:sz="4" w:space="0"/>
              <w:right w:val="single" w:color="auto" w:sz="4" w:space="0"/>
            </w:tcBorders>
          </w:tcPr>
          <w:p w14:paraId="0EC7B219">
            <w:pPr>
              <w:widowControl/>
              <w:rPr>
                <w:rFonts w:ascii="宋体" w:hAnsi="宋体"/>
                <w:color w:val="auto"/>
                <w:kern w:val="0"/>
                <w:sz w:val="22"/>
                <w:szCs w:val="22"/>
              </w:rPr>
            </w:pPr>
            <w:r>
              <w:rPr>
                <w:rFonts w:hint="eastAsia" w:ascii="宋体" w:hAnsi="宋体"/>
                <w:color w:val="auto"/>
                <w:kern w:val="0"/>
                <w:sz w:val="22"/>
                <w:szCs w:val="22"/>
              </w:rPr>
              <w:t>≥ I7-14700要求（相当性能及以上）</w:t>
            </w:r>
          </w:p>
        </w:tc>
      </w:tr>
      <w:tr w14:paraId="792E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47" w:type="pct"/>
            <w:tcBorders>
              <w:top w:val="single" w:color="auto" w:sz="4" w:space="0"/>
              <w:left w:val="single" w:color="auto" w:sz="4" w:space="0"/>
              <w:bottom w:val="single" w:color="auto" w:sz="4" w:space="0"/>
              <w:right w:val="single" w:color="auto" w:sz="4" w:space="0"/>
            </w:tcBorders>
          </w:tcPr>
          <w:p w14:paraId="0D966666">
            <w:pPr>
              <w:widowControl/>
              <w:rPr>
                <w:rFonts w:ascii="宋体" w:hAnsi="宋体"/>
                <w:color w:val="auto"/>
                <w:kern w:val="0"/>
                <w:sz w:val="22"/>
                <w:szCs w:val="22"/>
              </w:rPr>
            </w:pPr>
            <w:r>
              <w:rPr>
                <w:rFonts w:hint="eastAsia" w:ascii="宋体" w:hAnsi="宋体"/>
                <w:color w:val="auto"/>
                <w:kern w:val="0"/>
                <w:sz w:val="22"/>
                <w:szCs w:val="22"/>
              </w:rPr>
              <w:t>85</w:t>
            </w:r>
          </w:p>
        </w:tc>
        <w:tc>
          <w:tcPr>
            <w:tcW w:w="555" w:type="pct"/>
            <w:tcBorders>
              <w:top w:val="single" w:color="auto" w:sz="4" w:space="0"/>
              <w:left w:val="single" w:color="auto" w:sz="4" w:space="0"/>
              <w:bottom w:val="single" w:color="auto" w:sz="4" w:space="0"/>
              <w:right w:val="single" w:color="auto" w:sz="4" w:space="0"/>
            </w:tcBorders>
            <w:vAlign w:val="center"/>
          </w:tcPr>
          <w:p w14:paraId="2A482CFB">
            <w:pPr>
              <w:widowControl/>
              <w:rPr>
                <w:rFonts w:ascii="宋体" w:hAnsi="宋体"/>
                <w:color w:val="auto"/>
                <w:kern w:val="0"/>
                <w:sz w:val="22"/>
                <w:szCs w:val="22"/>
              </w:rPr>
            </w:pPr>
            <w:r>
              <w:rPr>
                <w:rFonts w:hint="eastAsia" w:ascii="宋体" w:hAnsi="宋体"/>
                <w:color w:val="auto"/>
                <w:kern w:val="0"/>
                <w:sz w:val="22"/>
                <w:szCs w:val="22"/>
              </w:rPr>
              <w:t>▲内存性能</w:t>
            </w:r>
          </w:p>
        </w:tc>
        <w:tc>
          <w:tcPr>
            <w:tcW w:w="1356" w:type="pct"/>
            <w:tcBorders>
              <w:top w:val="single" w:color="auto" w:sz="4" w:space="0"/>
              <w:left w:val="single" w:color="auto" w:sz="4" w:space="0"/>
              <w:bottom w:val="single" w:color="auto" w:sz="4" w:space="0"/>
              <w:right w:val="single" w:color="auto" w:sz="4" w:space="0"/>
            </w:tcBorders>
          </w:tcPr>
          <w:p w14:paraId="6321DC72">
            <w:pPr>
              <w:widowControl/>
              <w:rPr>
                <w:rFonts w:ascii="宋体" w:hAnsi="宋体"/>
                <w:color w:val="auto"/>
                <w:kern w:val="0"/>
                <w:sz w:val="22"/>
                <w:szCs w:val="22"/>
              </w:rPr>
            </w:pPr>
            <w:r>
              <w:rPr>
                <w:rFonts w:hint="eastAsia" w:ascii="宋体" w:hAnsi="宋体"/>
                <w:color w:val="auto"/>
                <w:kern w:val="0"/>
                <w:sz w:val="22"/>
                <w:szCs w:val="22"/>
              </w:rPr>
              <w:t xml:space="preserve"> ▲内存读写速率</w:t>
            </w:r>
          </w:p>
        </w:tc>
        <w:tc>
          <w:tcPr>
            <w:tcW w:w="2740" w:type="pct"/>
            <w:tcBorders>
              <w:top w:val="single" w:color="auto" w:sz="4" w:space="0"/>
              <w:left w:val="single" w:color="auto" w:sz="4" w:space="0"/>
              <w:bottom w:val="single" w:color="auto" w:sz="4" w:space="0"/>
              <w:right w:val="single" w:color="auto" w:sz="4" w:space="0"/>
            </w:tcBorders>
          </w:tcPr>
          <w:p w14:paraId="7C2D330E">
            <w:pPr>
              <w:widowControl/>
              <w:rPr>
                <w:rFonts w:ascii="宋体" w:hAnsi="宋体"/>
                <w:color w:val="auto"/>
                <w:kern w:val="0"/>
                <w:sz w:val="22"/>
                <w:szCs w:val="22"/>
              </w:rPr>
            </w:pPr>
            <w:r>
              <w:rPr>
                <w:rFonts w:hint="eastAsia" w:ascii="宋体" w:hAnsi="宋体"/>
                <w:color w:val="auto"/>
                <w:kern w:val="0"/>
                <w:sz w:val="22"/>
                <w:szCs w:val="22"/>
              </w:rPr>
              <w:t>≥4800MT/s</w:t>
            </w:r>
          </w:p>
        </w:tc>
      </w:tr>
      <w:tr w14:paraId="3072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33C738BD">
            <w:pPr>
              <w:widowControl/>
              <w:rPr>
                <w:rFonts w:ascii="宋体" w:hAnsi="宋体"/>
                <w:color w:val="auto"/>
                <w:kern w:val="0"/>
                <w:sz w:val="22"/>
                <w:szCs w:val="22"/>
              </w:rPr>
            </w:pPr>
            <w:r>
              <w:rPr>
                <w:rFonts w:hint="eastAsia" w:ascii="宋体" w:hAnsi="宋体"/>
                <w:color w:val="auto"/>
                <w:kern w:val="0"/>
                <w:sz w:val="22"/>
                <w:szCs w:val="22"/>
              </w:rPr>
              <w:t>86</w:t>
            </w:r>
          </w:p>
        </w:tc>
        <w:tc>
          <w:tcPr>
            <w:tcW w:w="555" w:type="pct"/>
            <w:vMerge w:val="restart"/>
            <w:tcBorders>
              <w:top w:val="nil"/>
              <w:left w:val="single" w:color="auto" w:sz="4" w:space="0"/>
              <w:bottom w:val="single" w:color="auto" w:sz="4" w:space="0"/>
              <w:right w:val="single" w:color="auto" w:sz="4" w:space="0"/>
            </w:tcBorders>
            <w:vAlign w:val="center"/>
          </w:tcPr>
          <w:p w14:paraId="2DFC9A32">
            <w:pPr>
              <w:widowControl/>
              <w:rPr>
                <w:rFonts w:ascii="宋体" w:hAnsi="宋体"/>
                <w:color w:val="auto"/>
                <w:kern w:val="0"/>
                <w:sz w:val="22"/>
                <w:szCs w:val="22"/>
              </w:rPr>
            </w:pPr>
            <w:r>
              <w:rPr>
                <w:rFonts w:hint="eastAsia" w:ascii="宋体" w:hAnsi="宋体"/>
                <w:color w:val="auto"/>
                <w:kern w:val="0"/>
                <w:sz w:val="22"/>
                <w:szCs w:val="22"/>
              </w:rPr>
              <w:t>▲显卡性能</w:t>
            </w:r>
          </w:p>
        </w:tc>
        <w:tc>
          <w:tcPr>
            <w:tcW w:w="1356" w:type="pct"/>
            <w:tcBorders>
              <w:top w:val="single" w:color="auto" w:sz="4" w:space="0"/>
              <w:left w:val="single" w:color="auto" w:sz="4" w:space="0"/>
              <w:bottom w:val="single" w:color="auto" w:sz="4" w:space="0"/>
              <w:right w:val="single" w:color="auto" w:sz="4" w:space="0"/>
            </w:tcBorders>
          </w:tcPr>
          <w:p w14:paraId="5E182A1E">
            <w:pPr>
              <w:widowControl/>
              <w:rPr>
                <w:rFonts w:ascii="宋体" w:hAnsi="宋体"/>
                <w:color w:val="auto"/>
                <w:kern w:val="0"/>
                <w:sz w:val="22"/>
                <w:szCs w:val="22"/>
              </w:rPr>
            </w:pPr>
            <w:r>
              <w:rPr>
                <w:rFonts w:hint="eastAsia" w:ascii="宋体" w:hAnsi="宋体"/>
                <w:color w:val="auto"/>
                <w:kern w:val="0"/>
                <w:sz w:val="22"/>
                <w:szCs w:val="22"/>
              </w:rPr>
              <w:t xml:space="preserve"> ▲显示分辨率</w:t>
            </w:r>
          </w:p>
        </w:tc>
        <w:tc>
          <w:tcPr>
            <w:tcW w:w="2740" w:type="pct"/>
            <w:tcBorders>
              <w:top w:val="single" w:color="auto" w:sz="4" w:space="0"/>
              <w:left w:val="single" w:color="auto" w:sz="4" w:space="0"/>
              <w:bottom w:val="single" w:color="auto" w:sz="4" w:space="0"/>
              <w:right w:val="single" w:color="auto" w:sz="4" w:space="0"/>
            </w:tcBorders>
          </w:tcPr>
          <w:p w14:paraId="627DEE3B">
            <w:pPr>
              <w:widowControl/>
              <w:rPr>
                <w:rFonts w:hint="default" w:ascii="宋体" w:hAnsi="宋体" w:eastAsia="宋体"/>
                <w:color w:val="auto"/>
                <w:kern w:val="0"/>
                <w:sz w:val="22"/>
                <w:szCs w:val="22"/>
                <w:lang w:val="en-US" w:eastAsia="zh-CN"/>
              </w:rPr>
            </w:pPr>
            <w:r>
              <w:rPr>
                <w:rFonts w:hint="eastAsia" w:ascii="宋体" w:hAnsi="宋体"/>
                <w:color w:val="auto"/>
                <w:kern w:val="0"/>
                <w:sz w:val="22"/>
                <w:szCs w:val="22"/>
              </w:rPr>
              <w:t>≥RTX5060 8G显卡要求</w:t>
            </w:r>
            <w:r>
              <w:rPr>
                <w:rFonts w:hint="eastAsia" w:ascii="宋体" w:hAnsi="宋体"/>
                <w:color w:val="auto"/>
                <w:kern w:val="0"/>
                <w:sz w:val="22"/>
                <w:szCs w:val="22"/>
                <w:lang w:eastAsia="zh-CN"/>
              </w:rPr>
              <w:t>（</w:t>
            </w:r>
            <w:r>
              <w:rPr>
                <w:rFonts w:hint="eastAsia" w:ascii="宋体" w:hAnsi="宋体"/>
                <w:color w:val="auto"/>
                <w:kern w:val="0"/>
                <w:sz w:val="22"/>
                <w:szCs w:val="22"/>
                <w:lang w:val="en-US" w:eastAsia="zh-CN"/>
              </w:rPr>
              <w:t>相当性能及以上）</w:t>
            </w:r>
          </w:p>
        </w:tc>
      </w:tr>
      <w:tr w14:paraId="2E10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38D5091D">
            <w:pPr>
              <w:widowControl/>
              <w:rPr>
                <w:rFonts w:ascii="宋体" w:hAnsi="宋体"/>
                <w:color w:val="auto"/>
                <w:kern w:val="0"/>
                <w:sz w:val="22"/>
                <w:szCs w:val="22"/>
              </w:rPr>
            </w:pPr>
            <w:r>
              <w:rPr>
                <w:rFonts w:hint="eastAsia" w:ascii="宋体" w:hAnsi="宋体"/>
                <w:color w:val="auto"/>
                <w:kern w:val="0"/>
                <w:sz w:val="22"/>
                <w:szCs w:val="22"/>
              </w:rPr>
              <w:t>87</w:t>
            </w:r>
          </w:p>
        </w:tc>
        <w:tc>
          <w:tcPr>
            <w:tcW w:w="0" w:type="auto"/>
            <w:vMerge w:val="continue"/>
            <w:tcBorders>
              <w:top w:val="nil"/>
              <w:left w:val="single" w:color="auto" w:sz="4" w:space="0"/>
              <w:bottom w:val="single" w:color="auto" w:sz="4" w:space="0"/>
              <w:right w:val="single" w:color="auto" w:sz="4" w:space="0"/>
            </w:tcBorders>
            <w:vAlign w:val="center"/>
          </w:tcPr>
          <w:p w14:paraId="326F85C8">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6BBA57E9">
            <w:pPr>
              <w:widowControl/>
              <w:rPr>
                <w:rFonts w:ascii="宋体" w:hAnsi="宋体"/>
                <w:color w:val="auto"/>
                <w:kern w:val="0"/>
                <w:sz w:val="22"/>
                <w:szCs w:val="22"/>
              </w:rPr>
            </w:pPr>
            <w:r>
              <w:rPr>
                <w:rFonts w:hint="eastAsia" w:ascii="宋体" w:hAnsi="宋体"/>
                <w:color w:val="auto"/>
                <w:kern w:val="0"/>
                <w:sz w:val="22"/>
                <w:szCs w:val="22"/>
              </w:rPr>
              <w:t xml:space="preserve"> ▲显卡显示芯片核心频率</w:t>
            </w:r>
          </w:p>
        </w:tc>
        <w:tc>
          <w:tcPr>
            <w:tcW w:w="2740" w:type="pct"/>
            <w:tcBorders>
              <w:top w:val="single" w:color="auto" w:sz="4" w:space="0"/>
              <w:left w:val="single" w:color="auto" w:sz="4" w:space="0"/>
              <w:bottom w:val="single" w:color="auto" w:sz="4" w:space="0"/>
              <w:right w:val="single" w:color="auto" w:sz="4" w:space="0"/>
            </w:tcBorders>
          </w:tcPr>
          <w:p w14:paraId="1269315C">
            <w:pPr>
              <w:widowControl/>
              <w:rPr>
                <w:rFonts w:ascii="宋体" w:hAnsi="宋体"/>
                <w:color w:val="auto"/>
                <w:kern w:val="0"/>
                <w:sz w:val="22"/>
                <w:szCs w:val="22"/>
              </w:rPr>
            </w:pPr>
            <w:r>
              <w:rPr>
                <w:rFonts w:hint="eastAsia" w:ascii="宋体" w:hAnsi="宋体"/>
                <w:color w:val="auto"/>
                <w:kern w:val="0"/>
                <w:sz w:val="22"/>
                <w:szCs w:val="22"/>
              </w:rPr>
              <w:t>≥RTX5060 8G显卡要求</w:t>
            </w:r>
            <w:r>
              <w:rPr>
                <w:rFonts w:hint="eastAsia" w:ascii="宋体" w:hAnsi="宋体"/>
                <w:color w:val="auto"/>
                <w:kern w:val="0"/>
                <w:sz w:val="22"/>
                <w:szCs w:val="22"/>
                <w:lang w:eastAsia="zh-CN"/>
              </w:rPr>
              <w:t>（</w:t>
            </w:r>
            <w:r>
              <w:rPr>
                <w:rFonts w:hint="eastAsia" w:ascii="宋体" w:hAnsi="宋体"/>
                <w:color w:val="auto"/>
                <w:kern w:val="0"/>
                <w:sz w:val="22"/>
                <w:szCs w:val="22"/>
                <w:lang w:val="en-US" w:eastAsia="zh-CN"/>
              </w:rPr>
              <w:t>相当性能及以上）</w:t>
            </w:r>
          </w:p>
        </w:tc>
      </w:tr>
      <w:tr w14:paraId="07E2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1C447941">
            <w:pPr>
              <w:widowControl/>
              <w:rPr>
                <w:rFonts w:ascii="宋体" w:hAnsi="宋体"/>
                <w:color w:val="auto"/>
                <w:kern w:val="0"/>
                <w:sz w:val="22"/>
                <w:szCs w:val="22"/>
              </w:rPr>
            </w:pPr>
            <w:r>
              <w:rPr>
                <w:rFonts w:hint="eastAsia" w:ascii="宋体" w:hAnsi="宋体"/>
                <w:color w:val="auto"/>
                <w:kern w:val="0"/>
                <w:sz w:val="22"/>
                <w:szCs w:val="22"/>
              </w:rPr>
              <w:t>88</w:t>
            </w:r>
          </w:p>
        </w:tc>
        <w:tc>
          <w:tcPr>
            <w:tcW w:w="0" w:type="auto"/>
            <w:vMerge w:val="continue"/>
            <w:tcBorders>
              <w:top w:val="nil"/>
              <w:left w:val="single" w:color="auto" w:sz="4" w:space="0"/>
              <w:bottom w:val="single" w:color="auto" w:sz="4" w:space="0"/>
              <w:right w:val="single" w:color="auto" w:sz="4" w:space="0"/>
            </w:tcBorders>
            <w:vAlign w:val="center"/>
          </w:tcPr>
          <w:p w14:paraId="7B2A444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57C6D68">
            <w:pPr>
              <w:widowControl/>
              <w:rPr>
                <w:rFonts w:ascii="宋体" w:hAnsi="宋体"/>
                <w:color w:val="auto"/>
                <w:kern w:val="0"/>
                <w:sz w:val="22"/>
                <w:szCs w:val="22"/>
              </w:rPr>
            </w:pPr>
            <w:r>
              <w:rPr>
                <w:rFonts w:hint="eastAsia" w:ascii="宋体" w:hAnsi="宋体"/>
                <w:color w:val="auto"/>
                <w:kern w:val="0"/>
                <w:sz w:val="22"/>
                <w:szCs w:val="22"/>
              </w:rPr>
              <w:t xml:space="preserve"> ▲显存等效频率</w:t>
            </w:r>
          </w:p>
        </w:tc>
        <w:tc>
          <w:tcPr>
            <w:tcW w:w="2740" w:type="pct"/>
            <w:tcBorders>
              <w:top w:val="single" w:color="auto" w:sz="4" w:space="0"/>
              <w:left w:val="single" w:color="auto" w:sz="4" w:space="0"/>
              <w:bottom w:val="single" w:color="auto" w:sz="4" w:space="0"/>
              <w:right w:val="single" w:color="auto" w:sz="4" w:space="0"/>
            </w:tcBorders>
          </w:tcPr>
          <w:p w14:paraId="53913260">
            <w:pPr>
              <w:widowControl/>
              <w:rPr>
                <w:rFonts w:ascii="宋体" w:hAnsi="宋体"/>
                <w:color w:val="auto"/>
                <w:kern w:val="0"/>
                <w:sz w:val="22"/>
                <w:szCs w:val="22"/>
              </w:rPr>
            </w:pPr>
            <w:r>
              <w:rPr>
                <w:rFonts w:hint="eastAsia" w:ascii="宋体" w:hAnsi="宋体"/>
                <w:color w:val="auto"/>
                <w:kern w:val="0"/>
                <w:sz w:val="22"/>
                <w:szCs w:val="22"/>
              </w:rPr>
              <w:t>≥RTX5060 8G显卡要求</w:t>
            </w:r>
            <w:r>
              <w:rPr>
                <w:rFonts w:hint="eastAsia" w:ascii="宋体" w:hAnsi="宋体"/>
                <w:color w:val="auto"/>
                <w:kern w:val="0"/>
                <w:sz w:val="22"/>
                <w:szCs w:val="22"/>
                <w:lang w:eastAsia="zh-CN"/>
              </w:rPr>
              <w:t>（</w:t>
            </w:r>
            <w:r>
              <w:rPr>
                <w:rFonts w:hint="eastAsia" w:ascii="宋体" w:hAnsi="宋体"/>
                <w:color w:val="auto"/>
                <w:kern w:val="0"/>
                <w:sz w:val="22"/>
                <w:szCs w:val="22"/>
                <w:lang w:val="en-US" w:eastAsia="zh-CN"/>
              </w:rPr>
              <w:t>相当性能及以上）</w:t>
            </w:r>
          </w:p>
        </w:tc>
      </w:tr>
      <w:tr w14:paraId="26D3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4A4AA640">
            <w:pPr>
              <w:widowControl/>
              <w:rPr>
                <w:rFonts w:ascii="宋体" w:hAnsi="宋体"/>
                <w:color w:val="auto"/>
                <w:kern w:val="0"/>
                <w:sz w:val="22"/>
                <w:szCs w:val="22"/>
              </w:rPr>
            </w:pPr>
            <w:r>
              <w:rPr>
                <w:rFonts w:hint="eastAsia" w:ascii="宋体" w:hAnsi="宋体"/>
                <w:color w:val="auto"/>
                <w:kern w:val="0"/>
                <w:sz w:val="22"/>
                <w:szCs w:val="22"/>
              </w:rPr>
              <w:t>89</w:t>
            </w:r>
          </w:p>
        </w:tc>
        <w:tc>
          <w:tcPr>
            <w:tcW w:w="0" w:type="auto"/>
            <w:vMerge w:val="continue"/>
            <w:tcBorders>
              <w:top w:val="nil"/>
              <w:left w:val="single" w:color="auto" w:sz="4" w:space="0"/>
              <w:bottom w:val="single" w:color="auto" w:sz="4" w:space="0"/>
              <w:right w:val="single" w:color="auto" w:sz="4" w:space="0"/>
            </w:tcBorders>
            <w:vAlign w:val="center"/>
          </w:tcPr>
          <w:p w14:paraId="028ABB93">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3845DEC8">
            <w:pPr>
              <w:widowControl/>
              <w:rPr>
                <w:rFonts w:ascii="宋体" w:hAnsi="宋体"/>
                <w:color w:val="auto"/>
                <w:kern w:val="0"/>
                <w:sz w:val="22"/>
                <w:szCs w:val="22"/>
              </w:rPr>
            </w:pPr>
            <w:r>
              <w:rPr>
                <w:rFonts w:hint="eastAsia" w:ascii="宋体" w:hAnsi="宋体"/>
                <w:color w:val="auto"/>
                <w:kern w:val="0"/>
                <w:sz w:val="22"/>
                <w:szCs w:val="22"/>
              </w:rPr>
              <w:t>▲显卡可支持多屏同时显示数量</w:t>
            </w:r>
          </w:p>
        </w:tc>
        <w:tc>
          <w:tcPr>
            <w:tcW w:w="2740" w:type="pct"/>
            <w:tcBorders>
              <w:top w:val="single" w:color="auto" w:sz="4" w:space="0"/>
              <w:left w:val="single" w:color="auto" w:sz="4" w:space="0"/>
              <w:bottom w:val="single" w:color="auto" w:sz="4" w:space="0"/>
              <w:right w:val="single" w:color="auto" w:sz="4" w:space="0"/>
            </w:tcBorders>
          </w:tcPr>
          <w:p w14:paraId="3EE1AB6D">
            <w:pPr>
              <w:widowControl/>
              <w:rPr>
                <w:rFonts w:ascii="宋体" w:hAnsi="宋体"/>
                <w:color w:val="auto"/>
                <w:kern w:val="0"/>
                <w:sz w:val="22"/>
                <w:szCs w:val="22"/>
              </w:rPr>
            </w:pPr>
            <w:r>
              <w:rPr>
                <w:rFonts w:hint="eastAsia" w:ascii="宋体" w:hAnsi="宋体"/>
                <w:color w:val="auto"/>
                <w:kern w:val="0"/>
                <w:sz w:val="22"/>
                <w:szCs w:val="22"/>
              </w:rPr>
              <w:t>≥RTX5060 8G显卡要求</w:t>
            </w:r>
            <w:r>
              <w:rPr>
                <w:rFonts w:hint="eastAsia" w:ascii="宋体" w:hAnsi="宋体"/>
                <w:color w:val="auto"/>
                <w:kern w:val="0"/>
                <w:sz w:val="22"/>
                <w:szCs w:val="22"/>
                <w:lang w:eastAsia="zh-CN"/>
              </w:rPr>
              <w:t>（</w:t>
            </w:r>
            <w:r>
              <w:rPr>
                <w:rFonts w:hint="eastAsia" w:ascii="宋体" w:hAnsi="宋体"/>
                <w:color w:val="auto"/>
                <w:kern w:val="0"/>
                <w:sz w:val="22"/>
                <w:szCs w:val="22"/>
                <w:lang w:val="en-US" w:eastAsia="zh-CN"/>
              </w:rPr>
              <w:t>相当性能及以上）</w:t>
            </w:r>
          </w:p>
        </w:tc>
      </w:tr>
      <w:tr w14:paraId="53C9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42A9F110">
            <w:pPr>
              <w:widowControl/>
              <w:rPr>
                <w:rFonts w:ascii="宋体" w:hAnsi="宋体"/>
                <w:color w:val="auto"/>
                <w:kern w:val="0"/>
                <w:sz w:val="22"/>
                <w:szCs w:val="22"/>
              </w:rPr>
            </w:pPr>
            <w:r>
              <w:rPr>
                <w:rFonts w:hint="eastAsia" w:ascii="宋体" w:hAnsi="宋体"/>
                <w:color w:val="auto"/>
                <w:kern w:val="0"/>
                <w:sz w:val="22"/>
                <w:szCs w:val="22"/>
              </w:rPr>
              <w:t>90</w:t>
            </w:r>
          </w:p>
        </w:tc>
        <w:tc>
          <w:tcPr>
            <w:tcW w:w="555" w:type="pct"/>
            <w:vMerge w:val="restart"/>
            <w:tcBorders>
              <w:top w:val="nil"/>
              <w:left w:val="single" w:color="auto" w:sz="4" w:space="0"/>
              <w:bottom w:val="single" w:color="auto" w:sz="4" w:space="0"/>
              <w:right w:val="single" w:color="auto" w:sz="4" w:space="0"/>
            </w:tcBorders>
            <w:vAlign w:val="center"/>
          </w:tcPr>
          <w:p w14:paraId="1FCA3F29">
            <w:pPr>
              <w:widowControl/>
              <w:rPr>
                <w:rFonts w:ascii="宋体" w:hAnsi="宋体"/>
                <w:color w:val="auto"/>
                <w:kern w:val="0"/>
                <w:sz w:val="22"/>
                <w:szCs w:val="22"/>
              </w:rPr>
            </w:pPr>
            <w:r>
              <w:rPr>
                <w:rFonts w:hint="eastAsia" w:ascii="宋体" w:hAnsi="宋体"/>
                <w:color w:val="auto"/>
                <w:kern w:val="0"/>
                <w:sz w:val="22"/>
                <w:szCs w:val="22"/>
              </w:rPr>
              <w:t>▲显示设备性能</w:t>
            </w:r>
          </w:p>
        </w:tc>
        <w:tc>
          <w:tcPr>
            <w:tcW w:w="1356" w:type="pct"/>
            <w:tcBorders>
              <w:top w:val="single" w:color="auto" w:sz="4" w:space="0"/>
              <w:left w:val="single" w:color="auto" w:sz="4" w:space="0"/>
              <w:bottom w:val="single" w:color="auto" w:sz="4" w:space="0"/>
              <w:right w:val="single" w:color="auto" w:sz="4" w:space="0"/>
            </w:tcBorders>
          </w:tcPr>
          <w:p w14:paraId="1C638876">
            <w:pPr>
              <w:widowControl/>
              <w:rPr>
                <w:rFonts w:ascii="宋体" w:hAnsi="宋体"/>
                <w:color w:val="auto"/>
                <w:kern w:val="0"/>
                <w:sz w:val="22"/>
                <w:szCs w:val="22"/>
              </w:rPr>
            </w:pPr>
            <w:r>
              <w:rPr>
                <w:rFonts w:hint="eastAsia" w:ascii="宋体" w:hAnsi="宋体"/>
                <w:color w:val="auto"/>
                <w:kern w:val="0"/>
                <w:sz w:val="22"/>
                <w:szCs w:val="22"/>
              </w:rPr>
              <w:t xml:space="preserve"> ▲显示屏刷新率</w:t>
            </w:r>
          </w:p>
        </w:tc>
        <w:tc>
          <w:tcPr>
            <w:tcW w:w="2740" w:type="pct"/>
            <w:tcBorders>
              <w:top w:val="single" w:color="auto" w:sz="4" w:space="0"/>
              <w:left w:val="single" w:color="auto" w:sz="4" w:space="0"/>
              <w:bottom w:val="single" w:color="auto" w:sz="4" w:space="0"/>
              <w:right w:val="single" w:color="auto" w:sz="4" w:space="0"/>
            </w:tcBorders>
          </w:tcPr>
          <w:p w14:paraId="4D1E83EB">
            <w:pPr>
              <w:widowControl/>
              <w:rPr>
                <w:rFonts w:ascii="宋体" w:hAnsi="宋体"/>
                <w:color w:val="auto"/>
                <w:kern w:val="0"/>
                <w:sz w:val="22"/>
                <w:szCs w:val="22"/>
              </w:rPr>
            </w:pPr>
            <w:r>
              <w:rPr>
                <w:rFonts w:hint="eastAsia" w:ascii="宋体" w:hAnsi="宋体"/>
                <w:color w:val="auto"/>
                <w:kern w:val="0"/>
                <w:sz w:val="22"/>
                <w:szCs w:val="22"/>
              </w:rPr>
              <w:t>≥75Hz</w:t>
            </w:r>
          </w:p>
        </w:tc>
      </w:tr>
      <w:tr w14:paraId="3C15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0109395D">
            <w:pPr>
              <w:widowControl/>
              <w:rPr>
                <w:rFonts w:ascii="宋体" w:hAnsi="宋体"/>
                <w:color w:val="auto"/>
                <w:kern w:val="0"/>
                <w:sz w:val="22"/>
                <w:szCs w:val="22"/>
              </w:rPr>
            </w:pPr>
            <w:r>
              <w:rPr>
                <w:rFonts w:hint="eastAsia" w:ascii="宋体" w:hAnsi="宋体"/>
                <w:color w:val="auto"/>
                <w:kern w:val="0"/>
                <w:sz w:val="22"/>
                <w:szCs w:val="22"/>
              </w:rPr>
              <w:t>91</w:t>
            </w:r>
          </w:p>
        </w:tc>
        <w:tc>
          <w:tcPr>
            <w:tcW w:w="0" w:type="auto"/>
            <w:vMerge w:val="continue"/>
            <w:tcBorders>
              <w:top w:val="nil"/>
              <w:left w:val="single" w:color="auto" w:sz="4" w:space="0"/>
              <w:bottom w:val="single" w:color="auto" w:sz="4" w:space="0"/>
              <w:right w:val="single" w:color="auto" w:sz="4" w:space="0"/>
            </w:tcBorders>
            <w:vAlign w:val="center"/>
          </w:tcPr>
          <w:p w14:paraId="33EFCBB7">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6DFCB403">
            <w:pPr>
              <w:widowControl/>
              <w:rPr>
                <w:rFonts w:ascii="宋体" w:hAnsi="宋体"/>
                <w:color w:val="auto"/>
                <w:kern w:val="0"/>
                <w:sz w:val="22"/>
                <w:szCs w:val="22"/>
              </w:rPr>
            </w:pPr>
            <w:r>
              <w:rPr>
                <w:rFonts w:hint="eastAsia" w:ascii="宋体" w:hAnsi="宋体"/>
                <w:color w:val="auto"/>
                <w:kern w:val="0"/>
                <w:sz w:val="22"/>
                <w:szCs w:val="22"/>
              </w:rPr>
              <w:t xml:space="preserve"> ▲显示屏位深</w:t>
            </w:r>
          </w:p>
        </w:tc>
        <w:tc>
          <w:tcPr>
            <w:tcW w:w="2740" w:type="pct"/>
            <w:tcBorders>
              <w:top w:val="single" w:color="auto" w:sz="4" w:space="0"/>
              <w:left w:val="single" w:color="auto" w:sz="4" w:space="0"/>
              <w:bottom w:val="single" w:color="auto" w:sz="4" w:space="0"/>
              <w:right w:val="single" w:color="auto" w:sz="4" w:space="0"/>
            </w:tcBorders>
          </w:tcPr>
          <w:p w14:paraId="2FB0B04E">
            <w:pPr>
              <w:widowControl/>
              <w:rPr>
                <w:rFonts w:ascii="宋体" w:hAnsi="宋体"/>
                <w:color w:val="auto"/>
                <w:kern w:val="0"/>
                <w:sz w:val="22"/>
                <w:szCs w:val="22"/>
              </w:rPr>
            </w:pPr>
            <w:r>
              <w:rPr>
                <w:rFonts w:hint="eastAsia" w:ascii="宋体" w:hAnsi="宋体"/>
                <w:color w:val="auto"/>
                <w:kern w:val="0"/>
                <w:sz w:val="22"/>
                <w:szCs w:val="22"/>
              </w:rPr>
              <w:t>≥8位</w:t>
            </w:r>
          </w:p>
        </w:tc>
      </w:tr>
      <w:tr w14:paraId="5E2F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356370A4">
            <w:pPr>
              <w:widowControl/>
              <w:rPr>
                <w:rFonts w:ascii="宋体" w:hAnsi="宋体"/>
                <w:color w:val="auto"/>
                <w:kern w:val="0"/>
                <w:sz w:val="22"/>
                <w:szCs w:val="22"/>
              </w:rPr>
            </w:pPr>
            <w:r>
              <w:rPr>
                <w:rFonts w:hint="eastAsia" w:ascii="宋体" w:hAnsi="宋体"/>
                <w:color w:val="auto"/>
                <w:kern w:val="0"/>
                <w:sz w:val="22"/>
                <w:szCs w:val="22"/>
              </w:rPr>
              <w:t>92</w:t>
            </w:r>
          </w:p>
        </w:tc>
        <w:tc>
          <w:tcPr>
            <w:tcW w:w="0" w:type="auto"/>
            <w:vMerge w:val="continue"/>
            <w:tcBorders>
              <w:top w:val="nil"/>
              <w:left w:val="single" w:color="auto" w:sz="4" w:space="0"/>
              <w:bottom w:val="single" w:color="auto" w:sz="4" w:space="0"/>
              <w:right w:val="single" w:color="auto" w:sz="4" w:space="0"/>
            </w:tcBorders>
            <w:vAlign w:val="center"/>
          </w:tcPr>
          <w:p w14:paraId="31D99DF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9CC03E0">
            <w:pPr>
              <w:widowControl/>
              <w:rPr>
                <w:rFonts w:ascii="宋体" w:hAnsi="宋体"/>
                <w:color w:val="auto"/>
                <w:kern w:val="0"/>
                <w:sz w:val="22"/>
                <w:szCs w:val="22"/>
              </w:rPr>
            </w:pPr>
            <w:r>
              <w:rPr>
                <w:rFonts w:hint="eastAsia" w:ascii="宋体" w:hAnsi="宋体"/>
                <w:color w:val="auto"/>
                <w:kern w:val="0"/>
                <w:sz w:val="22"/>
                <w:szCs w:val="22"/>
              </w:rPr>
              <w:t xml:space="preserve"> ▲显示屏色域</w:t>
            </w:r>
          </w:p>
        </w:tc>
        <w:tc>
          <w:tcPr>
            <w:tcW w:w="2740" w:type="pct"/>
            <w:tcBorders>
              <w:top w:val="single" w:color="auto" w:sz="4" w:space="0"/>
              <w:left w:val="single" w:color="auto" w:sz="4" w:space="0"/>
              <w:bottom w:val="single" w:color="auto" w:sz="4" w:space="0"/>
              <w:right w:val="single" w:color="auto" w:sz="4" w:space="0"/>
            </w:tcBorders>
          </w:tcPr>
          <w:p w14:paraId="3ACC264C">
            <w:pPr>
              <w:widowControl/>
              <w:rPr>
                <w:rFonts w:ascii="宋体" w:hAnsi="宋体"/>
                <w:color w:val="auto"/>
                <w:kern w:val="0"/>
                <w:sz w:val="22"/>
                <w:szCs w:val="22"/>
              </w:rPr>
            </w:pPr>
            <w:r>
              <w:rPr>
                <w:rFonts w:hint="eastAsia" w:ascii="宋体" w:hAnsi="宋体"/>
                <w:color w:val="auto"/>
                <w:kern w:val="0"/>
                <w:sz w:val="22"/>
                <w:szCs w:val="22"/>
              </w:rPr>
              <w:t>≥99% sRGB 或≥72% NTSC</w:t>
            </w:r>
          </w:p>
        </w:tc>
      </w:tr>
      <w:tr w14:paraId="38CF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69DE08C3">
            <w:pPr>
              <w:widowControl/>
              <w:rPr>
                <w:rFonts w:ascii="宋体" w:hAnsi="宋体"/>
                <w:color w:val="auto"/>
                <w:kern w:val="0"/>
                <w:sz w:val="22"/>
                <w:szCs w:val="22"/>
              </w:rPr>
            </w:pPr>
            <w:r>
              <w:rPr>
                <w:rFonts w:hint="eastAsia" w:ascii="宋体" w:hAnsi="宋体"/>
                <w:color w:val="auto"/>
                <w:kern w:val="0"/>
                <w:sz w:val="22"/>
                <w:szCs w:val="22"/>
              </w:rPr>
              <w:t>93</w:t>
            </w:r>
          </w:p>
        </w:tc>
        <w:tc>
          <w:tcPr>
            <w:tcW w:w="0" w:type="auto"/>
            <w:vMerge w:val="continue"/>
            <w:tcBorders>
              <w:top w:val="nil"/>
              <w:left w:val="single" w:color="auto" w:sz="4" w:space="0"/>
              <w:bottom w:val="single" w:color="auto" w:sz="4" w:space="0"/>
              <w:right w:val="single" w:color="auto" w:sz="4" w:space="0"/>
            </w:tcBorders>
            <w:vAlign w:val="center"/>
          </w:tcPr>
          <w:p w14:paraId="29A914AA">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77C659BF">
            <w:pPr>
              <w:widowControl/>
              <w:rPr>
                <w:rFonts w:ascii="宋体" w:hAnsi="宋体"/>
                <w:color w:val="auto"/>
                <w:kern w:val="0"/>
                <w:sz w:val="22"/>
                <w:szCs w:val="22"/>
              </w:rPr>
            </w:pPr>
            <w:r>
              <w:rPr>
                <w:rFonts w:hint="eastAsia" w:ascii="宋体" w:hAnsi="宋体"/>
                <w:color w:val="auto"/>
                <w:kern w:val="0"/>
                <w:sz w:val="22"/>
                <w:szCs w:val="22"/>
              </w:rPr>
              <w:t>▲ 显示屏色准</w:t>
            </w:r>
          </w:p>
        </w:tc>
        <w:tc>
          <w:tcPr>
            <w:tcW w:w="2740" w:type="pct"/>
            <w:tcBorders>
              <w:top w:val="single" w:color="auto" w:sz="4" w:space="0"/>
              <w:left w:val="single" w:color="auto" w:sz="4" w:space="0"/>
              <w:bottom w:val="single" w:color="auto" w:sz="4" w:space="0"/>
              <w:right w:val="single" w:color="auto" w:sz="4" w:space="0"/>
            </w:tcBorders>
          </w:tcPr>
          <w:p w14:paraId="2ACEC071">
            <w:pPr>
              <w:widowControl/>
              <w:rPr>
                <w:rFonts w:ascii="宋体" w:hAnsi="宋体"/>
                <w:color w:val="auto"/>
                <w:kern w:val="0"/>
                <w:sz w:val="22"/>
                <w:szCs w:val="22"/>
              </w:rPr>
            </w:pPr>
            <w:r>
              <w:rPr>
                <w:rFonts w:hint="eastAsia" w:ascii="宋体" w:hAnsi="宋体"/>
                <w:color w:val="auto"/>
                <w:kern w:val="0"/>
                <w:sz w:val="22"/>
                <w:szCs w:val="22"/>
              </w:rPr>
              <w:t>△E ≤ 4</w:t>
            </w:r>
          </w:p>
        </w:tc>
      </w:tr>
      <w:tr w14:paraId="6D6C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6F5D4890">
            <w:pPr>
              <w:widowControl/>
              <w:rPr>
                <w:rFonts w:ascii="宋体" w:hAnsi="宋体"/>
                <w:color w:val="auto"/>
                <w:kern w:val="0"/>
                <w:sz w:val="22"/>
                <w:szCs w:val="22"/>
              </w:rPr>
            </w:pPr>
            <w:r>
              <w:rPr>
                <w:rFonts w:hint="eastAsia" w:ascii="宋体" w:hAnsi="宋体"/>
                <w:color w:val="auto"/>
                <w:kern w:val="0"/>
                <w:sz w:val="22"/>
                <w:szCs w:val="22"/>
              </w:rPr>
              <w:t>94</w:t>
            </w:r>
          </w:p>
        </w:tc>
        <w:tc>
          <w:tcPr>
            <w:tcW w:w="0" w:type="auto"/>
            <w:vMerge w:val="continue"/>
            <w:tcBorders>
              <w:top w:val="nil"/>
              <w:left w:val="single" w:color="auto" w:sz="4" w:space="0"/>
              <w:bottom w:val="single" w:color="auto" w:sz="4" w:space="0"/>
              <w:right w:val="single" w:color="auto" w:sz="4" w:space="0"/>
            </w:tcBorders>
            <w:vAlign w:val="center"/>
          </w:tcPr>
          <w:p w14:paraId="7BC58C4C">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B974296">
            <w:pPr>
              <w:widowControl/>
              <w:rPr>
                <w:rFonts w:ascii="宋体" w:hAnsi="宋体"/>
                <w:color w:val="auto"/>
                <w:kern w:val="0"/>
                <w:sz w:val="22"/>
                <w:szCs w:val="22"/>
              </w:rPr>
            </w:pPr>
            <w:r>
              <w:rPr>
                <w:rFonts w:hint="eastAsia" w:ascii="宋体" w:hAnsi="宋体"/>
                <w:color w:val="auto"/>
                <w:kern w:val="0"/>
                <w:sz w:val="22"/>
                <w:szCs w:val="22"/>
              </w:rPr>
              <w:t>▲ 显示屏响应时间</w:t>
            </w:r>
          </w:p>
        </w:tc>
        <w:tc>
          <w:tcPr>
            <w:tcW w:w="2740" w:type="pct"/>
            <w:tcBorders>
              <w:top w:val="single" w:color="auto" w:sz="4" w:space="0"/>
              <w:left w:val="single" w:color="auto" w:sz="4" w:space="0"/>
              <w:bottom w:val="single" w:color="auto" w:sz="4" w:space="0"/>
              <w:right w:val="single" w:color="auto" w:sz="4" w:space="0"/>
            </w:tcBorders>
          </w:tcPr>
          <w:p w14:paraId="3BE24C40">
            <w:pPr>
              <w:widowControl/>
              <w:rPr>
                <w:rFonts w:ascii="宋体" w:hAnsi="宋体"/>
                <w:color w:val="auto"/>
                <w:kern w:val="0"/>
                <w:sz w:val="22"/>
                <w:szCs w:val="22"/>
              </w:rPr>
            </w:pPr>
            <w:r>
              <w:rPr>
                <w:rFonts w:hint="eastAsia" w:ascii="宋体" w:hAnsi="宋体"/>
                <w:color w:val="auto"/>
                <w:kern w:val="0"/>
                <w:sz w:val="22"/>
                <w:szCs w:val="22"/>
              </w:rPr>
              <w:t>≤8ms</w:t>
            </w:r>
          </w:p>
        </w:tc>
      </w:tr>
      <w:tr w14:paraId="5596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7C7A2229">
            <w:pPr>
              <w:widowControl/>
              <w:rPr>
                <w:rFonts w:ascii="宋体" w:hAnsi="宋体"/>
                <w:color w:val="auto"/>
                <w:kern w:val="0"/>
                <w:sz w:val="22"/>
                <w:szCs w:val="22"/>
              </w:rPr>
            </w:pPr>
            <w:r>
              <w:rPr>
                <w:rFonts w:hint="eastAsia" w:ascii="宋体" w:hAnsi="宋体"/>
                <w:color w:val="auto"/>
                <w:kern w:val="0"/>
                <w:sz w:val="22"/>
                <w:szCs w:val="22"/>
              </w:rPr>
              <w:t>95</w:t>
            </w:r>
          </w:p>
        </w:tc>
        <w:tc>
          <w:tcPr>
            <w:tcW w:w="0" w:type="auto"/>
            <w:vMerge w:val="continue"/>
            <w:tcBorders>
              <w:top w:val="nil"/>
              <w:left w:val="single" w:color="auto" w:sz="4" w:space="0"/>
              <w:bottom w:val="single" w:color="auto" w:sz="4" w:space="0"/>
              <w:right w:val="single" w:color="auto" w:sz="4" w:space="0"/>
            </w:tcBorders>
            <w:vAlign w:val="center"/>
          </w:tcPr>
          <w:p w14:paraId="163564C4">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88F3FAE">
            <w:pPr>
              <w:widowControl/>
              <w:rPr>
                <w:rFonts w:ascii="宋体" w:hAnsi="宋体"/>
                <w:color w:val="auto"/>
                <w:kern w:val="0"/>
                <w:sz w:val="22"/>
                <w:szCs w:val="22"/>
              </w:rPr>
            </w:pPr>
            <w:r>
              <w:rPr>
                <w:rFonts w:hint="eastAsia" w:ascii="宋体" w:hAnsi="宋体"/>
                <w:color w:val="auto"/>
                <w:kern w:val="0"/>
                <w:sz w:val="22"/>
                <w:szCs w:val="22"/>
              </w:rPr>
              <w:t>▲ 显示屏亮度</w:t>
            </w:r>
          </w:p>
        </w:tc>
        <w:tc>
          <w:tcPr>
            <w:tcW w:w="2740" w:type="pct"/>
            <w:tcBorders>
              <w:top w:val="single" w:color="auto" w:sz="4" w:space="0"/>
              <w:left w:val="single" w:color="auto" w:sz="4" w:space="0"/>
              <w:bottom w:val="single" w:color="auto" w:sz="4" w:space="0"/>
              <w:right w:val="single" w:color="auto" w:sz="4" w:space="0"/>
            </w:tcBorders>
          </w:tcPr>
          <w:p w14:paraId="51E7494C">
            <w:pPr>
              <w:widowControl/>
              <w:rPr>
                <w:rFonts w:ascii="宋体" w:hAnsi="宋体"/>
                <w:color w:val="auto"/>
                <w:kern w:val="0"/>
                <w:sz w:val="22"/>
                <w:szCs w:val="22"/>
              </w:rPr>
            </w:pPr>
            <w:r>
              <w:rPr>
                <w:rFonts w:hint="eastAsia" w:ascii="宋体" w:hAnsi="宋体"/>
                <w:color w:val="auto"/>
                <w:kern w:val="0"/>
                <w:sz w:val="22"/>
                <w:szCs w:val="22"/>
              </w:rPr>
              <w:t>≥250尼特</w:t>
            </w:r>
          </w:p>
        </w:tc>
      </w:tr>
      <w:tr w14:paraId="37D2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47FB9267">
            <w:pPr>
              <w:widowControl/>
              <w:rPr>
                <w:rFonts w:ascii="宋体" w:hAnsi="宋体"/>
                <w:color w:val="auto"/>
                <w:kern w:val="0"/>
                <w:sz w:val="22"/>
                <w:szCs w:val="22"/>
              </w:rPr>
            </w:pPr>
            <w:r>
              <w:rPr>
                <w:rFonts w:hint="eastAsia" w:ascii="宋体" w:hAnsi="宋体"/>
                <w:color w:val="auto"/>
                <w:kern w:val="0"/>
                <w:sz w:val="22"/>
                <w:szCs w:val="22"/>
              </w:rPr>
              <w:t>96</w:t>
            </w:r>
          </w:p>
        </w:tc>
        <w:tc>
          <w:tcPr>
            <w:tcW w:w="0" w:type="auto"/>
            <w:vMerge w:val="continue"/>
            <w:tcBorders>
              <w:top w:val="nil"/>
              <w:left w:val="single" w:color="auto" w:sz="4" w:space="0"/>
              <w:bottom w:val="single" w:color="auto" w:sz="4" w:space="0"/>
              <w:right w:val="single" w:color="auto" w:sz="4" w:space="0"/>
            </w:tcBorders>
            <w:vAlign w:val="center"/>
          </w:tcPr>
          <w:p w14:paraId="4A4FD224">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0271709">
            <w:pPr>
              <w:widowControl/>
              <w:rPr>
                <w:rFonts w:ascii="宋体" w:hAnsi="宋体"/>
                <w:color w:val="auto"/>
                <w:kern w:val="0"/>
                <w:sz w:val="22"/>
                <w:szCs w:val="22"/>
              </w:rPr>
            </w:pPr>
            <w:r>
              <w:rPr>
                <w:rFonts w:hint="eastAsia" w:ascii="宋体" w:hAnsi="宋体"/>
                <w:color w:val="auto"/>
                <w:kern w:val="0"/>
                <w:sz w:val="22"/>
                <w:szCs w:val="22"/>
              </w:rPr>
              <w:t>▲ 显示屏亮度一致性</w:t>
            </w:r>
          </w:p>
        </w:tc>
        <w:tc>
          <w:tcPr>
            <w:tcW w:w="2740" w:type="pct"/>
            <w:tcBorders>
              <w:top w:val="single" w:color="auto" w:sz="4" w:space="0"/>
              <w:left w:val="single" w:color="auto" w:sz="4" w:space="0"/>
              <w:bottom w:val="single" w:color="auto" w:sz="4" w:space="0"/>
              <w:right w:val="single" w:color="auto" w:sz="4" w:space="0"/>
            </w:tcBorders>
          </w:tcPr>
          <w:p w14:paraId="2386FAC5">
            <w:pPr>
              <w:widowControl/>
              <w:rPr>
                <w:rFonts w:ascii="宋体" w:hAnsi="宋体"/>
                <w:color w:val="auto"/>
                <w:kern w:val="0"/>
                <w:sz w:val="22"/>
                <w:szCs w:val="22"/>
              </w:rPr>
            </w:pPr>
            <w:r>
              <w:rPr>
                <w:rFonts w:hint="eastAsia" w:ascii="宋体" w:hAnsi="宋体"/>
                <w:color w:val="auto"/>
                <w:kern w:val="0"/>
                <w:sz w:val="22"/>
                <w:szCs w:val="22"/>
              </w:rPr>
              <w:t>≥70%</w:t>
            </w:r>
          </w:p>
        </w:tc>
      </w:tr>
      <w:tr w14:paraId="2D3B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6851FFFF">
            <w:pPr>
              <w:widowControl/>
              <w:rPr>
                <w:rFonts w:ascii="宋体" w:hAnsi="宋体"/>
                <w:color w:val="auto"/>
                <w:kern w:val="0"/>
                <w:sz w:val="22"/>
                <w:szCs w:val="22"/>
              </w:rPr>
            </w:pPr>
            <w:r>
              <w:rPr>
                <w:rFonts w:hint="eastAsia" w:ascii="宋体" w:hAnsi="宋体"/>
                <w:color w:val="auto"/>
                <w:kern w:val="0"/>
                <w:sz w:val="22"/>
                <w:szCs w:val="22"/>
              </w:rPr>
              <w:t>97</w:t>
            </w:r>
          </w:p>
        </w:tc>
        <w:tc>
          <w:tcPr>
            <w:tcW w:w="0" w:type="auto"/>
            <w:vMerge w:val="continue"/>
            <w:tcBorders>
              <w:top w:val="nil"/>
              <w:left w:val="single" w:color="auto" w:sz="4" w:space="0"/>
              <w:bottom w:val="single" w:color="auto" w:sz="4" w:space="0"/>
              <w:right w:val="single" w:color="auto" w:sz="4" w:space="0"/>
            </w:tcBorders>
            <w:vAlign w:val="center"/>
          </w:tcPr>
          <w:p w14:paraId="4EAA5D68">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3B2CF200">
            <w:pPr>
              <w:widowControl/>
              <w:rPr>
                <w:rFonts w:ascii="宋体" w:hAnsi="宋体"/>
                <w:color w:val="auto"/>
                <w:kern w:val="0"/>
                <w:sz w:val="22"/>
                <w:szCs w:val="22"/>
              </w:rPr>
            </w:pPr>
            <w:r>
              <w:rPr>
                <w:rFonts w:hint="eastAsia" w:ascii="宋体" w:hAnsi="宋体"/>
                <w:color w:val="auto"/>
                <w:kern w:val="0"/>
                <w:sz w:val="22"/>
                <w:szCs w:val="22"/>
              </w:rPr>
              <w:t>▲ 显示屏对比度</w:t>
            </w:r>
          </w:p>
        </w:tc>
        <w:tc>
          <w:tcPr>
            <w:tcW w:w="2740" w:type="pct"/>
            <w:tcBorders>
              <w:top w:val="single" w:color="auto" w:sz="4" w:space="0"/>
              <w:left w:val="single" w:color="auto" w:sz="4" w:space="0"/>
              <w:bottom w:val="single" w:color="auto" w:sz="4" w:space="0"/>
              <w:right w:val="single" w:color="auto" w:sz="4" w:space="0"/>
            </w:tcBorders>
          </w:tcPr>
          <w:p w14:paraId="52472272">
            <w:pPr>
              <w:widowControl/>
              <w:rPr>
                <w:rFonts w:ascii="宋体" w:hAnsi="宋体"/>
                <w:color w:val="auto"/>
                <w:kern w:val="0"/>
                <w:sz w:val="22"/>
                <w:szCs w:val="22"/>
              </w:rPr>
            </w:pPr>
            <w:r>
              <w:rPr>
                <w:rFonts w:hint="eastAsia" w:ascii="宋体" w:hAnsi="宋体"/>
                <w:color w:val="auto"/>
                <w:kern w:val="0"/>
                <w:sz w:val="22"/>
                <w:szCs w:val="22"/>
              </w:rPr>
              <w:t>≥500：1</w:t>
            </w:r>
          </w:p>
        </w:tc>
      </w:tr>
      <w:tr w14:paraId="74D5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0286D63C">
            <w:pPr>
              <w:widowControl/>
              <w:rPr>
                <w:rFonts w:ascii="宋体" w:hAnsi="宋体"/>
                <w:color w:val="auto"/>
                <w:kern w:val="0"/>
                <w:sz w:val="22"/>
                <w:szCs w:val="22"/>
              </w:rPr>
            </w:pPr>
            <w:r>
              <w:rPr>
                <w:rFonts w:hint="eastAsia" w:ascii="宋体" w:hAnsi="宋体"/>
                <w:color w:val="auto"/>
                <w:kern w:val="0"/>
                <w:sz w:val="22"/>
                <w:szCs w:val="22"/>
              </w:rPr>
              <w:t>98</w:t>
            </w:r>
          </w:p>
        </w:tc>
        <w:tc>
          <w:tcPr>
            <w:tcW w:w="0" w:type="auto"/>
            <w:vMerge w:val="continue"/>
            <w:tcBorders>
              <w:top w:val="nil"/>
              <w:left w:val="single" w:color="auto" w:sz="4" w:space="0"/>
              <w:bottom w:val="single" w:color="auto" w:sz="4" w:space="0"/>
              <w:right w:val="single" w:color="auto" w:sz="4" w:space="0"/>
            </w:tcBorders>
            <w:vAlign w:val="center"/>
          </w:tcPr>
          <w:p w14:paraId="71362D29">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38C5D594">
            <w:pPr>
              <w:widowControl/>
              <w:rPr>
                <w:rFonts w:ascii="宋体" w:hAnsi="宋体"/>
                <w:color w:val="auto"/>
                <w:kern w:val="0"/>
                <w:sz w:val="22"/>
                <w:szCs w:val="22"/>
              </w:rPr>
            </w:pPr>
            <w:r>
              <w:rPr>
                <w:rFonts w:hint="eastAsia" w:ascii="宋体" w:hAnsi="宋体"/>
                <w:color w:val="auto"/>
                <w:kern w:val="0"/>
                <w:sz w:val="22"/>
                <w:szCs w:val="22"/>
              </w:rPr>
              <w:t>▲ 显示屏其他参数</w:t>
            </w:r>
          </w:p>
        </w:tc>
        <w:tc>
          <w:tcPr>
            <w:tcW w:w="2740" w:type="pct"/>
            <w:tcBorders>
              <w:top w:val="single" w:color="auto" w:sz="4" w:space="0"/>
              <w:left w:val="single" w:color="auto" w:sz="4" w:space="0"/>
              <w:bottom w:val="single" w:color="auto" w:sz="4" w:space="0"/>
              <w:right w:val="single" w:color="auto" w:sz="4" w:space="0"/>
            </w:tcBorders>
          </w:tcPr>
          <w:p w14:paraId="5E4AAE97">
            <w:pPr>
              <w:widowControl/>
              <w:rPr>
                <w:rFonts w:ascii="宋体" w:hAnsi="宋体"/>
                <w:color w:val="auto"/>
                <w:kern w:val="0"/>
                <w:sz w:val="22"/>
                <w:szCs w:val="22"/>
              </w:rPr>
            </w:pPr>
            <w:r>
              <w:rPr>
                <w:rFonts w:hint="eastAsia" w:ascii="宋体" w:hAnsi="宋体"/>
                <w:color w:val="auto"/>
                <w:kern w:val="0"/>
                <w:sz w:val="22"/>
                <w:szCs w:val="22"/>
              </w:rPr>
              <w:t>显示器助手软件，可以实现密码保护功能，防止其他人未经许可使用，多台显示器同时调整设置。；其它参数应符合 SJ/T 11292 的相关规定</w:t>
            </w:r>
          </w:p>
        </w:tc>
      </w:tr>
      <w:tr w14:paraId="5E2C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493828FF">
            <w:pPr>
              <w:widowControl/>
              <w:rPr>
                <w:rFonts w:ascii="宋体" w:hAnsi="宋体"/>
                <w:color w:val="auto"/>
                <w:kern w:val="0"/>
                <w:sz w:val="22"/>
                <w:szCs w:val="22"/>
              </w:rPr>
            </w:pPr>
            <w:r>
              <w:rPr>
                <w:rFonts w:hint="eastAsia" w:ascii="宋体" w:hAnsi="宋体"/>
                <w:color w:val="auto"/>
                <w:kern w:val="0"/>
                <w:sz w:val="22"/>
                <w:szCs w:val="22"/>
              </w:rPr>
              <w:t>99</w:t>
            </w:r>
          </w:p>
        </w:tc>
        <w:tc>
          <w:tcPr>
            <w:tcW w:w="555" w:type="pct"/>
            <w:vMerge w:val="restart"/>
            <w:tcBorders>
              <w:top w:val="nil"/>
              <w:left w:val="single" w:color="auto" w:sz="4" w:space="0"/>
              <w:bottom w:val="single" w:color="auto" w:sz="4" w:space="0"/>
              <w:right w:val="single" w:color="auto" w:sz="4" w:space="0"/>
            </w:tcBorders>
            <w:vAlign w:val="center"/>
          </w:tcPr>
          <w:p w14:paraId="1AE3A2E1">
            <w:pPr>
              <w:widowControl/>
              <w:rPr>
                <w:rFonts w:ascii="宋体" w:hAnsi="宋体"/>
                <w:color w:val="auto"/>
                <w:kern w:val="0"/>
                <w:sz w:val="22"/>
                <w:szCs w:val="22"/>
              </w:rPr>
            </w:pPr>
            <w:r>
              <w:rPr>
                <w:rFonts w:hint="eastAsia" w:ascii="宋体" w:hAnsi="宋体"/>
                <w:color w:val="auto"/>
                <w:kern w:val="0"/>
                <w:sz w:val="22"/>
                <w:szCs w:val="22"/>
              </w:rPr>
              <w:t>▲网络设备性能</w:t>
            </w:r>
          </w:p>
        </w:tc>
        <w:tc>
          <w:tcPr>
            <w:tcW w:w="1356" w:type="pct"/>
            <w:tcBorders>
              <w:top w:val="single" w:color="auto" w:sz="4" w:space="0"/>
              <w:left w:val="single" w:color="auto" w:sz="4" w:space="0"/>
              <w:bottom w:val="single" w:color="auto" w:sz="4" w:space="0"/>
              <w:right w:val="single" w:color="auto" w:sz="4" w:space="0"/>
            </w:tcBorders>
          </w:tcPr>
          <w:p w14:paraId="7E625BE3">
            <w:pPr>
              <w:widowControl/>
              <w:rPr>
                <w:rFonts w:ascii="宋体" w:hAnsi="宋体"/>
                <w:color w:val="auto"/>
                <w:kern w:val="0"/>
                <w:sz w:val="22"/>
                <w:szCs w:val="22"/>
              </w:rPr>
            </w:pPr>
            <w:r>
              <w:rPr>
                <w:rFonts w:hint="eastAsia" w:ascii="宋体" w:hAnsi="宋体"/>
                <w:color w:val="auto"/>
                <w:kern w:val="0"/>
                <w:sz w:val="22"/>
                <w:szCs w:val="22"/>
              </w:rPr>
              <w:t>▲ 有线网卡速率</w:t>
            </w:r>
          </w:p>
        </w:tc>
        <w:tc>
          <w:tcPr>
            <w:tcW w:w="2740" w:type="pct"/>
            <w:tcBorders>
              <w:top w:val="single" w:color="auto" w:sz="4" w:space="0"/>
              <w:left w:val="single" w:color="auto" w:sz="4" w:space="0"/>
              <w:bottom w:val="single" w:color="auto" w:sz="4" w:space="0"/>
              <w:right w:val="single" w:color="auto" w:sz="4" w:space="0"/>
            </w:tcBorders>
          </w:tcPr>
          <w:p w14:paraId="72959FC9">
            <w:pPr>
              <w:widowControl/>
              <w:rPr>
                <w:rFonts w:ascii="宋体" w:hAnsi="宋体"/>
                <w:color w:val="auto"/>
                <w:kern w:val="0"/>
                <w:sz w:val="22"/>
                <w:szCs w:val="22"/>
              </w:rPr>
            </w:pPr>
            <w:r>
              <w:rPr>
                <w:rFonts w:hint="eastAsia" w:ascii="宋体" w:hAnsi="宋体"/>
                <w:color w:val="auto"/>
                <w:kern w:val="0"/>
                <w:sz w:val="22"/>
                <w:szCs w:val="22"/>
              </w:rPr>
              <w:t>最高速率应不低于1000Mbps，应支持10Mbps、100Mbps、1000Mbps速率自适应</w:t>
            </w:r>
          </w:p>
        </w:tc>
      </w:tr>
      <w:tr w14:paraId="6083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347" w:type="pct"/>
            <w:tcBorders>
              <w:top w:val="single" w:color="auto" w:sz="4" w:space="0"/>
              <w:left w:val="single" w:color="auto" w:sz="4" w:space="0"/>
              <w:bottom w:val="single" w:color="auto" w:sz="4" w:space="0"/>
              <w:right w:val="single" w:color="auto" w:sz="4" w:space="0"/>
            </w:tcBorders>
          </w:tcPr>
          <w:p w14:paraId="105C09E6">
            <w:pPr>
              <w:widowControl/>
              <w:rPr>
                <w:rFonts w:ascii="宋体" w:hAnsi="宋体"/>
                <w:color w:val="auto"/>
                <w:kern w:val="0"/>
                <w:sz w:val="22"/>
                <w:szCs w:val="22"/>
              </w:rPr>
            </w:pPr>
            <w:r>
              <w:rPr>
                <w:rFonts w:hint="eastAsia" w:ascii="宋体" w:hAnsi="宋体"/>
                <w:color w:val="auto"/>
                <w:kern w:val="0"/>
                <w:sz w:val="22"/>
                <w:szCs w:val="22"/>
              </w:rPr>
              <w:t>100</w:t>
            </w:r>
          </w:p>
        </w:tc>
        <w:tc>
          <w:tcPr>
            <w:tcW w:w="0" w:type="auto"/>
            <w:vMerge w:val="continue"/>
            <w:tcBorders>
              <w:top w:val="nil"/>
              <w:left w:val="single" w:color="auto" w:sz="4" w:space="0"/>
              <w:bottom w:val="single" w:color="auto" w:sz="4" w:space="0"/>
              <w:right w:val="single" w:color="auto" w:sz="4" w:space="0"/>
            </w:tcBorders>
            <w:vAlign w:val="center"/>
          </w:tcPr>
          <w:p w14:paraId="3D4FF0D7">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FE936C7">
            <w:pPr>
              <w:widowControl/>
              <w:rPr>
                <w:rFonts w:ascii="宋体" w:hAnsi="宋体"/>
                <w:color w:val="auto"/>
                <w:kern w:val="0"/>
                <w:sz w:val="22"/>
                <w:szCs w:val="22"/>
              </w:rPr>
            </w:pPr>
            <w:r>
              <w:rPr>
                <w:rFonts w:hint="eastAsia" w:ascii="宋体" w:hAnsi="宋体"/>
                <w:color w:val="auto"/>
                <w:kern w:val="0"/>
                <w:sz w:val="22"/>
                <w:szCs w:val="22"/>
              </w:rPr>
              <w:t>支持无线网络通信技术协议</w:t>
            </w:r>
          </w:p>
        </w:tc>
        <w:tc>
          <w:tcPr>
            <w:tcW w:w="2740" w:type="pct"/>
            <w:tcBorders>
              <w:top w:val="single" w:color="auto" w:sz="4" w:space="0"/>
              <w:left w:val="single" w:color="auto" w:sz="4" w:space="0"/>
              <w:bottom w:val="single" w:color="auto" w:sz="4" w:space="0"/>
              <w:right w:val="single" w:color="auto" w:sz="4" w:space="0"/>
            </w:tcBorders>
          </w:tcPr>
          <w:p w14:paraId="5BAE864A">
            <w:pPr>
              <w:widowControl/>
              <w:rPr>
                <w:rFonts w:ascii="宋体" w:hAnsi="宋体"/>
                <w:color w:val="auto"/>
                <w:kern w:val="0"/>
                <w:sz w:val="22"/>
                <w:szCs w:val="22"/>
              </w:rPr>
            </w:pPr>
            <w:r>
              <w:rPr>
                <w:rFonts w:hint="eastAsia" w:ascii="宋体" w:hAnsi="宋体"/>
                <w:color w:val="auto"/>
                <w:kern w:val="0"/>
                <w:sz w:val="22"/>
                <w:szCs w:val="22"/>
              </w:rPr>
              <w:t xml:space="preserve"> /</w:t>
            </w:r>
          </w:p>
        </w:tc>
      </w:tr>
      <w:tr w14:paraId="7CF9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14449088">
            <w:pPr>
              <w:widowControl/>
              <w:rPr>
                <w:rFonts w:ascii="宋体" w:hAnsi="宋体"/>
                <w:color w:val="auto"/>
                <w:kern w:val="0"/>
                <w:sz w:val="22"/>
                <w:szCs w:val="22"/>
              </w:rPr>
            </w:pPr>
            <w:r>
              <w:rPr>
                <w:rFonts w:hint="eastAsia" w:ascii="宋体" w:hAnsi="宋体"/>
                <w:color w:val="auto"/>
                <w:kern w:val="0"/>
                <w:sz w:val="22"/>
                <w:szCs w:val="22"/>
              </w:rPr>
              <w:t>101</w:t>
            </w:r>
          </w:p>
        </w:tc>
        <w:tc>
          <w:tcPr>
            <w:tcW w:w="0" w:type="auto"/>
            <w:vMerge w:val="continue"/>
            <w:tcBorders>
              <w:top w:val="nil"/>
              <w:left w:val="single" w:color="auto" w:sz="4" w:space="0"/>
              <w:bottom w:val="single" w:color="auto" w:sz="4" w:space="0"/>
              <w:right w:val="single" w:color="auto" w:sz="4" w:space="0"/>
            </w:tcBorders>
            <w:vAlign w:val="center"/>
          </w:tcPr>
          <w:p w14:paraId="7FC5C6A3">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F794312">
            <w:pPr>
              <w:widowControl/>
              <w:rPr>
                <w:rFonts w:ascii="宋体" w:hAnsi="宋体"/>
                <w:color w:val="auto"/>
                <w:kern w:val="0"/>
                <w:sz w:val="22"/>
                <w:szCs w:val="22"/>
              </w:rPr>
            </w:pPr>
            <w:r>
              <w:rPr>
                <w:rFonts w:hint="eastAsia" w:ascii="宋体" w:hAnsi="宋体"/>
                <w:color w:val="auto"/>
                <w:kern w:val="0"/>
                <w:sz w:val="22"/>
                <w:szCs w:val="22"/>
              </w:rPr>
              <w:t>无线网卡频宽</w:t>
            </w:r>
          </w:p>
        </w:tc>
        <w:tc>
          <w:tcPr>
            <w:tcW w:w="2740" w:type="pct"/>
            <w:tcBorders>
              <w:top w:val="single" w:color="auto" w:sz="4" w:space="0"/>
              <w:left w:val="single" w:color="auto" w:sz="4" w:space="0"/>
              <w:bottom w:val="single" w:color="auto" w:sz="4" w:space="0"/>
              <w:right w:val="single" w:color="auto" w:sz="4" w:space="0"/>
            </w:tcBorders>
          </w:tcPr>
          <w:p w14:paraId="7DCA6583">
            <w:pPr>
              <w:widowControl/>
              <w:rPr>
                <w:rFonts w:ascii="宋体" w:hAnsi="宋体"/>
                <w:color w:val="auto"/>
                <w:kern w:val="0"/>
                <w:sz w:val="22"/>
                <w:szCs w:val="22"/>
              </w:rPr>
            </w:pPr>
            <w:r>
              <w:rPr>
                <w:rFonts w:hint="eastAsia" w:ascii="宋体" w:hAnsi="宋体"/>
                <w:color w:val="auto"/>
                <w:kern w:val="0"/>
                <w:sz w:val="22"/>
                <w:szCs w:val="22"/>
              </w:rPr>
              <w:t xml:space="preserve"> /</w:t>
            </w:r>
          </w:p>
        </w:tc>
      </w:tr>
      <w:tr w14:paraId="0DB4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04DBD5F6">
            <w:pPr>
              <w:widowControl/>
              <w:rPr>
                <w:rFonts w:ascii="宋体" w:hAnsi="宋体"/>
                <w:color w:val="auto"/>
                <w:kern w:val="0"/>
                <w:sz w:val="22"/>
                <w:szCs w:val="22"/>
              </w:rPr>
            </w:pPr>
            <w:r>
              <w:rPr>
                <w:rFonts w:hint="eastAsia" w:ascii="宋体" w:hAnsi="宋体"/>
                <w:color w:val="auto"/>
                <w:kern w:val="0"/>
                <w:sz w:val="22"/>
                <w:szCs w:val="22"/>
              </w:rPr>
              <w:t>102</w:t>
            </w:r>
          </w:p>
        </w:tc>
        <w:tc>
          <w:tcPr>
            <w:tcW w:w="555" w:type="pct"/>
            <w:vMerge w:val="restart"/>
            <w:tcBorders>
              <w:top w:val="nil"/>
              <w:left w:val="single" w:color="auto" w:sz="4" w:space="0"/>
              <w:bottom w:val="single" w:color="auto" w:sz="4" w:space="0"/>
              <w:right w:val="single" w:color="auto" w:sz="4" w:space="0"/>
            </w:tcBorders>
            <w:vAlign w:val="center"/>
          </w:tcPr>
          <w:p w14:paraId="65FCB6F0">
            <w:pPr>
              <w:widowControl/>
              <w:rPr>
                <w:rFonts w:ascii="宋体" w:hAnsi="宋体"/>
                <w:color w:val="auto"/>
                <w:kern w:val="0"/>
                <w:sz w:val="22"/>
                <w:szCs w:val="22"/>
              </w:rPr>
            </w:pPr>
            <w:r>
              <w:rPr>
                <w:rFonts w:hint="eastAsia" w:ascii="宋体" w:hAnsi="宋体"/>
                <w:color w:val="auto"/>
                <w:kern w:val="0"/>
                <w:sz w:val="22"/>
                <w:szCs w:val="22"/>
              </w:rPr>
              <w:t>▲主板功能</w:t>
            </w:r>
          </w:p>
        </w:tc>
        <w:tc>
          <w:tcPr>
            <w:tcW w:w="1356" w:type="pct"/>
            <w:tcBorders>
              <w:top w:val="single" w:color="auto" w:sz="4" w:space="0"/>
              <w:left w:val="single" w:color="auto" w:sz="4" w:space="0"/>
              <w:bottom w:val="single" w:color="auto" w:sz="4" w:space="0"/>
              <w:right w:val="single" w:color="auto" w:sz="4" w:space="0"/>
            </w:tcBorders>
          </w:tcPr>
          <w:p w14:paraId="50A32233">
            <w:pPr>
              <w:widowControl/>
              <w:rPr>
                <w:rFonts w:ascii="宋体" w:hAnsi="宋体"/>
                <w:color w:val="auto"/>
                <w:kern w:val="0"/>
                <w:sz w:val="22"/>
                <w:szCs w:val="22"/>
              </w:rPr>
            </w:pPr>
            <w:r>
              <w:rPr>
                <w:rFonts w:hint="eastAsia" w:ascii="宋体" w:hAnsi="宋体"/>
                <w:color w:val="auto"/>
                <w:kern w:val="0"/>
                <w:sz w:val="22"/>
                <w:szCs w:val="22"/>
              </w:rPr>
              <w:t xml:space="preserve"> ▲内存扩展接口(板载内存不涉及)</w:t>
            </w:r>
          </w:p>
        </w:tc>
        <w:tc>
          <w:tcPr>
            <w:tcW w:w="2740" w:type="pct"/>
            <w:tcBorders>
              <w:top w:val="single" w:color="auto" w:sz="4" w:space="0"/>
              <w:left w:val="single" w:color="auto" w:sz="4" w:space="0"/>
              <w:bottom w:val="single" w:color="auto" w:sz="4" w:space="0"/>
              <w:right w:val="single" w:color="auto" w:sz="4" w:space="0"/>
            </w:tcBorders>
          </w:tcPr>
          <w:p w14:paraId="48A639F3">
            <w:pPr>
              <w:widowControl/>
              <w:rPr>
                <w:rFonts w:ascii="宋体" w:hAnsi="宋体"/>
                <w:color w:val="auto"/>
                <w:kern w:val="0"/>
                <w:sz w:val="22"/>
                <w:szCs w:val="22"/>
              </w:rPr>
            </w:pPr>
            <w:r>
              <w:rPr>
                <w:rFonts w:hint="eastAsia" w:ascii="宋体" w:hAnsi="宋体"/>
                <w:color w:val="auto"/>
                <w:kern w:val="0"/>
                <w:sz w:val="22"/>
                <w:szCs w:val="22"/>
              </w:rPr>
              <w:t>≥2 个</w:t>
            </w:r>
          </w:p>
        </w:tc>
      </w:tr>
      <w:tr w14:paraId="51E5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3F92385C">
            <w:pPr>
              <w:widowControl/>
              <w:rPr>
                <w:rFonts w:ascii="宋体" w:hAnsi="宋体"/>
                <w:color w:val="auto"/>
                <w:kern w:val="0"/>
                <w:sz w:val="22"/>
                <w:szCs w:val="22"/>
              </w:rPr>
            </w:pPr>
            <w:r>
              <w:rPr>
                <w:rFonts w:hint="eastAsia" w:ascii="宋体" w:hAnsi="宋体"/>
                <w:color w:val="auto"/>
                <w:kern w:val="0"/>
                <w:sz w:val="22"/>
                <w:szCs w:val="22"/>
              </w:rPr>
              <w:t>103</w:t>
            </w:r>
          </w:p>
        </w:tc>
        <w:tc>
          <w:tcPr>
            <w:tcW w:w="0" w:type="auto"/>
            <w:vMerge w:val="continue"/>
            <w:tcBorders>
              <w:top w:val="nil"/>
              <w:left w:val="single" w:color="auto" w:sz="4" w:space="0"/>
              <w:bottom w:val="single" w:color="auto" w:sz="4" w:space="0"/>
              <w:right w:val="single" w:color="auto" w:sz="4" w:space="0"/>
            </w:tcBorders>
            <w:vAlign w:val="center"/>
          </w:tcPr>
          <w:p w14:paraId="22C65D0A">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54946565">
            <w:pPr>
              <w:widowControl/>
              <w:rPr>
                <w:rFonts w:ascii="宋体" w:hAnsi="宋体"/>
                <w:color w:val="auto"/>
                <w:kern w:val="0"/>
                <w:sz w:val="22"/>
                <w:szCs w:val="22"/>
              </w:rPr>
            </w:pPr>
            <w:r>
              <w:rPr>
                <w:rFonts w:hint="eastAsia" w:ascii="宋体" w:hAnsi="宋体"/>
                <w:color w:val="auto"/>
                <w:kern w:val="0"/>
                <w:sz w:val="22"/>
                <w:szCs w:val="22"/>
              </w:rPr>
              <w:t>存储扩展接口(板载存储不涉及)</w:t>
            </w:r>
          </w:p>
        </w:tc>
        <w:tc>
          <w:tcPr>
            <w:tcW w:w="2740" w:type="pct"/>
            <w:tcBorders>
              <w:top w:val="single" w:color="auto" w:sz="4" w:space="0"/>
              <w:left w:val="single" w:color="auto" w:sz="4" w:space="0"/>
              <w:bottom w:val="single" w:color="auto" w:sz="4" w:space="0"/>
              <w:right w:val="single" w:color="auto" w:sz="4" w:space="0"/>
            </w:tcBorders>
          </w:tcPr>
          <w:p w14:paraId="5A2A9964">
            <w:pPr>
              <w:widowControl/>
              <w:rPr>
                <w:rFonts w:ascii="宋体" w:hAnsi="宋体"/>
                <w:color w:val="auto"/>
                <w:kern w:val="0"/>
                <w:sz w:val="22"/>
                <w:szCs w:val="22"/>
              </w:rPr>
            </w:pPr>
            <w:r>
              <w:rPr>
                <w:rFonts w:hint="eastAsia" w:ascii="宋体" w:hAnsi="宋体"/>
                <w:color w:val="auto"/>
                <w:kern w:val="0"/>
                <w:sz w:val="22"/>
                <w:szCs w:val="22"/>
              </w:rPr>
              <w:t>供应商给出主板支持存储扩展接口类型，如UFS3.0、SATA3.0、SAS3.0、M.2 等类型接口</w:t>
            </w:r>
          </w:p>
        </w:tc>
      </w:tr>
      <w:tr w14:paraId="5B59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47" w:type="pct"/>
            <w:tcBorders>
              <w:top w:val="single" w:color="auto" w:sz="4" w:space="0"/>
              <w:left w:val="single" w:color="auto" w:sz="4" w:space="0"/>
              <w:bottom w:val="single" w:color="auto" w:sz="4" w:space="0"/>
              <w:right w:val="single" w:color="auto" w:sz="4" w:space="0"/>
            </w:tcBorders>
          </w:tcPr>
          <w:p w14:paraId="3FAE99B3">
            <w:pPr>
              <w:widowControl/>
              <w:rPr>
                <w:rFonts w:ascii="宋体" w:hAnsi="宋体"/>
                <w:color w:val="auto"/>
                <w:kern w:val="0"/>
                <w:sz w:val="22"/>
                <w:szCs w:val="22"/>
              </w:rPr>
            </w:pPr>
            <w:r>
              <w:rPr>
                <w:rFonts w:hint="eastAsia" w:ascii="宋体" w:hAnsi="宋体"/>
                <w:color w:val="auto"/>
                <w:kern w:val="0"/>
                <w:sz w:val="22"/>
                <w:szCs w:val="22"/>
              </w:rPr>
              <w:t>104</w:t>
            </w:r>
          </w:p>
        </w:tc>
        <w:tc>
          <w:tcPr>
            <w:tcW w:w="0" w:type="auto"/>
            <w:vMerge w:val="continue"/>
            <w:tcBorders>
              <w:top w:val="nil"/>
              <w:left w:val="single" w:color="auto" w:sz="4" w:space="0"/>
              <w:bottom w:val="single" w:color="auto" w:sz="4" w:space="0"/>
              <w:right w:val="single" w:color="auto" w:sz="4" w:space="0"/>
            </w:tcBorders>
            <w:vAlign w:val="center"/>
          </w:tcPr>
          <w:p w14:paraId="6D400639">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ED631C1">
            <w:pPr>
              <w:widowControl/>
              <w:rPr>
                <w:rFonts w:ascii="宋体" w:hAnsi="宋体"/>
                <w:color w:val="auto"/>
                <w:kern w:val="0"/>
                <w:sz w:val="22"/>
                <w:szCs w:val="22"/>
              </w:rPr>
            </w:pPr>
            <w:r>
              <w:rPr>
                <w:rFonts w:hint="eastAsia" w:ascii="宋体" w:hAnsi="宋体"/>
                <w:color w:val="auto"/>
                <w:kern w:val="0"/>
                <w:sz w:val="22"/>
                <w:szCs w:val="22"/>
              </w:rPr>
              <w:t xml:space="preserve"> ▲主板USB 瞬间过流保护</w:t>
            </w:r>
          </w:p>
        </w:tc>
        <w:tc>
          <w:tcPr>
            <w:tcW w:w="2740" w:type="pct"/>
            <w:tcBorders>
              <w:top w:val="single" w:color="auto" w:sz="4" w:space="0"/>
              <w:left w:val="single" w:color="auto" w:sz="4" w:space="0"/>
              <w:bottom w:val="single" w:color="auto" w:sz="4" w:space="0"/>
              <w:right w:val="single" w:color="auto" w:sz="4" w:space="0"/>
            </w:tcBorders>
          </w:tcPr>
          <w:p w14:paraId="2413ABED">
            <w:pPr>
              <w:widowControl/>
              <w:rPr>
                <w:rFonts w:ascii="宋体" w:hAnsi="宋体"/>
                <w:color w:val="auto"/>
                <w:kern w:val="0"/>
                <w:sz w:val="22"/>
                <w:szCs w:val="22"/>
              </w:rPr>
            </w:pPr>
            <w:r>
              <w:rPr>
                <w:rFonts w:hint="eastAsia" w:ascii="宋体" w:hAnsi="宋体"/>
                <w:color w:val="auto"/>
                <w:kern w:val="0"/>
                <w:sz w:val="22"/>
                <w:szCs w:val="22"/>
              </w:rPr>
              <w:t>支持有瞬间过流保护功能</w:t>
            </w:r>
          </w:p>
        </w:tc>
      </w:tr>
      <w:tr w14:paraId="2F59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6344E21B">
            <w:pPr>
              <w:widowControl/>
              <w:rPr>
                <w:rFonts w:ascii="宋体" w:hAnsi="宋体"/>
                <w:color w:val="auto"/>
                <w:kern w:val="0"/>
                <w:sz w:val="22"/>
                <w:szCs w:val="22"/>
              </w:rPr>
            </w:pPr>
            <w:r>
              <w:rPr>
                <w:rFonts w:hint="eastAsia" w:ascii="宋体" w:hAnsi="宋体"/>
                <w:color w:val="auto"/>
                <w:kern w:val="0"/>
                <w:sz w:val="22"/>
                <w:szCs w:val="22"/>
              </w:rPr>
              <w:t>105</w:t>
            </w:r>
          </w:p>
        </w:tc>
        <w:tc>
          <w:tcPr>
            <w:tcW w:w="0" w:type="auto"/>
            <w:vMerge w:val="continue"/>
            <w:tcBorders>
              <w:top w:val="nil"/>
              <w:left w:val="single" w:color="auto" w:sz="4" w:space="0"/>
              <w:bottom w:val="single" w:color="auto" w:sz="4" w:space="0"/>
              <w:right w:val="single" w:color="auto" w:sz="4" w:space="0"/>
            </w:tcBorders>
            <w:vAlign w:val="center"/>
          </w:tcPr>
          <w:p w14:paraId="3F62053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56374098">
            <w:pPr>
              <w:widowControl/>
              <w:rPr>
                <w:rFonts w:ascii="宋体" w:hAnsi="宋体"/>
                <w:color w:val="auto"/>
                <w:kern w:val="0"/>
                <w:sz w:val="22"/>
                <w:szCs w:val="22"/>
              </w:rPr>
            </w:pPr>
            <w:r>
              <w:rPr>
                <w:rFonts w:hint="eastAsia" w:ascii="宋体" w:hAnsi="宋体"/>
                <w:color w:val="auto"/>
                <w:kern w:val="0"/>
                <w:sz w:val="22"/>
                <w:szCs w:val="22"/>
              </w:rPr>
              <w:t xml:space="preserve"> ▲主板防静电保护</w:t>
            </w:r>
          </w:p>
        </w:tc>
        <w:tc>
          <w:tcPr>
            <w:tcW w:w="2740" w:type="pct"/>
            <w:tcBorders>
              <w:top w:val="single" w:color="auto" w:sz="4" w:space="0"/>
              <w:left w:val="single" w:color="auto" w:sz="4" w:space="0"/>
              <w:bottom w:val="single" w:color="auto" w:sz="4" w:space="0"/>
              <w:right w:val="single" w:color="auto" w:sz="4" w:space="0"/>
            </w:tcBorders>
          </w:tcPr>
          <w:p w14:paraId="491A1E1D">
            <w:pPr>
              <w:widowControl/>
              <w:rPr>
                <w:rFonts w:ascii="宋体" w:hAnsi="宋体"/>
                <w:color w:val="auto"/>
                <w:kern w:val="0"/>
                <w:sz w:val="22"/>
                <w:szCs w:val="22"/>
              </w:rPr>
            </w:pPr>
            <w:r>
              <w:rPr>
                <w:rFonts w:hint="eastAsia" w:ascii="宋体" w:hAnsi="宋体"/>
                <w:color w:val="auto"/>
                <w:kern w:val="0"/>
                <w:sz w:val="22"/>
                <w:szCs w:val="22"/>
              </w:rPr>
              <w:t>支持防静电保护功能</w:t>
            </w:r>
          </w:p>
        </w:tc>
      </w:tr>
      <w:tr w14:paraId="5779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4D309378">
            <w:pPr>
              <w:widowControl/>
              <w:rPr>
                <w:rFonts w:ascii="宋体" w:hAnsi="宋体"/>
                <w:color w:val="auto"/>
                <w:kern w:val="0"/>
                <w:sz w:val="22"/>
                <w:szCs w:val="22"/>
              </w:rPr>
            </w:pPr>
            <w:r>
              <w:rPr>
                <w:rFonts w:hint="eastAsia" w:ascii="宋体" w:hAnsi="宋体"/>
                <w:color w:val="auto"/>
                <w:kern w:val="0"/>
                <w:sz w:val="22"/>
                <w:szCs w:val="22"/>
              </w:rPr>
              <w:t>106</w:t>
            </w:r>
          </w:p>
        </w:tc>
        <w:tc>
          <w:tcPr>
            <w:tcW w:w="0" w:type="auto"/>
            <w:vMerge w:val="continue"/>
            <w:tcBorders>
              <w:top w:val="nil"/>
              <w:left w:val="single" w:color="auto" w:sz="4" w:space="0"/>
              <w:bottom w:val="single" w:color="auto" w:sz="4" w:space="0"/>
              <w:right w:val="single" w:color="auto" w:sz="4" w:space="0"/>
            </w:tcBorders>
            <w:vAlign w:val="center"/>
          </w:tcPr>
          <w:p w14:paraId="3A23917A">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C7D9ED0">
            <w:pPr>
              <w:widowControl/>
              <w:rPr>
                <w:rFonts w:ascii="宋体" w:hAnsi="宋体"/>
                <w:color w:val="auto"/>
                <w:kern w:val="0"/>
                <w:sz w:val="22"/>
                <w:szCs w:val="22"/>
              </w:rPr>
            </w:pPr>
            <w:r>
              <w:rPr>
                <w:rFonts w:hint="eastAsia" w:ascii="宋体" w:hAnsi="宋体"/>
                <w:color w:val="auto"/>
                <w:kern w:val="0"/>
                <w:sz w:val="22"/>
                <w:szCs w:val="22"/>
              </w:rPr>
              <w:t xml:space="preserve"> ▲I/O接口功能</w:t>
            </w:r>
          </w:p>
        </w:tc>
        <w:tc>
          <w:tcPr>
            <w:tcW w:w="2740" w:type="pct"/>
            <w:tcBorders>
              <w:top w:val="single" w:color="auto" w:sz="4" w:space="0"/>
              <w:left w:val="single" w:color="auto" w:sz="4" w:space="0"/>
              <w:bottom w:val="single" w:color="auto" w:sz="4" w:space="0"/>
              <w:right w:val="single" w:color="auto" w:sz="4" w:space="0"/>
            </w:tcBorders>
          </w:tcPr>
          <w:p w14:paraId="045D3083">
            <w:pPr>
              <w:widowControl/>
              <w:rPr>
                <w:rFonts w:ascii="宋体" w:hAnsi="宋体"/>
                <w:color w:val="auto"/>
                <w:kern w:val="0"/>
                <w:sz w:val="22"/>
                <w:szCs w:val="22"/>
              </w:rPr>
            </w:pPr>
            <w:r>
              <w:rPr>
                <w:rFonts w:hint="eastAsia" w:ascii="宋体" w:hAnsi="宋体"/>
                <w:color w:val="auto"/>
                <w:kern w:val="0"/>
                <w:sz w:val="22"/>
                <w:szCs w:val="22"/>
              </w:rPr>
              <w:t>提供基于标准USB接口外设连接功能、基于音频输入输出接口的音频扩展功能、基于PCIe接口板卡扩展功能、基于HDMI或VGA或Type-C或DVI或DP 等接口外接显示器扩展功能、基于存储接口对产品进行增容功能等。产品I/O接口，应具备外接标准USB设备、显示器、音频设备等内外部设备能力</w:t>
            </w:r>
          </w:p>
        </w:tc>
      </w:tr>
      <w:tr w14:paraId="3382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347" w:type="pct"/>
            <w:tcBorders>
              <w:top w:val="single" w:color="auto" w:sz="4" w:space="0"/>
              <w:left w:val="single" w:color="auto" w:sz="4" w:space="0"/>
              <w:bottom w:val="single" w:color="auto" w:sz="4" w:space="0"/>
              <w:right w:val="single" w:color="auto" w:sz="4" w:space="0"/>
            </w:tcBorders>
          </w:tcPr>
          <w:p w14:paraId="0690F3EE">
            <w:pPr>
              <w:widowControl/>
              <w:rPr>
                <w:rFonts w:ascii="宋体" w:hAnsi="宋体"/>
                <w:color w:val="auto"/>
                <w:kern w:val="0"/>
                <w:sz w:val="22"/>
                <w:szCs w:val="22"/>
              </w:rPr>
            </w:pPr>
            <w:r>
              <w:rPr>
                <w:rFonts w:hint="eastAsia" w:ascii="宋体" w:hAnsi="宋体"/>
                <w:color w:val="auto"/>
                <w:kern w:val="0"/>
                <w:sz w:val="22"/>
                <w:szCs w:val="22"/>
              </w:rPr>
              <w:t>107</w:t>
            </w:r>
          </w:p>
        </w:tc>
        <w:tc>
          <w:tcPr>
            <w:tcW w:w="555" w:type="pct"/>
            <w:vMerge w:val="restart"/>
            <w:tcBorders>
              <w:top w:val="nil"/>
              <w:left w:val="single" w:color="auto" w:sz="4" w:space="0"/>
              <w:bottom w:val="single" w:color="auto" w:sz="4" w:space="0"/>
              <w:right w:val="single" w:color="auto" w:sz="4" w:space="0"/>
            </w:tcBorders>
            <w:vAlign w:val="center"/>
          </w:tcPr>
          <w:p w14:paraId="2F05498E">
            <w:pPr>
              <w:widowControl/>
              <w:rPr>
                <w:rFonts w:ascii="宋体" w:hAnsi="宋体"/>
                <w:color w:val="auto"/>
                <w:kern w:val="0"/>
                <w:sz w:val="22"/>
                <w:szCs w:val="22"/>
              </w:rPr>
            </w:pPr>
            <w:r>
              <w:rPr>
                <w:rFonts w:hint="eastAsia" w:ascii="宋体" w:hAnsi="宋体"/>
                <w:color w:val="auto"/>
                <w:kern w:val="0"/>
                <w:sz w:val="22"/>
                <w:szCs w:val="22"/>
              </w:rPr>
              <w:t>▲显卡功能</w:t>
            </w:r>
          </w:p>
        </w:tc>
        <w:tc>
          <w:tcPr>
            <w:tcW w:w="1356" w:type="pct"/>
            <w:tcBorders>
              <w:top w:val="single" w:color="auto" w:sz="4" w:space="0"/>
              <w:left w:val="single" w:color="auto" w:sz="4" w:space="0"/>
              <w:bottom w:val="single" w:color="auto" w:sz="4" w:space="0"/>
              <w:right w:val="single" w:color="auto" w:sz="4" w:space="0"/>
            </w:tcBorders>
          </w:tcPr>
          <w:p w14:paraId="297A7616">
            <w:pPr>
              <w:widowControl/>
              <w:rPr>
                <w:rFonts w:ascii="宋体" w:hAnsi="宋体"/>
                <w:color w:val="auto"/>
                <w:kern w:val="0"/>
                <w:sz w:val="22"/>
                <w:szCs w:val="22"/>
              </w:rPr>
            </w:pPr>
            <w:r>
              <w:rPr>
                <w:rFonts w:hint="eastAsia" w:ascii="宋体" w:hAnsi="宋体"/>
                <w:color w:val="auto"/>
                <w:kern w:val="0"/>
                <w:sz w:val="22"/>
                <w:szCs w:val="22"/>
              </w:rPr>
              <w:t>▲显卡外接显示接口</w:t>
            </w:r>
          </w:p>
        </w:tc>
        <w:tc>
          <w:tcPr>
            <w:tcW w:w="2740" w:type="pct"/>
            <w:tcBorders>
              <w:top w:val="single" w:color="auto" w:sz="4" w:space="0"/>
              <w:left w:val="single" w:color="auto" w:sz="4" w:space="0"/>
              <w:bottom w:val="single" w:color="auto" w:sz="4" w:space="0"/>
              <w:right w:val="single" w:color="auto" w:sz="4" w:space="0"/>
            </w:tcBorders>
          </w:tcPr>
          <w:p w14:paraId="0A82ADF3">
            <w:pPr>
              <w:widowControl/>
              <w:rPr>
                <w:rFonts w:ascii="宋体" w:hAnsi="宋体"/>
                <w:color w:val="auto"/>
                <w:kern w:val="0"/>
                <w:sz w:val="22"/>
                <w:szCs w:val="22"/>
              </w:rPr>
            </w:pPr>
            <w:r>
              <w:rPr>
                <w:rFonts w:hint="eastAsia" w:ascii="宋体" w:hAnsi="宋体"/>
                <w:color w:val="auto"/>
                <w:kern w:val="0"/>
                <w:sz w:val="22"/>
                <w:szCs w:val="22"/>
              </w:rPr>
              <w:t>显卡至少支持 VGA、HDMI 2 种显示接口，并与显示器接口相匹配</w:t>
            </w:r>
          </w:p>
        </w:tc>
      </w:tr>
      <w:tr w14:paraId="6CEC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428E6961">
            <w:pPr>
              <w:widowControl/>
              <w:rPr>
                <w:rFonts w:ascii="宋体" w:hAnsi="宋体"/>
                <w:color w:val="auto"/>
                <w:kern w:val="0"/>
                <w:sz w:val="22"/>
                <w:szCs w:val="22"/>
              </w:rPr>
            </w:pPr>
            <w:r>
              <w:rPr>
                <w:rFonts w:hint="eastAsia" w:ascii="宋体" w:hAnsi="宋体"/>
                <w:color w:val="auto"/>
                <w:kern w:val="0"/>
                <w:sz w:val="22"/>
                <w:szCs w:val="22"/>
              </w:rPr>
              <w:t>108</w:t>
            </w:r>
          </w:p>
        </w:tc>
        <w:tc>
          <w:tcPr>
            <w:tcW w:w="0" w:type="auto"/>
            <w:vMerge w:val="continue"/>
            <w:tcBorders>
              <w:top w:val="nil"/>
              <w:left w:val="single" w:color="auto" w:sz="4" w:space="0"/>
              <w:bottom w:val="single" w:color="auto" w:sz="4" w:space="0"/>
              <w:right w:val="single" w:color="auto" w:sz="4" w:space="0"/>
            </w:tcBorders>
            <w:vAlign w:val="center"/>
          </w:tcPr>
          <w:p w14:paraId="7F659D55">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5E13E85F">
            <w:pPr>
              <w:widowControl/>
              <w:rPr>
                <w:rFonts w:ascii="宋体" w:hAnsi="宋体"/>
                <w:color w:val="auto"/>
                <w:kern w:val="0"/>
                <w:sz w:val="22"/>
                <w:szCs w:val="22"/>
              </w:rPr>
            </w:pPr>
            <w:r>
              <w:rPr>
                <w:rFonts w:hint="eastAsia" w:ascii="宋体" w:hAnsi="宋体"/>
                <w:color w:val="auto"/>
                <w:kern w:val="0"/>
                <w:sz w:val="22"/>
                <w:szCs w:val="22"/>
              </w:rPr>
              <w:t>独立显卡数量</w:t>
            </w:r>
          </w:p>
        </w:tc>
        <w:tc>
          <w:tcPr>
            <w:tcW w:w="2740" w:type="pct"/>
            <w:tcBorders>
              <w:top w:val="single" w:color="auto" w:sz="4" w:space="0"/>
              <w:left w:val="single" w:color="auto" w:sz="4" w:space="0"/>
              <w:bottom w:val="single" w:color="auto" w:sz="4" w:space="0"/>
              <w:right w:val="single" w:color="auto" w:sz="4" w:space="0"/>
            </w:tcBorders>
          </w:tcPr>
          <w:p w14:paraId="4969974F">
            <w:pPr>
              <w:widowControl/>
              <w:rPr>
                <w:rFonts w:ascii="宋体" w:hAnsi="宋体"/>
                <w:color w:val="auto"/>
                <w:kern w:val="0"/>
                <w:sz w:val="22"/>
                <w:szCs w:val="22"/>
              </w:rPr>
            </w:pPr>
            <w:r>
              <w:rPr>
                <w:rFonts w:hint="eastAsia" w:ascii="宋体" w:hAnsi="宋体"/>
                <w:color w:val="auto"/>
                <w:kern w:val="0"/>
                <w:sz w:val="22"/>
                <w:szCs w:val="22"/>
              </w:rPr>
              <w:t>≥0</w:t>
            </w:r>
          </w:p>
        </w:tc>
      </w:tr>
      <w:tr w14:paraId="2D22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5AD08EBC">
            <w:pPr>
              <w:widowControl/>
              <w:rPr>
                <w:rFonts w:ascii="宋体" w:hAnsi="宋体"/>
                <w:color w:val="auto"/>
                <w:kern w:val="0"/>
                <w:sz w:val="22"/>
                <w:szCs w:val="22"/>
              </w:rPr>
            </w:pPr>
            <w:r>
              <w:rPr>
                <w:rFonts w:hint="eastAsia" w:ascii="宋体" w:hAnsi="宋体"/>
                <w:color w:val="auto"/>
                <w:kern w:val="0"/>
                <w:sz w:val="22"/>
                <w:szCs w:val="22"/>
              </w:rPr>
              <w:t>109</w:t>
            </w:r>
          </w:p>
        </w:tc>
        <w:tc>
          <w:tcPr>
            <w:tcW w:w="555" w:type="pct"/>
            <w:vMerge w:val="restart"/>
            <w:tcBorders>
              <w:top w:val="nil"/>
              <w:left w:val="single" w:color="auto" w:sz="4" w:space="0"/>
              <w:bottom w:val="single" w:color="auto" w:sz="4" w:space="0"/>
              <w:right w:val="single" w:color="auto" w:sz="4" w:space="0"/>
            </w:tcBorders>
            <w:vAlign w:val="center"/>
          </w:tcPr>
          <w:p w14:paraId="7F2BD53D">
            <w:pPr>
              <w:widowControl/>
              <w:rPr>
                <w:rFonts w:ascii="宋体" w:hAnsi="宋体"/>
                <w:color w:val="auto"/>
                <w:kern w:val="0"/>
                <w:sz w:val="22"/>
                <w:szCs w:val="22"/>
              </w:rPr>
            </w:pPr>
            <w:r>
              <w:rPr>
                <w:rFonts w:hint="eastAsia" w:ascii="宋体" w:hAnsi="宋体"/>
                <w:color w:val="auto"/>
                <w:kern w:val="0"/>
                <w:sz w:val="22"/>
                <w:szCs w:val="22"/>
              </w:rPr>
              <w:t>▲显示设备功能</w:t>
            </w:r>
          </w:p>
        </w:tc>
        <w:tc>
          <w:tcPr>
            <w:tcW w:w="1356" w:type="pct"/>
            <w:tcBorders>
              <w:top w:val="single" w:color="auto" w:sz="4" w:space="0"/>
              <w:left w:val="single" w:color="auto" w:sz="4" w:space="0"/>
              <w:bottom w:val="single" w:color="auto" w:sz="4" w:space="0"/>
              <w:right w:val="single" w:color="auto" w:sz="4" w:space="0"/>
            </w:tcBorders>
          </w:tcPr>
          <w:p w14:paraId="35715A01">
            <w:pPr>
              <w:widowControl/>
              <w:rPr>
                <w:rFonts w:ascii="宋体" w:hAnsi="宋体"/>
                <w:color w:val="auto"/>
                <w:kern w:val="0"/>
                <w:sz w:val="22"/>
                <w:szCs w:val="22"/>
              </w:rPr>
            </w:pPr>
            <w:r>
              <w:rPr>
                <w:rFonts w:hint="eastAsia" w:ascii="宋体" w:hAnsi="宋体"/>
                <w:color w:val="auto"/>
                <w:kern w:val="0"/>
                <w:sz w:val="22"/>
                <w:szCs w:val="22"/>
              </w:rPr>
              <w:t>▲显示器接口</w:t>
            </w:r>
          </w:p>
        </w:tc>
        <w:tc>
          <w:tcPr>
            <w:tcW w:w="2740" w:type="pct"/>
            <w:tcBorders>
              <w:top w:val="single" w:color="auto" w:sz="4" w:space="0"/>
              <w:left w:val="single" w:color="auto" w:sz="4" w:space="0"/>
              <w:bottom w:val="single" w:color="auto" w:sz="4" w:space="0"/>
              <w:right w:val="single" w:color="auto" w:sz="4" w:space="0"/>
            </w:tcBorders>
          </w:tcPr>
          <w:p w14:paraId="2C15EA9A">
            <w:pPr>
              <w:widowControl/>
              <w:rPr>
                <w:rFonts w:ascii="宋体" w:hAnsi="宋体"/>
                <w:color w:val="auto"/>
                <w:kern w:val="0"/>
                <w:sz w:val="22"/>
                <w:szCs w:val="22"/>
              </w:rPr>
            </w:pPr>
            <w:r>
              <w:rPr>
                <w:rFonts w:hint="eastAsia" w:ascii="宋体" w:hAnsi="宋体"/>
                <w:color w:val="auto"/>
                <w:kern w:val="0"/>
                <w:sz w:val="22"/>
                <w:szCs w:val="22"/>
              </w:rPr>
              <w:t>至少两种接口，显示器应与集成显卡外接显示接口匹配</w:t>
            </w:r>
          </w:p>
        </w:tc>
      </w:tr>
      <w:tr w14:paraId="20C0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734524AF">
            <w:pPr>
              <w:widowControl/>
              <w:rPr>
                <w:rFonts w:ascii="宋体" w:hAnsi="宋体"/>
                <w:color w:val="auto"/>
                <w:kern w:val="0"/>
                <w:sz w:val="22"/>
                <w:szCs w:val="22"/>
              </w:rPr>
            </w:pPr>
            <w:r>
              <w:rPr>
                <w:rFonts w:hint="eastAsia" w:ascii="宋体" w:hAnsi="宋体"/>
                <w:color w:val="auto"/>
                <w:kern w:val="0"/>
                <w:sz w:val="22"/>
                <w:szCs w:val="22"/>
              </w:rPr>
              <w:t>110</w:t>
            </w:r>
          </w:p>
        </w:tc>
        <w:tc>
          <w:tcPr>
            <w:tcW w:w="0" w:type="auto"/>
            <w:vMerge w:val="continue"/>
            <w:tcBorders>
              <w:top w:val="nil"/>
              <w:left w:val="single" w:color="auto" w:sz="4" w:space="0"/>
              <w:bottom w:val="single" w:color="auto" w:sz="4" w:space="0"/>
              <w:right w:val="single" w:color="auto" w:sz="4" w:space="0"/>
            </w:tcBorders>
            <w:vAlign w:val="center"/>
          </w:tcPr>
          <w:p w14:paraId="7547AD94">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7AE14C54">
            <w:pPr>
              <w:widowControl/>
              <w:rPr>
                <w:rFonts w:ascii="宋体" w:hAnsi="宋体"/>
                <w:color w:val="auto"/>
                <w:kern w:val="0"/>
                <w:sz w:val="22"/>
                <w:szCs w:val="22"/>
              </w:rPr>
            </w:pPr>
            <w:r>
              <w:rPr>
                <w:rFonts w:hint="eastAsia" w:ascii="宋体" w:hAnsi="宋体"/>
                <w:color w:val="auto"/>
                <w:kern w:val="0"/>
                <w:sz w:val="22"/>
                <w:szCs w:val="22"/>
              </w:rPr>
              <w:t xml:space="preserve"> ▲显示器支架</w:t>
            </w:r>
          </w:p>
        </w:tc>
        <w:tc>
          <w:tcPr>
            <w:tcW w:w="2740" w:type="pct"/>
            <w:tcBorders>
              <w:top w:val="single" w:color="auto" w:sz="4" w:space="0"/>
              <w:left w:val="single" w:color="auto" w:sz="4" w:space="0"/>
              <w:bottom w:val="single" w:color="auto" w:sz="4" w:space="0"/>
              <w:right w:val="single" w:color="auto" w:sz="4" w:space="0"/>
            </w:tcBorders>
          </w:tcPr>
          <w:p w14:paraId="4C2C8403">
            <w:pPr>
              <w:widowControl/>
              <w:rPr>
                <w:rFonts w:ascii="宋体" w:hAnsi="宋体"/>
                <w:color w:val="auto"/>
                <w:kern w:val="0"/>
                <w:sz w:val="22"/>
                <w:szCs w:val="22"/>
              </w:rPr>
            </w:pPr>
            <w:r>
              <w:rPr>
                <w:rFonts w:hint="eastAsia" w:ascii="宋体" w:hAnsi="宋体"/>
                <w:color w:val="auto"/>
                <w:kern w:val="0"/>
                <w:sz w:val="22"/>
                <w:szCs w:val="22"/>
              </w:rPr>
              <w:t>显示器应提供显示器支架</w:t>
            </w:r>
          </w:p>
        </w:tc>
      </w:tr>
      <w:tr w14:paraId="009A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223C4515">
            <w:pPr>
              <w:widowControl/>
              <w:rPr>
                <w:rFonts w:ascii="宋体" w:hAnsi="宋体"/>
                <w:color w:val="auto"/>
                <w:kern w:val="0"/>
                <w:sz w:val="22"/>
                <w:szCs w:val="22"/>
              </w:rPr>
            </w:pPr>
            <w:r>
              <w:rPr>
                <w:rFonts w:hint="eastAsia" w:ascii="宋体" w:hAnsi="宋体"/>
                <w:color w:val="auto"/>
                <w:kern w:val="0"/>
                <w:sz w:val="22"/>
                <w:szCs w:val="22"/>
              </w:rPr>
              <w:t>111</w:t>
            </w:r>
          </w:p>
        </w:tc>
        <w:tc>
          <w:tcPr>
            <w:tcW w:w="0" w:type="auto"/>
            <w:vMerge w:val="continue"/>
            <w:tcBorders>
              <w:top w:val="nil"/>
              <w:left w:val="single" w:color="auto" w:sz="4" w:space="0"/>
              <w:bottom w:val="single" w:color="auto" w:sz="4" w:space="0"/>
              <w:right w:val="single" w:color="auto" w:sz="4" w:space="0"/>
            </w:tcBorders>
            <w:vAlign w:val="center"/>
          </w:tcPr>
          <w:p w14:paraId="6B1680BE">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7B9A7F09">
            <w:pPr>
              <w:widowControl/>
              <w:rPr>
                <w:rFonts w:ascii="宋体" w:hAnsi="宋体"/>
                <w:color w:val="auto"/>
                <w:kern w:val="0"/>
                <w:sz w:val="22"/>
                <w:szCs w:val="22"/>
              </w:rPr>
            </w:pPr>
            <w:r>
              <w:rPr>
                <w:rFonts w:hint="eastAsia" w:ascii="宋体" w:hAnsi="宋体"/>
                <w:color w:val="auto"/>
                <w:kern w:val="0"/>
                <w:sz w:val="22"/>
                <w:szCs w:val="22"/>
              </w:rPr>
              <w:t xml:space="preserve"> ▲显示器参数调节</w:t>
            </w:r>
          </w:p>
        </w:tc>
        <w:tc>
          <w:tcPr>
            <w:tcW w:w="2740" w:type="pct"/>
            <w:tcBorders>
              <w:top w:val="single" w:color="auto" w:sz="4" w:space="0"/>
              <w:left w:val="single" w:color="auto" w:sz="4" w:space="0"/>
              <w:bottom w:val="single" w:color="auto" w:sz="4" w:space="0"/>
              <w:right w:val="single" w:color="auto" w:sz="4" w:space="0"/>
            </w:tcBorders>
          </w:tcPr>
          <w:p w14:paraId="266AC78B">
            <w:pPr>
              <w:widowControl/>
              <w:rPr>
                <w:rFonts w:ascii="宋体" w:hAnsi="宋体"/>
                <w:color w:val="auto"/>
                <w:kern w:val="0"/>
                <w:sz w:val="22"/>
                <w:szCs w:val="22"/>
              </w:rPr>
            </w:pPr>
            <w:r>
              <w:rPr>
                <w:rFonts w:hint="eastAsia" w:ascii="宋体" w:hAnsi="宋体"/>
                <w:color w:val="auto"/>
                <w:kern w:val="0"/>
                <w:sz w:val="22"/>
                <w:szCs w:val="22"/>
              </w:rPr>
              <w:t>a)提供OSD选单按钮用于调节色彩、模式等；</w:t>
            </w:r>
            <w:r>
              <w:rPr>
                <w:rFonts w:hint="eastAsia" w:ascii="宋体" w:hAnsi="宋体"/>
                <w:color w:val="auto"/>
                <w:kern w:val="0"/>
                <w:sz w:val="22"/>
                <w:szCs w:val="22"/>
              </w:rPr>
              <w:br w:type="textWrapping"/>
            </w:r>
            <w:r>
              <w:rPr>
                <w:rFonts w:hint="eastAsia" w:ascii="宋体" w:hAnsi="宋体"/>
                <w:color w:val="auto"/>
                <w:kern w:val="0"/>
                <w:sz w:val="22"/>
                <w:szCs w:val="22"/>
              </w:rPr>
              <w:t>b)支持色温、亮度、对比度调节</w:t>
            </w:r>
          </w:p>
        </w:tc>
      </w:tr>
      <w:tr w14:paraId="1880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47" w:type="pct"/>
            <w:tcBorders>
              <w:top w:val="single" w:color="auto" w:sz="4" w:space="0"/>
              <w:left w:val="single" w:color="auto" w:sz="4" w:space="0"/>
              <w:bottom w:val="single" w:color="auto" w:sz="4" w:space="0"/>
              <w:right w:val="single" w:color="auto" w:sz="4" w:space="0"/>
            </w:tcBorders>
          </w:tcPr>
          <w:p w14:paraId="26A2A30A">
            <w:pPr>
              <w:widowControl/>
              <w:rPr>
                <w:rFonts w:ascii="宋体" w:hAnsi="宋体"/>
                <w:color w:val="auto"/>
                <w:kern w:val="0"/>
                <w:sz w:val="22"/>
                <w:szCs w:val="22"/>
              </w:rPr>
            </w:pPr>
            <w:r>
              <w:rPr>
                <w:rFonts w:hint="eastAsia" w:ascii="宋体" w:hAnsi="宋体"/>
                <w:color w:val="auto"/>
                <w:kern w:val="0"/>
                <w:sz w:val="22"/>
                <w:szCs w:val="22"/>
              </w:rPr>
              <w:t>112</w:t>
            </w:r>
          </w:p>
        </w:tc>
        <w:tc>
          <w:tcPr>
            <w:tcW w:w="555" w:type="pct"/>
            <w:vMerge w:val="restart"/>
            <w:tcBorders>
              <w:top w:val="nil"/>
              <w:left w:val="single" w:color="auto" w:sz="4" w:space="0"/>
              <w:bottom w:val="single" w:color="auto" w:sz="4" w:space="0"/>
              <w:right w:val="single" w:color="auto" w:sz="4" w:space="0"/>
            </w:tcBorders>
            <w:vAlign w:val="center"/>
          </w:tcPr>
          <w:p w14:paraId="1440FB72">
            <w:pPr>
              <w:widowControl/>
              <w:rPr>
                <w:rFonts w:ascii="宋体" w:hAnsi="宋体"/>
                <w:color w:val="auto"/>
                <w:kern w:val="0"/>
                <w:sz w:val="22"/>
                <w:szCs w:val="22"/>
              </w:rPr>
            </w:pPr>
            <w:r>
              <w:rPr>
                <w:rFonts w:hint="eastAsia" w:ascii="宋体" w:hAnsi="宋体"/>
                <w:color w:val="auto"/>
                <w:kern w:val="0"/>
                <w:sz w:val="22"/>
                <w:szCs w:val="22"/>
              </w:rPr>
              <w:t>外设功能</w:t>
            </w:r>
          </w:p>
        </w:tc>
        <w:tc>
          <w:tcPr>
            <w:tcW w:w="1356" w:type="pct"/>
            <w:tcBorders>
              <w:top w:val="single" w:color="auto" w:sz="4" w:space="0"/>
              <w:left w:val="single" w:color="auto" w:sz="4" w:space="0"/>
              <w:bottom w:val="single" w:color="auto" w:sz="4" w:space="0"/>
              <w:right w:val="single" w:color="auto" w:sz="4" w:space="0"/>
            </w:tcBorders>
          </w:tcPr>
          <w:p w14:paraId="549E01C4">
            <w:pPr>
              <w:widowControl/>
              <w:rPr>
                <w:rFonts w:ascii="宋体" w:hAnsi="宋体"/>
                <w:color w:val="auto"/>
                <w:kern w:val="0"/>
                <w:sz w:val="22"/>
                <w:szCs w:val="22"/>
              </w:rPr>
            </w:pPr>
            <w:r>
              <w:rPr>
                <w:rFonts w:hint="eastAsia" w:ascii="宋体" w:hAnsi="宋体"/>
                <w:color w:val="auto"/>
                <w:kern w:val="0"/>
                <w:sz w:val="22"/>
                <w:szCs w:val="22"/>
              </w:rPr>
              <w:t>摄像头物理隐私保护开关</w:t>
            </w:r>
          </w:p>
        </w:tc>
        <w:tc>
          <w:tcPr>
            <w:tcW w:w="2740" w:type="pct"/>
            <w:tcBorders>
              <w:top w:val="single" w:color="auto" w:sz="4" w:space="0"/>
              <w:left w:val="single" w:color="auto" w:sz="4" w:space="0"/>
              <w:bottom w:val="single" w:color="auto" w:sz="4" w:space="0"/>
              <w:right w:val="single" w:color="auto" w:sz="4" w:space="0"/>
            </w:tcBorders>
            <w:vAlign w:val="center"/>
          </w:tcPr>
          <w:p w14:paraId="2297CEE7">
            <w:pPr>
              <w:widowControl/>
              <w:rPr>
                <w:rFonts w:ascii="宋体" w:hAnsi="宋体"/>
                <w:color w:val="auto"/>
                <w:kern w:val="0"/>
                <w:sz w:val="22"/>
                <w:szCs w:val="22"/>
              </w:rPr>
            </w:pPr>
            <w:r>
              <w:rPr>
                <w:rFonts w:hint="eastAsia" w:ascii="宋体" w:hAnsi="宋体"/>
                <w:color w:val="auto"/>
                <w:kern w:val="0"/>
                <w:sz w:val="22"/>
                <w:szCs w:val="22"/>
              </w:rPr>
              <w:t xml:space="preserve"> /</w:t>
            </w:r>
          </w:p>
        </w:tc>
      </w:tr>
      <w:tr w14:paraId="774F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583F7244">
            <w:pPr>
              <w:widowControl/>
              <w:rPr>
                <w:rFonts w:ascii="宋体" w:hAnsi="宋体"/>
                <w:color w:val="auto"/>
                <w:kern w:val="0"/>
                <w:sz w:val="22"/>
                <w:szCs w:val="22"/>
              </w:rPr>
            </w:pPr>
            <w:r>
              <w:rPr>
                <w:rFonts w:hint="eastAsia" w:ascii="宋体" w:hAnsi="宋体"/>
                <w:color w:val="auto"/>
                <w:kern w:val="0"/>
                <w:sz w:val="22"/>
                <w:szCs w:val="22"/>
              </w:rPr>
              <w:t>113</w:t>
            </w:r>
          </w:p>
        </w:tc>
        <w:tc>
          <w:tcPr>
            <w:tcW w:w="0" w:type="auto"/>
            <w:vMerge w:val="continue"/>
            <w:tcBorders>
              <w:top w:val="nil"/>
              <w:left w:val="single" w:color="auto" w:sz="4" w:space="0"/>
              <w:bottom w:val="single" w:color="auto" w:sz="4" w:space="0"/>
              <w:right w:val="single" w:color="auto" w:sz="4" w:space="0"/>
            </w:tcBorders>
            <w:vAlign w:val="center"/>
          </w:tcPr>
          <w:p w14:paraId="19E726EA">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2DA43615">
            <w:pPr>
              <w:widowControl/>
              <w:rPr>
                <w:rFonts w:ascii="宋体" w:hAnsi="宋体"/>
                <w:color w:val="auto"/>
                <w:kern w:val="0"/>
                <w:sz w:val="22"/>
                <w:szCs w:val="22"/>
              </w:rPr>
            </w:pPr>
            <w:r>
              <w:rPr>
                <w:rFonts w:hint="eastAsia" w:ascii="宋体" w:hAnsi="宋体"/>
                <w:color w:val="auto"/>
                <w:kern w:val="0"/>
                <w:sz w:val="22"/>
                <w:szCs w:val="22"/>
              </w:rPr>
              <w:t>传声器降噪</w:t>
            </w:r>
          </w:p>
        </w:tc>
        <w:tc>
          <w:tcPr>
            <w:tcW w:w="2740" w:type="pct"/>
            <w:tcBorders>
              <w:top w:val="single" w:color="auto" w:sz="4" w:space="0"/>
              <w:left w:val="single" w:color="auto" w:sz="4" w:space="0"/>
              <w:bottom w:val="single" w:color="auto" w:sz="4" w:space="0"/>
              <w:right w:val="single" w:color="auto" w:sz="4" w:space="0"/>
            </w:tcBorders>
            <w:vAlign w:val="center"/>
          </w:tcPr>
          <w:p w14:paraId="517C820B">
            <w:pPr>
              <w:widowControl/>
              <w:rPr>
                <w:rFonts w:ascii="宋体" w:hAnsi="宋体"/>
                <w:color w:val="auto"/>
                <w:kern w:val="0"/>
                <w:sz w:val="22"/>
                <w:szCs w:val="22"/>
              </w:rPr>
            </w:pPr>
            <w:r>
              <w:rPr>
                <w:rFonts w:hint="eastAsia" w:ascii="宋体" w:hAnsi="宋体"/>
                <w:color w:val="auto"/>
                <w:kern w:val="0"/>
                <w:sz w:val="22"/>
                <w:szCs w:val="22"/>
              </w:rPr>
              <w:t xml:space="preserve"> /</w:t>
            </w:r>
          </w:p>
        </w:tc>
      </w:tr>
      <w:tr w14:paraId="6536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184E9219">
            <w:pPr>
              <w:widowControl/>
              <w:rPr>
                <w:rFonts w:ascii="宋体" w:hAnsi="宋体"/>
                <w:color w:val="auto"/>
                <w:kern w:val="0"/>
                <w:sz w:val="22"/>
                <w:szCs w:val="22"/>
              </w:rPr>
            </w:pPr>
            <w:r>
              <w:rPr>
                <w:rFonts w:hint="eastAsia" w:ascii="宋体" w:hAnsi="宋体"/>
                <w:color w:val="auto"/>
                <w:kern w:val="0"/>
                <w:sz w:val="22"/>
                <w:szCs w:val="22"/>
              </w:rPr>
              <w:t>114</w:t>
            </w:r>
          </w:p>
        </w:tc>
        <w:tc>
          <w:tcPr>
            <w:tcW w:w="0" w:type="auto"/>
            <w:vMerge w:val="continue"/>
            <w:tcBorders>
              <w:top w:val="nil"/>
              <w:left w:val="single" w:color="auto" w:sz="4" w:space="0"/>
              <w:bottom w:val="single" w:color="auto" w:sz="4" w:space="0"/>
              <w:right w:val="single" w:color="auto" w:sz="4" w:space="0"/>
            </w:tcBorders>
            <w:vAlign w:val="center"/>
          </w:tcPr>
          <w:p w14:paraId="5C1AF14A">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78E98ADC">
            <w:pPr>
              <w:widowControl/>
              <w:rPr>
                <w:rFonts w:ascii="宋体" w:hAnsi="宋体"/>
                <w:color w:val="auto"/>
                <w:kern w:val="0"/>
                <w:sz w:val="22"/>
                <w:szCs w:val="22"/>
              </w:rPr>
            </w:pPr>
            <w:r>
              <w:rPr>
                <w:rFonts w:hint="eastAsia" w:ascii="宋体" w:hAnsi="宋体"/>
                <w:color w:val="auto"/>
                <w:kern w:val="0"/>
                <w:sz w:val="22"/>
                <w:szCs w:val="22"/>
              </w:rPr>
              <w:t>键盘背光</w:t>
            </w:r>
          </w:p>
        </w:tc>
        <w:tc>
          <w:tcPr>
            <w:tcW w:w="2740" w:type="pct"/>
            <w:tcBorders>
              <w:top w:val="single" w:color="auto" w:sz="4" w:space="0"/>
              <w:left w:val="single" w:color="auto" w:sz="4" w:space="0"/>
              <w:bottom w:val="single" w:color="auto" w:sz="4" w:space="0"/>
              <w:right w:val="single" w:color="auto" w:sz="4" w:space="0"/>
            </w:tcBorders>
            <w:vAlign w:val="center"/>
          </w:tcPr>
          <w:p w14:paraId="0322534F">
            <w:pPr>
              <w:widowControl/>
              <w:rPr>
                <w:rFonts w:ascii="宋体" w:hAnsi="宋体"/>
                <w:color w:val="auto"/>
                <w:kern w:val="0"/>
                <w:sz w:val="22"/>
                <w:szCs w:val="22"/>
              </w:rPr>
            </w:pPr>
            <w:r>
              <w:rPr>
                <w:rFonts w:hint="eastAsia" w:ascii="宋体" w:hAnsi="宋体"/>
                <w:color w:val="auto"/>
                <w:kern w:val="0"/>
                <w:sz w:val="22"/>
                <w:szCs w:val="22"/>
              </w:rPr>
              <w:t xml:space="preserve"> /</w:t>
            </w:r>
          </w:p>
        </w:tc>
      </w:tr>
      <w:tr w14:paraId="6316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347" w:type="pct"/>
            <w:tcBorders>
              <w:top w:val="single" w:color="auto" w:sz="4" w:space="0"/>
              <w:left w:val="single" w:color="auto" w:sz="4" w:space="0"/>
              <w:bottom w:val="single" w:color="auto" w:sz="4" w:space="0"/>
              <w:right w:val="single" w:color="auto" w:sz="4" w:space="0"/>
            </w:tcBorders>
          </w:tcPr>
          <w:p w14:paraId="0C71FF7E">
            <w:pPr>
              <w:widowControl/>
              <w:rPr>
                <w:rFonts w:ascii="宋体" w:hAnsi="宋体"/>
                <w:color w:val="auto"/>
                <w:kern w:val="0"/>
                <w:sz w:val="22"/>
                <w:szCs w:val="22"/>
              </w:rPr>
            </w:pPr>
            <w:r>
              <w:rPr>
                <w:rFonts w:hint="eastAsia" w:ascii="宋体" w:hAnsi="宋体"/>
                <w:color w:val="auto"/>
                <w:kern w:val="0"/>
                <w:sz w:val="22"/>
                <w:szCs w:val="22"/>
              </w:rPr>
              <w:t>115</w:t>
            </w:r>
          </w:p>
        </w:tc>
        <w:tc>
          <w:tcPr>
            <w:tcW w:w="0" w:type="auto"/>
            <w:vMerge w:val="continue"/>
            <w:tcBorders>
              <w:top w:val="nil"/>
              <w:left w:val="single" w:color="auto" w:sz="4" w:space="0"/>
              <w:bottom w:val="single" w:color="auto" w:sz="4" w:space="0"/>
              <w:right w:val="single" w:color="auto" w:sz="4" w:space="0"/>
            </w:tcBorders>
            <w:vAlign w:val="center"/>
          </w:tcPr>
          <w:p w14:paraId="7C594A7F">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583F857">
            <w:pPr>
              <w:widowControl/>
              <w:rPr>
                <w:rFonts w:ascii="宋体" w:hAnsi="宋体"/>
                <w:color w:val="auto"/>
                <w:kern w:val="0"/>
                <w:sz w:val="22"/>
                <w:szCs w:val="22"/>
              </w:rPr>
            </w:pPr>
            <w:r>
              <w:rPr>
                <w:rFonts w:hint="eastAsia" w:ascii="宋体" w:hAnsi="宋体"/>
                <w:color w:val="auto"/>
                <w:kern w:val="0"/>
                <w:sz w:val="22"/>
                <w:szCs w:val="22"/>
              </w:rPr>
              <w:t>光驱功能</w:t>
            </w:r>
          </w:p>
        </w:tc>
        <w:tc>
          <w:tcPr>
            <w:tcW w:w="2740" w:type="pct"/>
            <w:tcBorders>
              <w:top w:val="single" w:color="auto" w:sz="4" w:space="0"/>
              <w:left w:val="single" w:color="auto" w:sz="4" w:space="0"/>
              <w:bottom w:val="single" w:color="auto" w:sz="4" w:space="0"/>
              <w:right w:val="single" w:color="auto" w:sz="4" w:space="0"/>
            </w:tcBorders>
          </w:tcPr>
          <w:p w14:paraId="28558F38">
            <w:pPr>
              <w:widowControl/>
              <w:rPr>
                <w:rFonts w:ascii="宋体" w:hAnsi="宋体"/>
                <w:color w:val="auto"/>
                <w:kern w:val="0"/>
                <w:sz w:val="22"/>
                <w:szCs w:val="22"/>
              </w:rPr>
            </w:pPr>
            <w:r>
              <w:rPr>
                <w:rFonts w:hint="eastAsia" w:ascii="宋体" w:hAnsi="宋体"/>
                <w:color w:val="auto"/>
                <w:kern w:val="0"/>
                <w:sz w:val="22"/>
                <w:szCs w:val="22"/>
              </w:rPr>
              <w:t xml:space="preserve"> /</w:t>
            </w:r>
          </w:p>
        </w:tc>
      </w:tr>
      <w:tr w14:paraId="36FE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408D0590">
            <w:pPr>
              <w:widowControl/>
              <w:rPr>
                <w:rFonts w:ascii="宋体" w:hAnsi="宋体"/>
                <w:color w:val="auto"/>
                <w:kern w:val="0"/>
                <w:sz w:val="22"/>
                <w:szCs w:val="22"/>
              </w:rPr>
            </w:pPr>
            <w:r>
              <w:rPr>
                <w:rFonts w:hint="eastAsia" w:ascii="宋体" w:hAnsi="宋体"/>
                <w:color w:val="auto"/>
                <w:kern w:val="0"/>
                <w:sz w:val="22"/>
                <w:szCs w:val="22"/>
              </w:rPr>
              <w:t>116</w:t>
            </w:r>
          </w:p>
        </w:tc>
        <w:tc>
          <w:tcPr>
            <w:tcW w:w="555" w:type="pct"/>
            <w:vMerge w:val="restart"/>
            <w:tcBorders>
              <w:top w:val="nil"/>
              <w:left w:val="single" w:color="auto" w:sz="4" w:space="0"/>
              <w:bottom w:val="single" w:color="auto" w:sz="4" w:space="0"/>
              <w:right w:val="single" w:color="auto" w:sz="4" w:space="0"/>
            </w:tcBorders>
            <w:vAlign w:val="center"/>
          </w:tcPr>
          <w:p w14:paraId="413066F0">
            <w:pPr>
              <w:widowControl/>
              <w:rPr>
                <w:rFonts w:ascii="宋体" w:hAnsi="宋体"/>
                <w:color w:val="auto"/>
                <w:kern w:val="0"/>
                <w:sz w:val="22"/>
                <w:szCs w:val="22"/>
              </w:rPr>
            </w:pPr>
            <w:r>
              <w:rPr>
                <w:rFonts w:hint="eastAsia" w:ascii="宋体" w:hAnsi="宋体"/>
                <w:color w:val="auto"/>
                <w:kern w:val="0"/>
                <w:sz w:val="22"/>
                <w:szCs w:val="22"/>
              </w:rPr>
              <w:t>▲存储功能</w:t>
            </w:r>
          </w:p>
        </w:tc>
        <w:tc>
          <w:tcPr>
            <w:tcW w:w="1356" w:type="pct"/>
            <w:tcBorders>
              <w:top w:val="single" w:color="auto" w:sz="4" w:space="0"/>
              <w:left w:val="single" w:color="auto" w:sz="4" w:space="0"/>
              <w:bottom w:val="single" w:color="auto" w:sz="4" w:space="0"/>
              <w:right w:val="single" w:color="auto" w:sz="4" w:space="0"/>
            </w:tcBorders>
          </w:tcPr>
          <w:p w14:paraId="1BBAFF9F">
            <w:pPr>
              <w:widowControl/>
              <w:rPr>
                <w:rFonts w:ascii="宋体" w:hAnsi="宋体"/>
                <w:color w:val="auto"/>
                <w:kern w:val="0"/>
                <w:sz w:val="22"/>
                <w:szCs w:val="22"/>
              </w:rPr>
            </w:pPr>
            <w:r>
              <w:rPr>
                <w:rFonts w:hint="eastAsia" w:ascii="宋体" w:hAnsi="宋体"/>
                <w:color w:val="auto"/>
                <w:kern w:val="0"/>
                <w:sz w:val="22"/>
                <w:szCs w:val="22"/>
              </w:rPr>
              <w:t>▲存储功能</w:t>
            </w:r>
          </w:p>
        </w:tc>
        <w:tc>
          <w:tcPr>
            <w:tcW w:w="2740" w:type="pct"/>
            <w:tcBorders>
              <w:top w:val="single" w:color="auto" w:sz="4" w:space="0"/>
              <w:left w:val="single" w:color="auto" w:sz="4" w:space="0"/>
              <w:bottom w:val="single" w:color="auto" w:sz="4" w:space="0"/>
              <w:right w:val="single" w:color="auto" w:sz="4" w:space="0"/>
            </w:tcBorders>
          </w:tcPr>
          <w:p w14:paraId="19173492">
            <w:pPr>
              <w:widowControl/>
              <w:rPr>
                <w:rFonts w:ascii="宋体" w:hAnsi="宋体"/>
                <w:color w:val="auto"/>
                <w:kern w:val="0"/>
                <w:sz w:val="22"/>
                <w:szCs w:val="22"/>
              </w:rPr>
            </w:pPr>
            <w:r>
              <w:rPr>
                <w:rFonts w:hint="eastAsia" w:ascii="宋体" w:hAnsi="宋体"/>
                <w:color w:val="auto"/>
                <w:kern w:val="0"/>
                <w:sz w:val="22"/>
                <w:szCs w:val="22"/>
              </w:rPr>
              <w:t>通过SATA固态存储/PCIe固态存储/UFS固态存储/SATA硬磁盘等存储部件提供存储功能</w:t>
            </w:r>
          </w:p>
        </w:tc>
      </w:tr>
      <w:tr w14:paraId="7554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347" w:type="pct"/>
            <w:tcBorders>
              <w:top w:val="single" w:color="auto" w:sz="4" w:space="0"/>
              <w:left w:val="single" w:color="auto" w:sz="4" w:space="0"/>
              <w:bottom w:val="single" w:color="auto" w:sz="4" w:space="0"/>
              <w:right w:val="single" w:color="auto" w:sz="4" w:space="0"/>
            </w:tcBorders>
          </w:tcPr>
          <w:p w14:paraId="3AEEFF69">
            <w:pPr>
              <w:widowControl/>
              <w:rPr>
                <w:rFonts w:ascii="宋体" w:hAnsi="宋体"/>
                <w:color w:val="auto"/>
                <w:kern w:val="0"/>
                <w:sz w:val="22"/>
                <w:szCs w:val="22"/>
              </w:rPr>
            </w:pPr>
            <w:r>
              <w:rPr>
                <w:rFonts w:hint="eastAsia" w:ascii="宋体" w:hAnsi="宋体"/>
                <w:color w:val="auto"/>
                <w:kern w:val="0"/>
                <w:sz w:val="22"/>
                <w:szCs w:val="22"/>
              </w:rPr>
              <w:t>117</w:t>
            </w:r>
          </w:p>
        </w:tc>
        <w:tc>
          <w:tcPr>
            <w:tcW w:w="0" w:type="auto"/>
            <w:vMerge w:val="continue"/>
            <w:tcBorders>
              <w:top w:val="nil"/>
              <w:left w:val="single" w:color="auto" w:sz="4" w:space="0"/>
              <w:bottom w:val="single" w:color="auto" w:sz="4" w:space="0"/>
              <w:right w:val="single" w:color="auto" w:sz="4" w:space="0"/>
            </w:tcBorders>
            <w:vAlign w:val="center"/>
          </w:tcPr>
          <w:p w14:paraId="4CB55017">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3E982C41">
            <w:pPr>
              <w:widowControl/>
              <w:rPr>
                <w:rFonts w:ascii="宋体" w:hAnsi="宋体"/>
                <w:color w:val="auto"/>
                <w:kern w:val="0"/>
                <w:sz w:val="22"/>
                <w:szCs w:val="22"/>
              </w:rPr>
            </w:pPr>
            <w:r>
              <w:rPr>
                <w:rFonts w:hint="eastAsia" w:ascii="宋体" w:hAnsi="宋体"/>
                <w:color w:val="auto"/>
                <w:kern w:val="0"/>
                <w:sz w:val="22"/>
                <w:szCs w:val="22"/>
              </w:rPr>
              <w:t>内置控制器固态存储加密</w:t>
            </w:r>
          </w:p>
        </w:tc>
        <w:tc>
          <w:tcPr>
            <w:tcW w:w="2740" w:type="pct"/>
            <w:tcBorders>
              <w:top w:val="single" w:color="auto" w:sz="4" w:space="0"/>
              <w:left w:val="single" w:color="auto" w:sz="4" w:space="0"/>
              <w:bottom w:val="single" w:color="auto" w:sz="4" w:space="0"/>
              <w:right w:val="single" w:color="auto" w:sz="4" w:space="0"/>
            </w:tcBorders>
          </w:tcPr>
          <w:p w14:paraId="19C9EBE8">
            <w:pPr>
              <w:widowControl/>
              <w:rPr>
                <w:rFonts w:ascii="宋体" w:hAnsi="宋体"/>
                <w:color w:val="auto"/>
                <w:kern w:val="0"/>
                <w:sz w:val="22"/>
                <w:szCs w:val="22"/>
              </w:rPr>
            </w:pPr>
            <w:r>
              <w:rPr>
                <w:rFonts w:hint="eastAsia" w:ascii="宋体" w:hAnsi="宋体"/>
                <w:color w:val="auto"/>
                <w:kern w:val="0"/>
                <w:sz w:val="22"/>
                <w:szCs w:val="22"/>
              </w:rPr>
              <w:t>固态存储通过内置控制器硬件支持加密，不依赖处理器，保障数据安全性，但不得影响存储性能。</w:t>
            </w:r>
          </w:p>
          <w:p w14:paraId="33B74E8F">
            <w:pPr>
              <w:widowControl/>
              <w:rPr>
                <w:rFonts w:ascii="宋体" w:hAnsi="宋体"/>
                <w:color w:val="auto"/>
                <w:kern w:val="0"/>
                <w:sz w:val="22"/>
                <w:szCs w:val="22"/>
              </w:rPr>
            </w:pPr>
            <w:r>
              <w:rPr>
                <w:rFonts w:hint="eastAsia" w:ascii="宋体" w:hAnsi="宋体"/>
                <w:color w:val="auto"/>
                <w:kern w:val="0"/>
                <w:sz w:val="22"/>
                <w:szCs w:val="22"/>
              </w:rPr>
              <w:t xml:space="preserve">a) 支持加密功能，且加密功能开启不影响SSD读写性能； </w:t>
            </w:r>
          </w:p>
          <w:p w14:paraId="27DD69F6">
            <w:pPr>
              <w:widowControl/>
              <w:rPr>
                <w:rFonts w:ascii="宋体" w:hAnsi="宋体"/>
                <w:color w:val="auto"/>
                <w:kern w:val="0"/>
                <w:sz w:val="22"/>
                <w:szCs w:val="22"/>
              </w:rPr>
            </w:pPr>
            <w:r>
              <w:rPr>
                <w:rFonts w:hint="eastAsia" w:ascii="宋体" w:hAnsi="宋体"/>
                <w:color w:val="auto"/>
                <w:kern w:val="0"/>
                <w:sz w:val="22"/>
                <w:szCs w:val="22"/>
              </w:rPr>
              <w:t>b) 支持固件加密、安全启动和安全升级；</w:t>
            </w:r>
          </w:p>
          <w:p w14:paraId="2BD57B1F">
            <w:pPr>
              <w:widowControl/>
              <w:rPr>
                <w:rFonts w:ascii="宋体" w:hAnsi="宋体"/>
                <w:color w:val="auto"/>
                <w:kern w:val="0"/>
                <w:sz w:val="22"/>
                <w:szCs w:val="22"/>
              </w:rPr>
            </w:pPr>
            <w:r>
              <w:rPr>
                <w:rFonts w:hint="eastAsia" w:ascii="宋体" w:hAnsi="宋体"/>
                <w:color w:val="auto"/>
                <w:kern w:val="0"/>
                <w:sz w:val="22"/>
                <w:szCs w:val="22"/>
              </w:rPr>
              <w:t>c) 支持数据的安全擦除</w:t>
            </w:r>
          </w:p>
        </w:tc>
      </w:tr>
      <w:tr w14:paraId="08BF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3C61B7C4">
            <w:pPr>
              <w:widowControl/>
              <w:rPr>
                <w:rFonts w:ascii="宋体" w:hAnsi="宋体"/>
                <w:color w:val="auto"/>
                <w:kern w:val="0"/>
                <w:sz w:val="22"/>
                <w:szCs w:val="22"/>
              </w:rPr>
            </w:pPr>
            <w:r>
              <w:rPr>
                <w:rFonts w:hint="eastAsia" w:ascii="宋体" w:hAnsi="宋体"/>
                <w:color w:val="auto"/>
                <w:kern w:val="0"/>
                <w:sz w:val="22"/>
                <w:szCs w:val="22"/>
              </w:rPr>
              <w:t>118</w:t>
            </w:r>
          </w:p>
        </w:tc>
        <w:tc>
          <w:tcPr>
            <w:tcW w:w="555" w:type="pct"/>
            <w:vMerge w:val="restart"/>
            <w:tcBorders>
              <w:top w:val="nil"/>
              <w:left w:val="single" w:color="auto" w:sz="4" w:space="0"/>
              <w:bottom w:val="single" w:color="auto" w:sz="4" w:space="0"/>
              <w:right w:val="single" w:color="auto" w:sz="4" w:space="0"/>
            </w:tcBorders>
            <w:vAlign w:val="center"/>
          </w:tcPr>
          <w:p w14:paraId="7B85977F">
            <w:pPr>
              <w:widowControl/>
              <w:rPr>
                <w:rFonts w:ascii="宋体" w:hAnsi="宋体"/>
                <w:color w:val="auto"/>
                <w:kern w:val="0"/>
                <w:sz w:val="22"/>
                <w:szCs w:val="22"/>
              </w:rPr>
            </w:pPr>
            <w:r>
              <w:rPr>
                <w:rFonts w:hint="eastAsia" w:ascii="宋体" w:hAnsi="宋体"/>
                <w:color w:val="auto"/>
                <w:kern w:val="0"/>
                <w:sz w:val="22"/>
                <w:szCs w:val="22"/>
              </w:rPr>
              <w:t>▲网络设备功能</w:t>
            </w:r>
          </w:p>
        </w:tc>
        <w:tc>
          <w:tcPr>
            <w:tcW w:w="1356" w:type="pct"/>
            <w:tcBorders>
              <w:top w:val="single" w:color="auto" w:sz="4" w:space="0"/>
              <w:left w:val="single" w:color="auto" w:sz="4" w:space="0"/>
              <w:bottom w:val="single" w:color="auto" w:sz="4" w:space="0"/>
              <w:right w:val="single" w:color="auto" w:sz="4" w:space="0"/>
            </w:tcBorders>
          </w:tcPr>
          <w:p w14:paraId="39B61E8B">
            <w:pPr>
              <w:widowControl/>
              <w:rPr>
                <w:rFonts w:ascii="宋体" w:hAnsi="宋体"/>
                <w:color w:val="auto"/>
                <w:kern w:val="0"/>
                <w:sz w:val="22"/>
                <w:szCs w:val="22"/>
              </w:rPr>
            </w:pPr>
            <w:r>
              <w:rPr>
                <w:rFonts w:hint="eastAsia" w:ascii="宋体" w:hAnsi="宋体"/>
                <w:color w:val="auto"/>
                <w:kern w:val="0"/>
                <w:sz w:val="22"/>
                <w:szCs w:val="22"/>
              </w:rPr>
              <w:t>▲网络功能</w:t>
            </w:r>
          </w:p>
        </w:tc>
        <w:tc>
          <w:tcPr>
            <w:tcW w:w="2740" w:type="pct"/>
            <w:tcBorders>
              <w:top w:val="single" w:color="auto" w:sz="4" w:space="0"/>
              <w:left w:val="single" w:color="auto" w:sz="4" w:space="0"/>
              <w:bottom w:val="single" w:color="auto" w:sz="4" w:space="0"/>
              <w:right w:val="single" w:color="auto" w:sz="4" w:space="0"/>
            </w:tcBorders>
          </w:tcPr>
          <w:p w14:paraId="7D52F94D">
            <w:pPr>
              <w:widowControl/>
              <w:rPr>
                <w:rFonts w:ascii="宋体" w:hAnsi="宋体"/>
                <w:color w:val="auto"/>
                <w:kern w:val="0"/>
                <w:sz w:val="22"/>
                <w:szCs w:val="22"/>
              </w:rPr>
            </w:pPr>
            <w:r>
              <w:rPr>
                <w:rFonts w:hint="eastAsia" w:ascii="宋体" w:hAnsi="宋体"/>
                <w:color w:val="auto"/>
                <w:kern w:val="0"/>
                <w:sz w:val="22"/>
                <w:szCs w:val="22"/>
              </w:rPr>
              <w:t>a)支持网络连接、网络开启/关闭功能；</w:t>
            </w:r>
            <w:r>
              <w:rPr>
                <w:rFonts w:hint="eastAsia" w:ascii="宋体" w:hAnsi="宋体"/>
                <w:color w:val="auto"/>
                <w:kern w:val="0"/>
                <w:sz w:val="22"/>
                <w:szCs w:val="22"/>
              </w:rPr>
              <w:br w:type="textWrapping"/>
            </w:r>
            <w:r>
              <w:rPr>
                <w:rFonts w:hint="eastAsia" w:ascii="宋体" w:hAnsi="宋体"/>
                <w:color w:val="auto"/>
                <w:kern w:val="0"/>
                <w:sz w:val="22"/>
                <w:szCs w:val="22"/>
              </w:rPr>
              <w:t>b)支持访问网络和数据交换功能</w:t>
            </w:r>
          </w:p>
        </w:tc>
      </w:tr>
      <w:tr w14:paraId="4D88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5F2B25DC">
            <w:pPr>
              <w:widowControl/>
              <w:rPr>
                <w:rFonts w:ascii="宋体" w:hAnsi="宋体"/>
                <w:color w:val="auto"/>
                <w:kern w:val="0"/>
                <w:sz w:val="22"/>
                <w:szCs w:val="22"/>
              </w:rPr>
            </w:pPr>
            <w:r>
              <w:rPr>
                <w:rFonts w:hint="eastAsia" w:ascii="宋体" w:hAnsi="宋体"/>
                <w:color w:val="auto"/>
                <w:kern w:val="0"/>
                <w:sz w:val="22"/>
                <w:szCs w:val="22"/>
              </w:rPr>
              <w:t>119</w:t>
            </w:r>
          </w:p>
        </w:tc>
        <w:tc>
          <w:tcPr>
            <w:tcW w:w="0" w:type="auto"/>
            <w:vMerge w:val="continue"/>
            <w:tcBorders>
              <w:top w:val="nil"/>
              <w:left w:val="single" w:color="auto" w:sz="4" w:space="0"/>
              <w:bottom w:val="single" w:color="auto" w:sz="4" w:space="0"/>
              <w:right w:val="single" w:color="auto" w:sz="4" w:space="0"/>
            </w:tcBorders>
            <w:vAlign w:val="center"/>
          </w:tcPr>
          <w:p w14:paraId="3C361347">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1C058FC2">
            <w:pPr>
              <w:widowControl/>
              <w:rPr>
                <w:rFonts w:ascii="宋体" w:hAnsi="宋体"/>
                <w:color w:val="auto"/>
                <w:kern w:val="0"/>
                <w:sz w:val="22"/>
                <w:szCs w:val="22"/>
              </w:rPr>
            </w:pPr>
            <w:r>
              <w:rPr>
                <w:rFonts w:hint="eastAsia" w:ascii="宋体" w:hAnsi="宋体"/>
                <w:color w:val="auto"/>
                <w:kern w:val="0"/>
                <w:sz w:val="22"/>
                <w:szCs w:val="22"/>
              </w:rPr>
              <w:t>无线网卡频段</w:t>
            </w:r>
          </w:p>
        </w:tc>
        <w:tc>
          <w:tcPr>
            <w:tcW w:w="2740" w:type="pct"/>
            <w:tcBorders>
              <w:top w:val="single" w:color="auto" w:sz="4" w:space="0"/>
              <w:left w:val="single" w:color="auto" w:sz="4" w:space="0"/>
              <w:bottom w:val="single" w:color="auto" w:sz="4" w:space="0"/>
              <w:right w:val="single" w:color="auto" w:sz="4" w:space="0"/>
            </w:tcBorders>
          </w:tcPr>
          <w:p w14:paraId="3243FD48">
            <w:pPr>
              <w:widowControl/>
              <w:rPr>
                <w:rFonts w:ascii="宋体" w:hAnsi="宋体"/>
                <w:color w:val="auto"/>
                <w:kern w:val="0"/>
                <w:sz w:val="22"/>
                <w:szCs w:val="22"/>
              </w:rPr>
            </w:pPr>
            <w:r>
              <w:rPr>
                <w:rFonts w:hint="eastAsia" w:ascii="宋体" w:hAnsi="宋体"/>
                <w:color w:val="auto"/>
                <w:kern w:val="0"/>
                <w:sz w:val="22"/>
                <w:szCs w:val="22"/>
              </w:rPr>
              <w:t xml:space="preserve"> /</w:t>
            </w:r>
          </w:p>
        </w:tc>
      </w:tr>
      <w:tr w14:paraId="48D6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22B44871">
            <w:pPr>
              <w:widowControl/>
              <w:rPr>
                <w:rFonts w:ascii="宋体" w:hAnsi="宋体"/>
                <w:color w:val="auto"/>
                <w:kern w:val="0"/>
                <w:sz w:val="22"/>
                <w:szCs w:val="22"/>
              </w:rPr>
            </w:pPr>
            <w:r>
              <w:rPr>
                <w:rFonts w:hint="eastAsia" w:ascii="宋体" w:hAnsi="宋体"/>
                <w:color w:val="auto"/>
                <w:kern w:val="0"/>
                <w:sz w:val="22"/>
                <w:szCs w:val="22"/>
              </w:rPr>
              <w:t>120</w:t>
            </w:r>
          </w:p>
        </w:tc>
        <w:tc>
          <w:tcPr>
            <w:tcW w:w="0" w:type="auto"/>
            <w:vMerge w:val="continue"/>
            <w:tcBorders>
              <w:top w:val="nil"/>
              <w:left w:val="single" w:color="auto" w:sz="4" w:space="0"/>
              <w:bottom w:val="single" w:color="auto" w:sz="4" w:space="0"/>
              <w:right w:val="single" w:color="auto" w:sz="4" w:space="0"/>
            </w:tcBorders>
            <w:vAlign w:val="center"/>
          </w:tcPr>
          <w:p w14:paraId="2681B6BD">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99B1117">
            <w:pPr>
              <w:widowControl/>
              <w:rPr>
                <w:rFonts w:ascii="宋体" w:hAnsi="宋体"/>
                <w:color w:val="auto"/>
                <w:kern w:val="0"/>
                <w:sz w:val="22"/>
                <w:szCs w:val="22"/>
              </w:rPr>
            </w:pPr>
            <w:r>
              <w:rPr>
                <w:rFonts w:hint="eastAsia" w:ascii="宋体" w:hAnsi="宋体"/>
                <w:color w:val="auto"/>
                <w:kern w:val="0"/>
                <w:sz w:val="22"/>
                <w:szCs w:val="22"/>
              </w:rPr>
              <w:t>物理开关</w:t>
            </w:r>
          </w:p>
        </w:tc>
        <w:tc>
          <w:tcPr>
            <w:tcW w:w="2740" w:type="pct"/>
            <w:tcBorders>
              <w:top w:val="single" w:color="auto" w:sz="4" w:space="0"/>
              <w:left w:val="single" w:color="auto" w:sz="4" w:space="0"/>
              <w:bottom w:val="single" w:color="auto" w:sz="4" w:space="0"/>
              <w:right w:val="single" w:color="auto" w:sz="4" w:space="0"/>
            </w:tcBorders>
          </w:tcPr>
          <w:p w14:paraId="386FD5D7">
            <w:pPr>
              <w:widowControl/>
              <w:rPr>
                <w:rFonts w:ascii="宋体" w:hAnsi="宋体"/>
                <w:color w:val="auto"/>
                <w:kern w:val="0"/>
                <w:sz w:val="22"/>
                <w:szCs w:val="22"/>
              </w:rPr>
            </w:pPr>
            <w:r>
              <w:rPr>
                <w:rFonts w:hint="eastAsia" w:ascii="宋体" w:hAnsi="宋体"/>
                <w:color w:val="auto"/>
                <w:kern w:val="0"/>
                <w:sz w:val="22"/>
                <w:szCs w:val="22"/>
              </w:rPr>
              <w:t xml:space="preserve"> /</w:t>
            </w:r>
          </w:p>
        </w:tc>
      </w:tr>
      <w:tr w14:paraId="5BEA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1140F907">
            <w:pPr>
              <w:widowControl/>
              <w:rPr>
                <w:rFonts w:ascii="宋体" w:hAnsi="宋体"/>
                <w:color w:val="auto"/>
                <w:kern w:val="0"/>
                <w:sz w:val="22"/>
                <w:szCs w:val="22"/>
              </w:rPr>
            </w:pPr>
            <w:r>
              <w:rPr>
                <w:rFonts w:hint="eastAsia" w:ascii="宋体" w:hAnsi="宋体"/>
                <w:color w:val="auto"/>
                <w:kern w:val="0"/>
                <w:sz w:val="22"/>
                <w:szCs w:val="22"/>
              </w:rPr>
              <w:t>121</w:t>
            </w:r>
          </w:p>
        </w:tc>
        <w:tc>
          <w:tcPr>
            <w:tcW w:w="0" w:type="auto"/>
            <w:vMerge w:val="continue"/>
            <w:tcBorders>
              <w:top w:val="nil"/>
              <w:left w:val="single" w:color="auto" w:sz="4" w:space="0"/>
              <w:bottom w:val="single" w:color="auto" w:sz="4" w:space="0"/>
              <w:right w:val="single" w:color="auto" w:sz="4" w:space="0"/>
            </w:tcBorders>
            <w:vAlign w:val="center"/>
          </w:tcPr>
          <w:p w14:paraId="323B55BA">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0255CD7">
            <w:pPr>
              <w:widowControl/>
              <w:rPr>
                <w:rFonts w:ascii="宋体" w:hAnsi="宋体"/>
                <w:color w:val="auto"/>
                <w:kern w:val="0"/>
                <w:sz w:val="22"/>
                <w:szCs w:val="22"/>
              </w:rPr>
            </w:pPr>
            <w:r>
              <w:rPr>
                <w:rFonts w:hint="eastAsia" w:ascii="宋体" w:hAnsi="宋体"/>
                <w:color w:val="auto"/>
                <w:kern w:val="0"/>
                <w:sz w:val="22"/>
                <w:szCs w:val="22"/>
              </w:rPr>
              <w:t>▲数据传输</w:t>
            </w:r>
          </w:p>
        </w:tc>
        <w:tc>
          <w:tcPr>
            <w:tcW w:w="2740" w:type="pct"/>
            <w:tcBorders>
              <w:top w:val="single" w:color="auto" w:sz="4" w:space="0"/>
              <w:left w:val="single" w:color="auto" w:sz="4" w:space="0"/>
              <w:bottom w:val="single" w:color="auto" w:sz="4" w:space="0"/>
              <w:right w:val="single" w:color="auto" w:sz="4" w:space="0"/>
            </w:tcBorders>
          </w:tcPr>
          <w:p w14:paraId="3D9FAC19">
            <w:pPr>
              <w:widowControl/>
              <w:rPr>
                <w:rFonts w:ascii="宋体" w:hAnsi="宋体"/>
                <w:color w:val="auto"/>
                <w:kern w:val="0"/>
                <w:sz w:val="22"/>
                <w:szCs w:val="22"/>
              </w:rPr>
            </w:pPr>
            <w:r>
              <w:rPr>
                <w:rFonts w:hint="eastAsia" w:ascii="宋体" w:hAnsi="宋体"/>
                <w:color w:val="auto"/>
                <w:kern w:val="0"/>
                <w:sz w:val="22"/>
                <w:szCs w:val="22"/>
              </w:rPr>
              <w:t>支持数据传输能力，并提供数据流量和异常日志记录功能</w:t>
            </w:r>
          </w:p>
        </w:tc>
      </w:tr>
      <w:tr w14:paraId="6086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29AE5532">
            <w:pPr>
              <w:widowControl/>
              <w:rPr>
                <w:rFonts w:ascii="宋体" w:hAnsi="宋体"/>
                <w:color w:val="auto"/>
                <w:kern w:val="0"/>
                <w:sz w:val="22"/>
                <w:szCs w:val="22"/>
              </w:rPr>
            </w:pPr>
            <w:r>
              <w:rPr>
                <w:rFonts w:hint="eastAsia" w:ascii="宋体" w:hAnsi="宋体"/>
                <w:color w:val="auto"/>
                <w:kern w:val="0"/>
                <w:sz w:val="22"/>
                <w:szCs w:val="22"/>
              </w:rPr>
              <w:t>122</w:t>
            </w:r>
          </w:p>
        </w:tc>
        <w:tc>
          <w:tcPr>
            <w:tcW w:w="0" w:type="auto"/>
            <w:vMerge w:val="continue"/>
            <w:tcBorders>
              <w:top w:val="nil"/>
              <w:left w:val="single" w:color="auto" w:sz="4" w:space="0"/>
              <w:bottom w:val="single" w:color="auto" w:sz="4" w:space="0"/>
              <w:right w:val="single" w:color="auto" w:sz="4" w:space="0"/>
            </w:tcBorders>
            <w:vAlign w:val="center"/>
          </w:tcPr>
          <w:p w14:paraId="013A3F75">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605FD270">
            <w:pPr>
              <w:widowControl/>
              <w:rPr>
                <w:rFonts w:ascii="宋体" w:hAnsi="宋体"/>
                <w:color w:val="auto"/>
                <w:kern w:val="0"/>
                <w:sz w:val="22"/>
                <w:szCs w:val="22"/>
              </w:rPr>
            </w:pPr>
            <w:r>
              <w:rPr>
                <w:rFonts w:hint="eastAsia" w:ascii="宋体" w:hAnsi="宋体"/>
                <w:color w:val="auto"/>
                <w:kern w:val="0"/>
                <w:sz w:val="22"/>
                <w:szCs w:val="22"/>
              </w:rPr>
              <w:t>蓝牙协议</w:t>
            </w:r>
          </w:p>
        </w:tc>
        <w:tc>
          <w:tcPr>
            <w:tcW w:w="2740" w:type="pct"/>
            <w:tcBorders>
              <w:top w:val="single" w:color="auto" w:sz="4" w:space="0"/>
              <w:left w:val="single" w:color="auto" w:sz="4" w:space="0"/>
              <w:bottom w:val="single" w:color="auto" w:sz="4" w:space="0"/>
              <w:right w:val="single" w:color="auto" w:sz="4" w:space="0"/>
            </w:tcBorders>
          </w:tcPr>
          <w:p w14:paraId="7D8DDEE0">
            <w:pPr>
              <w:widowControl/>
              <w:rPr>
                <w:rFonts w:ascii="宋体" w:hAnsi="宋体"/>
                <w:color w:val="auto"/>
                <w:kern w:val="0"/>
                <w:sz w:val="22"/>
                <w:szCs w:val="22"/>
              </w:rPr>
            </w:pPr>
            <w:r>
              <w:rPr>
                <w:rFonts w:hint="eastAsia" w:ascii="宋体" w:hAnsi="宋体"/>
                <w:color w:val="auto"/>
                <w:kern w:val="0"/>
                <w:sz w:val="22"/>
                <w:szCs w:val="22"/>
              </w:rPr>
              <w:t xml:space="preserve"> /</w:t>
            </w:r>
          </w:p>
        </w:tc>
      </w:tr>
      <w:tr w14:paraId="3F0A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4BE413FE">
            <w:pPr>
              <w:widowControl/>
              <w:rPr>
                <w:rFonts w:ascii="宋体" w:hAnsi="宋体"/>
                <w:color w:val="auto"/>
                <w:kern w:val="0"/>
                <w:sz w:val="22"/>
                <w:szCs w:val="22"/>
              </w:rPr>
            </w:pPr>
            <w:r>
              <w:rPr>
                <w:rFonts w:hint="eastAsia" w:ascii="宋体" w:hAnsi="宋体"/>
                <w:color w:val="auto"/>
                <w:kern w:val="0"/>
                <w:sz w:val="22"/>
                <w:szCs w:val="22"/>
              </w:rPr>
              <w:t>123</w:t>
            </w:r>
          </w:p>
        </w:tc>
        <w:tc>
          <w:tcPr>
            <w:tcW w:w="0" w:type="auto"/>
            <w:vMerge w:val="continue"/>
            <w:tcBorders>
              <w:top w:val="nil"/>
              <w:left w:val="single" w:color="auto" w:sz="4" w:space="0"/>
              <w:bottom w:val="single" w:color="auto" w:sz="4" w:space="0"/>
              <w:right w:val="single" w:color="auto" w:sz="4" w:space="0"/>
            </w:tcBorders>
            <w:vAlign w:val="center"/>
          </w:tcPr>
          <w:p w14:paraId="1F0B436B">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3D2C525">
            <w:pPr>
              <w:widowControl/>
              <w:rPr>
                <w:rFonts w:ascii="宋体" w:hAnsi="宋体"/>
                <w:color w:val="auto"/>
                <w:kern w:val="0"/>
                <w:sz w:val="22"/>
                <w:szCs w:val="22"/>
              </w:rPr>
            </w:pPr>
            <w:r>
              <w:rPr>
                <w:rFonts w:hint="eastAsia" w:ascii="宋体" w:hAnsi="宋体"/>
                <w:color w:val="auto"/>
                <w:kern w:val="0"/>
                <w:sz w:val="22"/>
                <w:szCs w:val="22"/>
              </w:rPr>
              <w:t>▲有线网卡接口类型</w:t>
            </w:r>
          </w:p>
        </w:tc>
        <w:tc>
          <w:tcPr>
            <w:tcW w:w="2740" w:type="pct"/>
            <w:tcBorders>
              <w:top w:val="single" w:color="auto" w:sz="4" w:space="0"/>
              <w:left w:val="single" w:color="auto" w:sz="4" w:space="0"/>
              <w:bottom w:val="single" w:color="auto" w:sz="4" w:space="0"/>
              <w:right w:val="single" w:color="auto" w:sz="4" w:space="0"/>
            </w:tcBorders>
          </w:tcPr>
          <w:p w14:paraId="463FD9A9">
            <w:pPr>
              <w:widowControl/>
              <w:rPr>
                <w:rFonts w:ascii="宋体" w:hAnsi="宋体"/>
                <w:color w:val="auto"/>
                <w:kern w:val="0"/>
                <w:sz w:val="22"/>
                <w:szCs w:val="22"/>
              </w:rPr>
            </w:pPr>
            <w:r>
              <w:rPr>
                <w:rFonts w:hint="eastAsia" w:ascii="宋体" w:hAnsi="宋体"/>
                <w:color w:val="auto"/>
                <w:kern w:val="0"/>
                <w:sz w:val="22"/>
                <w:szCs w:val="22"/>
              </w:rPr>
              <w:t>支持RJ45接口</w:t>
            </w:r>
          </w:p>
        </w:tc>
      </w:tr>
      <w:tr w14:paraId="7B7B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2E9A919C">
            <w:pPr>
              <w:widowControl/>
              <w:rPr>
                <w:rFonts w:ascii="宋体" w:hAnsi="宋体"/>
                <w:color w:val="auto"/>
                <w:kern w:val="0"/>
                <w:sz w:val="22"/>
                <w:szCs w:val="22"/>
              </w:rPr>
            </w:pPr>
            <w:r>
              <w:rPr>
                <w:rFonts w:hint="eastAsia" w:ascii="宋体" w:hAnsi="宋体"/>
                <w:color w:val="auto"/>
                <w:kern w:val="0"/>
                <w:sz w:val="22"/>
                <w:szCs w:val="22"/>
              </w:rPr>
              <w:t>124</w:t>
            </w:r>
          </w:p>
        </w:tc>
        <w:tc>
          <w:tcPr>
            <w:tcW w:w="0" w:type="auto"/>
            <w:vMerge w:val="continue"/>
            <w:tcBorders>
              <w:top w:val="nil"/>
              <w:left w:val="single" w:color="auto" w:sz="4" w:space="0"/>
              <w:bottom w:val="single" w:color="auto" w:sz="4" w:space="0"/>
              <w:right w:val="single" w:color="auto" w:sz="4" w:space="0"/>
            </w:tcBorders>
            <w:vAlign w:val="center"/>
          </w:tcPr>
          <w:p w14:paraId="02547E0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3BA7F0AA">
            <w:pPr>
              <w:widowControl/>
              <w:rPr>
                <w:rFonts w:ascii="宋体" w:hAnsi="宋体"/>
                <w:color w:val="auto"/>
                <w:kern w:val="0"/>
                <w:sz w:val="22"/>
                <w:szCs w:val="22"/>
              </w:rPr>
            </w:pPr>
            <w:r>
              <w:rPr>
                <w:rFonts w:hint="eastAsia" w:ascii="宋体" w:hAnsi="宋体"/>
                <w:color w:val="auto"/>
                <w:kern w:val="0"/>
                <w:sz w:val="22"/>
                <w:szCs w:val="22"/>
              </w:rPr>
              <w:t>无线网卡标准</w:t>
            </w:r>
          </w:p>
        </w:tc>
        <w:tc>
          <w:tcPr>
            <w:tcW w:w="2740" w:type="pct"/>
            <w:tcBorders>
              <w:top w:val="single" w:color="auto" w:sz="4" w:space="0"/>
              <w:left w:val="single" w:color="auto" w:sz="4" w:space="0"/>
              <w:bottom w:val="single" w:color="auto" w:sz="4" w:space="0"/>
              <w:right w:val="single" w:color="auto" w:sz="4" w:space="0"/>
            </w:tcBorders>
          </w:tcPr>
          <w:p w14:paraId="494A8F0E">
            <w:pPr>
              <w:widowControl/>
              <w:rPr>
                <w:rFonts w:ascii="宋体" w:hAnsi="宋体"/>
                <w:color w:val="auto"/>
                <w:kern w:val="0"/>
                <w:sz w:val="22"/>
                <w:szCs w:val="22"/>
              </w:rPr>
            </w:pPr>
            <w:r>
              <w:rPr>
                <w:rFonts w:hint="eastAsia" w:ascii="宋体" w:hAnsi="宋体"/>
                <w:color w:val="auto"/>
                <w:kern w:val="0"/>
                <w:sz w:val="22"/>
                <w:szCs w:val="22"/>
              </w:rPr>
              <w:t>若配备无线网卡，产品应符合GB 15629.11所有部分</w:t>
            </w:r>
          </w:p>
        </w:tc>
      </w:tr>
      <w:tr w14:paraId="4891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5091F898">
            <w:pPr>
              <w:widowControl/>
              <w:rPr>
                <w:rFonts w:ascii="宋体" w:hAnsi="宋体"/>
                <w:color w:val="auto"/>
                <w:kern w:val="0"/>
                <w:sz w:val="22"/>
                <w:szCs w:val="22"/>
              </w:rPr>
            </w:pPr>
            <w:r>
              <w:rPr>
                <w:rFonts w:hint="eastAsia" w:ascii="宋体" w:hAnsi="宋体"/>
                <w:color w:val="auto"/>
                <w:kern w:val="0"/>
                <w:sz w:val="22"/>
                <w:szCs w:val="22"/>
              </w:rPr>
              <w:t>125</w:t>
            </w:r>
          </w:p>
        </w:tc>
        <w:tc>
          <w:tcPr>
            <w:tcW w:w="0" w:type="auto"/>
            <w:vMerge w:val="continue"/>
            <w:tcBorders>
              <w:top w:val="nil"/>
              <w:left w:val="single" w:color="auto" w:sz="4" w:space="0"/>
              <w:bottom w:val="single" w:color="auto" w:sz="4" w:space="0"/>
              <w:right w:val="single" w:color="auto" w:sz="4" w:space="0"/>
            </w:tcBorders>
            <w:vAlign w:val="center"/>
          </w:tcPr>
          <w:p w14:paraId="45AC3D5D">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729AD35A">
            <w:pPr>
              <w:widowControl/>
              <w:rPr>
                <w:rFonts w:ascii="宋体" w:hAnsi="宋体"/>
                <w:color w:val="auto"/>
                <w:kern w:val="0"/>
                <w:sz w:val="22"/>
                <w:szCs w:val="22"/>
              </w:rPr>
            </w:pPr>
            <w:r>
              <w:rPr>
                <w:rFonts w:hint="eastAsia" w:ascii="宋体" w:hAnsi="宋体"/>
                <w:color w:val="auto"/>
                <w:kern w:val="0"/>
                <w:sz w:val="22"/>
                <w:szCs w:val="22"/>
              </w:rPr>
              <w:t>▲网络设备拆装</w:t>
            </w:r>
          </w:p>
        </w:tc>
        <w:tc>
          <w:tcPr>
            <w:tcW w:w="2740" w:type="pct"/>
            <w:tcBorders>
              <w:top w:val="single" w:color="auto" w:sz="4" w:space="0"/>
              <w:left w:val="single" w:color="auto" w:sz="4" w:space="0"/>
              <w:bottom w:val="single" w:color="auto" w:sz="4" w:space="0"/>
              <w:right w:val="single" w:color="auto" w:sz="4" w:space="0"/>
            </w:tcBorders>
          </w:tcPr>
          <w:p w14:paraId="6AE40B08">
            <w:pPr>
              <w:widowControl/>
              <w:rPr>
                <w:rFonts w:ascii="宋体" w:hAnsi="宋体"/>
                <w:color w:val="auto"/>
                <w:kern w:val="0"/>
                <w:sz w:val="22"/>
                <w:szCs w:val="22"/>
              </w:rPr>
            </w:pPr>
            <w:r>
              <w:rPr>
                <w:rFonts w:hint="eastAsia" w:ascii="宋体" w:hAnsi="宋体"/>
                <w:color w:val="auto"/>
                <w:kern w:val="0"/>
                <w:sz w:val="22"/>
                <w:szCs w:val="22"/>
              </w:rPr>
              <w:t>网络设备支持物理拆装，包括无线网卡和蓝牙模块等</w:t>
            </w:r>
          </w:p>
        </w:tc>
      </w:tr>
      <w:tr w14:paraId="49A8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5079C5E6">
            <w:pPr>
              <w:widowControl/>
              <w:rPr>
                <w:rFonts w:ascii="宋体" w:hAnsi="宋体"/>
                <w:color w:val="auto"/>
                <w:kern w:val="0"/>
                <w:sz w:val="22"/>
                <w:szCs w:val="22"/>
              </w:rPr>
            </w:pPr>
            <w:r>
              <w:rPr>
                <w:rFonts w:hint="eastAsia" w:ascii="宋体" w:hAnsi="宋体"/>
                <w:color w:val="auto"/>
                <w:kern w:val="0"/>
                <w:sz w:val="22"/>
                <w:szCs w:val="22"/>
              </w:rPr>
              <w:t>126</w:t>
            </w:r>
          </w:p>
        </w:tc>
        <w:tc>
          <w:tcPr>
            <w:tcW w:w="555" w:type="pct"/>
            <w:vMerge w:val="restart"/>
            <w:tcBorders>
              <w:top w:val="nil"/>
              <w:left w:val="single" w:color="auto" w:sz="4" w:space="0"/>
              <w:bottom w:val="single" w:color="auto" w:sz="4" w:space="0"/>
              <w:right w:val="single" w:color="auto" w:sz="4" w:space="0"/>
            </w:tcBorders>
            <w:vAlign w:val="center"/>
          </w:tcPr>
          <w:p w14:paraId="530ABB98">
            <w:pPr>
              <w:widowControl/>
              <w:rPr>
                <w:rFonts w:ascii="宋体" w:hAnsi="宋体"/>
                <w:color w:val="auto"/>
                <w:kern w:val="0"/>
                <w:sz w:val="22"/>
                <w:szCs w:val="22"/>
              </w:rPr>
            </w:pPr>
            <w:r>
              <w:rPr>
                <w:rFonts w:hint="eastAsia" w:ascii="宋体" w:hAnsi="宋体"/>
                <w:color w:val="auto"/>
                <w:kern w:val="0"/>
                <w:sz w:val="22"/>
                <w:szCs w:val="22"/>
              </w:rPr>
              <w:t>▲外部接口功能</w:t>
            </w:r>
          </w:p>
        </w:tc>
        <w:tc>
          <w:tcPr>
            <w:tcW w:w="1356" w:type="pct"/>
            <w:tcBorders>
              <w:top w:val="single" w:color="auto" w:sz="4" w:space="0"/>
              <w:left w:val="single" w:color="auto" w:sz="4" w:space="0"/>
              <w:bottom w:val="single" w:color="auto" w:sz="4" w:space="0"/>
              <w:right w:val="single" w:color="auto" w:sz="4" w:space="0"/>
            </w:tcBorders>
          </w:tcPr>
          <w:p w14:paraId="7C3C6098">
            <w:pPr>
              <w:widowControl/>
              <w:rPr>
                <w:rFonts w:ascii="宋体" w:hAnsi="宋体"/>
                <w:color w:val="auto"/>
                <w:kern w:val="0"/>
                <w:sz w:val="22"/>
                <w:szCs w:val="22"/>
              </w:rPr>
            </w:pPr>
            <w:r>
              <w:rPr>
                <w:rFonts w:hint="eastAsia" w:ascii="宋体" w:hAnsi="宋体"/>
                <w:color w:val="auto"/>
                <w:kern w:val="0"/>
                <w:sz w:val="22"/>
                <w:szCs w:val="22"/>
              </w:rPr>
              <w:t>▲音频接口类型</w:t>
            </w:r>
          </w:p>
        </w:tc>
        <w:tc>
          <w:tcPr>
            <w:tcW w:w="2740" w:type="pct"/>
            <w:tcBorders>
              <w:top w:val="single" w:color="auto" w:sz="4" w:space="0"/>
              <w:left w:val="single" w:color="auto" w:sz="4" w:space="0"/>
              <w:bottom w:val="single" w:color="auto" w:sz="4" w:space="0"/>
              <w:right w:val="single" w:color="auto" w:sz="4" w:space="0"/>
            </w:tcBorders>
          </w:tcPr>
          <w:p w14:paraId="4F42B923">
            <w:pPr>
              <w:widowControl/>
              <w:rPr>
                <w:rFonts w:ascii="宋体" w:hAnsi="宋体"/>
                <w:color w:val="auto"/>
                <w:kern w:val="0"/>
                <w:sz w:val="22"/>
                <w:szCs w:val="22"/>
              </w:rPr>
            </w:pPr>
            <w:r>
              <w:rPr>
                <w:rFonts w:hint="eastAsia" w:ascii="宋体" w:hAnsi="宋体"/>
                <w:color w:val="auto"/>
                <w:kern w:val="0"/>
                <w:sz w:val="22"/>
                <w:szCs w:val="22"/>
              </w:rPr>
              <w:t>支持3.5mm孔径3段式或4段式接口</w:t>
            </w:r>
          </w:p>
        </w:tc>
      </w:tr>
      <w:tr w14:paraId="2E8C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47" w:type="pct"/>
            <w:tcBorders>
              <w:top w:val="single" w:color="auto" w:sz="4" w:space="0"/>
              <w:left w:val="single" w:color="auto" w:sz="4" w:space="0"/>
              <w:bottom w:val="single" w:color="auto" w:sz="4" w:space="0"/>
              <w:right w:val="single" w:color="auto" w:sz="4" w:space="0"/>
            </w:tcBorders>
          </w:tcPr>
          <w:p w14:paraId="4B8CB8BD">
            <w:pPr>
              <w:widowControl/>
              <w:rPr>
                <w:rFonts w:ascii="宋体" w:hAnsi="宋体"/>
                <w:color w:val="auto"/>
                <w:kern w:val="0"/>
                <w:sz w:val="22"/>
                <w:szCs w:val="22"/>
              </w:rPr>
            </w:pPr>
            <w:r>
              <w:rPr>
                <w:rFonts w:hint="eastAsia" w:ascii="宋体" w:hAnsi="宋体"/>
                <w:color w:val="auto"/>
                <w:kern w:val="0"/>
                <w:sz w:val="22"/>
                <w:szCs w:val="22"/>
              </w:rPr>
              <w:t>127</w:t>
            </w:r>
          </w:p>
        </w:tc>
        <w:tc>
          <w:tcPr>
            <w:tcW w:w="0" w:type="auto"/>
            <w:vMerge w:val="continue"/>
            <w:tcBorders>
              <w:top w:val="nil"/>
              <w:left w:val="single" w:color="auto" w:sz="4" w:space="0"/>
              <w:bottom w:val="single" w:color="auto" w:sz="4" w:space="0"/>
              <w:right w:val="single" w:color="auto" w:sz="4" w:space="0"/>
            </w:tcBorders>
            <w:vAlign w:val="center"/>
          </w:tcPr>
          <w:p w14:paraId="2EF4DF67">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1232253D">
            <w:pPr>
              <w:widowControl/>
              <w:rPr>
                <w:rFonts w:ascii="宋体" w:hAnsi="宋体"/>
                <w:color w:val="auto"/>
                <w:kern w:val="0"/>
                <w:sz w:val="22"/>
                <w:szCs w:val="22"/>
              </w:rPr>
            </w:pPr>
            <w:r>
              <w:rPr>
                <w:rFonts w:hint="eastAsia" w:ascii="宋体" w:hAnsi="宋体"/>
                <w:color w:val="auto"/>
                <w:kern w:val="0"/>
                <w:sz w:val="22"/>
                <w:szCs w:val="22"/>
              </w:rPr>
              <w:t>▲视频接口类型</w:t>
            </w:r>
          </w:p>
        </w:tc>
        <w:tc>
          <w:tcPr>
            <w:tcW w:w="2740" w:type="pct"/>
            <w:tcBorders>
              <w:top w:val="single" w:color="auto" w:sz="4" w:space="0"/>
              <w:left w:val="single" w:color="auto" w:sz="4" w:space="0"/>
              <w:bottom w:val="single" w:color="auto" w:sz="4" w:space="0"/>
              <w:right w:val="single" w:color="auto" w:sz="4" w:space="0"/>
            </w:tcBorders>
            <w:shd w:val="clear" w:color="auto" w:fill="FFFFFF"/>
            <w:vAlign w:val="center"/>
          </w:tcPr>
          <w:p w14:paraId="73A1646D">
            <w:pPr>
              <w:widowControl/>
              <w:jc w:val="left"/>
              <w:textAlignment w:val="center"/>
              <w:rPr>
                <w:rFonts w:ascii="宋体" w:hAnsi="宋体"/>
                <w:color w:val="auto"/>
                <w:sz w:val="22"/>
                <w:szCs w:val="22"/>
              </w:rPr>
            </w:pPr>
            <w:r>
              <w:rPr>
                <w:rFonts w:hint="eastAsia" w:ascii="宋体" w:hAnsi="宋体"/>
                <w:color w:val="auto"/>
                <w:kern w:val="0"/>
                <w:sz w:val="22"/>
                <w:szCs w:val="22"/>
              </w:rPr>
              <w:t>支持 VGA、HDMI 2 种显示接口</w:t>
            </w:r>
          </w:p>
        </w:tc>
      </w:tr>
      <w:tr w14:paraId="5E6D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4EE9BEAF">
            <w:pPr>
              <w:widowControl/>
              <w:rPr>
                <w:rFonts w:ascii="宋体" w:hAnsi="宋体"/>
                <w:color w:val="auto"/>
                <w:kern w:val="0"/>
                <w:sz w:val="22"/>
                <w:szCs w:val="22"/>
              </w:rPr>
            </w:pPr>
            <w:r>
              <w:rPr>
                <w:rFonts w:hint="eastAsia" w:ascii="宋体" w:hAnsi="宋体"/>
                <w:color w:val="auto"/>
                <w:kern w:val="0"/>
                <w:sz w:val="22"/>
                <w:szCs w:val="22"/>
              </w:rPr>
              <w:t>128</w:t>
            </w:r>
          </w:p>
        </w:tc>
        <w:tc>
          <w:tcPr>
            <w:tcW w:w="0" w:type="auto"/>
            <w:vMerge w:val="continue"/>
            <w:tcBorders>
              <w:top w:val="nil"/>
              <w:left w:val="single" w:color="auto" w:sz="4" w:space="0"/>
              <w:bottom w:val="single" w:color="auto" w:sz="4" w:space="0"/>
              <w:right w:val="single" w:color="auto" w:sz="4" w:space="0"/>
            </w:tcBorders>
            <w:vAlign w:val="center"/>
          </w:tcPr>
          <w:p w14:paraId="48B5D96D">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5D06EAC8">
            <w:pPr>
              <w:widowControl/>
              <w:rPr>
                <w:rFonts w:ascii="宋体" w:hAnsi="宋体"/>
                <w:color w:val="auto"/>
                <w:kern w:val="0"/>
                <w:sz w:val="22"/>
                <w:szCs w:val="22"/>
              </w:rPr>
            </w:pPr>
            <w:r>
              <w:rPr>
                <w:rFonts w:hint="eastAsia" w:ascii="宋体" w:hAnsi="宋体"/>
                <w:color w:val="auto"/>
                <w:kern w:val="0"/>
                <w:sz w:val="22"/>
                <w:szCs w:val="22"/>
              </w:rPr>
              <w:t>▲HDMI、DP、 Type-C显示接口要求</w:t>
            </w:r>
          </w:p>
        </w:tc>
        <w:tc>
          <w:tcPr>
            <w:tcW w:w="2740" w:type="pct"/>
            <w:tcBorders>
              <w:top w:val="single" w:color="auto" w:sz="4" w:space="0"/>
              <w:left w:val="single" w:color="auto" w:sz="4" w:space="0"/>
              <w:bottom w:val="single" w:color="auto" w:sz="4" w:space="0"/>
              <w:right w:val="single" w:color="auto" w:sz="4" w:space="0"/>
            </w:tcBorders>
          </w:tcPr>
          <w:p w14:paraId="51EC7301">
            <w:pPr>
              <w:widowControl/>
              <w:rPr>
                <w:rFonts w:ascii="宋体" w:hAnsi="宋体"/>
                <w:color w:val="auto"/>
                <w:kern w:val="0"/>
                <w:sz w:val="22"/>
                <w:szCs w:val="22"/>
              </w:rPr>
            </w:pPr>
            <w:r>
              <w:rPr>
                <w:rFonts w:hint="eastAsia" w:ascii="宋体" w:hAnsi="宋体"/>
                <w:color w:val="auto"/>
                <w:kern w:val="0"/>
                <w:sz w:val="22"/>
                <w:szCs w:val="22"/>
              </w:rPr>
              <w:t>若提供HDMI或DP作为显示接口，应支持音频和视频同步输出</w:t>
            </w:r>
          </w:p>
        </w:tc>
      </w:tr>
      <w:tr w14:paraId="7316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347" w:type="pct"/>
            <w:tcBorders>
              <w:top w:val="single" w:color="auto" w:sz="4" w:space="0"/>
              <w:left w:val="single" w:color="auto" w:sz="4" w:space="0"/>
              <w:bottom w:val="single" w:color="auto" w:sz="4" w:space="0"/>
              <w:right w:val="single" w:color="auto" w:sz="4" w:space="0"/>
            </w:tcBorders>
          </w:tcPr>
          <w:p w14:paraId="2A3E9EB3">
            <w:pPr>
              <w:widowControl/>
              <w:rPr>
                <w:rFonts w:ascii="宋体" w:hAnsi="宋体"/>
                <w:color w:val="auto"/>
                <w:kern w:val="0"/>
                <w:sz w:val="22"/>
                <w:szCs w:val="22"/>
              </w:rPr>
            </w:pPr>
            <w:r>
              <w:rPr>
                <w:rFonts w:hint="eastAsia" w:ascii="宋体" w:hAnsi="宋体"/>
                <w:color w:val="auto"/>
                <w:kern w:val="0"/>
                <w:sz w:val="22"/>
                <w:szCs w:val="22"/>
              </w:rPr>
              <w:t>129</w:t>
            </w:r>
          </w:p>
        </w:tc>
        <w:tc>
          <w:tcPr>
            <w:tcW w:w="0" w:type="auto"/>
            <w:vMerge w:val="continue"/>
            <w:tcBorders>
              <w:top w:val="nil"/>
              <w:left w:val="single" w:color="auto" w:sz="4" w:space="0"/>
              <w:bottom w:val="single" w:color="auto" w:sz="4" w:space="0"/>
              <w:right w:val="single" w:color="auto" w:sz="4" w:space="0"/>
            </w:tcBorders>
            <w:vAlign w:val="center"/>
          </w:tcPr>
          <w:p w14:paraId="12CDE84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38153C45">
            <w:pPr>
              <w:widowControl/>
              <w:rPr>
                <w:rFonts w:ascii="宋体" w:hAnsi="宋体"/>
                <w:color w:val="auto"/>
                <w:kern w:val="0"/>
                <w:sz w:val="22"/>
                <w:szCs w:val="22"/>
              </w:rPr>
            </w:pPr>
            <w:r>
              <w:rPr>
                <w:rFonts w:hint="eastAsia" w:ascii="宋体" w:hAnsi="宋体"/>
                <w:color w:val="auto"/>
                <w:kern w:val="0"/>
                <w:sz w:val="22"/>
                <w:szCs w:val="22"/>
              </w:rPr>
              <w:t>其他接口</w:t>
            </w:r>
          </w:p>
        </w:tc>
        <w:tc>
          <w:tcPr>
            <w:tcW w:w="2740" w:type="pct"/>
            <w:tcBorders>
              <w:top w:val="single" w:color="auto" w:sz="4" w:space="0"/>
              <w:left w:val="single" w:color="auto" w:sz="4" w:space="0"/>
              <w:bottom w:val="single" w:color="auto" w:sz="4" w:space="0"/>
              <w:right w:val="single" w:color="auto" w:sz="4" w:space="0"/>
            </w:tcBorders>
          </w:tcPr>
          <w:p w14:paraId="6562BFF0">
            <w:pPr>
              <w:widowControl/>
              <w:rPr>
                <w:rFonts w:ascii="宋体" w:hAnsi="宋体"/>
                <w:color w:val="auto"/>
                <w:kern w:val="0"/>
                <w:sz w:val="22"/>
                <w:szCs w:val="22"/>
              </w:rPr>
            </w:pPr>
            <w:r>
              <w:rPr>
                <w:rFonts w:hint="eastAsia" w:ascii="宋体" w:hAnsi="宋体"/>
                <w:color w:val="auto"/>
                <w:kern w:val="0"/>
                <w:sz w:val="22"/>
                <w:szCs w:val="22"/>
              </w:rPr>
              <w:t>a) 标配 1 个串行接口，可实现 GB/T 6107 的功能；</w:t>
            </w:r>
          </w:p>
        </w:tc>
      </w:tr>
      <w:tr w14:paraId="6E82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47" w:type="pct"/>
            <w:tcBorders>
              <w:top w:val="single" w:color="auto" w:sz="4" w:space="0"/>
              <w:left w:val="single" w:color="auto" w:sz="4" w:space="0"/>
              <w:bottom w:val="single" w:color="auto" w:sz="4" w:space="0"/>
              <w:right w:val="single" w:color="auto" w:sz="4" w:space="0"/>
            </w:tcBorders>
          </w:tcPr>
          <w:p w14:paraId="70174FB0">
            <w:pPr>
              <w:widowControl/>
              <w:rPr>
                <w:rFonts w:ascii="宋体" w:hAnsi="宋体"/>
                <w:color w:val="auto"/>
                <w:kern w:val="0"/>
                <w:sz w:val="22"/>
                <w:szCs w:val="22"/>
              </w:rPr>
            </w:pPr>
            <w:r>
              <w:rPr>
                <w:rFonts w:hint="eastAsia" w:ascii="宋体" w:hAnsi="宋体"/>
                <w:color w:val="auto"/>
                <w:kern w:val="0"/>
                <w:sz w:val="22"/>
                <w:szCs w:val="22"/>
              </w:rPr>
              <w:t>130</w:t>
            </w:r>
          </w:p>
        </w:tc>
        <w:tc>
          <w:tcPr>
            <w:tcW w:w="0" w:type="auto"/>
            <w:vMerge w:val="continue"/>
            <w:tcBorders>
              <w:top w:val="nil"/>
              <w:left w:val="single" w:color="auto" w:sz="4" w:space="0"/>
              <w:bottom w:val="single" w:color="auto" w:sz="4" w:space="0"/>
              <w:right w:val="single" w:color="auto" w:sz="4" w:space="0"/>
            </w:tcBorders>
            <w:vAlign w:val="center"/>
          </w:tcPr>
          <w:p w14:paraId="5C1A3FD5">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281FE03E">
            <w:pPr>
              <w:widowControl/>
              <w:rPr>
                <w:rFonts w:ascii="宋体" w:hAnsi="宋体"/>
                <w:color w:val="auto"/>
                <w:kern w:val="0"/>
                <w:sz w:val="22"/>
                <w:szCs w:val="22"/>
              </w:rPr>
            </w:pPr>
            <w:r>
              <w:rPr>
                <w:rFonts w:hint="eastAsia" w:ascii="宋体" w:hAnsi="宋体"/>
                <w:color w:val="auto"/>
                <w:kern w:val="0"/>
                <w:sz w:val="22"/>
                <w:szCs w:val="22"/>
              </w:rPr>
              <w:t>存储卡接口类型</w:t>
            </w:r>
          </w:p>
        </w:tc>
        <w:tc>
          <w:tcPr>
            <w:tcW w:w="2740" w:type="pct"/>
            <w:tcBorders>
              <w:top w:val="single" w:color="auto" w:sz="4" w:space="0"/>
              <w:left w:val="single" w:color="auto" w:sz="4" w:space="0"/>
              <w:bottom w:val="single" w:color="auto" w:sz="4" w:space="0"/>
              <w:right w:val="single" w:color="auto" w:sz="4" w:space="0"/>
            </w:tcBorders>
          </w:tcPr>
          <w:p w14:paraId="2658C42C">
            <w:pPr>
              <w:widowControl/>
              <w:rPr>
                <w:rFonts w:ascii="宋体" w:hAnsi="宋体"/>
                <w:color w:val="auto"/>
                <w:kern w:val="0"/>
                <w:sz w:val="22"/>
                <w:szCs w:val="22"/>
              </w:rPr>
            </w:pPr>
            <w:r>
              <w:rPr>
                <w:rFonts w:hint="eastAsia" w:ascii="宋体" w:hAnsi="宋体"/>
                <w:color w:val="auto"/>
                <w:kern w:val="0"/>
                <w:sz w:val="22"/>
                <w:szCs w:val="22"/>
              </w:rPr>
              <w:t xml:space="preserve"> /</w:t>
            </w:r>
          </w:p>
        </w:tc>
      </w:tr>
      <w:tr w14:paraId="6101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0C7B4EAF">
            <w:pPr>
              <w:widowControl/>
              <w:rPr>
                <w:rFonts w:ascii="宋体" w:hAnsi="宋体"/>
                <w:color w:val="auto"/>
                <w:kern w:val="0"/>
                <w:sz w:val="22"/>
                <w:szCs w:val="22"/>
              </w:rPr>
            </w:pPr>
            <w:r>
              <w:rPr>
                <w:rFonts w:hint="eastAsia" w:ascii="宋体" w:hAnsi="宋体"/>
                <w:color w:val="auto"/>
                <w:kern w:val="0"/>
                <w:sz w:val="22"/>
                <w:szCs w:val="22"/>
              </w:rPr>
              <w:t>131</w:t>
            </w:r>
          </w:p>
        </w:tc>
        <w:tc>
          <w:tcPr>
            <w:tcW w:w="555" w:type="pct"/>
            <w:tcBorders>
              <w:top w:val="single" w:color="auto" w:sz="4" w:space="0"/>
              <w:left w:val="single" w:color="auto" w:sz="4" w:space="0"/>
              <w:bottom w:val="single" w:color="auto" w:sz="4" w:space="0"/>
              <w:right w:val="single" w:color="auto" w:sz="4" w:space="0"/>
            </w:tcBorders>
            <w:vAlign w:val="center"/>
          </w:tcPr>
          <w:p w14:paraId="3C088C4B">
            <w:pPr>
              <w:widowControl/>
              <w:rPr>
                <w:rFonts w:ascii="宋体" w:hAnsi="宋体"/>
                <w:color w:val="auto"/>
                <w:kern w:val="0"/>
                <w:sz w:val="22"/>
                <w:szCs w:val="22"/>
              </w:rPr>
            </w:pPr>
            <w:r>
              <w:rPr>
                <w:rFonts w:hint="eastAsia" w:ascii="宋体" w:hAnsi="宋体"/>
                <w:color w:val="auto"/>
                <w:kern w:val="0"/>
                <w:sz w:val="22"/>
                <w:szCs w:val="22"/>
              </w:rPr>
              <w:t>▲电源功能</w:t>
            </w:r>
          </w:p>
        </w:tc>
        <w:tc>
          <w:tcPr>
            <w:tcW w:w="1356" w:type="pct"/>
            <w:tcBorders>
              <w:top w:val="single" w:color="auto" w:sz="4" w:space="0"/>
              <w:left w:val="single" w:color="auto" w:sz="4" w:space="0"/>
              <w:bottom w:val="single" w:color="auto" w:sz="4" w:space="0"/>
              <w:right w:val="single" w:color="auto" w:sz="4" w:space="0"/>
            </w:tcBorders>
          </w:tcPr>
          <w:p w14:paraId="1241D487">
            <w:pPr>
              <w:widowControl/>
              <w:rPr>
                <w:rFonts w:ascii="宋体" w:hAnsi="宋体"/>
                <w:color w:val="auto"/>
                <w:kern w:val="0"/>
                <w:sz w:val="22"/>
                <w:szCs w:val="22"/>
              </w:rPr>
            </w:pPr>
            <w:r>
              <w:rPr>
                <w:rFonts w:hint="eastAsia" w:ascii="宋体" w:hAnsi="宋体"/>
                <w:color w:val="auto"/>
                <w:kern w:val="0"/>
                <w:sz w:val="22"/>
                <w:szCs w:val="22"/>
              </w:rPr>
              <w:t>▲电源线适配能力</w:t>
            </w:r>
          </w:p>
        </w:tc>
        <w:tc>
          <w:tcPr>
            <w:tcW w:w="2740" w:type="pct"/>
            <w:tcBorders>
              <w:top w:val="single" w:color="auto" w:sz="4" w:space="0"/>
              <w:left w:val="single" w:color="auto" w:sz="4" w:space="0"/>
              <w:bottom w:val="single" w:color="auto" w:sz="4" w:space="0"/>
              <w:right w:val="single" w:color="auto" w:sz="4" w:space="0"/>
            </w:tcBorders>
          </w:tcPr>
          <w:p w14:paraId="4564F1A7">
            <w:pPr>
              <w:widowControl/>
              <w:rPr>
                <w:rFonts w:ascii="宋体" w:hAnsi="宋体"/>
                <w:color w:val="auto"/>
                <w:kern w:val="0"/>
                <w:sz w:val="22"/>
                <w:szCs w:val="22"/>
              </w:rPr>
            </w:pPr>
            <w:r>
              <w:rPr>
                <w:rFonts w:hint="eastAsia" w:ascii="宋体" w:hAnsi="宋体"/>
                <w:color w:val="auto"/>
                <w:kern w:val="0"/>
                <w:sz w:val="22"/>
                <w:szCs w:val="22"/>
              </w:rPr>
              <w:t>电源适配器电线组件应符合 GB/T15934 的要求，可拆线的插头和连接器可以不做要求</w:t>
            </w:r>
          </w:p>
        </w:tc>
      </w:tr>
      <w:tr w14:paraId="2E19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63D76D92">
            <w:pPr>
              <w:widowControl/>
              <w:rPr>
                <w:rFonts w:ascii="宋体" w:hAnsi="宋体"/>
                <w:color w:val="auto"/>
                <w:kern w:val="0"/>
                <w:sz w:val="22"/>
                <w:szCs w:val="22"/>
              </w:rPr>
            </w:pPr>
            <w:r>
              <w:rPr>
                <w:rFonts w:hint="eastAsia" w:ascii="宋体" w:hAnsi="宋体"/>
                <w:color w:val="auto"/>
                <w:kern w:val="0"/>
                <w:sz w:val="22"/>
                <w:szCs w:val="22"/>
              </w:rPr>
              <w:t>132</w:t>
            </w:r>
          </w:p>
        </w:tc>
        <w:tc>
          <w:tcPr>
            <w:tcW w:w="555" w:type="pct"/>
            <w:vMerge w:val="restart"/>
            <w:tcBorders>
              <w:top w:val="nil"/>
              <w:left w:val="single" w:color="auto" w:sz="4" w:space="0"/>
              <w:bottom w:val="single" w:color="auto" w:sz="4" w:space="0"/>
              <w:right w:val="single" w:color="auto" w:sz="4" w:space="0"/>
            </w:tcBorders>
            <w:vAlign w:val="center"/>
          </w:tcPr>
          <w:p w14:paraId="28AEDED7">
            <w:pPr>
              <w:widowControl/>
              <w:rPr>
                <w:rFonts w:ascii="宋体" w:hAnsi="宋体"/>
                <w:color w:val="auto"/>
                <w:kern w:val="0"/>
                <w:sz w:val="22"/>
                <w:szCs w:val="22"/>
              </w:rPr>
            </w:pPr>
            <w:r>
              <w:rPr>
                <w:rFonts w:hint="eastAsia" w:ascii="宋体" w:hAnsi="宋体"/>
                <w:color w:val="auto"/>
                <w:kern w:val="0"/>
                <w:sz w:val="22"/>
                <w:szCs w:val="22"/>
              </w:rPr>
              <w:t>▲操作系统及软件功能</w:t>
            </w:r>
          </w:p>
        </w:tc>
        <w:tc>
          <w:tcPr>
            <w:tcW w:w="1356" w:type="pct"/>
            <w:tcBorders>
              <w:top w:val="single" w:color="auto" w:sz="4" w:space="0"/>
              <w:left w:val="single" w:color="auto" w:sz="4" w:space="0"/>
              <w:bottom w:val="single" w:color="auto" w:sz="4" w:space="0"/>
              <w:right w:val="single" w:color="auto" w:sz="4" w:space="0"/>
            </w:tcBorders>
          </w:tcPr>
          <w:p w14:paraId="47CB65C6">
            <w:pPr>
              <w:widowControl/>
              <w:rPr>
                <w:rFonts w:ascii="宋体" w:hAnsi="宋体"/>
                <w:color w:val="auto"/>
                <w:kern w:val="0"/>
                <w:sz w:val="22"/>
                <w:szCs w:val="22"/>
              </w:rPr>
            </w:pPr>
            <w:r>
              <w:rPr>
                <w:rFonts w:hint="eastAsia" w:ascii="宋体" w:hAnsi="宋体"/>
                <w:color w:val="auto"/>
                <w:kern w:val="0"/>
                <w:sz w:val="22"/>
                <w:szCs w:val="22"/>
              </w:rPr>
              <w:t>▲中文信息处理要求</w:t>
            </w:r>
          </w:p>
        </w:tc>
        <w:tc>
          <w:tcPr>
            <w:tcW w:w="2740" w:type="pct"/>
            <w:tcBorders>
              <w:top w:val="single" w:color="auto" w:sz="4" w:space="0"/>
              <w:left w:val="single" w:color="auto" w:sz="4" w:space="0"/>
              <w:bottom w:val="single" w:color="auto" w:sz="4" w:space="0"/>
              <w:right w:val="single" w:color="auto" w:sz="4" w:space="0"/>
            </w:tcBorders>
          </w:tcPr>
          <w:p w14:paraId="15377622">
            <w:pPr>
              <w:widowControl/>
              <w:rPr>
                <w:rFonts w:ascii="宋体" w:hAnsi="宋体"/>
                <w:color w:val="auto"/>
                <w:kern w:val="0"/>
                <w:sz w:val="22"/>
                <w:szCs w:val="22"/>
              </w:rPr>
            </w:pPr>
            <w:r>
              <w:rPr>
                <w:rFonts w:hint="eastAsia" w:ascii="宋体" w:hAnsi="宋体"/>
                <w:color w:val="auto"/>
                <w:kern w:val="0"/>
                <w:sz w:val="22"/>
                <w:szCs w:val="22"/>
              </w:rPr>
              <w:t>符合GB 18030的相关规定</w:t>
            </w:r>
          </w:p>
        </w:tc>
      </w:tr>
      <w:tr w14:paraId="50B7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1D434466">
            <w:pPr>
              <w:widowControl/>
              <w:rPr>
                <w:rFonts w:ascii="宋体" w:hAnsi="宋体"/>
                <w:color w:val="auto"/>
                <w:kern w:val="0"/>
                <w:sz w:val="22"/>
                <w:szCs w:val="22"/>
              </w:rPr>
            </w:pPr>
            <w:r>
              <w:rPr>
                <w:rFonts w:hint="eastAsia" w:ascii="宋体" w:hAnsi="宋体"/>
                <w:color w:val="auto"/>
                <w:kern w:val="0"/>
                <w:sz w:val="22"/>
                <w:szCs w:val="22"/>
              </w:rPr>
              <w:t>133</w:t>
            </w:r>
          </w:p>
        </w:tc>
        <w:tc>
          <w:tcPr>
            <w:tcW w:w="0" w:type="auto"/>
            <w:vMerge w:val="continue"/>
            <w:tcBorders>
              <w:top w:val="nil"/>
              <w:left w:val="single" w:color="auto" w:sz="4" w:space="0"/>
              <w:bottom w:val="single" w:color="auto" w:sz="4" w:space="0"/>
              <w:right w:val="single" w:color="auto" w:sz="4" w:space="0"/>
            </w:tcBorders>
            <w:vAlign w:val="center"/>
          </w:tcPr>
          <w:p w14:paraId="3333A6AE">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5BF18E56">
            <w:pPr>
              <w:widowControl/>
              <w:rPr>
                <w:rFonts w:ascii="宋体" w:hAnsi="宋体"/>
                <w:color w:val="auto"/>
                <w:kern w:val="0"/>
                <w:sz w:val="22"/>
                <w:szCs w:val="22"/>
              </w:rPr>
            </w:pPr>
            <w:r>
              <w:rPr>
                <w:rFonts w:hint="eastAsia" w:ascii="宋体" w:hAnsi="宋体"/>
                <w:color w:val="auto"/>
                <w:kern w:val="0"/>
                <w:sz w:val="22"/>
                <w:szCs w:val="22"/>
              </w:rPr>
              <w:t>▲操作系统备份及还原功能</w:t>
            </w:r>
          </w:p>
        </w:tc>
        <w:tc>
          <w:tcPr>
            <w:tcW w:w="2740" w:type="pct"/>
            <w:tcBorders>
              <w:top w:val="single" w:color="auto" w:sz="4" w:space="0"/>
              <w:left w:val="single" w:color="auto" w:sz="4" w:space="0"/>
              <w:bottom w:val="single" w:color="auto" w:sz="4" w:space="0"/>
              <w:right w:val="single" w:color="auto" w:sz="4" w:space="0"/>
            </w:tcBorders>
          </w:tcPr>
          <w:p w14:paraId="145EA94D">
            <w:pPr>
              <w:widowControl/>
              <w:rPr>
                <w:rFonts w:ascii="宋体" w:hAnsi="宋体"/>
                <w:color w:val="auto"/>
                <w:kern w:val="0"/>
                <w:sz w:val="22"/>
                <w:szCs w:val="22"/>
              </w:rPr>
            </w:pPr>
            <w:r>
              <w:rPr>
                <w:rFonts w:hint="eastAsia" w:ascii="宋体" w:hAnsi="宋体"/>
                <w:color w:val="auto"/>
                <w:kern w:val="0"/>
                <w:sz w:val="22"/>
                <w:szCs w:val="22"/>
              </w:rPr>
              <w:t>支持操作系统备份及还原功能</w:t>
            </w:r>
          </w:p>
        </w:tc>
      </w:tr>
      <w:tr w14:paraId="27F3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29036E7E">
            <w:pPr>
              <w:widowControl/>
              <w:rPr>
                <w:rFonts w:ascii="宋体" w:hAnsi="宋体"/>
                <w:color w:val="auto"/>
                <w:kern w:val="0"/>
                <w:sz w:val="22"/>
                <w:szCs w:val="22"/>
              </w:rPr>
            </w:pPr>
            <w:r>
              <w:rPr>
                <w:rFonts w:hint="eastAsia" w:ascii="宋体" w:hAnsi="宋体"/>
                <w:color w:val="auto"/>
                <w:kern w:val="0"/>
                <w:sz w:val="22"/>
                <w:szCs w:val="22"/>
              </w:rPr>
              <w:t>134</w:t>
            </w:r>
          </w:p>
        </w:tc>
        <w:tc>
          <w:tcPr>
            <w:tcW w:w="0" w:type="auto"/>
            <w:vMerge w:val="continue"/>
            <w:tcBorders>
              <w:top w:val="nil"/>
              <w:left w:val="single" w:color="auto" w:sz="4" w:space="0"/>
              <w:bottom w:val="single" w:color="auto" w:sz="4" w:space="0"/>
              <w:right w:val="single" w:color="auto" w:sz="4" w:space="0"/>
            </w:tcBorders>
            <w:vAlign w:val="center"/>
          </w:tcPr>
          <w:p w14:paraId="2BD8623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66D5785B">
            <w:pPr>
              <w:widowControl/>
              <w:rPr>
                <w:rFonts w:ascii="宋体" w:hAnsi="宋体"/>
                <w:color w:val="auto"/>
                <w:kern w:val="0"/>
                <w:sz w:val="22"/>
                <w:szCs w:val="22"/>
              </w:rPr>
            </w:pPr>
            <w:r>
              <w:rPr>
                <w:rFonts w:hint="eastAsia" w:ascii="宋体" w:hAnsi="宋体"/>
                <w:color w:val="auto"/>
                <w:kern w:val="0"/>
                <w:sz w:val="22"/>
                <w:szCs w:val="22"/>
              </w:rPr>
              <w:t>▲固件备份还原能力</w:t>
            </w:r>
          </w:p>
        </w:tc>
        <w:tc>
          <w:tcPr>
            <w:tcW w:w="2740" w:type="pct"/>
            <w:tcBorders>
              <w:top w:val="single" w:color="auto" w:sz="4" w:space="0"/>
              <w:left w:val="single" w:color="auto" w:sz="4" w:space="0"/>
              <w:bottom w:val="single" w:color="auto" w:sz="4" w:space="0"/>
              <w:right w:val="single" w:color="auto" w:sz="4" w:space="0"/>
            </w:tcBorders>
          </w:tcPr>
          <w:p w14:paraId="2F86DB04">
            <w:pPr>
              <w:widowControl/>
              <w:rPr>
                <w:rFonts w:ascii="宋体" w:hAnsi="宋体"/>
                <w:color w:val="auto"/>
                <w:kern w:val="0"/>
                <w:sz w:val="22"/>
                <w:szCs w:val="22"/>
              </w:rPr>
            </w:pPr>
            <w:r>
              <w:rPr>
                <w:rFonts w:hint="eastAsia" w:ascii="宋体" w:hAnsi="宋体"/>
                <w:color w:val="auto"/>
                <w:kern w:val="0"/>
                <w:sz w:val="22"/>
                <w:szCs w:val="22"/>
              </w:rPr>
              <w:t>支持备份及还原固件的功能</w:t>
            </w:r>
          </w:p>
        </w:tc>
      </w:tr>
      <w:tr w14:paraId="5407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5FF19241">
            <w:pPr>
              <w:widowControl/>
              <w:rPr>
                <w:rFonts w:ascii="宋体" w:hAnsi="宋体"/>
                <w:color w:val="auto"/>
                <w:kern w:val="0"/>
                <w:sz w:val="22"/>
                <w:szCs w:val="22"/>
              </w:rPr>
            </w:pPr>
            <w:r>
              <w:rPr>
                <w:rFonts w:hint="eastAsia" w:ascii="宋体" w:hAnsi="宋体"/>
                <w:color w:val="auto"/>
                <w:kern w:val="0"/>
                <w:sz w:val="22"/>
                <w:szCs w:val="22"/>
              </w:rPr>
              <w:t>135</w:t>
            </w:r>
          </w:p>
        </w:tc>
        <w:tc>
          <w:tcPr>
            <w:tcW w:w="0" w:type="auto"/>
            <w:vMerge w:val="continue"/>
            <w:tcBorders>
              <w:top w:val="nil"/>
              <w:left w:val="single" w:color="auto" w:sz="4" w:space="0"/>
              <w:bottom w:val="single" w:color="auto" w:sz="4" w:space="0"/>
              <w:right w:val="single" w:color="auto" w:sz="4" w:space="0"/>
            </w:tcBorders>
            <w:vAlign w:val="center"/>
          </w:tcPr>
          <w:p w14:paraId="0200868B">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A1C6AFB">
            <w:pPr>
              <w:widowControl/>
              <w:rPr>
                <w:rFonts w:ascii="宋体" w:hAnsi="宋体"/>
                <w:color w:val="auto"/>
                <w:kern w:val="0"/>
                <w:sz w:val="22"/>
                <w:szCs w:val="22"/>
              </w:rPr>
            </w:pPr>
            <w:r>
              <w:rPr>
                <w:rFonts w:hint="eastAsia" w:ascii="宋体" w:hAnsi="宋体"/>
                <w:color w:val="auto"/>
                <w:kern w:val="0"/>
                <w:sz w:val="22"/>
                <w:szCs w:val="22"/>
              </w:rPr>
              <w:t>▲操作系统及驱动升级</w:t>
            </w:r>
          </w:p>
        </w:tc>
        <w:tc>
          <w:tcPr>
            <w:tcW w:w="2740" w:type="pct"/>
            <w:tcBorders>
              <w:top w:val="single" w:color="auto" w:sz="4" w:space="0"/>
              <w:left w:val="single" w:color="auto" w:sz="4" w:space="0"/>
              <w:bottom w:val="single" w:color="auto" w:sz="4" w:space="0"/>
              <w:right w:val="single" w:color="auto" w:sz="4" w:space="0"/>
            </w:tcBorders>
          </w:tcPr>
          <w:p w14:paraId="758BC732">
            <w:pPr>
              <w:widowControl/>
              <w:rPr>
                <w:rFonts w:ascii="宋体" w:hAnsi="宋体"/>
                <w:color w:val="auto"/>
                <w:kern w:val="0"/>
                <w:sz w:val="22"/>
                <w:szCs w:val="22"/>
              </w:rPr>
            </w:pPr>
            <w:r>
              <w:rPr>
                <w:rFonts w:hint="eastAsia" w:ascii="宋体" w:hAnsi="宋体"/>
                <w:color w:val="auto"/>
                <w:kern w:val="0"/>
                <w:sz w:val="22"/>
                <w:szCs w:val="22"/>
              </w:rPr>
              <w:t>支持通过网络、闪存盘等方式对操作系统、驱动进行升级</w:t>
            </w:r>
          </w:p>
        </w:tc>
      </w:tr>
      <w:tr w14:paraId="38C5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34C9A10B">
            <w:pPr>
              <w:widowControl/>
              <w:rPr>
                <w:rFonts w:ascii="宋体" w:hAnsi="宋体"/>
                <w:color w:val="auto"/>
                <w:kern w:val="0"/>
                <w:sz w:val="22"/>
                <w:szCs w:val="22"/>
              </w:rPr>
            </w:pPr>
            <w:r>
              <w:rPr>
                <w:rFonts w:hint="eastAsia" w:ascii="宋体" w:hAnsi="宋体"/>
                <w:color w:val="auto"/>
                <w:kern w:val="0"/>
                <w:sz w:val="22"/>
                <w:szCs w:val="22"/>
              </w:rPr>
              <w:t>136</w:t>
            </w:r>
          </w:p>
        </w:tc>
        <w:tc>
          <w:tcPr>
            <w:tcW w:w="0" w:type="auto"/>
            <w:vMerge w:val="continue"/>
            <w:tcBorders>
              <w:top w:val="nil"/>
              <w:left w:val="single" w:color="auto" w:sz="4" w:space="0"/>
              <w:bottom w:val="single" w:color="auto" w:sz="4" w:space="0"/>
              <w:right w:val="single" w:color="auto" w:sz="4" w:space="0"/>
            </w:tcBorders>
            <w:vAlign w:val="center"/>
          </w:tcPr>
          <w:p w14:paraId="7770D67C">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74C14A47">
            <w:pPr>
              <w:widowControl/>
              <w:rPr>
                <w:rFonts w:ascii="宋体" w:hAnsi="宋体"/>
                <w:color w:val="auto"/>
                <w:kern w:val="0"/>
                <w:sz w:val="22"/>
                <w:szCs w:val="22"/>
              </w:rPr>
            </w:pPr>
            <w:r>
              <w:rPr>
                <w:rFonts w:hint="eastAsia" w:ascii="宋体" w:hAnsi="宋体"/>
                <w:color w:val="auto"/>
                <w:kern w:val="0"/>
                <w:sz w:val="22"/>
                <w:szCs w:val="22"/>
              </w:rPr>
              <w:t>▲固件升级</w:t>
            </w:r>
          </w:p>
        </w:tc>
        <w:tc>
          <w:tcPr>
            <w:tcW w:w="2740" w:type="pct"/>
            <w:tcBorders>
              <w:top w:val="single" w:color="auto" w:sz="4" w:space="0"/>
              <w:left w:val="single" w:color="auto" w:sz="4" w:space="0"/>
              <w:bottom w:val="single" w:color="auto" w:sz="4" w:space="0"/>
              <w:right w:val="single" w:color="auto" w:sz="4" w:space="0"/>
            </w:tcBorders>
          </w:tcPr>
          <w:p w14:paraId="62D7BE50">
            <w:pPr>
              <w:widowControl/>
              <w:rPr>
                <w:rFonts w:ascii="宋体" w:hAnsi="宋体"/>
                <w:color w:val="auto"/>
                <w:kern w:val="0"/>
                <w:sz w:val="22"/>
                <w:szCs w:val="22"/>
              </w:rPr>
            </w:pPr>
            <w:r>
              <w:rPr>
                <w:rFonts w:hint="eastAsia" w:ascii="宋体" w:hAnsi="宋体"/>
                <w:color w:val="auto"/>
                <w:kern w:val="0"/>
                <w:sz w:val="22"/>
                <w:szCs w:val="22"/>
              </w:rPr>
              <w:t>支持通过网络、闪存盘等方式对固件进行升级</w:t>
            </w:r>
          </w:p>
        </w:tc>
      </w:tr>
      <w:tr w14:paraId="2F96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347" w:type="pct"/>
            <w:tcBorders>
              <w:top w:val="single" w:color="auto" w:sz="4" w:space="0"/>
              <w:left w:val="single" w:color="auto" w:sz="4" w:space="0"/>
              <w:bottom w:val="single" w:color="auto" w:sz="4" w:space="0"/>
              <w:right w:val="single" w:color="auto" w:sz="4" w:space="0"/>
            </w:tcBorders>
          </w:tcPr>
          <w:p w14:paraId="590DAE88">
            <w:pPr>
              <w:widowControl/>
              <w:rPr>
                <w:rFonts w:ascii="宋体" w:hAnsi="宋体"/>
                <w:color w:val="auto"/>
                <w:kern w:val="0"/>
                <w:sz w:val="22"/>
                <w:szCs w:val="22"/>
              </w:rPr>
            </w:pPr>
            <w:r>
              <w:rPr>
                <w:rFonts w:hint="eastAsia" w:ascii="宋体" w:hAnsi="宋体"/>
                <w:color w:val="auto"/>
                <w:kern w:val="0"/>
                <w:sz w:val="22"/>
                <w:szCs w:val="22"/>
              </w:rPr>
              <w:t>137</w:t>
            </w:r>
          </w:p>
        </w:tc>
        <w:tc>
          <w:tcPr>
            <w:tcW w:w="0" w:type="auto"/>
            <w:vMerge w:val="continue"/>
            <w:tcBorders>
              <w:top w:val="nil"/>
              <w:left w:val="single" w:color="auto" w:sz="4" w:space="0"/>
              <w:bottom w:val="single" w:color="auto" w:sz="4" w:space="0"/>
              <w:right w:val="single" w:color="auto" w:sz="4" w:space="0"/>
            </w:tcBorders>
            <w:vAlign w:val="center"/>
          </w:tcPr>
          <w:p w14:paraId="796F32D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2A75095">
            <w:pPr>
              <w:widowControl/>
              <w:rPr>
                <w:rFonts w:ascii="宋体" w:hAnsi="宋体"/>
                <w:color w:val="auto"/>
                <w:kern w:val="0"/>
                <w:sz w:val="22"/>
                <w:szCs w:val="22"/>
              </w:rPr>
            </w:pPr>
            <w:r>
              <w:rPr>
                <w:rFonts w:hint="eastAsia" w:ascii="宋体" w:hAnsi="宋体"/>
                <w:color w:val="auto"/>
                <w:kern w:val="0"/>
                <w:sz w:val="22"/>
                <w:szCs w:val="22"/>
              </w:rPr>
              <w:t>▲BIOS支持关闭通讯接口</w:t>
            </w:r>
          </w:p>
        </w:tc>
        <w:tc>
          <w:tcPr>
            <w:tcW w:w="2740" w:type="pct"/>
            <w:tcBorders>
              <w:top w:val="single" w:color="auto" w:sz="4" w:space="0"/>
              <w:left w:val="single" w:color="auto" w:sz="4" w:space="0"/>
              <w:bottom w:val="single" w:color="auto" w:sz="4" w:space="0"/>
              <w:right w:val="single" w:color="auto" w:sz="4" w:space="0"/>
            </w:tcBorders>
          </w:tcPr>
          <w:p w14:paraId="7F0A1348">
            <w:pPr>
              <w:widowControl/>
              <w:rPr>
                <w:rFonts w:ascii="宋体" w:hAnsi="宋体"/>
                <w:color w:val="auto"/>
                <w:kern w:val="0"/>
                <w:sz w:val="22"/>
                <w:szCs w:val="22"/>
              </w:rPr>
            </w:pPr>
            <w:r>
              <w:rPr>
                <w:rFonts w:hint="eastAsia" w:ascii="宋体" w:hAnsi="宋体"/>
                <w:color w:val="auto"/>
                <w:kern w:val="0"/>
                <w:sz w:val="22"/>
                <w:szCs w:val="22"/>
              </w:rPr>
              <w:t>支持BIOS关闭以太网及USB接口</w:t>
            </w:r>
          </w:p>
        </w:tc>
      </w:tr>
      <w:tr w14:paraId="3C87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118091A1">
            <w:pPr>
              <w:widowControl/>
              <w:rPr>
                <w:rFonts w:ascii="宋体" w:hAnsi="宋体"/>
                <w:color w:val="auto"/>
                <w:kern w:val="0"/>
                <w:sz w:val="22"/>
                <w:szCs w:val="22"/>
              </w:rPr>
            </w:pPr>
            <w:r>
              <w:rPr>
                <w:rFonts w:hint="eastAsia" w:ascii="宋体" w:hAnsi="宋体"/>
                <w:color w:val="auto"/>
                <w:kern w:val="0"/>
                <w:sz w:val="22"/>
                <w:szCs w:val="22"/>
              </w:rPr>
              <w:t>138</w:t>
            </w:r>
          </w:p>
        </w:tc>
        <w:tc>
          <w:tcPr>
            <w:tcW w:w="0" w:type="auto"/>
            <w:vMerge w:val="continue"/>
            <w:tcBorders>
              <w:top w:val="nil"/>
              <w:left w:val="single" w:color="auto" w:sz="4" w:space="0"/>
              <w:bottom w:val="single" w:color="auto" w:sz="4" w:space="0"/>
              <w:right w:val="single" w:color="auto" w:sz="4" w:space="0"/>
            </w:tcBorders>
            <w:vAlign w:val="center"/>
          </w:tcPr>
          <w:p w14:paraId="3C2D159F">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6434BED2">
            <w:pPr>
              <w:widowControl/>
              <w:rPr>
                <w:rFonts w:ascii="宋体" w:hAnsi="宋体"/>
                <w:color w:val="auto"/>
                <w:kern w:val="0"/>
                <w:sz w:val="22"/>
                <w:szCs w:val="22"/>
              </w:rPr>
            </w:pPr>
            <w:r>
              <w:rPr>
                <w:rFonts w:hint="eastAsia" w:ascii="宋体" w:hAnsi="宋体"/>
                <w:color w:val="auto"/>
                <w:kern w:val="0"/>
                <w:sz w:val="22"/>
                <w:szCs w:val="22"/>
              </w:rPr>
              <w:t>▲固件查看信息</w:t>
            </w:r>
          </w:p>
        </w:tc>
        <w:tc>
          <w:tcPr>
            <w:tcW w:w="2740" w:type="pct"/>
            <w:tcBorders>
              <w:top w:val="single" w:color="auto" w:sz="4" w:space="0"/>
              <w:left w:val="single" w:color="auto" w:sz="4" w:space="0"/>
              <w:bottom w:val="single" w:color="auto" w:sz="4" w:space="0"/>
              <w:right w:val="single" w:color="auto" w:sz="4" w:space="0"/>
            </w:tcBorders>
          </w:tcPr>
          <w:p w14:paraId="38CC7967">
            <w:pPr>
              <w:widowControl/>
              <w:rPr>
                <w:rFonts w:ascii="宋体" w:hAnsi="宋体"/>
                <w:color w:val="auto"/>
                <w:kern w:val="0"/>
                <w:sz w:val="22"/>
                <w:szCs w:val="22"/>
              </w:rPr>
            </w:pPr>
            <w:r>
              <w:rPr>
                <w:rFonts w:hint="eastAsia" w:ascii="宋体" w:hAnsi="宋体"/>
                <w:color w:val="auto"/>
                <w:kern w:val="0"/>
                <w:sz w:val="22"/>
                <w:szCs w:val="22"/>
              </w:rPr>
              <w:t>支持查看固件版本、内存信息、主板信息、处理器信息和系统时间信息等功能</w:t>
            </w:r>
          </w:p>
        </w:tc>
      </w:tr>
      <w:tr w14:paraId="482B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1463C84E">
            <w:pPr>
              <w:widowControl/>
              <w:rPr>
                <w:rFonts w:ascii="宋体" w:hAnsi="宋体"/>
                <w:color w:val="auto"/>
                <w:kern w:val="0"/>
                <w:sz w:val="22"/>
                <w:szCs w:val="22"/>
              </w:rPr>
            </w:pPr>
            <w:r>
              <w:rPr>
                <w:rFonts w:hint="eastAsia" w:ascii="宋体" w:hAnsi="宋体"/>
                <w:color w:val="auto"/>
                <w:kern w:val="0"/>
                <w:sz w:val="22"/>
                <w:szCs w:val="22"/>
              </w:rPr>
              <w:t>139</w:t>
            </w:r>
          </w:p>
        </w:tc>
        <w:tc>
          <w:tcPr>
            <w:tcW w:w="0" w:type="auto"/>
            <w:vMerge w:val="continue"/>
            <w:tcBorders>
              <w:top w:val="nil"/>
              <w:left w:val="single" w:color="auto" w:sz="4" w:space="0"/>
              <w:bottom w:val="single" w:color="auto" w:sz="4" w:space="0"/>
              <w:right w:val="single" w:color="auto" w:sz="4" w:space="0"/>
            </w:tcBorders>
            <w:vAlign w:val="center"/>
          </w:tcPr>
          <w:p w14:paraId="75883959">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766ABC1E">
            <w:pPr>
              <w:widowControl/>
              <w:rPr>
                <w:rFonts w:ascii="宋体" w:hAnsi="宋体"/>
                <w:color w:val="auto"/>
                <w:kern w:val="0"/>
                <w:sz w:val="22"/>
                <w:szCs w:val="22"/>
              </w:rPr>
            </w:pPr>
            <w:r>
              <w:rPr>
                <w:rFonts w:hint="eastAsia" w:ascii="宋体" w:hAnsi="宋体"/>
                <w:color w:val="auto"/>
                <w:kern w:val="0"/>
                <w:sz w:val="22"/>
                <w:szCs w:val="22"/>
              </w:rPr>
              <w:t>▲固件设置启动顺序</w:t>
            </w:r>
          </w:p>
        </w:tc>
        <w:tc>
          <w:tcPr>
            <w:tcW w:w="2740" w:type="pct"/>
            <w:tcBorders>
              <w:top w:val="single" w:color="auto" w:sz="4" w:space="0"/>
              <w:left w:val="single" w:color="auto" w:sz="4" w:space="0"/>
              <w:bottom w:val="single" w:color="auto" w:sz="4" w:space="0"/>
              <w:right w:val="single" w:color="auto" w:sz="4" w:space="0"/>
            </w:tcBorders>
          </w:tcPr>
          <w:p w14:paraId="558AF4BA">
            <w:pPr>
              <w:widowControl/>
              <w:rPr>
                <w:rFonts w:ascii="宋体" w:hAnsi="宋体"/>
                <w:color w:val="auto"/>
                <w:kern w:val="0"/>
                <w:sz w:val="22"/>
                <w:szCs w:val="22"/>
              </w:rPr>
            </w:pPr>
            <w:r>
              <w:rPr>
                <w:rFonts w:hint="eastAsia" w:ascii="宋体" w:hAnsi="宋体"/>
                <w:color w:val="auto"/>
                <w:kern w:val="0"/>
                <w:sz w:val="22"/>
                <w:szCs w:val="22"/>
              </w:rPr>
              <w:t>支持设置启动顺序功能，并按照设置的启动顺序启动</w:t>
            </w:r>
          </w:p>
        </w:tc>
      </w:tr>
      <w:tr w14:paraId="19AC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4B45418C">
            <w:pPr>
              <w:widowControl/>
              <w:rPr>
                <w:rFonts w:ascii="宋体" w:hAnsi="宋体"/>
                <w:color w:val="auto"/>
                <w:kern w:val="0"/>
                <w:sz w:val="22"/>
                <w:szCs w:val="22"/>
              </w:rPr>
            </w:pPr>
            <w:r>
              <w:rPr>
                <w:rFonts w:hint="eastAsia" w:ascii="宋体" w:hAnsi="宋体"/>
                <w:color w:val="auto"/>
                <w:kern w:val="0"/>
                <w:sz w:val="22"/>
                <w:szCs w:val="22"/>
              </w:rPr>
              <w:t>140</w:t>
            </w:r>
          </w:p>
        </w:tc>
        <w:tc>
          <w:tcPr>
            <w:tcW w:w="0" w:type="auto"/>
            <w:vMerge w:val="continue"/>
            <w:tcBorders>
              <w:top w:val="nil"/>
              <w:left w:val="single" w:color="auto" w:sz="4" w:space="0"/>
              <w:bottom w:val="single" w:color="auto" w:sz="4" w:space="0"/>
              <w:right w:val="single" w:color="auto" w:sz="4" w:space="0"/>
            </w:tcBorders>
            <w:vAlign w:val="center"/>
          </w:tcPr>
          <w:p w14:paraId="68F128AA">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6B5A2992">
            <w:pPr>
              <w:widowControl/>
              <w:rPr>
                <w:rFonts w:ascii="宋体" w:hAnsi="宋体"/>
                <w:color w:val="auto"/>
                <w:kern w:val="0"/>
                <w:sz w:val="22"/>
                <w:szCs w:val="22"/>
              </w:rPr>
            </w:pPr>
            <w:r>
              <w:rPr>
                <w:rFonts w:hint="eastAsia" w:ascii="宋体" w:hAnsi="宋体"/>
                <w:color w:val="auto"/>
                <w:kern w:val="0"/>
                <w:sz w:val="22"/>
                <w:szCs w:val="22"/>
              </w:rPr>
              <w:t>▲固件设置口令</w:t>
            </w:r>
          </w:p>
        </w:tc>
        <w:tc>
          <w:tcPr>
            <w:tcW w:w="2740" w:type="pct"/>
            <w:tcBorders>
              <w:top w:val="single" w:color="auto" w:sz="4" w:space="0"/>
              <w:left w:val="single" w:color="auto" w:sz="4" w:space="0"/>
              <w:bottom w:val="single" w:color="auto" w:sz="4" w:space="0"/>
              <w:right w:val="single" w:color="auto" w:sz="4" w:space="0"/>
            </w:tcBorders>
          </w:tcPr>
          <w:p w14:paraId="2661F62F">
            <w:pPr>
              <w:widowControl/>
              <w:rPr>
                <w:rFonts w:ascii="宋体" w:hAnsi="宋体"/>
                <w:color w:val="auto"/>
                <w:kern w:val="0"/>
                <w:sz w:val="22"/>
                <w:szCs w:val="22"/>
              </w:rPr>
            </w:pPr>
            <w:r>
              <w:rPr>
                <w:rFonts w:hint="eastAsia" w:ascii="宋体" w:hAnsi="宋体"/>
                <w:color w:val="auto"/>
                <w:kern w:val="0"/>
                <w:sz w:val="22"/>
                <w:szCs w:val="22"/>
              </w:rPr>
              <w:t>支持设置口令、修改口令、验证口令功能</w:t>
            </w:r>
          </w:p>
        </w:tc>
      </w:tr>
      <w:tr w14:paraId="2E9B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670176A6">
            <w:pPr>
              <w:widowControl/>
              <w:rPr>
                <w:rFonts w:ascii="宋体" w:hAnsi="宋体"/>
                <w:color w:val="auto"/>
                <w:kern w:val="0"/>
                <w:sz w:val="22"/>
                <w:szCs w:val="22"/>
              </w:rPr>
            </w:pPr>
            <w:r>
              <w:rPr>
                <w:rFonts w:hint="eastAsia" w:ascii="宋体" w:hAnsi="宋体"/>
                <w:color w:val="auto"/>
                <w:kern w:val="0"/>
                <w:sz w:val="22"/>
                <w:szCs w:val="22"/>
              </w:rPr>
              <w:t>141</w:t>
            </w:r>
          </w:p>
        </w:tc>
        <w:tc>
          <w:tcPr>
            <w:tcW w:w="0" w:type="auto"/>
            <w:vMerge w:val="continue"/>
            <w:tcBorders>
              <w:top w:val="nil"/>
              <w:left w:val="single" w:color="auto" w:sz="4" w:space="0"/>
              <w:bottom w:val="single" w:color="auto" w:sz="4" w:space="0"/>
              <w:right w:val="single" w:color="auto" w:sz="4" w:space="0"/>
            </w:tcBorders>
            <w:vAlign w:val="center"/>
          </w:tcPr>
          <w:p w14:paraId="557D6C3B">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1F667BE2">
            <w:pPr>
              <w:widowControl/>
              <w:rPr>
                <w:rFonts w:ascii="宋体" w:hAnsi="宋体"/>
                <w:color w:val="auto"/>
                <w:kern w:val="0"/>
                <w:sz w:val="22"/>
                <w:szCs w:val="22"/>
              </w:rPr>
            </w:pPr>
            <w:r>
              <w:rPr>
                <w:rFonts w:hint="eastAsia" w:ascii="宋体" w:hAnsi="宋体"/>
                <w:color w:val="auto"/>
                <w:kern w:val="0"/>
                <w:sz w:val="22"/>
                <w:szCs w:val="22"/>
              </w:rPr>
              <w:t>▲固件设置网络引导</w:t>
            </w:r>
          </w:p>
        </w:tc>
        <w:tc>
          <w:tcPr>
            <w:tcW w:w="2740" w:type="pct"/>
            <w:tcBorders>
              <w:top w:val="single" w:color="auto" w:sz="4" w:space="0"/>
              <w:left w:val="single" w:color="auto" w:sz="4" w:space="0"/>
              <w:bottom w:val="single" w:color="auto" w:sz="4" w:space="0"/>
              <w:right w:val="single" w:color="auto" w:sz="4" w:space="0"/>
            </w:tcBorders>
          </w:tcPr>
          <w:p w14:paraId="1C146389">
            <w:pPr>
              <w:widowControl/>
              <w:rPr>
                <w:rFonts w:ascii="宋体" w:hAnsi="宋体"/>
                <w:color w:val="auto"/>
                <w:kern w:val="0"/>
                <w:sz w:val="22"/>
                <w:szCs w:val="22"/>
              </w:rPr>
            </w:pPr>
            <w:r>
              <w:rPr>
                <w:rFonts w:hint="eastAsia" w:ascii="宋体" w:hAnsi="宋体"/>
                <w:color w:val="auto"/>
                <w:kern w:val="0"/>
                <w:sz w:val="22"/>
                <w:szCs w:val="22"/>
              </w:rPr>
              <w:t>支持网络引导启动和关闭功能</w:t>
            </w:r>
          </w:p>
        </w:tc>
      </w:tr>
      <w:tr w14:paraId="3C83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0A63EE1F">
            <w:pPr>
              <w:widowControl/>
              <w:rPr>
                <w:rFonts w:ascii="宋体" w:hAnsi="宋体"/>
                <w:color w:val="auto"/>
                <w:kern w:val="0"/>
                <w:sz w:val="22"/>
                <w:szCs w:val="22"/>
              </w:rPr>
            </w:pPr>
            <w:r>
              <w:rPr>
                <w:rFonts w:hint="eastAsia" w:ascii="宋体" w:hAnsi="宋体"/>
                <w:color w:val="auto"/>
                <w:kern w:val="0"/>
                <w:sz w:val="22"/>
                <w:szCs w:val="22"/>
              </w:rPr>
              <w:t>142</w:t>
            </w:r>
          </w:p>
        </w:tc>
        <w:tc>
          <w:tcPr>
            <w:tcW w:w="555" w:type="pct"/>
            <w:vMerge w:val="restart"/>
            <w:tcBorders>
              <w:top w:val="nil"/>
              <w:left w:val="single" w:color="auto" w:sz="4" w:space="0"/>
              <w:bottom w:val="single" w:color="auto" w:sz="4" w:space="0"/>
              <w:right w:val="single" w:color="auto" w:sz="4" w:space="0"/>
            </w:tcBorders>
            <w:vAlign w:val="center"/>
          </w:tcPr>
          <w:p w14:paraId="76C07CFE">
            <w:pPr>
              <w:widowControl/>
              <w:rPr>
                <w:rFonts w:ascii="宋体" w:hAnsi="宋体"/>
                <w:color w:val="auto"/>
                <w:kern w:val="0"/>
                <w:sz w:val="22"/>
                <w:szCs w:val="22"/>
              </w:rPr>
            </w:pPr>
            <w:r>
              <w:rPr>
                <w:rFonts w:hint="eastAsia" w:ascii="宋体" w:hAnsi="宋体"/>
                <w:color w:val="auto"/>
                <w:kern w:val="0"/>
                <w:sz w:val="22"/>
                <w:szCs w:val="22"/>
              </w:rPr>
              <w:t>生物识别功能</w:t>
            </w:r>
          </w:p>
        </w:tc>
        <w:tc>
          <w:tcPr>
            <w:tcW w:w="1356" w:type="pct"/>
            <w:tcBorders>
              <w:top w:val="single" w:color="auto" w:sz="4" w:space="0"/>
              <w:left w:val="single" w:color="auto" w:sz="4" w:space="0"/>
              <w:bottom w:val="single" w:color="auto" w:sz="4" w:space="0"/>
              <w:right w:val="single" w:color="auto" w:sz="4" w:space="0"/>
            </w:tcBorders>
          </w:tcPr>
          <w:p w14:paraId="5F615D8C">
            <w:pPr>
              <w:widowControl/>
              <w:rPr>
                <w:rFonts w:ascii="宋体" w:hAnsi="宋体"/>
                <w:color w:val="auto"/>
                <w:kern w:val="0"/>
                <w:sz w:val="22"/>
                <w:szCs w:val="22"/>
              </w:rPr>
            </w:pPr>
            <w:r>
              <w:rPr>
                <w:rFonts w:hint="eastAsia" w:ascii="宋体" w:hAnsi="宋体"/>
                <w:color w:val="auto"/>
                <w:kern w:val="0"/>
                <w:sz w:val="22"/>
                <w:szCs w:val="22"/>
              </w:rPr>
              <w:t>指纹识别</w:t>
            </w:r>
          </w:p>
        </w:tc>
        <w:tc>
          <w:tcPr>
            <w:tcW w:w="2740" w:type="pct"/>
            <w:tcBorders>
              <w:top w:val="single" w:color="auto" w:sz="4" w:space="0"/>
              <w:left w:val="single" w:color="auto" w:sz="4" w:space="0"/>
              <w:bottom w:val="single" w:color="auto" w:sz="4" w:space="0"/>
              <w:right w:val="single" w:color="auto" w:sz="4" w:space="0"/>
            </w:tcBorders>
          </w:tcPr>
          <w:p w14:paraId="38CA44DA">
            <w:pPr>
              <w:widowControl/>
              <w:rPr>
                <w:rFonts w:ascii="宋体" w:hAnsi="宋体"/>
                <w:color w:val="auto"/>
                <w:kern w:val="0"/>
                <w:sz w:val="22"/>
                <w:szCs w:val="22"/>
              </w:rPr>
            </w:pPr>
            <w:r>
              <w:rPr>
                <w:rFonts w:hint="eastAsia" w:ascii="宋体" w:hAnsi="宋体"/>
                <w:color w:val="auto"/>
                <w:kern w:val="0"/>
                <w:sz w:val="22"/>
                <w:szCs w:val="22"/>
              </w:rPr>
              <w:t xml:space="preserve"> /</w:t>
            </w:r>
          </w:p>
        </w:tc>
      </w:tr>
      <w:tr w14:paraId="4153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2E8663F3">
            <w:pPr>
              <w:widowControl/>
              <w:rPr>
                <w:rFonts w:ascii="宋体" w:hAnsi="宋体"/>
                <w:color w:val="auto"/>
                <w:kern w:val="0"/>
                <w:sz w:val="22"/>
                <w:szCs w:val="22"/>
              </w:rPr>
            </w:pPr>
            <w:r>
              <w:rPr>
                <w:rFonts w:hint="eastAsia" w:ascii="宋体" w:hAnsi="宋体"/>
                <w:color w:val="auto"/>
                <w:kern w:val="0"/>
                <w:sz w:val="22"/>
                <w:szCs w:val="22"/>
              </w:rPr>
              <w:t>143</w:t>
            </w:r>
          </w:p>
        </w:tc>
        <w:tc>
          <w:tcPr>
            <w:tcW w:w="0" w:type="auto"/>
            <w:vMerge w:val="continue"/>
            <w:tcBorders>
              <w:top w:val="nil"/>
              <w:left w:val="single" w:color="auto" w:sz="4" w:space="0"/>
              <w:bottom w:val="single" w:color="auto" w:sz="4" w:space="0"/>
              <w:right w:val="single" w:color="auto" w:sz="4" w:space="0"/>
            </w:tcBorders>
            <w:vAlign w:val="center"/>
          </w:tcPr>
          <w:p w14:paraId="0437BE0C">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24FE9A7B">
            <w:pPr>
              <w:widowControl/>
              <w:rPr>
                <w:rFonts w:ascii="宋体" w:hAnsi="宋体"/>
                <w:color w:val="auto"/>
                <w:kern w:val="0"/>
                <w:sz w:val="22"/>
                <w:szCs w:val="22"/>
              </w:rPr>
            </w:pPr>
            <w:r>
              <w:rPr>
                <w:rFonts w:hint="eastAsia" w:ascii="宋体" w:hAnsi="宋体"/>
                <w:color w:val="auto"/>
                <w:kern w:val="0"/>
                <w:sz w:val="22"/>
                <w:szCs w:val="22"/>
              </w:rPr>
              <w:t>人脸识别</w:t>
            </w:r>
          </w:p>
        </w:tc>
        <w:tc>
          <w:tcPr>
            <w:tcW w:w="2740" w:type="pct"/>
            <w:tcBorders>
              <w:top w:val="single" w:color="auto" w:sz="4" w:space="0"/>
              <w:left w:val="single" w:color="auto" w:sz="4" w:space="0"/>
              <w:bottom w:val="single" w:color="auto" w:sz="4" w:space="0"/>
              <w:right w:val="single" w:color="auto" w:sz="4" w:space="0"/>
            </w:tcBorders>
          </w:tcPr>
          <w:p w14:paraId="24483019">
            <w:pPr>
              <w:widowControl/>
              <w:rPr>
                <w:rFonts w:ascii="宋体" w:hAnsi="宋体"/>
                <w:color w:val="auto"/>
                <w:kern w:val="0"/>
                <w:sz w:val="22"/>
                <w:szCs w:val="22"/>
              </w:rPr>
            </w:pPr>
            <w:r>
              <w:rPr>
                <w:rFonts w:hint="eastAsia" w:ascii="宋体" w:hAnsi="宋体"/>
                <w:color w:val="auto"/>
                <w:kern w:val="0"/>
                <w:sz w:val="22"/>
                <w:szCs w:val="22"/>
              </w:rPr>
              <w:t xml:space="preserve"> /</w:t>
            </w:r>
          </w:p>
        </w:tc>
      </w:tr>
      <w:tr w14:paraId="4DEF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52BCA7DF">
            <w:pPr>
              <w:widowControl/>
              <w:rPr>
                <w:rFonts w:ascii="宋体" w:hAnsi="宋体"/>
                <w:color w:val="auto"/>
                <w:kern w:val="0"/>
                <w:sz w:val="22"/>
                <w:szCs w:val="22"/>
              </w:rPr>
            </w:pPr>
            <w:r>
              <w:rPr>
                <w:rFonts w:hint="eastAsia" w:ascii="宋体" w:hAnsi="宋体"/>
                <w:color w:val="auto"/>
                <w:kern w:val="0"/>
                <w:sz w:val="22"/>
                <w:szCs w:val="22"/>
              </w:rPr>
              <w:t>144</w:t>
            </w:r>
          </w:p>
        </w:tc>
        <w:tc>
          <w:tcPr>
            <w:tcW w:w="0" w:type="auto"/>
            <w:vMerge w:val="continue"/>
            <w:tcBorders>
              <w:top w:val="nil"/>
              <w:left w:val="single" w:color="auto" w:sz="4" w:space="0"/>
              <w:bottom w:val="single" w:color="auto" w:sz="4" w:space="0"/>
              <w:right w:val="single" w:color="auto" w:sz="4" w:space="0"/>
            </w:tcBorders>
            <w:vAlign w:val="center"/>
          </w:tcPr>
          <w:p w14:paraId="7FAFF5FF">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7A4A40FD">
            <w:pPr>
              <w:widowControl/>
              <w:rPr>
                <w:rFonts w:ascii="宋体" w:hAnsi="宋体"/>
                <w:color w:val="auto"/>
                <w:kern w:val="0"/>
                <w:sz w:val="22"/>
                <w:szCs w:val="22"/>
              </w:rPr>
            </w:pPr>
            <w:r>
              <w:rPr>
                <w:rFonts w:hint="eastAsia" w:ascii="宋体" w:hAnsi="宋体"/>
                <w:color w:val="auto"/>
                <w:kern w:val="0"/>
                <w:sz w:val="22"/>
                <w:szCs w:val="22"/>
              </w:rPr>
              <w:t>静脉识别</w:t>
            </w:r>
          </w:p>
        </w:tc>
        <w:tc>
          <w:tcPr>
            <w:tcW w:w="2740" w:type="pct"/>
            <w:tcBorders>
              <w:top w:val="single" w:color="auto" w:sz="4" w:space="0"/>
              <w:left w:val="single" w:color="auto" w:sz="4" w:space="0"/>
              <w:bottom w:val="single" w:color="auto" w:sz="4" w:space="0"/>
              <w:right w:val="single" w:color="auto" w:sz="4" w:space="0"/>
            </w:tcBorders>
          </w:tcPr>
          <w:p w14:paraId="3CB361E4">
            <w:pPr>
              <w:widowControl/>
              <w:rPr>
                <w:rFonts w:ascii="宋体" w:hAnsi="宋体"/>
                <w:color w:val="auto"/>
                <w:kern w:val="0"/>
                <w:sz w:val="22"/>
                <w:szCs w:val="22"/>
              </w:rPr>
            </w:pPr>
            <w:r>
              <w:rPr>
                <w:rFonts w:hint="eastAsia" w:ascii="宋体" w:hAnsi="宋体"/>
                <w:color w:val="auto"/>
                <w:kern w:val="0"/>
                <w:sz w:val="22"/>
                <w:szCs w:val="22"/>
              </w:rPr>
              <w:t xml:space="preserve"> /</w:t>
            </w:r>
          </w:p>
        </w:tc>
      </w:tr>
      <w:tr w14:paraId="3D69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4573E0B4">
            <w:pPr>
              <w:widowControl/>
              <w:rPr>
                <w:rFonts w:ascii="宋体" w:hAnsi="宋体"/>
                <w:color w:val="auto"/>
                <w:kern w:val="0"/>
                <w:sz w:val="22"/>
                <w:szCs w:val="22"/>
              </w:rPr>
            </w:pPr>
            <w:r>
              <w:rPr>
                <w:rFonts w:hint="eastAsia" w:ascii="宋体" w:hAnsi="宋体"/>
                <w:color w:val="auto"/>
                <w:kern w:val="0"/>
                <w:sz w:val="22"/>
                <w:szCs w:val="22"/>
              </w:rPr>
              <w:t>145</w:t>
            </w:r>
          </w:p>
        </w:tc>
        <w:tc>
          <w:tcPr>
            <w:tcW w:w="555" w:type="pct"/>
            <w:vMerge w:val="restart"/>
            <w:tcBorders>
              <w:top w:val="nil"/>
              <w:left w:val="single" w:color="auto" w:sz="4" w:space="0"/>
              <w:bottom w:val="single" w:color="auto" w:sz="4" w:space="0"/>
              <w:right w:val="single" w:color="auto" w:sz="4" w:space="0"/>
            </w:tcBorders>
            <w:vAlign w:val="center"/>
          </w:tcPr>
          <w:p w14:paraId="64E9EEF8">
            <w:pPr>
              <w:widowControl/>
              <w:rPr>
                <w:rFonts w:ascii="宋体" w:hAnsi="宋体"/>
                <w:color w:val="auto"/>
                <w:kern w:val="0"/>
                <w:sz w:val="22"/>
                <w:szCs w:val="22"/>
              </w:rPr>
            </w:pPr>
            <w:r>
              <w:rPr>
                <w:rFonts w:hint="eastAsia" w:ascii="宋体" w:hAnsi="宋体"/>
                <w:color w:val="auto"/>
                <w:kern w:val="0"/>
                <w:sz w:val="22"/>
                <w:szCs w:val="22"/>
              </w:rPr>
              <w:t>硬件加速功能</w:t>
            </w:r>
          </w:p>
        </w:tc>
        <w:tc>
          <w:tcPr>
            <w:tcW w:w="1356" w:type="pct"/>
            <w:tcBorders>
              <w:top w:val="single" w:color="auto" w:sz="4" w:space="0"/>
              <w:left w:val="single" w:color="auto" w:sz="4" w:space="0"/>
              <w:bottom w:val="single" w:color="auto" w:sz="4" w:space="0"/>
              <w:right w:val="single" w:color="auto" w:sz="4" w:space="0"/>
            </w:tcBorders>
          </w:tcPr>
          <w:p w14:paraId="2F042F35">
            <w:pPr>
              <w:widowControl/>
              <w:rPr>
                <w:rFonts w:ascii="宋体" w:hAnsi="宋体"/>
                <w:color w:val="auto"/>
                <w:kern w:val="0"/>
                <w:sz w:val="22"/>
                <w:szCs w:val="22"/>
              </w:rPr>
            </w:pPr>
            <w:r>
              <w:rPr>
                <w:rFonts w:hint="eastAsia" w:ascii="宋体" w:hAnsi="宋体"/>
                <w:color w:val="auto"/>
                <w:kern w:val="0"/>
                <w:sz w:val="22"/>
                <w:szCs w:val="22"/>
              </w:rPr>
              <w:t>NPU/GPU等AI加速模块</w:t>
            </w:r>
          </w:p>
        </w:tc>
        <w:tc>
          <w:tcPr>
            <w:tcW w:w="2740" w:type="pct"/>
            <w:tcBorders>
              <w:top w:val="single" w:color="auto" w:sz="4" w:space="0"/>
              <w:left w:val="single" w:color="auto" w:sz="4" w:space="0"/>
              <w:bottom w:val="single" w:color="auto" w:sz="4" w:space="0"/>
              <w:right w:val="single" w:color="auto" w:sz="4" w:space="0"/>
            </w:tcBorders>
          </w:tcPr>
          <w:p w14:paraId="2DC78D5D">
            <w:pPr>
              <w:widowControl/>
              <w:rPr>
                <w:rFonts w:ascii="宋体" w:hAnsi="宋体"/>
                <w:color w:val="auto"/>
                <w:kern w:val="0"/>
                <w:sz w:val="22"/>
                <w:szCs w:val="22"/>
              </w:rPr>
            </w:pPr>
            <w:r>
              <w:rPr>
                <w:rFonts w:hint="eastAsia" w:ascii="宋体" w:hAnsi="宋体"/>
                <w:color w:val="auto"/>
                <w:kern w:val="0"/>
                <w:sz w:val="22"/>
                <w:szCs w:val="22"/>
              </w:rPr>
              <w:t xml:space="preserve"> /</w:t>
            </w:r>
          </w:p>
        </w:tc>
      </w:tr>
      <w:tr w14:paraId="4AC8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4BC8E51A">
            <w:pPr>
              <w:widowControl/>
              <w:rPr>
                <w:rFonts w:ascii="宋体" w:hAnsi="宋体"/>
                <w:color w:val="auto"/>
                <w:kern w:val="0"/>
                <w:sz w:val="22"/>
                <w:szCs w:val="22"/>
              </w:rPr>
            </w:pPr>
            <w:r>
              <w:rPr>
                <w:rFonts w:hint="eastAsia" w:ascii="宋体" w:hAnsi="宋体"/>
                <w:color w:val="auto"/>
                <w:kern w:val="0"/>
                <w:sz w:val="22"/>
                <w:szCs w:val="22"/>
              </w:rPr>
              <w:t>146</w:t>
            </w:r>
          </w:p>
        </w:tc>
        <w:tc>
          <w:tcPr>
            <w:tcW w:w="0" w:type="auto"/>
            <w:vMerge w:val="continue"/>
            <w:tcBorders>
              <w:top w:val="nil"/>
              <w:left w:val="single" w:color="auto" w:sz="4" w:space="0"/>
              <w:bottom w:val="single" w:color="auto" w:sz="4" w:space="0"/>
              <w:right w:val="single" w:color="auto" w:sz="4" w:space="0"/>
            </w:tcBorders>
            <w:vAlign w:val="center"/>
          </w:tcPr>
          <w:p w14:paraId="2FBB15F7">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71A7853B">
            <w:pPr>
              <w:widowControl/>
              <w:rPr>
                <w:rFonts w:ascii="宋体" w:hAnsi="宋体"/>
                <w:color w:val="auto"/>
                <w:kern w:val="0"/>
                <w:sz w:val="22"/>
                <w:szCs w:val="22"/>
              </w:rPr>
            </w:pPr>
            <w:r>
              <w:rPr>
                <w:rFonts w:hint="eastAsia" w:ascii="宋体" w:hAnsi="宋体"/>
                <w:color w:val="auto"/>
                <w:kern w:val="0"/>
                <w:sz w:val="22"/>
                <w:szCs w:val="22"/>
              </w:rPr>
              <w:t>视频编解码加速模块</w:t>
            </w:r>
          </w:p>
        </w:tc>
        <w:tc>
          <w:tcPr>
            <w:tcW w:w="2740" w:type="pct"/>
            <w:tcBorders>
              <w:top w:val="single" w:color="auto" w:sz="4" w:space="0"/>
              <w:left w:val="single" w:color="auto" w:sz="4" w:space="0"/>
              <w:bottom w:val="single" w:color="auto" w:sz="4" w:space="0"/>
              <w:right w:val="single" w:color="auto" w:sz="4" w:space="0"/>
            </w:tcBorders>
          </w:tcPr>
          <w:p w14:paraId="6380FBDB">
            <w:pPr>
              <w:widowControl/>
              <w:rPr>
                <w:rFonts w:ascii="宋体" w:hAnsi="宋体"/>
                <w:color w:val="auto"/>
                <w:kern w:val="0"/>
                <w:sz w:val="22"/>
                <w:szCs w:val="22"/>
              </w:rPr>
            </w:pPr>
            <w:r>
              <w:rPr>
                <w:rFonts w:hint="eastAsia" w:ascii="宋体" w:hAnsi="宋体"/>
                <w:color w:val="auto"/>
                <w:kern w:val="0"/>
                <w:sz w:val="22"/>
                <w:szCs w:val="22"/>
              </w:rPr>
              <w:t xml:space="preserve"> /</w:t>
            </w:r>
          </w:p>
        </w:tc>
      </w:tr>
      <w:tr w14:paraId="1C59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741A7F9F">
            <w:pPr>
              <w:widowControl/>
              <w:rPr>
                <w:rFonts w:ascii="宋体" w:hAnsi="宋体"/>
                <w:color w:val="auto"/>
                <w:kern w:val="0"/>
                <w:sz w:val="22"/>
                <w:szCs w:val="22"/>
              </w:rPr>
            </w:pPr>
            <w:r>
              <w:rPr>
                <w:rFonts w:hint="eastAsia" w:ascii="宋体" w:hAnsi="宋体"/>
                <w:color w:val="auto"/>
                <w:kern w:val="0"/>
                <w:sz w:val="22"/>
                <w:szCs w:val="22"/>
              </w:rPr>
              <w:t>147</w:t>
            </w:r>
          </w:p>
        </w:tc>
        <w:tc>
          <w:tcPr>
            <w:tcW w:w="0" w:type="auto"/>
            <w:vMerge w:val="continue"/>
            <w:tcBorders>
              <w:top w:val="nil"/>
              <w:left w:val="single" w:color="auto" w:sz="4" w:space="0"/>
              <w:bottom w:val="single" w:color="auto" w:sz="4" w:space="0"/>
              <w:right w:val="single" w:color="auto" w:sz="4" w:space="0"/>
            </w:tcBorders>
            <w:vAlign w:val="center"/>
          </w:tcPr>
          <w:p w14:paraId="0955538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58A7A3D">
            <w:pPr>
              <w:widowControl/>
              <w:rPr>
                <w:rFonts w:ascii="宋体" w:hAnsi="宋体"/>
                <w:color w:val="auto"/>
                <w:kern w:val="0"/>
                <w:sz w:val="22"/>
                <w:szCs w:val="22"/>
              </w:rPr>
            </w:pPr>
            <w:r>
              <w:rPr>
                <w:rFonts w:hint="eastAsia" w:ascii="宋体" w:hAnsi="宋体"/>
                <w:color w:val="auto"/>
                <w:kern w:val="0"/>
                <w:sz w:val="22"/>
                <w:szCs w:val="22"/>
              </w:rPr>
              <w:t>影像处理加速模块</w:t>
            </w:r>
          </w:p>
        </w:tc>
        <w:tc>
          <w:tcPr>
            <w:tcW w:w="2740" w:type="pct"/>
            <w:tcBorders>
              <w:top w:val="single" w:color="auto" w:sz="4" w:space="0"/>
              <w:left w:val="single" w:color="auto" w:sz="4" w:space="0"/>
              <w:bottom w:val="single" w:color="auto" w:sz="4" w:space="0"/>
              <w:right w:val="single" w:color="auto" w:sz="4" w:space="0"/>
            </w:tcBorders>
          </w:tcPr>
          <w:p w14:paraId="0ED03878">
            <w:pPr>
              <w:widowControl/>
              <w:rPr>
                <w:rFonts w:ascii="宋体" w:hAnsi="宋体"/>
                <w:color w:val="auto"/>
                <w:kern w:val="0"/>
                <w:sz w:val="22"/>
                <w:szCs w:val="22"/>
              </w:rPr>
            </w:pPr>
            <w:r>
              <w:rPr>
                <w:rFonts w:hint="eastAsia" w:ascii="宋体" w:hAnsi="宋体"/>
                <w:color w:val="auto"/>
                <w:kern w:val="0"/>
                <w:sz w:val="22"/>
                <w:szCs w:val="22"/>
              </w:rPr>
              <w:t xml:space="preserve"> /</w:t>
            </w:r>
          </w:p>
        </w:tc>
      </w:tr>
      <w:tr w14:paraId="74A8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0D74044C">
            <w:pPr>
              <w:widowControl/>
              <w:rPr>
                <w:rFonts w:ascii="宋体" w:hAnsi="宋体"/>
                <w:color w:val="auto"/>
                <w:kern w:val="0"/>
                <w:sz w:val="22"/>
                <w:szCs w:val="22"/>
              </w:rPr>
            </w:pPr>
            <w:r>
              <w:rPr>
                <w:rFonts w:hint="eastAsia" w:ascii="宋体" w:hAnsi="宋体"/>
                <w:color w:val="auto"/>
                <w:kern w:val="0"/>
                <w:sz w:val="22"/>
                <w:szCs w:val="22"/>
              </w:rPr>
              <w:t>148</w:t>
            </w:r>
          </w:p>
        </w:tc>
        <w:tc>
          <w:tcPr>
            <w:tcW w:w="555" w:type="pct"/>
            <w:vMerge w:val="restart"/>
            <w:tcBorders>
              <w:top w:val="nil"/>
              <w:left w:val="single" w:color="auto" w:sz="4" w:space="0"/>
              <w:bottom w:val="single" w:color="auto" w:sz="4" w:space="0"/>
              <w:right w:val="single" w:color="auto" w:sz="4" w:space="0"/>
            </w:tcBorders>
            <w:vAlign w:val="center"/>
          </w:tcPr>
          <w:p w14:paraId="49736CB7">
            <w:pPr>
              <w:widowControl/>
              <w:rPr>
                <w:rFonts w:ascii="宋体" w:hAnsi="宋体"/>
                <w:color w:val="auto"/>
                <w:kern w:val="0"/>
                <w:sz w:val="22"/>
                <w:szCs w:val="22"/>
              </w:rPr>
            </w:pPr>
            <w:r>
              <w:rPr>
                <w:rFonts w:hint="eastAsia" w:ascii="宋体" w:hAnsi="宋体"/>
                <w:color w:val="auto"/>
                <w:kern w:val="0"/>
                <w:sz w:val="22"/>
                <w:szCs w:val="22"/>
              </w:rPr>
              <w:t>▲存储设备可靠性</w:t>
            </w:r>
          </w:p>
        </w:tc>
        <w:tc>
          <w:tcPr>
            <w:tcW w:w="1356" w:type="pct"/>
            <w:tcBorders>
              <w:top w:val="single" w:color="auto" w:sz="4" w:space="0"/>
              <w:left w:val="single" w:color="auto" w:sz="4" w:space="0"/>
              <w:bottom w:val="single" w:color="auto" w:sz="4" w:space="0"/>
              <w:right w:val="single" w:color="auto" w:sz="4" w:space="0"/>
            </w:tcBorders>
          </w:tcPr>
          <w:p w14:paraId="0F3946C1">
            <w:pPr>
              <w:widowControl/>
              <w:rPr>
                <w:rFonts w:ascii="宋体" w:hAnsi="宋体"/>
                <w:color w:val="auto"/>
                <w:kern w:val="0"/>
                <w:sz w:val="22"/>
                <w:szCs w:val="22"/>
              </w:rPr>
            </w:pPr>
            <w:r>
              <w:rPr>
                <w:rFonts w:hint="eastAsia" w:ascii="宋体" w:hAnsi="宋体"/>
                <w:color w:val="auto"/>
                <w:kern w:val="0"/>
                <w:sz w:val="22"/>
                <w:szCs w:val="22"/>
              </w:rPr>
              <w:t>▲固态存储寿命</w:t>
            </w:r>
          </w:p>
        </w:tc>
        <w:tc>
          <w:tcPr>
            <w:tcW w:w="2740" w:type="pct"/>
            <w:tcBorders>
              <w:top w:val="single" w:color="auto" w:sz="4" w:space="0"/>
              <w:left w:val="single" w:color="auto" w:sz="4" w:space="0"/>
              <w:bottom w:val="single" w:color="auto" w:sz="4" w:space="0"/>
              <w:right w:val="single" w:color="auto" w:sz="4" w:space="0"/>
            </w:tcBorders>
          </w:tcPr>
          <w:p w14:paraId="111EC742">
            <w:pPr>
              <w:widowControl/>
              <w:rPr>
                <w:rFonts w:ascii="宋体" w:hAnsi="宋体"/>
                <w:color w:val="auto"/>
                <w:kern w:val="0"/>
                <w:sz w:val="22"/>
                <w:szCs w:val="22"/>
              </w:rPr>
            </w:pPr>
            <w:r>
              <w:rPr>
                <w:rFonts w:hint="eastAsia" w:ascii="宋体" w:hAnsi="宋体"/>
                <w:color w:val="auto"/>
                <w:kern w:val="0"/>
                <w:sz w:val="22"/>
                <w:szCs w:val="22"/>
              </w:rPr>
              <w:t>TBW ≥ 150TB（条件：500G 硬盘容量）</w:t>
            </w:r>
          </w:p>
        </w:tc>
      </w:tr>
      <w:tr w14:paraId="132B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513D178F">
            <w:pPr>
              <w:widowControl/>
              <w:rPr>
                <w:rFonts w:ascii="宋体" w:hAnsi="宋体"/>
                <w:color w:val="auto"/>
                <w:kern w:val="0"/>
                <w:sz w:val="22"/>
                <w:szCs w:val="22"/>
              </w:rPr>
            </w:pPr>
            <w:r>
              <w:rPr>
                <w:rFonts w:hint="eastAsia" w:ascii="宋体" w:hAnsi="宋体"/>
                <w:color w:val="auto"/>
                <w:kern w:val="0"/>
                <w:sz w:val="22"/>
                <w:szCs w:val="22"/>
              </w:rPr>
              <w:t>149</w:t>
            </w:r>
          </w:p>
        </w:tc>
        <w:tc>
          <w:tcPr>
            <w:tcW w:w="0" w:type="auto"/>
            <w:vMerge w:val="continue"/>
            <w:tcBorders>
              <w:top w:val="nil"/>
              <w:left w:val="single" w:color="auto" w:sz="4" w:space="0"/>
              <w:bottom w:val="single" w:color="auto" w:sz="4" w:space="0"/>
              <w:right w:val="single" w:color="auto" w:sz="4" w:space="0"/>
            </w:tcBorders>
            <w:vAlign w:val="center"/>
          </w:tcPr>
          <w:p w14:paraId="3DE56A49">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12101BC6">
            <w:pPr>
              <w:widowControl/>
              <w:rPr>
                <w:rFonts w:ascii="宋体" w:hAnsi="宋体"/>
                <w:color w:val="auto"/>
                <w:kern w:val="0"/>
                <w:sz w:val="22"/>
                <w:szCs w:val="22"/>
              </w:rPr>
            </w:pPr>
            <w:r>
              <w:rPr>
                <w:rFonts w:hint="eastAsia" w:ascii="宋体" w:hAnsi="宋体"/>
                <w:color w:val="auto"/>
                <w:kern w:val="0"/>
                <w:sz w:val="22"/>
                <w:szCs w:val="22"/>
              </w:rPr>
              <w:t>▲机械硬盘寿命</w:t>
            </w:r>
          </w:p>
        </w:tc>
        <w:tc>
          <w:tcPr>
            <w:tcW w:w="2740" w:type="pct"/>
            <w:tcBorders>
              <w:top w:val="single" w:color="auto" w:sz="4" w:space="0"/>
              <w:left w:val="single" w:color="auto" w:sz="4" w:space="0"/>
              <w:bottom w:val="single" w:color="auto" w:sz="4" w:space="0"/>
              <w:right w:val="single" w:color="auto" w:sz="4" w:space="0"/>
            </w:tcBorders>
          </w:tcPr>
          <w:p w14:paraId="0747C696">
            <w:pPr>
              <w:widowControl/>
              <w:rPr>
                <w:rFonts w:ascii="宋体" w:hAnsi="宋体"/>
                <w:color w:val="auto"/>
                <w:kern w:val="0"/>
                <w:sz w:val="22"/>
                <w:szCs w:val="22"/>
              </w:rPr>
            </w:pPr>
            <w:r>
              <w:rPr>
                <w:rFonts w:hint="eastAsia" w:ascii="宋体" w:hAnsi="宋体"/>
                <w:color w:val="auto"/>
                <w:kern w:val="0"/>
                <w:sz w:val="22"/>
                <w:szCs w:val="22"/>
              </w:rPr>
              <w:t>通电时间≥5万小时</w:t>
            </w:r>
          </w:p>
        </w:tc>
      </w:tr>
      <w:tr w14:paraId="7F9D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347" w:type="pct"/>
            <w:tcBorders>
              <w:top w:val="single" w:color="auto" w:sz="4" w:space="0"/>
              <w:left w:val="single" w:color="auto" w:sz="4" w:space="0"/>
              <w:bottom w:val="single" w:color="auto" w:sz="4" w:space="0"/>
              <w:right w:val="single" w:color="auto" w:sz="4" w:space="0"/>
            </w:tcBorders>
          </w:tcPr>
          <w:p w14:paraId="158F8996">
            <w:pPr>
              <w:widowControl/>
              <w:rPr>
                <w:rFonts w:ascii="宋体" w:hAnsi="宋体"/>
                <w:color w:val="auto"/>
                <w:kern w:val="0"/>
                <w:sz w:val="22"/>
                <w:szCs w:val="22"/>
              </w:rPr>
            </w:pPr>
            <w:r>
              <w:rPr>
                <w:rFonts w:hint="eastAsia" w:ascii="宋体" w:hAnsi="宋体"/>
                <w:color w:val="auto"/>
                <w:kern w:val="0"/>
                <w:sz w:val="22"/>
                <w:szCs w:val="22"/>
              </w:rPr>
              <w:t>150</w:t>
            </w:r>
          </w:p>
        </w:tc>
        <w:tc>
          <w:tcPr>
            <w:tcW w:w="555" w:type="pct"/>
            <w:tcBorders>
              <w:top w:val="single" w:color="auto" w:sz="4" w:space="0"/>
              <w:left w:val="single" w:color="auto" w:sz="4" w:space="0"/>
              <w:bottom w:val="single" w:color="auto" w:sz="4" w:space="0"/>
              <w:right w:val="single" w:color="auto" w:sz="4" w:space="0"/>
            </w:tcBorders>
            <w:vAlign w:val="center"/>
          </w:tcPr>
          <w:p w14:paraId="53768128">
            <w:pPr>
              <w:widowControl/>
              <w:rPr>
                <w:rFonts w:ascii="宋体" w:hAnsi="宋体"/>
                <w:color w:val="auto"/>
                <w:kern w:val="0"/>
                <w:sz w:val="22"/>
                <w:szCs w:val="22"/>
              </w:rPr>
            </w:pPr>
            <w:r>
              <w:rPr>
                <w:rFonts w:hint="eastAsia" w:ascii="宋体" w:hAnsi="宋体"/>
                <w:color w:val="auto"/>
                <w:kern w:val="0"/>
                <w:sz w:val="22"/>
                <w:szCs w:val="22"/>
              </w:rPr>
              <w:t>▲显示设备可靠性</w:t>
            </w:r>
          </w:p>
        </w:tc>
        <w:tc>
          <w:tcPr>
            <w:tcW w:w="1356" w:type="pct"/>
            <w:tcBorders>
              <w:top w:val="single" w:color="auto" w:sz="4" w:space="0"/>
              <w:left w:val="single" w:color="auto" w:sz="4" w:space="0"/>
              <w:bottom w:val="single" w:color="auto" w:sz="4" w:space="0"/>
              <w:right w:val="single" w:color="auto" w:sz="4" w:space="0"/>
            </w:tcBorders>
          </w:tcPr>
          <w:p w14:paraId="03B7A715">
            <w:pPr>
              <w:widowControl/>
              <w:rPr>
                <w:rFonts w:ascii="宋体" w:hAnsi="宋体"/>
                <w:color w:val="auto"/>
                <w:kern w:val="0"/>
                <w:sz w:val="22"/>
                <w:szCs w:val="22"/>
              </w:rPr>
            </w:pPr>
            <w:r>
              <w:rPr>
                <w:rFonts w:hint="eastAsia" w:ascii="宋体" w:hAnsi="宋体"/>
                <w:color w:val="auto"/>
                <w:kern w:val="0"/>
                <w:sz w:val="22"/>
                <w:szCs w:val="22"/>
              </w:rPr>
              <w:t>▲显示屏屏幕失效点</w:t>
            </w:r>
          </w:p>
        </w:tc>
        <w:tc>
          <w:tcPr>
            <w:tcW w:w="2740" w:type="pct"/>
            <w:tcBorders>
              <w:top w:val="single" w:color="auto" w:sz="4" w:space="0"/>
              <w:left w:val="single" w:color="auto" w:sz="4" w:space="0"/>
              <w:bottom w:val="single" w:color="auto" w:sz="4" w:space="0"/>
              <w:right w:val="single" w:color="auto" w:sz="4" w:space="0"/>
            </w:tcBorders>
          </w:tcPr>
          <w:p w14:paraId="2C9D33A5">
            <w:pPr>
              <w:widowControl/>
              <w:rPr>
                <w:rFonts w:ascii="宋体" w:hAnsi="宋体"/>
                <w:color w:val="auto"/>
                <w:kern w:val="0"/>
                <w:sz w:val="22"/>
                <w:szCs w:val="22"/>
              </w:rPr>
            </w:pPr>
            <w:r>
              <w:rPr>
                <w:rFonts w:hint="eastAsia" w:ascii="宋体" w:hAnsi="宋体"/>
                <w:color w:val="auto"/>
                <w:kern w:val="0"/>
                <w:sz w:val="22"/>
                <w:szCs w:val="22"/>
              </w:rPr>
              <w:t>符合GB/T 9813.2的要求</w:t>
            </w:r>
          </w:p>
        </w:tc>
      </w:tr>
      <w:tr w14:paraId="6113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3EEF7061">
            <w:pPr>
              <w:widowControl/>
              <w:rPr>
                <w:rFonts w:ascii="宋体" w:hAnsi="宋体"/>
                <w:color w:val="auto"/>
                <w:kern w:val="0"/>
                <w:sz w:val="22"/>
                <w:szCs w:val="22"/>
              </w:rPr>
            </w:pPr>
            <w:r>
              <w:rPr>
                <w:rFonts w:hint="eastAsia" w:ascii="宋体" w:hAnsi="宋体"/>
                <w:color w:val="auto"/>
                <w:kern w:val="0"/>
                <w:sz w:val="22"/>
                <w:szCs w:val="22"/>
              </w:rPr>
              <w:t>151</w:t>
            </w:r>
          </w:p>
        </w:tc>
        <w:tc>
          <w:tcPr>
            <w:tcW w:w="555" w:type="pct"/>
            <w:vMerge w:val="restart"/>
            <w:tcBorders>
              <w:top w:val="nil"/>
              <w:left w:val="single" w:color="auto" w:sz="4" w:space="0"/>
              <w:bottom w:val="single" w:color="auto" w:sz="4" w:space="0"/>
              <w:right w:val="single" w:color="auto" w:sz="4" w:space="0"/>
            </w:tcBorders>
            <w:vAlign w:val="center"/>
          </w:tcPr>
          <w:p w14:paraId="4BAF0A16">
            <w:pPr>
              <w:widowControl/>
              <w:rPr>
                <w:rFonts w:ascii="宋体" w:hAnsi="宋体"/>
                <w:color w:val="auto"/>
                <w:kern w:val="0"/>
                <w:sz w:val="22"/>
                <w:szCs w:val="22"/>
              </w:rPr>
            </w:pPr>
            <w:r>
              <w:rPr>
                <w:rFonts w:hint="eastAsia" w:ascii="宋体" w:hAnsi="宋体"/>
                <w:color w:val="auto"/>
                <w:kern w:val="0"/>
                <w:sz w:val="22"/>
                <w:szCs w:val="22"/>
              </w:rPr>
              <w:t>▲外设可靠性</w:t>
            </w:r>
          </w:p>
        </w:tc>
        <w:tc>
          <w:tcPr>
            <w:tcW w:w="1356" w:type="pct"/>
            <w:tcBorders>
              <w:top w:val="single" w:color="auto" w:sz="4" w:space="0"/>
              <w:left w:val="single" w:color="auto" w:sz="4" w:space="0"/>
              <w:bottom w:val="single" w:color="auto" w:sz="4" w:space="0"/>
              <w:right w:val="single" w:color="auto" w:sz="4" w:space="0"/>
            </w:tcBorders>
          </w:tcPr>
          <w:p w14:paraId="78A50756">
            <w:pPr>
              <w:widowControl/>
              <w:rPr>
                <w:rFonts w:ascii="宋体" w:hAnsi="宋体"/>
                <w:color w:val="auto"/>
                <w:kern w:val="0"/>
                <w:sz w:val="22"/>
                <w:szCs w:val="22"/>
              </w:rPr>
            </w:pPr>
            <w:r>
              <w:rPr>
                <w:rFonts w:hint="eastAsia" w:ascii="宋体" w:hAnsi="宋体"/>
                <w:color w:val="auto"/>
                <w:kern w:val="0"/>
                <w:sz w:val="22"/>
                <w:szCs w:val="22"/>
              </w:rPr>
              <w:t>▲键盘按键寿命</w:t>
            </w:r>
          </w:p>
        </w:tc>
        <w:tc>
          <w:tcPr>
            <w:tcW w:w="2740" w:type="pct"/>
            <w:tcBorders>
              <w:top w:val="single" w:color="auto" w:sz="4" w:space="0"/>
              <w:left w:val="single" w:color="auto" w:sz="4" w:space="0"/>
              <w:bottom w:val="single" w:color="auto" w:sz="4" w:space="0"/>
              <w:right w:val="single" w:color="auto" w:sz="4" w:space="0"/>
            </w:tcBorders>
          </w:tcPr>
          <w:p w14:paraId="0B0EFB46">
            <w:pPr>
              <w:widowControl/>
              <w:rPr>
                <w:rFonts w:ascii="宋体" w:hAnsi="宋体"/>
                <w:color w:val="auto"/>
                <w:kern w:val="0"/>
                <w:sz w:val="22"/>
                <w:szCs w:val="22"/>
              </w:rPr>
            </w:pPr>
            <w:r>
              <w:rPr>
                <w:rFonts w:hint="eastAsia" w:ascii="宋体" w:hAnsi="宋体"/>
                <w:color w:val="auto"/>
                <w:kern w:val="0"/>
                <w:sz w:val="22"/>
                <w:szCs w:val="22"/>
              </w:rPr>
              <w:t>≥1000万次</w:t>
            </w:r>
          </w:p>
        </w:tc>
      </w:tr>
      <w:tr w14:paraId="2E81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44CB5FEA">
            <w:pPr>
              <w:widowControl/>
              <w:rPr>
                <w:rFonts w:ascii="宋体" w:hAnsi="宋体"/>
                <w:color w:val="auto"/>
                <w:kern w:val="0"/>
                <w:sz w:val="22"/>
                <w:szCs w:val="22"/>
              </w:rPr>
            </w:pPr>
            <w:r>
              <w:rPr>
                <w:rFonts w:hint="eastAsia" w:ascii="宋体" w:hAnsi="宋体"/>
                <w:color w:val="auto"/>
                <w:kern w:val="0"/>
                <w:sz w:val="22"/>
                <w:szCs w:val="22"/>
              </w:rPr>
              <w:t>152</w:t>
            </w:r>
          </w:p>
        </w:tc>
        <w:tc>
          <w:tcPr>
            <w:tcW w:w="0" w:type="auto"/>
            <w:vMerge w:val="continue"/>
            <w:tcBorders>
              <w:top w:val="nil"/>
              <w:left w:val="single" w:color="auto" w:sz="4" w:space="0"/>
              <w:bottom w:val="single" w:color="auto" w:sz="4" w:space="0"/>
              <w:right w:val="single" w:color="auto" w:sz="4" w:space="0"/>
            </w:tcBorders>
            <w:vAlign w:val="center"/>
          </w:tcPr>
          <w:p w14:paraId="22E04964">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5104654">
            <w:pPr>
              <w:widowControl/>
              <w:rPr>
                <w:rFonts w:ascii="宋体" w:hAnsi="宋体"/>
                <w:color w:val="auto"/>
                <w:kern w:val="0"/>
                <w:sz w:val="22"/>
                <w:szCs w:val="22"/>
              </w:rPr>
            </w:pPr>
            <w:r>
              <w:rPr>
                <w:rFonts w:hint="eastAsia" w:ascii="宋体" w:hAnsi="宋体"/>
                <w:color w:val="auto"/>
                <w:kern w:val="0"/>
                <w:sz w:val="22"/>
                <w:szCs w:val="22"/>
              </w:rPr>
              <w:t>▲鼠标按键寿命</w:t>
            </w:r>
          </w:p>
        </w:tc>
        <w:tc>
          <w:tcPr>
            <w:tcW w:w="2740" w:type="pct"/>
            <w:tcBorders>
              <w:top w:val="single" w:color="auto" w:sz="4" w:space="0"/>
              <w:left w:val="single" w:color="auto" w:sz="4" w:space="0"/>
              <w:bottom w:val="single" w:color="auto" w:sz="4" w:space="0"/>
              <w:right w:val="single" w:color="auto" w:sz="4" w:space="0"/>
            </w:tcBorders>
          </w:tcPr>
          <w:p w14:paraId="0AEE7E6F">
            <w:pPr>
              <w:widowControl/>
              <w:rPr>
                <w:rFonts w:ascii="宋体" w:hAnsi="宋体"/>
                <w:color w:val="auto"/>
                <w:kern w:val="0"/>
                <w:sz w:val="22"/>
                <w:szCs w:val="22"/>
              </w:rPr>
            </w:pPr>
            <w:r>
              <w:rPr>
                <w:rFonts w:hint="eastAsia" w:ascii="宋体" w:hAnsi="宋体"/>
                <w:color w:val="auto"/>
                <w:kern w:val="0"/>
                <w:sz w:val="22"/>
                <w:szCs w:val="22"/>
              </w:rPr>
              <w:t>≥500万次</w:t>
            </w:r>
          </w:p>
        </w:tc>
      </w:tr>
      <w:tr w14:paraId="5DF0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4C76D13C">
            <w:pPr>
              <w:widowControl/>
              <w:rPr>
                <w:rFonts w:ascii="宋体" w:hAnsi="宋体"/>
                <w:color w:val="auto"/>
                <w:kern w:val="0"/>
                <w:sz w:val="22"/>
                <w:szCs w:val="22"/>
              </w:rPr>
            </w:pPr>
            <w:r>
              <w:rPr>
                <w:rFonts w:hint="eastAsia" w:ascii="宋体" w:hAnsi="宋体"/>
                <w:color w:val="auto"/>
                <w:kern w:val="0"/>
                <w:sz w:val="22"/>
                <w:szCs w:val="22"/>
              </w:rPr>
              <w:t>153</w:t>
            </w:r>
          </w:p>
        </w:tc>
        <w:tc>
          <w:tcPr>
            <w:tcW w:w="0" w:type="auto"/>
            <w:vMerge w:val="continue"/>
            <w:tcBorders>
              <w:top w:val="nil"/>
              <w:left w:val="single" w:color="auto" w:sz="4" w:space="0"/>
              <w:bottom w:val="single" w:color="auto" w:sz="4" w:space="0"/>
              <w:right w:val="single" w:color="auto" w:sz="4" w:space="0"/>
            </w:tcBorders>
            <w:vAlign w:val="center"/>
          </w:tcPr>
          <w:p w14:paraId="7CF7065B">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7ED39F74">
            <w:pPr>
              <w:widowControl/>
              <w:rPr>
                <w:rFonts w:ascii="宋体" w:hAnsi="宋体"/>
                <w:color w:val="auto"/>
                <w:kern w:val="0"/>
                <w:sz w:val="22"/>
                <w:szCs w:val="22"/>
              </w:rPr>
            </w:pPr>
            <w:r>
              <w:rPr>
                <w:rFonts w:hint="eastAsia" w:ascii="宋体" w:hAnsi="宋体"/>
                <w:color w:val="auto"/>
                <w:kern w:val="0"/>
                <w:sz w:val="22"/>
                <w:szCs w:val="22"/>
              </w:rPr>
              <w:t>▲键盘鼠标线材寿命</w:t>
            </w:r>
          </w:p>
        </w:tc>
        <w:tc>
          <w:tcPr>
            <w:tcW w:w="2740" w:type="pct"/>
            <w:tcBorders>
              <w:top w:val="single" w:color="auto" w:sz="4" w:space="0"/>
              <w:left w:val="single" w:color="auto" w:sz="4" w:space="0"/>
              <w:bottom w:val="single" w:color="auto" w:sz="4" w:space="0"/>
              <w:right w:val="single" w:color="auto" w:sz="4" w:space="0"/>
            </w:tcBorders>
          </w:tcPr>
          <w:p w14:paraId="4D70112B">
            <w:pPr>
              <w:widowControl/>
              <w:rPr>
                <w:rFonts w:ascii="宋体" w:hAnsi="宋体"/>
                <w:color w:val="auto"/>
                <w:kern w:val="0"/>
                <w:sz w:val="22"/>
                <w:szCs w:val="22"/>
              </w:rPr>
            </w:pPr>
            <w:r>
              <w:rPr>
                <w:rFonts w:hint="eastAsia" w:ascii="宋体" w:hAnsi="宋体"/>
                <w:color w:val="auto"/>
                <w:kern w:val="0"/>
                <w:sz w:val="22"/>
                <w:szCs w:val="22"/>
              </w:rPr>
              <w:t>键盘鼠标所用线材经±60°弯折不低于3000次，功能、外观完好</w:t>
            </w:r>
          </w:p>
        </w:tc>
      </w:tr>
      <w:tr w14:paraId="54F8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6AB3FED1">
            <w:pPr>
              <w:widowControl/>
              <w:rPr>
                <w:rFonts w:ascii="宋体" w:hAnsi="宋体"/>
                <w:color w:val="auto"/>
                <w:kern w:val="0"/>
                <w:sz w:val="22"/>
                <w:szCs w:val="22"/>
              </w:rPr>
            </w:pPr>
            <w:r>
              <w:rPr>
                <w:rFonts w:hint="eastAsia" w:ascii="宋体" w:hAnsi="宋体"/>
                <w:color w:val="auto"/>
                <w:kern w:val="0"/>
                <w:sz w:val="22"/>
                <w:szCs w:val="22"/>
              </w:rPr>
              <w:t>154</w:t>
            </w:r>
          </w:p>
        </w:tc>
        <w:tc>
          <w:tcPr>
            <w:tcW w:w="0" w:type="auto"/>
            <w:vMerge w:val="continue"/>
            <w:tcBorders>
              <w:top w:val="nil"/>
              <w:left w:val="single" w:color="auto" w:sz="4" w:space="0"/>
              <w:bottom w:val="single" w:color="auto" w:sz="4" w:space="0"/>
              <w:right w:val="single" w:color="auto" w:sz="4" w:space="0"/>
            </w:tcBorders>
            <w:vAlign w:val="center"/>
          </w:tcPr>
          <w:p w14:paraId="32A906CD">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34E4D510">
            <w:pPr>
              <w:widowControl/>
              <w:rPr>
                <w:rFonts w:ascii="宋体" w:hAnsi="宋体"/>
                <w:color w:val="auto"/>
                <w:kern w:val="0"/>
                <w:sz w:val="22"/>
                <w:szCs w:val="22"/>
              </w:rPr>
            </w:pPr>
            <w:r>
              <w:rPr>
                <w:rFonts w:hint="eastAsia" w:ascii="宋体" w:hAnsi="宋体"/>
                <w:color w:val="auto"/>
                <w:kern w:val="0"/>
                <w:sz w:val="22"/>
                <w:szCs w:val="22"/>
              </w:rPr>
              <w:t>▲风扇寿命</w:t>
            </w:r>
          </w:p>
        </w:tc>
        <w:tc>
          <w:tcPr>
            <w:tcW w:w="2740" w:type="pct"/>
            <w:tcBorders>
              <w:top w:val="single" w:color="auto" w:sz="4" w:space="0"/>
              <w:left w:val="single" w:color="auto" w:sz="4" w:space="0"/>
              <w:bottom w:val="single" w:color="auto" w:sz="4" w:space="0"/>
              <w:right w:val="single" w:color="auto" w:sz="4" w:space="0"/>
            </w:tcBorders>
          </w:tcPr>
          <w:p w14:paraId="69278344">
            <w:pPr>
              <w:widowControl/>
              <w:rPr>
                <w:rFonts w:ascii="宋体" w:hAnsi="宋体"/>
                <w:color w:val="auto"/>
                <w:kern w:val="0"/>
                <w:sz w:val="22"/>
                <w:szCs w:val="22"/>
              </w:rPr>
            </w:pPr>
            <w:r>
              <w:rPr>
                <w:rFonts w:hint="eastAsia" w:ascii="宋体" w:hAnsi="宋体"/>
                <w:color w:val="auto"/>
                <w:kern w:val="0"/>
                <w:sz w:val="22"/>
                <w:szCs w:val="22"/>
              </w:rPr>
              <w:t>≥4万小时</w:t>
            </w:r>
          </w:p>
        </w:tc>
      </w:tr>
      <w:tr w14:paraId="7FC0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50EA9A4F">
            <w:pPr>
              <w:widowControl/>
              <w:rPr>
                <w:rFonts w:ascii="宋体" w:hAnsi="宋体"/>
                <w:color w:val="auto"/>
                <w:kern w:val="0"/>
                <w:sz w:val="22"/>
                <w:szCs w:val="22"/>
              </w:rPr>
            </w:pPr>
            <w:r>
              <w:rPr>
                <w:rFonts w:hint="eastAsia" w:ascii="宋体" w:hAnsi="宋体"/>
                <w:color w:val="auto"/>
                <w:kern w:val="0"/>
                <w:sz w:val="22"/>
                <w:szCs w:val="22"/>
              </w:rPr>
              <w:t>155</w:t>
            </w:r>
          </w:p>
        </w:tc>
        <w:tc>
          <w:tcPr>
            <w:tcW w:w="555" w:type="pct"/>
            <w:vMerge w:val="restart"/>
            <w:tcBorders>
              <w:top w:val="nil"/>
              <w:left w:val="single" w:color="auto" w:sz="4" w:space="0"/>
              <w:bottom w:val="single" w:color="auto" w:sz="4" w:space="0"/>
              <w:right w:val="single" w:color="auto" w:sz="4" w:space="0"/>
            </w:tcBorders>
            <w:vAlign w:val="center"/>
          </w:tcPr>
          <w:p w14:paraId="0B545338">
            <w:pPr>
              <w:widowControl/>
              <w:rPr>
                <w:rFonts w:ascii="宋体" w:hAnsi="宋体"/>
                <w:color w:val="auto"/>
                <w:kern w:val="0"/>
                <w:sz w:val="22"/>
                <w:szCs w:val="22"/>
              </w:rPr>
            </w:pPr>
            <w:r>
              <w:rPr>
                <w:rFonts w:hint="eastAsia" w:ascii="宋体" w:hAnsi="宋体"/>
                <w:color w:val="auto"/>
                <w:kern w:val="0"/>
                <w:sz w:val="22"/>
                <w:szCs w:val="22"/>
              </w:rPr>
              <w:t>▲整机可靠性要求</w:t>
            </w:r>
          </w:p>
        </w:tc>
        <w:tc>
          <w:tcPr>
            <w:tcW w:w="1356" w:type="pct"/>
            <w:tcBorders>
              <w:top w:val="single" w:color="auto" w:sz="4" w:space="0"/>
              <w:left w:val="single" w:color="auto" w:sz="4" w:space="0"/>
              <w:bottom w:val="single" w:color="auto" w:sz="4" w:space="0"/>
              <w:right w:val="single" w:color="auto" w:sz="4" w:space="0"/>
            </w:tcBorders>
          </w:tcPr>
          <w:p w14:paraId="7DF0A713">
            <w:pPr>
              <w:widowControl/>
              <w:rPr>
                <w:rFonts w:ascii="宋体" w:hAnsi="宋体"/>
                <w:color w:val="auto"/>
                <w:kern w:val="0"/>
                <w:sz w:val="22"/>
                <w:szCs w:val="22"/>
              </w:rPr>
            </w:pPr>
            <w:r>
              <w:rPr>
                <w:rFonts w:hint="eastAsia" w:ascii="宋体" w:hAnsi="宋体"/>
                <w:color w:val="auto"/>
                <w:kern w:val="0"/>
                <w:sz w:val="22"/>
                <w:szCs w:val="22"/>
              </w:rPr>
              <w:t>▲电磁兼容性要求的抗扰度</w:t>
            </w:r>
          </w:p>
        </w:tc>
        <w:tc>
          <w:tcPr>
            <w:tcW w:w="2740" w:type="pct"/>
            <w:tcBorders>
              <w:top w:val="single" w:color="auto" w:sz="4" w:space="0"/>
              <w:left w:val="single" w:color="auto" w:sz="4" w:space="0"/>
              <w:bottom w:val="single" w:color="auto" w:sz="4" w:space="0"/>
              <w:right w:val="single" w:color="auto" w:sz="4" w:space="0"/>
            </w:tcBorders>
          </w:tcPr>
          <w:p w14:paraId="09E409EF">
            <w:pPr>
              <w:widowControl/>
              <w:rPr>
                <w:rFonts w:ascii="宋体" w:hAnsi="宋体"/>
                <w:color w:val="auto"/>
                <w:kern w:val="0"/>
                <w:sz w:val="22"/>
                <w:szCs w:val="22"/>
              </w:rPr>
            </w:pPr>
            <w:r>
              <w:rPr>
                <w:rFonts w:hint="eastAsia" w:ascii="宋体" w:hAnsi="宋体"/>
                <w:color w:val="auto"/>
                <w:kern w:val="0"/>
                <w:sz w:val="22"/>
                <w:szCs w:val="22"/>
              </w:rPr>
              <w:t>符合GB/T 9254.2的规定</w:t>
            </w:r>
          </w:p>
        </w:tc>
      </w:tr>
      <w:tr w14:paraId="1387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75B772DB">
            <w:pPr>
              <w:widowControl/>
              <w:rPr>
                <w:rFonts w:ascii="宋体" w:hAnsi="宋体"/>
                <w:color w:val="auto"/>
                <w:kern w:val="0"/>
                <w:sz w:val="22"/>
                <w:szCs w:val="22"/>
              </w:rPr>
            </w:pPr>
            <w:r>
              <w:rPr>
                <w:rFonts w:hint="eastAsia" w:ascii="宋体" w:hAnsi="宋体"/>
                <w:color w:val="auto"/>
                <w:kern w:val="0"/>
                <w:sz w:val="22"/>
                <w:szCs w:val="22"/>
              </w:rPr>
              <w:t>156</w:t>
            </w:r>
          </w:p>
        </w:tc>
        <w:tc>
          <w:tcPr>
            <w:tcW w:w="0" w:type="auto"/>
            <w:vMerge w:val="continue"/>
            <w:tcBorders>
              <w:top w:val="nil"/>
              <w:left w:val="single" w:color="auto" w:sz="4" w:space="0"/>
              <w:bottom w:val="single" w:color="auto" w:sz="4" w:space="0"/>
              <w:right w:val="single" w:color="auto" w:sz="4" w:space="0"/>
            </w:tcBorders>
            <w:vAlign w:val="center"/>
          </w:tcPr>
          <w:p w14:paraId="1B01DC6C">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1A78FDC">
            <w:pPr>
              <w:widowControl/>
              <w:rPr>
                <w:rFonts w:ascii="宋体" w:hAnsi="宋体"/>
                <w:color w:val="auto"/>
                <w:kern w:val="0"/>
                <w:sz w:val="22"/>
                <w:szCs w:val="22"/>
              </w:rPr>
            </w:pPr>
            <w:r>
              <w:rPr>
                <w:rFonts w:hint="eastAsia" w:ascii="宋体" w:hAnsi="宋体"/>
                <w:color w:val="auto"/>
                <w:kern w:val="0"/>
                <w:sz w:val="22"/>
                <w:szCs w:val="22"/>
              </w:rPr>
              <w:t>▲环境条件要求的气候环境适应性</w:t>
            </w:r>
          </w:p>
        </w:tc>
        <w:tc>
          <w:tcPr>
            <w:tcW w:w="2740" w:type="pct"/>
            <w:tcBorders>
              <w:top w:val="single" w:color="auto" w:sz="4" w:space="0"/>
              <w:left w:val="single" w:color="auto" w:sz="4" w:space="0"/>
              <w:bottom w:val="single" w:color="auto" w:sz="4" w:space="0"/>
              <w:right w:val="single" w:color="auto" w:sz="4" w:space="0"/>
            </w:tcBorders>
          </w:tcPr>
          <w:p w14:paraId="7C31A6B0">
            <w:pPr>
              <w:widowControl/>
              <w:rPr>
                <w:rFonts w:ascii="宋体" w:hAnsi="宋体"/>
                <w:color w:val="auto"/>
                <w:kern w:val="0"/>
                <w:sz w:val="22"/>
                <w:szCs w:val="22"/>
              </w:rPr>
            </w:pPr>
            <w:r>
              <w:rPr>
                <w:rFonts w:hint="eastAsia" w:ascii="宋体" w:hAnsi="宋体"/>
                <w:color w:val="auto"/>
                <w:kern w:val="0"/>
                <w:sz w:val="22"/>
                <w:szCs w:val="22"/>
              </w:rPr>
              <w:t>符合GB/T 9813.1中规定</w:t>
            </w:r>
          </w:p>
        </w:tc>
      </w:tr>
      <w:tr w14:paraId="6CBD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4D2DDA20">
            <w:pPr>
              <w:widowControl/>
              <w:rPr>
                <w:rFonts w:ascii="宋体" w:hAnsi="宋体"/>
                <w:color w:val="auto"/>
                <w:kern w:val="0"/>
                <w:sz w:val="22"/>
                <w:szCs w:val="22"/>
              </w:rPr>
            </w:pPr>
            <w:r>
              <w:rPr>
                <w:rFonts w:hint="eastAsia" w:ascii="宋体" w:hAnsi="宋体"/>
                <w:color w:val="auto"/>
                <w:kern w:val="0"/>
                <w:sz w:val="22"/>
                <w:szCs w:val="22"/>
              </w:rPr>
              <w:t>157</w:t>
            </w:r>
          </w:p>
        </w:tc>
        <w:tc>
          <w:tcPr>
            <w:tcW w:w="0" w:type="auto"/>
            <w:vMerge w:val="continue"/>
            <w:tcBorders>
              <w:top w:val="nil"/>
              <w:left w:val="single" w:color="auto" w:sz="4" w:space="0"/>
              <w:bottom w:val="single" w:color="auto" w:sz="4" w:space="0"/>
              <w:right w:val="single" w:color="auto" w:sz="4" w:space="0"/>
            </w:tcBorders>
            <w:vAlign w:val="center"/>
          </w:tcPr>
          <w:p w14:paraId="0406B7E7">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3CE9155">
            <w:pPr>
              <w:widowControl/>
              <w:rPr>
                <w:rFonts w:ascii="宋体" w:hAnsi="宋体"/>
                <w:color w:val="auto"/>
                <w:kern w:val="0"/>
                <w:sz w:val="22"/>
                <w:szCs w:val="22"/>
              </w:rPr>
            </w:pPr>
            <w:r>
              <w:rPr>
                <w:rFonts w:hint="eastAsia" w:ascii="宋体" w:hAnsi="宋体"/>
                <w:color w:val="auto"/>
                <w:kern w:val="0"/>
                <w:sz w:val="22"/>
                <w:szCs w:val="22"/>
              </w:rPr>
              <w:t>▲环境条件要求的振动适应性</w:t>
            </w:r>
          </w:p>
        </w:tc>
        <w:tc>
          <w:tcPr>
            <w:tcW w:w="2740" w:type="pct"/>
            <w:tcBorders>
              <w:top w:val="single" w:color="auto" w:sz="4" w:space="0"/>
              <w:left w:val="single" w:color="auto" w:sz="4" w:space="0"/>
              <w:bottom w:val="single" w:color="auto" w:sz="4" w:space="0"/>
              <w:right w:val="single" w:color="auto" w:sz="4" w:space="0"/>
            </w:tcBorders>
          </w:tcPr>
          <w:p w14:paraId="0DF97FA4">
            <w:pPr>
              <w:widowControl/>
              <w:rPr>
                <w:rFonts w:ascii="宋体" w:hAnsi="宋体"/>
                <w:color w:val="auto"/>
                <w:kern w:val="0"/>
                <w:sz w:val="22"/>
                <w:szCs w:val="22"/>
              </w:rPr>
            </w:pPr>
            <w:r>
              <w:rPr>
                <w:rFonts w:hint="eastAsia" w:ascii="宋体" w:hAnsi="宋体"/>
                <w:color w:val="auto"/>
                <w:kern w:val="0"/>
                <w:sz w:val="22"/>
                <w:szCs w:val="22"/>
              </w:rPr>
              <w:t>符合GB/T 9813.1中规定</w:t>
            </w:r>
          </w:p>
        </w:tc>
      </w:tr>
      <w:tr w14:paraId="0D73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543BD834">
            <w:pPr>
              <w:widowControl/>
              <w:rPr>
                <w:rFonts w:ascii="宋体" w:hAnsi="宋体"/>
                <w:color w:val="auto"/>
                <w:kern w:val="0"/>
                <w:sz w:val="22"/>
                <w:szCs w:val="22"/>
              </w:rPr>
            </w:pPr>
            <w:r>
              <w:rPr>
                <w:rFonts w:hint="eastAsia" w:ascii="宋体" w:hAnsi="宋体"/>
                <w:color w:val="auto"/>
                <w:kern w:val="0"/>
                <w:sz w:val="22"/>
                <w:szCs w:val="22"/>
              </w:rPr>
              <w:t>158</w:t>
            </w:r>
          </w:p>
        </w:tc>
        <w:tc>
          <w:tcPr>
            <w:tcW w:w="0" w:type="auto"/>
            <w:vMerge w:val="continue"/>
            <w:tcBorders>
              <w:top w:val="nil"/>
              <w:left w:val="single" w:color="auto" w:sz="4" w:space="0"/>
              <w:bottom w:val="single" w:color="auto" w:sz="4" w:space="0"/>
              <w:right w:val="single" w:color="auto" w:sz="4" w:space="0"/>
            </w:tcBorders>
            <w:vAlign w:val="center"/>
          </w:tcPr>
          <w:p w14:paraId="7C70535F">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505F61F">
            <w:pPr>
              <w:widowControl/>
              <w:rPr>
                <w:rFonts w:ascii="宋体" w:hAnsi="宋体"/>
                <w:color w:val="auto"/>
                <w:kern w:val="0"/>
                <w:sz w:val="22"/>
                <w:szCs w:val="22"/>
              </w:rPr>
            </w:pPr>
            <w:r>
              <w:rPr>
                <w:rFonts w:hint="eastAsia" w:ascii="宋体" w:hAnsi="宋体"/>
                <w:color w:val="auto"/>
                <w:kern w:val="0"/>
                <w:sz w:val="22"/>
                <w:szCs w:val="22"/>
              </w:rPr>
              <w:t>▲环境条件要求的冲击适应性</w:t>
            </w:r>
          </w:p>
        </w:tc>
        <w:tc>
          <w:tcPr>
            <w:tcW w:w="2740" w:type="pct"/>
            <w:tcBorders>
              <w:top w:val="single" w:color="auto" w:sz="4" w:space="0"/>
              <w:left w:val="single" w:color="auto" w:sz="4" w:space="0"/>
              <w:bottom w:val="single" w:color="auto" w:sz="4" w:space="0"/>
              <w:right w:val="single" w:color="auto" w:sz="4" w:space="0"/>
            </w:tcBorders>
          </w:tcPr>
          <w:p w14:paraId="58FE7394">
            <w:pPr>
              <w:widowControl/>
              <w:rPr>
                <w:rFonts w:ascii="宋体" w:hAnsi="宋体"/>
                <w:color w:val="auto"/>
                <w:kern w:val="0"/>
                <w:sz w:val="22"/>
                <w:szCs w:val="22"/>
              </w:rPr>
            </w:pPr>
            <w:r>
              <w:rPr>
                <w:rFonts w:hint="eastAsia" w:ascii="宋体" w:hAnsi="宋体"/>
                <w:color w:val="auto"/>
                <w:kern w:val="0"/>
                <w:sz w:val="22"/>
                <w:szCs w:val="22"/>
              </w:rPr>
              <w:t>符合GB/T9813.1中规定</w:t>
            </w:r>
          </w:p>
        </w:tc>
      </w:tr>
      <w:tr w14:paraId="431A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3CA24387">
            <w:pPr>
              <w:widowControl/>
              <w:rPr>
                <w:rFonts w:ascii="宋体" w:hAnsi="宋体"/>
                <w:color w:val="auto"/>
                <w:kern w:val="0"/>
                <w:sz w:val="22"/>
                <w:szCs w:val="22"/>
              </w:rPr>
            </w:pPr>
            <w:r>
              <w:rPr>
                <w:rFonts w:hint="eastAsia" w:ascii="宋体" w:hAnsi="宋体"/>
                <w:color w:val="auto"/>
                <w:kern w:val="0"/>
                <w:sz w:val="22"/>
                <w:szCs w:val="22"/>
              </w:rPr>
              <w:t>159</w:t>
            </w:r>
          </w:p>
        </w:tc>
        <w:tc>
          <w:tcPr>
            <w:tcW w:w="0" w:type="auto"/>
            <w:vMerge w:val="continue"/>
            <w:tcBorders>
              <w:top w:val="nil"/>
              <w:left w:val="single" w:color="auto" w:sz="4" w:space="0"/>
              <w:bottom w:val="single" w:color="auto" w:sz="4" w:space="0"/>
              <w:right w:val="single" w:color="auto" w:sz="4" w:space="0"/>
            </w:tcBorders>
            <w:vAlign w:val="center"/>
          </w:tcPr>
          <w:p w14:paraId="7788833A">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B26D263">
            <w:pPr>
              <w:widowControl/>
              <w:rPr>
                <w:rFonts w:ascii="宋体" w:hAnsi="宋体"/>
                <w:color w:val="auto"/>
                <w:kern w:val="0"/>
                <w:sz w:val="22"/>
                <w:szCs w:val="22"/>
              </w:rPr>
            </w:pPr>
            <w:r>
              <w:rPr>
                <w:rFonts w:hint="eastAsia" w:ascii="宋体" w:hAnsi="宋体"/>
                <w:color w:val="auto"/>
                <w:kern w:val="0"/>
                <w:sz w:val="22"/>
                <w:szCs w:val="22"/>
              </w:rPr>
              <w:t xml:space="preserve"> ▲环境条件要求的碰撞适应性</w:t>
            </w:r>
          </w:p>
        </w:tc>
        <w:tc>
          <w:tcPr>
            <w:tcW w:w="2740" w:type="pct"/>
            <w:tcBorders>
              <w:top w:val="single" w:color="auto" w:sz="4" w:space="0"/>
              <w:left w:val="single" w:color="auto" w:sz="4" w:space="0"/>
              <w:bottom w:val="single" w:color="auto" w:sz="4" w:space="0"/>
              <w:right w:val="single" w:color="auto" w:sz="4" w:space="0"/>
            </w:tcBorders>
          </w:tcPr>
          <w:p w14:paraId="3360A95D">
            <w:pPr>
              <w:widowControl/>
              <w:rPr>
                <w:rFonts w:ascii="宋体" w:hAnsi="宋体"/>
                <w:color w:val="auto"/>
                <w:kern w:val="0"/>
                <w:sz w:val="22"/>
                <w:szCs w:val="22"/>
              </w:rPr>
            </w:pPr>
            <w:r>
              <w:rPr>
                <w:rFonts w:hint="eastAsia" w:ascii="宋体" w:hAnsi="宋体"/>
                <w:color w:val="auto"/>
                <w:kern w:val="0"/>
                <w:sz w:val="22"/>
                <w:szCs w:val="22"/>
              </w:rPr>
              <w:t>符合GB/T9813.1中规定</w:t>
            </w:r>
          </w:p>
        </w:tc>
      </w:tr>
      <w:tr w14:paraId="06BB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6D9FEB57">
            <w:pPr>
              <w:widowControl/>
              <w:rPr>
                <w:rFonts w:ascii="宋体" w:hAnsi="宋体"/>
                <w:color w:val="auto"/>
                <w:kern w:val="0"/>
                <w:sz w:val="22"/>
                <w:szCs w:val="22"/>
              </w:rPr>
            </w:pPr>
            <w:r>
              <w:rPr>
                <w:rFonts w:hint="eastAsia" w:ascii="宋体" w:hAnsi="宋体"/>
                <w:color w:val="auto"/>
                <w:kern w:val="0"/>
                <w:sz w:val="22"/>
                <w:szCs w:val="22"/>
              </w:rPr>
              <w:t>160</w:t>
            </w:r>
          </w:p>
        </w:tc>
        <w:tc>
          <w:tcPr>
            <w:tcW w:w="0" w:type="auto"/>
            <w:vMerge w:val="continue"/>
            <w:tcBorders>
              <w:top w:val="nil"/>
              <w:left w:val="single" w:color="auto" w:sz="4" w:space="0"/>
              <w:bottom w:val="single" w:color="auto" w:sz="4" w:space="0"/>
              <w:right w:val="single" w:color="auto" w:sz="4" w:space="0"/>
            </w:tcBorders>
            <w:vAlign w:val="center"/>
          </w:tcPr>
          <w:p w14:paraId="51D6410A">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56CCA354">
            <w:pPr>
              <w:widowControl/>
              <w:rPr>
                <w:rFonts w:ascii="宋体" w:hAnsi="宋体"/>
                <w:color w:val="auto"/>
                <w:kern w:val="0"/>
                <w:sz w:val="22"/>
                <w:szCs w:val="22"/>
              </w:rPr>
            </w:pPr>
            <w:r>
              <w:rPr>
                <w:rFonts w:hint="eastAsia" w:ascii="宋体" w:hAnsi="宋体"/>
                <w:color w:val="auto"/>
                <w:kern w:val="0"/>
                <w:sz w:val="22"/>
                <w:szCs w:val="22"/>
              </w:rPr>
              <w:t xml:space="preserve"> ▲环境条件要求的运输包装件跌落适应性</w:t>
            </w:r>
          </w:p>
        </w:tc>
        <w:tc>
          <w:tcPr>
            <w:tcW w:w="2740" w:type="pct"/>
            <w:tcBorders>
              <w:top w:val="single" w:color="auto" w:sz="4" w:space="0"/>
              <w:left w:val="single" w:color="auto" w:sz="4" w:space="0"/>
              <w:bottom w:val="single" w:color="auto" w:sz="4" w:space="0"/>
              <w:right w:val="single" w:color="auto" w:sz="4" w:space="0"/>
            </w:tcBorders>
          </w:tcPr>
          <w:p w14:paraId="0FF06FCF">
            <w:pPr>
              <w:widowControl/>
              <w:rPr>
                <w:rFonts w:ascii="宋体" w:hAnsi="宋体"/>
                <w:color w:val="auto"/>
                <w:kern w:val="0"/>
                <w:sz w:val="22"/>
                <w:szCs w:val="22"/>
              </w:rPr>
            </w:pPr>
            <w:r>
              <w:rPr>
                <w:rFonts w:hint="eastAsia" w:ascii="宋体" w:hAnsi="宋体"/>
                <w:color w:val="auto"/>
                <w:kern w:val="0"/>
                <w:sz w:val="22"/>
                <w:szCs w:val="22"/>
              </w:rPr>
              <w:t>符合GB/T9813.1中规定</w:t>
            </w:r>
          </w:p>
        </w:tc>
      </w:tr>
      <w:tr w14:paraId="4021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10850675">
            <w:pPr>
              <w:widowControl/>
              <w:rPr>
                <w:rFonts w:ascii="宋体" w:hAnsi="宋体"/>
                <w:color w:val="auto"/>
                <w:kern w:val="0"/>
                <w:sz w:val="22"/>
                <w:szCs w:val="22"/>
              </w:rPr>
            </w:pPr>
            <w:r>
              <w:rPr>
                <w:rFonts w:hint="eastAsia" w:ascii="宋体" w:hAnsi="宋体"/>
                <w:color w:val="auto"/>
                <w:kern w:val="0"/>
                <w:sz w:val="22"/>
                <w:szCs w:val="22"/>
              </w:rPr>
              <w:t>161</w:t>
            </w:r>
          </w:p>
        </w:tc>
        <w:tc>
          <w:tcPr>
            <w:tcW w:w="0" w:type="auto"/>
            <w:vMerge w:val="continue"/>
            <w:tcBorders>
              <w:top w:val="nil"/>
              <w:left w:val="single" w:color="auto" w:sz="4" w:space="0"/>
              <w:bottom w:val="single" w:color="auto" w:sz="4" w:space="0"/>
              <w:right w:val="single" w:color="auto" w:sz="4" w:space="0"/>
            </w:tcBorders>
            <w:vAlign w:val="center"/>
          </w:tcPr>
          <w:p w14:paraId="053BE589">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24335AF8">
            <w:pPr>
              <w:widowControl/>
              <w:rPr>
                <w:rFonts w:ascii="宋体" w:hAnsi="宋体"/>
                <w:color w:val="auto"/>
                <w:kern w:val="0"/>
                <w:sz w:val="22"/>
                <w:szCs w:val="22"/>
              </w:rPr>
            </w:pPr>
            <w:r>
              <w:rPr>
                <w:rFonts w:hint="eastAsia" w:ascii="宋体" w:hAnsi="宋体"/>
                <w:color w:val="auto"/>
                <w:kern w:val="0"/>
                <w:sz w:val="22"/>
                <w:szCs w:val="22"/>
              </w:rPr>
              <w:t xml:space="preserve"> ▲MTBF测试</w:t>
            </w:r>
          </w:p>
        </w:tc>
        <w:tc>
          <w:tcPr>
            <w:tcW w:w="2740" w:type="pct"/>
            <w:tcBorders>
              <w:top w:val="single" w:color="auto" w:sz="4" w:space="0"/>
              <w:left w:val="single" w:color="auto" w:sz="4" w:space="0"/>
              <w:bottom w:val="single" w:color="auto" w:sz="4" w:space="0"/>
              <w:right w:val="single" w:color="auto" w:sz="4" w:space="0"/>
            </w:tcBorders>
          </w:tcPr>
          <w:p w14:paraId="33C1B4ED">
            <w:pPr>
              <w:widowControl/>
              <w:rPr>
                <w:rFonts w:ascii="宋体" w:hAnsi="宋体"/>
                <w:color w:val="auto"/>
                <w:kern w:val="0"/>
                <w:sz w:val="22"/>
                <w:szCs w:val="22"/>
              </w:rPr>
            </w:pPr>
            <w:r>
              <w:rPr>
                <w:rFonts w:hint="eastAsia" w:ascii="宋体" w:hAnsi="宋体"/>
                <w:color w:val="auto"/>
                <w:kern w:val="0"/>
                <w:sz w:val="22"/>
                <w:szCs w:val="22"/>
              </w:rPr>
              <w:t>MTBF(m1)≥3 万小时</w:t>
            </w:r>
          </w:p>
        </w:tc>
      </w:tr>
      <w:tr w14:paraId="493C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09445B29">
            <w:pPr>
              <w:widowControl/>
              <w:rPr>
                <w:rFonts w:ascii="宋体" w:hAnsi="宋体"/>
                <w:color w:val="auto"/>
                <w:kern w:val="0"/>
                <w:sz w:val="22"/>
                <w:szCs w:val="22"/>
              </w:rPr>
            </w:pPr>
            <w:r>
              <w:rPr>
                <w:rFonts w:hint="eastAsia" w:ascii="宋体" w:hAnsi="宋体"/>
                <w:color w:val="auto"/>
                <w:kern w:val="0"/>
                <w:sz w:val="22"/>
                <w:szCs w:val="22"/>
              </w:rPr>
              <w:t>162</w:t>
            </w:r>
          </w:p>
        </w:tc>
        <w:tc>
          <w:tcPr>
            <w:tcW w:w="555" w:type="pct"/>
            <w:vMerge w:val="restart"/>
            <w:tcBorders>
              <w:top w:val="nil"/>
              <w:left w:val="single" w:color="auto" w:sz="4" w:space="0"/>
              <w:bottom w:val="single" w:color="auto" w:sz="4" w:space="0"/>
              <w:right w:val="single" w:color="auto" w:sz="4" w:space="0"/>
            </w:tcBorders>
            <w:vAlign w:val="center"/>
          </w:tcPr>
          <w:p w14:paraId="1C7E3C0B">
            <w:pPr>
              <w:widowControl/>
              <w:rPr>
                <w:rFonts w:ascii="宋体" w:hAnsi="宋体"/>
                <w:color w:val="auto"/>
                <w:kern w:val="0"/>
                <w:sz w:val="22"/>
                <w:szCs w:val="22"/>
              </w:rPr>
            </w:pPr>
            <w:r>
              <w:rPr>
                <w:rFonts w:hint="eastAsia" w:ascii="宋体" w:hAnsi="宋体"/>
                <w:color w:val="auto"/>
                <w:kern w:val="0"/>
                <w:sz w:val="22"/>
                <w:szCs w:val="22"/>
              </w:rPr>
              <w:t>▲兼容要求</w:t>
            </w:r>
          </w:p>
        </w:tc>
        <w:tc>
          <w:tcPr>
            <w:tcW w:w="1356" w:type="pct"/>
            <w:tcBorders>
              <w:top w:val="single" w:color="auto" w:sz="4" w:space="0"/>
              <w:left w:val="single" w:color="auto" w:sz="4" w:space="0"/>
              <w:bottom w:val="single" w:color="auto" w:sz="4" w:space="0"/>
              <w:right w:val="single" w:color="auto" w:sz="4" w:space="0"/>
            </w:tcBorders>
          </w:tcPr>
          <w:p w14:paraId="2CB363A3">
            <w:pPr>
              <w:widowControl/>
              <w:rPr>
                <w:rFonts w:ascii="宋体" w:hAnsi="宋体"/>
                <w:color w:val="auto"/>
                <w:kern w:val="0"/>
                <w:sz w:val="22"/>
                <w:szCs w:val="22"/>
              </w:rPr>
            </w:pPr>
            <w:r>
              <w:rPr>
                <w:rFonts w:hint="eastAsia" w:ascii="宋体" w:hAnsi="宋体"/>
                <w:color w:val="auto"/>
                <w:kern w:val="0"/>
                <w:sz w:val="22"/>
                <w:szCs w:val="22"/>
              </w:rPr>
              <w:t>▲常用软件兼容</w:t>
            </w:r>
          </w:p>
        </w:tc>
        <w:tc>
          <w:tcPr>
            <w:tcW w:w="2740" w:type="pct"/>
            <w:tcBorders>
              <w:top w:val="single" w:color="auto" w:sz="4" w:space="0"/>
              <w:left w:val="single" w:color="auto" w:sz="4" w:space="0"/>
              <w:bottom w:val="single" w:color="auto" w:sz="4" w:space="0"/>
              <w:right w:val="single" w:color="auto" w:sz="4" w:space="0"/>
            </w:tcBorders>
          </w:tcPr>
          <w:p w14:paraId="0A7F6740">
            <w:pPr>
              <w:widowControl/>
              <w:rPr>
                <w:rFonts w:ascii="宋体" w:hAnsi="宋体"/>
                <w:color w:val="auto"/>
                <w:kern w:val="0"/>
                <w:sz w:val="22"/>
                <w:szCs w:val="22"/>
              </w:rPr>
            </w:pPr>
            <w:r>
              <w:rPr>
                <w:rFonts w:hint="eastAsia" w:ascii="宋体" w:hAnsi="宋体"/>
                <w:color w:val="auto"/>
                <w:kern w:val="0"/>
                <w:sz w:val="22"/>
                <w:szCs w:val="22"/>
              </w:rPr>
              <w:t>支持流式软件、版式软件、浏览器、邮件采购人端、解压软件、多媒体、图形图像处理等常用软件</w:t>
            </w:r>
          </w:p>
        </w:tc>
      </w:tr>
      <w:tr w14:paraId="654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4B50F012">
            <w:pPr>
              <w:widowControl/>
              <w:rPr>
                <w:rFonts w:ascii="宋体" w:hAnsi="宋体"/>
                <w:color w:val="auto"/>
                <w:kern w:val="0"/>
                <w:sz w:val="22"/>
                <w:szCs w:val="22"/>
              </w:rPr>
            </w:pPr>
            <w:r>
              <w:rPr>
                <w:rFonts w:hint="eastAsia" w:ascii="宋体" w:hAnsi="宋体"/>
                <w:color w:val="auto"/>
                <w:kern w:val="0"/>
                <w:sz w:val="22"/>
                <w:szCs w:val="22"/>
              </w:rPr>
              <w:t>163</w:t>
            </w:r>
          </w:p>
        </w:tc>
        <w:tc>
          <w:tcPr>
            <w:tcW w:w="0" w:type="auto"/>
            <w:vMerge w:val="continue"/>
            <w:tcBorders>
              <w:top w:val="nil"/>
              <w:left w:val="single" w:color="auto" w:sz="4" w:space="0"/>
              <w:bottom w:val="single" w:color="auto" w:sz="4" w:space="0"/>
              <w:right w:val="single" w:color="auto" w:sz="4" w:space="0"/>
            </w:tcBorders>
            <w:vAlign w:val="center"/>
          </w:tcPr>
          <w:p w14:paraId="29FE75B7">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20C4DB13">
            <w:pPr>
              <w:widowControl/>
              <w:rPr>
                <w:rFonts w:ascii="宋体" w:hAnsi="宋体"/>
                <w:color w:val="auto"/>
                <w:kern w:val="0"/>
                <w:sz w:val="22"/>
                <w:szCs w:val="22"/>
              </w:rPr>
            </w:pPr>
            <w:r>
              <w:rPr>
                <w:rFonts w:hint="eastAsia" w:ascii="宋体" w:hAnsi="宋体"/>
                <w:color w:val="auto"/>
                <w:kern w:val="0"/>
                <w:sz w:val="22"/>
                <w:szCs w:val="22"/>
              </w:rPr>
              <w:t>▲数据库兼容</w:t>
            </w:r>
          </w:p>
        </w:tc>
        <w:tc>
          <w:tcPr>
            <w:tcW w:w="2740" w:type="pct"/>
            <w:tcBorders>
              <w:top w:val="single" w:color="auto" w:sz="4" w:space="0"/>
              <w:left w:val="single" w:color="auto" w:sz="4" w:space="0"/>
              <w:bottom w:val="single" w:color="auto" w:sz="4" w:space="0"/>
              <w:right w:val="single" w:color="auto" w:sz="4" w:space="0"/>
            </w:tcBorders>
          </w:tcPr>
          <w:p w14:paraId="75ECC46A">
            <w:pPr>
              <w:widowControl/>
              <w:rPr>
                <w:rFonts w:ascii="宋体" w:hAnsi="宋体"/>
                <w:color w:val="auto"/>
                <w:kern w:val="0"/>
                <w:sz w:val="22"/>
                <w:szCs w:val="22"/>
              </w:rPr>
            </w:pPr>
            <w:r>
              <w:rPr>
                <w:rFonts w:hint="eastAsia" w:ascii="宋体" w:hAnsi="宋体"/>
                <w:color w:val="auto"/>
                <w:kern w:val="0"/>
                <w:sz w:val="22"/>
                <w:szCs w:val="22"/>
              </w:rPr>
              <w:t>兼容3个及以上厂商的数据库产品</w:t>
            </w:r>
          </w:p>
        </w:tc>
      </w:tr>
      <w:tr w14:paraId="5C49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60561EF7">
            <w:pPr>
              <w:widowControl/>
              <w:rPr>
                <w:rFonts w:ascii="宋体" w:hAnsi="宋体"/>
                <w:color w:val="auto"/>
                <w:kern w:val="0"/>
                <w:sz w:val="22"/>
                <w:szCs w:val="22"/>
              </w:rPr>
            </w:pPr>
            <w:r>
              <w:rPr>
                <w:rFonts w:hint="eastAsia" w:ascii="宋体" w:hAnsi="宋体"/>
                <w:color w:val="auto"/>
                <w:kern w:val="0"/>
                <w:sz w:val="22"/>
                <w:szCs w:val="22"/>
              </w:rPr>
              <w:t>164</w:t>
            </w:r>
          </w:p>
        </w:tc>
        <w:tc>
          <w:tcPr>
            <w:tcW w:w="0" w:type="auto"/>
            <w:vMerge w:val="continue"/>
            <w:tcBorders>
              <w:top w:val="nil"/>
              <w:left w:val="single" w:color="auto" w:sz="4" w:space="0"/>
              <w:bottom w:val="single" w:color="auto" w:sz="4" w:space="0"/>
              <w:right w:val="single" w:color="auto" w:sz="4" w:space="0"/>
            </w:tcBorders>
            <w:vAlign w:val="center"/>
          </w:tcPr>
          <w:p w14:paraId="396C267C">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6187E13">
            <w:pPr>
              <w:widowControl/>
              <w:rPr>
                <w:rFonts w:ascii="宋体" w:hAnsi="宋体"/>
                <w:color w:val="auto"/>
                <w:kern w:val="0"/>
                <w:sz w:val="22"/>
                <w:szCs w:val="22"/>
              </w:rPr>
            </w:pPr>
            <w:r>
              <w:rPr>
                <w:rFonts w:hint="eastAsia" w:ascii="宋体" w:hAnsi="宋体"/>
                <w:color w:val="auto"/>
                <w:kern w:val="0"/>
                <w:sz w:val="22"/>
                <w:szCs w:val="22"/>
              </w:rPr>
              <w:t>▲中间件兼容</w:t>
            </w:r>
          </w:p>
        </w:tc>
        <w:tc>
          <w:tcPr>
            <w:tcW w:w="2740" w:type="pct"/>
            <w:tcBorders>
              <w:top w:val="single" w:color="auto" w:sz="4" w:space="0"/>
              <w:left w:val="single" w:color="auto" w:sz="4" w:space="0"/>
              <w:bottom w:val="single" w:color="auto" w:sz="4" w:space="0"/>
              <w:right w:val="single" w:color="auto" w:sz="4" w:space="0"/>
            </w:tcBorders>
          </w:tcPr>
          <w:p w14:paraId="2192B0B0">
            <w:pPr>
              <w:widowControl/>
              <w:rPr>
                <w:rFonts w:ascii="宋体" w:hAnsi="宋体"/>
                <w:color w:val="auto"/>
                <w:kern w:val="0"/>
                <w:sz w:val="22"/>
                <w:szCs w:val="22"/>
              </w:rPr>
            </w:pPr>
            <w:r>
              <w:rPr>
                <w:rFonts w:hint="eastAsia" w:ascii="宋体" w:hAnsi="宋体"/>
                <w:color w:val="auto"/>
                <w:kern w:val="0"/>
                <w:sz w:val="22"/>
                <w:szCs w:val="22"/>
              </w:rPr>
              <w:t>兼容3个及以上厂商中间件产品</w:t>
            </w:r>
          </w:p>
        </w:tc>
      </w:tr>
      <w:tr w14:paraId="6AAE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7566079A">
            <w:pPr>
              <w:widowControl/>
              <w:rPr>
                <w:rFonts w:ascii="宋体" w:hAnsi="宋体"/>
                <w:color w:val="auto"/>
                <w:kern w:val="0"/>
                <w:sz w:val="22"/>
                <w:szCs w:val="22"/>
              </w:rPr>
            </w:pPr>
            <w:r>
              <w:rPr>
                <w:rFonts w:hint="eastAsia" w:ascii="宋体" w:hAnsi="宋体"/>
                <w:color w:val="auto"/>
                <w:kern w:val="0"/>
                <w:sz w:val="22"/>
                <w:szCs w:val="22"/>
              </w:rPr>
              <w:t>165</w:t>
            </w:r>
          </w:p>
        </w:tc>
        <w:tc>
          <w:tcPr>
            <w:tcW w:w="0" w:type="auto"/>
            <w:vMerge w:val="continue"/>
            <w:tcBorders>
              <w:top w:val="nil"/>
              <w:left w:val="single" w:color="auto" w:sz="4" w:space="0"/>
              <w:bottom w:val="single" w:color="auto" w:sz="4" w:space="0"/>
              <w:right w:val="single" w:color="auto" w:sz="4" w:space="0"/>
            </w:tcBorders>
            <w:vAlign w:val="center"/>
          </w:tcPr>
          <w:p w14:paraId="5ADC53AD">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563F702B">
            <w:pPr>
              <w:widowControl/>
              <w:rPr>
                <w:rFonts w:ascii="宋体" w:hAnsi="宋体"/>
                <w:color w:val="auto"/>
                <w:kern w:val="0"/>
                <w:sz w:val="22"/>
                <w:szCs w:val="22"/>
              </w:rPr>
            </w:pPr>
            <w:r>
              <w:rPr>
                <w:rFonts w:hint="eastAsia" w:ascii="宋体" w:hAnsi="宋体"/>
                <w:color w:val="auto"/>
                <w:kern w:val="0"/>
                <w:sz w:val="22"/>
                <w:szCs w:val="22"/>
              </w:rPr>
              <w:t>▲平台软件兼容</w:t>
            </w:r>
          </w:p>
        </w:tc>
        <w:tc>
          <w:tcPr>
            <w:tcW w:w="2740" w:type="pct"/>
            <w:tcBorders>
              <w:top w:val="single" w:color="auto" w:sz="4" w:space="0"/>
              <w:left w:val="single" w:color="auto" w:sz="4" w:space="0"/>
              <w:bottom w:val="single" w:color="auto" w:sz="4" w:space="0"/>
              <w:right w:val="single" w:color="auto" w:sz="4" w:space="0"/>
            </w:tcBorders>
          </w:tcPr>
          <w:p w14:paraId="06621EAC">
            <w:pPr>
              <w:widowControl/>
              <w:rPr>
                <w:rFonts w:ascii="宋体" w:hAnsi="宋体"/>
                <w:color w:val="auto"/>
                <w:kern w:val="0"/>
                <w:sz w:val="22"/>
                <w:szCs w:val="22"/>
              </w:rPr>
            </w:pPr>
            <w:r>
              <w:rPr>
                <w:rFonts w:hint="eastAsia" w:ascii="宋体" w:hAnsi="宋体"/>
                <w:color w:val="auto"/>
                <w:kern w:val="0"/>
                <w:sz w:val="22"/>
                <w:szCs w:val="22"/>
              </w:rPr>
              <w:t>兼容3个及以上厂商云计算及大数据平台</w:t>
            </w:r>
          </w:p>
        </w:tc>
      </w:tr>
      <w:tr w14:paraId="5021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0A3C2D0A">
            <w:pPr>
              <w:widowControl/>
              <w:rPr>
                <w:rFonts w:ascii="宋体" w:hAnsi="宋体"/>
                <w:color w:val="auto"/>
                <w:kern w:val="0"/>
                <w:sz w:val="22"/>
                <w:szCs w:val="22"/>
              </w:rPr>
            </w:pPr>
            <w:r>
              <w:rPr>
                <w:rFonts w:hint="eastAsia" w:ascii="宋体" w:hAnsi="宋体"/>
                <w:color w:val="auto"/>
                <w:kern w:val="0"/>
                <w:sz w:val="22"/>
                <w:szCs w:val="22"/>
              </w:rPr>
              <w:t>166</w:t>
            </w:r>
          </w:p>
        </w:tc>
        <w:tc>
          <w:tcPr>
            <w:tcW w:w="555" w:type="pct"/>
            <w:tcBorders>
              <w:top w:val="single" w:color="auto" w:sz="4" w:space="0"/>
              <w:left w:val="single" w:color="auto" w:sz="4" w:space="0"/>
              <w:bottom w:val="single" w:color="auto" w:sz="4" w:space="0"/>
              <w:right w:val="single" w:color="auto" w:sz="4" w:space="0"/>
            </w:tcBorders>
            <w:vAlign w:val="center"/>
          </w:tcPr>
          <w:p w14:paraId="543C5451">
            <w:pPr>
              <w:widowControl/>
              <w:rPr>
                <w:rFonts w:ascii="宋体" w:hAnsi="宋体"/>
                <w:color w:val="auto"/>
                <w:kern w:val="0"/>
                <w:sz w:val="22"/>
                <w:szCs w:val="22"/>
              </w:rPr>
            </w:pPr>
            <w:r>
              <w:rPr>
                <w:rFonts w:hint="eastAsia" w:ascii="宋体" w:hAnsi="宋体"/>
                <w:color w:val="auto"/>
                <w:kern w:val="0"/>
                <w:sz w:val="22"/>
                <w:szCs w:val="22"/>
              </w:rPr>
              <w:t>▲包装及运输要求</w:t>
            </w:r>
          </w:p>
        </w:tc>
        <w:tc>
          <w:tcPr>
            <w:tcW w:w="1356" w:type="pct"/>
            <w:tcBorders>
              <w:top w:val="single" w:color="auto" w:sz="4" w:space="0"/>
              <w:left w:val="single" w:color="auto" w:sz="4" w:space="0"/>
              <w:bottom w:val="single" w:color="auto" w:sz="4" w:space="0"/>
              <w:right w:val="single" w:color="auto" w:sz="4" w:space="0"/>
            </w:tcBorders>
          </w:tcPr>
          <w:p w14:paraId="65D67EBE">
            <w:pPr>
              <w:widowControl/>
              <w:rPr>
                <w:rFonts w:ascii="宋体" w:hAnsi="宋体"/>
                <w:color w:val="auto"/>
                <w:kern w:val="0"/>
                <w:sz w:val="22"/>
                <w:szCs w:val="22"/>
              </w:rPr>
            </w:pPr>
            <w:r>
              <w:rPr>
                <w:rFonts w:hint="eastAsia" w:ascii="宋体" w:hAnsi="宋体"/>
                <w:color w:val="auto"/>
                <w:kern w:val="0"/>
                <w:sz w:val="22"/>
                <w:szCs w:val="22"/>
              </w:rPr>
              <w:t>▲标志、包装、运输和贮存</w:t>
            </w:r>
          </w:p>
        </w:tc>
        <w:tc>
          <w:tcPr>
            <w:tcW w:w="2740" w:type="pct"/>
            <w:tcBorders>
              <w:top w:val="single" w:color="auto" w:sz="4" w:space="0"/>
              <w:left w:val="single" w:color="auto" w:sz="4" w:space="0"/>
              <w:bottom w:val="single" w:color="auto" w:sz="4" w:space="0"/>
              <w:right w:val="single" w:color="auto" w:sz="4" w:space="0"/>
            </w:tcBorders>
          </w:tcPr>
          <w:p w14:paraId="784B79FE">
            <w:pPr>
              <w:widowControl/>
              <w:rPr>
                <w:rFonts w:ascii="宋体" w:hAnsi="宋体"/>
                <w:color w:val="auto"/>
                <w:kern w:val="0"/>
                <w:sz w:val="22"/>
                <w:szCs w:val="22"/>
              </w:rPr>
            </w:pPr>
            <w:r>
              <w:rPr>
                <w:rFonts w:hint="eastAsia" w:ascii="宋体" w:hAnsi="宋体"/>
                <w:color w:val="auto"/>
                <w:kern w:val="0"/>
                <w:sz w:val="22"/>
                <w:szCs w:val="22"/>
              </w:rPr>
              <w:t>符合GB/T 9813.1和商品包装政府采购需求标准的相关规定</w:t>
            </w:r>
          </w:p>
        </w:tc>
      </w:tr>
      <w:tr w14:paraId="7944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2F709AD6">
            <w:pPr>
              <w:widowControl/>
              <w:rPr>
                <w:rFonts w:ascii="宋体" w:hAnsi="宋体"/>
                <w:color w:val="auto"/>
                <w:kern w:val="0"/>
                <w:sz w:val="22"/>
                <w:szCs w:val="22"/>
              </w:rPr>
            </w:pPr>
            <w:r>
              <w:rPr>
                <w:rFonts w:hint="eastAsia" w:ascii="宋体" w:hAnsi="宋体"/>
                <w:color w:val="auto"/>
                <w:kern w:val="0"/>
                <w:sz w:val="22"/>
                <w:szCs w:val="22"/>
              </w:rPr>
              <w:t>167</w:t>
            </w:r>
          </w:p>
        </w:tc>
        <w:tc>
          <w:tcPr>
            <w:tcW w:w="555" w:type="pct"/>
            <w:vMerge w:val="restart"/>
            <w:tcBorders>
              <w:top w:val="nil"/>
              <w:left w:val="single" w:color="auto" w:sz="4" w:space="0"/>
              <w:bottom w:val="single" w:color="auto" w:sz="4" w:space="0"/>
              <w:right w:val="single" w:color="auto" w:sz="4" w:space="0"/>
            </w:tcBorders>
            <w:vAlign w:val="center"/>
          </w:tcPr>
          <w:p w14:paraId="31A61BFA">
            <w:pPr>
              <w:widowControl/>
              <w:rPr>
                <w:rFonts w:ascii="宋体" w:hAnsi="宋体"/>
                <w:color w:val="auto"/>
                <w:kern w:val="0"/>
                <w:sz w:val="22"/>
                <w:szCs w:val="22"/>
              </w:rPr>
            </w:pPr>
            <w:r>
              <w:rPr>
                <w:rFonts w:hint="eastAsia" w:ascii="宋体" w:hAnsi="宋体"/>
                <w:color w:val="auto"/>
                <w:kern w:val="0"/>
                <w:sz w:val="22"/>
                <w:szCs w:val="22"/>
              </w:rPr>
              <w:t>▲服务要求</w:t>
            </w:r>
          </w:p>
        </w:tc>
        <w:tc>
          <w:tcPr>
            <w:tcW w:w="1356" w:type="pct"/>
            <w:tcBorders>
              <w:top w:val="single" w:color="auto" w:sz="4" w:space="0"/>
              <w:left w:val="single" w:color="auto" w:sz="4" w:space="0"/>
              <w:bottom w:val="single" w:color="auto" w:sz="4" w:space="0"/>
              <w:right w:val="single" w:color="auto" w:sz="4" w:space="0"/>
            </w:tcBorders>
          </w:tcPr>
          <w:p w14:paraId="68468658">
            <w:pPr>
              <w:widowControl/>
              <w:rPr>
                <w:rFonts w:ascii="宋体" w:hAnsi="宋体"/>
                <w:color w:val="auto"/>
                <w:kern w:val="0"/>
                <w:sz w:val="22"/>
                <w:szCs w:val="22"/>
              </w:rPr>
            </w:pPr>
            <w:r>
              <w:rPr>
                <w:rFonts w:hint="eastAsia" w:ascii="宋体" w:hAnsi="宋体"/>
                <w:color w:val="auto"/>
                <w:kern w:val="0"/>
                <w:sz w:val="22"/>
                <w:szCs w:val="22"/>
              </w:rPr>
              <w:t xml:space="preserve"> ▲配置检查工具</w:t>
            </w:r>
          </w:p>
        </w:tc>
        <w:tc>
          <w:tcPr>
            <w:tcW w:w="2740" w:type="pct"/>
            <w:tcBorders>
              <w:top w:val="single" w:color="auto" w:sz="4" w:space="0"/>
              <w:left w:val="single" w:color="auto" w:sz="4" w:space="0"/>
              <w:bottom w:val="single" w:color="auto" w:sz="4" w:space="0"/>
              <w:right w:val="single" w:color="auto" w:sz="4" w:space="0"/>
            </w:tcBorders>
          </w:tcPr>
          <w:p w14:paraId="5EB0C1F9">
            <w:pPr>
              <w:widowControl/>
              <w:rPr>
                <w:rFonts w:ascii="宋体" w:hAnsi="宋体"/>
                <w:color w:val="auto"/>
                <w:kern w:val="0"/>
                <w:sz w:val="22"/>
                <w:szCs w:val="22"/>
              </w:rPr>
            </w:pPr>
            <w:r>
              <w:rPr>
                <w:rFonts w:hint="eastAsia" w:ascii="宋体" w:hAnsi="宋体"/>
                <w:color w:val="auto"/>
                <w:kern w:val="0"/>
                <w:sz w:val="22"/>
                <w:szCs w:val="22"/>
              </w:rPr>
              <w:t>供应商提供自检测试工具</w:t>
            </w:r>
          </w:p>
        </w:tc>
      </w:tr>
      <w:tr w14:paraId="5E37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47" w:type="pct"/>
            <w:tcBorders>
              <w:top w:val="single" w:color="auto" w:sz="4" w:space="0"/>
              <w:left w:val="single" w:color="auto" w:sz="4" w:space="0"/>
              <w:bottom w:val="single" w:color="auto" w:sz="4" w:space="0"/>
              <w:right w:val="single" w:color="auto" w:sz="4" w:space="0"/>
            </w:tcBorders>
          </w:tcPr>
          <w:p w14:paraId="71D38402">
            <w:pPr>
              <w:widowControl/>
              <w:rPr>
                <w:rFonts w:ascii="宋体" w:hAnsi="宋体"/>
                <w:color w:val="auto"/>
                <w:kern w:val="0"/>
                <w:sz w:val="22"/>
                <w:szCs w:val="22"/>
              </w:rPr>
            </w:pPr>
            <w:r>
              <w:rPr>
                <w:rFonts w:hint="eastAsia" w:ascii="宋体" w:hAnsi="宋体"/>
                <w:color w:val="auto"/>
                <w:kern w:val="0"/>
                <w:sz w:val="22"/>
                <w:szCs w:val="22"/>
              </w:rPr>
              <w:t>168</w:t>
            </w:r>
          </w:p>
        </w:tc>
        <w:tc>
          <w:tcPr>
            <w:tcW w:w="0" w:type="auto"/>
            <w:vMerge w:val="continue"/>
            <w:tcBorders>
              <w:top w:val="nil"/>
              <w:left w:val="single" w:color="auto" w:sz="4" w:space="0"/>
              <w:bottom w:val="single" w:color="auto" w:sz="4" w:space="0"/>
              <w:right w:val="single" w:color="auto" w:sz="4" w:space="0"/>
            </w:tcBorders>
            <w:vAlign w:val="center"/>
          </w:tcPr>
          <w:p w14:paraId="5C722588">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2A05C08">
            <w:pPr>
              <w:widowControl/>
              <w:rPr>
                <w:rFonts w:ascii="宋体" w:hAnsi="宋体"/>
                <w:color w:val="auto"/>
                <w:kern w:val="0"/>
                <w:sz w:val="22"/>
                <w:szCs w:val="22"/>
              </w:rPr>
            </w:pPr>
            <w:r>
              <w:rPr>
                <w:rFonts w:hint="eastAsia" w:ascii="宋体" w:hAnsi="宋体"/>
                <w:color w:val="auto"/>
                <w:kern w:val="0"/>
                <w:sz w:val="22"/>
                <w:szCs w:val="22"/>
              </w:rPr>
              <w:t xml:space="preserve"> ▲服务响应</w:t>
            </w:r>
          </w:p>
        </w:tc>
        <w:tc>
          <w:tcPr>
            <w:tcW w:w="2740" w:type="pct"/>
            <w:tcBorders>
              <w:top w:val="single" w:color="auto" w:sz="4" w:space="0"/>
              <w:left w:val="single" w:color="auto" w:sz="4" w:space="0"/>
              <w:bottom w:val="single" w:color="auto" w:sz="4" w:space="0"/>
              <w:right w:val="single" w:color="auto" w:sz="4" w:space="0"/>
            </w:tcBorders>
          </w:tcPr>
          <w:p w14:paraId="48062743">
            <w:pPr>
              <w:widowControl/>
              <w:rPr>
                <w:rFonts w:ascii="宋体" w:hAnsi="宋体"/>
                <w:color w:val="auto"/>
                <w:kern w:val="0"/>
                <w:sz w:val="22"/>
                <w:szCs w:val="22"/>
              </w:rPr>
            </w:pPr>
            <w:r>
              <w:rPr>
                <w:rFonts w:hint="eastAsia" w:ascii="宋体" w:hAnsi="宋体"/>
                <w:color w:val="auto"/>
                <w:kern w:val="0"/>
                <w:sz w:val="22"/>
                <w:szCs w:val="22"/>
              </w:rPr>
              <w:t>a)供应商提供电话、电子邮件、远程连接等多种形式服务；</w:t>
            </w:r>
            <w:r>
              <w:rPr>
                <w:rFonts w:hint="eastAsia" w:ascii="宋体" w:hAnsi="宋体"/>
                <w:color w:val="auto"/>
                <w:kern w:val="0"/>
                <w:sz w:val="22"/>
                <w:szCs w:val="22"/>
              </w:rPr>
              <w:br w:type="textWrapping"/>
            </w:r>
            <w:r>
              <w:rPr>
                <w:rFonts w:hint="eastAsia" w:ascii="宋体" w:hAnsi="宋体"/>
                <w:color w:val="auto"/>
                <w:kern w:val="0"/>
                <w:sz w:val="22"/>
                <w:szCs w:val="22"/>
              </w:rPr>
              <w:t xml:space="preserve">b)供应商提供同城4h、异地12h技术响应服务，2个工作日解决问题，对于未能解决的问题和故障应提供可行的升级方案，并提供周转设备或更换设备； </w:t>
            </w:r>
            <w:r>
              <w:rPr>
                <w:rFonts w:hint="eastAsia" w:ascii="宋体" w:hAnsi="宋体"/>
                <w:color w:val="auto"/>
                <w:kern w:val="0"/>
                <w:sz w:val="22"/>
                <w:szCs w:val="22"/>
              </w:rPr>
              <w:br w:type="textWrapping"/>
            </w:r>
            <w:r>
              <w:rPr>
                <w:rFonts w:hint="eastAsia" w:ascii="宋体" w:hAnsi="宋体"/>
                <w:color w:val="auto"/>
                <w:kern w:val="0"/>
                <w:sz w:val="22"/>
                <w:szCs w:val="22"/>
              </w:rPr>
              <w:t xml:space="preserve">c)建立全国技术服务体系和服务团体，符合专业服务体系标准要求，提供原厂中文服务； </w:t>
            </w:r>
            <w:r>
              <w:rPr>
                <w:rFonts w:hint="eastAsia" w:ascii="宋体" w:hAnsi="宋体"/>
                <w:color w:val="auto"/>
                <w:kern w:val="0"/>
                <w:sz w:val="22"/>
                <w:szCs w:val="22"/>
              </w:rPr>
              <w:br w:type="textWrapping"/>
            </w:r>
            <w:r>
              <w:rPr>
                <w:rFonts w:hint="eastAsia" w:ascii="宋体" w:hAnsi="宋体"/>
                <w:color w:val="auto"/>
                <w:kern w:val="0"/>
                <w:sz w:val="22"/>
                <w:szCs w:val="22"/>
              </w:rPr>
              <w:t>d)服务周期内提供产品的维修、换件和升级服务</w:t>
            </w:r>
          </w:p>
        </w:tc>
      </w:tr>
      <w:tr w14:paraId="3A17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520E254B">
            <w:pPr>
              <w:widowControl/>
              <w:rPr>
                <w:rFonts w:ascii="宋体" w:hAnsi="宋体"/>
                <w:color w:val="auto"/>
                <w:kern w:val="0"/>
                <w:sz w:val="22"/>
                <w:szCs w:val="22"/>
              </w:rPr>
            </w:pPr>
            <w:r>
              <w:rPr>
                <w:rFonts w:hint="eastAsia" w:ascii="宋体" w:hAnsi="宋体"/>
                <w:color w:val="auto"/>
                <w:kern w:val="0"/>
                <w:sz w:val="22"/>
                <w:szCs w:val="22"/>
              </w:rPr>
              <w:t>169</w:t>
            </w:r>
          </w:p>
        </w:tc>
        <w:tc>
          <w:tcPr>
            <w:tcW w:w="0" w:type="auto"/>
            <w:vMerge w:val="continue"/>
            <w:tcBorders>
              <w:top w:val="nil"/>
              <w:left w:val="single" w:color="auto" w:sz="4" w:space="0"/>
              <w:bottom w:val="single" w:color="auto" w:sz="4" w:space="0"/>
              <w:right w:val="single" w:color="auto" w:sz="4" w:space="0"/>
            </w:tcBorders>
            <w:vAlign w:val="center"/>
          </w:tcPr>
          <w:p w14:paraId="05466A56">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vAlign w:val="center"/>
          </w:tcPr>
          <w:p w14:paraId="1CB954FD">
            <w:pPr>
              <w:widowControl/>
              <w:textAlignment w:val="center"/>
              <w:rPr>
                <w:rFonts w:ascii="宋体" w:hAnsi="宋体"/>
                <w:color w:val="auto"/>
                <w:kern w:val="0"/>
                <w:sz w:val="22"/>
                <w:szCs w:val="22"/>
              </w:rPr>
            </w:pPr>
            <w:r>
              <w:rPr>
                <w:rFonts w:hint="eastAsia" w:ascii="宋体" w:hAnsi="宋体"/>
                <w:color w:val="auto"/>
                <w:kern w:val="0"/>
                <w:sz w:val="22"/>
                <w:szCs w:val="22"/>
              </w:rPr>
              <w:t xml:space="preserve"> ▲服务周期</w:t>
            </w:r>
          </w:p>
        </w:tc>
        <w:tc>
          <w:tcPr>
            <w:tcW w:w="2740" w:type="pct"/>
            <w:tcBorders>
              <w:top w:val="single" w:color="auto" w:sz="4" w:space="0"/>
              <w:left w:val="single" w:color="auto" w:sz="4" w:space="0"/>
              <w:bottom w:val="single" w:color="auto" w:sz="4" w:space="0"/>
              <w:right w:val="single" w:color="auto" w:sz="4" w:space="0"/>
            </w:tcBorders>
            <w:vAlign w:val="center"/>
          </w:tcPr>
          <w:p w14:paraId="39707FD4">
            <w:pPr>
              <w:widowControl/>
              <w:jc w:val="left"/>
              <w:textAlignment w:val="center"/>
              <w:rPr>
                <w:rFonts w:ascii="宋体" w:hAnsi="宋体"/>
                <w:color w:val="auto"/>
                <w:kern w:val="0"/>
                <w:sz w:val="22"/>
                <w:szCs w:val="22"/>
              </w:rPr>
            </w:pPr>
            <w:r>
              <w:rPr>
                <w:rFonts w:hint="eastAsia" w:ascii="宋体" w:hAnsi="宋体"/>
                <w:color w:val="auto"/>
                <w:kern w:val="0"/>
                <w:sz w:val="22"/>
                <w:szCs w:val="22"/>
              </w:rPr>
              <w:t>a) 设备停产后应继续提供质量保障服务（含备品备件），服务终止时间与最后一批设备交付时间间隔不低于 6年；  b) 产品停止服务时间应提前 1 年告知；c) 应明确产品发布日期</w:t>
            </w:r>
          </w:p>
        </w:tc>
      </w:tr>
      <w:tr w14:paraId="7217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065C0C7B">
            <w:pPr>
              <w:widowControl/>
              <w:rPr>
                <w:rFonts w:ascii="宋体" w:hAnsi="宋体"/>
                <w:color w:val="auto"/>
                <w:kern w:val="0"/>
                <w:sz w:val="22"/>
                <w:szCs w:val="22"/>
              </w:rPr>
            </w:pPr>
            <w:r>
              <w:rPr>
                <w:rFonts w:hint="eastAsia" w:ascii="宋体" w:hAnsi="宋体"/>
                <w:color w:val="auto"/>
                <w:kern w:val="0"/>
                <w:sz w:val="22"/>
                <w:szCs w:val="22"/>
              </w:rPr>
              <w:t>170</w:t>
            </w:r>
          </w:p>
        </w:tc>
        <w:tc>
          <w:tcPr>
            <w:tcW w:w="0" w:type="auto"/>
            <w:vMerge w:val="continue"/>
            <w:tcBorders>
              <w:top w:val="nil"/>
              <w:left w:val="single" w:color="auto" w:sz="4" w:space="0"/>
              <w:bottom w:val="single" w:color="auto" w:sz="4" w:space="0"/>
              <w:right w:val="single" w:color="auto" w:sz="4" w:space="0"/>
            </w:tcBorders>
            <w:vAlign w:val="center"/>
          </w:tcPr>
          <w:p w14:paraId="6B0881AC">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D243072">
            <w:pPr>
              <w:widowControl/>
              <w:rPr>
                <w:rFonts w:ascii="宋体" w:hAnsi="宋体"/>
                <w:color w:val="auto"/>
                <w:kern w:val="0"/>
                <w:sz w:val="22"/>
                <w:szCs w:val="22"/>
              </w:rPr>
            </w:pPr>
            <w:r>
              <w:rPr>
                <w:rFonts w:hint="eastAsia" w:ascii="宋体" w:hAnsi="宋体"/>
                <w:color w:val="auto"/>
                <w:kern w:val="0"/>
                <w:sz w:val="22"/>
                <w:szCs w:val="22"/>
              </w:rPr>
              <w:t xml:space="preserve"> ▲预装操作系统</w:t>
            </w:r>
          </w:p>
        </w:tc>
        <w:tc>
          <w:tcPr>
            <w:tcW w:w="2740" w:type="pct"/>
            <w:tcBorders>
              <w:top w:val="single" w:color="auto" w:sz="4" w:space="0"/>
              <w:left w:val="single" w:color="auto" w:sz="4" w:space="0"/>
              <w:bottom w:val="single" w:color="auto" w:sz="4" w:space="0"/>
              <w:right w:val="single" w:color="auto" w:sz="4" w:space="0"/>
            </w:tcBorders>
          </w:tcPr>
          <w:p w14:paraId="1E4CF770">
            <w:pPr>
              <w:widowControl/>
              <w:rPr>
                <w:rFonts w:ascii="宋体" w:hAnsi="宋体"/>
                <w:color w:val="auto"/>
                <w:kern w:val="0"/>
                <w:sz w:val="22"/>
                <w:szCs w:val="22"/>
              </w:rPr>
            </w:pPr>
            <w:r>
              <w:rPr>
                <w:rFonts w:hint="eastAsia" w:ascii="宋体" w:hAnsi="宋体"/>
                <w:color w:val="auto"/>
                <w:kern w:val="0"/>
                <w:sz w:val="22"/>
                <w:szCs w:val="22"/>
              </w:rPr>
              <w:t>预装符合桌面操作系统政府采购需求标准的正版操作系统（windows10 及以上）</w:t>
            </w:r>
          </w:p>
          <w:p w14:paraId="1DCE6C43">
            <w:pPr>
              <w:widowControl/>
              <w:rPr>
                <w:rFonts w:ascii="宋体" w:hAnsi="宋体"/>
                <w:color w:val="auto"/>
                <w:kern w:val="0"/>
                <w:sz w:val="22"/>
                <w:szCs w:val="22"/>
              </w:rPr>
            </w:pPr>
            <w:r>
              <w:rPr>
                <w:rFonts w:hint="eastAsia" w:ascii="宋体" w:hAnsi="宋体"/>
                <w:color w:val="auto"/>
                <w:kern w:val="0"/>
                <w:sz w:val="22"/>
                <w:szCs w:val="22"/>
              </w:rPr>
              <w:t>出厂自带 BIOS 版还原卡，支持系统自动还原、同时支持 GPT 分区和 MBR 分区、自动修改 IP 和计算机名、硬盘保护、网络同传、增量拷贝、断点续传、远程唤醒、远程重启、远程锁定、远程关机、千兆网络传输速度最大可以达到 7GB / 分钟或以上（百兆网络平均传输速度 2GB / 分钟或以上）、支持多硬盘、可以从底层控制 U 盘和光驱等设备的使用；支持加密传输。</w:t>
            </w:r>
          </w:p>
        </w:tc>
      </w:tr>
      <w:tr w14:paraId="681D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057A593D">
            <w:pPr>
              <w:widowControl/>
              <w:rPr>
                <w:rFonts w:ascii="宋体" w:hAnsi="宋体"/>
                <w:color w:val="auto"/>
                <w:kern w:val="0"/>
                <w:sz w:val="22"/>
                <w:szCs w:val="22"/>
              </w:rPr>
            </w:pPr>
            <w:r>
              <w:rPr>
                <w:rFonts w:hint="eastAsia" w:ascii="宋体" w:hAnsi="宋体"/>
                <w:color w:val="auto"/>
                <w:kern w:val="0"/>
                <w:sz w:val="22"/>
                <w:szCs w:val="22"/>
              </w:rPr>
              <w:t>171</w:t>
            </w:r>
          </w:p>
        </w:tc>
        <w:tc>
          <w:tcPr>
            <w:tcW w:w="0" w:type="auto"/>
            <w:vMerge w:val="continue"/>
            <w:tcBorders>
              <w:top w:val="nil"/>
              <w:left w:val="single" w:color="auto" w:sz="4" w:space="0"/>
              <w:bottom w:val="single" w:color="auto" w:sz="4" w:space="0"/>
              <w:right w:val="single" w:color="auto" w:sz="4" w:space="0"/>
            </w:tcBorders>
            <w:vAlign w:val="center"/>
          </w:tcPr>
          <w:p w14:paraId="070CE1B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137FC231">
            <w:pPr>
              <w:widowControl/>
              <w:rPr>
                <w:rFonts w:ascii="宋体" w:hAnsi="宋体"/>
                <w:color w:val="auto"/>
                <w:kern w:val="0"/>
                <w:sz w:val="22"/>
                <w:szCs w:val="22"/>
              </w:rPr>
            </w:pPr>
            <w:r>
              <w:rPr>
                <w:rFonts w:hint="eastAsia" w:ascii="宋体" w:hAnsi="宋体"/>
                <w:color w:val="auto"/>
                <w:kern w:val="0"/>
                <w:sz w:val="22"/>
                <w:szCs w:val="22"/>
              </w:rPr>
              <w:t>▲培训服务</w:t>
            </w:r>
          </w:p>
        </w:tc>
        <w:tc>
          <w:tcPr>
            <w:tcW w:w="2740" w:type="pct"/>
            <w:tcBorders>
              <w:top w:val="single" w:color="auto" w:sz="4" w:space="0"/>
              <w:left w:val="single" w:color="auto" w:sz="4" w:space="0"/>
              <w:bottom w:val="single" w:color="auto" w:sz="4" w:space="0"/>
              <w:right w:val="single" w:color="auto" w:sz="4" w:space="0"/>
            </w:tcBorders>
          </w:tcPr>
          <w:p w14:paraId="0F58A514">
            <w:pPr>
              <w:widowControl/>
              <w:rPr>
                <w:rFonts w:ascii="宋体" w:hAnsi="宋体"/>
                <w:color w:val="auto"/>
                <w:kern w:val="0"/>
                <w:sz w:val="22"/>
                <w:szCs w:val="22"/>
              </w:rPr>
            </w:pPr>
            <w:r>
              <w:rPr>
                <w:rFonts w:hint="eastAsia" w:ascii="宋体" w:hAnsi="宋体"/>
                <w:color w:val="auto"/>
                <w:kern w:val="0"/>
                <w:sz w:val="22"/>
                <w:szCs w:val="22"/>
              </w:rPr>
              <w:t>供应商提供培训材料、产品手册、培训视频等培训相关内容</w:t>
            </w:r>
          </w:p>
        </w:tc>
      </w:tr>
      <w:tr w14:paraId="0E30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375D62E3">
            <w:pPr>
              <w:widowControl/>
              <w:rPr>
                <w:rFonts w:ascii="宋体" w:hAnsi="宋体"/>
                <w:color w:val="auto"/>
                <w:kern w:val="0"/>
                <w:sz w:val="22"/>
                <w:szCs w:val="22"/>
              </w:rPr>
            </w:pPr>
            <w:r>
              <w:rPr>
                <w:rFonts w:hint="eastAsia" w:ascii="宋体" w:hAnsi="宋体"/>
                <w:color w:val="auto"/>
                <w:kern w:val="0"/>
                <w:sz w:val="22"/>
                <w:szCs w:val="22"/>
              </w:rPr>
              <w:t>172</w:t>
            </w:r>
          </w:p>
        </w:tc>
        <w:tc>
          <w:tcPr>
            <w:tcW w:w="0" w:type="auto"/>
            <w:vMerge w:val="continue"/>
            <w:tcBorders>
              <w:top w:val="nil"/>
              <w:left w:val="single" w:color="auto" w:sz="4" w:space="0"/>
              <w:bottom w:val="single" w:color="auto" w:sz="4" w:space="0"/>
              <w:right w:val="single" w:color="auto" w:sz="4" w:space="0"/>
            </w:tcBorders>
            <w:vAlign w:val="center"/>
          </w:tcPr>
          <w:p w14:paraId="38C733EA">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319FDFD">
            <w:pPr>
              <w:widowControl/>
              <w:rPr>
                <w:rFonts w:ascii="宋体" w:hAnsi="宋体"/>
                <w:color w:val="auto"/>
                <w:kern w:val="0"/>
                <w:sz w:val="22"/>
                <w:szCs w:val="22"/>
              </w:rPr>
            </w:pPr>
            <w:r>
              <w:rPr>
                <w:rFonts w:hint="eastAsia" w:ascii="宋体" w:hAnsi="宋体"/>
                <w:color w:val="auto"/>
                <w:kern w:val="0"/>
                <w:sz w:val="22"/>
                <w:szCs w:val="22"/>
              </w:rPr>
              <w:t>▲典型问题解决手册</w:t>
            </w:r>
          </w:p>
        </w:tc>
        <w:tc>
          <w:tcPr>
            <w:tcW w:w="2740" w:type="pct"/>
            <w:tcBorders>
              <w:top w:val="single" w:color="auto" w:sz="4" w:space="0"/>
              <w:left w:val="single" w:color="auto" w:sz="4" w:space="0"/>
              <w:bottom w:val="single" w:color="auto" w:sz="4" w:space="0"/>
              <w:right w:val="single" w:color="auto" w:sz="4" w:space="0"/>
            </w:tcBorders>
          </w:tcPr>
          <w:p w14:paraId="2ECB1350">
            <w:pPr>
              <w:widowControl/>
              <w:rPr>
                <w:rFonts w:ascii="宋体" w:hAnsi="宋体"/>
                <w:color w:val="auto"/>
                <w:kern w:val="0"/>
                <w:sz w:val="22"/>
                <w:szCs w:val="22"/>
              </w:rPr>
            </w:pPr>
            <w:r>
              <w:rPr>
                <w:rFonts w:hint="eastAsia" w:ascii="宋体" w:hAnsi="宋体"/>
                <w:color w:val="auto"/>
                <w:kern w:val="0"/>
                <w:sz w:val="22"/>
                <w:szCs w:val="22"/>
              </w:rPr>
              <w:t>供应商提供典型问题解决说明文档或视频</w:t>
            </w:r>
          </w:p>
        </w:tc>
      </w:tr>
      <w:tr w14:paraId="5F95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47" w:type="pct"/>
            <w:tcBorders>
              <w:top w:val="single" w:color="auto" w:sz="4" w:space="0"/>
              <w:left w:val="single" w:color="auto" w:sz="4" w:space="0"/>
              <w:bottom w:val="single" w:color="auto" w:sz="4" w:space="0"/>
              <w:right w:val="single" w:color="auto" w:sz="4" w:space="0"/>
            </w:tcBorders>
          </w:tcPr>
          <w:p w14:paraId="523BD72D">
            <w:pPr>
              <w:widowControl/>
              <w:rPr>
                <w:rFonts w:ascii="宋体" w:hAnsi="宋体"/>
                <w:color w:val="auto"/>
                <w:kern w:val="0"/>
                <w:sz w:val="22"/>
                <w:szCs w:val="22"/>
              </w:rPr>
            </w:pPr>
            <w:r>
              <w:rPr>
                <w:rFonts w:hint="eastAsia" w:ascii="宋体" w:hAnsi="宋体"/>
                <w:color w:val="auto"/>
                <w:kern w:val="0"/>
                <w:sz w:val="22"/>
                <w:szCs w:val="22"/>
              </w:rPr>
              <w:t>173</w:t>
            </w:r>
          </w:p>
        </w:tc>
        <w:tc>
          <w:tcPr>
            <w:tcW w:w="0" w:type="auto"/>
            <w:vMerge w:val="continue"/>
            <w:tcBorders>
              <w:top w:val="nil"/>
              <w:left w:val="single" w:color="auto" w:sz="4" w:space="0"/>
              <w:bottom w:val="single" w:color="auto" w:sz="4" w:space="0"/>
              <w:right w:val="single" w:color="auto" w:sz="4" w:space="0"/>
            </w:tcBorders>
            <w:vAlign w:val="center"/>
          </w:tcPr>
          <w:p w14:paraId="77E5FA4D">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1966C22A">
            <w:pPr>
              <w:widowControl/>
              <w:rPr>
                <w:rFonts w:ascii="宋体" w:hAnsi="宋体"/>
                <w:color w:val="auto"/>
                <w:kern w:val="0"/>
                <w:sz w:val="22"/>
                <w:szCs w:val="22"/>
              </w:rPr>
            </w:pPr>
            <w:r>
              <w:rPr>
                <w:rFonts w:hint="eastAsia" w:ascii="宋体" w:hAnsi="宋体"/>
                <w:color w:val="auto"/>
                <w:kern w:val="0"/>
                <w:sz w:val="22"/>
                <w:szCs w:val="22"/>
              </w:rPr>
              <w:t>▲厂家升级软件与扩容服务</w:t>
            </w:r>
          </w:p>
        </w:tc>
        <w:tc>
          <w:tcPr>
            <w:tcW w:w="2740" w:type="pct"/>
            <w:tcBorders>
              <w:top w:val="single" w:color="auto" w:sz="4" w:space="0"/>
              <w:left w:val="single" w:color="auto" w:sz="4" w:space="0"/>
              <w:bottom w:val="single" w:color="auto" w:sz="4" w:space="0"/>
              <w:right w:val="single" w:color="auto" w:sz="4" w:space="0"/>
            </w:tcBorders>
          </w:tcPr>
          <w:p w14:paraId="6223FC66">
            <w:pPr>
              <w:widowControl/>
              <w:rPr>
                <w:rFonts w:ascii="宋体" w:hAnsi="宋体"/>
                <w:color w:val="auto"/>
                <w:kern w:val="0"/>
                <w:sz w:val="22"/>
                <w:szCs w:val="22"/>
              </w:rPr>
            </w:pPr>
            <w:r>
              <w:rPr>
                <w:rFonts w:hint="eastAsia" w:ascii="宋体" w:hAnsi="宋体"/>
                <w:color w:val="auto"/>
                <w:kern w:val="0"/>
                <w:sz w:val="22"/>
                <w:szCs w:val="22"/>
              </w:rPr>
              <w:t>供应商提供上门升级部件/软件与扩容的增值服务</w:t>
            </w:r>
          </w:p>
        </w:tc>
      </w:tr>
      <w:tr w14:paraId="29D0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47" w:type="pct"/>
            <w:tcBorders>
              <w:top w:val="single" w:color="auto" w:sz="4" w:space="0"/>
              <w:left w:val="single" w:color="auto" w:sz="4" w:space="0"/>
              <w:bottom w:val="single" w:color="auto" w:sz="4" w:space="0"/>
              <w:right w:val="single" w:color="auto" w:sz="4" w:space="0"/>
            </w:tcBorders>
          </w:tcPr>
          <w:p w14:paraId="491B264F">
            <w:pPr>
              <w:widowControl/>
              <w:rPr>
                <w:rFonts w:ascii="宋体" w:hAnsi="宋体"/>
                <w:color w:val="auto"/>
                <w:kern w:val="0"/>
                <w:sz w:val="22"/>
                <w:szCs w:val="22"/>
              </w:rPr>
            </w:pPr>
            <w:r>
              <w:rPr>
                <w:rFonts w:hint="eastAsia" w:ascii="宋体" w:hAnsi="宋体"/>
                <w:color w:val="auto"/>
                <w:kern w:val="0"/>
                <w:sz w:val="22"/>
                <w:szCs w:val="22"/>
              </w:rPr>
              <w:t>174</w:t>
            </w:r>
          </w:p>
        </w:tc>
        <w:tc>
          <w:tcPr>
            <w:tcW w:w="0" w:type="auto"/>
            <w:vMerge w:val="continue"/>
            <w:tcBorders>
              <w:top w:val="nil"/>
              <w:left w:val="single" w:color="auto" w:sz="4" w:space="0"/>
              <w:bottom w:val="single" w:color="auto" w:sz="4" w:space="0"/>
              <w:right w:val="single" w:color="auto" w:sz="4" w:space="0"/>
            </w:tcBorders>
            <w:vAlign w:val="center"/>
          </w:tcPr>
          <w:p w14:paraId="095F2E48">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1304A5D2">
            <w:pPr>
              <w:widowControl/>
              <w:rPr>
                <w:rFonts w:ascii="宋体" w:hAnsi="宋体"/>
                <w:color w:val="auto"/>
                <w:kern w:val="0"/>
                <w:sz w:val="22"/>
                <w:szCs w:val="22"/>
              </w:rPr>
            </w:pPr>
            <w:r>
              <w:rPr>
                <w:rFonts w:hint="eastAsia" w:ascii="宋体" w:hAnsi="宋体"/>
                <w:color w:val="auto"/>
                <w:kern w:val="0"/>
                <w:sz w:val="22"/>
                <w:szCs w:val="22"/>
              </w:rPr>
              <w:t>▲整机质量服务要求</w:t>
            </w:r>
          </w:p>
        </w:tc>
        <w:tc>
          <w:tcPr>
            <w:tcW w:w="2740" w:type="pct"/>
            <w:tcBorders>
              <w:top w:val="single" w:color="auto" w:sz="4" w:space="0"/>
              <w:left w:val="single" w:color="auto" w:sz="4" w:space="0"/>
              <w:bottom w:val="single" w:color="auto" w:sz="4" w:space="0"/>
              <w:right w:val="single" w:color="auto" w:sz="4" w:space="0"/>
            </w:tcBorders>
          </w:tcPr>
          <w:p w14:paraId="1E56493F">
            <w:pPr>
              <w:widowControl/>
              <w:rPr>
                <w:rFonts w:ascii="宋体" w:hAnsi="宋体"/>
                <w:color w:val="auto"/>
                <w:kern w:val="0"/>
                <w:sz w:val="22"/>
                <w:szCs w:val="22"/>
              </w:rPr>
            </w:pPr>
            <w:r>
              <w:rPr>
                <w:rFonts w:hint="eastAsia" w:ascii="宋体" w:hAnsi="宋体"/>
                <w:color w:val="auto"/>
                <w:kern w:val="0"/>
                <w:sz w:val="22"/>
                <w:szCs w:val="22"/>
              </w:rPr>
              <w:t xml:space="preserve">所投产品都必须是正规渠道出货且为整机出厂，产品号及型号都必须一致，按照供货商保修至少 </w:t>
            </w:r>
            <w:r>
              <w:rPr>
                <w:rFonts w:hint="eastAsia" w:ascii="宋体" w:hAnsi="宋体"/>
                <w:color w:val="auto"/>
                <w:kern w:val="0"/>
                <w:sz w:val="22"/>
                <w:szCs w:val="22"/>
                <w:lang w:val="en-US" w:eastAsia="zh-CN"/>
              </w:rPr>
              <w:t>5</w:t>
            </w:r>
            <w:r>
              <w:rPr>
                <w:rFonts w:hint="eastAsia" w:ascii="宋体" w:hAnsi="宋体"/>
                <w:color w:val="auto"/>
                <w:kern w:val="0"/>
                <w:sz w:val="22"/>
                <w:szCs w:val="22"/>
              </w:rPr>
              <w:t>年以上，供应商必须包含所有安装、调试及所需要的配件、材料（所有教室均需重新制作水晶头，并做网络测试和设备调试，如有损坏的电源线和网线均需免费更换）；投标产品可通过原厂质保商厂商的官方网站或 800 电话查询其设备保修为用户要求</w:t>
            </w:r>
            <w:r>
              <w:rPr>
                <w:rFonts w:hint="eastAsia" w:ascii="宋体" w:hAnsi="宋体"/>
                <w:color w:val="auto"/>
                <w:kern w:val="0"/>
                <w:sz w:val="22"/>
                <w:szCs w:val="22"/>
                <w:lang w:val="en-US" w:eastAsia="zh-CN"/>
              </w:rPr>
              <w:t>5</w:t>
            </w:r>
            <w:r>
              <w:rPr>
                <w:rFonts w:hint="eastAsia" w:ascii="宋体" w:hAnsi="宋体"/>
                <w:color w:val="auto"/>
                <w:kern w:val="0"/>
                <w:sz w:val="22"/>
                <w:szCs w:val="22"/>
              </w:rPr>
              <w:t>年保修。</w:t>
            </w:r>
          </w:p>
          <w:p w14:paraId="4C1AA297">
            <w:pPr>
              <w:widowControl/>
              <w:rPr>
                <w:rFonts w:ascii="宋体" w:hAnsi="宋体"/>
                <w:color w:val="auto"/>
                <w:kern w:val="0"/>
                <w:sz w:val="22"/>
                <w:szCs w:val="22"/>
              </w:rPr>
            </w:pPr>
            <w:r>
              <w:rPr>
                <w:rFonts w:hint="eastAsia" w:ascii="宋体" w:hAnsi="宋体"/>
                <w:color w:val="auto"/>
                <w:kern w:val="0"/>
                <w:sz w:val="22"/>
                <w:szCs w:val="22"/>
              </w:rPr>
              <w:t>维保期内每学期初，免费开展一次软硬件巡检升级，并出具相应报告。</w:t>
            </w:r>
          </w:p>
        </w:tc>
      </w:tr>
      <w:tr w14:paraId="05CF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08164B9C">
            <w:pPr>
              <w:widowControl/>
              <w:rPr>
                <w:rFonts w:ascii="宋体" w:hAnsi="宋体"/>
                <w:color w:val="auto"/>
                <w:kern w:val="0"/>
                <w:sz w:val="22"/>
                <w:szCs w:val="22"/>
              </w:rPr>
            </w:pPr>
            <w:r>
              <w:rPr>
                <w:rFonts w:hint="eastAsia" w:ascii="宋体" w:hAnsi="宋体"/>
                <w:color w:val="auto"/>
                <w:kern w:val="0"/>
                <w:sz w:val="22"/>
                <w:szCs w:val="22"/>
              </w:rPr>
              <w:t>175</w:t>
            </w:r>
          </w:p>
        </w:tc>
        <w:tc>
          <w:tcPr>
            <w:tcW w:w="0" w:type="auto"/>
            <w:vMerge w:val="continue"/>
            <w:tcBorders>
              <w:top w:val="nil"/>
              <w:left w:val="single" w:color="auto" w:sz="4" w:space="0"/>
              <w:bottom w:val="single" w:color="auto" w:sz="4" w:space="0"/>
              <w:right w:val="single" w:color="auto" w:sz="4" w:space="0"/>
            </w:tcBorders>
            <w:vAlign w:val="center"/>
          </w:tcPr>
          <w:p w14:paraId="3D0FE46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21818079">
            <w:pPr>
              <w:widowControl/>
              <w:rPr>
                <w:rFonts w:ascii="宋体" w:hAnsi="宋体"/>
                <w:color w:val="auto"/>
                <w:kern w:val="0"/>
                <w:sz w:val="22"/>
                <w:szCs w:val="22"/>
              </w:rPr>
            </w:pPr>
            <w:r>
              <w:rPr>
                <w:rFonts w:hint="eastAsia" w:ascii="宋体" w:hAnsi="宋体"/>
                <w:color w:val="auto"/>
                <w:kern w:val="0"/>
                <w:sz w:val="22"/>
                <w:szCs w:val="22"/>
              </w:rPr>
              <w:t>▲合格证书要求</w:t>
            </w:r>
          </w:p>
        </w:tc>
        <w:tc>
          <w:tcPr>
            <w:tcW w:w="2740" w:type="pct"/>
            <w:tcBorders>
              <w:top w:val="single" w:color="auto" w:sz="4" w:space="0"/>
              <w:left w:val="single" w:color="auto" w:sz="4" w:space="0"/>
              <w:bottom w:val="single" w:color="auto" w:sz="4" w:space="0"/>
              <w:right w:val="single" w:color="auto" w:sz="4" w:space="0"/>
            </w:tcBorders>
          </w:tcPr>
          <w:p w14:paraId="2FB604FE">
            <w:pPr>
              <w:widowControl/>
              <w:rPr>
                <w:rFonts w:ascii="宋体" w:hAnsi="宋体"/>
                <w:color w:val="auto"/>
                <w:kern w:val="0"/>
                <w:sz w:val="22"/>
                <w:szCs w:val="22"/>
              </w:rPr>
            </w:pPr>
            <w:r>
              <w:rPr>
                <w:rFonts w:hint="eastAsia" w:ascii="宋体" w:hAnsi="宋体"/>
                <w:color w:val="auto"/>
                <w:kern w:val="0"/>
                <w:sz w:val="22"/>
                <w:szCs w:val="22"/>
              </w:rPr>
              <w:t>供应商提供产品合格证。</w:t>
            </w:r>
          </w:p>
        </w:tc>
      </w:tr>
      <w:tr w14:paraId="2A7D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347" w:type="pct"/>
            <w:tcBorders>
              <w:top w:val="single" w:color="auto" w:sz="4" w:space="0"/>
              <w:left w:val="single" w:color="auto" w:sz="4" w:space="0"/>
              <w:bottom w:val="single" w:color="auto" w:sz="4" w:space="0"/>
              <w:right w:val="single" w:color="auto" w:sz="4" w:space="0"/>
            </w:tcBorders>
          </w:tcPr>
          <w:p w14:paraId="0BEEBEBD">
            <w:pPr>
              <w:widowControl/>
              <w:rPr>
                <w:rFonts w:ascii="宋体" w:hAnsi="宋体"/>
                <w:color w:val="auto"/>
                <w:kern w:val="0"/>
                <w:sz w:val="22"/>
                <w:szCs w:val="22"/>
              </w:rPr>
            </w:pPr>
            <w:r>
              <w:rPr>
                <w:rFonts w:hint="eastAsia" w:ascii="宋体" w:hAnsi="宋体"/>
                <w:color w:val="auto"/>
                <w:kern w:val="0"/>
                <w:sz w:val="22"/>
                <w:szCs w:val="22"/>
              </w:rPr>
              <w:t>176</w:t>
            </w:r>
          </w:p>
        </w:tc>
        <w:tc>
          <w:tcPr>
            <w:tcW w:w="0" w:type="auto"/>
            <w:vMerge w:val="continue"/>
            <w:tcBorders>
              <w:top w:val="nil"/>
              <w:left w:val="single" w:color="auto" w:sz="4" w:space="0"/>
              <w:bottom w:val="single" w:color="auto" w:sz="4" w:space="0"/>
              <w:right w:val="single" w:color="auto" w:sz="4" w:space="0"/>
            </w:tcBorders>
            <w:vAlign w:val="center"/>
          </w:tcPr>
          <w:p w14:paraId="223AB1B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70C19EE8">
            <w:pPr>
              <w:widowControl/>
              <w:rPr>
                <w:rFonts w:ascii="宋体" w:hAnsi="宋体"/>
                <w:color w:val="auto"/>
                <w:kern w:val="0"/>
                <w:sz w:val="22"/>
                <w:szCs w:val="22"/>
              </w:rPr>
            </w:pPr>
            <w:r>
              <w:rPr>
                <w:rFonts w:hint="eastAsia" w:ascii="宋体" w:hAnsi="宋体"/>
                <w:color w:val="auto"/>
                <w:kern w:val="0"/>
                <w:sz w:val="22"/>
                <w:szCs w:val="22"/>
              </w:rPr>
              <w:t>▲开箱组装/使用指导要求</w:t>
            </w:r>
          </w:p>
        </w:tc>
        <w:tc>
          <w:tcPr>
            <w:tcW w:w="2740" w:type="pct"/>
            <w:tcBorders>
              <w:top w:val="single" w:color="auto" w:sz="4" w:space="0"/>
              <w:left w:val="single" w:color="auto" w:sz="4" w:space="0"/>
              <w:bottom w:val="single" w:color="auto" w:sz="4" w:space="0"/>
              <w:right w:val="single" w:color="auto" w:sz="4" w:space="0"/>
            </w:tcBorders>
          </w:tcPr>
          <w:p w14:paraId="171BE81E">
            <w:pPr>
              <w:widowControl/>
              <w:rPr>
                <w:rFonts w:ascii="宋体" w:hAnsi="宋体"/>
                <w:color w:val="auto"/>
                <w:kern w:val="0"/>
                <w:sz w:val="22"/>
                <w:szCs w:val="22"/>
              </w:rPr>
            </w:pPr>
            <w:r>
              <w:rPr>
                <w:rFonts w:hint="eastAsia" w:ascii="宋体" w:hAnsi="宋体"/>
                <w:color w:val="auto"/>
                <w:kern w:val="0"/>
                <w:sz w:val="22"/>
                <w:szCs w:val="22"/>
              </w:rPr>
              <w:t>供应商提供开箱组装/使用指导</w:t>
            </w:r>
          </w:p>
        </w:tc>
      </w:tr>
      <w:tr w14:paraId="3051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69E31F76">
            <w:pPr>
              <w:widowControl/>
              <w:rPr>
                <w:rFonts w:ascii="宋体" w:hAnsi="宋体"/>
                <w:color w:val="auto"/>
                <w:kern w:val="0"/>
                <w:sz w:val="22"/>
                <w:szCs w:val="22"/>
              </w:rPr>
            </w:pPr>
            <w:r>
              <w:rPr>
                <w:rFonts w:hint="eastAsia" w:ascii="宋体" w:hAnsi="宋体"/>
                <w:color w:val="auto"/>
                <w:kern w:val="0"/>
                <w:sz w:val="22"/>
                <w:szCs w:val="22"/>
              </w:rPr>
              <w:t>177</w:t>
            </w:r>
          </w:p>
        </w:tc>
        <w:tc>
          <w:tcPr>
            <w:tcW w:w="0" w:type="auto"/>
            <w:vMerge w:val="continue"/>
            <w:tcBorders>
              <w:top w:val="nil"/>
              <w:left w:val="single" w:color="auto" w:sz="4" w:space="0"/>
              <w:bottom w:val="single" w:color="auto" w:sz="4" w:space="0"/>
              <w:right w:val="single" w:color="auto" w:sz="4" w:space="0"/>
            </w:tcBorders>
            <w:vAlign w:val="center"/>
          </w:tcPr>
          <w:p w14:paraId="1326D67E">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2299B776">
            <w:pPr>
              <w:widowControl/>
              <w:rPr>
                <w:rFonts w:ascii="宋体" w:hAnsi="宋体"/>
                <w:color w:val="auto"/>
                <w:kern w:val="0"/>
                <w:sz w:val="22"/>
                <w:szCs w:val="22"/>
              </w:rPr>
            </w:pPr>
            <w:r>
              <w:rPr>
                <w:rFonts w:hint="eastAsia" w:ascii="宋体" w:hAnsi="宋体"/>
                <w:color w:val="auto"/>
                <w:kern w:val="0"/>
                <w:sz w:val="22"/>
                <w:szCs w:val="22"/>
              </w:rPr>
              <w:t>▲驱动下载服务要求</w:t>
            </w:r>
          </w:p>
        </w:tc>
        <w:tc>
          <w:tcPr>
            <w:tcW w:w="2740" w:type="pct"/>
            <w:tcBorders>
              <w:top w:val="single" w:color="auto" w:sz="4" w:space="0"/>
              <w:left w:val="single" w:color="auto" w:sz="4" w:space="0"/>
              <w:bottom w:val="single" w:color="auto" w:sz="4" w:space="0"/>
              <w:right w:val="single" w:color="auto" w:sz="4" w:space="0"/>
            </w:tcBorders>
          </w:tcPr>
          <w:p w14:paraId="569E4302">
            <w:pPr>
              <w:widowControl/>
              <w:rPr>
                <w:rFonts w:ascii="宋体" w:hAnsi="宋体"/>
                <w:color w:val="auto"/>
                <w:kern w:val="0"/>
                <w:sz w:val="22"/>
                <w:szCs w:val="22"/>
              </w:rPr>
            </w:pPr>
            <w:r>
              <w:rPr>
                <w:rFonts w:hint="eastAsia" w:ascii="宋体" w:hAnsi="宋体"/>
                <w:color w:val="auto"/>
                <w:kern w:val="0"/>
                <w:sz w:val="22"/>
                <w:szCs w:val="22"/>
              </w:rPr>
              <w:t>供应商提供驱动光盘或下载方式</w:t>
            </w:r>
          </w:p>
        </w:tc>
      </w:tr>
      <w:tr w14:paraId="4FC7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26E884D2">
            <w:pPr>
              <w:widowControl/>
              <w:rPr>
                <w:rFonts w:ascii="宋体" w:hAnsi="宋体"/>
                <w:color w:val="auto"/>
                <w:kern w:val="0"/>
                <w:sz w:val="22"/>
                <w:szCs w:val="22"/>
              </w:rPr>
            </w:pPr>
            <w:r>
              <w:rPr>
                <w:rFonts w:hint="eastAsia" w:ascii="宋体" w:hAnsi="宋体"/>
                <w:color w:val="auto"/>
                <w:kern w:val="0"/>
                <w:sz w:val="22"/>
                <w:szCs w:val="22"/>
              </w:rPr>
              <w:t>178</w:t>
            </w:r>
          </w:p>
        </w:tc>
        <w:tc>
          <w:tcPr>
            <w:tcW w:w="0" w:type="auto"/>
            <w:vMerge w:val="continue"/>
            <w:tcBorders>
              <w:top w:val="nil"/>
              <w:left w:val="single" w:color="auto" w:sz="4" w:space="0"/>
              <w:bottom w:val="single" w:color="auto" w:sz="4" w:space="0"/>
              <w:right w:val="single" w:color="auto" w:sz="4" w:space="0"/>
            </w:tcBorders>
            <w:vAlign w:val="center"/>
          </w:tcPr>
          <w:p w14:paraId="60896BBD">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104D0798">
            <w:pPr>
              <w:widowControl/>
              <w:rPr>
                <w:rFonts w:ascii="宋体" w:hAnsi="宋体"/>
                <w:color w:val="auto"/>
                <w:kern w:val="0"/>
                <w:sz w:val="22"/>
                <w:szCs w:val="22"/>
              </w:rPr>
            </w:pPr>
            <w:r>
              <w:rPr>
                <w:rFonts w:hint="eastAsia" w:ascii="宋体" w:hAnsi="宋体"/>
                <w:color w:val="auto"/>
                <w:kern w:val="0"/>
                <w:sz w:val="22"/>
                <w:szCs w:val="22"/>
              </w:rPr>
              <w:t>▲兼容适配软件下载服务要求</w:t>
            </w:r>
          </w:p>
        </w:tc>
        <w:tc>
          <w:tcPr>
            <w:tcW w:w="2740" w:type="pct"/>
            <w:tcBorders>
              <w:top w:val="single" w:color="auto" w:sz="4" w:space="0"/>
              <w:left w:val="single" w:color="auto" w:sz="4" w:space="0"/>
              <w:bottom w:val="single" w:color="auto" w:sz="4" w:space="0"/>
              <w:right w:val="single" w:color="auto" w:sz="4" w:space="0"/>
            </w:tcBorders>
          </w:tcPr>
          <w:p w14:paraId="546C3421">
            <w:pPr>
              <w:widowControl/>
              <w:rPr>
                <w:rFonts w:ascii="宋体" w:hAnsi="宋体"/>
                <w:color w:val="auto"/>
                <w:kern w:val="0"/>
                <w:sz w:val="22"/>
                <w:szCs w:val="22"/>
              </w:rPr>
            </w:pPr>
            <w:r>
              <w:rPr>
                <w:rFonts w:hint="eastAsia" w:ascii="宋体" w:hAnsi="宋体"/>
                <w:color w:val="auto"/>
                <w:kern w:val="0"/>
                <w:sz w:val="22"/>
                <w:szCs w:val="22"/>
              </w:rPr>
              <w:t>供应商提供兼容适配软件下载渠道（光盘、网站）</w:t>
            </w:r>
          </w:p>
        </w:tc>
      </w:tr>
      <w:tr w14:paraId="2026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4EC461EE">
            <w:pPr>
              <w:widowControl/>
              <w:rPr>
                <w:rFonts w:ascii="宋体" w:hAnsi="宋体"/>
                <w:color w:val="auto"/>
                <w:kern w:val="0"/>
                <w:sz w:val="22"/>
                <w:szCs w:val="22"/>
              </w:rPr>
            </w:pPr>
            <w:r>
              <w:rPr>
                <w:rFonts w:hint="eastAsia" w:ascii="宋体" w:hAnsi="宋体"/>
                <w:color w:val="auto"/>
                <w:kern w:val="0"/>
                <w:sz w:val="22"/>
                <w:szCs w:val="22"/>
              </w:rPr>
              <w:t>179</w:t>
            </w:r>
          </w:p>
        </w:tc>
        <w:tc>
          <w:tcPr>
            <w:tcW w:w="0" w:type="auto"/>
            <w:vMerge w:val="continue"/>
            <w:tcBorders>
              <w:top w:val="nil"/>
              <w:left w:val="single" w:color="auto" w:sz="4" w:space="0"/>
              <w:bottom w:val="single" w:color="auto" w:sz="4" w:space="0"/>
              <w:right w:val="single" w:color="auto" w:sz="4" w:space="0"/>
            </w:tcBorders>
            <w:vAlign w:val="center"/>
          </w:tcPr>
          <w:p w14:paraId="3E11DB20">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C1D4326">
            <w:pPr>
              <w:widowControl/>
              <w:rPr>
                <w:rFonts w:ascii="宋体" w:hAnsi="宋体"/>
                <w:color w:val="auto"/>
                <w:kern w:val="0"/>
                <w:sz w:val="22"/>
                <w:szCs w:val="22"/>
              </w:rPr>
            </w:pPr>
            <w:r>
              <w:rPr>
                <w:rFonts w:hint="eastAsia" w:ascii="宋体" w:hAnsi="宋体"/>
                <w:color w:val="auto"/>
                <w:kern w:val="0"/>
                <w:sz w:val="22"/>
                <w:szCs w:val="22"/>
              </w:rPr>
              <w:t>跨架构平台应用兼容</w:t>
            </w:r>
          </w:p>
        </w:tc>
        <w:tc>
          <w:tcPr>
            <w:tcW w:w="2740" w:type="pct"/>
            <w:tcBorders>
              <w:top w:val="single" w:color="auto" w:sz="4" w:space="0"/>
              <w:left w:val="single" w:color="auto" w:sz="4" w:space="0"/>
              <w:bottom w:val="single" w:color="auto" w:sz="4" w:space="0"/>
              <w:right w:val="single" w:color="auto" w:sz="4" w:space="0"/>
            </w:tcBorders>
          </w:tcPr>
          <w:p w14:paraId="72F7ED3D">
            <w:pPr>
              <w:widowControl/>
              <w:rPr>
                <w:rFonts w:ascii="宋体" w:hAnsi="宋体"/>
                <w:color w:val="auto"/>
                <w:kern w:val="0"/>
                <w:sz w:val="22"/>
                <w:szCs w:val="22"/>
              </w:rPr>
            </w:pPr>
            <w:r>
              <w:rPr>
                <w:rFonts w:hint="eastAsia" w:ascii="宋体" w:hAnsi="宋体"/>
                <w:color w:val="auto"/>
                <w:kern w:val="0"/>
                <w:sz w:val="22"/>
                <w:szCs w:val="22"/>
              </w:rPr>
              <w:t>无要求</w:t>
            </w:r>
          </w:p>
        </w:tc>
      </w:tr>
      <w:tr w14:paraId="1769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70CC6167">
            <w:pPr>
              <w:widowControl/>
              <w:rPr>
                <w:rFonts w:ascii="宋体" w:hAnsi="宋体"/>
                <w:color w:val="auto"/>
                <w:kern w:val="0"/>
                <w:sz w:val="22"/>
                <w:szCs w:val="22"/>
              </w:rPr>
            </w:pPr>
            <w:r>
              <w:rPr>
                <w:rFonts w:hint="eastAsia" w:ascii="宋体" w:hAnsi="宋体"/>
                <w:color w:val="auto"/>
                <w:kern w:val="0"/>
                <w:sz w:val="22"/>
                <w:szCs w:val="22"/>
              </w:rPr>
              <w:t>180</w:t>
            </w:r>
          </w:p>
        </w:tc>
        <w:tc>
          <w:tcPr>
            <w:tcW w:w="555" w:type="pct"/>
            <w:tcBorders>
              <w:top w:val="single" w:color="auto" w:sz="4" w:space="0"/>
              <w:left w:val="single" w:color="auto" w:sz="4" w:space="0"/>
              <w:bottom w:val="single" w:color="auto" w:sz="4" w:space="0"/>
              <w:right w:val="single" w:color="auto" w:sz="4" w:space="0"/>
            </w:tcBorders>
            <w:vAlign w:val="center"/>
          </w:tcPr>
          <w:p w14:paraId="3022CB26">
            <w:pPr>
              <w:widowControl/>
              <w:rPr>
                <w:rFonts w:ascii="宋体" w:hAnsi="宋体"/>
                <w:color w:val="auto"/>
                <w:kern w:val="0"/>
                <w:sz w:val="22"/>
                <w:szCs w:val="22"/>
              </w:rPr>
            </w:pPr>
            <w:r>
              <w:rPr>
                <w:rFonts w:hint="eastAsia" w:ascii="宋体" w:hAnsi="宋体"/>
                <w:color w:val="auto"/>
                <w:kern w:val="0"/>
                <w:sz w:val="22"/>
                <w:szCs w:val="22"/>
              </w:rPr>
              <w:t>▲供应链合规性</w:t>
            </w:r>
          </w:p>
        </w:tc>
        <w:tc>
          <w:tcPr>
            <w:tcW w:w="1356" w:type="pct"/>
            <w:tcBorders>
              <w:top w:val="single" w:color="auto" w:sz="4" w:space="0"/>
              <w:left w:val="single" w:color="auto" w:sz="4" w:space="0"/>
              <w:bottom w:val="single" w:color="auto" w:sz="4" w:space="0"/>
              <w:right w:val="single" w:color="auto" w:sz="4" w:space="0"/>
            </w:tcBorders>
          </w:tcPr>
          <w:p w14:paraId="668CAA5D">
            <w:pPr>
              <w:widowControl/>
              <w:rPr>
                <w:rFonts w:ascii="宋体" w:hAnsi="宋体"/>
                <w:color w:val="auto"/>
                <w:kern w:val="0"/>
                <w:sz w:val="22"/>
                <w:szCs w:val="22"/>
              </w:rPr>
            </w:pPr>
            <w:r>
              <w:rPr>
                <w:rFonts w:hint="eastAsia" w:ascii="宋体" w:hAnsi="宋体"/>
                <w:color w:val="auto"/>
                <w:kern w:val="0"/>
                <w:sz w:val="22"/>
                <w:szCs w:val="22"/>
              </w:rPr>
              <w:t>▲产品部件保障</w:t>
            </w:r>
          </w:p>
        </w:tc>
        <w:tc>
          <w:tcPr>
            <w:tcW w:w="2740" w:type="pct"/>
            <w:tcBorders>
              <w:top w:val="single" w:color="auto" w:sz="4" w:space="0"/>
              <w:left w:val="single" w:color="auto" w:sz="4" w:space="0"/>
              <w:bottom w:val="single" w:color="auto" w:sz="4" w:space="0"/>
              <w:right w:val="single" w:color="auto" w:sz="4" w:space="0"/>
            </w:tcBorders>
          </w:tcPr>
          <w:p w14:paraId="34E7BA51">
            <w:pPr>
              <w:widowControl/>
              <w:rPr>
                <w:rFonts w:ascii="宋体" w:hAnsi="宋体"/>
                <w:color w:val="auto"/>
                <w:kern w:val="0"/>
                <w:sz w:val="22"/>
                <w:szCs w:val="22"/>
              </w:rPr>
            </w:pPr>
            <w:r>
              <w:rPr>
                <w:rFonts w:hint="eastAsia" w:ascii="宋体" w:hAnsi="宋体"/>
                <w:color w:val="auto"/>
                <w:kern w:val="0"/>
                <w:sz w:val="22"/>
                <w:szCs w:val="22"/>
              </w:rPr>
              <w:t>供应商保障产品主要部件，提供</w:t>
            </w:r>
            <w:r>
              <w:rPr>
                <w:rFonts w:ascii="宋体" w:hAnsi="宋体"/>
                <w:color w:val="auto"/>
                <w:kern w:val="0"/>
                <w:sz w:val="22"/>
                <w:szCs w:val="22"/>
              </w:rPr>
              <w:t>6</w:t>
            </w:r>
            <w:r>
              <w:rPr>
                <w:rFonts w:hint="eastAsia" w:ascii="宋体" w:hAnsi="宋体"/>
                <w:color w:val="auto"/>
                <w:kern w:val="0"/>
                <w:sz w:val="22"/>
                <w:szCs w:val="22"/>
              </w:rPr>
              <w:t>年的备件服务能力（自购买之日起），或提供可兼容原设备的升级换代产品</w:t>
            </w:r>
          </w:p>
        </w:tc>
      </w:tr>
      <w:tr w14:paraId="7453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1FF16DCA">
            <w:pPr>
              <w:widowControl/>
              <w:rPr>
                <w:rFonts w:ascii="宋体" w:hAnsi="宋体"/>
                <w:color w:val="auto"/>
                <w:kern w:val="0"/>
                <w:sz w:val="22"/>
                <w:szCs w:val="22"/>
              </w:rPr>
            </w:pPr>
            <w:r>
              <w:rPr>
                <w:rFonts w:hint="eastAsia" w:ascii="宋体" w:hAnsi="宋体"/>
                <w:color w:val="auto"/>
                <w:kern w:val="0"/>
                <w:sz w:val="22"/>
                <w:szCs w:val="22"/>
              </w:rPr>
              <w:t>181</w:t>
            </w:r>
          </w:p>
        </w:tc>
        <w:tc>
          <w:tcPr>
            <w:tcW w:w="555" w:type="pct"/>
            <w:vMerge w:val="restart"/>
            <w:tcBorders>
              <w:top w:val="nil"/>
              <w:left w:val="single" w:color="auto" w:sz="4" w:space="0"/>
              <w:bottom w:val="single" w:color="auto" w:sz="4" w:space="0"/>
              <w:right w:val="single" w:color="auto" w:sz="4" w:space="0"/>
            </w:tcBorders>
            <w:vAlign w:val="center"/>
          </w:tcPr>
          <w:p w14:paraId="7F44F512">
            <w:pPr>
              <w:widowControl/>
              <w:rPr>
                <w:rFonts w:ascii="宋体" w:hAnsi="宋体"/>
                <w:color w:val="auto"/>
                <w:kern w:val="0"/>
                <w:sz w:val="22"/>
                <w:szCs w:val="22"/>
              </w:rPr>
            </w:pPr>
            <w:r>
              <w:rPr>
                <w:rFonts w:hint="eastAsia" w:ascii="宋体" w:hAnsi="宋体"/>
                <w:color w:val="auto"/>
                <w:kern w:val="0"/>
                <w:sz w:val="22"/>
                <w:szCs w:val="22"/>
              </w:rPr>
              <w:t>▲供应链质量</w:t>
            </w:r>
          </w:p>
        </w:tc>
        <w:tc>
          <w:tcPr>
            <w:tcW w:w="1356" w:type="pct"/>
            <w:tcBorders>
              <w:top w:val="single" w:color="auto" w:sz="4" w:space="0"/>
              <w:left w:val="single" w:color="auto" w:sz="4" w:space="0"/>
              <w:bottom w:val="single" w:color="auto" w:sz="4" w:space="0"/>
              <w:right w:val="single" w:color="auto" w:sz="4" w:space="0"/>
            </w:tcBorders>
          </w:tcPr>
          <w:p w14:paraId="5D15456A">
            <w:pPr>
              <w:widowControl/>
              <w:rPr>
                <w:rFonts w:ascii="宋体" w:hAnsi="宋体"/>
                <w:color w:val="auto"/>
                <w:kern w:val="0"/>
                <w:sz w:val="22"/>
                <w:szCs w:val="22"/>
              </w:rPr>
            </w:pPr>
            <w:r>
              <w:rPr>
                <w:rFonts w:hint="eastAsia" w:ascii="宋体" w:hAnsi="宋体"/>
                <w:color w:val="auto"/>
                <w:kern w:val="0"/>
                <w:sz w:val="22"/>
                <w:szCs w:val="22"/>
              </w:rPr>
              <w:t>▲抗干扰性</w:t>
            </w:r>
          </w:p>
        </w:tc>
        <w:tc>
          <w:tcPr>
            <w:tcW w:w="2740" w:type="pct"/>
            <w:tcBorders>
              <w:top w:val="single" w:color="auto" w:sz="4" w:space="0"/>
              <w:left w:val="single" w:color="auto" w:sz="4" w:space="0"/>
              <w:bottom w:val="single" w:color="auto" w:sz="4" w:space="0"/>
              <w:right w:val="single" w:color="auto" w:sz="4" w:space="0"/>
            </w:tcBorders>
            <w:shd w:val="clear" w:color="auto" w:fill="FFFFFF"/>
            <w:vAlign w:val="center"/>
          </w:tcPr>
          <w:p w14:paraId="011AFF41">
            <w:pPr>
              <w:widowControl/>
              <w:rPr>
                <w:rFonts w:ascii="宋体" w:hAnsi="宋体"/>
                <w:color w:val="auto"/>
                <w:kern w:val="0"/>
                <w:sz w:val="22"/>
                <w:szCs w:val="22"/>
              </w:rPr>
            </w:pPr>
            <w:r>
              <w:rPr>
                <w:rFonts w:hint="eastAsia" w:ascii="宋体" w:hAnsi="宋体"/>
                <w:color w:val="auto"/>
                <w:kern w:val="0"/>
                <w:sz w:val="22"/>
                <w:szCs w:val="22"/>
              </w:rPr>
              <w:t>当产品部件出现供应风险时，供应商应通知采购人并提供风险应对方案确保产品的服务保障。</w:t>
            </w:r>
          </w:p>
        </w:tc>
      </w:tr>
      <w:tr w14:paraId="7E4C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2353C55C">
            <w:pPr>
              <w:widowControl/>
              <w:rPr>
                <w:rFonts w:ascii="宋体" w:hAnsi="宋体"/>
                <w:color w:val="auto"/>
                <w:kern w:val="0"/>
                <w:sz w:val="22"/>
                <w:szCs w:val="22"/>
              </w:rPr>
            </w:pPr>
            <w:r>
              <w:rPr>
                <w:rFonts w:hint="eastAsia" w:ascii="宋体" w:hAnsi="宋体"/>
                <w:color w:val="auto"/>
                <w:kern w:val="0"/>
                <w:sz w:val="22"/>
                <w:szCs w:val="22"/>
              </w:rPr>
              <w:t>182</w:t>
            </w:r>
          </w:p>
        </w:tc>
        <w:tc>
          <w:tcPr>
            <w:tcW w:w="0" w:type="auto"/>
            <w:vMerge w:val="continue"/>
            <w:tcBorders>
              <w:top w:val="nil"/>
              <w:left w:val="single" w:color="auto" w:sz="4" w:space="0"/>
              <w:bottom w:val="single" w:color="auto" w:sz="4" w:space="0"/>
              <w:right w:val="single" w:color="auto" w:sz="4" w:space="0"/>
            </w:tcBorders>
            <w:vAlign w:val="center"/>
          </w:tcPr>
          <w:p w14:paraId="329C5ED8">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6C7650C">
            <w:pPr>
              <w:widowControl/>
              <w:rPr>
                <w:rFonts w:ascii="宋体" w:hAnsi="宋体"/>
                <w:color w:val="auto"/>
                <w:kern w:val="0"/>
                <w:sz w:val="22"/>
                <w:szCs w:val="22"/>
              </w:rPr>
            </w:pPr>
            <w:r>
              <w:rPr>
                <w:rFonts w:hint="eastAsia" w:ascii="宋体" w:hAnsi="宋体"/>
                <w:color w:val="auto"/>
                <w:kern w:val="0"/>
                <w:sz w:val="22"/>
                <w:szCs w:val="22"/>
              </w:rPr>
              <w:t>▲供应能力证明</w:t>
            </w:r>
          </w:p>
        </w:tc>
        <w:tc>
          <w:tcPr>
            <w:tcW w:w="2740" w:type="pct"/>
            <w:tcBorders>
              <w:top w:val="single" w:color="auto" w:sz="4" w:space="0"/>
              <w:left w:val="single" w:color="auto" w:sz="4" w:space="0"/>
              <w:bottom w:val="single" w:color="auto" w:sz="4" w:space="0"/>
              <w:right w:val="single" w:color="auto" w:sz="4" w:space="0"/>
            </w:tcBorders>
          </w:tcPr>
          <w:p w14:paraId="2947C518">
            <w:pPr>
              <w:widowControl/>
              <w:rPr>
                <w:rFonts w:ascii="宋体" w:hAnsi="宋体"/>
                <w:color w:val="auto"/>
                <w:kern w:val="0"/>
                <w:sz w:val="22"/>
                <w:szCs w:val="22"/>
              </w:rPr>
            </w:pPr>
            <w:r>
              <w:rPr>
                <w:rFonts w:hint="eastAsia" w:ascii="宋体" w:hAnsi="宋体"/>
                <w:color w:val="auto"/>
                <w:kern w:val="0"/>
                <w:sz w:val="22"/>
                <w:szCs w:val="22"/>
              </w:rPr>
              <w:t>供应商提供供应链稳定承诺书,确保产品的部件在产品服务周期内稳定供货</w:t>
            </w:r>
          </w:p>
        </w:tc>
      </w:tr>
      <w:tr w14:paraId="4DB6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20EE1860">
            <w:pPr>
              <w:widowControl/>
              <w:rPr>
                <w:rFonts w:ascii="宋体" w:hAnsi="宋体"/>
                <w:color w:val="auto"/>
                <w:kern w:val="0"/>
                <w:sz w:val="22"/>
                <w:szCs w:val="22"/>
              </w:rPr>
            </w:pPr>
            <w:r>
              <w:rPr>
                <w:rFonts w:hint="eastAsia" w:ascii="宋体" w:hAnsi="宋体"/>
                <w:color w:val="auto"/>
                <w:kern w:val="0"/>
                <w:sz w:val="22"/>
                <w:szCs w:val="22"/>
              </w:rPr>
              <w:t>183</w:t>
            </w:r>
          </w:p>
        </w:tc>
        <w:tc>
          <w:tcPr>
            <w:tcW w:w="555" w:type="pct"/>
            <w:tcBorders>
              <w:top w:val="single" w:color="auto" w:sz="4" w:space="0"/>
              <w:left w:val="single" w:color="auto" w:sz="4" w:space="0"/>
              <w:bottom w:val="single" w:color="auto" w:sz="4" w:space="0"/>
              <w:right w:val="single" w:color="auto" w:sz="4" w:space="0"/>
            </w:tcBorders>
            <w:vAlign w:val="center"/>
          </w:tcPr>
          <w:p w14:paraId="31850E50">
            <w:pPr>
              <w:widowControl/>
              <w:rPr>
                <w:rFonts w:ascii="宋体" w:hAnsi="宋体"/>
                <w:color w:val="auto"/>
                <w:kern w:val="0"/>
                <w:sz w:val="22"/>
                <w:szCs w:val="22"/>
              </w:rPr>
            </w:pPr>
            <w:r>
              <w:rPr>
                <w:rFonts w:hint="eastAsia" w:ascii="宋体" w:hAnsi="宋体"/>
                <w:color w:val="auto"/>
                <w:kern w:val="0"/>
                <w:sz w:val="22"/>
                <w:szCs w:val="22"/>
              </w:rPr>
              <w:t>▲关键部件安全要求</w:t>
            </w:r>
          </w:p>
        </w:tc>
        <w:tc>
          <w:tcPr>
            <w:tcW w:w="1356" w:type="pct"/>
            <w:tcBorders>
              <w:top w:val="single" w:color="auto" w:sz="4" w:space="0"/>
              <w:left w:val="single" w:color="auto" w:sz="4" w:space="0"/>
              <w:bottom w:val="single" w:color="auto" w:sz="4" w:space="0"/>
              <w:right w:val="single" w:color="auto" w:sz="4" w:space="0"/>
            </w:tcBorders>
          </w:tcPr>
          <w:p w14:paraId="52608A07">
            <w:pPr>
              <w:widowControl/>
              <w:rPr>
                <w:rFonts w:ascii="宋体" w:hAnsi="宋体"/>
                <w:color w:val="auto"/>
                <w:kern w:val="0"/>
                <w:sz w:val="22"/>
                <w:szCs w:val="22"/>
              </w:rPr>
            </w:pPr>
            <w:r>
              <w:rPr>
                <w:rFonts w:hint="eastAsia" w:ascii="宋体" w:hAnsi="宋体"/>
                <w:color w:val="auto"/>
                <w:kern w:val="0"/>
                <w:sz w:val="22"/>
                <w:szCs w:val="22"/>
              </w:rPr>
              <w:t>▲关键部件安全要求</w:t>
            </w:r>
          </w:p>
        </w:tc>
        <w:tc>
          <w:tcPr>
            <w:tcW w:w="2740" w:type="pct"/>
            <w:tcBorders>
              <w:top w:val="single" w:color="auto" w:sz="4" w:space="0"/>
              <w:left w:val="single" w:color="auto" w:sz="4" w:space="0"/>
              <w:bottom w:val="single" w:color="auto" w:sz="4" w:space="0"/>
              <w:right w:val="single" w:color="auto" w:sz="4" w:space="0"/>
            </w:tcBorders>
          </w:tcPr>
          <w:p w14:paraId="3DBF88BC">
            <w:pPr>
              <w:widowControl/>
              <w:rPr>
                <w:rFonts w:ascii="宋体" w:hAnsi="宋体"/>
                <w:color w:val="auto"/>
                <w:kern w:val="0"/>
                <w:sz w:val="22"/>
                <w:szCs w:val="22"/>
              </w:rPr>
            </w:pPr>
            <w:r>
              <w:rPr>
                <w:rFonts w:hint="eastAsia" w:ascii="宋体" w:hAnsi="宋体"/>
                <w:color w:val="auto"/>
                <w:kern w:val="0"/>
                <w:sz w:val="22"/>
                <w:szCs w:val="22"/>
              </w:rPr>
              <w:t>符合不见安全要求</w:t>
            </w:r>
          </w:p>
        </w:tc>
      </w:tr>
      <w:tr w14:paraId="5964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tcBorders>
              <w:top w:val="single" w:color="auto" w:sz="4" w:space="0"/>
              <w:left w:val="single" w:color="auto" w:sz="4" w:space="0"/>
              <w:bottom w:val="single" w:color="auto" w:sz="4" w:space="0"/>
              <w:right w:val="single" w:color="auto" w:sz="4" w:space="0"/>
            </w:tcBorders>
          </w:tcPr>
          <w:p w14:paraId="2D7FC53D">
            <w:pPr>
              <w:widowControl/>
              <w:rPr>
                <w:rFonts w:ascii="宋体" w:hAnsi="宋体"/>
                <w:color w:val="auto"/>
                <w:kern w:val="0"/>
                <w:sz w:val="22"/>
                <w:szCs w:val="22"/>
              </w:rPr>
            </w:pPr>
            <w:r>
              <w:rPr>
                <w:rFonts w:hint="eastAsia" w:ascii="宋体" w:hAnsi="宋体"/>
                <w:color w:val="auto"/>
                <w:kern w:val="0"/>
                <w:sz w:val="22"/>
                <w:szCs w:val="22"/>
              </w:rPr>
              <w:t>184</w:t>
            </w:r>
          </w:p>
        </w:tc>
        <w:tc>
          <w:tcPr>
            <w:tcW w:w="555" w:type="pct"/>
            <w:vMerge w:val="restart"/>
            <w:tcBorders>
              <w:top w:val="nil"/>
              <w:left w:val="single" w:color="auto" w:sz="4" w:space="0"/>
              <w:bottom w:val="single" w:color="auto" w:sz="4" w:space="0"/>
              <w:right w:val="single" w:color="auto" w:sz="4" w:space="0"/>
            </w:tcBorders>
            <w:vAlign w:val="center"/>
          </w:tcPr>
          <w:p w14:paraId="2CDC92DF">
            <w:pPr>
              <w:widowControl/>
              <w:rPr>
                <w:rFonts w:ascii="宋体" w:hAnsi="宋体"/>
                <w:color w:val="auto"/>
                <w:kern w:val="0"/>
                <w:sz w:val="22"/>
                <w:szCs w:val="22"/>
              </w:rPr>
            </w:pPr>
            <w:r>
              <w:rPr>
                <w:rFonts w:hint="eastAsia" w:ascii="宋体" w:hAnsi="宋体"/>
                <w:color w:val="auto"/>
                <w:kern w:val="0"/>
                <w:sz w:val="22"/>
                <w:szCs w:val="22"/>
              </w:rPr>
              <w:t>▲整机安全性要求</w:t>
            </w:r>
          </w:p>
        </w:tc>
        <w:tc>
          <w:tcPr>
            <w:tcW w:w="1356" w:type="pct"/>
            <w:tcBorders>
              <w:top w:val="single" w:color="auto" w:sz="4" w:space="0"/>
              <w:left w:val="single" w:color="auto" w:sz="4" w:space="0"/>
              <w:bottom w:val="single" w:color="auto" w:sz="4" w:space="0"/>
              <w:right w:val="single" w:color="auto" w:sz="4" w:space="0"/>
            </w:tcBorders>
          </w:tcPr>
          <w:p w14:paraId="40F5F3EE">
            <w:pPr>
              <w:widowControl/>
              <w:rPr>
                <w:rFonts w:ascii="宋体" w:hAnsi="宋体"/>
                <w:color w:val="auto"/>
                <w:kern w:val="0"/>
                <w:sz w:val="22"/>
                <w:szCs w:val="22"/>
              </w:rPr>
            </w:pPr>
            <w:r>
              <w:rPr>
                <w:rFonts w:hint="eastAsia" w:ascii="宋体" w:hAnsi="宋体"/>
                <w:color w:val="auto"/>
                <w:kern w:val="0"/>
                <w:sz w:val="22"/>
                <w:szCs w:val="22"/>
              </w:rPr>
              <w:t>▲密码算法实现</w:t>
            </w:r>
          </w:p>
        </w:tc>
        <w:tc>
          <w:tcPr>
            <w:tcW w:w="2740" w:type="pct"/>
            <w:tcBorders>
              <w:top w:val="single" w:color="auto" w:sz="4" w:space="0"/>
              <w:left w:val="single" w:color="auto" w:sz="4" w:space="0"/>
              <w:bottom w:val="single" w:color="auto" w:sz="4" w:space="0"/>
              <w:right w:val="single" w:color="auto" w:sz="4" w:space="0"/>
            </w:tcBorders>
          </w:tcPr>
          <w:p w14:paraId="05B76F27">
            <w:pPr>
              <w:widowControl/>
              <w:rPr>
                <w:rFonts w:ascii="宋体" w:hAnsi="宋体"/>
                <w:color w:val="auto"/>
                <w:kern w:val="0"/>
                <w:sz w:val="22"/>
                <w:szCs w:val="22"/>
              </w:rPr>
            </w:pPr>
            <w:r>
              <w:rPr>
                <w:rFonts w:hint="eastAsia" w:ascii="宋体" w:hAnsi="宋体"/>
                <w:color w:val="auto"/>
                <w:kern w:val="0"/>
                <w:sz w:val="22"/>
                <w:szCs w:val="22"/>
              </w:rPr>
              <w:t>CPU 芯片应具备安全性</w:t>
            </w:r>
          </w:p>
        </w:tc>
      </w:tr>
      <w:tr w14:paraId="46CA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2FB77519">
            <w:pPr>
              <w:widowControl/>
              <w:rPr>
                <w:rFonts w:ascii="宋体" w:hAnsi="宋体"/>
                <w:color w:val="auto"/>
                <w:kern w:val="0"/>
                <w:sz w:val="22"/>
                <w:szCs w:val="22"/>
              </w:rPr>
            </w:pPr>
            <w:r>
              <w:rPr>
                <w:rFonts w:hint="eastAsia" w:ascii="宋体" w:hAnsi="宋体"/>
                <w:color w:val="auto"/>
                <w:kern w:val="0"/>
                <w:sz w:val="22"/>
                <w:szCs w:val="22"/>
              </w:rPr>
              <w:t>185</w:t>
            </w:r>
          </w:p>
        </w:tc>
        <w:tc>
          <w:tcPr>
            <w:tcW w:w="0" w:type="auto"/>
            <w:vMerge w:val="continue"/>
            <w:tcBorders>
              <w:top w:val="nil"/>
              <w:left w:val="single" w:color="auto" w:sz="4" w:space="0"/>
              <w:bottom w:val="single" w:color="auto" w:sz="4" w:space="0"/>
              <w:right w:val="single" w:color="auto" w:sz="4" w:space="0"/>
            </w:tcBorders>
            <w:vAlign w:val="center"/>
          </w:tcPr>
          <w:p w14:paraId="13241019">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47C84CD2">
            <w:pPr>
              <w:widowControl/>
              <w:rPr>
                <w:rFonts w:ascii="宋体" w:hAnsi="宋体"/>
                <w:color w:val="auto"/>
                <w:kern w:val="0"/>
                <w:sz w:val="22"/>
                <w:szCs w:val="22"/>
              </w:rPr>
            </w:pPr>
            <w:r>
              <w:rPr>
                <w:rFonts w:hint="eastAsia" w:ascii="宋体" w:hAnsi="宋体"/>
                <w:color w:val="auto"/>
                <w:kern w:val="0"/>
                <w:sz w:val="22"/>
                <w:szCs w:val="22"/>
              </w:rPr>
              <w:t>▲USB端口管控</w:t>
            </w:r>
          </w:p>
        </w:tc>
        <w:tc>
          <w:tcPr>
            <w:tcW w:w="2740" w:type="pct"/>
            <w:tcBorders>
              <w:top w:val="single" w:color="auto" w:sz="4" w:space="0"/>
              <w:left w:val="single" w:color="auto" w:sz="4" w:space="0"/>
              <w:bottom w:val="single" w:color="auto" w:sz="4" w:space="0"/>
              <w:right w:val="single" w:color="auto" w:sz="4" w:space="0"/>
            </w:tcBorders>
          </w:tcPr>
          <w:p w14:paraId="273C5CF5">
            <w:pPr>
              <w:widowControl/>
              <w:rPr>
                <w:rFonts w:ascii="宋体" w:hAnsi="宋体"/>
                <w:color w:val="auto"/>
                <w:kern w:val="0"/>
                <w:sz w:val="22"/>
                <w:szCs w:val="22"/>
              </w:rPr>
            </w:pPr>
            <w:r>
              <w:rPr>
                <w:rFonts w:hint="eastAsia" w:ascii="宋体" w:hAnsi="宋体"/>
                <w:color w:val="auto"/>
                <w:kern w:val="0"/>
                <w:sz w:val="22"/>
                <w:szCs w:val="22"/>
              </w:rPr>
              <w:t>支持USB端口管控</w:t>
            </w:r>
          </w:p>
        </w:tc>
      </w:tr>
      <w:tr w14:paraId="79E0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1C36EB6D">
            <w:pPr>
              <w:widowControl/>
              <w:rPr>
                <w:rFonts w:ascii="宋体" w:hAnsi="宋体"/>
                <w:color w:val="auto"/>
                <w:kern w:val="0"/>
                <w:sz w:val="22"/>
                <w:szCs w:val="22"/>
              </w:rPr>
            </w:pPr>
            <w:r>
              <w:rPr>
                <w:rFonts w:hint="eastAsia" w:ascii="宋体" w:hAnsi="宋体"/>
                <w:color w:val="auto"/>
                <w:kern w:val="0"/>
                <w:sz w:val="22"/>
                <w:szCs w:val="22"/>
              </w:rPr>
              <w:t>186</w:t>
            </w:r>
          </w:p>
        </w:tc>
        <w:tc>
          <w:tcPr>
            <w:tcW w:w="0" w:type="auto"/>
            <w:vMerge w:val="continue"/>
            <w:tcBorders>
              <w:top w:val="nil"/>
              <w:left w:val="single" w:color="auto" w:sz="4" w:space="0"/>
              <w:bottom w:val="single" w:color="auto" w:sz="4" w:space="0"/>
              <w:right w:val="single" w:color="auto" w:sz="4" w:space="0"/>
            </w:tcBorders>
            <w:vAlign w:val="center"/>
          </w:tcPr>
          <w:p w14:paraId="00490F42">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1EC2AD4A">
            <w:pPr>
              <w:widowControl/>
              <w:rPr>
                <w:rFonts w:ascii="宋体" w:hAnsi="宋体"/>
                <w:color w:val="auto"/>
                <w:kern w:val="0"/>
                <w:sz w:val="22"/>
                <w:szCs w:val="22"/>
              </w:rPr>
            </w:pPr>
            <w:r>
              <w:rPr>
                <w:rFonts w:hint="eastAsia" w:ascii="宋体" w:hAnsi="宋体"/>
                <w:color w:val="auto"/>
                <w:kern w:val="0"/>
                <w:sz w:val="22"/>
                <w:szCs w:val="22"/>
              </w:rPr>
              <w:t>▲安全物理锁</w:t>
            </w:r>
          </w:p>
        </w:tc>
        <w:tc>
          <w:tcPr>
            <w:tcW w:w="2740" w:type="pct"/>
            <w:tcBorders>
              <w:top w:val="single" w:color="auto" w:sz="4" w:space="0"/>
              <w:left w:val="single" w:color="auto" w:sz="4" w:space="0"/>
              <w:bottom w:val="single" w:color="auto" w:sz="4" w:space="0"/>
              <w:right w:val="single" w:color="auto" w:sz="4" w:space="0"/>
            </w:tcBorders>
          </w:tcPr>
          <w:p w14:paraId="3C1D294C">
            <w:pPr>
              <w:widowControl/>
              <w:rPr>
                <w:rFonts w:ascii="宋体" w:hAnsi="宋体"/>
                <w:color w:val="auto"/>
                <w:kern w:val="0"/>
                <w:sz w:val="22"/>
                <w:szCs w:val="22"/>
              </w:rPr>
            </w:pPr>
            <w:r>
              <w:rPr>
                <w:rFonts w:hint="eastAsia" w:ascii="宋体" w:hAnsi="宋体"/>
                <w:color w:val="auto"/>
                <w:kern w:val="0"/>
                <w:sz w:val="22"/>
                <w:szCs w:val="22"/>
              </w:rPr>
              <w:t>具备机箱锁孔；集成配件线缆锁</w:t>
            </w:r>
          </w:p>
        </w:tc>
      </w:tr>
      <w:tr w14:paraId="21B2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347" w:type="pct"/>
            <w:tcBorders>
              <w:top w:val="single" w:color="auto" w:sz="4" w:space="0"/>
              <w:left w:val="single" w:color="auto" w:sz="4" w:space="0"/>
              <w:bottom w:val="single" w:color="auto" w:sz="4" w:space="0"/>
              <w:right w:val="single" w:color="auto" w:sz="4" w:space="0"/>
            </w:tcBorders>
          </w:tcPr>
          <w:p w14:paraId="5C65726B">
            <w:pPr>
              <w:widowControl/>
              <w:rPr>
                <w:rFonts w:ascii="宋体" w:hAnsi="宋体"/>
                <w:color w:val="auto"/>
                <w:kern w:val="0"/>
                <w:sz w:val="22"/>
                <w:szCs w:val="22"/>
              </w:rPr>
            </w:pPr>
            <w:r>
              <w:rPr>
                <w:rFonts w:hint="eastAsia" w:ascii="宋体" w:hAnsi="宋体"/>
                <w:color w:val="auto"/>
                <w:kern w:val="0"/>
                <w:sz w:val="22"/>
                <w:szCs w:val="22"/>
              </w:rPr>
              <w:t>187</w:t>
            </w:r>
          </w:p>
        </w:tc>
        <w:tc>
          <w:tcPr>
            <w:tcW w:w="0" w:type="auto"/>
            <w:vMerge w:val="continue"/>
            <w:tcBorders>
              <w:top w:val="nil"/>
              <w:left w:val="single" w:color="auto" w:sz="4" w:space="0"/>
              <w:bottom w:val="single" w:color="auto" w:sz="4" w:space="0"/>
              <w:right w:val="single" w:color="auto" w:sz="4" w:space="0"/>
            </w:tcBorders>
            <w:vAlign w:val="center"/>
          </w:tcPr>
          <w:p w14:paraId="7EBDCE6F">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00E5ADF3">
            <w:pPr>
              <w:widowControl/>
              <w:rPr>
                <w:rFonts w:ascii="宋体" w:hAnsi="宋体"/>
                <w:color w:val="auto"/>
                <w:kern w:val="0"/>
                <w:sz w:val="22"/>
                <w:szCs w:val="22"/>
              </w:rPr>
            </w:pPr>
            <w:r>
              <w:rPr>
                <w:rFonts w:hint="eastAsia" w:ascii="宋体" w:hAnsi="宋体"/>
                <w:color w:val="auto"/>
                <w:kern w:val="0"/>
                <w:sz w:val="22"/>
                <w:szCs w:val="22"/>
              </w:rPr>
              <w:t>▲信息安全基本要求</w:t>
            </w:r>
          </w:p>
        </w:tc>
        <w:tc>
          <w:tcPr>
            <w:tcW w:w="2740" w:type="pct"/>
            <w:tcBorders>
              <w:top w:val="single" w:color="auto" w:sz="4" w:space="0"/>
              <w:left w:val="single" w:color="auto" w:sz="4" w:space="0"/>
              <w:bottom w:val="single" w:color="auto" w:sz="4" w:space="0"/>
              <w:right w:val="single" w:color="auto" w:sz="4" w:space="0"/>
            </w:tcBorders>
          </w:tcPr>
          <w:p w14:paraId="67740324">
            <w:pPr>
              <w:widowControl/>
              <w:rPr>
                <w:rFonts w:ascii="宋体" w:hAnsi="宋体"/>
                <w:color w:val="auto"/>
                <w:kern w:val="0"/>
                <w:sz w:val="22"/>
                <w:szCs w:val="22"/>
              </w:rPr>
            </w:pPr>
            <w:r>
              <w:rPr>
                <w:rFonts w:hint="eastAsia" w:ascii="宋体" w:hAnsi="宋体"/>
                <w:color w:val="auto"/>
                <w:kern w:val="0"/>
                <w:sz w:val="22"/>
                <w:szCs w:val="22"/>
              </w:rPr>
              <w:t xml:space="preserve">a) 产品应符合GB/T 39276的5.2的规定； </w:t>
            </w:r>
            <w:r>
              <w:rPr>
                <w:rFonts w:hint="eastAsia" w:ascii="宋体" w:hAnsi="宋体"/>
                <w:color w:val="auto"/>
                <w:kern w:val="0"/>
                <w:sz w:val="22"/>
                <w:szCs w:val="22"/>
              </w:rPr>
              <w:br w:type="textWrapping"/>
            </w:r>
            <w:r>
              <w:rPr>
                <w:rFonts w:hint="eastAsia" w:ascii="宋体" w:hAnsi="宋体"/>
                <w:color w:val="auto"/>
                <w:kern w:val="0"/>
                <w:sz w:val="22"/>
                <w:szCs w:val="22"/>
              </w:rPr>
              <w:t xml:space="preserve">b) 生产厂商应建立漏洞跟踪表，保证产品版本涉及到的漏洞(如驱动程序等)可查看； </w:t>
            </w:r>
            <w:r>
              <w:rPr>
                <w:rFonts w:hint="eastAsia" w:ascii="宋体" w:hAnsi="宋体"/>
                <w:color w:val="auto"/>
                <w:kern w:val="0"/>
                <w:sz w:val="22"/>
                <w:szCs w:val="22"/>
              </w:rPr>
              <w:br w:type="textWrapping"/>
            </w:r>
            <w:r>
              <w:rPr>
                <w:rFonts w:hint="eastAsia" w:ascii="宋体" w:hAnsi="宋体"/>
                <w:color w:val="auto"/>
                <w:kern w:val="0"/>
                <w:sz w:val="22"/>
                <w:szCs w:val="22"/>
              </w:rPr>
              <w:t>c) 产品不得包含已知的恶意代码或漏洞，不存在未声明的指令、功能、接口</w:t>
            </w:r>
          </w:p>
        </w:tc>
      </w:tr>
      <w:tr w14:paraId="5394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tcPr>
          <w:p w14:paraId="2E7A2DD6">
            <w:pPr>
              <w:widowControl/>
              <w:rPr>
                <w:rFonts w:ascii="宋体" w:hAnsi="宋体"/>
                <w:color w:val="auto"/>
                <w:kern w:val="0"/>
                <w:sz w:val="22"/>
                <w:szCs w:val="22"/>
              </w:rPr>
            </w:pPr>
            <w:r>
              <w:rPr>
                <w:rFonts w:hint="eastAsia" w:ascii="宋体" w:hAnsi="宋体"/>
                <w:color w:val="auto"/>
                <w:kern w:val="0"/>
                <w:sz w:val="22"/>
                <w:szCs w:val="22"/>
              </w:rPr>
              <w:t>188</w:t>
            </w:r>
          </w:p>
        </w:tc>
        <w:tc>
          <w:tcPr>
            <w:tcW w:w="0" w:type="auto"/>
            <w:vMerge w:val="continue"/>
            <w:tcBorders>
              <w:top w:val="nil"/>
              <w:left w:val="single" w:color="auto" w:sz="4" w:space="0"/>
              <w:bottom w:val="single" w:color="auto" w:sz="4" w:space="0"/>
              <w:right w:val="single" w:color="auto" w:sz="4" w:space="0"/>
            </w:tcBorders>
            <w:vAlign w:val="center"/>
          </w:tcPr>
          <w:p w14:paraId="1CD75F7D">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5FA757BC">
            <w:pPr>
              <w:widowControl/>
              <w:rPr>
                <w:rFonts w:ascii="宋体" w:hAnsi="宋体"/>
                <w:color w:val="auto"/>
                <w:kern w:val="0"/>
                <w:sz w:val="22"/>
                <w:szCs w:val="22"/>
              </w:rPr>
            </w:pPr>
            <w:r>
              <w:rPr>
                <w:rFonts w:hint="eastAsia" w:ascii="宋体" w:hAnsi="宋体"/>
                <w:color w:val="auto"/>
                <w:kern w:val="0"/>
                <w:sz w:val="22"/>
                <w:szCs w:val="22"/>
              </w:rPr>
              <w:t>▲固件安全启动</w:t>
            </w:r>
          </w:p>
        </w:tc>
        <w:tc>
          <w:tcPr>
            <w:tcW w:w="2740" w:type="pct"/>
            <w:tcBorders>
              <w:top w:val="single" w:color="auto" w:sz="4" w:space="0"/>
              <w:left w:val="single" w:color="auto" w:sz="4" w:space="0"/>
              <w:bottom w:val="single" w:color="auto" w:sz="4" w:space="0"/>
              <w:right w:val="single" w:color="auto" w:sz="4" w:space="0"/>
            </w:tcBorders>
          </w:tcPr>
          <w:p w14:paraId="3749E370">
            <w:pPr>
              <w:widowControl/>
              <w:rPr>
                <w:rFonts w:ascii="宋体" w:hAnsi="宋体"/>
                <w:color w:val="auto"/>
                <w:kern w:val="0"/>
                <w:sz w:val="22"/>
                <w:szCs w:val="22"/>
              </w:rPr>
            </w:pPr>
            <w:r>
              <w:rPr>
                <w:rFonts w:hint="eastAsia" w:ascii="宋体" w:hAnsi="宋体"/>
                <w:color w:val="auto"/>
                <w:kern w:val="0"/>
                <w:sz w:val="22"/>
                <w:szCs w:val="22"/>
              </w:rPr>
              <w:t>支持固件安全启动功能，固件启动过程中只有通过启动校验才能正常启动</w:t>
            </w:r>
          </w:p>
        </w:tc>
      </w:tr>
      <w:tr w14:paraId="1C93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47" w:type="pct"/>
            <w:tcBorders>
              <w:top w:val="single" w:color="auto" w:sz="4" w:space="0"/>
              <w:left w:val="single" w:color="auto" w:sz="4" w:space="0"/>
              <w:bottom w:val="single" w:color="auto" w:sz="4" w:space="0"/>
              <w:right w:val="single" w:color="auto" w:sz="4" w:space="0"/>
            </w:tcBorders>
          </w:tcPr>
          <w:p w14:paraId="6675D73A">
            <w:pPr>
              <w:widowControl/>
              <w:rPr>
                <w:rFonts w:ascii="宋体" w:hAnsi="宋体"/>
                <w:color w:val="auto"/>
                <w:kern w:val="0"/>
                <w:sz w:val="22"/>
                <w:szCs w:val="22"/>
              </w:rPr>
            </w:pPr>
            <w:r>
              <w:rPr>
                <w:rFonts w:hint="eastAsia" w:ascii="宋体" w:hAnsi="宋体"/>
                <w:color w:val="auto"/>
                <w:kern w:val="0"/>
                <w:sz w:val="22"/>
                <w:szCs w:val="22"/>
              </w:rPr>
              <w:t>189</w:t>
            </w:r>
          </w:p>
        </w:tc>
        <w:tc>
          <w:tcPr>
            <w:tcW w:w="0" w:type="auto"/>
            <w:vMerge w:val="continue"/>
            <w:tcBorders>
              <w:top w:val="nil"/>
              <w:left w:val="single" w:color="auto" w:sz="4" w:space="0"/>
              <w:bottom w:val="single" w:color="auto" w:sz="4" w:space="0"/>
              <w:right w:val="single" w:color="auto" w:sz="4" w:space="0"/>
            </w:tcBorders>
            <w:vAlign w:val="center"/>
          </w:tcPr>
          <w:p w14:paraId="07E872B4">
            <w:pPr>
              <w:widowControl/>
              <w:jc w:val="left"/>
              <w:rPr>
                <w:rFonts w:ascii="宋体" w:hAnsi="宋体" w:cs="Arial"/>
                <w:color w:val="auto"/>
                <w:kern w:val="0"/>
                <w:sz w:val="22"/>
                <w:szCs w:val="22"/>
              </w:rPr>
            </w:pPr>
          </w:p>
        </w:tc>
        <w:tc>
          <w:tcPr>
            <w:tcW w:w="1356" w:type="pct"/>
            <w:tcBorders>
              <w:top w:val="single" w:color="auto" w:sz="4" w:space="0"/>
              <w:left w:val="single" w:color="auto" w:sz="4" w:space="0"/>
              <w:bottom w:val="single" w:color="auto" w:sz="4" w:space="0"/>
              <w:right w:val="single" w:color="auto" w:sz="4" w:space="0"/>
            </w:tcBorders>
          </w:tcPr>
          <w:p w14:paraId="5AF51B86">
            <w:pPr>
              <w:widowControl/>
              <w:rPr>
                <w:rFonts w:ascii="宋体" w:hAnsi="宋体"/>
                <w:color w:val="auto"/>
                <w:kern w:val="0"/>
                <w:sz w:val="22"/>
                <w:szCs w:val="22"/>
              </w:rPr>
            </w:pPr>
            <w:r>
              <w:rPr>
                <w:rFonts w:hint="eastAsia" w:ascii="宋体" w:hAnsi="宋体"/>
                <w:color w:val="auto"/>
                <w:kern w:val="0"/>
                <w:sz w:val="22"/>
                <w:szCs w:val="22"/>
              </w:rPr>
              <w:t>▲限用物质的限量要求</w:t>
            </w:r>
          </w:p>
        </w:tc>
        <w:tc>
          <w:tcPr>
            <w:tcW w:w="2740" w:type="pct"/>
            <w:tcBorders>
              <w:top w:val="single" w:color="auto" w:sz="4" w:space="0"/>
              <w:left w:val="single" w:color="auto" w:sz="4" w:space="0"/>
              <w:bottom w:val="single" w:color="auto" w:sz="4" w:space="0"/>
              <w:right w:val="single" w:color="auto" w:sz="4" w:space="0"/>
            </w:tcBorders>
          </w:tcPr>
          <w:p w14:paraId="58003E62">
            <w:pPr>
              <w:widowControl/>
              <w:rPr>
                <w:rFonts w:ascii="宋体" w:hAnsi="宋体"/>
                <w:color w:val="auto"/>
                <w:kern w:val="0"/>
                <w:sz w:val="22"/>
                <w:szCs w:val="22"/>
              </w:rPr>
            </w:pPr>
            <w:r>
              <w:rPr>
                <w:rFonts w:hint="eastAsia" w:ascii="宋体" w:hAnsi="宋体"/>
                <w:color w:val="auto"/>
                <w:kern w:val="0"/>
                <w:sz w:val="22"/>
                <w:szCs w:val="22"/>
              </w:rPr>
              <w:t>符合GB/T 26572中规定</w:t>
            </w:r>
          </w:p>
        </w:tc>
      </w:tr>
    </w:tbl>
    <w:p w14:paraId="07E955E1">
      <w:pPr>
        <w:rPr>
          <w:color w:val="auto"/>
          <w:sz w:val="22"/>
          <w:szCs w:val="22"/>
        </w:rPr>
      </w:pPr>
    </w:p>
    <w:p w14:paraId="0526C804">
      <w:pPr>
        <w:pStyle w:val="62"/>
        <w:ind w:firstLine="440"/>
        <w:rPr>
          <w:rFonts w:ascii="宋体" w:hAnsi="宋体" w:eastAsia="宋体"/>
          <w:color w:val="auto"/>
          <w:sz w:val="22"/>
          <w:szCs w:val="22"/>
        </w:rPr>
      </w:pPr>
    </w:p>
    <w:p w14:paraId="758F69BF">
      <w:pPr>
        <w:pStyle w:val="80"/>
        <w:ind w:firstLine="0" w:firstLineChars="0"/>
        <w:rPr>
          <w:rFonts w:ascii="宋体" w:hAnsi="宋体" w:eastAsia="宋体"/>
          <w:b/>
          <w:bCs/>
          <w:color w:val="auto"/>
          <w:sz w:val="22"/>
          <w:szCs w:val="22"/>
        </w:rPr>
      </w:pPr>
      <w:r>
        <w:rPr>
          <w:rFonts w:hint="eastAsia" w:ascii="宋体" w:hAnsi="宋体" w:eastAsia="宋体"/>
          <w:b/>
          <w:bCs/>
          <w:color w:val="auto"/>
          <w:sz w:val="22"/>
          <w:szCs w:val="22"/>
        </w:rPr>
        <w:t>（3）教学用笔记本电脑：5</w:t>
      </w:r>
      <w:r>
        <w:rPr>
          <w:rFonts w:ascii="宋体" w:hAnsi="宋体" w:eastAsia="宋体"/>
          <w:b/>
          <w:bCs/>
          <w:color w:val="auto"/>
          <w:sz w:val="22"/>
          <w:szCs w:val="22"/>
        </w:rPr>
        <w:t>0</w:t>
      </w:r>
      <w:r>
        <w:rPr>
          <w:rFonts w:hint="eastAsia" w:ascii="宋体" w:hAnsi="宋体" w:eastAsia="宋体"/>
          <w:b/>
          <w:bCs/>
          <w:color w:val="auto"/>
          <w:sz w:val="22"/>
          <w:szCs w:val="22"/>
        </w:rPr>
        <w:t>台</w:t>
      </w:r>
    </w:p>
    <w:tbl>
      <w:tblPr>
        <w:tblStyle w:val="973"/>
        <w:tblW w:w="5490" w:type="pct"/>
        <w:tblInd w:w="-4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81"/>
        <w:gridCol w:w="893"/>
        <w:gridCol w:w="1654"/>
        <w:gridCol w:w="6069"/>
      </w:tblGrid>
      <w:tr w14:paraId="2D1C0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21F154D">
            <w:pPr>
              <w:widowControl/>
              <w:kinsoku w:val="0"/>
              <w:autoSpaceDE w:val="0"/>
              <w:autoSpaceDN w:val="0"/>
              <w:snapToGrid w:val="0"/>
              <w:spacing w:before="59"/>
              <w:jc w:val="center"/>
              <w:textAlignment w:val="baseline"/>
              <w:rPr>
                <w:rFonts w:ascii="宋体" w:hAnsi="宋体" w:eastAsia="Times New Roman"/>
                <w:color w:val="auto"/>
                <w:kern w:val="0"/>
                <w:sz w:val="22"/>
                <w:szCs w:val="22"/>
              </w:rPr>
            </w:pPr>
            <w:r>
              <w:rPr>
                <w:rFonts w:hint="eastAsia" w:ascii="宋体" w:hAnsi="宋体" w:eastAsia="Times New Roman"/>
                <w:b/>
                <w:bCs/>
                <w:color w:val="auto"/>
                <w:spacing w:val="-6"/>
                <w:kern w:val="0"/>
                <w:sz w:val="22"/>
                <w:szCs w:val="22"/>
              </w:rPr>
              <w:t>序号</w:t>
            </w:r>
          </w:p>
        </w:tc>
        <w:tc>
          <w:tcPr>
            <w:tcW w:w="491" w:type="pct"/>
            <w:tcBorders>
              <w:top w:val="single" w:color="000000" w:sz="2" w:space="0"/>
              <w:left w:val="single" w:color="000000" w:sz="2" w:space="0"/>
              <w:bottom w:val="single" w:color="000000" w:sz="2" w:space="0"/>
              <w:right w:val="single" w:color="000000" w:sz="2" w:space="0"/>
            </w:tcBorders>
            <w:vAlign w:val="center"/>
          </w:tcPr>
          <w:p w14:paraId="0677C950">
            <w:pPr>
              <w:widowControl/>
              <w:kinsoku w:val="0"/>
              <w:autoSpaceDE w:val="0"/>
              <w:autoSpaceDN w:val="0"/>
              <w:snapToGrid w:val="0"/>
              <w:spacing w:before="196"/>
              <w:ind w:right="173"/>
              <w:jc w:val="center"/>
              <w:textAlignment w:val="baseline"/>
              <w:rPr>
                <w:rFonts w:ascii="宋体" w:hAnsi="宋体" w:eastAsia="Times New Roman"/>
                <w:color w:val="auto"/>
                <w:kern w:val="0"/>
                <w:sz w:val="22"/>
                <w:szCs w:val="22"/>
              </w:rPr>
            </w:pPr>
            <w:r>
              <w:rPr>
                <w:rFonts w:hint="eastAsia" w:ascii="宋体" w:hAnsi="宋体" w:eastAsia="Times New Roman"/>
                <w:b/>
                <w:bCs/>
                <w:color w:val="auto"/>
                <w:spacing w:val="-7"/>
                <w:kern w:val="0"/>
                <w:sz w:val="22"/>
                <w:szCs w:val="22"/>
              </w:rPr>
              <w:t>一级</w:t>
            </w:r>
            <w:r>
              <w:rPr>
                <w:rFonts w:hint="eastAsia" w:ascii="宋体" w:hAnsi="宋体" w:eastAsia="Times New Roman"/>
                <w:b/>
                <w:bCs/>
                <w:color w:val="auto"/>
                <w:spacing w:val="-2"/>
                <w:kern w:val="0"/>
                <w:position w:val="-1"/>
                <w:sz w:val="22"/>
                <w:szCs w:val="22"/>
              </w:rPr>
              <w:t>指标</w:t>
            </w:r>
            <w:r>
              <w:rPr>
                <w:color w:val="auto"/>
              </w:rPr>
              <w:fldChar w:fldCharType="begin"/>
            </w:r>
            <w:r>
              <w:rPr>
                <w:color w:val="auto"/>
              </w:rPr>
              <w:instrText xml:space="preserve"> HYPERLINK "file:///C:\\Users\\yx\\Desktop\\教学用笔记本电脑，数量：50.docx" \l "bookmark1" </w:instrText>
            </w:r>
            <w:r>
              <w:rPr>
                <w:color w:val="auto"/>
              </w:rPr>
              <w:fldChar w:fldCharType="separate"/>
            </w:r>
            <w:r>
              <w:rPr>
                <w:rFonts w:hint="eastAsia" w:ascii="宋体" w:hAnsi="宋体" w:eastAsia="Times New Roman"/>
                <w:color w:val="auto"/>
                <w:kern w:val="0"/>
                <w:sz w:val="22"/>
                <w:szCs w:val="22"/>
                <w:u w:val="single"/>
              </w:rPr>
              <w:t>1</w:t>
            </w:r>
            <w:r>
              <w:rPr>
                <w:rFonts w:hint="eastAsia" w:ascii="宋体" w:hAnsi="宋体" w:eastAsia="Times New Roman"/>
                <w:color w:val="auto"/>
                <w:kern w:val="0"/>
                <w:sz w:val="22"/>
                <w:szCs w:val="22"/>
                <w:u w:val="single"/>
              </w:rPr>
              <w:fldChar w:fldCharType="end"/>
            </w:r>
          </w:p>
        </w:tc>
        <w:tc>
          <w:tcPr>
            <w:tcW w:w="909" w:type="pct"/>
            <w:tcBorders>
              <w:top w:val="single" w:color="000000" w:sz="2" w:space="0"/>
              <w:left w:val="single" w:color="000000" w:sz="2" w:space="0"/>
              <w:bottom w:val="single" w:color="000000" w:sz="2" w:space="0"/>
              <w:right w:val="single" w:color="000000" w:sz="2" w:space="0"/>
            </w:tcBorders>
            <w:vAlign w:val="center"/>
          </w:tcPr>
          <w:p w14:paraId="33430122">
            <w:pPr>
              <w:widowControl/>
              <w:kinsoku w:val="0"/>
              <w:autoSpaceDE w:val="0"/>
              <w:autoSpaceDN w:val="0"/>
              <w:snapToGrid w:val="0"/>
              <w:spacing w:before="196"/>
              <w:ind w:right="293"/>
              <w:jc w:val="center"/>
              <w:textAlignment w:val="baseline"/>
              <w:rPr>
                <w:rFonts w:ascii="宋体" w:hAnsi="宋体" w:eastAsia="Times New Roman"/>
                <w:color w:val="auto"/>
                <w:kern w:val="0"/>
                <w:sz w:val="22"/>
                <w:szCs w:val="22"/>
              </w:rPr>
            </w:pPr>
            <w:r>
              <w:rPr>
                <w:rFonts w:hint="eastAsia" w:ascii="宋体" w:hAnsi="宋体" w:eastAsia="Times New Roman"/>
                <w:b/>
                <w:bCs/>
                <w:color w:val="auto"/>
                <w:spacing w:val="-7"/>
                <w:kern w:val="0"/>
                <w:sz w:val="22"/>
                <w:szCs w:val="22"/>
              </w:rPr>
              <w:t>二级</w:t>
            </w:r>
            <w:r>
              <w:rPr>
                <w:rFonts w:hint="eastAsia" w:ascii="宋体" w:hAnsi="宋体" w:eastAsia="Times New Roman"/>
                <w:b/>
                <w:bCs/>
                <w:color w:val="auto"/>
                <w:spacing w:val="-5"/>
                <w:kern w:val="0"/>
                <w:position w:val="-1"/>
                <w:sz w:val="22"/>
                <w:szCs w:val="22"/>
              </w:rPr>
              <w:t>指标</w:t>
            </w:r>
            <w:r>
              <w:rPr>
                <w:rFonts w:hint="eastAsia" w:ascii="宋体" w:hAnsi="宋体" w:eastAsia="Times New Roman"/>
                <w:color w:val="auto"/>
                <w:spacing w:val="-34"/>
                <w:kern w:val="0"/>
                <w:position w:val="-1"/>
                <w:sz w:val="22"/>
                <w:szCs w:val="22"/>
              </w:rPr>
              <w:t xml:space="preserve"> </w:t>
            </w:r>
            <w:r>
              <w:rPr>
                <w:rFonts w:hint="eastAsia" w:ascii="宋体" w:hAnsi="宋体" w:eastAsia="Times New Roman"/>
                <w:b/>
                <w:bCs/>
                <w:color w:val="auto"/>
                <w:spacing w:val="-5"/>
                <w:kern w:val="0"/>
                <w:position w:val="8"/>
                <w:sz w:val="22"/>
                <w:szCs w:val="22"/>
              </w:rPr>
              <w:t>1</w:t>
            </w:r>
          </w:p>
        </w:tc>
        <w:tc>
          <w:tcPr>
            <w:tcW w:w="3335" w:type="pct"/>
            <w:tcBorders>
              <w:top w:val="single" w:color="000000" w:sz="2" w:space="0"/>
              <w:left w:val="single" w:color="000000" w:sz="2" w:space="0"/>
              <w:bottom w:val="single" w:color="000000" w:sz="2" w:space="0"/>
              <w:right w:val="single" w:color="000000" w:sz="2" w:space="0"/>
            </w:tcBorders>
            <w:vAlign w:val="center"/>
          </w:tcPr>
          <w:p w14:paraId="39D26553">
            <w:pPr>
              <w:widowControl/>
              <w:kinsoku w:val="0"/>
              <w:autoSpaceDE w:val="0"/>
              <w:autoSpaceDN w:val="0"/>
              <w:snapToGrid w:val="0"/>
              <w:spacing w:before="59"/>
              <w:jc w:val="center"/>
              <w:textAlignment w:val="baseline"/>
              <w:rPr>
                <w:rFonts w:ascii="宋体" w:hAnsi="宋体" w:eastAsia="Times New Roman"/>
                <w:color w:val="auto"/>
                <w:kern w:val="0"/>
                <w:sz w:val="22"/>
                <w:szCs w:val="22"/>
              </w:rPr>
            </w:pPr>
            <w:r>
              <w:rPr>
                <w:rFonts w:hint="eastAsia" w:ascii="宋体" w:hAnsi="宋体" w:eastAsia="Times New Roman"/>
                <w:b/>
                <w:bCs/>
                <w:color w:val="auto"/>
                <w:spacing w:val="-3"/>
                <w:kern w:val="0"/>
                <w:sz w:val="22"/>
                <w:szCs w:val="22"/>
              </w:rPr>
              <w:t>指标要求</w:t>
            </w:r>
          </w:p>
        </w:tc>
      </w:tr>
      <w:tr w14:paraId="1BC90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602491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w:t>
            </w:r>
          </w:p>
        </w:tc>
        <w:tc>
          <w:tcPr>
            <w:tcW w:w="491" w:type="pct"/>
            <w:tcBorders>
              <w:top w:val="single" w:color="000000" w:sz="2" w:space="0"/>
              <w:left w:val="single" w:color="000000" w:sz="2" w:space="0"/>
              <w:bottom w:val="single" w:color="000000" w:sz="2" w:space="0"/>
              <w:right w:val="single" w:color="000000" w:sz="2" w:space="0"/>
            </w:tcBorders>
            <w:vAlign w:val="center"/>
          </w:tcPr>
          <w:p w14:paraId="530A099D">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▲CPU规格</w:t>
            </w:r>
          </w:p>
        </w:tc>
        <w:tc>
          <w:tcPr>
            <w:tcW w:w="909" w:type="pct"/>
            <w:tcBorders>
              <w:top w:val="single" w:color="000000" w:sz="2" w:space="0"/>
              <w:left w:val="single" w:color="000000" w:sz="2" w:space="0"/>
              <w:bottom w:val="single" w:color="000000" w:sz="2" w:space="0"/>
              <w:right w:val="single" w:color="000000" w:sz="2" w:space="0"/>
            </w:tcBorders>
            <w:vAlign w:val="center"/>
          </w:tcPr>
          <w:p w14:paraId="7F8E654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▲CPU 信息</w:t>
            </w:r>
          </w:p>
        </w:tc>
        <w:tc>
          <w:tcPr>
            <w:tcW w:w="3335" w:type="pct"/>
            <w:tcBorders>
              <w:top w:val="single" w:color="000000" w:sz="2" w:space="0"/>
              <w:left w:val="single" w:color="000000" w:sz="2" w:space="0"/>
              <w:bottom w:val="single" w:color="000000" w:sz="2" w:space="0"/>
              <w:right w:val="single" w:color="000000" w:sz="2" w:space="0"/>
            </w:tcBorders>
            <w:vAlign w:val="center"/>
          </w:tcPr>
          <w:p w14:paraId="584228C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CPU：≥8 核 16 线程，基础频率：≥1.9 GHz，最大睿频：≥4.8GHz  缓存：L2≥8MB、L3≥12MB</w:t>
            </w:r>
          </w:p>
        </w:tc>
      </w:tr>
      <w:tr w14:paraId="73C92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9397729">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2</w:t>
            </w:r>
          </w:p>
        </w:tc>
        <w:tc>
          <w:tcPr>
            <w:tcW w:w="491" w:type="pct"/>
            <w:vMerge w:val="restart"/>
            <w:tcBorders>
              <w:top w:val="nil"/>
              <w:left w:val="single" w:color="000000" w:sz="2" w:space="0"/>
              <w:bottom w:val="nil"/>
              <w:right w:val="single" w:color="000000" w:sz="2" w:space="0"/>
            </w:tcBorders>
            <w:vAlign w:val="center"/>
          </w:tcPr>
          <w:p w14:paraId="50B3F544">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▲内存规格</w:t>
            </w:r>
          </w:p>
        </w:tc>
        <w:tc>
          <w:tcPr>
            <w:tcW w:w="909" w:type="pct"/>
            <w:tcBorders>
              <w:top w:val="single" w:color="000000" w:sz="2" w:space="0"/>
              <w:left w:val="single" w:color="000000" w:sz="2" w:space="0"/>
              <w:bottom w:val="single" w:color="000000" w:sz="2" w:space="0"/>
              <w:right w:val="single" w:color="000000" w:sz="2" w:space="0"/>
            </w:tcBorders>
            <w:vAlign w:val="center"/>
          </w:tcPr>
          <w:p w14:paraId="4537F24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▲内存配置容量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5111685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≥16GB DDR5</w:t>
            </w:r>
          </w:p>
        </w:tc>
      </w:tr>
      <w:tr w14:paraId="0DEBE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5A9CF69">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3</w:t>
            </w:r>
          </w:p>
        </w:tc>
        <w:tc>
          <w:tcPr>
            <w:tcW w:w="491" w:type="pct"/>
            <w:vMerge w:val="continue"/>
            <w:tcBorders>
              <w:top w:val="nil"/>
              <w:left w:val="single" w:color="000000" w:sz="2" w:space="0"/>
              <w:bottom w:val="nil"/>
              <w:right w:val="single" w:color="000000" w:sz="2" w:space="0"/>
            </w:tcBorders>
            <w:vAlign w:val="center"/>
          </w:tcPr>
          <w:p w14:paraId="10D97844">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105CAA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▲内存类型</w:t>
            </w:r>
          </w:p>
        </w:tc>
        <w:tc>
          <w:tcPr>
            <w:tcW w:w="3335" w:type="pct"/>
            <w:tcBorders>
              <w:top w:val="single" w:color="000000" w:sz="2" w:space="0"/>
              <w:left w:val="single" w:color="000000" w:sz="2" w:space="0"/>
              <w:bottom w:val="single" w:color="000000" w:sz="2" w:space="0"/>
              <w:right w:val="single" w:color="000000" w:sz="2" w:space="0"/>
            </w:tcBorders>
            <w:vAlign w:val="center"/>
          </w:tcPr>
          <w:p w14:paraId="22CCC38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 DDR4/LPDDR4/LPDDR4X 及以上内存类型</w:t>
            </w:r>
          </w:p>
        </w:tc>
      </w:tr>
      <w:tr w14:paraId="24133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D3240B2">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4</w:t>
            </w:r>
          </w:p>
        </w:tc>
        <w:tc>
          <w:tcPr>
            <w:tcW w:w="491" w:type="pct"/>
            <w:vMerge w:val="continue"/>
            <w:tcBorders>
              <w:top w:val="nil"/>
              <w:left w:val="single" w:color="000000" w:sz="2" w:space="0"/>
              <w:bottom w:val="nil"/>
              <w:right w:val="single" w:color="000000" w:sz="2" w:space="0"/>
            </w:tcBorders>
            <w:vAlign w:val="center"/>
          </w:tcPr>
          <w:p w14:paraId="40CCC170">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0457CE2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▲内存条配置数量</w:t>
            </w:r>
          </w:p>
          <w:p w14:paraId="5DBF4FA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（板载内存不涉及）</w:t>
            </w:r>
          </w:p>
        </w:tc>
        <w:tc>
          <w:tcPr>
            <w:tcW w:w="3335" w:type="pct"/>
            <w:tcBorders>
              <w:top w:val="single" w:color="000000" w:sz="2" w:space="0"/>
              <w:left w:val="single" w:color="000000" w:sz="2" w:space="0"/>
              <w:bottom w:val="single" w:color="000000" w:sz="2" w:space="0"/>
              <w:right w:val="single" w:color="000000" w:sz="2" w:space="0"/>
            </w:tcBorders>
            <w:vAlign w:val="center"/>
          </w:tcPr>
          <w:p w14:paraId="22D8DD9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w:t>
            </w:r>
          </w:p>
        </w:tc>
      </w:tr>
      <w:tr w14:paraId="7B5BA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CFBCFD9">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5</w:t>
            </w:r>
          </w:p>
        </w:tc>
        <w:tc>
          <w:tcPr>
            <w:tcW w:w="491" w:type="pct"/>
            <w:vMerge w:val="restart"/>
            <w:tcBorders>
              <w:top w:val="nil"/>
              <w:left w:val="single" w:color="000000" w:sz="2" w:space="0"/>
              <w:bottom w:val="nil"/>
              <w:right w:val="single" w:color="000000" w:sz="2" w:space="0"/>
            </w:tcBorders>
            <w:vAlign w:val="center"/>
          </w:tcPr>
          <w:p w14:paraId="26E11CE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▲主板规格</w:t>
            </w:r>
          </w:p>
        </w:tc>
        <w:tc>
          <w:tcPr>
            <w:tcW w:w="909" w:type="pct"/>
            <w:tcBorders>
              <w:top w:val="single" w:color="000000" w:sz="2" w:space="0"/>
              <w:left w:val="single" w:color="000000" w:sz="2" w:space="0"/>
              <w:bottom w:val="single" w:color="000000" w:sz="2" w:space="0"/>
              <w:right w:val="single" w:color="000000" w:sz="2" w:space="0"/>
            </w:tcBorders>
            <w:vAlign w:val="center"/>
          </w:tcPr>
          <w:p w14:paraId="4A60F12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▲主板集成模块</w:t>
            </w:r>
          </w:p>
        </w:tc>
        <w:tc>
          <w:tcPr>
            <w:tcW w:w="3335" w:type="pct"/>
            <w:tcBorders>
              <w:top w:val="single" w:color="000000" w:sz="2" w:space="0"/>
              <w:left w:val="single" w:color="000000" w:sz="2" w:space="0"/>
              <w:bottom w:val="single" w:color="000000" w:sz="2" w:space="0"/>
              <w:right w:val="single" w:color="000000" w:sz="2" w:space="0"/>
            </w:tcBorders>
            <w:vAlign w:val="center"/>
          </w:tcPr>
          <w:p w14:paraId="29B5940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集成资源扩展模块、计算处理模块、音频扩展模块等，主板的互联拓扑可通过处理器或交换电路实现</w:t>
            </w:r>
          </w:p>
        </w:tc>
      </w:tr>
      <w:tr w14:paraId="11BF0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1295F69">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6</w:t>
            </w:r>
          </w:p>
        </w:tc>
        <w:tc>
          <w:tcPr>
            <w:tcW w:w="491" w:type="pct"/>
            <w:vMerge w:val="continue"/>
            <w:tcBorders>
              <w:top w:val="nil"/>
              <w:left w:val="single" w:color="000000" w:sz="2" w:space="0"/>
              <w:bottom w:val="nil"/>
              <w:right w:val="single" w:color="000000" w:sz="2" w:space="0"/>
            </w:tcBorders>
            <w:vAlign w:val="center"/>
          </w:tcPr>
          <w:p w14:paraId="18EA20EE">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3262EF1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▲主板支持的 CPU 和内存情况</w:t>
            </w:r>
          </w:p>
        </w:tc>
        <w:tc>
          <w:tcPr>
            <w:tcW w:w="3335" w:type="pct"/>
            <w:tcBorders>
              <w:top w:val="single" w:color="000000" w:sz="2" w:space="0"/>
              <w:left w:val="single" w:color="000000" w:sz="2" w:space="0"/>
              <w:bottom w:val="single" w:color="000000" w:sz="2" w:space="0"/>
              <w:right w:val="single" w:color="000000" w:sz="2" w:space="0"/>
            </w:tcBorders>
            <w:vAlign w:val="center"/>
          </w:tcPr>
          <w:p w14:paraId="4F10D20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1、CPU：≥8 核 16 线程，基础频率：≥1.9 GHz，最大睿频：≥4.8GHz  缓存：L2≥8MB、L3≥12MB</w:t>
            </w:r>
          </w:p>
          <w:p w14:paraId="50587D2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2、内存≥1（DDR5）</w:t>
            </w:r>
          </w:p>
        </w:tc>
      </w:tr>
      <w:tr w14:paraId="45CA1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866E7A7">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4568401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7</w:t>
            </w:r>
          </w:p>
        </w:tc>
        <w:tc>
          <w:tcPr>
            <w:tcW w:w="491" w:type="pct"/>
            <w:vMerge w:val="continue"/>
            <w:tcBorders>
              <w:top w:val="nil"/>
              <w:left w:val="single" w:color="000000" w:sz="2" w:space="0"/>
              <w:bottom w:val="nil"/>
              <w:right w:val="single" w:color="000000" w:sz="2" w:space="0"/>
            </w:tcBorders>
            <w:vAlign w:val="center"/>
          </w:tcPr>
          <w:p w14:paraId="2A238680">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DFD282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主板内置PCIe 插槽数量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41568BB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≥0</w:t>
            </w:r>
          </w:p>
        </w:tc>
      </w:tr>
      <w:tr w14:paraId="1D4F1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6818868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8</w:t>
            </w:r>
          </w:p>
        </w:tc>
        <w:tc>
          <w:tcPr>
            <w:tcW w:w="491" w:type="pct"/>
            <w:vMerge w:val="continue"/>
            <w:tcBorders>
              <w:top w:val="nil"/>
              <w:left w:val="single" w:color="000000" w:sz="2" w:space="0"/>
              <w:bottom w:val="nil"/>
              <w:right w:val="single" w:color="000000" w:sz="2" w:space="0"/>
            </w:tcBorders>
            <w:vAlign w:val="center"/>
          </w:tcPr>
          <w:p w14:paraId="59B2456A">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EFA3C2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特殊孔位及接口</w:t>
            </w:r>
          </w:p>
        </w:tc>
        <w:tc>
          <w:tcPr>
            <w:tcW w:w="3335" w:type="pct"/>
            <w:tcBorders>
              <w:top w:val="single" w:color="000000" w:sz="2" w:space="0"/>
              <w:left w:val="single" w:color="000000" w:sz="2" w:space="0"/>
              <w:bottom w:val="single" w:color="000000" w:sz="2" w:space="0"/>
              <w:right w:val="single" w:color="000000" w:sz="2" w:space="0"/>
            </w:tcBorders>
            <w:vAlign w:val="center"/>
          </w:tcPr>
          <w:p w14:paraId="3169714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主板支持安装多功能导入装置板卡，或预留相应孔位及接口</w:t>
            </w:r>
          </w:p>
        </w:tc>
      </w:tr>
      <w:tr w14:paraId="28E13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15723D3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9</w:t>
            </w:r>
          </w:p>
        </w:tc>
        <w:tc>
          <w:tcPr>
            <w:tcW w:w="491" w:type="pct"/>
            <w:vMerge w:val="continue"/>
            <w:tcBorders>
              <w:top w:val="nil"/>
              <w:left w:val="single" w:color="000000" w:sz="2" w:space="0"/>
              <w:bottom w:val="nil"/>
              <w:right w:val="single" w:color="000000" w:sz="2" w:space="0"/>
            </w:tcBorders>
            <w:vAlign w:val="center"/>
          </w:tcPr>
          <w:p w14:paraId="3FF0AB8C">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2960F84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▲单内存插槽最大可支持容量</w:t>
            </w:r>
          </w:p>
          <w:p w14:paraId="6A904C2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（板载内存不涉及）</w:t>
            </w:r>
          </w:p>
        </w:tc>
        <w:tc>
          <w:tcPr>
            <w:tcW w:w="3335" w:type="pct"/>
            <w:tcBorders>
              <w:top w:val="single" w:color="000000" w:sz="2" w:space="0"/>
              <w:left w:val="single" w:color="000000" w:sz="2" w:space="0"/>
              <w:bottom w:val="single" w:color="000000" w:sz="2" w:space="0"/>
              <w:right w:val="single" w:color="000000" w:sz="2" w:space="0"/>
            </w:tcBorders>
            <w:vAlign w:val="center"/>
          </w:tcPr>
          <w:p w14:paraId="7EFE9C4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≥16GB</w:t>
            </w:r>
          </w:p>
        </w:tc>
      </w:tr>
      <w:tr w14:paraId="64B41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A08749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10</w:t>
            </w:r>
          </w:p>
        </w:tc>
        <w:tc>
          <w:tcPr>
            <w:tcW w:w="491" w:type="pct"/>
            <w:vMerge w:val="continue"/>
            <w:tcBorders>
              <w:top w:val="nil"/>
              <w:left w:val="single" w:color="000000" w:sz="2" w:space="0"/>
              <w:bottom w:val="nil"/>
              <w:right w:val="single" w:color="000000" w:sz="2" w:space="0"/>
            </w:tcBorders>
            <w:vAlign w:val="center"/>
          </w:tcPr>
          <w:p w14:paraId="7ED5FD56">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25B95B8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▲内存插槽满配时提供的最高内存总容量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55381AD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≥16GB</w:t>
            </w:r>
          </w:p>
        </w:tc>
      </w:tr>
      <w:tr w14:paraId="3DF68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83230D1">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11</w:t>
            </w:r>
          </w:p>
        </w:tc>
        <w:tc>
          <w:tcPr>
            <w:tcW w:w="491" w:type="pct"/>
            <w:tcBorders>
              <w:top w:val="single" w:color="000000" w:sz="2" w:space="0"/>
              <w:left w:val="single" w:color="000000" w:sz="2" w:space="0"/>
              <w:bottom w:val="nil"/>
              <w:right w:val="single" w:color="000000" w:sz="2" w:space="0"/>
            </w:tcBorders>
            <w:vAlign w:val="center"/>
          </w:tcPr>
          <w:p w14:paraId="313B019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▲存储</w:t>
            </w:r>
          </w:p>
        </w:tc>
        <w:tc>
          <w:tcPr>
            <w:tcW w:w="909" w:type="pct"/>
            <w:tcBorders>
              <w:top w:val="single" w:color="000000" w:sz="2" w:space="0"/>
              <w:left w:val="single" w:color="000000" w:sz="2" w:space="0"/>
              <w:bottom w:val="single" w:color="000000" w:sz="2" w:space="0"/>
              <w:right w:val="single" w:color="000000" w:sz="2" w:space="0"/>
            </w:tcBorders>
            <w:vAlign w:val="center"/>
          </w:tcPr>
          <w:p w14:paraId="4371FFE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▲固态盘数量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6E0CCA1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≥1个</w:t>
            </w:r>
          </w:p>
        </w:tc>
      </w:tr>
      <w:tr w14:paraId="5D97D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7F19E99">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12</w:t>
            </w:r>
          </w:p>
        </w:tc>
        <w:tc>
          <w:tcPr>
            <w:tcW w:w="491" w:type="pct"/>
            <w:tcBorders>
              <w:top w:val="nil"/>
              <w:left w:val="single" w:color="000000" w:sz="2" w:space="0"/>
              <w:bottom w:val="single" w:color="000000" w:sz="2" w:space="0"/>
              <w:right w:val="single" w:color="000000" w:sz="2" w:space="0"/>
            </w:tcBorders>
            <w:vAlign w:val="center"/>
          </w:tcPr>
          <w:p w14:paraId="2E57A21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▲设备规格</w:t>
            </w:r>
          </w:p>
        </w:tc>
        <w:tc>
          <w:tcPr>
            <w:tcW w:w="909" w:type="pct"/>
            <w:tcBorders>
              <w:top w:val="single" w:color="000000" w:sz="2" w:space="0"/>
              <w:left w:val="single" w:color="000000" w:sz="2" w:space="0"/>
              <w:bottom w:val="single" w:color="000000" w:sz="2" w:space="0"/>
              <w:right w:val="single" w:color="000000" w:sz="2" w:space="0"/>
            </w:tcBorders>
            <w:vAlign w:val="center"/>
          </w:tcPr>
          <w:p w14:paraId="3DF4585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▲固态存储容量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3850FF6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≥1TB</w:t>
            </w:r>
          </w:p>
        </w:tc>
      </w:tr>
      <w:tr w14:paraId="1C445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FD06C44">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13</w:t>
            </w:r>
          </w:p>
        </w:tc>
        <w:tc>
          <w:tcPr>
            <w:tcW w:w="491" w:type="pct"/>
            <w:vMerge w:val="restart"/>
            <w:tcBorders>
              <w:top w:val="nil"/>
              <w:left w:val="single" w:color="000000" w:sz="2" w:space="0"/>
              <w:bottom w:val="nil"/>
              <w:right w:val="single" w:color="000000" w:sz="2" w:space="0"/>
            </w:tcBorders>
            <w:vAlign w:val="center"/>
          </w:tcPr>
          <w:p w14:paraId="1E554FDD">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17FCC0F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46166F59">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▲存储设备规格</w:t>
            </w:r>
          </w:p>
        </w:tc>
        <w:tc>
          <w:tcPr>
            <w:tcW w:w="909" w:type="pct"/>
            <w:tcBorders>
              <w:top w:val="single" w:color="000000" w:sz="2" w:space="0"/>
              <w:left w:val="single" w:color="000000" w:sz="2" w:space="0"/>
              <w:bottom w:val="single" w:color="000000" w:sz="2" w:space="0"/>
              <w:right w:val="single" w:color="000000" w:sz="2" w:space="0"/>
            </w:tcBorders>
            <w:vAlign w:val="center"/>
          </w:tcPr>
          <w:p w14:paraId="44A848E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▲固态盘数量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4443BDC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≥1个</w:t>
            </w:r>
          </w:p>
        </w:tc>
      </w:tr>
      <w:tr w14:paraId="6337E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6228657E">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14</w:t>
            </w:r>
          </w:p>
        </w:tc>
        <w:tc>
          <w:tcPr>
            <w:tcW w:w="491" w:type="pct"/>
            <w:vMerge w:val="continue"/>
            <w:tcBorders>
              <w:top w:val="nil"/>
              <w:left w:val="single" w:color="000000" w:sz="2" w:space="0"/>
              <w:bottom w:val="nil"/>
              <w:right w:val="single" w:color="000000" w:sz="2" w:space="0"/>
            </w:tcBorders>
            <w:vAlign w:val="center"/>
          </w:tcPr>
          <w:p w14:paraId="776E73A6">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63920A7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机械硬盘数量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2280608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≥0</w:t>
            </w:r>
          </w:p>
        </w:tc>
      </w:tr>
      <w:tr w14:paraId="31D85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BD4AF3C">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15</w:t>
            </w:r>
          </w:p>
        </w:tc>
        <w:tc>
          <w:tcPr>
            <w:tcW w:w="491" w:type="pct"/>
            <w:vMerge w:val="continue"/>
            <w:tcBorders>
              <w:top w:val="nil"/>
              <w:left w:val="single" w:color="000000" w:sz="2" w:space="0"/>
              <w:bottom w:val="nil"/>
              <w:right w:val="single" w:color="000000" w:sz="2" w:space="0"/>
            </w:tcBorders>
            <w:vAlign w:val="center"/>
          </w:tcPr>
          <w:p w14:paraId="356A9CF8">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40D45D1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机械硬盘总容量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47B2EF8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w:t>
            </w:r>
          </w:p>
        </w:tc>
      </w:tr>
      <w:tr w14:paraId="4923F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C5972E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16</w:t>
            </w:r>
          </w:p>
        </w:tc>
        <w:tc>
          <w:tcPr>
            <w:tcW w:w="491" w:type="pct"/>
            <w:vMerge w:val="continue"/>
            <w:tcBorders>
              <w:top w:val="nil"/>
              <w:left w:val="single" w:color="000000" w:sz="2" w:space="0"/>
              <w:bottom w:val="nil"/>
              <w:right w:val="single" w:color="000000" w:sz="2" w:space="0"/>
            </w:tcBorders>
            <w:vAlign w:val="center"/>
          </w:tcPr>
          <w:p w14:paraId="3EE500EF">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3362D2C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机械硬盘转速</w:t>
            </w:r>
          </w:p>
        </w:tc>
        <w:tc>
          <w:tcPr>
            <w:tcW w:w="3335" w:type="pct"/>
            <w:tcBorders>
              <w:top w:val="single" w:color="000000" w:sz="2" w:space="0"/>
              <w:left w:val="single" w:color="000000" w:sz="2" w:space="0"/>
              <w:bottom w:val="single" w:color="000000" w:sz="2" w:space="0"/>
              <w:right w:val="single" w:color="000000" w:sz="2" w:space="0"/>
            </w:tcBorders>
            <w:vAlign w:val="center"/>
          </w:tcPr>
          <w:p w14:paraId="5197E81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w:t>
            </w:r>
          </w:p>
        </w:tc>
      </w:tr>
      <w:tr w14:paraId="5FD73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0F3842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17</w:t>
            </w:r>
          </w:p>
        </w:tc>
        <w:tc>
          <w:tcPr>
            <w:tcW w:w="491" w:type="pct"/>
            <w:vMerge w:val="continue"/>
            <w:tcBorders>
              <w:top w:val="nil"/>
              <w:left w:val="single" w:color="000000" w:sz="2" w:space="0"/>
              <w:bottom w:val="nil"/>
              <w:right w:val="single" w:color="000000" w:sz="2" w:space="0"/>
            </w:tcBorders>
            <w:vAlign w:val="center"/>
          </w:tcPr>
          <w:p w14:paraId="0395F8A4">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04DB8F8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机械硬盘接口协议</w:t>
            </w:r>
          </w:p>
        </w:tc>
        <w:tc>
          <w:tcPr>
            <w:tcW w:w="3335" w:type="pct"/>
            <w:tcBorders>
              <w:top w:val="single" w:color="000000" w:sz="2" w:space="0"/>
              <w:left w:val="single" w:color="000000" w:sz="2" w:space="0"/>
              <w:bottom w:val="single" w:color="000000" w:sz="2" w:space="0"/>
              <w:right w:val="single" w:color="000000" w:sz="2" w:space="0"/>
            </w:tcBorders>
            <w:vAlign w:val="center"/>
          </w:tcPr>
          <w:p w14:paraId="0C1656B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w:t>
            </w:r>
          </w:p>
        </w:tc>
      </w:tr>
      <w:tr w14:paraId="36E2D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CE179A2">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18</w:t>
            </w:r>
          </w:p>
        </w:tc>
        <w:tc>
          <w:tcPr>
            <w:tcW w:w="491" w:type="pct"/>
            <w:vMerge w:val="continue"/>
            <w:tcBorders>
              <w:top w:val="nil"/>
              <w:left w:val="single" w:color="000000" w:sz="2" w:space="0"/>
              <w:bottom w:val="nil"/>
              <w:right w:val="single" w:color="000000" w:sz="2" w:space="0"/>
            </w:tcBorders>
            <w:vAlign w:val="center"/>
          </w:tcPr>
          <w:p w14:paraId="00D8214A">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026707E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机械硬盘形态</w:t>
            </w:r>
          </w:p>
        </w:tc>
        <w:tc>
          <w:tcPr>
            <w:tcW w:w="3335" w:type="pct"/>
            <w:tcBorders>
              <w:top w:val="single" w:color="000000" w:sz="2" w:space="0"/>
              <w:left w:val="single" w:color="000000" w:sz="2" w:space="0"/>
              <w:bottom w:val="single" w:color="000000" w:sz="2" w:space="0"/>
              <w:right w:val="single" w:color="000000" w:sz="2" w:space="0"/>
            </w:tcBorders>
            <w:vAlign w:val="center"/>
          </w:tcPr>
          <w:p w14:paraId="70B2FFA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w:t>
            </w:r>
          </w:p>
        </w:tc>
      </w:tr>
      <w:tr w14:paraId="6777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17B6801">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19</w:t>
            </w:r>
          </w:p>
        </w:tc>
        <w:tc>
          <w:tcPr>
            <w:tcW w:w="491" w:type="pct"/>
            <w:vMerge w:val="continue"/>
            <w:tcBorders>
              <w:top w:val="nil"/>
              <w:left w:val="single" w:color="000000" w:sz="2" w:space="0"/>
              <w:bottom w:val="nil"/>
              <w:right w:val="single" w:color="000000" w:sz="2" w:space="0"/>
            </w:tcBorders>
            <w:vAlign w:val="center"/>
          </w:tcPr>
          <w:p w14:paraId="7234C7D7">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746501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固态存储接口协议</w:t>
            </w:r>
          </w:p>
        </w:tc>
        <w:tc>
          <w:tcPr>
            <w:tcW w:w="3335" w:type="pct"/>
            <w:tcBorders>
              <w:top w:val="single" w:color="000000" w:sz="2" w:space="0"/>
              <w:left w:val="single" w:color="000000" w:sz="2" w:space="0"/>
              <w:bottom w:val="single" w:color="000000" w:sz="2" w:space="0"/>
              <w:right w:val="single" w:color="000000" w:sz="2" w:space="0"/>
            </w:tcBorders>
            <w:vAlign w:val="center"/>
          </w:tcPr>
          <w:p w14:paraId="1C00847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支持UFS/SATA/PCIe/NVMe等类型接口协议</w:t>
            </w:r>
          </w:p>
        </w:tc>
      </w:tr>
      <w:tr w14:paraId="20731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ECF86DE">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20</w:t>
            </w:r>
          </w:p>
        </w:tc>
        <w:tc>
          <w:tcPr>
            <w:tcW w:w="491" w:type="pct"/>
            <w:vMerge w:val="continue"/>
            <w:tcBorders>
              <w:top w:val="nil"/>
              <w:left w:val="single" w:color="000000" w:sz="2" w:space="0"/>
              <w:bottom w:val="nil"/>
              <w:right w:val="single" w:color="000000" w:sz="2" w:space="0"/>
            </w:tcBorders>
            <w:vAlign w:val="center"/>
          </w:tcPr>
          <w:p w14:paraId="3C70DAF7">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2E32707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固态存储形态</w:t>
            </w:r>
          </w:p>
        </w:tc>
        <w:tc>
          <w:tcPr>
            <w:tcW w:w="3335" w:type="pct"/>
            <w:tcBorders>
              <w:top w:val="single" w:color="000000" w:sz="2" w:space="0"/>
              <w:left w:val="single" w:color="000000" w:sz="2" w:space="0"/>
              <w:bottom w:val="single" w:color="000000" w:sz="2" w:space="0"/>
              <w:right w:val="single" w:color="000000" w:sz="2" w:space="0"/>
            </w:tcBorders>
            <w:vAlign w:val="center"/>
          </w:tcPr>
          <w:p w14:paraId="32DA37B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可采用插卡或板载等形态，插卡形态宜符合 M.2 或 mSATA 等标准尺寸和接口定义</w:t>
            </w:r>
          </w:p>
        </w:tc>
      </w:tr>
      <w:tr w14:paraId="76004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24E5A5D">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21</w:t>
            </w:r>
          </w:p>
        </w:tc>
        <w:tc>
          <w:tcPr>
            <w:tcW w:w="491" w:type="pct"/>
            <w:vMerge w:val="continue"/>
            <w:tcBorders>
              <w:top w:val="nil"/>
              <w:left w:val="single" w:color="000000" w:sz="2" w:space="0"/>
              <w:bottom w:val="nil"/>
              <w:right w:val="single" w:color="000000" w:sz="2" w:space="0"/>
            </w:tcBorders>
            <w:vAlign w:val="center"/>
          </w:tcPr>
          <w:p w14:paraId="3C4F8D62">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64FFDDC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▲存储设备扩展盘位</w:t>
            </w:r>
          </w:p>
        </w:tc>
        <w:tc>
          <w:tcPr>
            <w:tcW w:w="3335" w:type="pct"/>
            <w:tcBorders>
              <w:top w:val="single" w:color="000000" w:sz="2" w:space="0"/>
              <w:left w:val="single" w:color="000000" w:sz="2" w:space="0"/>
              <w:bottom w:val="single" w:color="000000" w:sz="2" w:space="0"/>
              <w:right w:val="single" w:color="000000" w:sz="2" w:space="0"/>
            </w:tcBorders>
            <w:vAlign w:val="center"/>
          </w:tcPr>
          <w:p w14:paraId="7DB74D7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≥0</w:t>
            </w:r>
          </w:p>
        </w:tc>
      </w:tr>
      <w:tr w14:paraId="2E62C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E187007">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22</w:t>
            </w:r>
          </w:p>
        </w:tc>
        <w:tc>
          <w:tcPr>
            <w:tcW w:w="491" w:type="pct"/>
            <w:vMerge w:val="continue"/>
            <w:tcBorders>
              <w:top w:val="nil"/>
              <w:left w:val="single" w:color="000000" w:sz="2" w:space="0"/>
              <w:bottom w:val="nil"/>
              <w:right w:val="single" w:color="000000" w:sz="2" w:space="0"/>
            </w:tcBorders>
            <w:vAlign w:val="center"/>
          </w:tcPr>
          <w:p w14:paraId="7606D38D">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2DE4675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p>
          <w:p w14:paraId="7805494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▲存储设备其他参与要求</w:t>
            </w:r>
          </w:p>
        </w:tc>
        <w:tc>
          <w:tcPr>
            <w:tcW w:w="3335" w:type="pct"/>
            <w:tcBorders>
              <w:top w:val="single" w:color="000000" w:sz="2" w:space="0"/>
              <w:left w:val="single" w:color="000000" w:sz="2" w:space="0"/>
              <w:bottom w:val="single" w:color="000000" w:sz="2" w:space="0"/>
              <w:right w:val="single" w:color="000000" w:sz="2" w:space="0"/>
            </w:tcBorders>
            <w:vAlign w:val="center"/>
          </w:tcPr>
          <w:p w14:paraId="7715D2F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a）固态盘应符合 SJ/T 11654 相关规定;</w:t>
            </w:r>
          </w:p>
          <w:p w14:paraId="7F09CB6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b）机械硬盘准备时间应不大于30s；侧面固定螺丝孔数量可为 4 孔或6孔；工作状态环境温度应满足5℃ ~55℃；其它参数应符合 GB/T 12628的相关规定.</w:t>
            </w:r>
          </w:p>
        </w:tc>
      </w:tr>
      <w:tr w14:paraId="6F6B9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3E00C22">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23</w:t>
            </w:r>
          </w:p>
        </w:tc>
        <w:tc>
          <w:tcPr>
            <w:tcW w:w="491" w:type="pct"/>
            <w:vMerge w:val="restart"/>
            <w:tcBorders>
              <w:top w:val="nil"/>
              <w:left w:val="single" w:color="000000" w:sz="2" w:space="0"/>
              <w:bottom w:val="nil"/>
              <w:right w:val="single" w:color="000000" w:sz="2" w:space="0"/>
            </w:tcBorders>
            <w:vAlign w:val="center"/>
          </w:tcPr>
          <w:p w14:paraId="496D6437">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3B91039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▲显卡规格</w:t>
            </w:r>
          </w:p>
        </w:tc>
        <w:tc>
          <w:tcPr>
            <w:tcW w:w="909" w:type="pct"/>
            <w:tcBorders>
              <w:top w:val="single" w:color="000000" w:sz="2" w:space="0"/>
              <w:left w:val="single" w:color="000000" w:sz="2" w:space="0"/>
              <w:bottom w:val="single" w:color="000000" w:sz="2" w:space="0"/>
              <w:right w:val="single" w:color="000000" w:sz="2" w:space="0"/>
            </w:tcBorders>
            <w:vAlign w:val="center"/>
          </w:tcPr>
          <w:p w14:paraId="29BD4DD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▲显卡类型</w:t>
            </w:r>
          </w:p>
        </w:tc>
        <w:tc>
          <w:tcPr>
            <w:tcW w:w="3335" w:type="pct"/>
            <w:tcBorders>
              <w:top w:val="single" w:color="000000" w:sz="2" w:space="0"/>
              <w:left w:val="single" w:color="000000" w:sz="2" w:space="0"/>
              <w:bottom w:val="single" w:color="000000" w:sz="2" w:space="0"/>
              <w:right w:val="single" w:color="000000" w:sz="2" w:space="0"/>
            </w:tcBorders>
            <w:vAlign w:val="center"/>
          </w:tcPr>
          <w:p w14:paraId="68762F5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独立显卡或集成显卡</w:t>
            </w:r>
          </w:p>
        </w:tc>
      </w:tr>
      <w:tr w14:paraId="2FD14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A5B6E8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24</w:t>
            </w:r>
          </w:p>
        </w:tc>
        <w:tc>
          <w:tcPr>
            <w:tcW w:w="491" w:type="pct"/>
            <w:vMerge w:val="continue"/>
            <w:tcBorders>
              <w:top w:val="nil"/>
              <w:left w:val="single" w:color="000000" w:sz="2" w:space="0"/>
              <w:bottom w:val="nil"/>
              <w:right w:val="single" w:color="000000" w:sz="2" w:space="0"/>
            </w:tcBorders>
            <w:vAlign w:val="center"/>
          </w:tcPr>
          <w:p w14:paraId="51C4CB36">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96C0CE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独立显卡显存类型</w:t>
            </w:r>
          </w:p>
        </w:tc>
        <w:tc>
          <w:tcPr>
            <w:tcW w:w="3335" w:type="pct"/>
            <w:tcBorders>
              <w:top w:val="single" w:color="000000" w:sz="2" w:space="0"/>
              <w:left w:val="single" w:color="000000" w:sz="2" w:space="0"/>
              <w:bottom w:val="single" w:color="000000" w:sz="2" w:space="0"/>
              <w:right w:val="single" w:color="000000" w:sz="2" w:space="0"/>
            </w:tcBorders>
            <w:vAlign w:val="center"/>
          </w:tcPr>
          <w:p w14:paraId="1D825BF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若配置独立显卡，显存类型应为DDR3/DDR4/GDDR5/GDDR6/LPDDR4</w:t>
            </w:r>
          </w:p>
        </w:tc>
      </w:tr>
      <w:tr w14:paraId="6114E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27228F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25</w:t>
            </w:r>
          </w:p>
        </w:tc>
        <w:tc>
          <w:tcPr>
            <w:tcW w:w="491" w:type="pct"/>
            <w:vMerge w:val="continue"/>
            <w:tcBorders>
              <w:top w:val="nil"/>
              <w:left w:val="single" w:color="000000" w:sz="2" w:space="0"/>
              <w:bottom w:val="nil"/>
              <w:right w:val="single" w:color="000000" w:sz="2" w:space="0"/>
            </w:tcBorders>
            <w:vAlign w:val="center"/>
          </w:tcPr>
          <w:p w14:paraId="21BB6257">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07230BF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独立显卡显存位宽</w:t>
            </w:r>
          </w:p>
        </w:tc>
        <w:tc>
          <w:tcPr>
            <w:tcW w:w="3335" w:type="pct"/>
            <w:tcBorders>
              <w:top w:val="single" w:color="000000" w:sz="2" w:space="0"/>
              <w:left w:val="single" w:color="000000" w:sz="2" w:space="0"/>
              <w:bottom w:val="single" w:color="000000" w:sz="2" w:space="0"/>
              <w:right w:val="single" w:color="000000" w:sz="2" w:space="0"/>
            </w:tcBorders>
            <w:vAlign w:val="center"/>
          </w:tcPr>
          <w:p w14:paraId="4722F67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若配置独立显卡，显存位宽≥32 位</w:t>
            </w:r>
          </w:p>
        </w:tc>
      </w:tr>
      <w:tr w14:paraId="03C95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265D889">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26</w:t>
            </w:r>
          </w:p>
        </w:tc>
        <w:tc>
          <w:tcPr>
            <w:tcW w:w="491" w:type="pct"/>
            <w:vMerge w:val="continue"/>
            <w:tcBorders>
              <w:top w:val="nil"/>
              <w:left w:val="single" w:color="000000" w:sz="2" w:space="0"/>
              <w:bottom w:val="nil"/>
              <w:right w:val="single" w:color="000000" w:sz="2" w:space="0"/>
            </w:tcBorders>
            <w:vAlign w:val="center"/>
          </w:tcPr>
          <w:p w14:paraId="771870AA">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CF47A8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独立显卡显存容量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5F4B1C0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若配置独立显卡，显存容量≥512MB</w:t>
            </w:r>
          </w:p>
        </w:tc>
      </w:tr>
      <w:tr w14:paraId="12AB0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3096450">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27</w:t>
            </w:r>
          </w:p>
        </w:tc>
        <w:tc>
          <w:tcPr>
            <w:tcW w:w="491" w:type="pct"/>
            <w:vMerge w:val="continue"/>
            <w:tcBorders>
              <w:top w:val="nil"/>
              <w:left w:val="single" w:color="000000" w:sz="2" w:space="0"/>
              <w:bottom w:val="nil"/>
              <w:right w:val="single" w:color="000000" w:sz="2" w:space="0"/>
            </w:tcBorders>
            <w:vAlign w:val="center"/>
          </w:tcPr>
          <w:p w14:paraId="144339B6">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7F1B965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独立显卡接口协议</w:t>
            </w:r>
          </w:p>
        </w:tc>
        <w:tc>
          <w:tcPr>
            <w:tcW w:w="3335" w:type="pct"/>
            <w:tcBorders>
              <w:top w:val="single" w:color="000000" w:sz="2" w:space="0"/>
              <w:left w:val="single" w:color="000000" w:sz="2" w:space="0"/>
              <w:bottom w:val="single" w:color="000000" w:sz="2" w:space="0"/>
              <w:right w:val="single" w:color="000000" w:sz="2" w:space="0"/>
            </w:tcBorders>
            <w:vAlign w:val="center"/>
          </w:tcPr>
          <w:p w14:paraId="43C633E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 PCIe 协议版本大于等于2.0 或HT（HyperTransport）协议版本大于等于3.0 的独立显卡接口协议</w:t>
            </w:r>
          </w:p>
        </w:tc>
      </w:tr>
      <w:tr w14:paraId="0964B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893B359">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28</w:t>
            </w:r>
          </w:p>
        </w:tc>
        <w:tc>
          <w:tcPr>
            <w:tcW w:w="491" w:type="pct"/>
            <w:vMerge w:val="restart"/>
            <w:tcBorders>
              <w:top w:val="nil"/>
              <w:left w:val="single" w:color="000000" w:sz="2" w:space="0"/>
              <w:bottom w:val="single" w:color="000000" w:sz="2" w:space="0"/>
              <w:right w:val="single" w:color="000000" w:sz="2" w:space="0"/>
            </w:tcBorders>
            <w:vAlign w:val="center"/>
          </w:tcPr>
          <w:p w14:paraId="1DB71EA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▲显示设备规格</w:t>
            </w:r>
          </w:p>
        </w:tc>
        <w:tc>
          <w:tcPr>
            <w:tcW w:w="909" w:type="pct"/>
            <w:tcBorders>
              <w:top w:val="single" w:color="000000" w:sz="2" w:space="0"/>
              <w:left w:val="single" w:color="000000" w:sz="2" w:space="0"/>
              <w:bottom w:val="single" w:color="000000" w:sz="2" w:space="0"/>
              <w:right w:val="single" w:color="000000" w:sz="2" w:space="0"/>
            </w:tcBorders>
            <w:vAlign w:val="center"/>
          </w:tcPr>
          <w:p w14:paraId="16DC5B0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▲显示屏屏占比</w:t>
            </w:r>
          </w:p>
        </w:tc>
        <w:tc>
          <w:tcPr>
            <w:tcW w:w="3335" w:type="pct"/>
            <w:tcBorders>
              <w:top w:val="single" w:color="000000" w:sz="2" w:space="0"/>
              <w:left w:val="single" w:color="000000" w:sz="2" w:space="0"/>
              <w:bottom w:val="single" w:color="000000" w:sz="2" w:space="0"/>
              <w:right w:val="single" w:color="000000" w:sz="2" w:space="0"/>
            </w:tcBorders>
            <w:vAlign w:val="center"/>
          </w:tcPr>
          <w:p w14:paraId="1F46BBA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≥80%</w:t>
            </w:r>
          </w:p>
        </w:tc>
      </w:tr>
      <w:tr w14:paraId="44883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F5DE7D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29</w:t>
            </w:r>
          </w:p>
        </w:tc>
        <w:tc>
          <w:tcPr>
            <w:tcW w:w="491" w:type="pct"/>
            <w:vMerge w:val="continue"/>
            <w:tcBorders>
              <w:top w:val="nil"/>
              <w:left w:val="single" w:color="000000" w:sz="2" w:space="0"/>
              <w:bottom w:val="single" w:color="000000" w:sz="2" w:space="0"/>
              <w:right w:val="single" w:color="000000" w:sz="2" w:space="0"/>
            </w:tcBorders>
            <w:vAlign w:val="center"/>
          </w:tcPr>
          <w:p w14:paraId="6B185B05">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B9C563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▲显示屏分辨率</w:t>
            </w:r>
          </w:p>
        </w:tc>
        <w:tc>
          <w:tcPr>
            <w:tcW w:w="3335" w:type="pct"/>
            <w:tcBorders>
              <w:top w:val="single" w:color="000000" w:sz="2" w:space="0"/>
              <w:left w:val="single" w:color="000000" w:sz="2" w:space="0"/>
              <w:bottom w:val="single" w:color="000000" w:sz="2" w:space="0"/>
              <w:right w:val="single" w:color="000000" w:sz="2" w:space="0"/>
            </w:tcBorders>
            <w:vAlign w:val="center"/>
          </w:tcPr>
          <w:p w14:paraId="0C5132D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≥1920x1080</w:t>
            </w:r>
          </w:p>
        </w:tc>
      </w:tr>
      <w:tr w14:paraId="4903E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02F33A2">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30</w:t>
            </w:r>
          </w:p>
        </w:tc>
        <w:tc>
          <w:tcPr>
            <w:tcW w:w="491" w:type="pct"/>
            <w:vMerge w:val="continue"/>
            <w:tcBorders>
              <w:top w:val="nil"/>
              <w:left w:val="single" w:color="000000" w:sz="2" w:space="0"/>
              <w:bottom w:val="single" w:color="000000" w:sz="2" w:space="0"/>
              <w:right w:val="single" w:color="000000" w:sz="2" w:space="0"/>
            </w:tcBorders>
            <w:vAlign w:val="center"/>
          </w:tcPr>
          <w:p w14:paraId="756CA497">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4A9CA3A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显示屏像素密度</w:t>
            </w:r>
          </w:p>
        </w:tc>
        <w:tc>
          <w:tcPr>
            <w:tcW w:w="3335" w:type="pct"/>
            <w:tcBorders>
              <w:top w:val="single" w:color="000000" w:sz="2" w:space="0"/>
              <w:left w:val="single" w:color="000000" w:sz="2" w:space="0"/>
              <w:bottom w:val="single" w:color="000000" w:sz="2" w:space="0"/>
              <w:right w:val="single" w:color="000000" w:sz="2" w:space="0"/>
            </w:tcBorders>
            <w:vAlign w:val="center"/>
          </w:tcPr>
          <w:p w14:paraId="4102A0B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≥150 像素/英寸</w:t>
            </w:r>
          </w:p>
        </w:tc>
      </w:tr>
      <w:tr w14:paraId="4FE58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2E879E1">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31</w:t>
            </w:r>
          </w:p>
        </w:tc>
        <w:tc>
          <w:tcPr>
            <w:tcW w:w="491" w:type="pct"/>
            <w:vMerge w:val="continue"/>
            <w:tcBorders>
              <w:top w:val="nil"/>
              <w:left w:val="single" w:color="000000" w:sz="2" w:space="0"/>
              <w:bottom w:val="single" w:color="000000" w:sz="2" w:space="0"/>
              <w:right w:val="single" w:color="000000" w:sz="2" w:space="0"/>
            </w:tcBorders>
            <w:vAlign w:val="center"/>
          </w:tcPr>
          <w:p w14:paraId="6DC02799">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1539CD0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显示屏可视角度</w:t>
            </w:r>
          </w:p>
        </w:tc>
        <w:tc>
          <w:tcPr>
            <w:tcW w:w="3335" w:type="pct"/>
            <w:tcBorders>
              <w:top w:val="single" w:color="000000" w:sz="2" w:space="0"/>
              <w:left w:val="single" w:color="000000" w:sz="2" w:space="0"/>
              <w:bottom w:val="single" w:color="000000" w:sz="2" w:space="0"/>
              <w:right w:val="single" w:color="000000" w:sz="2" w:space="0"/>
            </w:tcBorders>
            <w:vAlign w:val="center"/>
          </w:tcPr>
          <w:p w14:paraId="33ADA13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水平≥170 °</w:t>
            </w:r>
          </w:p>
        </w:tc>
      </w:tr>
      <w:tr w14:paraId="52FF5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0946B0C">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32</w:t>
            </w:r>
          </w:p>
        </w:tc>
        <w:tc>
          <w:tcPr>
            <w:tcW w:w="491" w:type="pct"/>
            <w:vMerge w:val="continue"/>
            <w:tcBorders>
              <w:top w:val="nil"/>
              <w:left w:val="single" w:color="000000" w:sz="2" w:space="0"/>
              <w:bottom w:val="single" w:color="000000" w:sz="2" w:space="0"/>
              <w:right w:val="single" w:color="000000" w:sz="2" w:space="0"/>
            </w:tcBorders>
            <w:vAlign w:val="center"/>
          </w:tcPr>
          <w:p w14:paraId="68164B02">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6CCAF7A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▲显示屏尺寸</w:t>
            </w:r>
          </w:p>
        </w:tc>
        <w:tc>
          <w:tcPr>
            <w:tcW w:w="3335" w:type="pct"/>
            <w:tcBorders>
              <w:top w:val="single" w:color="000000" w:sz="2" w:space="0"/>
              <w:left w:val="single" w:color="000000" w:sz="2" w:space="0"/>
              <w:bottom w:val="single" w:color="000000" w:sz="2" w:space="0"/>
              <w:right w:val="single" w:color="000000" w:sz="2" w:space="0"/>
            </w:tcBorders>
            <w:vAlign w:val="center"/>
          </w:tcPr>
          <w:p w14:paraId="4889D12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≥13.3寸</w:t>
            </w:r>
          </w:p>
        </w:tc>
      </w:tr>
      <w:tr w14:paraId="1DCAA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0104E8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33</w:t>
            </w:r>
          </w:p>
        </w:tc>
        <w:tc>
          <w:tcPr>
            <w:tcW w:w="491" w:type="pct"/>
            <w:vMerge w:val="continue"/>
            <w:tcBorders>
              <w:top w:val="nil"/>
              <w:left w:val="single" w:color="000000" w:sz="2" w:space="0"/>
              <w:bottom w:val="single" w:color="000000" w:sz="2" w:space="0"/>
              <w:right w:val="single" w:color="000000" w:sz="2" w:space="0"/>
            </w:tcBorders>
            <w:vAlign w:val="center"/>
          </w:tcPr>
          <w:p w14:paraId="2BBBA798">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7775354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▲显示屏屏幕比例</w:t>
            </w:r>
          </w:p>
        </w:tc>
        <w:tc>
          <w:tcPr>
            <w:tcW w:w="3335" w:type="pct"/>
            <w:tcBorders>
              <w:top w:val="single" w:color="000000" w:sz="2" w:space="0"/>
              <w:left w:val="single" w:color="000000" w:sz="2" w:space="0"/>
              <w:bottom w:val="single" w:color="000000" w:sz="2" w:space="0"/>
              <w:right w:val="single" w:color="000000" w:sz="2" w:space="0"/>
            </w:tcBorders>
            <w:vAlign w:val="center"/>
          </w:tcPr>
          <w:p w14:paraId="1489303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16:9/3:2/21:9/16:10 等</w:t>
            </w:r>
          </w:p>
        </w:tc>
      </w:tr>
      <w:tr w14:paraId="2037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E37FC3D">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34</w:t>
            </w:r>
          </w:p>
        </w:tc>
        <w:tc>
          <w:tcPr>
            <w:tcW w:w="491" w:type="pct"/>
            <w:vMerge w:val="continue"/>
            <w:tcBorders>
              <w:top w:val="nil"/>
              <w:left w:val="single" w:color="000000" w:sz="2" w:space="0"/>
              <w:bottom w:val="single" w:color="000000" w:sz="2" w:space="0"/>
              <w:right w:val="single" w:color="000000" w:sz="2" w:space="0"/>
            </w:tcBorders>
            <w:vAlign w:val="center"/>
          </w:tcPr>
          <w:p w14:paraId="562059FA">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16C21D8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▲显示屏防蓝光</w:t>
            </w:r>
          </w:p>
        </w:tc>
        <w:tc>
          <w:tcPr>
            <w:tcW w:w="3335" w:type="pct"/>
            <w:tcBorders>
              <w:top w:val="single" w:color="000000" w:sz="2" w:space="0"/>
              <w:left w:val="single" w:color="000000" w:sz="2" w:space="0"/>
              <w:bottom w:val="single" w:color="000000" w:sz="2" w:space="0"/>
              <w:right w:val="single" w:color="000000" w:sz="2" w:space="0"/>
            </w:tcBorders>
            <w:vAlign w:val="center"/>
          </w:tcPr>
          <w:p w14:paraId="326CCAF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支持防蓝光模式，蓝光加权辐射亮度比应≤0.0012W/( ·cd ·sr)（瓦每坎特拉每球面度）</w:t>
            </w:r>
          </w:p>
        </w:tc>
      </w:tr>
      <w:tr w14:paraId="2CE14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6B38A373">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35</w:t>
            </w:r>
          </w:p>
        </w:tc>
        <w:tc>
          <w:tcPr>
            <w:tcW w:w="491" w:type="pct"/>
            <w:vMerge w:val="continue"/>
            <w:tcBorders>
              <w:top w:val="nil"/>
              <w:left w:val="single" w:color="000000" w:sz="2" w:space="0"/>
              <w:bottom w:val="single" w:color="000000" w:sz="2" w:space="0"/>
              <w:right w:val="single" w:color="000000" w:sz="2" w:space="0"/>
            </w:tcBorders>
            <w:vAlign w:val="center"/>
          </w:tcPr>
          <w:p w14:paraId="337862C5">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39FA604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▲显示屏低频闪</w:t>
            </w:r>
          </w:p>
        </w:tc>
        <w:tc>
          <w:tcPr>
            <w:tcW w:w="3335" w:type="pct"/>
            <w:tcBorders>
              <w:top w:val="single" w:color="000000" w:sz="2" w:space="0"/>
              <w:left w:val="single" w:color="000000" w:sz="2" w:space="0"/>
              <w:bottom w:val="single" w:color="000000" w:sz="2" w:space="0"/>
              <w:right w:val="single" w:color="000000" w:sz="2" w:space="0"/>
            </w:tcBorders>
            <w:vAlign w:val="center"/>
          </w:tcPr>
          <w:p w14:paraId="76747F8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显示屏应支持低频闪≤-35dB</w:t>
            </w:r>
          </w:p>
        </w:tc>
      </w:tr>
      <w:tr w14:paraId="46F30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1AA02214">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36</w:t>
            </w:r>
          </w:p>
        </w:tc>
        <w:tc>
          <w:tcPr>
            <w:tcW w:w="491" w:type="pct"/>
            <w:vMerge w:val="continue"/>
            <w:tcBorders>
              <w:top w:val="nil"/>
              <w:left w:val="single" w:color="000000" w:sz="2" w:space="0"/>
              <w:bottom w:val="single" w:color="000000" w:sz="2" w:space="0"/>
              <w:right w:val="single" w:color="000000" w:sz="2" w:space="0"/>
            </w:tcBorders>
            <w:vAlign w:val="center"/>
          </w:tcPr>
          <w:p w14:paraId="7CB5112A">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30FF927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▲显示屏防炫目</w:t>
            </w:r>
          </w:p>
        </w:tc>
        <w:tc>
          <w:tcPr>
            <w:tcW w:w="3335" w:type="pct"/>
            <w:tcBorders>
              <w:top w:val="single" w:color="000000" w:sz="2" w:space="0"/>
              <w:left w:val="single" w:color="000000" w:sz="2" w:space="0"/>
              <w:bottom w:val="single" w:color="000000" w:sz="2" w:space="0"/>
              <w:right w:val="single" w:color="000000" w:sz="2" w:space="0"/>
            </w:tcBorders>
            <w:vAlign w:val="center"/>
          </w:tcPr>
          <w:p w14:paraId="06F4AD1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显示器镜面反射率≤10%</w:t>
            </w:r>
          </w:p>
        </w:tc>
      </w:tr>
      <w:tr w14:paraId="51A17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C6417C5">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37</w:t>
            </w:r>
          </w:p>
        </w:tc>
        <w:tc>
          <w:tcPr>
            <w:tcW w:w="491" w:type="pct"/>
            <w:vMerge w:val="restart"/>
            <w:tcBorders>
              <w:top w:val="nil"/>
              <w:left w:val="single" w:color="000000" w:sz="2" w:space="0"/>
              <w:bottom w:val="single" w:color="000000" w:sz="2" w:space="0"/>
              <w:right w:val="single" w:color="000000" w:sz="2" w:space="0"/>
            </w:tcBorders>
            <w:vAlign w:val="center"/>
          </w:tcPr>
          <w:p w14:paraId="5AD6B68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75847571">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464354E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0C3AE7E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56C9BA9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3827FA7C">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6A215394">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2BA7A35D">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33D50F9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16EAF6E5">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2D4C76D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4775B13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3953393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3CB9D39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1CA8D6F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5AC85BD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4CFA7F4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698650B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71633125">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▲外设规格</w:t>
            </w:r>
          </w:p>
        </w:tc>
        <w:tc>
          <w:tcPr>
            <w:tcW w:w="909" w:type="pct"/>
            <w:tcBorders>
              <w:top w:val="single" w:color="000000" w:sz="2" w:space="0"/>
              <w:left w:val="single" w:color="000000" w:sz="2" w:space="0"/>
              <w:bottom w:val="single" w:color="000000" w:sz="2" w:space="0"/>
              <w:right w:val="single" w:color="000000" w:sz="2" w:space="0"/>
            </w:tcBorders>
            <w:vAlign w:val="center"/>
          </w:tcPr>
          <w:p w14:paraId="52F624A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▲传声器数量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725DED8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≥1个</w:t>
            </w:r>
          </w:p>
        </w:tc>
      </w:tr>
      <w:tr w14:paraId="24563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40EA484">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38</w:t>
            </w:r>
          </w:p>
        </w:tc>
        <w:tc>
          <w:tcPr>
            <w:tcW w:w="491" w:type="pct"/>
            <w:vMerge w:val="continue"/>
            <w:tcBorders>
              <w:top w:val="nil"/>
              <w:left w:val="single" w:color="000000" w:sz="2" w:space="0"/>
              <w:bottom w:val="single" w:color="000000" w:sz="2" w:space="0"/>
              <w:right w:val="single" w:color="000000" w:sz="2" w:space="0"/>
            </w:tcBorders>
            <w:vAlign w:val="center"/>
          </w:tcPr>
          <w:p w14:paraId="504F0F79">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4041DD6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▲扬声器数量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4960ADE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≥1个</w:t>
            </w:r>
          </w:p>
        </w:tc>
      </w:tr>
      <w:tr w14:paraId="42E97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6BE3553D">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39</w:t>
            </w:r>
          </w:p>
        </w:tc>
        <w:tc>
          <w:tcPr>
            <w:tcW w:w="491" w:type="pct"/>
            <w:vMerge w:val="continue"/>
            <w:tcBorders>
              <w:top w:val="nil"/>
              <w:left w:val="single" w:color="000000" w:sz="2" w:space="0"/>
              <w:bottom w:val="single" w:color="000000" w:sz="2" w:space="0"/>
              <w:right w:val="single" w:color="000000" w:sz="2" w:space="0"/>
            </w:tcBorders>
            <w:vAlign w:val="center"/>
          </w:tcPr>
          <w:p w14:paraId="2BAC73E0">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F4044B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▲鼠标数量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731E60A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≥1个</w:t>
            </w:r>
          </w:p>
        </w:tc>
      </w:tr>
      <w:tr w14:paraId="14FA9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0EE186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40</w:t>
            </w:r>
          </w:p>
        </w:tc>
        <w:tc>
          <w:tcPr>
            <w:tcW w:w="491" w:type="pct"/>
            <w:vMerge w:val="continue"/>
            <w:tcBorders>
              <w:top w:val="nil"/>
              <w:left w:val="single" w:color="000000" w:sz="2" w:space="0"/>
              <w:bottom w:val="single" w:color="000000" w:sz="2" w:space="0"/>
              <w:right w:val="single" w:color="000000" w:sz="2" w:space="0"/>
            </w:tcBorders>
            <w:vAlign w:val="center"/>
          </w:tcPr>
          <w:p w14:paraId="0E844E6B">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91E5CA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▲键盘数量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338CDD7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≥1个</w:t>
            </w:r>
          </w:p>
        </w:tc>
      </w:tr>
      <w:tr w14:paraId="25988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647EA107">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41</w:t>
            </w:r>
          </w:p>
        </w:tc>
        <w:tc>
          <w:tcPr>
            <w:tcW w:w="491" w:type="pct"/>
            <w:vMerge w:val="continue"/>
            <w:tcBorders>
              <w:top w:val="nil"/>
              <w:left w:val="single" w:color="000000" w:sz="2" w:space="0"/>
              <w:bottom w:val="single" w:color="000000" w:sz="2" w:space="0"/>
              <w:right w:val="single" w:color="000000" w:sz="2" w:space="0"/>
            </w:tcBorders>
            <w:vAlign w:val="center"/>
          </w:tcPr>
          <w:p w14:paraId="5741439A">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3782113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▲触控板数量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5852AA0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≥1个</w:t>
            </w:r>
          </w:p>
        </w:tc>
      </w:tr>
      <w:tr w14:paraId="4F39B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E80AB09">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42</w:t>
            </w:r>
          </w:p>
        </w:tc>
        <w:tc>
          <w:tcPr>
            <w:tcW w:w="491" w:type="pct"/>
            <w:vMerge w:val="continue"/>
            <w:tcBorders>
              <w:top w:val="nil"/>
              <w:left w:val="single" w:color="000000" w:sz="2" w:space="0"/>
              <w:bottom w:val="single" w:color="000000" w:sz="2" w:space="0"/>
              <w:right w:val="single" w:color="000000" w:sz="2" w:space="0"/>
            </w:tcBorders>
            <w:vAlign w:val="center"/>
          </w:tcPr>
          <w:p w14:paraId="5A019C6D">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1848EDF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w:t>
            </w:r>
          </w:p>
        </w:tc>
        <w:tc>
          <w:tcPr>
            <w:tcW w:w="3335" w:type="pct"/>
            <w:tcBorders>
              <w:top w:val="single" w:color="000000" w:sz="2" w:space="0"/>
              <w:left w:val="single" w:color="000000" w:sz="2" w:space="0"/>
              <w:bottom w:val="single" w:color="000000" w:sz="2" w:space="0"/>
              <w:right w:val="single" w:color="000000" w:sz="2" w:space="0"/>
            </w:tcBorders>
            <w:vAlign w:val="center"/>
          </w:tcPr>
          <w:p w14:paraId="6D8023B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≥1个</w:t>
            </w:r>
          </w:p>
        </w:tc>
      </w:tr>
      <w:tr w14:paraId="0DB07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F15ACA7">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43</w:t>
            </w:r>
          </w:p>
        </w:tc>
        <w:tc>
          <w:tcPr>
            <w:tcW w:w="491" w:type="pct"/>
            <w:vMerge w:val="continue"/>
            <w:tcBorders>
              <w:top w:val="nil"/>
              <w:left w:val="single" w:color="000000" w:sz="2" w:space="0"/>
              <w:bottom w:val="single" w:color="000000" w:sz="2" w:space="0"/>
              <w:right w:val="single" w:color="000000" w:sz="2" w:space="0"/>
            </w:tcBorders>
            <w:vAlign w:val="center"/>
          </w:tcPr>
          <w:p w14:paraId="613B1D42">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6847A50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▲光驱数量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500C5F2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≥0 个</w:t>
            </w:r>
          </w:p>
        </w:tc>
      </w:tr>
      <w:tr w14:paraId="1F6CE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E160BB9">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44</w:t>
            </w:r>
          </w:p>
        </w:tc>
        <w:tc>
          <w:tcPr>
            <w:tcW w:w="491" w:type="pct"/>
            <w:vMerge w:val="continue"/>
            <w:tcBorders>
              <w:top w:val="nil"/>
              <w:left w:val="single" w:color="000000" w:sz="2" w:space="0"/>
              <w:bottom w:val="single" w:color="000000" w:sz="2" w:space="0"/>
              <w:right w:val="single" w:color="000000" w:sz="2" w:space="0"/>
            </w:tcBorders>
            <w:vAlign w:val="center"/>
          </w:tcPr>
          <w:p w14:paraId="0E798872">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3FA15F1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▲键盘按键数目</w:t>
            </w:r>
          </w:p>
        </w:tc>
        <w:tc>
          <w:tcPr>
            <w:tcW w:w="3335" w:type="pct"/>
            <w:tcBorders>
              <w:top w:val="single" w:color="000000" w:sz="2" w:space="0"/>
              <w:left w:val="single" w:color="000000" w:sz="2" w:space="0"/>
              <w:bottom w:val="single" w:color="000000" w:sz="2" w:space="0"/>
              <w:right w:val="single" w:color="000000" w:sz="2" w:space="0"/>
            </w:tcBorders>
            <w:vAlign w:val="center"/>
          </w:tcPr>
          <w:p w14:paraId="477B05A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62 键/84 键/105 键等</w:t>
            </w:r>
          </w:p>
        </w:tc>
      </w:tr>
      <w:tr w14:paraId="7E869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C22B71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45</w:t>
            </w:r>
          </w:p>
        </w:tc>
        <w:tc>
          <w:tcPr>
            <w:tcW w:w="491" w:type="pct"/>
            <w:vMerge w:val="continue"/>
            <w:tcBorders>
              <w:top w:val="nil"/>
              <w:left w:val="single" w:color="000000" w:sz="2" w:space="0"/>
              <w:bottom w:val="single" w:color="000000" w:sz="2" w:space="0"/>
              <w:right w:val="single" w:color="000000" w:sz="2" w:space="0"/>
            </w:tcBorders>
            <w:vAlign w:val="center"/>
          </w:tcPr>
          <w:p w14:paraId="502019BE">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19417D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▲摄像头像素</w:t>
            </w:r>
          </w:p>
        </w:tc>
        <w:tc>
          <w:tcPr>
            <w:tcW w:w="3335" w:type="pct"/>
            <w:tcBorders>
              <w:top w:val="single" w:color="000000" w:sz="2" w:space="0"/>
              <w:left w:val="single" w:color="000000" w:sz="2" w:space="0"/>
              <w:bottom w:val="single" w:color="000000" w:sz="2" w:space="0"/>
              <w:right w:val="single" w:color="000000" w:sz="2" w:space="0"/>
            </w:tcBorders>
            <w:vAlign w:val="center"/>
          </w:tcPr>
          <w:p w14:paraId="0BB4FF2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≥100 万</w:t>
            </w:r>
          </w:p>
        </w:tc>
      </w:tr>
      <w:tr w14:paraId="2B9A5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85693F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46</w:t>
            </w:r>
          </w:p>
        </w:tc>
        <w:tc>
          <w:tcPr>
            <w:tcW w:w="491" w:type="pct"/>
            <w:vMerge w:val="continue"/>
            <w:tcBorders>
              <w:top w:val="nil"/>
              <w:left w:val="single" w:color="000000" w:sz="2" w:space="0"/>
              <w:bottom w:val="single" w:color="000000" w:sz="2" w:space="0"/>
              <w:right w:val="single" w:color="000000" w:sz="2" w:space="0"/>
            </w:tcBorders>
            <w:vAlign w:val="center"/>
          </w:tcPr>
          <w:p w14:paraId="3E80A7B5">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772189D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▲摄像头分辨率</w:t>
            </w:r>
          </w:p>
        </w:tc>
        <w:tc>
          <w:tcPr>
            <w:tcW w:w="3335" w:type="pct"/>
            <w:tcBorders>
              <w:top w:val="single" w:color="000000" w:sz="2" w:space="0"/>
              <w:left w:val="single" w:color="000000" w:sz="2" w:space="0"/>
              <w:bottom w:val="single" w:color="000000" w:sz="2" w:space="0"/>
              <w:right w:val="single" w:color="000000" w:sz="2" w:space="0"/>
            </w:tcBorders>
            <w:vAlign w:val="center"/>
          </w:tcPr>
          <w:p w14:paraId="086E647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≥1280x720</w:t>
            </w:r>
          </w:p>
        </w:tc>
      </w:tr>
      <w:tr w14:paraId="1223D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A990467">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47</w:t>
            </w:r>
          </w:p>
        </w:tc>
        <w:tc>
          <w:tcPr>
            <w:tcW w:w="491" w:type="pct"/>
            <w:vMerge w:val="continue"/>
            <w:tcBorders>
              <w:top w:val="nil"/>
              <w:left w:val="single" w:color="000000" w:sz="2" w:space="0"/>
              <w:bottom w:val="single" w:color="000000" w:sz="2" w:space="0"/>
              <w:right w:val="single" w:color="000000" w:sz="2" w:space="0"/>
            </w:tcBorders>
            <w:vAlign w:val="center"/>
          </w:tcPr>
          <w:p w14:paraId="741A7F49">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1EAF9C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▲内置扬声器功率</w:t>
            </w:r>
          </w:p>
        </w:tc>
        <w:tc>
          <w:tcPr>
            <w:tcW w:w="3335" w:type="pct"/>
            <w:tcBorders>
              <w:top w:val="single" w:color="000000" w:sz="2" w:space="0"/>
              <w:left w:val="single" w:color="000000" w:sz="2" w:space="0"/>
              <w:bottom w:val="single" w:color="000000" w:sz="2" w:space="0"/>
              <w:right w:val="single" w:color="000000" w:sz="2" w:space="0"/>
            </w:tcBorders>
            <w:vAlign w:val="center"/>
          </w:tcPr>
          <w:p w14:paraId="68702D1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 瓦/个</w:t>
            </w:r>
          </w:p>
        </w:tc>
      </w:tr>
      <w:tr w14:paraId="037AF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DCDBFA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48</w:t>
            </w:r>
          </w:p>
        </w:tc>
        <w:tc>
          <w:tcPr>
            <w:tcW w:w="491" w:type="pct"/>
            <w:vMerge w:val="continue"/>
            <w:tcBorders>
              <w:top w:val="nil"/>
              <w:left w:val="single" w:color="000000" w:sz="2" w:space="0"/>
              <w:bottom w:val="single" w:color="000000" w:sz="2" w:space="0"/>
              <w:right w:val="single" w:color="000000" w:sz="2" w:space="0"/>
            </w:tcBorders>
            <w:vAlign w:val="center"/>
          </w:tcPr>
          <w:p w14:paraId="3FE9A73B">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725BE87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▲内置扬声器频率范围</w:t>
            </w:r>
          </w:p>
        </w:tc>
        <w:tc>
          <w:tcPr>
            <w:tcW w:w="3335" w:type="pct"/>
            <w:tcBorders>
              <w:top w:val="single" w:color="000000" w:sz="2" w:space="0"/>
              <w:left w:val="single" w:color="000000" w:sz="2" w:space="0"/>
              <w:bottom w:val="single" w:color="000000" w:sz="2" w:space="0"/>
              <w:right w:val="single" w:color="000000" w:sz="2" w:space="0"/>
            </w:tcBorders>
            <w:vAlign w:val="center"/>
          </w:tcPr>
          <w:p w14:paraId="21FFCFC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100Hz-20kHz，其中 100Hz-200Hz： 35dB 及以上；200Hz-12kHz：55dB及以上，12kHz-18kHz：35dB 及以上</w:t>
            </w:r>
          </w:p>
        </w:tc>
      </w:tr>
      <w:tr w14:paraId="0BF77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A3110D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49</w:t>
            </w:r>
          </w:p>
        </w:tc>
        <w:tc>
          <w:tcPr>
            <w:tcW w:w="491" w:type="pct"/>
            <w:vMerge w:val="continue"/>
            <w:tcBorders>
              <w:top w:val="nil"/>
              <w:left w:val="single" w:color="000000" w:sz="2" w:space="0"/>
              <w:bottom w:val="single" w:color="000000" w:sz="2" w:space="0"/>
              <w:right w:val="single" w:color="000000" w:sz="2" w:space="0"/>
            </w:tcBorders>
            <w:vAlign w:val="center"/>
          </w:tcPr>
          <w:p w14:paraId="7A86F71F">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3D7545B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▲内置扬声器总谐波失真</w:t>
            </w:r>
          </w:p>
        </w:tc>
        <w:tc>
          <w:tcPr>
            <w:tcW w:w="3335" w:type="pct"/>
            <w:tcBorders>
              <w:top w:val="single" w:color="000000" w:sz="2" w:space="0"/>
              <w:left w:val="single" w:color="000000" w:sz="2" w:space="0"/>
              <w:bottom w:val="single" w:color="000000" w:sz="2" w:space="0"/>
              <w:right w:val="single" w:color="000000" w:sz="2" w:space="0"/>
            </w:tcBorders>
            <w:vAlign w:val="center"/>
          </w:tcPr>
          <w:p w14:paraId="1C3EF8F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总谐波失真在300Hz-7kHz频率范围内宜不高于5%</w:t>
            </w:r>
          </w:p>
        </w:tc>
      </w:tr>
      <w:tr w14:paraId="37A7D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C9C044C">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50</w:t>
            </w:r>
          </w:p>
        </w:tc>
        <w:tc>
          <w:tcPr>
            <w:tcW w:w="491" w:type="pct"/>
            <w:vMerge w:val="continue"/>
            <w:tcBorders>
              <w:top w:val="nil"/>
              <w:left w:val="single" w:color="000000" w:sz="2" w:space="0"/>
              <w:bottom w:val="single" w:color="000000" w:sz="2" w:space="0"/>
              <w:right w:val="single" w:color="000000" w:sz="2" w:space="0"/>
            </w:tcBorders>
            <w:vAlign w:val="center"/>
          </w:tcPr>
          <w:p w14:paraId="6BE8A1F5">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4BE2EB8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▲内置扬声器最大声压级</w:t>
            </w:r>
          </w:p>
        </w:tc>
        <w:tc>
          <w:tcPr>
            <w:tcW w:w="3335" w:type="pct"/>
            <w:tcBorders>
              <w:top w:val="single" w:color="000000" w:sz="2" w:space="0"/>
              <w:left w:val="single" w:color="000000" w:sz="2" w:space="0"/>
              <w:bottom w:val="single" w:color="000000" w:sz="2" w:space="0"/>
              <w:right w:val="single" w:color="000000" w:sz="2" w:space="0"/>
            </w:tcBorders>
            <w:vAlign w:val="center"/>
          </w:tcPr>
          <w:p w14:paraId="0949DAE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最大声压级在粉红噪声播放场景下，工作距离处声压级宜不低于70dB</w:t>
            </w:r>
          </w:p>
        </w:tc>
      </w:tr>
      <w:tr w14:paraId="1A458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E66569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51</w:t>
            </w:r>
          </w:p>
        </w:tc>
        <w:tc>
          <w:tcPr>
            <w:tcW w:w="491" w:type="pct"/>
            <w:vMerge w:val="continue"/>
            <w:tcBorders>
              <w:top w:val="nil"/>
              <w:left w:val="single" w:color="000000" w:sz="2" w:space="0"/>
              <w:bottom w:val="single" w:color="000000" w:sz="2" w:space="0"/>
              <w:right w:val="single" w:color="000000" w:sz="2" w:space="0"/>
            </w:tcBorders>
            <w:vAlign w:val="center"/>
          </w:tcPr>
          <w:p w14:paraId="31D4E63D">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179E04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▲键盘键程</w:t>
            </w:r>
          </w:p>
        </w:tc>
        <w:tc>
          <w:tcPr>
            <w:tcW w:w="3335" w:type="pct"/>
            <w:tcBorders>
              <w:top w:val="single" w:color="000000" w:sz="2" w:space="0"/>
              <w:left w:val="single" w:color="000000" w:sz="2" w:space="0"/>
              <w:bottom w:val="single" w:color="000000" w:sz="2" w:space="0"/>
              <w:right w:val="single" w:color="000000" w:sz="2" w:space="0"/>
            </w:tcBorders>
            <w:vAlign w:val="center"/>
          </w:tcPr>
          <w:p w14:paraId="6006354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0.9mm ~ 2.3 mm</w:t>
            </w:r>
          </w:p>
        </w:tc>
      </w:tr>
      <w:tr w14:paraId="78C22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B14DDE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52</w:t>
            </w:r>
          </w:p>
        </w:tc>
        <w:tc>
          <w:tcPr>
            <w:tcW w:w="491" w:type="pct"/>
            <w:vMerge w:val="continue"/>
            <w:tcBorders>
              <w:top w:val="nil"/>
              <w:left w:val="single" w:color="000000" w:sz="2" w:space="0"/>
              <w:bottom w:val="single" w:color="000000" w:sz="2" w:space="0"/>
              <w:right w:val="single" w:color="000000" w:sz="2" w:space="0"/>
            </w:tcBorders>
            <w:vAlign w:val="center"/>
          </w:tcPr>
          <w:p w14:paraId="69E7AB3D">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485B930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▲键盘按键压力</w:t>
            </w:r>
          </w:p>
        </w:tc>
        <w:tc>
          <w:tcPr>
            <w:tcW w:w="3335" w:type="pct"/>
            <w:tcBorders>
              <w:top w:val="single" w:color="000000" w:sz="2" w:space="0"/>
              <w:left w:val="single" w:color="000000" w:sz="2" w:space="0"/>
              <w:bottom w:val="single" w:color="000000" w:sz="2" w:space="0"/>
              <w:right w:val="single" w:color="000000" w:sz="2" w:space="0"/>
            </w:tcBorders>
            <w:vAlign w:val="center"/>
          </w:tcPr>
          <w:p w14:paraId="21577B4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按键压力宜在0.3～0.8N 之间</w:t>
            </w:r>
          </w:p>
        </w:tc>
      </w:tr>
      <w:tr w14:paraId="16E8E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1074B4D1">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53</w:t>
            </w:r>
          </w:p>
        </w:tc>
        <w:tc>
          <w:tcPr>
            <w:tcW w:w="491" w:type="pct"/>
            <w:vMerge w:val="continue"/>
            <w:tcBorders>
              <w:top w:val="nil"/>
              <w:left w:val="single" w:color="000000" w:sz="2" w:space="0"/>
              <w:bottom w:val="single" w:color="000000" w:sz="2" w:space="0"/>
              <w:right w:val="single" w:color="000000" w:sz="2" w:space="0"/>
            </w:tcBorders>
            <w:vAlign w:val="center"/>
          </w:tcPr>
          <w:p w14:paraId="019CAF18">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D10B6F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▲键盘颜色</w:t>
            </w:r>
          </w:p>
        </w:tc>
        <w:tc>
          <w:tcPr>
            <w:tcW w:w="3335" w:type="pct"/>
            <w:tcBorders>
              <w:top w:val="single" w:color="000000" w:sz="2" w:space="0"/>
              <w:left w:val="single" w:color="000000" w:sz="2" w:space="0"/>
              <w:bottom w:val="single" w:color="000000" w:sz="2" w:space="0"/>
              <w:right w:val="single" w:color="000000" w:sz="2" w:space="0"/>
            </w:tcBorders>
            <w:vAlign w:val="center"/>
          </w:tcPr>
          <w:p w14:paraId="7453841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黑色/银色/白色等商务色系</w:t>
            </w:r>
          </w:p>
        </w:tc>
      </w:tr>
      <w:tr w14:paraId="44D85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AB95E8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54</w:t>
            </w:r>
          </w:p>
        </w:tc>
        <w:tc>
          <w:tcPr>
            <w:tcW w:w="491" w:type="pct"/>
            <w:vMerge w:val="continue"/>
            <w:tcBorders>
              <w:top w:val="nil"/>
              <w:left w:val="single" w:color="000000" w:sz="2" w:space="0"/>
              <w:bottom w:val="single" w:color="000000" w:sz="2" w:space="0"/>
              <w:right w:val="single" w:color="000000" w:sz="2" w:space="0"/>
            </w:tcBorders>
            <w:vAlign w:val="center"/>
          </w:tcPr>
          <w:p w14:paraId="0D00FA29">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7F9195A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▲鼠标连接方式</w:t>
            </w:r>
          </w:p>
        </w:tc>
        <w:tc>
          <w:tcPr>
            <w:tcW w:w="3335" w:type="pct"/>
            <w:tcBorders>
              <w:top w:val="single" w:color="000000" w:sz="2" w:space="0"/>
              <w:left w:val="single" w:color="000000" w:sz="2" w:space="0"/>
              <w:bottom w:val="single" w:color="000000" w:sz="2" w:space="0"/>
              <w:right w:val="single" w:color="000000" w:sz="2" w:space="0"/>
            </w:tcBorders>
            <w:vAlign w:val="center"/>
          </w:tcPr>
          <w:p w14:paraId="6E274EB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有线或无线</w:t>
            </w:r>
          </w:p>
        </w:tc>
      </w:tr>
      <w:tr w14:paraId="5317F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609735F4">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55</w:t>
            </w:r>
          </w:p>
        </w:tc>
        <w:tc>
          <w:tcPr>
            <w:tcW w:w="491" w:type="pct"/>
            <w:vMerge w:val="continue"/>
            <w:tcBorders>
              <w:top w:val="nil"/>
              <w:left w:val="single" w:color="000000" w:sz="2" w:space="0"/>
              <w:bottom w:val="single" w:color="000000" w:sz="2" w:space="0"/>
              <w:right w:val="single" w:color="000000" w:sz="2" w:space="0"/>
            </w:tcBorders>
            <w:vAlign w:val="center"/>
          </w:tcPr>
          <w:p w14:paraId="2688B8E3">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222941D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▲有线鼠标连接线</w:t>
            </w:r>
          </w:p>
        </w:tc>
        <w:tc>
          <w:tcPr>
            <w:tcW w:w="3335" w:type="pct"/>
            <w:tcBorders>
              <w:top w:val="single" w:color="000000" w:sz="2" w:space="0"/>
              <w:left w:val="single" w:color="000000" w:sz="2" w:space="0"/>
              <w:bottom w:val="single" w:color="000000" w:sz="2" w:space="0"/>
              <w:right w:val="single" w:color="000000" w:sz="2" w:space="0"/>
            </w:tcBorders>
            <w:vAlign w:val="center"/>
          </w:tcPr>
          <w:p w14:paraId="046B652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≥1.5 米</w:t>
            </w:r>
          </w:p>
        </w:tc>
      </w:tr>
      <w:tr w14:paraId="499D3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89F0E79">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56</w:t>
            </w:r>
          </w:p>
        </w:tc>
        <w:tc>
          <w:tcPr>
            <w:tcW w:w="491" w:type="pct"/>
            <w:vMerge w:val="continue"/>
            <w:tcBorders>
              <w:top w:val="nil"/>
              <w:left w:val="single" w:color="000000" w:sz="2" w:space="0"/>
              <w:bottom w:val="single" w:color="000000" w:sz="2" w:space="0"/>
              <w:right w:val="single" w:color="000000" w:sz="2" w:space="0"/>
            </w:tcBorders>
            <w:vAlign w:val="center"/>
          </w:tcPr>
          <w:p w14:paraId="0B9A18D5">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7796898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▲鼠标 DPI分辨率</w:t>
            </w:r>
          </w:p>
        </w:tc>
        <w:tc>
          <w:tcPr>
            <w:tcW w:w="3335" w:type="pct"/>
            <w:tcBorders>
              <w:top w:val="single" w:color="000000" w:sz="2" w:space="0"/>
              <w:left w:val="single" w:color="000000" w:sz="2" w:space="0"/>
              <w:bottom w:val="single" w:color="000000" w:sz="2" w:space="0"/>
              <w:right w:val="single" w:color="000000" w:sz="2" w:space="0"/>
            </w:tcBorders>
            <w:vAlign w:val="center"/>
          </w:tcPr>
          <w:p w14:paraId="19B3107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800~1600</w:t>
            </w:r>
          </w:p>
        </w:tc>
      </w:tr>
      <w:tr w14:paraId="3283D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0C75A4D">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57</w:t>
            </w:r>
          </w:p>
        </w:tc>
        <w:tc>
          <w:tcPr>
            <w:tcW w:w="491" w:type="pct"/>
            <w:vMerge w:val="continue"/>
            <w:tcBorders>
              <w:top w:val="nil"/>
              <w:left w:val="single" w:color="000000" w:sz="2" w:space="0"/>
              <w:bottom w:val="single" w:color="000000" w:sz="2" w:space="0"/>
              <w:right w:val="single" w:color="000000" w:sz="2" w:space="0"/>
            </w:tcBorders>
            <w:vAlign w:val="center"/>
          </w:tcPr>
          <w:p w14:paraId="4458D5D8">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48D06B5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鼠标颜色</w:t>
            </w:r>
          </w:p>
        </w:tc>
        <w:tc>
          <w:tcPr>
            <w:tcW w:w="3335" w:type="pct"/>
            <w:tcBorders>
              <w:top w:val="single" w:color="000000" w:sz="2" w:space="0"/>
              <w:left w:val="single" w:color="000000" w:sz="2" w:space="0"/>
              <w:bottom w:val="single" w:color="000000" w:sz="2" w:space="0"/>
              <w:right w:val="single" w:color="000000" w:sz="2" w:space="0"/>
            </w:tcBorders>
            <w:vAlign w:val="center"/>
          </w:tcPr>
          <w:p w14:paraId="5EF48E4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黑色/银色/白色等商务色系</w:t>
            </w:r>
          </w:p>
        </w:tc>
      </w:tr>
      <w:tr w14:paraId="6C19F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A09073E">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58</w:t>
            </w:r>
          </w:p>
        </w:tc>
        <w:tc>
          <w:tcPr>
            <w:tcW w:w="491" w:type="pct"/>
            <w:vMerge w:val="continue"/>
            <w:tcBorders>
              <w:top w:val="nil"/>
              <w:left w:val="single" w:color="000000" w:sz="2" w:space="0"/>
              <w:bottom w:val="single" w:color="000000" w:sz="2" w:space="0"/>
              <w:right w:val="single" w:color="000000" w:sz="2" w:space="0"/>
            </w:tcBorders>
            <w:vAlign w:val="center"/>
          </w:tcPr>
          <w:p w14:paraId="5DF55369">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2AC5185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▲鼠标其他要求</w:t>
            </w:r>
          </w:p>
        </w:tc>
        <w:tc>
          <w:tcPr>
            <w:tcW w:w="3335" w:type="pct"/>
            <w:tcBorders>
              <w:top w:val="single" w:color="000000" w:sz="2" w:space="0"/>
              <w:left w:val="single" w:color="000000" w:sz="2" w:space="0"/>
              <w:bottom w:val="single" w:color="000000" w:sz="2" w:space="0"/>
              <w:right w:val="single" w:color="000000" w:sz="2" w:space="0"/>
            </w:tcBorders>
            <w:vAlign w:val="center"/>
          </w:tcPr>
          <w:p w14:paraId="19E957B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其它参数应符合 GB/T 26245 的相关规定</w:t>
            </w:r>
          </w:p>
        </w:tc>
      </w:tr>
      <w:tr w14:paraId="4D31E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BF6660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59</w:t>
            </w:r>
          </w:p>
        </w:tc>
        <w:tc>
          <w:tcPr>
            <w:tcW w:w="491" w:type="pct"/>
            <w:vMerge w:val="continue"/>
            <w:tcBorders>
              <w:top w:val="nil"/>
              <w:left w:val="single" w:color="000000" w:sz="2" w:space="0"/>
              <w:bottom w:val="single" w:color="000000" w:sz="2" w:space="0"/>
              <w:right w:val="single" w:color="000000" w:sz="2" w:space="0"/>
            </w:tcBorders>
            <w:vAlign w:val="center"/>
          </w:tcPr>
          <w:p w14:paraId="2F396777">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486DF2E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▲触控板尺寸</w:t>
            </w:r>
          </w:p>
        </w:tc>
        <w:tc>
          <w:tcPr>
            <w:tcW w:w="3335" w:type="pct"/>
            <w:tcBorders>
              <w:top w:val="single" w:color="000000" w:sz="2" w:space="0"/>
              <w:left w:val="single" w:color="000000" w:sz="2" w:space="0"/>
              <w:bottom w:val="single" w:color="000000" w:sz="2" w:space="0"/>
              <w:right w:val="single" w:color="000000" w:sz="2" w:space="0"/>
            </w:tcBorders>
            <w:vAlign w:val="center"/>
          </w:tcPr>
          <w:p w14:paraId="2B7BEE3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≥70mm×50mm</w:t>
            </w:r>
          </w:p>
        </w:tc>
      </w:tr>
      <w:tr w14:paraId="01E6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9190331">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60</w:t>
            </w:r>
          </w:p>
        </w:tc>
        <w:tc>
          <w:tcPr>
            <w:tcW w:w="491" w:type="pct"/>
            <w:vMerge w:val="continue"/>
            <w:tcBorders>
              <w:top w:val="nil"/>
              <w:left w:val="single" w:color="000000" w:sz="2" w:space="0"/>
              <w:bottom w:val="single" w:color="000000" w:sz="2" w:space="0"/>
              <w:right w:val="single" w:color="000000" w:sz="2" w:space="0"/>
            </w:tcBorders>
            <w:vAlign w:val="center"/>
          </w:tcPr>
          <w:p w14:paraId="56F75231">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C4A692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▲触控板材质</w:t>
            </w:r>
          </w:p>
        </w:tc>
        <w:tc>
          <w:tcPr>
            <w:tcW w:w="3335" w:type="pct"/>
            <w:tcBorders>
              <w:top w:val="single" w:color="000000" w:sz="2" w:space="0"/>
              <w:left w:val="single" w:color="000000" w:sz="2" w:space="0"/>
              <w:bottom w:val="single" w:color="000000" w:sz="2" w:space="0"/>
              <w:right w:val="single" w:color="000000" w:sz="2" w:space="0"/>
            </w:tcBorders>
            <w:vAlign w:val="center"/>
          </w:tcPr>
          <w:p w14:paraId="6550898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采用麦拉片或玻璃等材质</w:t>
            </w:r>
          </w:p>
        </w:tc>
      </w:tr>
      <w:tr w14:paraId="0051F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8E1763D">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61</w:t>
            </w:r>
          </w:p>
        </w:tc>
        <w:tc>
          <w:tcPr>
            <w:tcW w:w="491" w:type="pct"/>
            <w:vMerge w:val="continue"/>
            <w:tcBorders>
              <w:top w:val="nil"/>
              <w:left w:val="single" w:color="000000" w:sz="2" w:space="0"/>
              <w:bottom w:val="single" w:color="000000" w:sz="2" w:space="0"/>
              <w:right w:val="single" w:color="000000" w:sz="2" w:space="0"/>
            </w:tcBorders>
            <w:vAlign w:val="center"/>
          </w:tcPr>
          <w:p w14:paraId="5CBFBC04">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460BC56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光驱规格</w:t>
            </w:r>
          </w:p>
        </w:tc>
        <w:tc>
          <w:tcPr>
            <w:tcW w:w="3335" w:type="pct"/>
            <w:tcBorders>
              <w:top w:val="single" w:color="000000" w:sz="2" w:space="0"/>
              <w:left w:val="single" w:color="000000" w:sz="2" w:space="0"/>
              <w:bottom w:val="single" w:color="000000" w:sz="2" w:space="0"/>
              <w:right w:val="single" w:color="000000" w:sz="2" w:space="0"/>
            </w:tcBorders>
            <w:vAlign w:val="center"/>
          </w:tcPr>
          <w:p w14:paraId="74E9A4F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w:t>
            </w:r>
          </w:p>
        </w:tc>
      </w:tr>
      <w:tr w14:paraId="4C713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342173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62</w:t>
            </w:r>
          </w:p>
        </w:tc>
        <w:tc>
          <w:tcPr>
            <w:tcW w:w="491" w:type="pct"/>
            <w:vMerge w:val="restart"/>
            <w:tcBorders>
              <w:top w:val="nil"/>
              <w:left w:val="single" w:color="000000" w:sz="2" w:space="0"/>
              <w:bottom w:val="nil"/>
              <w:right w:val="single" w:color="000000" w:sz="2" w:space="0"/>
            </w:tcBorders>
            <w:vAlign w:val="center"/>
          </w:tcPr>
          <w:p w14:paraId="477A221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▲网络设备规格</w:t>
            </w:r>
          </w:p>
        </w:tc>
        <w:tc>
          <w:tcPr>
            <w:tcW w:w="909" w:type="pct"/>
            <w:tcBorders>
              <w:top w:val="single" w:color="000000" w:sz="2" w:space="0"/>
              <w:left w:val="single" w:color="000000" w:sz="2" w:space="0"/>
              <w:bottom w:val="single" w:color="000000" w:sz="2" w:space="0"/>
              <w:right w:val="single" w:color="000000" w:sz="2" w:space="0"/>
            </w:tcBorders>
            <w:vAlign w:val="center"/>
          </w:tcPr>
          <w:p w14:paraId="320C414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▲有线网卡数量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2DD536A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≥1（可通过扩展坞支持）</w:t>
            </w:r>
          </w:p>
        </w:tc>
      </w:tr>
      <w:tr w14:paraId="0337E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6EA7A07">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63</w:t>
            </w:r>
          </w:p>
        </w:tc>
        <w:tc>
          <w:tcPr>
            <w:tcW w:w="491" w:type="pct"/>
            <w:vMerge w:val="continue"/>
            <w:tcBorders>
              <w:top w:val="nil"/>
              <w:left w:val="single" w:color="000000" w:sz="2" w:space="0"/>
              <w:bottom w:val="nil"/>
              <w:right w:val="single" w:color="000000" w:sz="2" w:space="0"/>
            </w:tcBorders>
            <w:vAlign w:val="center"/>
          </w:tcPr>
          <w:p w14:paraId="6B93D147">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48A9878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▲无线网卡</w:t>
            </w:r>
          </w:p>
          <w:p w14:paraId="03E27B8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及天线数量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4B66908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w:t>
            </w:r>
            <w:r>
              <w:rPr>
                <w:rFonts w:ascii="宋体" w:hAnsi="宋体" w:eastAsia="Times New Roman"/>
                <w:color w:val="auto"/>
                <w:spacing w:val="-2"/>
                <w:kern w:val="0"/>
                <w:sz w:val="22"/>
                <w:szCs w:val="22"/>
              </w:rPr>
              <w:t>1</w:t>
            </w:r>
          </w:p>
        </w:tc>
      </w:tr>
      <w:tr w14:paraId="1A396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1B61320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64</w:t>
            </w:r>
          </w:p>
        </w:tc>
        <w:tc>
          <w:tcPr>
            <w:tcW w:w="491" w:type="pct"/>
            <w:vMerge w:val="continue"/>
            <w:tcBorders>
              <w:top w:val="nil"/>
              <w:left w:val="single" w:color="000000" w:sz="2" w:space="0"/>
              <w:bottom w:val="nil"/>
              <w:right w:val="single" w:color="000000" w:sz="2" w:space="0"/>
            </w:tcBorders>
            <w:vAlign w:val="center"/>
          </w:tcPr>
          <w:p w14:paraId="6AD47EDB">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16A3B48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单无线网</w:t>
            </w:r>
          </w:p>
          <w:p w14:paraId="6F1A204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卡天线数量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41CE2C2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≥0</w:t>
            </w:r>
          </w:p>
        </w:tc>
      </w:tr>
      <w:tr w14:paraId="73AFD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61A06EA7">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65</w:t>
            </w:r>
          </w:p>
        </w:tc>
        <w:tc>
          <w:tcPr>
            <w:tcW w:w="491" w:type="pct"/>
            <w:vMerge w:val="restart"/>
            <w:tcBorders>
              <w:top w:val="nil"/>
              <w:left w:val="single" w:color="000000" w:sz="2" w:space="0"/>
              <w:bottom w:val="nil"/>
              <w:right w:val="single" w:color="000000" w:sz="2" w:space="0"/>
            </w:tcBorders>
            <w:vAlign w:val="center"/>
          </w:tcPr>
          <w:p w14:paraId="4F34C0F3">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▲外部接口规格</w:t>
            </w:r>
          </w:p>
        </w:tc>
        <w:tc>
          <w:tcPr>
            <w:tcW w:w="909" w:type="pct"/>
            <w:tcBorders>
              <w:top w:val="single" w:color="000000" w:sz="2" w:space="0"/>
              <w:left w:val="single" w:color="000000" w:sz="2" w:space="0"/>
              <w:bottom w:val="single" w:color="000000" w:sz="2" w:space="0"/>
              <w:right w:val="single" w:color="000000" w:sz="2" w:space="0"/>
            </w:tcBorders>
            <w:vAlign w:val="center"/>
          </w:tcPr>
          <w:p w14:paraId="3CD4477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▲USB 接口数量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6AB4DF6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USB 接口数量应不少于 3 个，至少包含 1 个 USB3.0 及以上标准接口（可通过拓展坞实现）</w:t>
            </w:r>
          </w:p>
        </w:tc>
      </w:tr>
      <w:tr w14:paraId="3B544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D5DF821">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66</w:t>
            </w:r>
          </w:p>
        </w:tc>
        <w:tc>
          <w:tcPr>
            <w:tcW w:w="491" w:type="pct"/>
            <w:vMerge w:val="continue"/>
            <w:tcBorders>
              <w:top w:val="nil"/>
              <w:left w:val="single" w:color="000000" w:sz="2" w:space="0"/>
              <w:bottom w:val="nil"/>
              <w:right w:val="single" w:color="000000" w:sz="2" w:space="0"/>
            </w:tcBorders>
            <w:vAlign w:val="center"/>
          </w:tcPr>
          <w:p w14:paraId="7DDD033D">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039E16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▲视频接口数量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5016A53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w:t>
            </w:r>
          </w:p>
        </w:tc>
      </w:tr>
      <w:tr w14:paraId="1E47B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115C83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67</w:t>
            </w:r>
          </w:p>
        </w:tc>
        <w:tc>
          <w:tcPr>
            <w:tcW w:w="491" w:type="pct"/>
            <w:vMerge w:val="continue"/>
            <w:tcBorders>
              <w:top w:val="nil"/>
              <w:left w:val="single" w:color="000000" w:sz="2" w:space="0"/>
              <w:bottom w:val="nil"/>
              <w:right w:val="single" w:color="000000" w:sz="2" w:space="0"/>
            </w:tcBorders>
            <w:vAlign w:val="center"/>
          </w:tcPr>
          <w:p w14:paraId="70313ED5">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0D09AAC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▲输入充电接口数量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175613E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w:t>
            </w:r>
          </w:p>
        </w:tc>
      </w:tr>
      <w:tr w14:paraId="617E6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FF3DEE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68</w:t>
            </w:r>
          </w:p>
        </w:tc>
        <w:tc>
          <w:tcPr>
            <w:tcW w:w="491" w:type="pct"/>
            <w:vMerge w:val="continue"/>
            <w:tcBorders>
              <w:top w:val="nil"/>
              <w:left w:val="single" w:color="000000" w:sz="2" w:space="0"/>
              <w:bottom w:val="nil"/>
              <w:right w:val="single" w:color="000000" w:sz="2" w:space="0"/>
            </w:tcBorders>
            <w:vAlign w:val="center"/>
          </w:tcPr>
          <w:p w14:paraId="79B2A80A">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73C9ABB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▲音频接口数量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5CB68A1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w:t>
            </w:r>
          </w:p>
        </w:tc>
      </w:tr>
      <w:tr w14:paraId="0CF5A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D63FC41">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69</w:t>
            </w:r>
          </w:p>
        </w:tc>
        <w:tc>
          <w:tcPr>
            <w:tcW w:w="491" w:type="pct"/>
            <w:vMerge w:val="continue"/>
            <w:tcBorders>
              <w:top w:val="nil"/>
              <w:left w:val="single" w:color="000000" w:sz="2" w:space="0"/>
              <w:bottom w:val="nil"/>
              <w:right w:val="single" w:color="000000" w:sz="2" w:space="0"/>
            </w:tcBorders>
            <w:vAlign w:val="center"/>
          </w:tcPr>
          <w:p w14:paraId="0D321BFE">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70290C6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存储卡接口数量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32240FA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≥0</w:t>
            </w:r>
          </w:p>
        </w:tc>
      </w:tr>
      <w:tr w14:paraId="27F77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2C9C151">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70</w:t>
            </w:r>
          </w:p>
        </w:tc>
        <w:tc>
          <w:tcPr>
            <w:tcW w:w="491" w:type="pct"/>
            <w:vMerge w:val="restart"/>
            <w:tcBorders>
              <w:top w:val="nil"/>
              <w:left w:val="single" w:color="000000" w:sz="2" w:space="0"/>
              <w:bottom w:val="nil"/>
              <w:right w:val="single" w:color="000000" w:sz="2" w:space="0"/>
            </w:tcBorders>
            <w:vAlign w:val="center"/>
          </w:tcPr>
          <w:p w14:paraId="3170DCA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4E6F90E3">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▲电池规格</w:t>
            </w:r>
          </w:p>
        </w:tc>
        <w:tc>
          <w:tcPr>
            <w:tcW w:w="909" w:type="pct"/>
            <w:tcBorders>
              <w:top w:val="single" w:color="000000" w:sz="2" w:space="0"/>
              <w:left w:val="single" w:color="000000" w:sz="2" w:space="0"/>
              <w:bottom w:val="single" w:color="000000" w:sz="2" w:space="0"/>
              <w:right w:val="single" w:color="000000" w:sz="2" w:space="0"/>
            </w:tcBorders>
            <w:vAlign w:val="center"/>
          </w:tcPr>
          <w:p w14:paraId="729FC27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▲电池额定能量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1FAA720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≥50Wh</w:t>
            </w:r>
          </w:p>
        </w:tc>
      </w:tr>
      <w:tr w14:paraId="627F0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C61609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71</w:t>
            </w:r>
          </w:p>
        </w:tc>
        <w:tc>
          <w:tcPr>
            <w:tcW w:w="491" w:type="pct"/>
            <w:vMerge w:val="continue"/>
            <w:tcBorders>
              <w:top w:val="nil"/>
              <w:left w:val="single" w:color="000000" w:sz="2" w:space="0"/>
              <w:bottom w:val="nil"/>
              <w:right w:val="single" w:color="000000" w:sz="2" w:space="0"/>
            </w:tcBorders>
            <w:vAlign w:val="center"/>
          </w:tcPr>
          <w:p w14:paraId="78B0A3E9">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430AA2B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▲电池充放电次数</w:t>
            </w:r>
          </w:p>
        </w:tc>
        <w:tc>
          <w:tcPr>
            <w:tcW w:w="3335" w:type="pct"/>
            <w:tcBorders>
              <w:top w:val="single" w:color="000000" w:sz="2" w:space="0"/>
              <w:left w:val="single" w:color="000000" w:sz="2" w:space="0"/>
              <w:bottom w:val="single" w:color="000000" w:sz="2" w:space="0"/>
              <w:right w:val="single" w:color="000000" w:sz="2" w:space="0"/>
            </w:tcBorders>
            <w:vAlign w:val="center"/>
          </w:tcPr>
          <w:p w14:paraId="6C632CA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≥500 次（常温下 500 次充放电后电池容量应不低于原始容量的80%）</w:t>
            </w:r>
          </w:p>
        </w:tc>
      </w:tr>
      <w:tr w14:paraId="17124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E9C0DF7">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72</w:t>
            </w:r>
          </w:p>
        </w:tc>
        <w:tc>
          <w:tcPr>
            <w:tcW w:w="491" w:type="pct"/>
            <w:vMerge w:val="continue"/>
            <w:tcBorders>
              <w:top w:val="nil"/>
              <w:left w:val="single" w:color="000000" w:sz="2" w:space="0"/>
              <w:bottom w:val="nil"/>
              <w:right w:val="single" w:color="000000" w:sz="2" w:space="0"/>
            </w:tcBorders>
            <w:vAlign w:val="center"/>
          </w:tcPr>
          <w:p w14:paraId="44423EA9">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72F7D31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快速充电功能</w:t>
            </w:r>
          </w:p>
        </w:tc>
        <w:tc>
          <w:tcPr>
            <w:tcW w:w="3335" w:type="pct"/>
            <w:tcBorders>
              <w:top w:val="single" w:color="000000" w:sz="2" w:space="0"/>
              <w:left w:val="single" w:color="000000" w:sz="2" w:space="0"/>
              <w:bottom w:val="single" w:color="000000" w:sz="2" w:space="0"/>
              <w:right w:val="single" w:color="000000" w:sz="2" w:space="0"/>
            </w:tcBorders>
            <w:vAlign w:val="center"/>
          </w:tcPr>
          <w:p w14:paraId="24C5D92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支持快速充电功能，如 UFCS、USB PD</w:t>
            </w:r>
          </w:p>
        </w:tc>
      </w:tr>
      <w:tr w14:paraId="324FB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0192CA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73</w:t>
            </w:r>
          </w:p>
        </w:tc>
        <w:tc>
          <w:tcPr>
            <w:tcW w:w="491" w:type="pct"/>
            <w:vMerge w:val="continue"/>
            <w:tcBorders>
              <w:top w:val="nil"/>
              <w:left w:val="single" w:color="000000" w:sz="2" w:space="0"/>
              <w:bottom w:val="nil"/>
              <w:right w:val="single" w:color="000000" w:sz="2" w:space="0"/>
            </w:tcBorders>
            <w:vAlign w:val="center"/>
          </w:tcPr>
          <w:p w14:paraId="0F706839">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ED21E0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▲电池安全要求</w:t>
            </w:r>
          </w:p>
        </w:tc>
        <w:tc>
          <w:tcPr>
            <w:tcW w:w="3335" w:type="pct"/>
            <w:tcBorders>
              <w:top w:val="single" w:color="000000" w:sz="2" w:space="0"/>
              <w:left w:val="single" w:color="000000" w:sz="2" w:space="0"/>
              <w:bottom w:val="single" w:color="000000" w:sz="2" w:space="0"/>
              <w:right w:val="single" w:color="000000" w:sz="2" w:space="0"/>
            </w:tcBorders>
            <w:vAlign w:val="center"/>
          </w:tcPr>
          <w:p w14:paraId="243BFBE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符合 GB 31241 的规定</w:t>
            </w:r>
          </w:p>
        </w:tc>
      </w:tr>
      <w:tr w14:paraId="1D94E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D81037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74</w:t>
            </w:r>
          </w:p>
        </w:tc>
        <w:tc>
          <w:tcPr>
            <w:tcW w:w="491" w:type="pct"/>
            <w:vMerge w:val="continue"/>
            <w:tcBorders>
              <w:top w:val="nil"/>
              <w:left w:val="single" w:color="000000" w:sz="2" w:space="0"/>
              <w:bottom w:val="nil"/>
              <w:right w:val="single" w:color="000000" w:sz="2" w:space="0"/>
            </w:tcBorders>
            <w:vAlign w:val="center"/>
          </w:tcPr>
          <w:p w14:paraId="54696A55">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7D05D3D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电池电芯材质</w:t>
            </w:r>
          </w:p>
        </w:tc>
        <w:tc>
          <w:tcPr>
            <w:tcW w:w="3335" w:type="pct"/>
            <w:tcBorders>
              <w:top w:val="single" w:color="000000" w:sz="2" w:space="0"/>
              <w:left w:val="single" w:color="000000" w:sz="2" w:space="0"/>
              <w:bottom w:val="single" w:color="000000" w:sz="2" w:space="0"/>
              <w:right w:val="single" w:color="000000" w:sz="2" w:space="0"/>
            </w:tcBorders>
            <w:vAlign w:val="center"/>
          </w:tcPr>
          <w:p w14:paraId="2B67073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锂电池</w:t>
            </w:r>
          </w:p>
        </w:tc>
      </w:tr>
      <w:tr w14:paraId="1093E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6A3816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6726D69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75</w:t>
            </w:r>
          </w:p>
        </w:tc>
        <w:tc>
          <w:tcPr>
            <w:tcW w:w="491" w:type="pct"/>
            <w:vMerge w:val="restart"/>
            <w:tcBorders>
              <w:top w:val="nil"/>
              <w:left w:val="single" w:color="000000" w:sz="2" w:space="0"/>
              <w:bottom w:val="single" w:color="000000" w:sz="2" w:space="0"/>
              <w:right w:val="single" w:color="000000" w:sz="2" w:space="0"/>
            </w:tcBorders>
            <w:vAlign w:val="center"/>
          </w:tcPr>
          <w:p w14:paraId="17D3BB40">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★整机基础规格</w:t>
            </w:r>
          </w:p>
          <w:p w14:paraId="52E53BC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1946E3E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▲整机外观</w:t>
            </w:r>
          </w:p>
        </w:tc>
        <w:tc>
          <w:tcPr>
            <w:tcW w:w="3335" w:type="pct"/>
            <w:tcBorders>
              <w:top w:val="single" w:color="000000" w:sz="2" w:space="0"/>
              <w:left w:val="single" w:color="000000" w:sz="2" w:space="0"/>
              <w:bottom w:val="single" w:color="000000" w:sz="2" w:space="0"/>
              <w:right w:val="single" w:color="000000" w:sz="2" w:space="0"/>
            </w:tcBorders>
            <w:vAlign w:val="center"/>
          </w:tcPr>
          <w:p w14:paraId="0DD9357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a) 产品表面不应有凹痕、划伤、裂缝、变形和污染等。表面涂层均匀，不应起泡、龟裂、脱落和磨损，金属零部件无锈蚀及其它机械损伤；</w:t>
            </w:r>
          </w:p>
          <w:p w14:paraId="590FB6A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b) 产品表面说明功能的文字、符号、标志，应清晰、端正、牢固；</w:t>
            </w:r>
          </w:p>
          <w:p w14:paraId="59C9F7C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c) 宜在产品显著位置提供运行状态指示功能，并由生产厂商提供详细参数</w:t>
            </w:r>
          </w:p>
        </w:tc>
      </w:tr>
      <w:tr w14:paraId="01238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560CF30">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51218A5C">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23A92AF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6A244DB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76</w:t>
            </w:r>
          </w:p>
        </w:tc>
        <w:tc>
          <w:tcPr>
            <w:tcW w:w="491" w:type="pct"/>
            <w:vMerge w:val="continue"/>
            <w:tcBorders>
              <w:top w:val="nil"/>
              <w:left w:val="single" w:color="000000" w:sz="2" w:space="0"/>
              <w:bottom w:val="single" w:color="000000" w:sz="2" w:space="0"/>
              <w:right w:val="single" w:color="000000" w:sz="2" w:space="0"/>
            </w:tcBorders>
            <w:vAlign w:val="center"/>
          </w:tcPr>
          <w:p w14:paraId="67172639">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69F300F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▲整机结构</w:t>
            </w:r>
          </w:p>
        </w:tc>
        <w:tc>
          <w:tcPr>
            <w:tcW w:w="3335" w:type="pct"/>
            <w:tcBorders>
              <w:top w:val="single" w:color="000000" w:sz="2" w:space="0"/>
              <w:left w:val="single" w:color="000000" w:sz="2" w:space="0"/>
              <w:bottom w:val="single" w:color="000000" w:sz="2" w:space="0"/>
              <w:right w:val="single" w:color="000000" w:sz="2" w:space="0"/>
            </w:tcBorders>
            <w:vAlign w:val="center"/>
          </w:tcPr>
          <w:p w14:paraId="06E8620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a) 产品应符合 GB/T 4208 的相关规定；</w:t>
            </w:r>
          </w:p>
          <w:p w14:paraId="438659F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b) 产品内部结构应符合通用部件的安装需要；</w:t>
            </w:r>
          </w:p>
          <w:p w14:paraId="51ED30C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c) 所有输入输出接口应符合相关国家或行业标准；</w:t>
            </w:r>
          </w:p>
          <w:p w14:paraId="1C1DF98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d) 产品零部件应紧固无松动，可插拔部件应可靠连接，开关、按钮和其它控制部件应灵活可靠，布局应方便使用；</w:t>
            </w:r>
          </w:p>
          <w:p w14:paraId="6BD2FB2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e) 所有 I/O连接器及需插接线缆的部位应预留用户操作空间，方便插拔解锁与插拔线缆；</w:t>
            </w:r>
          </w:p>
          <w:p w14:paraId="0FC1C47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f) 可插拔板卡插槽部位应预留安装、拆卸或更换板卡空间；</w:t>
            </w:r>
          </w:p>
          <w:p w14:paraId="66A117E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g) 拆装可能接触到的金属剪口或金属尖角部位应做防划伤处理，以保证安全；</w:t>
            </w:r>
          </w:p>
          <w:p w14:paraId="4AF460A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h) 整机内部走线应规整，固线结构和位置要合理可靠并做防割线处</w:t>
            </w:r>
          </w:p>
          <w:p w14:paraId="3EF0F04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理，需便于理线和插拔操作，走线应不影响系统各主要部件组装和拆卸；</w:t>
            </w:r>
          </w:p>
          <w:p w14:paraId="1F2B89F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i) 如需通过孔走线，过线孔应做防割线处理；</w:t>
            </w:r>
          </w:p>
          <w:p w14:paraId="1CB8C64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j) 各插头位置和插拔方向应合理，应做到插拔无障碍设计，具备防呆设计，有效避免误操作；</w:t>
            </w:r>
          </w:p>
          <w:p w14:paraId="6936D2C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k) 各主要部件拆装无障碍，使用常规工具拆装，无特殊拆装工具需求；</w:t>
            </w:r>
          </w:p>
          <w:p w14:paraId="08135DB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l) 各主要部件拆装步骤要少，各自拆装需避免相互干扰；</w:t>
            </w:r>
          </w:p>
          <w:p w14:paraId="1C6EDBE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m) 对于整机或零部件外表面为高亮面的，应粘贴保护膜，保护膜需粘贴牢固，运输、组装等过程不易脱落，撕下无残留；</w:t>
            </w:r>
          </w:p>
          <w:p w14:paraId="4710F60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n) 显示屏的开合机械寿命应能承受至少 15000 次的显示屏开合，显示屏机械转轴的扭力应保持初始状态下扭力的 75%以上；</w:t>
            </w:r>
          </w:p>
          <w:p w14:paraId="2601236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o) 其它要求应符合 GB/T 9813.2 的相关规定</w:t>
            </w:r>
          </w:p>
        </w:tc>
      </w:tr>
      <w:tr w14:paraId="4D3D3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694C23A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77</w:t>
            </w:r>
          </w:p>
        </w:tc>
        <w:tc>
          <w:tcPr>
            <w:tcW w:w="491" w:type="pct"/>
            <w:vMerge w:val="continue"/>
            <w:tcBorders>
              <w:top w:val="nil"/>
              <w:left w:val="single" w:color="000000" w:sz="2" w:space="0"/>
              <w:bottom w:val="single" w:color="000000" w:sz="2" w:space="0"/>
              <w:right w:val="single" w:color="000000" w:sz="2" w:space="0"/>
            </w:tcBorders>
            <w:vAlign w:val="center"/>
          </w:tcPr>
          <w:p w14:paraId="0A68B588">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0543FE1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▲整机噪音</w:t>
            </w:r>
          </w:p>
        </w:tc>
        <w:tc>
          <w:tcPr>
            <w:tcW w:w="3335" w:type="pct"/>
            <w:tcBorders>
              <w:top w:val="single" w:color="000000" w:sz="2" w:space="0"/>
              <w:left w:val="single" w:color="000000" w:sz="2" w:space="0"/>
              <w:bottom w:val="single" w:color="000000" w:sz="2" w:space="0"/>
              <w:right w:val="single" w:color="000000" w:sz="2" w:space="0"/>
            </w:tcBorders>
            <w:vAlign w:val="center"/>
          </w:tcPr>
          <w:p w14:paraId="1C3A12B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25 摄氏度环温条件：空闲小于等于 38dBA满载小于等于45dBA</w:t>
            </w:r>
          </w:p>
        </w:tc>
      </w:tr>
      <w:tr w14:paraId="1E281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16101900">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5A3BCDE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78</w:t>
            </w:r>
          </w:p>
        </w:tc>
        <w:tc>
          <w:tcPr>
            <w:tcW w:w="491" w:type="pct"/>
            <w:vMerge w:val="continue"/>
            <w:tcBorders>
              <w:top w:val="nil"/>
              <w:left w:val="single" w:color="000000" w:sz="2" w:space="0"/>
              <w:bottom w:val="single" w:color="000000" w:sz="2" w:space="0"/>
              <w:right w:val="single" w:color="000000" w:sz="2" w:space="0"/>
            </w:tcBorders>
            <w:vAlign w:val="center"/>
          </w:tcPr>
          <w:p w14:paraId="217DB811">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124CD96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p>
          <w:p w14:paraId="5168530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▲整机散热</w:t>
            </w:r>
          </w:p>
        </w:tc>
        <w:tc>
          <w:tcPr>
            <w:tcW w:w="3335" w:type="pct"/>
            <w:tcBorders>
              <w:top w:val="single" w:color="000000" w:sz="2" w:space="0"/>
              <w:left w:val="single" w:color="000000" w:sz="2" w:space="0"/>
              <w:bottom w:val="single" w:color="000000" w:sz="2" w:space="0"/>
              <w:right w:val="single" w:color="000000" w:sz="2" w:space="0"/>
            </w:tcBorders>
            <w:vAlign w:val="center"/>
          </w:tcPr>
          <w:p w14:paraId="7815BA8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产品在环境温度 25℃且运行在满载的状态下，可触及面温度范围内应不高于45℃ ,各表面温度应符合以下要求：</w:t>
            </w:r>
          </w:p>
          <w:p w14:paraId="3016B35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a) 键帽温度不高于38℃ ;</w:t>
            </w:r>
          </w:p>
          <w:p w14:paraId="71D86DB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b) 键盘间隙温度不高于40℃ ;</w:t>
            </w:r>
          </w:p>
          <w:p w14:paraId="4C50C1D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c) 掌托温度不高于38℃ ;</w:t>
            </w:r>
          </w:p>
          <w:p w14:paraId="2AA9A86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d) 触控板温度不高于38℃ ;</w:t>
            </w:r>
          </w:p>
          <w:p w14:paraId="306A5AD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e) 底壳温度不高于45℃</w:t>
            </w:r>
          </w:p>
        </w:tc>
      </w:tr>
      <w:tr w14:paraId="60AC3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1409861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79</w:t>
            </w:r>
          </w:p>
        </w:tc>
        <w:tc>
          <w:tcPr>
            <w:tcW w:w="491" w:type="pct"/>
            <w:vMerge w:val="continue"/>
            <w:tcBorders>
              <w:top w:val="nil"/>
              <w:left w:val="single" w:color="000000" w:sz="2" w:space="0"/>
              <w:bottom w:val="single" w:color="000000" w:sz="2" w:space="0"/>
              <w:right w:val="single" w:color="000000" w:sz="2" w:space="0"/>
            </w:tcBorders>
            <w:vAlign w:val="center"/>
          </w:tcPr>
          <w:p w14:paraId="4D1F7921">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1A31D24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▲整机能效限定值</w:t>
            </w:r>
          </w:p>
        </w:tc>
        <w:tc>
          <w:tcPr>
            <w:tcW w:w="3335" w:type="pct"/>
            <w:tcBorders>
              <w:top w:val="single" w:color="000000" w:sz="2" w:space="0"/>
              <w:left w:val="single" w:color="000000" w:sz="2" w:space="0"/>
              <w:bottom w:val="single" w:color="000000" w:sz="2" w:space="0"/>
              <w:right w:val="single" w:color="000000" w:sz="2" w:space="0"/>
            </w:tcBorders>
            <w:vAlign w:val="center"/>
          </w:tcPr>
          <w:p w14:paraId="6C1190C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产品能效限定值应达到 GB 28380-2 012 标准中能效等级 2 级及以上</w:t>
            </w:r>
          </w:p>
        </w:tc>
      </w:tr>
      <w:tr w14:paraId="6BAB9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4D8CFFE">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80</w:t>
            </w:r>
          </w:p>
        </w:tc>
        <w:tc>
          <w:tcPr>
            <w:tcW w:w="491" w:type="pct"/>
            <w:vMerge w:val="continue"/>
            <w:tcBorders>
              <w:top w:val="nil"/>
              <w:left w:val="single" w:color="000000" w:sz="2" w:space="0"/>
              <w:bottom w:val="single" w:color="000000" w:sz="2" w:space="0"/>
              <w:right w:val="single" w:color="000000" w:sz="2" w:space="0"/>
            </w:tcBorders>
            <w:vAlign w:val="center"/>
          </w:tcPr>
          <w:p w14:paraId="06888B2B">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1E40A54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▲整机重量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1D138D4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≤1.0kg</w:t>
            </w:r>
          </w:p>
        </w:tc>
      </w:tr>
      <w:tr w14:paraId="2FB94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3F224D9">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81</w:t>
            </w:r>
          </w:p>
        </w:tc>
        <w:tc>
          <w:tcPr>
            <w:tcW w:w="491" w:type="pct"/>
            <w:vMerge w:val="continue"/>
            <w:tcBorders>
              <w:top w:val="nil"/>
              <w:left w:val="single" w:color="000000" w:sz="2" w:space="0"/>
              <w:bottom w:val="single" w:color="000000" w:sz="2" w:space="0"/>
              <w:right w:val="single" w:color="000000" w:sz="2" w:space="0"/>
            </w:tcBorders>
            <w:vAlign w:val="center"/>
          </w:tcPr>
          <w:p w14:paraId="50897EB5">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231A764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▲整机厚度</w:t>
            </w:r>
          </w:p>
        </w:tc>
        <w:tc>
          <w:tcPr>
            <w:tcW w:w="3335" w:type="pct"/>
            <w:tcBorders>
              <w:top w:val="single" w:color="000000" w:sz="2" w:space="0"/>
              <w:left w:val="single" w:color="000000" w:sz="2" w:space="0"/>
              <w:bottom w:val="single" w:color="000000" w:sz="2" w:space="0"/>
              <w:right w:val="single" w:color="000000" w:sz="2" w:space="0"/>
            </w:tcBorders>
            <w:vAlign w:val="center"/>
          </w:tcPr>
          <w:p w14:paraId="56C92FE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≤16mm（不含脚垫）</w:t>
            </w:r>
          </w:p>
        </w:tc>
      </w:tr>
      <w:tr w14:paraId="3DE6F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12264D2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82</w:t>
            </w:r>
          </w:p>
        </w:tc>
        <w:tc>
          <w:tcPr>
            <w:tcW w:w="491" w:type="pct"/>
            <w:vMerge w:val="continue"/>
            <w:tcBorders>
              <w:top w:val="nil"/>
              <w:left w:val="single" w:color="000000" w:sz="2" w:space="0"/>
              <w:bottom w:val="single" w:color="000000" w:sz="2" w:space="0"/>
              <w:right w:val="single" w:color="000000" w:sz="2" w:space="0"/>
            </w:tcBorders>
            <w:vAlign w:val="center"/>
          </w:tcPr>
          <w:p w14:paraId="411C6191">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217D774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机身材质</w:t>
            </w:r>
          </w:p>
        </w:tc>
        <w:tc>
          <w:tcPr>
            <w:tcW w:w="3335" w:type="pct"/>
            <w:tcBorders>
              <w:top w:val="single" w:color="000000" w:sz="2" w:space="0"/>
              <w:left w:val="single" w:color="000000" w:sz="2" w:space="0"/>
              <w:bottom w:val="single" w:color="000000" w:sz="2" w:space="0"/>
              <w:right w:val="single" w:color="000000" w:sz="2" w:space="0"/>
            </w:tcBorders>
            <w:vAlign w:val="center"/>
          </w:tcPr>
          <w:p w14:paraId="2DEC8C6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塑料/金属等</w:t>
            </w:r>
          </w:p>
        </w:tc>
      </w:tr>
      <w:tr w14:paraId="3BC89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6E5F5E3">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83</w:t>
            </w:r>
          </w:p>
        </w:tc>
        <w:tc>
          <w:tcPr>
            <w:tcW w:w="491" w:type="pct"/>
            <w:vMerge w:val="continue"/>
            <w:tcBorders>
              <w:top w:val="nil"/>
              <w:left w:val="single" w:color="000000" w:sz="2" w:space="0"/>
              <w:bottom w:val="single" w:color="000000" w:sz="2" w:space="0"/>
              <w:right w:val="single" w:color="000000" w:sz="2" w:space="0"/>
            </w:tcBorders>
            <w:vAlign w:val="center"/>
          </w:tcPr>
          <w:p w14:paraId="477C1E39">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692FBB2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▲机身颜色</w:t>
            </w:r>
          </w:p>
        </w:tc>
        <w:tc>
          <w:tcPr>
            <w:tcW w:w="3335" w:type="pct"/>
            <w:tcBorders>
              <w:top w:val="single" w:color="000000" w:sz="2" w:space="0"/>
              <w:left w:val="single" w:color="000000" w:sz="2" w:space="0"/>
              <w:bottom w:val="single" w:color="000000" w:sz="2" w:space="0"/>
              <w:right w:val="single" w:color="000000" w:sz="2" w:space="0"/>
            </w:tcBorders>
            <w:vAlign w:val="center"/>
          </w:tcPr>
          <w:p w14:paraId="7547A3A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一般选用灰色/黑色等商务色系</w:t>
            </w:r>
          </w:p>
        </w:tc>
      </w:tr>
      <w:tr w14:paraId="141ED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CBCB7E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84</w:t>
            </w:r>
          </w:p>
        </w:tc>
        <w:tc>
          <w:tcPr>
            <w:tcW w:w="491" w:type="pct"/>
            <w:vMerge w:val="restart"/>
            <w:tcBorders>
              <w:top w:val="nil"/>
              <w:left w:val="single" w:color="000000" w:sz="2" w:space="0"/>
              <w:bottom w:val="single" w:color="000000" w:sz="2" w:space="0"/>
              <w:right w:val="single" w:color="000000" w:sz="2" w:space="0"/>
            </w:tcBorders>
            <w:vAlign w:val="center"/>
          </w:tcPr>
          <w:p w14:paraId="5A687623">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▲CPU性能</w:t>
            </w:r>
          </w:p>
          <w:p w14:paraId="58040CE9">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7B1AB37C">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38E6423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444A2313">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050DBBB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▲CPU 物理核数</w:t>
            </w:r>
          </w:p>
        </w:tc>
        <w:tc>
          <w:tcPr>
            <w:tcW w:w="3335" w:type="pct"/>
            <w:tcBorders>
              <w:top w:val="single" w:color="000000" w:sz="2" w:space="0"/>
              <w:left w:val="single" w:color="000000" w:sz="2" w:space="0"/>
              <w:bottom w:val="single" w:color="000000" w:sz="2" w:space="0"/>
              <w:right w:val="single" w:color="000000" w:sz="2" w:space="0"/>
            </w:tcBorders>
            <w:vAlign w:val="center"/>
          </w:tcPr>
          <w:p w14:paraId="295B23E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≥8</w:t>
            </w:r>
          </w:p>
        </w:tc>
      </w:tr>
      <w:tr w14:paraId="28B6A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5488EC5">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85</w:t>
            </w:r>
          </w:p>
        </w:tc>
        <w:tc>
          <w:tcPr>
            <w:tcW w:w="491" w:type="pct"/>
            <w:vMerge w:val="continue"/>
            <w:tcBorders>
              <w:top w:val="nil"/>
              <w:left w:val="single" w:color="000000" w:sz="2" w:space="0"/>
              <w:bottom w:val="single" w:color="000000" w:sz="2" w:space="0"/>
              <w:right w:val="single" w:color="000000" w:sz="2" w:space="0"/>
            </w:tcBorders>
            <w:vAlign w:val="center"/>
          </w:tcPr>
          <w:p w14:paraId="20EFFFDA">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7D0DC73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▲CPU 主频</w:t>
            </w:r>
          </w:p>
        </w:tc>
        <w:tc>
          <w:tcPr>
            <w:tcW w:w="3335" w:type="pct"/>
            <w:tcBorders>
              <w:top w:val="single" w:color="000000" w:sz="2" w:space="0"/>
              <w:left w:val="single" w:color="000000" w:sz="2" w:space="0"/>
              <w:bottom w:val="single" w:color="000000" w:sz="2" w:space="0"/>
              <w:right w:val="single" w:color="000000" w:sz="2" w:space="0"/>
            </w:tcBorders>
            <w:vAlign w:val="center"/>
          </w:tcPr>
          <w:p w14:paraId="6B27BA8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≥1.9GHz</w:t>
            </w:r>
          </w:p>
        </w:tc>
      </w:tr>
      <w:tr w14:paraId="3ECA2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F1ACAF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01E3B7E4">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86</w:t>
            </w:r>
          </w:p>
        </w:tc>
        <w:tc>
          <w:tcPr>
            <w:tcW w:w="491" w:type="pct"/>
            <w:vMerge w:val="continue"/>
            <w:tcBorders>
              <w:top w:val="nil"/>
              <w:left w:val="single" w:color="000000" w:sz="2" w:space="0"/>
              <w:bottom w:val="single" w:color="000000" w:sz="2" w:space="0"/>
              <w:right w:val="single" w:color="000000" w:sz="2" w:space="0"/>
            </w:tcBorders>
            <w:vAlign w:val="center"/>
          </w:tcPr>
          <w:p w14:paraId="2A414DBF">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048CE48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▲CPU 末级缓存容量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6F1876D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≥12MB</w:t>
            </w:r>
          </w:p>
        </w:tc>
      </w:tr>
      <w:tr w14:paraId="25F4C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B59069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87</w:t>
            </w:r>
          </w:p>
        </w:tc>
        <w:tc>
          <w:tcPr>
            <w:tcW w:w="491" w:type="pct"/>
            <w:vMerge w:val="continue"/>
            <w:tcBorders>
              <w:top w:val="nil"/>
              <w:left w:val="single" w:color="000000" w:sz="2" w:space="0"/>
              <w:bottom w:val="single" w:color="000000" w:sz="2" w:space="0"/>
              <w:right w:val="single" w:color="000000" w:sz="2" w:space="0"/>
            </w:tcBorders>
            <w:vAlign w:val="center"/>
          </w:tcPr>
          <w:p w14:paraId="5FF27875">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2A790BF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▲CPU 支持的内存最高速率</w:t>
            </w:r>
          </w:p>
        </w:tc>
        <w:tc>
          <w:tcPr>
            <w:tcW w:w="3335" w:type="pct"/>
            <w:tcBorders>
              <w:top w:val="single" w:color="000000" w:sz="2" w:space="0"/>
              <w:left w:val="single" w:color="000000" w:sz="2" w:space="0"/>
              <w:bottom w:val="single" w:color="000000" w:sz="2" w:space="0"/>
              <w:right w:val="single" w:color="000000" w:sz="2" w:space="0"/>
            </w:tcBorders>
            <w:vAlign w:val="center"/>
          </w:tcPr>
          <w:p w14:paraId="5EC958D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≥2666MT/s</w:t>
            </w:r>
          </w:p>
        </w:tc>
      </w:tr>
      <w:tr w14:paraId="47EEB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E908A8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88</w:t>
            </w:r>
          </w:p>
        </w:tc>
        <w:tc>
          <w:tcPr>
            <w:tcW w:w="491" w:type="pct"/>
            <w:tcBorders>
              <w:top w:val="single" w:color="000000" w:sz="2" w:space="0"/>
              <w:left w:val="single" w:color="000000" w:sz="2" w:space="0"/>
              <w:bottom w:val="single" w:color="000000" w:sz="2" w:space="0"/>
              <w:right w:val="single" w:color="000000" w:sz="2" w:space="0"/>
            </w:tcBorders>
            <w:vAlign w:val="center"/>
          </w:tcPr>
          <w:p w14:paraId="64AEBCB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▲内存性能</w:t>
            </w:r>
          </w:p>
        </w:tc>
        <w:tc>
          <w:tcPr>
            <w:tcW w:w="909" w:type="pct"/>
            <w:tcBorders>
              <w:top w:val="single" w:color="000000" w:sz="2" w:space="0"/>
              <w:left w:val="single" w:color="000000" w:sz="2" w:space="0"/>
              <w:bottom w:val="single" w:color="000000" w:sz="2" w:space="0"/>
              <w:right w:val="single" w:color="000000" w:sz="2" w:space="0"/>
            </w:tcBorders>
            <w:vAlign w:val="center"/>
          </w:tcPr>
          <w:p w14:paraId="6301F09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▲内存读写速率</w:t>
            </w:r>
          </w:p>
        </w:tc>
        <w:tc>
          <w:tcPr>
            <w:tcW w:w="3335" w:type="pct"/>
            <w:tcBorders>
              <w:top w:val="single" w:color="000000" w:sz="2" w:space="0"/>
              <w:left w:val="single" w:color="000000" w:sz="2" w:space="0"/>
              <w:bottom w:val="single" w:color="000000" w:sz="2" w:space="0"/>
              <w:right w:val="single" w:color="000000" w:sz="2" w:space="0"/>
            </w:tcBorders>
            <w:vAlign w:val="center"/>
          </w:tcPr>
          <w:p w14:paraId="196B163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≥2666MT/s</w:t>
            </w:r>
          </w:p>
        </w:tc>
      </w:tr>
      <w:tr w14:paraId="1739D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419E73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89</w:t>
            </w:r>
          </w:p>
        </w:tc>
        <w:tc>
          <w:tcPr>
            <w:tcW w:w="491" w:type="pct"/>
            <w:vMerge w:val="restart"/>
            <w:tcBorders>
              <w:top w:val="nil"/>
              <w:left w:val="single" w:color="000000" w:sz="2" w:space="0"/>
              <w:bottom w:val="single" w:color="000000" w:sz="2" w:space="0"/>
              <w:right w:val="single" w:color="000000" w:sz="2" w:space="0"/>
            </w:tcBorders>
            <w:vAlign w:val="center"/>
          </w:tcPr>
          <w:p w14:paraId="6E3F70B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▲显卡性能</w:t>
            </w:r>
          </w:p>
          <w:p w14:paraId="3D11A610">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12038A0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▲显示分辨率</w:t>
            </w:r>
          </w:p>
        </w:tc>
        <w:tc>
          <w:tcPr>
            <w:tcW w:w="3335" w:type="pct"/>
            <w:tcBorders>
              <w:top w:val="single" w:color="000000" w:sz="2" w:space="0"/>
              <w:left w:val="single" w:color="000000" w:sz="2" w:space="0"/>
              <w:bottom w:val="single" w:color="000000" w:sz="2" w:space="0"/>
              <w:right w:val="single" w:color="000000" w:sz="2" w:space="0"/>
            </w:tcBorders>
            <w:vAlign w:val="center"/>
          </w:tcPr>
          <w:p w14:paraId="3D70676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≥1920x1080</w:t>
            </w:r>
          </w:p>
        </w:tc>
      </w:tr>
      <w:tr w14:paraId="0AC0A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F2619C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90</w:t>
            </w:r>
          </w:p>
        </w:tc>
        <w:tc>
          <w:tcPr>
            <w:tcW w:w="491" w:type="pct"/>
            <w:vMerge w:val="continue"/>
            <w:tcBorders>
              <w:top w:val="nil"/>
              <w:left w:val="single" w:color="000000" w:sz="2" w:space="0"/>
              <w:bottom w:val="single" w:color="000000" w:sz="2" w:space="0"/>
              <w:right w:val="single" w:color="000000" w:sz="2" w:space="0"/>
            </w:tcBorders>
            <w:vAlign w:val="center"/>
          </w:tcPr>
          <w:p w14:paraId="0381F4D1">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63F6266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▲显卡显示芯片核心频率</w:t>
            </w:r>
          </w:p>
        </w:tc>
        <w:tc>
          <w:tcPr>
            <w:tcW w:w="3335" w:type="pct"/>
            <w:tcBorders>
              <w:top w:val="single" w:color="000000" w:sz="2" w:space="0"/>
              <w:left w:val="single" w:color="000000" w:sz="2" w:space="0"/>
              <w:bottom w:val="single" w:color="000000" w:sz="2" w:space="0"/>
              <w:right w:val="single" w:color="000000" w:sz="2" w:space="0"/>
            </w:tcBorders>
            <w:vAlign w:val="center"/>
          </w:tcPr>
          <w:p w14:paraId="5921580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≥300MHz</w:t>
            </w:r>
          </w:p>
        </w:tc>
      </w:tr>
      <w:tr w14:paraId="0A02D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D965ED0">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91</w:t>
            </w:r>
          </w:p>
        </w:tc>
        <w:tc>
          <w:tcPr>
            <w:tcW w:w="491" w:type="pct"/>
            <w:vMerge w:val="continue"/>
            <w:tcBorders>
              <w:top w:val="nil"/>
              <w:left w:val="single" w:color="000000" w:sz="2" w:space="0"/>
              <w:bottom w:val="single" w:color="000000" w:sz="2" w:space="0"/>
              <w:right w:val="single" w:color="000000" w:sz="2" w:space="0"/>
            </w:tcBorders>
            <w:vAlign w:val="center"/>
          </w:tcPr>
          <w:p w14:paraId="4F0DE251">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0B57E9D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▲显存等效频率</w:t>
            </w:r>
          </w:p>
        </w:tc>
        <w:tc>
          <w:tcPr>
            <w:tcW w:w="3335" w:type="pct"/>
            <w:tcBorders>
              <w:top w:val="single" w:color="000000" w:sz="2" w:space="0"/>
              <w:left w:val="single" w:color="000000" w:sz="2" w:space="0"/>
              <w:bottom w:val="single" w:color="000000" w:sz="2" w:space="0"/>
              <w:right w:val="single" w:color="000000" w:sz="2" w:space="0"/>
            </w:tcBorders>
            <w:vAlign w:val="center"/>
          </w:tcPr>
          <w:p w14:paraId="3D305AF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≥1000MT/s</w:t>
            </w:r>
          </w:p>
        </w:tc>
      </w:tr>
      <w:tr w14:paraId="2BE8C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8AA1B10">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92</w:t>
            </w:r>
          </w:p>
        </w:tc>
        <w:tc>
          <w:tcPr>
            <w:tcW w:w="491" w:type="pct"/>
            <w:vMerge w:val="continue"/>
            <w:tcBorders>
              <w:top w:val="nil"/>
              <w:left w:val="single" w:color="000000" w:sz="2" w:space="0"/>
              <w:bottom w:val="single" w:color="000000" w:sz="2" w:space="0"/>
              <w:right w:val="single" w:color="000000" w:sz="2" w:space="0"/>
            </w:tcBorders>
            <w:vAlign w:val="center"/>
          </w:tcPr>
          <w:p w14:paraId="5A053BAF">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28EE198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▲显卡可支持多屏同时显示数量</w:t>
            </w:r>
          </w:p>
        </w:tc>
        <w:tc>
          <w:tcPr>
            <w:tcW w:w="3335" w:type="pct"/>
            <w:tcBorders>
              <w:top w:val="single" w:color="000000" w:sz="2" w:space="0"/>
              <w:left w:val="single" w:color="000000" w:sz="2" w:space="0"/>
              <w:bottom w:val="single" w:color="000000" w:sz="2" w:space="0"/>
              <w:right w:val="single" w:color="000000" w:sz="2" w:space="0"/>
            </w:tcBorders>
            <w:vAlign w:val="center"/>
          </w:tcPr>
          <w:p w14:paraId="57903B5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显卡应支持 2 块屏幕同时显示，分辨率应不低于 1920×1080</w:t>
            </w:r>
          </w:p>
        </w:tc>
      </w:tr>
      <w:tr w14:paraId="156A1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DE70DC9">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93</w:t>
            </w:r>
          </w:p>
        </w:tc>
        <w:tc>
          <w:tcPr>
            <w:tcW w:w="491" w:type="pct"/>
            <w:vMerge w:val="restart"/>
            <w:tcBorders>
              <w:top w:val="nil"/>
              <w:left w:val="single" w:color="000000" w:sz="2" w:space="0"/>
              <w:bottom w:val="single" w:color="000000" w:sz="2" w:space="0"/>
              <w:right w:val="single" w:color="000000" w:sz="2" w:space="0"/>
            </w:tcBorders>
            <w:vAlign w:val="center"/>
          </w:tcPr>
          <w:p w14:paraId="2B6F797D">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▲显示设备性能</w:t>
            </w:r>
          </w:p>
          <w:p w14:paraId="1FE57EC5">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494C8C5D">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48547B7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▲显示屏刷新率</w:t>
            </w:r>
          </w:p>
        </w:tc>
        <w:tc>
          <w:tcPr>
            <w:tcW w:w="3335" w:type="pct"/>
            <w:tcBorders>
              <w:top w:val="single" w:color="000000" w:sz="2" w:space="0"/>
              <w:left w:val="single" w:color="000000" w:sz="2" w:space="0"/>
              <w:bottom w:val="single" w:color="000000" w:sz="2" w:space="0"/>
              <w:right w:val="single" w:color="000000" w:sz="2" w:space="0"/>
            </w:tcBorders>
            <w:vAlign w:val="center"/>
          </w:tcPr>
          <w:p w14:paraId="2855FC6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≥60Hz</w:t>
            </w:r>
          </w:p>
        </w:tc>
      </w:tr>
      <w:tr w14:paraId="68CE6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8D67CE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94</w:t>
            </w:r>
          </w:p>
        </w:tc>
        <w:tc>
          <w:tcPr>
            <w:tcW w:w="491" w:type="pct"/>
            <w:vMerge w:val="continue"/>
            <w:tcBorders>
              <w:top w:val="nil"/>
              <w:left w:val="single" w:color="000000" w:sz="2" w:space="0"/>
              <w:bottom w:val="single" w:color="000000" w:sz="2" w:space="0"/>
              <w:right w:val="single" w:color="000000" w:sz="2" w:space="0"/>
            </w:tcBorders>
            <w:vAlign w:val="center"/>
          </w:tcPr>
          <w:p w14:paraId="2D448299">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45A6D36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▲显示屏位深</w:t>
            </w:r>
          </w:p>
        </w:tc>
        <w:tc>
          <w:tcPr>
            <w:tcW w:w="3335" w:type="pct"/>
            <w:tcBorders>
              <w:top w:val="single" w:color="000000" w:sz="2" w:space="0"/>
              <w:left w:val="single" w:color="000000" w:sz="2" w:space="0"/>
              <w:bottom w:val="single" w:color="000000" w:sz="2" w:space="0"/>
              <w:right w:val="single" w:color="000000" w:sz="2" w:space="0"/>
            </w:tcBorders>
            <w:vAlign w:val="center"/>
          </w:tcPr>
          <w:p w14:paraId="6E80E8E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≥8 位</w:t>
            </w:r>
          </w:p>
        </w:tc>
      </w:tr>
      <w:tr w14:paraId="6EB61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DB37AA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95</w:t>
            </w:r>
          </w:p>
        </w:tc>
        <w:tc>
          <w:tcPr>
            <w:tcW w:w="491" w:type="pct"/>
            <w:vMerge w:val="continue"/>
            <w:tcBorders>
              <w:top w:val="nil"/>
              <w:left w:val="single" w:color="000000" w:sz="2" w:space="0"/>
              <w:bottom w:val="single" w:color="000000" w:sz="2" w:space="0"/>
              <w:right w:val="single" w:color="000000" w:sz="2" w:space="0"/>
            </w:tcBorders>
            <w:vAlign w:val="center"/>
          </w:tcPr>
          <w:p w14:paraId="3606389B">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0FAE077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▲显示屏色域</w:t>
            </w:r>
          </w:p>
        </w:tc>
        <w:tc>
          <w:tcPr>
            <w:tcW w:w="3335" w:type="pct"/>
            <w:tcBorders>
              <w:top w:val="single" w:color="000000" w:sz="2" w:space="0"/>
              <w:left w:val="single" w:color="000000" w:sz="2" w:space="0"/>
              <w:bottom w:val="single" w:color="000000" w:sz="2" w:space="0"/>
              <w:right w:val="single" w:color="000000" w:sz="2" w:space="0"/>
            </w:tcBorders>
            <w:vAlign w:val="center"/>
          </w:tcPr>
          <w:p w14:paraId="0100DCB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≥99% sRGB</w:t>
            </w:r>
          </w:p>
        </w:tc>
      </w:tr>
      <w:tr w14:paraId="1A61A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7A6C6BD">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96</w:t>
            </w:r>
          </w:p>
        </w:tc>
        <w:tc>
          <w:tcPr>
            <w:tcW w:w="491" w:type="pct"/>
            <w:vMerge w:val="continue"/>
            <w:tcBorders>
              <w:top w:val="nil"/>
              <w:left w:val="single" w:color="000000" w:sz="2" w:space="0"/>
              <w:bottom w:val="single" w:color="000000" w:sz="2" w:space="0"/>
              <w:right w:val="single" w:color="000000" w:sz="2" w:space="0"/>
            </w:tcBorders>
            <w:vAlign w:val="center"/>
          </w:tcPr>
          <w:p w14:paraId="4844E3B8">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6E00BD1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▲显示屏色准</w:t>
            </w:r>
          </w:p>
        </w:tc>
        <w:tc>
          <w:tcPr>
            <w:tcW w:w="3335" w:type="pct"/>
            <w:tcBorders>
              <w:top w:val="single" w:color="000000" w:sz="2" w:space="0"/>
              <w:left w:val="single" w:color="000000" w:sz="2" w:space="0"/>
              <w:bottom w:val="single" w:color="000000" w:sz="2" w:space="0"/>
              <w:right w:val="single" w:color="000000" w:sz="2" w:space="0"/>
            </w:tcBorders>
            <w:vAlign w:val="center"/>
          </w:tcPr>
          <w:p w14:paraId="31EBDB0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△E ≤ 4</w:t>
            </w:r>
          </w:p>
        </w:tc>
      </w:tr>
      <w:tr w14:paraId="02E00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30C5FA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97</w:t>
            </w:r>
          </w:p>
        </w:tc>
        <w:tc>
          <w:tcPr>
            <w:tcW w:w="491" w:type="pct"/>
            <w:vMerge w:val="continue"/>
            <w:tcBorders>
              <w:top w:val="nil"/>
              <w:left w:val="single" w:color="000000" w:sz="2" w:space="0"/>
              <w:bottom w:val="single" w:color="000000" w:sz="2" w:space="0"/>
              <w:right w:val="single" w:color="000000" w:sz="2" w:space="0"/>
            </w:tcBorders>
            <w:vAlign w:val="center"/>
          </w:tcPr>
          <w:p w14:paraId="01EB83F9">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6BD63F2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▲显示屏响应时间</w:t>
            </w:r>
          </w:p>
        </w:tc>
        <w:tc>
          <w:tcPr>
            <w:tcW w:w="3335" w:type="pct"/>
            <w:tcBorders>
              <w:top w:val="single" w:color="000000" w:sz="2" w:space="0"/>
              <w:left w:val="single" w:color="000000" w:sz="2" w:space="0"/>
              <w:bottom w:val="single" w:color="000000" w:sz="2" w:space="0"/>
              <w:right w:val="single" w:color="000000" w:sz="2" w:space="0"/>
            </w:tcBorders>
            <w:vAlign w:val="center"/>
          </w:tcPr>
          <w:p w14:paraId="20751EA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≤30ms</w:t>
            </w:r>
          </w:p>
        </w:tc>
      </w:tr>
      <w:tr w14:paraId="27BF5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4425BAE">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98</w:t>
            </w:r>
          </w:p>
        </w:tc>
        <w:tc>
          <w:tcPr>
            <w:tcW w:w="491" w:type="pct"/>
            <w:vMerge w:val="continue"/>
            <w:tcBorders>
              <w:top w:val="nil"/>
              <w:left w:val="single" w:color="000000" w:sz="2" w:space="0"/>
              <w:bottom w:val="single" w:color="000000" w:sz="2" w:space="0"/>
              <w:right w:val="single" w:color="000000" w:sz="2" w:space="0"/>
            </w:tcBorders>
            <w:vAlign w:val="center"/>
          </w:tcPr>
          <w:p w14:paraId="561644EE">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260C8B2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▲显示屏亮度</w:t>
            </w:r>
          </w:p>
        </w:tc>
        <w:tc>
          <w:tcPr>
            <w:tcW w:w="3335" w:type="pct"/>
            <w:tcBorders>
              <w:top w:val="single" w:color="000000" w:sz="2" w:space="0"/>
              <w:left w:val="single" w:color="000000" w:sz="2" w:space="0"/>
              <w:bottom w:val="single" w:color="000000" w:sz="2" w:space="0"/>
              <w:right w:val="single" w:color="000000" w:sz="2" w:space="0"/>
            </w:tcBorders>
            <w:vAlign w:val="center"/>
          </w:tcPr>
          <w:p w14:paraId="035C0F7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≥250 尼特</w:t>
            </w:r>
          </w:p>
        </w:tc>
      </w:tr>
      <w:tr w14:paraId="46C45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1E556ED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99</w:t>
            </w:r>
          </w:p>
        </w:tc>
        <w:tc>
          <w:tcPr>
            <w:tcW w:w="491" w:type="pct"/>
            <w:vMerge w:val="continue"/>
            <w:tcBorders>
              <w:top w:val="nil"/>
              <w:left w:val="single" w:color="000000" w:sz="2" w:space="0"/>
              <w:bottom w:val="single" w:color="000000" w:sz="2" w:space="0"/>
              <w:right w:val="single" w:color="000000" w:sz="2" w:space="0"/>
            </w:tcBorders>
            <w:vAlign w:val="center"/>
          </w:tcPr>
          <w:p w14:paraId="517A37A5">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148ABA8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▲显示屏亮度一致性</w:t>
            </w:r>
          </w:p>
        </w:tc>
        <w:tc>
          <w:tcPr>
            <w:tcW w:w="3335" w:type="pct"/>
            <w:tcBorders>
              <w:top w:val="single" w:color="000000" w:sz="2" w:space="0"/>
              <w:left w:val="single" w:color="000000" w:sz="2" w:space="0"/>
              <w:bottom w:val="single" w:color="000000" w:sz="2" w:space="0"/>
              <w:right w:val="single" w:color="000000" w:sz="2" w:space="0"/>
            </w:tcBorders>
            <w:vAlign w:val="center"/>
          </w:tcPr>
          <w:p w14:paraId="2E68D14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≥70%</w:t>
            </w:r>
          </w:p>
        </w:tc>
      </w:tr>
      <w:tr w14:paraId="01649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8364AF2">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100</w:t>
            </w:r>
          </w:p>
        </w:tc>
        <w:tc>
          <w:tcPr>
            <w:tcW w:w="491" w:type="pct"/>
            <w:vMerge w:val="continue"/>
            <w:tcBorders>
              <w:top w:val="nil"/>
              <w:left w:val="single" w:color="000000" w:sz="2" w:space="0"/>
              <w:bottom w:val="single" w:color="000000" w:sz="2" w:space="0"/>
              <w:right w:val="single" w:color="000000" w:sz="2" w:space="0"/>
            </w:tcBorders>
            <w:vAlign w:val="center"/>
          </w:tcPr>
          <w:p w14:paraId="4EB42F5B">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3D52C98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▲显示屏对比度</w:t>
            </w:r>
          </w:p>
        </w:tc>
        <w:tc>
          <w:tcPr>
            <w:tcW w:w="3335" w:type="pct"/>
            <w:tcBorders>
              <w:top w:val="single" w:color="000000" w:sz="2" w:space="0"/>
              <w:left w:val="single" w:color="000000" w:sz="2" w:space="0"/>
              <w:bottom w:val="single" w:color="000000" w:sz="2" w:space="0"/>
              <w:right w:val="single" w:color="000000" w:sz="2" w:space="0"/>
            </w:tcBorders>
            <w:vAlign w:val="center"/>
          </w:tcPr>
          <w:p w14:paraId="7FB43FE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≥500：1</w:t>
            </w:r>
          </w:p>
        </w:tc>
      </w:tr>
      <w:tr w14:paraId="4E88D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D3BFFB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101</w:t>
            </w:r>
          </w:p>
        </w:tc>
        <w:tc>
          <w:tcPr>
            <w:tcW w:w="491" w:type="pct"/>
            <w:vMerge w:val="continue"/>
            <w:tcBorders>
              <w:top w:val="nil"/>
              <w:left w:val="single" w:color="000000" w:sz="2" w:space="0"/>
              <w:bottom w:val="single" w:color="000000" w:sz="2" w:space="0"/>
              <w:right w:val="single" w:color="000000" w:sz="2" w:space="0"/>
            </w:tcBorders>
            <w:vAlign w:val="center"/>
          </w:tcPr>
          <w:p w14:paraId="6EB590E9">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4680D17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▲显示屏其他参数</w:t>
            </w:r>
          </w:p>
        </w:tc>
        <w:tc>
          <w:tcPr>
            <w:tcW w:w="3335" w:type="pct"/>
            <w:tcBorders>
              <w:top w:val="single" w:color="000000" w:sz="2" w:space="0"/>
              <w:left w:val="single" w:color="000000" w:sz="2" w:space="0"/>
              <w:bottom w:val="single" w:color="000000" w:sz="2" w:space="0"/>
              <w:right w:val="single" w:color="000000" w:sz="2" w:space="0"/>
            </w:tcBorders>
            <w:vAlign w:val="center"/>
          </w:tcPr>
          <w:p w14:paraId="75908AB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其它参数应符合 SJ/T 11292 的相关规定</w:t>
            </w:r>
          </w:p>
        </w:tc>
      </w:tr>
      <w:tr w14:paraId="061C9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8E0735D">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102</w:t>
            </w:r>
          </w:p>
        </w:tc>
        <w:tc>
          <w:tcPr>
            <w:tcW w:w="491" w:type="pct"/>
            <w:vMerge w:val="restart"/>
            <w:tcBorders>
              <w:top w:val="nil"/>
              <w:left w:val="single" w:color="000000" w:sz="2" w:space="0"/>
              <w:bottom w:val="single" w:color="000000" w:sz="2" w:space="0"/>
              <w:right w:val="single" w:color="000000" w:sz="2" w:space="0"/>
            </w:tcBorders>
            <w:vAlign w:val="center"/>
          </w:tcPr>
          <w:p w14:paraId="7D73830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▲网络设备性能</w:t>
            </w:r>
          </w:p>
        </w:tc>
        <w:tc>
          <w:tcPr>
            <w:tcW w:w="909" w:type="pct"/>
            <w:tcBorders>
              <w:top w:val="single" w:color="000000" w:sz="2" w:space="0"/>
              <w:left w:val="single" w:color="000000" w:sz="2" w:space="0"/>
              <w:bottom w:val="single" w:color="000000" w:sz="2" w:space="0"/>
              <w:right w:val="single" w:color="000000" w:sz="2" w:space="0"/>
            </w:tcBorders>
            <w:vAlign w:val="center"/>
          </w:tcPr>
          <w:p w14:paraId="021D748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▲有线网卡速率</w:t>
            </w:r>
          </w:p>
        </w:tc>
        <w:tc>
          <w:tcPr>
            <w:tcW w:w="3335" w:type="pct"/>
            <w:tcBorders>
              <w:top w:val="single" w:color="000000" w:sz="2" w:space="0"/>
              <w:left w:val="single" w:color="000000" w:sz="2" w:space="0"/>
              <w:bottom w:val="single" w:color="000000" w:sz="2" w:space="0"/>
              <w:right w:val="single" w:color="000000" w:sz="2" w:space="0"/>
            </w:tcBorders>
            <w:vAlign w:val="center"/>
          </w:tcPr>
          <w:p w14:paraId="1CDFE91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最高速率不低于 1000Mbps，支持</w:t>
            </w:r>
          </w:p>
          <w:p w14:paraId="784A653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10Mbps、100Mbps、1000Mbps 速率自适应</w:t>
            </w:r>
          </w:p>
        </w:tc>
      </w:tr>
      <w:tr w14:paraId="00A6A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49BC450">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103</w:t>
            </w:r>
          </w:p>
        </w:tc>
        <w:tc>
          <w:tcPr>
            <w:tcW w:w="491" w:type="pct"/>
            <w:vMerge w:val="continue"/>
            <w:tcBorders>
              <w:top w:val="nil"/>
              <w:left w:val="single" w:color="000000" w:sz="2" w:space="0"/>
              <w:bottom w:val="single" w:color="000000" w:sz="2" w:space="0"/>
              <w:right w:val="single" w:color="000000" w:sz="2" w:space="0"/>
            </w:tcBorders>
            <w:vAlign w:val="center"/>
          </w:tcPr>
          <w:p w14:paraId="552FAFD4">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77B4FA3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▲支持无线网络通信</w:t>
            </w:r>
          </w:p>
          <w:p w14:paraId="074EE7F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▲技术协议</w:t>
            </w:r>
          </w:p>
        </w:tc>
        <w:tc>
          <w:tcPr>
            <w:tcW w:w="3335" w:type="pct"/>
            <w:tcBorders>
              <w:top w:val="single" w:color="000000" w:sz="2" w:space="0"/>
              <w:left w:val="single" w:color="000000" w:sz="2" w:space="0"/>
              <w:bottom w:val="single" w:color="000000" w:sz="2" w:space="0"/>
              <w:right w:val="single" w:color="000000" w:sz="2" w:space="0"/>
            </w:tcBorders>
            <w:vAlign w:val="center"/>
          </w:tcPr>
          <w:p w14:paraId="5A6FCD8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 WAPI 或 WiFi5.0 及以上协议</w:t>
            </w:r>
          </w:p>
        </w:tc>
      </w:tr>
      <w:tr w14:paraId="5D893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E650EE2">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104</w:t>
            </w:r>
          </w:p>
        </w:tc>
        <w:tc>
          <w:tcPr>
            <w:tcW w:w="491" w:type="pct"/>
            <w:vMerge w:val="continue"/>
            <w:tcBorders>
              <w:top w:val="nil"/>
              <w:left w:val="single" w:color="000000" w:sz="2" w:space="0"/>
              <w:bottom w:val="single" w:color="000000" w:sz="2" w:space="0"/>
              <w:right w:val="single" w:color="000000" w:sz="2" w:space="0"/>
            </w:tcBorders>
            <w:vAlign w:val="center"/>
          </w:tcPr>
          <w:p w14:paraId="548D57E5">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668FD00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▲无线网卡频宽</w:t>
            </w:r>
          </w:p>
        </w:tc>
        <w:tc>
          <w:tcPr>
            <w:tcW w:w="3335" w:type="pct"/>
            <w:tcBorders>
              <w:top w:val="single" w:color="000000" w:sz="2" w:space="0"/>
              <w:left w:val="single" w:color="000000" w:sz="2" w:space="0"/>
              <w:bottom w:val="single" w:color="000000" w:sz="2" w:space="0"/>
              <w:right w:val="single" w:color="000000" w:sz="2" w:space="0"/>
            </w:tcBorders>
            <w:vAlign w:val="center"/>
          </w:tcPr>
          <w:p w14:paraId="003C412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≥20MHz</w:t>
            </w:r>
          </w:p>
        </w:tc>
      </w:tr>
      <w:tr w14:paraId="69310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518E49E">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105</w:t>
            </w:r>
          </w:p>
        </w:tc>
        <w:tc>
          <w:tcPr>
            <w:tcW w:w="491" w:type="pct"/>
            <w:tcBorders>
              <w:top w:val="single" w:color="000000" w:sz="2" w:space="0"/>
              <w:left w:val="single" w:color="000000" w:sz="2" w:space="0"/>
              <w:bottom w:val="single" w:color="000000" w:sz="2" w:space="0"/>
              <w:right w:val="single" w:color="000000" w:sz="2" w:space="0"/>
            </w:tcBorders>
            <w:vAlign w:val="center"/>
          </w:tcPr>
          <w:p w14:paraId="1489FBD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▲电源适配器性能</w:t>
            </w:r>
          </w:p>
        </w:tc>
        <w:tc>
          <w:tcPr>
            <w:tcW w:w="909" w:type="pct"/>
            <w:tcBorders>
              <w:top w:val="single" w:color="000000" w:sz="2" w:space="0"/>
              <w:left w:val="single" w:color="000000" w:sz="2" w:space="0"/>
              <w:bottom w:val="single" w:color="000000" w:sz="2" w:space="0"/>
              <w:right w:val="single" w:color="000000" w:sz="2" w:space="0"/>
            </w:tcBorders>
            <w:vAlign w:val="center"/>
          </w:tcPr>
          <w:p w14:paraId="4942A3C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▲电源适配器电源效率</w:t>
            </w:r>
          </w:p>
        </w:tc>
        <w:tc>
          <w:tcPr>
            <w:tcW w:w="3335" w:type="pct"/>
            <w:tcBorders>
              <w:top w:val="single" w:color="000000" w:sz="2" w:space="0"/>
              <w:left w:val="single" w:color="000000" w:sz="2" w:space="0"/>
              <w:bottom w:val="single" w:color="000000" w:sz="2" w:space="0"/>
              <w:right w:val="single" w:color="000000" w:sz="2" w:space="0"/>
            </w:tcBorders>
            <w:vAlign w:val="center"/>
          </w:tcPr>
          <w:p w14:paraId="0ECA18A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在 20%/50%/100%负载下效率均应不低于 87%</w:t>
            </w:r>
          </w:p>
        </w:tc>
      </w:tr>
      <w:tr w14:paraId="31E48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3E602A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106</w:t>
            </w:r>
          </w:p>
        </w:tc>
        <w:tc>
          <w:tcPr>
            <w:tcW w:w="491" w:type="pct"/>
            <w:tcBorders>
              <w:top w:val="single" w:color="000000" w:sz="2" w:space="0"/>
              <w:left w:val="single" w:color="000000" w:sz="2" w:space="0"/>
              <w:bottom w:val="single" w:color="000000" w:sz="2" w:space="0"/>
              <w:right w:val="single" w:color="000000" w:sz="2" w:space="0"/>
            </w:tcBorders>
            <w:vAlign w:val="center"/>
          </w:tcPr>
          <w:p w14:paraId="7E0BF9F3">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▲待机性能</w:t>
            </w:r>
          </w:p>
        </w:tc>
        <w:tc>
          <w:tcPr>
            <w:tcW w:w="909" w:type="pct"/>
            <w:tcBorders>
              <w:top w:val="single" w:color="000000" w:sz="2" w:space="0"/>
              <w:left w:val="single" w:color="000000" w:sz="2" w:space="0"/>
              <w:bottom w:val="single" w:color="000000" w:sz="2" w:space="0"/>
              <w:right w:val="single" w:color="000000" w:sz="2" w:space="0"/>
            </w:tcBorders>
            <w:vAlign w:val="center"/>
          </w:tcPr>
          <w:p w14:paraId="3537223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▲满载待机性能（LTP）</w:t>
            </w:r>
          </w:p>
        </w:tc>
        <w:tc>
          <w:tcPr>
            <w:tcW w:w="3335" w:type="pct"/>
            <w:tcBorders>
              <w:top w:val="single" w:color="000000" w:sz="2" w:space="0"/>
              <w:left w:val="single" w:color="000000" w:sz="2" w:space="0"/>
              <w:bottom w:val="single" w:color="000000" w:sz="2" w:space="0"/>
              <w:right w:val="single" w:color="000000" w:sz="2" w:space="0"/>
            </w:tcBorders>
            <w:vAlign w:val="center"/>
          </w:tcPr>
          <w:p w14:paraId="515AB17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≥1.5 小时</w:t>
            </w:r>
          </w:p>
        </w:tc>
      </w:tr>
      <w:tr w14:paraId="0E989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A19F193">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107</w:t>
            </w:r>
          </w:p>
        </w:tc>
        <w:tc>
          <w:tcPr>
            <w:tcW w:w="491" w:type="pct"/>
            <w:vMerge w:val="restart"/>
            <w:tcBorders>
              <w:top w:val="nil"/>
              <w:left w:val="single" w:color="000000" w:sz="2" w:space="0"/>
              <w:bottom w:val="single" w:color="000000" w:sz="2" w:space="0"/>
              <w:right w:val="single" w:color="000000" w:sz="2" w:space="0"/>
            </w:tcBorders>
            <w:vAlign w:val="center"/>
          </w:tcPr>
          <w:p w14:paraId="7B193BD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▲主板功能</w:t>
            </w:r>
          </w:p>
        </w:tc>
        <w:tc>
          <w:tcPr>
            <w:tcW w:w="909" w:type="pct"/>
            <w:tcBorders>
              <w:top w:val="single" w:color="000000" w:sz="2" w:space="0"/>
              <w:left w:val="single" w:color="000000" w:sz="2" w:space="0"/>
              <w:bottom w:val="single" w:color="000000" w:sz="2" w:space="0"/>
              <w:right w:val="single" w:color="000000" w:sz="2" w:space="0"/>
            </w:tcBorders>
            <w:vAlign w:val="center"/>
          </w:tcPr>
          <w:p w14:paraId="3DD66DC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▲内存扩展</w:t>
            </w:r>
          </w:p>
          <w:p w14:paraId="3CC655F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接口(板载内存不涉及)</w:t>
            </w:r>
          </w:p>
        </w:tc>
        <w:tc>
          <w:tcPr>
            <w:tcW w:w="3335" w:type="pct"/>
            <w:tcBorders>
              <w:top w:val="single" w:color="000000" w:sz="2" w:space="0"/>
              <w:left w:val="single" w:color="000000" w:sz="2" w:space="0"/>
              <w:bottom w:val="single" w:color="000000" w:sz="2" w:space="0"/>
              <w:right w:val="single" w:color="000000" w:sz="2" w:space="0"/>
            </w:tcBorders>
            <w:vAlign w:val="center"/>
          </w:tcPr>
          <w:p w14:paraId="6FF90B4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内存扩展接口数量≥1</w:t>
            </w:r>
          </w:p>
        </w:tc>
      </w:tr>
      <w:tr w14:paraId="6CCFB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9C11E3C">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108</w:t>
            </w:r>
          </w:p>
        </w:tc>
        <w:tc>
          <w:tcPr>
            <w:tcW w:w="491" w:type="pct"/>
            <w:vMerge w:val="continue"/>
            <w:tcBorders>
              <w:top w:val="nil"/>
              <w:left w:val="single" w:color="000000" w:sz="2" w:space="0"/>
              <w:bottom w:val="single" w:color="000000" w:sz="2" w:space="0"/>
              <w:right w:val="single" w:color="000000" w:sz="2" w:space="0"/>
            </w:tcBorders>
            <w:vAlign w:val="center"/>
          </w:tcPr>
          <w:p w14:paraId="295200ED">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446157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存储扩展接口(板载存储不涉及)</w:t>
            </w:r>
          </w:p>
        </w:tc>
        <w:tc>
          <w:tcPr>
            <w:tcW w:w="3335" w:type="pct"/>
            <w:tcBorders>
              <w:top w:val="single" w:color="000000" w:sz="2" w:space="0"/>
              <w:left w:val="single" w:color="000000" w:sz="2" w:space="0"/>
              <w:bottom w:val="single" w:color="000000" w:sz="2" w:space="0"/>
              <w:right w:val="single" w:color="000000" w:sz="2" w:space="0"/>
            </w:tcBorders>
            <w:vAlign w:val="center"/>
          </w:tcPr>
          <w:p w14:paraId="650EA56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主板支持存储扩展接口类型，如 UFS3.0、SATA3.0、SAS3.0、 M.2 等类型接口</w:t>
            </w:r>
          </w:p>
        </w:tc>
      </w:tr>
      <w:tr w14:paraId="0AE67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63BA5CD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109</w:t>
            </w:r>
          </w:p>
        </w:tc>
        <w:tc>
          <w:tcPr>
            <w:tcW w:w="491" w:type="pct"/>
            <w:vMerge w:val="continue"/>
            <w:tcBorders>
              <w:top w:val="nil"/>
              <w:left w:val="single" w:color="000000" w:sz="2" w:space="0"/>
              <w:bottom w:val="single" w:color="000000" w:sz="2" w:space="0"/>
              <w:right w:val="single" w:color="000000" w:sz="2" w:space="0"/>
            </w:tcBorders>
            <w:vAlign w:val="center"/>
          </w:tcPr>
          <w:p w14:paraId="7898FFF2">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60D67D4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▲主板 USB瞬间过流保护</w:t>
            </w:r>
          </w:p>
        </w:tc>
        <w:tc>
          <w:tcPr>
            <w:tcW w:w="3335" w:type="pct"/>
            <w:tcBorders>
              <w:top w:val="single" w:color="000000" w:sz="2" w:space="0"/>
              <w:left w:val="single" w:color="000000" w:sz="2" w:space="0"/>
              <w:bottom w:val="single" w:color="000000" w:sz="2" w:space="0"/>
              <w:right w:val="single" w:color="000000" w:sz="2" w:space="0"/>
            </w:tcBorders>
            <w:vAlign w:val="center"/>
          </w:tcPr>
          <w:p w14:paraId="5930FE2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支持瞬间过流保护功能</w:t>
            </w:r>
          </w:p>
        </w:tc>
      </w:tr>
      <w:tr w14:paraId="146D7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FE20F9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110</w:t>
            </w:r>
          </w:p>
        </w:tc>
        <w:tc>
          <w:tcPr>
            <w:tcW w:w="491" w:type="pct"/>
            <w:vMerge w:val="continue"/>
            <w:tcBorders>
              <w:top w:val="nil"/>
              <w:left w:val="single" w:color="000000" w:sz="2" w:space="0"/>
              <w:bottom w:val="single" w:color="000000" w:sz="2" w:space="0"/>
              <w:right w:val="single" w:color="000000" w:sz="2" w:space="0"/>
            </w:tcBorders>
            <w:vAlign w:val="center"/>
          </w:tcPr>
          <w:p w14:paraId="055CBB7A">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393D6C5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▲主板防静电保护</w:t>
            </w:r>
          </w:p>
        </w:tc>
        <w:tc>
          <w:tcPr>
            <w:tcW w:w="3335" w:type="pct"/>
            <w:tcBorders>
              <w:top w:val="single" w:color="000000" w:sz="2" w:space="0"/>
              <w:left w:val="single" w:color="000000" w:sz="2" w:space="0"/>
              <w:bottom w:val="single" w:color="000000" w:sz="2" w:space="0"/>
              <w:right w:val="single" w:color="000000" w:sz="2" w:space="0"/>
            </w:tcBorders>
            <w:vAlign w:val="center"/>
          </w:tcPr>
          <w:p w14:paraId="28C7EF2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支持防静电保护功能</w:t>
            </w:r>
          </w:p>
        </w:tc>
      </w:tr>
      <w:tr w14:paraId="1973C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159012BE">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579CE7F1">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111</w:t>
            </w:r>
          </w:p>
        </w:tc>
        <w:tc>
          <w:tcPr>
            <w:tcW w:w="491" w:type="pct"/>
            <w:vMerge w:val="continue"/>
            <w:tcBorders>
              <w:top w:val="nil"/>
              <w:left w:val="single" w:color="000000" w:sz="2" w:space="0"/>
              <w:bottom w:val="single" w:color="000000" w:sz="2" w:space="0"/>
              <w:right w:val="single" w:color="000000" w:sz="2" w:space="0"/>
            </w:tcBorders>
            <w:vAlign w:val="center"/>
          </w:tcPr>
          <w:p w14:paraId="789D7840">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AD9559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p>
          <w:p w14:paraId="1FC5DA0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p>
          <w:p w14:paraId="4AEC39C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▲I/O 接口功能</w:t>
            </w:r>
          </w:p>
        </w:tc>
        <w:tc>
          <w:tcPr>
            <w:tcW w:w="3335" w:type="pct"/>
            <w:tcBorders>
              <w:top w:val="single" w:color="000000" w:sz="2" w:space="0"/>
              <w:left w:val="single" w:color="000000" w:sz="2" w:space="0"/>
              <w:bottom w:val="single" w:color="000000" w:sz="2" w:space="0"/>
              <w:right w:val="single" w:color="000000" w:sz="2" w:space="0"/>
            </w:tcBorders>
            <w:vAlign w:val="center"/>
          </w:tcPr>
          <w:p w14:paraId="7529955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内置或通过扩展坞支持数据传输接口、视频接口、音频接口、网络接</w:t>
            </w:r>
          </w:p>
          <w:p w14:paraId="7915B87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口、电源接口等各类标准接口</w:t>
            </w:r>
          </w:p>
          <w:p w14:paraId="52242DC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产品应集成键盘、触控板输入部件，同时应具备接入键盘、鼠标、写字板等外设的能力，宜支持触摸屏、语音交互、手写笔等人机交互功能</w:t>
            </w:r>
          </w:p>
        </w:tc>
      </w:tr>
      <w:tr w14:paraId="1947A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1BFD97B3">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112</w:t>
            </w:r>
          </w:p>
        </w:tc>
        <w:tc>
          <w:tcPr>
            <w:tcW w:w="491" w:type="pct"/>
            <w:vMerge w:val="restart"/>
            <w:tcBorders>
              <w:top w:val="nil"/>
              <w:left w:val="single" w:color="000000" w:sz="2" w:space="0"/>
              <w:bottom w:val="single" w:color="000000" w:sz="2" w:space="0"/>
              <w:right w:val="single" w:color="000000" w:sz="2" w:space="0"/>
            </w:tcBorders>
            <w:vAlign w:val="center"/>
          </w:tcPr>
          <w:p w14:paraId="7A503E29">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▲显卡功能</w:t>
            </w:r>
          </w:p>
        </w:tc>
        <w:tc>
          <w:tcPr>
            <w:tcW w:w="909" w:type="pct"/>
            <w:tcBorders>
              <w:top w:val="single" w:color="000000" w:sz="2" w:space="0"/>
              <w:left w:val="single" w:color="000000" w:sz="2" w:space="0"/>
              <w:bottom w:val="single" w:color="000000" w:sz="2" w:space="0"/>
              <w:right w:val="single" w:color="000000" w:sz="2" w:space="0"/>
            </w:tcBorders>
            <w:vAlign w:val="center"/>
          </w:tcPr>
          <w:p w14:paraId="65D7321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▲显卡外接显示接口</w:t>
            </w:r>
          </w:p>
        </w:tc>
        <w:tc>
          <w:tcPr>
            <w:tcW w:w="3335" w:type="pct"/>
            <w:tcBorders>
              <w:top w:val="single" w:color="000000" w:sz="2" w:space="0"/>
              <w:left w:val="single" w:color="000000" w:sz="2" w:space="0"/>
              <w:bottom w:val="single" w:color="000000" w:sz="2" w:space="0"/>
              <w:right w:val="single" w:color="000000" w:sz="2" w:space="0"/>
            </w:tcBorders>
            <w:vAlign w:val="center"/>
          </w:tcPr>
          <w:p w14:paraId="3C27929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至少支持 VGA、HDMI、DVI、DP、Type-C中 1 种显示接口</w:t>
            </w:r>
          </w:p>
        </w:tc>
      </w:tr>
      <w:tr w14:paraId="1B5D2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155AA9C5">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113</w:t>
            </w:r>
          </w:p>
        </w:tc>
        <w:tc>
          <w:tcPr>
            <w:tcW w:w="491" w:type="pct"/>
            <w:vMerge w:val="continue"/>
            <w:tcBorders>
              <w:top w:val="nil"/>
              <w:left w:val="single" w:color="000000" w:sz="2" w:space="0"/>
              <w:bottom w:val="single" w:color="000000" w:sz="2" w:space="0"/>
              <w:right w:val="single" w:color="000000" w:sz="2" w:space="0"/>
            </w:tcBorders>
            <w:vAlign w:val="center"/>
          </w:tcPr>
          <w:p w14:paraId="70860C29">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0DB08C4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▲显示功能</w:t>
            </w:r>
          </w:p>
        </w:tc>
        <w:tc>
          <w:tcPr>
            <w:tcW w:w="3335" w:type="pct"/>
            <w:tcBorders>
              <w:top w:val="single" w:color="000000" w:sz="2" w:space="0"/>
              <w:left w:val="single" w:color="000000" w:sz="2" w:space="0"/>
              <w:bottom w:val="single" w:color="000000" w:sz="2" w:space="0"/>
              <w:right w:val="single" w:color="000000" w:sz="2" w:space="0"/>
            </w:tcBorders>
            <w:vAlign w:val="center"/>
          </w:tcPr>
          <w:p w14:paraId="1CC12B0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支持显示屏，同时应支持外接显示器。显示屏和外接显示器应支持多屏同时显示，显示模式应支持复制模式和扩展模式</w:t>
            </w:r>
          </w:p>
        </w:tc>
      </w:tr>
      <w:tr w14:paraId="0A749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406B007">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114</w:t>
            </w:r>
          </w:p>
        </w:tc>
        <w:tc>
          <w:tcPr>
            <w:tcW w:w="491" w:type="pct"/>
            <w:vMerge w:val="restart"/>
            <w:tcBorders>
              <w:top w:val="nil"/>
              <w:left w:val="single" w:color="000000" w:sz="2" w:space="0"/>
              <w:bottom w:val="single" w:color="000000" w:sz="2" w:space="0"/>
              <w:right w:val="single" w:color="000000" w:sz="2" w:space="0"/>
            </w:tcBorders>
            <w:vAlign w:val="center"/>
          </w:tcPr>
          <w:p w14:paraId="3F91EDB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▲外设功能</w:t>
            </w:r>
          </w:p>
        </w:tc>
        <w:tc>
          <w:tcPr>
            <w:tcW w:w="909" w:type="pct"/>
            <w:tcBorders>
              <w:top w:val="single" w:color="000000" w:sz="2" w:space="0"/>
              <w:left w:val="single" w:color="000000" w:sz="2" w:space="0"/>
              <w:bottom w:val="single" w:color="000000" w:sz="2" w:space="0"/>
              <w:right w:val="single" w:color="000000" w:sz="2" w:space="0"/>
            </w:tcBorders>
            <w:vAlign w:val="center"/>
          </w:tcPr>
          <w:p w14:paraId="7FC55B0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摄像头物理隐私保护开关</w:t>
            </w:r>
          </w:p>
        </w:tc>
        <w:tc>
          <w:tcPr>
            <w:tcW w:w="3335" w:type="pct"/>
            <w:tcBorders>
              <w:top w:val="single" w:color="000000" w:sz="2" w:space="0"/>
              <w:left w:val="single" w:color="000000" w:sz="2" w:space="0"/>
              <w:bottom w:val="single" w:color="000000" w:sz="2" w:space="0"/>
              <w:right w:val="single" w:color="000000" w:sz="2" w:space="0"/>
            </w:tcBorders>
            <w:vAlign w:val="center"/>
          </w:tcPr>
          <w:p w14:paraId="63477CE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w:t>
            </w:r>
          </w:p>
        </w:tc>
      </w:tr>
      <w:tr w14:paraId="5482C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1105114C">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115</w:t>
            </w:r>
          </w:p>
        </w:tc>
        <w:tc>
          <w:tcPr>
            <w:tcW w:w="491" w:type="pct"/>
            <w:vMerge w:val="continue"/>
            <w:tcBorders>
              <w:top w:val="nil"/>
              <w:left w:val="single" w:color="000000" w:sz="2" w:space="0"/>
              <w:bottom w:val="single" w:color="000000" w:sz="2" w:space="0"/>
              <w:right w:val="single" w:color="000000" w:sz="2" w:space="0"/>
            </w:tcBorders>
            <w:vAlign w:val="center"/>
          </w:tcPr>
          <w:p w14:paraId="5F5A7955">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4B1574B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传声器降噪</w:t>
            </w:r>
          </w:p>
        </w:tc>
        <w:tc>
          <w:tcPr>
            <w:tcW w:w="3335" w:type="pct"/>
            <w:tcBorders>
              <w:top w:val="single" w:color="000000" w:sz="2" w:space="0"/>
              <w:left w:val="single" w:color="000000" w:sz="2" w:space="0"/>
              <w:bottom w:val="single" w:color="000000" w:sz="2" w:space="0"/>
              <w:right w:val="single" w:color="000000" w:sz="2" w:space="0"/>
            </w:tcBorders>
            <w:vAlign w:val="center"/>
          </w:tcPr>
          <w:p w14:paraId="0A524B7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支持降噪功能</w:t>
            </w:r>
          </w:p>
        </w:tc>
      </w:tr>
      <w:tr w14:paraId="6286B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622285E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116</w:t>
            </w:r>
          </w:p>
        </w:tc>
        <w:tc>
          <w:tcPr>
            <w:tcW w:w="491" w:type="pct"/>
            <w:vMerge w:val="continue"/>
            <w:tcBorders>
              <w:top w:val="nil"/>
              <w:left w:val="single" w:color="000000" w:sz="2" w:space="0"/>
              <w:bottom w:val="single" w:color="000000" w:sz="2" w:space="0"/>
              <w:right w:val="single" w:color="000000" w:sz="2" w:space="0"/>
            </w:tcBorders>
            <w:vAlign w:val="center"/>
          </w:tcPr>
          <w:p w14:paraId="68428679">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FF0D7A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音频处理功能</w:t>
            </w:r>
          </w:p>
        </w:tc>
        <w:tc>
          <w:tcPr>
            <w:tcW w:w="3335" w:type="pct"/>
            <w:tcBorders>
              <w:top w:val="single" w:color="000000" w:sz="2" w:space="0"/>
              <w:left w:val="single" w:color="000000" w:sz="2" w:space="0"/>
              <w:bottom w:val="single" w:color="000000" w:sz="2" w:space="0"/>
              <w:right w:val="single" w:color="000000" w:sz="2" w:space="0"/>
            </w:tcBorders>
            <w:vAlign w:val="center"/>
          </w:tcPr>
          <w:p w14:paraId="4E56741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支持音频效果处理功能</w:t>
            </w:r>
          </w:p>
        </w:tc>
      </w:tr>
      <w:tr w14:paraId="382D6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39F0814">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117</w:t>
            </w:r>
          </w:p>
        </w:tc>
        <w:tc>
          <w:tcPr>
            <w:tcW w:w="491" w:type="pct"/>
            <w:vMerge w:val="continue"/>
            <w:tcBorders>
              <w:top w:val="nil"/>
              <w:left w:val="single" w:color="000000" w:sz="2" w:space="0"/>
              <w:bottom w:val="single" w:color="000000" w:sz="2" w:space="0"/>
              <w:right w:val="single" w:color="000000" w:sz="2" w:space="0"/>
            </w:tcBorders>
            <w:vAlign w:val="center"/>
          </w:tcPr>
          <w:p w14:paraId="51BA1763">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B939BE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键盘背光</w:t>
            </w:r>
          </w:p>
        </w:tc>
        <w:tc>
          <w:tcPr>
            <w:tcW w:w="3335" w:type="pct"/>
            <w:tcBorders>
              <w:top w:val="single" w:color="000000" w:sz="2" w:space="0"/>
              <w:left w:val="single" w:color="000000" w:sz="2" w:space="0"/>
              <w:bottom w:val="single" w:color="000000" w:sz="2" w:space="0"/>
              <w:right w:val="single" w:color="000000" w:sz="2" w:space="0"/>
            </w:tcBorders>
            <w:vAlign w:val="center"/>
          </w:tcPr>
          <w:p w14:paraId="7DB575F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支持键盘背光</w:t>
            </w:r>
          </w:p>
        </w:tc>
      </w:tr>
      <w:tr w14:paraId="2A6AC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36D67A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118</w:t>
            </w:r>
          </w:p>
        </w:tc>
        <w:tc>
          <w:tcPr>
            <w:tcW w:w="491" w:type="pct"/>
            <w:vMerge w:val="continue"/>
            <w:tcBorders>
              <w:top w:val="nil"/>
              <w:left w:val="single" w:color="000000" w:sz="2" w:space="0"/>
              <w:bottom w:val="single" w:color="000000" w:sz="2" w:space="0"/>
              <w:right w:val="single" w:color="000000" w:sz="2" w:space="0"/>
            </w:tcBorders>
            <w:vAlign w:val="center"/>
          </w:tcPr>
          <w:p w14:paraId="0723DE82">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68E6D72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触控板多点触控</w:t>
            </w:r>
          </w:p>
        </w:tc>
        <w:tc>
          <w:tcPr>
            <w:tcW w:w="3335" w:type="pct"/>
            <w:tcBorders>
              <w:top w:val="single" w:color="000000" w:sz="2" w:space="0"/>
              <w:left w:val="single" w:color="000000" w:sz="2" w:space="0"/>
              <w:bottom w:val="single" w:color="000000" w:sz="2" w:space="0"/>
              <w:right w:val="single" w:color="000000" w:sz="2" w:space="0"/>
            </w:tcBorders>
            <w:vAlign w:val="center"/>
          </w:tcPr>
          <w:p w14:paraId="044BB69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 2 点及以上触控功能</w:t>
            </w:r>
          </w:p>
        </w:tc>
      </w:tr>
      <w:tr w14:paraId="41C34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EFF6873">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119</w:t>
            </w:r>
          </w:p>
        </w:tc>
        <w:tc>
          <w:tcPr>
            <w:tcW w:w="491" w:type="pct"/>
            <w:vMerge w:val="continue"/>
            <w:tcBorders>
              <w:top w:val="nil"/>
              <w:left w:val="single" w:color="000000" w:sz="2" w:space="0"/>
              <w:bottom w:val="single" w:color="000000" w:sz="2" w:space="0"/>
              <w:right w:val="single" w:color="000000" w:sz="2" w:space="0"/>
            </w:tcBorders>
            <w:vAlign w:val="center"/>
          </w:tcPr>
          <w:p w14:paraId="48536037">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1D162BA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▲光驱功能</w:t>
            </w:r>
          </w:p>
        </w:tc>
        <w:tc>
          <w:tcPr>
            <w:tcW w:w="3335" w:type="pct"/>
            <w:tcBorders>
              <w:top w:val="single" w:color="000000" w:sz="2" w:space="0"/>
              <w:left w:val="single" w:color="000000" w:sz="2" w:space="0"/>
              <w:bottom w:val="single" w:color="000000" w:sz="2" w:space="0"/>
              <w:right w:val="single" w:color="000000" w:sz="2" w:space="0"/>
            </w:tcBorders>
            <w:vAlign w:val="center"/>
          </w:tcPr>
          <w:p w14:paraId="68864A3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w:t>
            </w:r>
          </w:p>
        </w:tc>
      </w:tr>
      <w:tr w14:paraId="2EA69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65E821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560ECE5E">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659477E7">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120</w:t>
            </w:r>
          </w:p>
        </w:tc>
        <w:tc>
          <w:tcPr>
            <w:tcW w:w="491" w:type="pct"/>
            <w:tcBorders>
              <w:top w:val="single" w:color="000000" w:sz="2" w:space="0"/>
              <w:left w:val="single" w:color="000000" w:sz="2" w:space="0"/>
              <w:bottom w:val="single" w:color="000000" w:sz="2" w:space="0"/>
              <w:right w:val="single" w:color="000000" w:sz="2" w:space="0"/>
            </w:tcBorders>
            <w:vAlign w:val="center"/>
          </w:tcPr>
          <w:p w14:paraId="17EFD865">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▲存储功能</w:t>
            </w:r>
          </w:p>
        </w:tc>
        <w:tc>
          <w:tcPr>
            <w:tcW w:w="909" w:type="pct"/>
            <w:tcBorders>
              <w:top w:val="single" w:color="000000" w:sz="2" w:space="0"/>
              <w:left w:val="single" w:color="000000" w:sz="2" w:space="0"/>
              <w:bottom w:val="single" w:color="000000" w:sz="2" w:space="0"/>
              <w:right w:val="single" w:color="000000" w:sz="2" w:space="0"/>
            </w:tcBorders>
            <w:vAlign w:val="center"/>
          </w:tcPr>
          <w:p w14:paraId="570B11B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▲存储功能</w:t>
            </w:r>
          </w:p>
        </w:tc>
        <w:tc>
          <w:tcPr>
            <w:tcW w:w="3335" w:type="pct"/>
            <w:tcBorders>
              <w:top w:val="single" w:color="000000" w:sz="2" w:space="0"/>
              <w:left w:val="single" w:color="000000" w:sz="2" w:space="0"/>
              <w:bottom w:val="single" w:color="000000" w:sz="2" w:space="0"/>
              <w:right w:val="single" w:color="000000" w:sz="2" w:space="0"/>
            </w:tcBorders>
            <w:vAlign w:val="center"/>
          </w:tcPr>
          <w:p w14:paraId="112E5AF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支持信息存储功能，包括支持易失性存储功能和非易失性存储功能。为提升存储性能和降低存储功耗，非易失性存储宜支持固态存储设</w:t>
            </w:r>
          </w:p>
          <w:p w14:paraId="49FB038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备，如 SSD/UFS。</w:t>
            </w:r>
          </w:p>
          <w:p w14:paraId="4AA31AB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产品应支持外出接口可以与独立的存储设备进行数据交互</w:t>
            </w:r>
          </w:p>
        </w:tc>
      </w:tr>
      <w:tr w14:paraId="46DCF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2F1284D">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121</w:t>
            </w:r>
          </w:p>
        </w:tc>
        <w:tc>
          <w:tcPr>
            <w:tcW w:w="491" w:type="pct"/>
            <w:vMerge w:val="restart"/>
            <w:tcBorders>
              <w:top w:val="nil"/>
              <w:left w:val="single" w:color="000000" w:sz="2" w:space="0"/>
              <w:bottom w:val="single" w:color="000000" w:sz="2" w:space="0"/>
              <w:right w:val="single" w:color="000000" w:sz="2" w:space="0"/>
            </w:tcBorders>
            <w:vAlign w:val="center"/>
          </w:tcPr>
          <w:p w14:paraId="6DA63423">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▲网络设备功能</w:t>
            </w:r>
          </w:p>
          <w:p w14:paraId="3199C3A5">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20E4E5E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▲网络功能</w:t>
            </w:r>
          </w:p>
        </w:tc>
        <w:tc>
          <w:tcPr>
            <w:tcW w:w="3335" w:type="pct"/>
            <w:tcBorders>
              <w:top w:val="single" w:color="000000" w:sz="2" w:space="0"/>
              <w:left w:val="single" w:color="000000" w:sz="2" w:space="0"/>
              <w:bottom w:val="single" w:color="000000" w:sz="2" w:space="0"/>
              <w:right w:val="single" w:color="000000" w:sz="2" w:space="0"/>
            </w:tcBorders>
            <w:vAlign w:val="center"/>
          </w:tcPr>
          <w:p w14:paraId="3AC7332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a)支持网络连接、网络开启/关闭功能；b)支持访问网络和数据交换功能</w:t>
            </w:r>
          </w:p>
        </w:tc>
      </w:tr>
      <w:tr w14:paraId="16B00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DD54F1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122</w:t>
            </w:r>
          </w:p>
        </w:tc>
        <w:tc>
          <w:tcPr>
            <w:tcW w:w="491" w:type="pct"/>
            <w:vMerge w:val="continue"/>
            <w:tcBorders>
              <w:top w:val="nil"/>
              <w:left w:val="single" w:color="000000" w:sz="2" w:space="0"/>
              <w:bottom w:val="single" w:color="000000" w:sz="2" w:space="0"/>
              <w:right w:val="single" w:color="000000" w:sz="2" w:space="0"/>
            </w:tcBorders>
            <w:vAlign w:val="center"/>
          </w:tcPr>
          <w:p w14:paraId="261419EF">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4981F73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▲无线网卡频段</w:t>
            </w:r>
          </w:p>
        </w:tc>
        <w:tc>
          <w:tcPr>
            <w:tcW w:w="3335" w:type="pct"/>
            <w:tcBorders>
              <w:top w:val="single" w:color="000000" w:sz="2" w:space="0"/>
              <w:left w:val="single" w:color="000000" w:sz="2" w:space="0"/>
              <w:bottom w:val="single" w:color="000000" w:sz="2" w:space="0"/>
              <w:right w:val="single" w:color="000000" w:sz="2" w:space="0"/>
            </w:tcBorders>
            <w:vAlign w:val="center"/>
          </w:tcPr>
          <w:p w14:paraId="0ED9F73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支持双频段</w:t>
            </w:r>
          </w:p>
        </w:tc>
      </w:tr>
      <w:tr w14:paraId="11E8D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45ADD30">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123</w:t>
            </w:r>
          </w:p>
        </w:tc>
        <w:tc>
          <w:tcPr>
            <w:tcW w:w="491" w:type="pct"/>
            <w:vMerge w:val="continue"/>
            <w:tcBorders>
              <w:top w:val="nil"/>
              <w:left w:val="single" w:color="000000" w:sz="2" w:space="0"/>
              <w:bottom w:val="single" w:color="000000" w:sz="2" w:space="0"/>
              <w:right w:val="single" w:color="000000" w:sz="2" w:space="0"/>
            </w:tcBorders>
            <w:vAlign w:val="center"/>
          </w:tcPr>
          <w:p w14:paraId="5BEDAF00">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0C55166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物理开关</w:t>
            </w:r>
          </w:p>
        </w:tc>
        <w:tc>
          <w:tcPr>
            <w:tcW w:w="3335" w:type="pct"/>
            <w:tcBorders>
              <w:top w:val="single" w:color="000000" w:sz="2" w:space="0"/>
              <w:left w:val="single" w:color="000000" w:sz="2" w:space="0"/>
              <w:bottom w:val="single" w:color="000000" w:sz="2" w:space="0"/>
              <w:right w:val="single" w:color="000000" w:sz="2" w:space="0"/>
            </w:tcBorders>
            <w:vAlign w:val="center"/>
          </w:tcPr>
          <w:p w14:paraId="7742AC9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支持网络设备物理开关</w:t>
            </w:r>
          </w:p>
        </w:tc>
      </w:tr>
      <w:tr w14:paraId="1495D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660C6AF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124</w:t>
            </w:r>
          </w:p>
        </w:tc>
        <w:tc>
          <w:tcPr>
            <w:tcW w:w="491" w:type="pct"/>
            <w:vMerge w:val="continue"/>
            <w:tcBorders>
              <w:top w:val="nil"/>
              <w:left w:val="single" w:color="000000" w:sz="2" w:space="0"/>
              <w:bottom w:val="single" w:color="000000" w:sz="2" w:space="0"/>
              <w:right w:val="single" w:color="000000" w:sz="2" w:space="0"/>
            </w:tcBorders>
            <w:vAlign w:val="center"/>
          </w:tcPr>
          <w:p w14:paraId="41D56BAE">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65FBE0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▲数据传输</w:t>
            </w:r>
          </w:p>
        </w:tc>
        <w:tc>
          <w:tcPr>
            <w:tcW w:w="3335" w:type="pct"/>
            <w:tcBorders>
              <w:top w:val="single" w:color="000000" w:sz="2" w:space="0"/>
              <w:left w:val="single" w:color="000000" w:sz="2" w:space="0"/>
              <w:bottom w:val="single" w:color="000000" w:sz="2" w:space="0"/>
              <w:right w:val="single" w:color="000000" w:sz="2" w:space="0"/>
            </w:tcBorders>
            <w:vAlign w:val="center"/>
          </w:tcPr>
          <w:p w14:paraId="482A7C5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支持数据传输能力，并提供数据流量和异常日志记录功能</w:t>
            </w:r>
          </w:p>
        </w:tc>
      </w:tr>
      <w:tr w14:paraId="38CE6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BE35DE3">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125</w:t>
            </w:r>
          </w:p>
        </w:tc>
        <w:tc>
          <w:tcPr>
            <w:tcW w:w="491" w:type="pct"/>
            <w:vMerge w:val="continue"/>
            <w:tcBorders>
              <w:top w:val="nil"/>
              <w:left w:val="single" w:color="000000" w:sz="2" w:space="0"/>
              <w:bottom w:val="single" w:color="000000" w:sz="2" w:space="0"/>
              <w:right w:val="single" w:color="000000" w:sz="2" w:space="0"/>
            </w:tcBorders>
            <w:vAlign w:val="center"/>
          </w:tcPr>
          <w:p w14:paraId="07D6E391">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4CBADF4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▲蓝牙协议</w:t>
            </w:r>
          </w:p>
        </w:tc>
        <w:tc>
          <w:tcPr>
            <w:tcW w:w="3335" w:type="pct"/>
            <w:tcBorders>
              <w:top w:val="single" w:color="000000" w:sz="2" w:space="0"/>
              <w:left w:val="single" w:color="000000" w:sz="2" w:space="0"/>
              <w:bottom w:val="single" w:color="000000" w:sz="2" w:space="0"/>
              <w:right w:val="single" w:color="000000" w:sz="2" w:space="0"/>
            </w:tcBorders>
            <w:vAlign w:val="center"/>
          </w:tcPr>
          <w:p w14:paraId="3BC5609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支持蓝牙模块，蓝牙协议不低于5.0版本</w:t>
            </w:r>
          </w:p>
        </w:tc>
      </w:tr>
      <w:tr w14:paraId="59128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1C7F3C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126</w:t>
            </w:r>
          </w:p>
        </w:tc>
        <w:tc>
          <w:tcPr>
            <w:tcW w:w="491" w:type="pct"/>
            <w:vMerge w:val="continue"/>
            <w:tcBorders>
              <w:top w:val="nil"/>
              <w:left w:val="single" w:color="000000" w:sz="2" w:space="0"/>
              <w:bottom w:val="single" w:color="000000" w:sz="2" w:space="0"/>
              <w:right w:val="single" w:color="000000" w:sz="2" w:space="0"/>
            </w:tcBorders>
            <w:vAlign w:val="center"/>
          </w:tcPr>
          <w:p w14:paraId="0EB98568">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3C48C57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有线网卡接口类型</w:t>
            </w:r>
          </w:p>
        </w:tc>
        <w:tc>
          <w:tcPr>
            <w:tcW w:w="3335" w:type="pct"/>
            <w:tcBorders>
              <w:top w:val="single" w:color="000000" w:sz="2" w:space="0"/>
              <w:left w:val="single" w:color="000000" w:sz="2" w:space="0"/>
              <w:bottom w:val="single" w:color="000000" w:sz="2" w:space="0"/>
              <w:right w:val="single" w:color="000000" w:sz="2" w:space="0"/>
            </w:tcBorders>
            <w:vAlign w:val="center"/>
          </w:tcPr>
          <w:p w14:paraId="58DB60E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 RJ45 接口</w:t>
            </w:r>
          </w:p>
        </w:tc>
      </w:tr>
      <w:tr w14:paraId="60B02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C94325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127</w:t>
            </w:r>
          </w:p>
        </w:tc>
        <w:tc>
          <w:tcPr>
            <w:tcW w:w="491" w:type="pct"/>
            <w:vMerge w:val="continue"/>
            <w:tcBorders>
              <w:top w:val="nil"/>
              <w:left w:val="single" w:color="000000" w:sz="2" w:space="0"/>
              <w:bottom w:val="single" w:color="000000" w:sz="2" w:space="0"/>
              <w:right w:val="single" w:color="000000" w:sz="2" w:space="0"/>
            </w:tcBorders>
            <w:vAlign w:val="center"/>
          </w:tcPr>
          <w:p w14:paraId="4992626E">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3603D47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▲无线网卡标准</w:t>
            </w:r>
          </w:p>
        </w:tc>
        <w:tc>
          <w:tcPr>
            <w:tcW w:w="3335" w:type="pct"/>
            <w:tcBorders>
              <w:top w:val="single" w:color="000000" w:sz="2" w:space="0"/>
              <w:left w:val="single" w:color="000000" w:sz="2" w:space="0"/>
              <w:bottom w:val="single" w:color="000000" w:sz="2" w:space="0"/>
              <w:right w:val="single" w:color="000000" w:sz="2" w:space="0"/>
            </w:tcBorders>
            <w:vAlign w:val="center"/>
          </w:tcPr>
          <w:p w14:paraId="3464407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符合 GB 15629.11 所有部分</w:t>
            </w:r>
          </w:p>
        </w:tc>
      </w:tr>
      <w:tr w14:paraId="1A8B5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4E354D0">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128</w:t>
            </w:r>
          </w:p>
        </w:tc>
        <w:tc>
          <w:tcPr>
            <w:tcW w:w="491" w:type="pct"/>
            <w:vMerge w:val="continue"/>
            <w:tcBorders>
              <w:top w:val="nil"/>
              <w:left w:val="single" w:color="000000" w:sz="2" w:space="0"/>
              <w:bottom w:val="single" w:color="000000" w:sz="2" w:space="0"/>
              <w:right w:val="single" w:color="000000" w:sz="2" w:space="0"/>
            </w:tcBorders>
            <w:vAlign w:val="center"/>
          </w:tcPr>
          <w:p w14:paraId="5430CD60">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46F5EC2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网络设备拆装</w:t>
            </w:r>
          </w:p>
        </w:tc>
        <w:tc>
          <w:tcPr>
            <w:tcW w:w="3335" w:type="pct"/>
            <w:tcBorders>
              <w:top w:val="single" w:color="000000" w:sz="2" w:space="0"/>
              <w:left w:val="single" w:color="000000" w:sz="2" w:space="0"/>
              <w:bottom w:val="single" w:color="000000" w:sz="2" w:space="0"/>
              <w:right w:val="single" w:color="000000" w:sz="2" w:space="0"/>
            </w:tcBorders>
            <w:vAlign w:val="center"/>
          </w:tcPr>
          <w:p w14:paraId="7627A34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网络设备应支持物理拆装，包括无线网卡和蓝牙模块等</w:t>
            </w:r>
          </w:p>
        </w:tc>
      </w:tr>
      <w:tr w14:paraId="372F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F6FE61C">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129</w:t>
            </w:r>
          </w:p>
        </w:tc>
        <w:tc>
          <w:tcPr>
            <w:tcW w:w="491" w:type="pct"/>
            <w:vMerge w:val="restart"/>
            <w:tcBorders>
              <w:top w:val="nil"/>
              <w:left w:val="single" w:color="000000" w:sz="2" w:space="0"/>
              <w:bottom w:val="single" w:color="000000" w:sz="2" w:space="0"/>
              <w:right w:val="single" w:color="000000" w:sz="2" w:space="0"/>
            </w:tcBorders>
            <w:vAlign w:val="center"/>
          </w:tcPr>
          <w:p w14:paraId="60A2796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▲外部接口功能</w:t>
            </w:r>
          </w:p>
          <w:p w14:paraId="4BE33AE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65B6D8A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▲音频接口类型</w:t>
            </w:r>
          </w:p>
        </w:tc>
        <w:tc>
          <w:tcPr>
            <w:tcW w:w="3335" w:type="pct"/>
            <w:tcBorders>
              <w:top w:val="single" w:color="000000" w:sz="2" w:space="0"/>
              <w:left w:val="single" w:color="000000" w:sz="2" w:space="0"/>
              <w:bottom w:val="single" w:color="000000" w:sz="2" w:space="0"/>
              <w:right w:val="single" w:color="000000" w:sz="2" w:space="0"/>
            </w:tcBorders>
            <w:vAlign w:val="center"/>
          </w:tcPr>
          <w:p w14:paraId="42045FF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不少于 1 个，宜支持 3.5mm 孔径的3段式或 4 段式接口。若支持 4 段式接口，宜支持线序的自动识别及切换功能</w:t>
            </w:r>
          </w:p>
        </w:tc>
      </w:tr>
      <w:tr w14:paraId="1A0DB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B0B9D21">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130</w:t>
            </w:r>
          </w:p>
        </w:tc>
        <w:tc>
          <w:tcPr>
            <w:tcW w:w="491" w:type="pct"/>
            <w:vMerge w:val="continue"/>
            <w:tcBorders>
              <w:top w:val="nil"/>
              <w:left w:val="single" w:color="000000" w:sz="2" w:space="0"/>
              <w:bottom w:val="single" w:color="000000" w:sz="2" w:space="0"/>
              <w:right w:val="single" w:color="000000" w:sz="2" w:space="0"/>
            </w:tcBorders>
            <w:vAlign w:val="center"/>
          </w:tcPr>
          <w:p w14:paraId="0B66A382">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05E45CB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▲视频接口类型</w:t>
            </w:r>
          </w:p>
        </w:tc>
        <w:tc>
          <w:tcPr>
            <w:tcW w:w="3335" w:type="pct"/>
            <w:tcBorders>
              <w:top w:val="single" w:color="000000" w:sz="2" w:space="0"/>
              <w:left w:val="single" w:color="000000" w:sz="2" w:space="0"/>
              <w:bottom w:val="single" w:color="000000" w:sz="2" w:space="0"/>
              <w:right w:val="single" w:color="000000" w:sz="2" w:space="0"/>
            </w:tcBorders>
            <w:vAlign w:val="center"/>
          </w:tcPr>
          <w:p w14:paraId="05C285A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至少支持 VGA、HDMI、DVI、DP、Type-C中 1 种显示接口</w:t>
            </w:r>
          </w:p>
        </w:tc>
      </w:tr>
      <w:tr w14:paraId="3E30A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305DBAD">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131</w:t>
            </w:r>
          </w:p>
        </w:tc>
        <w:tc>
          <w:tcPr>
            <w:tcW w:w="491" w:type="pct"/>
            <w:vMerge w:val="continue"/>
            <w:tcBorders>
              <w:top w:val="nil"/>
              <w:left w:val="single" w:color="000000" w:sz="2" w:space="0"/>
              <w:bottom w:val="single" w:color="000000" w:sz="2" w:space="0"/>
              <w:right w:val="single" w:color="000000" w:sz="2" w:space="0"/>
            </w:tcBorders>
            <w:vAlign w:val="center"/>
          </w:tcPr>
          <w:p w14:paraId="79DEBE46">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6BE6E86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▲HDMI、DP、 Type-C 显示接口要求</w:t>
            </w:r>
          </w:p>
        </w:tc>
        <w:tc>
          <w:tcPr>
            <w:tcW w:w="3335" w:type="pct"/>
            <w:tcBorders>
              <w:top w:val="single" w:color="000000" w:sz="2" w:space="0"/>
              <w:left w:val="single" w:color="000000" w:sz="2" w:space="0"/>
              <w:bottom w:val="single" w:color="000000" w:sz="2" w:space="0"/>
              <w:right w:val="single" w:color="000000" w:sz="2" w:space="0"/>
            </w:tcBorders>
            <w:vAlign w:val="center"/>
          </w:tcPr>
          <w:p w14:paraId="74131AA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若提供HDMI 或 DP 或 Type-C 作为显示接口，应支持音频和视频同步输出</w:t>
            </w:r>
          </w:p>
        </w:tc>
      </w:tr>
      <w:tr w14:paraId="4CC6F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667CF2D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132</w:t>
            </w:r>
          </w:p>
        </w:tc>
        <w:tc>
          <w:tcPr>
            <w:tcW w:w="491" w:type="pct"/>
            <w:vMerge w:val="continue"/>
            <w:tcBorders>
              <w:top w:val="nil"/>
              <w:left w:val="single" w:color="000000" w:sz="2" w:space="0"/>
              <w:bottom w:val="single" w:color="000000" w:sz="2" w:space="0"/>
              <w:right w:val="single" w:color="000000" w:sz="2" w:space="0"/>
            </w:tcBorders>
            <w:vAlign w:val="center"/>
          </w:tcPr>
          <w:p w14:paraId="6ED28B21">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47D4638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▲输入充电接口类型</w:t>
            </w:r>
          </w:p>
        </w:tc>
        <w:tc>
          <w:tcPr>
            <w:tcW w:w="3335" w:type="pct"/>
            <w:tcBorders>
              <w:top w:val="single" w:color="000000" w:sz="2" w:space="0"/>
              <w:left w:val="single" w:color="000000" w:sz="2" w:space="0"/>
              <w:bottom w:val="single" w:color="000000" w:sz="2" w:space="0"/>
              <w:right w:val="single" w:color="000000" w:sz="2" w:space="0"/>
            </w:tcBorders>
            <w:vAlign w:val="center"/>
          </w:tcPr>
          <w:p w14:paraId="0FE2A63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DC in 或 Type-C 接口</w:t>
            </w:r>
          </w:p>
        </w:tc>
      </w:tr>
      <w:tr w14:paraId="3C99C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26D537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133</w:t>
            </w:r>
          </w:p>
        </w:tc>
        <w:tc>
          <w:tcPr>
            <w:tcW w:w="491" w:type="pct"/>
            <w:vMerge w:val="continue"/>
            <w:tcBorders>
              <w:top w:val="nil"/>
              <w:left w:val="single" w:color="000000" w:sz="2" w:space="0"/>
              <w:bottom w:val="single" w:color="000000" w:sz="2" w:space="0"/>
              <w:right w:val="single" w:color="000000" w:sz="2" w:space="0"/>
            </w:tcBorders>
            <w:vAlign w:val="center"/>
          </w:tcPr>
          <w:p w14:paraId="40565CA5">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61F9A78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其他接口</w:t>
            </w:r>
          </w:p>
        </w:tc>
        <w:tc>
          <w:tcPr>
            <w:tcW w:w="3335" w:type="pct"/>
            <w:tcBorders>
              <w:top w:val="single" w:color="000000" w:sz="2" w:space="0"/>
              <w:left w:val="single" w:color="000000" w:sz="2" w:space="0"/>
              <w:bottom w:val="single" w:color="000000" w:sz="2" w:space="0"/>
              <w:right w:val="single" w:color="000000" w:sz="2" w:space="0"/>
            </w:tcBorders>
            <w:vAlign w:val="center"/>
          </w:tcPr>
          <w:p w14:paraId="1892AA8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w:t>
            </w:r>
          </w:p>
        </w:tc>
      </w:tr>
      <w:tr w14:paraId="3D5CE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D1C3F82">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134</w:t>
            </w:r>
          </w:p>
        </w:tc>
        <w:tc>
          <w:tcPr>
            <w:tcW w:w="491" w:type="pct"/>
            <w:vMerge w:val="continue"/>
            <w:tcBorders>
              <w:top w:val="nil"/>
              <w:left w:val="single" w:color="000000" w:sz="2" w:space="0"/>
              <w:bottom w:val="single" w:color="000000" w:sz="2" w:space="0"/>
              <w:right w:val="single" w:color="000000" w:sz="2" w:space="0"/>
            </w:tcBorders>
            <w:vAlign w:val="center"/>
          </w:tcPr>
          <w:p w14:paraId="40107EF0">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26876BD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存储卡接口类型</w:t>
            </w:r>
          </w:p>
        </w:tc>
        <w:tc>
          <w:tcPr>
            <w:tcW w:w="3335" w:type="pct"/>
            <w:tcBorders>
              <w:top w:val="single" w:color="000000" w:sz="2" w:space="0"/>
              <w:left w:val="single" w:color="000000" w:sz="2" w:space="0"/>
              <w:bottom w:val="single" w:color="000000" w:sz="2" w:space="0"/>
              <w:right w:val="single" w:color="000000" w:sz="2" w:space="0"/>
            </w:tcBorders>
            <w:vAlign w:val="center"/>
          </w:tcPr>
          <w:p w14:paraId="4E712DB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w:t>
            </w:r>
          </w:p>
        </w:tc>
      </w:tr>
      <w:tr w14:paraId="13F62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7F1DCF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135</w:t>
            </w:r>
          </w:p>
        </w:tc>
        <w:tc>
          <w:tcPr>
            <w:tcW w:w="491" w:type="pct"/>
            <w:vMerge w:val="restart"/>
            <w:tcBorders>
              <w:top w:val="nil"/>
              <w:left w:val="single" w:color="000000" w:sz="2" w:space="0"/>
              <w:bottom w:val="single" w:color="000000" w:sz="2" w:space="0"/>
              <w:right w:val="single" w:color="000000" w:sz="2" w:space="0"/>
            </w:tcBorders>
            <w:vAlign w:val="center"/>
          </w:tcPr>
          <w:p w14:paraId="0B089A9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▲电源功能</w:t>
            </w:r>
          </w:p>
        </w:tc>
        <w:tc>
          <w:tcPr>
            <w:tcW w:w="909" w:type="pct"/>
            <w:tcBorders>
              <w:top w:val="single" w:color="000000" w:sz="2" w:space="0"/>
              <w:left w:val="single" w:color="000000" w:sz="2" w:space="0"/>
              <w:bottom w:val="single" w:color="000000" w:sz="2" w:space="0"/>
              <w:right w:val="single" w:color="000000" w:sz="2" w:space="0"/>
            </w:tcBorders>
            <w:vAlign w:val="center"/>
          </w:tcPr>
          <w:p w14:paraId="287F997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电池快充</w:t>
            </w:r>
          </w:p>
        </w:tc>
        <w:tc>
          <w:tcPr>
            <w:tcW w:w="3335" w:type="pct"/>
            <w:tcBorders>
              <w:top w:val="single" w:color="000000" w:sz="2" w:space="0"/>
              <w:left w:val="single" w:color="000000" w:sz="2" w:space="0"/>
              <w:bottom w:val="single" w:color="000000" w:sz="2" w:space="0"/>
              <w:right w:val="single" w:color="000000" w:sz="2" w:space="0"/>
            </w:tcBorders>
            <w:vAlign w:val="center"/>
          </w:tcPr>
          <w:p w14:paraId="02BC5B1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支持快速充电功能，如 UFCS、USB PD</w:t>
            </w:r>
          </w:p>
        </w:tc>
      </w:tr>
      <w:tr w14:paraId="15619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261F2B0">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136</w:t>
            </w:r>
          </w:p>
        </w:tc>
        <w:tc>
          <w:tcPr>
            <w:tcW w:w="491" w:type="pct"/>
            <w:vMerge w:val="continue"/>
            <w:tcBorders>
              <w:top w:val="nil"/>
              <w:left w:val="single" w:color="000000" w:sz="2" w:space="0"/>
              <w:bottom w:val="single" w:color="000000" w:sz="2" w:space="0"/>
              <w:right w:val="single" w:color="000000" w:sz="2" w:space="0"/>
            </w:tcBorders>
            <w:vAlign w:val="center"/>
          </w:tcPr>
          <w:p w14:paraId="6B436F83">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3EFE904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▲电源线适配能力</w:t>
            </w:r>
          </w:p>
        </w:tc>
        <w:tc>
          <w:tcPr>
            <w:tcW w:w="3335" w:type="pct"/>
            <w:tcBorders>
              <w:top w:val="single" w:color="000000" w:sz="2" w:space="0"/>
              <w:left w:val="single" w:color="000000" w:sz="2" w:space="0"/>
              <w:bottom w:val="single" w:color="000000" w:sz="2" w:space="0"/>
              <w:right w:val="single" w:color="000000" w:sz="2" w:space="0"/>
            </w:tcBorders>
            <w:vAlign w:val="center"/>
          </w:tcPr>
          <w:p w14:paraId="6220633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符合 GB 15934-2008</w:t>
            </w:r>
          </w:p>
          <w:p w14:paraId="4958ED0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对于可拆线插头 GB15934 不做要求</w:t>
            </w:r>
          </w:p>
        </w:tc>
      </w:tr>
      <w:tr w14:paraId="691CE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9F8E572">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137</w:t>
            </w:r>
          </w:p>
        </w:tc>
        <w:tc>
          <w:tcPr>
            <w:tcW w:w="491" w:type="pct"/>
            <w:vMerge w:val="restart"/>
            <w:tcBorders>
              <w:top w:val="nil"/>
              <w:left w:val="single" w:color="000000" w:sz="2" w:space="0"/>
              <w:bottom w:val="single" w:color="000000" w:sz="2" w:space="0"/>
              <w:right w:val="single" w:color="000000" w:sz="2" w:space="0"/>
            </w:tcBorders>
            <w:vAlign w:val="center"/>
          </w:tcPr>
          <w:p w14:paraId="3E3CD194">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▲操作系统及软件功能</w:t>
            </w:r>
          </w:p>
        </w:tc>
        <w:tc>
          <w:tcPr>
            <w:tcW w:w="909" w:type="pct"/>
            <w:tcBorders>
              <w:top w:val="single" w:color="000000" w:sz="2" w:space="0"/>
              <w:left w:val="single" w:color="000000" w:sz="2" w:space="0"/>
              <w:bottom w:val="single" w:color="000000" w:sz="2" w:space="0"/>
              <w:right w:val="single" w:color="000000" w:sz="2" w:space="0"/>
            </w:tcBorders>
            <w:vAlign w:val="center"/>
          </w:tcPr>
          <w:p w14:paraId="7056370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▲中文信息处理要求</w:t>
            </w:r>
          </w:p>
        </w:tc>
        <w:tc>
          <w:tcPr>
            <w:tcW w:w="3335" w:type="pct"/>
            <w:tcBorders>
              <w:top w:val="single" w:color="000000" w:sz="2" w:space="0"/>
              <w:left w:val="single" w:color="000000" w:sz="2" w:space="0"/>
              <w:bottom w:val="single" w:color="000000" w:sz="2" w:space="0"/>
              <w:right w:val="single" w:color="000000" w:sz="2" w:space="0"/>
            </w:tcBorders>
            <w:vAlign w:val="center"/>
          </w:tcPr>
          <w:p w14:paraId="6AE2BDA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符合 GB 18030 的相关规定</w:t>
            </w:r>
          </w:p>
        </w:tc>
      </w:tr>
      <w:tr w14:paraId="595E8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2F8F8D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138</w:t>
            </w:r>
          </w:p>
        </w:tc>
        <w:tc>
          <w:tcPr>
            <w:tcW w:w="491" w:type="pct"/>
            <w:vMerge w:val="continue"/>
            <w:tcBorders>
              <w:top w:val="nil"/>
              <w:left w:val="single" w:color="000000" w:sz="2" w:space="0"/>
              <w:bottom w:val="single" w:color="000000" w:sz="2" w:space="0"/>
              <w:right w:val="single" w:color="000000" w:sz="2" w:space="0"/>
            </w:tcBorders>
            <w:vAlign w:val="center"/>
          </w:tcPr>
          <w:p w14:paraId="117FE057">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6EA4958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▲操作系统备份及还原功能</w:t>
            </w:r>
          </w:p>
        </w:tc>
        <w:tc>
          <w:tcPr>
            <w:tcW w:w="3335" w:type="pct"/>
            <w:tcBorders>
              <w:top w:val="single" w:color="000000" w:sz="2" w:space="0"/>
              <w:left w:val="single" w:color="000000" w:sz="2" w:space="0"/>
              <w:bottom w:val="single" w:color="000000" w:sz="2" w:space="0"/>
              <w:right w:val="single" w:color="000000" w:sz="2" w:space="0"/>
            </w:tcBorders>
            <w:vAlign w:val="center"/>
          </w:tcPr>
          <w:p w14:paraId="3E50AB4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支持操作系统备份及还原功能</w:t>
            </w:r>
          </w:p>
        </w:tc>
      </w:tr>
      <w:tr w14:paraId="7B795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1EB0533">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139</w:t>
            </w:r>
          </w:p>
        </w:tc>
        <w:tc>
          <w:tcPr>
            <w:tcW w:w="491" w:type="pct"/>
            <w:vMerge w:val="continue"/>
            <w:tcBorders>
              <w:top w:val="nil"/>
              <w:left w:val="single" w:color="000000" w:sz="2" w:space="0"/>
              <w:bottom w:val="single" w:color="000000" w:sz="2" w:space="0"/>
              <w:right w:val="single" w:color="000000" w:sz="2" w:space="0"/>
            </w:tcBorders>
            <w:vAlign w:val="center"/>
          </w:tcPr>
          <w:p w14:paraId="588BDBC4">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3B8FA0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▲固件备份还原能力</w:t>
            </w:r>
          </w:p>
        </w:tc>
        <w:tc>
          <w:tcPr>
            <w:tcW w:w="3335" w:type="pct"/>
            <w:tcBorders>
              <w:top w:val="single" w:color="000000" w:sz="2" w:space="0"/>
              <w:left w:val="single" w:color="000000" w:sz="2" w:space="0"/>
              <w:bottom w:val="single" w:color="000000" w:sz="2" w:space="0"/>
              <w:right w:val="single" w:color="000000" w:sz="2" w:space="0"/>
            </w:tcBorders>
            <w:vAlign w:val="center"/>
          </w:tcPr>
          <w:p w14:paraId="7CD391B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支持备份及还原固件的功能</w:t>
            </w:r>
          </w:p>
        </w:tc>
      </w:tr>
      <w:tr w14:paraId="2A40A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0B4D92C">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140</w:t>
            </w:r>
          </w:p>
        </w:tc>
        <w:tc>
          <w:tcPr>
            <w:tcW w:w="491" w:type="pct"/>
            <w:vMerge w:val="continue"/>
            <w:tcBorders>
              <w:top w:val="nil"/>
              <w:left w:val="single" w:color="000000" w:sz="2" w:space="0"/>
              <w:bottom w:val="single" w:color="000000" w:sz="2" w:space="0"/>
              <w:right w:val="single" w:color="000000" w:sz="2" w:space="0"/>
            </w:tcBorders>
            <w:vAlign w:val="center"/>
          </w:tcPr>
          <w:p w14:paraId="4BAD1687">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404DDB5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▲操作系统及驱动升级</w:t>
            </w:r>
          </w:p>
        </w:tc>
        <w:tc>
          <w:tcPr>
            <w:tcW w:w="3335" w:type="pct"/>
            <w:tcBorders>
              <w:top w:val="single" w:color="000000" w:sz="2" w:space="0"/>
              <w:left w:val="single" w:color="000000" w:sz="2" w:space="0"/>
              <w:bottom w:val="single" w:color="000000" w:sz="2" w:space="0"/>
              <w:right w:val="single" w:color="000000" w:sz="2" w:space="0"/>
            </w:tcBorders>
            <w:vAlign w:val="center"/>
          </w:tcPr>
          <w:p w14:paraId="447B6D7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支持通过网络、闪存盘等方式对操作系统、驱动进行升级</w:t>
            </w:r>
          </w:p>
        </w:tc>
      </w:tr>
      <w:tr w14:paraId="15745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BFED59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141</w:t>
            </w:r>
          </w:p>
        </w:tc>
        <w:tc>
          <w:tcPr>
            <w:tcW w:w="491" w:type="pct"/>
            <w:vMerge w:val="continue"/>
            <w:tcBorders>
              <w:top w:val="nil"/>
              <w:left w:val="single" w:color="000000" w:sz="2" w:space="0"/>
              <w:bottom w:val="single" w:color="000000" w:sz="2" w:space="0"/>
              <w:right w:val="single" w:color="000000" w:sz="2" w:space="0"/>
            </w:tcBorders>
            <w:vAlign w:val="center"/>
          </w:tcPr>
          <w:p w14:paraId="608EEAC7">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3E168D1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固件升级</w:t>
            </w:r>
          </w:p>
        </w:tc>
        <w:tc>
          <w:tcPr>
            <w:tcW w:w="3335" w:type="pct"/>
            <w:tcBorders>
              <w:top w:val="single" w:color="000000" w:sz="2" w:space="0"/>
              <w:left w:val="single" w:color="000000" w:sz="2" w:space="0"/>
              <w:bottom w:val="single" w:color="000000" w:sz="2" w:space="0"/>
              <w:right w:val="single" w:color="000000" w:sz="2" w:space="0"/>
            </w:tcBorders>
            <w:vAlign w:val="center"/>
          </w:tcPr>
          <w:p w14:paraId="38A4D70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支持通过网络、闪存盘等方式对固件进行升级</w:t>
            </w:r>
          </w:p>
        </w:tc>
      </w:tr>
      <w:tr w14:paraId="4885E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71CEF79">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142</w:t>
            </w:r>
          </w:p>
        </w:tc>
        <w:tc>
          <w:tcPr>
            <w:tcW w:w="491" w:type="pct"/>
            <w:vMerge w:val="continue"/>
            <w:tcBorders>
              <w:top w:val="nil"/>
              <w:left w:val="single" w:color="000000" w:sz="2" w:space="0"/>
              <w:bottom w:val="single" w:color="000000" w:sz="2" w:space="0"/>
              <w:right w:val="single" w:color="000000" w:sz="2" w:space="0"/>
            </w:tcBorders>
            <w:vAlign w:val="center"/>
          </w:tcPr>
          <w:p w14:paraId="1329E6B0">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1BD0125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▲BIOS 支持关闭通讯接口</w:t>
            </w:r>
          </w:p>
        </w:tc>
        <w:tc>
          <w:tcPr>
            <w:tcW w:w="3335" w:type="pct"/>
            <w:tcBorders>
              <w:top w:val="single" w:color="000000" w:sz="2" w:space="0"/>
              <w:left w:val="single" w:color="000000" w:sz="2" w:space="0"/>
              <w:bottom w:val="single" w:color="000000" w:sz="2" w:space="0"/>
              <w:right w:val="single" w:color="000000" w:sz="2" w:space="0"/>
            </w:tcBorders>
            <w:vAlign w:val="center"/>
          </w:tcPr>
          <w:p w14:paraId="2116F36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 BIOS 关闭以太网及 USB 接口功能</w:t>
            </w:r>
          </w:p>
        </w:tc>
      </w:tr>
      <w:tr w14:paraId="4ED61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A180462">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143</w:t>
            </w:r>
          </w:p>
        </w:tc>
        <w:tc>
          <w:tcPr>
            <w:tcW w:w="491" w:type="pct"/>
            <w:vMerge w:val="continue"/>
            <w:tcBorders>
              <w:top w:val="nil"/>
              <w:left w:val="single" w:color="000000" w:sz="2" w:space="0"/>
              <w:bottom w:val="single" w:color="000000" w:sz="2" w:space="0"/>
              <w:right w:val="single" w:color="000000" w:sz="2" w:space="0"/>
            </w:tcBorders>
            <w:vAlign w:val="center"/>
          </w:tcPr>
          <w:p w14:paraId="545C9762">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3C9E8BC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▲固件查看信息</w:t>
            </w:r>
          </w:p>
        </w:tc>
        <w:tc>
          <w:tcPr>
            <w:tcW w:w="3335" w:type="pct"/>
            <w:tcBorders>
              <w:top w:val="single" w:color="000000" w:sz="2" w:space="0"/>
              <w:left w:val="single" w:color="000000" w:sz="2" w:space="0"/>
              <w:bottom w:val="single" w:color="000000" w:sz="2" w:space="0"/>
              <w:right w:val="single" w:color="000000" w:sz="2" w:space="0"/>
            </w:tcBorders>
            <w:vAlign w:val="center"/>
          </w:tcPr>
          <w:p w14:paraId="4BC1375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支持查看固件版本、内存信息、主板信息、处理器信息和系统时间信息等功能</w:t>
            </w:r>
          </w:p>
        </w:tc>
      </w:tr>
      <w:tr w14:paraId="07AB8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6BEE26B4">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144</w:t>
            </w:r>
          </w:p>
        </w:tc>
        <w:tc>
          <w:tcPr>
            <w:tcW w:w="491" w:type="pct"/>
            <w:vMerge w:val="continue"/>
            <w:tcBorders>
              <w:top w:val="nil"/>
              <w:left w:val="single" w:color="000000" w:sz="2" w:space="0"/>
              <w:bottom w:val="single" w:color="000000" w:sz="2" w:space="0"/>
              <w:right w:val="single" w:color="000000" w:sz="2" w:space="0"/>
            </w:tcBorders>
            <w:vAlign w:val="center"/>
          </w:tcPr>
          <w:p w14:paraId="73044495">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5BBAF3B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▲固件设置启动顺序</w:t>
            </w:r>
          </w:p>
        </w:tc>
        <w:tc>
          <w:tcPr>
            <w:tcW w:w="3335" w:type="pct"/>
            <w:tcBorders>
              <w:top w:val="single" w:color="000000" w:sz="2" w:space="0"/>
              <w:left w:val="single" w:color="000000" w:sz="2" w:space="0"/>
              <w:bottom w:val="single" w:color="000000" w:sz="2" w:space="0"/>
              <w:right w:val="single" w:color="000000" w:sz="2" w:space="0"/>
            </w:tcBorders>
            <w:vAlign w:val="center"/>
          </w:tcPr>
          <w:p w14:paraId="60CABBE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支持设置启动顺序功能，并按照设置的启动顺序启动</w:t>
            </w:r>
          </w:p>
        </w:tc>
      </w:tr>
      <w:tr w14:paraId="26D63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AE1CA74">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145</w:t>
            </w:r>
          </w:p>
        </w:tc>
        <w:tc>
          <w:tcPr>
            <w:tcW w:w="491" w:type="pct"/>
            <w:vMerge w:val="continue"/>
            <w:tcBorders>
              <w:top w:val="nil"/>
              <w:left w:val="single" w:color="000000" w:sz="2" w:space="0"/>
              <w:bottom w:val="single" w:color="000000" w:sz="2" w:space="0"/>
              <w:right w:val="single" w:color="000000" w:sz="2" w:space="0"/>
            </w:tcBorders>
            <w:vAlign w:val="center"/>
          </w:tcPr>
          <w:p w14:paraId="3A18B17F">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7C6F360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▲固件设置口令</w:t>
            </w:r>
          </w:p>
        </w:tc>
        <w:tc>
          <w:tcPr>
            <w:tcW w:w="3335" w:type="pct"/>
            <w:tcBorders>
              <w:top w:val="single" w:color="000000" w:sz="2" w:space="0"/>
              <w:left w:val="single" w:color="000000" w:sz="2" w:space="0"/>
              <w:bottom w:val="single" w:color="000000" w:sz="2" w:space="0"/>
              <w:right w:val="single" w:color="000000" w:sz="2" w:space="0"/>
            </w:tcBorders>
            <w:vAlign w:val="center"/>
          </w:tcPr>
          <w:p w14:paraId="60611D0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支持设置口令、修改口令、验证口令功能</w:t>
            </w:r>
          </w:p>
        </w:tc>
      </w:tr>
      <w:tr w14:paraId="5FF7A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4E94FF7">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146</w:t>
            </w:r>
          </w:p>
        </w:tc>
        <w:tc>
          <w:tcPr>
            <w:tcW w:w="491" w:type="pct"/>
            <w:vMerge w:val="continue"/>
            <w:tcBorders>
              <w:top w:val="nil"/>
              <w:left w:val="single" w:color="000000" w:sz="2" w:space="0"/>
              <w:bottom w:val="single" w:color="000000" w:sz="2" w:space="0"/>
              <w:right w:val="single" w:color="000000" w:sz="2" w:space="0"/>
            </w:tcBorders>
            <w:vAlign w:val="center"/>
          </w:tcPr>
          <w:p w14:paraId="3A83A2C9">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000000" w:sz="2" w:space="0"/>
              <w:right w:val="single" w:color="000000" w:sz="2" w:space="0"/>
            </w:tcBorders>
            <w:vAlign w:val="center"/>
          </w:tcPr>
          <w:p w14:paraId="22F9877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▲固件设置网络引导</w:t>
            </w:r>
          </w:p>
        </w:tc>
        <w:tc>
          <w:tcPr>
            <w:tcW w:w="3335" w:type="pct"/>
            <w:tcBorders>
              <w:top w:val="single" w:color="000000" w:sz="2" w:space="0"/>
              <w:left w:val="single" w:color="000000" w:sz="2" w:space="0"/>
              <w:bottom w:val="single" w:color="000000" w:sz="2" w:space="0"/>
              <w:right w:val="single" w:color="000000" w:sz="2" w:space="0"/>
            </w:tcBorders>
            <w:vAlign w:val="center"/>
          </w:tcPr>
          <w:p w14:paraId="12A19A7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支持网络引导启动和关闭功能</w:t>
            </w:r>
          </w:p>
        </w:tc>
      </w:tr>
      <w:tr w14:paraId="21D49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8D6E8C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147</w:t>
            </w:r>
          </w:p>
        </w:tc>
        <w:tc>
          <w:tcPr>
            <w:tcW w:w="491" w:type="pct"/>
            <w:vMerge w:val="restart"/>
            <w:tcBorders>
              <w:top w:val="nil"/>
              <w:left w:val="single" w:color="000000" w:sz="2" w:space="0"/>
              <w:bottom w:val="single" w:color="000000" w:sz="2" w:space="0"/>
              <w:right w:val="single" w:color="000000" w:sz="2" w:space="0"/>
            </w:tcBorders>
            <w:vAlign w:val="center"/>
          </w:tcPr>
          <w:p w14:paraId="22414BB1">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生物识别功能</w:t>
            </w:r>
          </w:p>
        </w:tc>
        <w:tc>
          <w:tcPr>
            <w:tcW w:w="909" w:type="pct"/>
            <w:tcBorders>
              <w:top w:val="single" w:color="000000" w:sz="2" w:space="0"/>
              <w:left w:val="single" w:color="000000" w:sz="2" w:space="0"/>
              <w:bottom w:val="single" w:color="000000" w:sz="2" w:space="0"/>
              <w:right w:val="single" w:color="000000" w:sz="2" w:space="0"/>
            </w:tcBorders>
            <w:vAlign w:val="center"/>
          </w:tcPr>
          <w:p w14:paraId="782ACC5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指纹识别</w:t>
            </w:r>
          </w:p>
        </w:tc>
        <w:tc>
          <w:tcPr>
            <w:tcW w:w="3335" w:type="pct"/>
            <w:tcBorders>
              <w:top w:val="single" w:color="000000" w:sz="2" w:space="0"/>
              <w:left w:val="single" w:color="000000" w:sz="2" w:space="0"/>
              <w:bottom w:val="single" w:color="000000" w:sz="2" w:space="0"/>
              <w:right w:val="single" w:color="000000" w:sz="2" w:space="0"/>
            </w:tcBorders>
            <w:vAlign w:val="center"/>
          </w:tcPr>
          <w:p w14:paraId="19874D1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w:t>
            </w:r>
          </w:p>
        </w:tc>
      </w:tr>
      <w:tr w14:paraId="5AE67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1ABBECD0">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148</w:t>
            </w:r>
          </w:p>
        </w:tc>
        <w:tc>
          <w:tcPr>
            <w:tcW w:w="491" w:type="pct"/>
            <w:vMerge w:val="continue"/>
            <w:tcBorders>
              <w:top w:val="nil"/>
              <w:left w:val="single" w:color="000000" w:sz="2" w:space="0"/>
              <w:bottom w:val="single" w:color="000000" w:sz="2" w:space="0"/>
              <w:right w:val="single" w:color="000000" w:sz="2" w:space="0"/>
            </w:tcBorders>
            <w:vAlign w:val="center"/>
          </w:tcPr>
          <w:p w14:paraId="47FC696C">
            <w:pPr>
              <w:widowControl/>
              <w:adjustRightInd/>
              <w:jc w:val="left"/>
              <w:rPr>
                <w:rFonts w:ascii="宋体" w:hAnsi="宋体" w:eastAsia="Times New Roman"/>
                <w:color w:val="auto"/>
                <w:spacing w:val="-2"/>
                <w:kern w:val="0"/>
                <w:sz w:val="22"/>
                <w:szCs w:val="22"/>
              </w:rPr>
            </w:pPr>
          </w:p>
        </w:tc>
        <w:tc>
          <w:tcPr>
            <w:tcW w:w="909" w:type="pct"/>
            <w:tcBorders>
              <w:top w:val="single" w:color="000000" w:sz="2" w:space="0"/>
              <w:left w:val="single" w:color="000000" w:sz="2" w:space="0"/>
              <w:bottom w:val="single" w:color="auto" w:sz="4" w:space="0"/>
              <w:right w:val="single" w:color="000000" w:sz="2" w:space="0"/>
            </w:tcBorders>
            <w:vAlign w:val="center"/>
          </w:tcPr>
          <w:p w14:paraId="692CE27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人脸识别</w:t>
            </w:r>
          </w:p>
        </w:tc>
        <w:tc>
          <w:tcPr>
            <w:tcW w:w="3335" w:type="pct"/>
            <w:tcBorders>
              <w:top w:val="single" w:color="000000" w:sz="2" w:space="0"/>
              <w:left w:val="single" w:color="000000" w:sz="2" w:space="0"/>
              <w:bottom w:val="single" w:color="auto" w:sz="4" w:space="0"/>
              <w:right w:val="single" w:color="000000" w:sz="2" w:space="0"/>
            </w:tcBorders>
            <w:vAlign w:val="center"/>
          </w:tcPr>
          <w:p w14:paraId="6AF83BB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符合GB/T37036.3的相关规定</w:t>
            </w:r>
          </w:p>
        </w:tc>
      </w:tr>
      <w:tr w14:paraId="45E84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8CC8822">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149</w:t>
            </w:r>
          </w:p>
        </w:tc>
        <w:tc>
          <w:tcPr>
            <w:tcW w:w="491" w:type="pct"/>
            <w:vMerge w:val="continue"/>
            <w:tcBorders>
              <w:top w:val="nil"/>
              <w:left w:val="single" w:color="000000" w:sz="2" w:space="0"/>
              <w:bottom w:val="single" w:color="000000" w:sz="2" w:space="0"/>
              <w:right w:val="single" w:color="auto" w:sz="4" w:space="0"/>
            </w:tcBorders>
            <w:vAlign w:val="center"/>
          </w:tcPr>
          <w:p w14:paraId="515B71DC">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24C6688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静脉识别</w:t>
            </w:r>
          </w:p>
        </w:tc>
        <w:tc>
          <w:tcPr>
            <w:tcW w:w="3335" w:type="pct"/>
            <w:tcBorders>
              <w:top w:val="single" w:color="auto" w:sz="4" w:space="0"/>
              <w:left w:val="single" w:color="auto" w:sz="4" w:space="0"/>
              <w:bottom w:val="single" w:color="auto" w:sz="4" w:space="0"/>
              <w:right w:val="single" w:color="auto" w:sz="4" w:space="0"/>
            </w:tcBorders>
            <w:vAlign w:val="center"/>
          </w:tcPr>
          <w:p w14:paraId="32539DC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w:t>
            </w:r>
          </w:p>
        </w:tc>
      </w:tr>
      <w:tr w14:paraId="17592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F2F22A2">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150</w:t>
            </w:r>
          </w:p>
        </w:tc>
        <w:tc>
          <w:tcPr>
            <w:tcW w:w="491" w:type="pct"/>
            <w:vMerge w:val="restart"/>
            <w:tcBorders>
              <w:top w:val="nil"/>
              <w:left w:val="single" w:color="000000" w:sz="2" w:space="0"/>
              <w:bottom w:val="single" w:color="000000" w:sz="2" w:space="0"/>
              <w:right w:val="single" w:color="auto" w:sz="4" w:space="0"/>
            </w:tcBorders>
            <w:vAlign w:val="center"/>
          </w:tcPr>
          <w:p w14:paraId="5FD454CD">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硬件加速功能</w:t>
            </w:r>
          </w:p>
        </w:tc>
        <w:tc>
          <w:tcPr>
            <w:tcW w:w="909" w:type="pct"/>
            <w:tcBorders>
              <w:top w:val="single" w:color="auto" w:sz="4" w:space="0"/>
              <w:left w:val="single" w:color="auto" w:sz="4" w:space="0"/>
              <w:bottom w:val="single" w:color="auto" w:sz="4" w:space="0"/>
              <w:right w:val="single" w:color="auto" w:sz="4" w:space="0"/>
            </w:tcBorders>
            <w:vAlign w:val="center"/>
          </w:tcPr>
          <w:p w14:paraId="623AA64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NPU/GPU</w:t>
            </w:r>
          </w:p>
          <w:p w14:paraId="1E8C567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等 AI 加速模块</w:t>
            </w:r>
          </w:p>
        </w:tc>
        <w:tc>
          <w:tcPr>
            <w:tcW w:w="3335" w:type="pct"/>
            <w:tcBorders>
              <w:top w:val="single" w:color="auto" w:sz="4" w:space="0"/>
              <w:left w:val="single" w:color="auto" w:sz="4" w:space="0"/>
              <w:bottom w:val="single" w:color="auto" w:sz="4" w:space="0"/>
              <w:right w:val="single" w:color="auto" w:sz="4" w:space="0"/>
            </w:tcBorders>
            <w:vAlign w:val="center"/>
          </w:tcPr>
          <w:p w14:paraId="0C7205C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 NPU/GPU 等AI 加速模块</w:t>
            </w:r>
          </w:p>
        </w:tc>
      </w:tr>
      <w:tr w14:paraId="5CE45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3364D14">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151</w:t>
            </w:r>
          </w:p>
        </w:tc>
        <w:tc>
          <w:tcPr>
            <w:tcW w:w="491" w:type="pct"/>
            <w:vMerge w:val="continue"/>
            <w:tcBorders>
              <w:top w:val="nil"/>
              <w:left w:val="single" w:color="000000" w:sz="2" w:space="0"/>
              <w:bottom w:val="single" w:color="000000" w:sz="2" w:space="0"/>
              <w:right w:val="single" w:color="auto" w:sz="4" w:space="0"/>
            </w:tcBorders>
            <w:vAlign w:val="center"/>
          </w:tcPr>
          <w:p w14:paraId="5A5BB9B5">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5F3AACD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视频编解</w:t>
            </w:r>
          </w:p>
          <w:p w14:paraId="7484B68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码加速模块</w:t>
            </w:r>
          </w:p>
        </w:tc>
        <w:tc>
          <w:tcPr>
            <w:tcW w:w="3335" w:type="pct"/>
            <w:tcBorders>
              <w:top w:val="single" w:color="auto" w:sz="4" w:space="0"/>
              <w:left w:val="single" w:color="auto" w:sz="4" w:space="0"/>
              <w:bottom w:val="single" w:color="auto" w:sz="4" w:space="0"/>
              <w:right w:val="single" w:color="auto" w:sz="4" w:space="0"/>
            </w:tcBorders>
            <w:vAlign w:val="center"/>
          </w:tcPr>
          <w:p w14:paraId="26EBC2D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支持视频编解码加速模块</w:t>
            </w:r>
          </w:p>
        </w:tc>
      </w:tr>
      <w:tr w14:paraId="03E6F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1E9B695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152</w:t>
            </w:r>
          </w:p>
        </w:tc>
        <w:tc>
          <w:tcPr>
            <w:tcW w:w="491" w:type="pct"/>
            <w:vMerge w:val="continue"/>
            <w:tcBorders>
              <w:top w:val="nil"/>
              <w:left w:val="single" w:color="000000" w:sz="2" w:space="0"/>
              <w:bottom w:val="single" w:color="000000" w:sz="2" w:space="0"/>
              <w:right w:val="single" w:color="auto" w:sz="4" w:space="0"/>
            </w:tcBorders>
            <w:vAlign w:val="center"/>
          </w:tcPr>
          <w:p w14:paraId="0C01D5CF">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24D99C6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影像处理</w:t>
            </w:r>
          </w:p>
          <w:p w14:paraId="2224053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加速模块</w:t>
            </w:r>
          </w:p>
        </w:tc>
        <w:tc>
          <w:tcPr>
            <w:tcW w:w="3335" w:type="pct"/>
            <w:tcBorders>
              <w:top w:val="single" w:color="auto" w:sz="4" w:space="0"/>
              <w:left w:val="single" w:color="auto" w:sz="4" w:space="0"/>
              <w:bottom w:val="single" w:color="auto" w:sz="4" w:space="0"/>
              <w:right w:val="single" w:color="auto" w:sz="4" w:space="0"/>
            </w:tcBorders>
            <w:vAlign w:val="center"/>
          </w:tcPr>
          <w:p w14:paraId="0BDDD32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支持影像处理加速模块</w:t>
            </w:r>
          </w:p>
        </w:tc>
      </w:tr>
      <w:tr w14:paraId="40436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A92A9A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153</w:t>
            </w:r>
          </w:p>
        </w:tc>
        <w:tc>
          <w:tcPr>
            <w:tcW w:w="491" w:type="pct"/>
            <w:vMerge w:val="restart"/>
            <w:tcBorders>
              <w:top w:val="nil"/>
              <w:left w:val="single" w:color="000000" w:sz="2" w:space="0"/>
              <w:bottom w:val="single" w:color="000000" w:sz="2" w:space="0"/>
              <w:right w:val="single" w:color="auto" w:sz="4" w:space="0"/>
            </w:tcBorders>
            <w:vAlign w:val="center"/>
          </w:tcPr>
          <w:p w14:paraId="744DB90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▲存储设备</w:t>
            </w:r>
          </w:p>
        </w:tc>
        <w:tc>
          <w:tcPr>
            <w:tcW w:w="909" w:type="pct"/>
            <w:tcBorders>
              <w:top w:val="single" w:color="auto" w:sz="4" w:space="0"/>
              <w:left w:val="single" w:color="auto" w:sz="4" w:space="0"/>
              <w:bottom w:val="single" w:color="auto" w:sz="4" w:space="0"/>
              <w:right w:val="single" w:color="auto" w:sz="4" w:space="0"/>
            </w:tcBorders>
            <w:vAlign w:val="center"/>
          </w:tcPr>
          <w:p w14:paraId="0F06ECA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▲固态存储寿命</w:t>
            </w:r>
          </w:p>
        </w:tc>
        <w:tc>
          <w:tcPr>
            <w:tcW w:w="3335" w:type="pct"/>
            <w:tcBorders>
              <w:top w:val="single" w:color="auto" w:sz="4" w:space="0"/>
              <w:left w:val="single" w:color="auto" w:sz="4" w:space="0"/>
              <w:bottom w:val="single" w:color="auto" w:sz="4" w:space="0"/>
              <w:right w:val="single" w:color="auto" w:sz="4" w:space="0"/>
            </w:tcBorders>
            <w:vAlign w:val="center"/>
          </w:tcPr>
          <w:p w14:paraId="1353735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TBW ≥ 80TB（条件：240GB 硬盘容量）</w:t>
            </w:r>
          </w:p>
        </w:tc>
      </w:tr>
      <w:tr w14:paraId="0A8C2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507B221">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154</w:t>
            </w:r>
          </w:p>
        </w:tc>
        <w:tc>
          <w:tcPr>
            <w:tcW w:w="491" w:type="pct"/>
            <w:vMerge w:val="continue"/>
            <w:tcBorders>
              <w:top w:val="nil"/>
              <w:left w:val="single" w:color="000000" w:sz="2" w:space="0"/>
              <w:bottom w:val="single" w:color="000000" w:sz="2" w:space="0"/>
              <w:right w:val="single" w:color="auto" w:sz="4" w:space="0"/>
            </w:tcBorders>
            <w:vAlign w:val="center"/>
          </w:tcPr>
          <w:p w14:paraId="51C9387D">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3FB91B6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▲机械硬盘寿命</w:t>
            </w:r>
          </w:p>
        </w:tc>
        <w:tc>
          <w:tcPr>
            <w:tcW w:w="3335" w:type="pct"/>
            <w:tcBorders>
              <w:top w:val="single" w:color="auto" w:sz="4" w:space="0"/>
              <w:left w:val="single" w:color="auto" w:sz="4" w:space="0"/>
              <w:bottom w:val="single" w:color="auto" w:sz="4" w:space="0"/>
              <w:right w:val="single" w:color="auto" w:sz="4" w:space="0"/>
            </w:tcBorders>
            <w:vAlign w:val="center"/>
          </w:tcPr>
          <w:p w14:paraId="58FC6A2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通电时间≥5 万小时</w:t>
            </w:r>
          </w:p>
        </w:tc>
      </w:tr>
      <w:tr w14:paraId="60EFC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626C0E0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18835AD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155</w:t>
            </w:r>
          </w:p>
        </w:tc>
        <w:tc>
          <w:tcPr>
            <w:tcW w:w="491" w:type="pct"/>
            <w:tcBorders>
              <w:top w:val="single" w:color="000000" w:sz="2" w:space="0"/>
              <w:left w:val="single" w:color="000000" w:sz="2" w:space="0"/>
              <w:bottom w:val="single" w:color="000000" w:sz="2" w:space="0"/>
              <w:right w:val="single" w:color="auto" w:sz="4" w:space="0"/>
            </w:tcBorders>
            <w:vAlign w:val="center"/>
          </w:tcPr>
          <w:p w14:paraId="60D7E5D4">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▲显示设备可靠性</w:t>
            </w:r>
          </w:p>
        </w:tc>
        <w:tc>
          <w:tcPr>
            <w:tcW w:w="909" w:type="pct"/>
            <w:tcBorders>
              <w:top w:val="single" w:color="auto" w:sz="4" w:space="0"/>
              <w:left w:val="single" w:color="auto" w:sz="4" w:space="0"/>
              <w:bottom w:val="single" w:color="auto" w:sz="4" w:space="0"/>
              <w:right w:val="single" w:color="auto" w:sz="4" w:space="0"/>
            </w:tcBorders>
            <w:vAlign w:val="center"/>
          </w:tcPr>
          <w:p w14:paraId="3020C21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▲显示屏屏幕失效点</w:t>
            </w:r>
          </w:p>
        </w:tc>
        <w:tc>
          <w:tcPr>
            <w:tcW w:w="3335" w:type="pct"/>
            <w:tcBorders>
              <w:top w:val="single" w:color="auto" w:sz="4" w:space="0"/>
              <w:left w:val="single" w:color="auto" w:sz="4" w:space="0"/>
              <w:bottom w:val="single" w:color="auto" w:sz="4" w:space="0"/>
              <w:right w:val="single" w:color="auto" w:sz="4" w:space="0"/>
            </w:tcBorders>
            <w:vAlign w:val="center"/>
          </w:tcPr>
          <w:p w14:paraId="5C5E9DD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p>
          <w:p w14:paraId="1773E58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符合 GB/T 9813.2 的要求</w:t>
            </w:r>
          </w:p>
        </w:tc>
      </w:tr>
      <w:tr w14:paraId="207FB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BA4F62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156</w:t>
            </w:r>
          </w:p>
        </w:tc>
        <w:tc>
          <w:tcPr>
            <w:tcW w:w="491" w:type="pct"/>
            <w:vMerge w:val="restart"/>
            <w:tcBorders>
              <w:top w:val="nil"/>
              <w:left w:val="single" w:color="000000" w:sz="2" w:space="0"/>
              <w:bottom w:val="single" w:color="000000" w:sz="2" w:space="0"/>
              <w:right w:val="single" w:color="auto" w:sz="4" w:space="0"/>
            </w:tcBorders>
            <w:vAlign w:val="center"/>
          </w:tcPr>
          <w:p w14:paraId="542C2246">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44D549C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▲外设可靠性要求</w:t>
            </w:r>
          </w:p>
        </w:tc>
        <w:tc>
          <w:tcPr>
            <w:tcW w:w="909" w:type="pct"/>
            <w:tcBorders>
              <w:top w:val="single" w:color="auto" w:sz="4" w:space="0"/>
              <w:left w:val="single" w:color="auto" w:sz="4" w:space="0"/>
              <w:bottom w:val="single" w:color="auto" w:sz="4" w:space="0"/>
              <w:right w:val="single" w:color="auto" w:sz="4" w:space="0"/>
            </w:tcBorders>
            <w:vAlign w:val="center"/>
          </w:tcPr>
          <w:p w14:paraId="46562AB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▲键盘按键寿命</w:t>
            </w:r>
          </w:p>
        </w:tc>
        <w:tc>
          <w:tcPr>
            <w:tcW w:w="3335" w:type="pct"/>
            <w:tcBorders>
              <w:top w:val="single" w:color="auto" w:sz="4" w:space="0"/>
              <w:left w:val="single" w:color="auto" w:sz="4" w:space="0"/>
              <w:bottom w:val="single" w:color="auto" w:sz="4" w:space="0"/>
              <w:right w:val="single" w:color="auto" w:sz="4" w:space="0"/>
            </w:tcBorders>
            <w:vAlign w:val="center"/>
          </w:tcPr>
          <w:p w14:paraId="468005A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≥1000 万次</w:t>
            </w:r>
          </w:p>
        </w:tc>
      </w:tr>
      <w:tr w14:paraId="509CD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F3DBF0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157</w:t>
            </w:r>
          </w:p>
        </w:tc>
        <w:tc>
          <w:tcPr>
            <w:tcW w:w="491" w:type="pct"/>
            <w:vMerge w:val="continue"/>
            <w:tcBorders>
              <w:top w:val="nil"/>
              <w:left w:val="single" w:color="000000" w:sz="2" w:space="0"/>
              <w:bottom w:val="single" w:color="000000" w:sz="2" w:space="0"/>
              <w:right w:val="single" w:color="auto" w:sz="4" w:space="0"/>
            </w:tcBorders>
            <w:vAlign w:val="center"/>
          </w:tcPr>
          <w:p w14:paraId="65C4B749">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758ED2E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▲鼠标按键寿命</w:t>
            </w:r>
          </w:p>
        </w:tc>
        <w:tc>
          <w:tcPr>
            <w:tcW w:w="3335" w:type="pct"/>
            <w:tcBorders>
              <w:top w:val="single" w:color="auto" w:sz="4" w:space="0"/>
              <w:left w:val="single" w:color="auto" w:sz="4" w:space="0"/>
              <w:bottom w:val="single" w:color="auto" w:sz="4" w:space="0"/>
              <w:right w:val="single" w:color="auto" w:sz="4" w:space="0"/>
            </w:tcBorders>
            <w:vAlign w:val="center"/>
          </w:tcPr>
          <w:p w14:paraId="0647A5F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≥500 万次</w:t>
            </w:r>
          </w:p>
        </w:tc>
      </w:tr>
      <w:tr w14:paraId="6898C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7D43AF3">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158</w:t>
            </w:r>
          </w:p>
        </w:tc>
        <w:tc>
          <w:tcPr>
            <w:tcW w:w="491" w:type="pct"/>
            <w:vMerge w:val="continue"/>
            <w:tcBorders>
              <w:top w:val="nil"/>
              <w:left w:val="single" w:color="000000" w:sz="2" w:space="0"/>
              <w:bottom w:val="single" w:color="000000" w:sz="2" w:space="0"/>
              <w:right w:val="single" w:color="auto" w:sz="4" w:space="0"/>
            </w:tcBorders>
            <w:vAlign w:val="center"/>
          </w:tcPr>
          <w:p w14:paraId="755670CF">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2C04EBD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▲键盘鼠标线材寿命</w:t>
            </w:r>
          </w:p>
        </w:tc>
        <w:tc>
          <w:tcPr>
            <w:tcW w:w="3335" w:type="pct"/>
            <w:tcBorders>
              <w:top w:val="single" w:color="auto" w:sz="4" w:space="0"/>
              <w:left w:val="single" w:color="auto" w:sz="4" w:space="0"/>
              <w:bottom w:val="single" w:color="auto" w:sz="4" w:space="0"/>
              <w:right w:val="single" w:color="auto" w:sz="4" w:space="0"/>
            </w:tcBorders>
            <w:vAlign w:val="center"/>
          </w:tcPr>
          <w:p w14:paraId="6C3D2C8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键盘鼠标所用线材经±60 °弯折不低于 3000 次，功能、外观完好</w:t>
            </w:r>
          </w:p>
        </w:tc>
      </w:tr>
      <w:tr w14:paraId="1F4DA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491B06D">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159</w:t>
            </w:r>
          </w:p>
        </w:tc>
        <w:tc>
          <w:tcPr>
            <w:tcW w:w="491" w:type="pct"/>
            <w:vMerge w:val="continue"/>
            <w:tcBorders>
              <w:top w:val="nil"/>
              <w:left w:val="single" w:color="000000" w:sz="2" w:space="0"/>
              <w:bottom w:val="single" w:color="000000" w:sz="2" w:space="0"/>
              <w:right w:val="single" w:color="auto" w:sz="4" w:space="0"/>
            </w:tcBorders>
            <w:vAlign w:val="center"/>
          </w:tcPr>
          <w:p w14:paraId="2917EABD">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4ECCDCE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▲风扇寿命</w:t>
            </w:r>
          </w:p>
        </w:tc>
        <w:tc>
          <w:tcPr>
            <w:tcW w:w="3335" w:type="pct"/>
            <w:tcBorders>
              <w:top w:val="single" w:color="auto" w:sz="4" w:space="0"/>
              <w:left w:val="single" w:color="auto" w:sz="4" w:space="0"/>
              <w:bottom w:val="single" w:color="auto" w:sz="4" w:space="0"/>
              <w:right w:val="single" w:color="auto" w:sz="4" w:space="0"/>
            </w:tcBorders>
            <w:vAlign w:val="center"/>
          </w:tcPr>
          <w:p w14:paraId="2B94EBF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≥4 万小时</w:t>
            </w:r>
          </w:p>
        </w:tc>
      </w:tr>
      <w:tr w14:paraId="106EA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F44AAF9">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160</w:t>
            </w:r>
          </w:p>
        </w:tc>
        <w:tc>
          <w:tcPr>
            <w:tcW w:w="491" w:type="pct"/>
            <w:vMerge w:val="restart"/>
            <w:tcBorders>
              <w:top w:val="nil"/>
              <w:left w:val="single" w:color="000000" w:sz="2" w:space="0"/>
              <w:bottom w:val="single" w:color="000000" w:sz="2" w:space="0"/>
              <w:right w:val="single" w:color="auto" w:sz="4" w:space="0"/>
            </w:tcBorders>
            <w:vAlign w:val="center"/>
          </w:tcPr>
          <w:p w14:paraId="4EC04972">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3A16090C">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▲整机可靠性要求</w:t>
            </w:r>
          </w:p>
        </w:tc>
        <w:tc>
          <w:tcPr>
            <w:tcW w:w="909" w:type="pct"/>
            <w:tcBorders>
              <w:top w:val="single" w:color="auto" w:sz="4" w:space="0"/>
              <w:left w:val="single" w:color="auto" w:sz="4" w:space="0"/>
              <w:bottom w:val="single" w:color="auto" w:sz="4" w:space="0"/>
              <w:right w:val="single" w:color="auto" w:sz="4" w:space="0"/>
            </w:tcBorders>
            <w:vAlign w:val="center"/>
          </w:tcPr>
          <w:p w14:paraId="10C92FE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▲电磁兼容性要求的抗扰度</w:t>
            </w:r>
          </w:p>
        </w:tc>
        <w:tc>
          <w:tcPr>
            <w:tcW w:w="3335" w:type="pct"/>
            <w:tcBorders>
              <w:top w:val="single" w:color="auto" w:sz="4" w:space="0"/>
              <w:left w:val="single" w:color="auto" w:sz="4" w:space="0"/>
              <w:bottom w:val="single" w:color="auto" w:sz="4" w:space="0"/>
              <w:right w:val="single" w:color="auto" w:sz="4" w:space="0"/>
            </w:tcBorders>
            <w:vAlign w:val="center"/>
          </w:tcPr>
          <w:p w14:paraId="5A9CDAE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符合 GB/T 9254.2 的规定</w:t>
            </w:r>
          </w:p>
        </w:tc>
      </w:tr>
      <w:tr w14:paraId="59700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1076F83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3A49C600">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161</w:t>
            </w:r>
          </w:p>
        </w:tc>
        <w:tc>
          <w:tcPr>
            <w:tcW w:w="491" w:type="pct"/>
            <w:vMerge w:val="continue"/>
            <w:tcBorders>
              <w:top w:val="nil"/>
              <w:left w:val="single" w:color="000000" w:sz="2" w:space="0"/>
              <w:bottom w:val="single" w:color="000000" w:sz="2" w:space="0"/>
              <w:right w:val="single" w:color="auto" w:sz="4" w:space="0"/>
            </w:tcBorders>
            <w:vAlign w:val="center"/>
          </w:tcPr>
          <w:p w14:paraId="534DEFF5">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0EF92EA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▲环境条件要求的气</w:t>
            </w:r>
          </w:p>
          <w:p w14:paraId="5283744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候环境适应性</w:t>
            </w:r>
          </w:p>
        </w:tc>
        <w:tc>
          <w:tcPr>
            <w:tcW w:w="3335" w:type="pct"/>
            <w:tcBorders>
              <w:top w:val="single" w:color="auto" w:sz="4" w:space="0"/>
              <w:left w:val="single" w:color="auto" w:sz="4" w:space="0"/>
              <w:bottom w:val="single" w:color="auto" w:sz="4" w:space="0"/>
              <w:right w:val="single" w:color="auto" w:sz="4" w:space="0"/>
            </w:tcBorders>
            <w:vAlign w:val="center"/>
          </w:tcPr>
          <w:p w14:paraId="230773A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p>
          <w:p w14:paraId="2392853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符合 GB/T 9813.2 中规定</w:t>
            </w:r>
          </w:p>
        </w:tc>
      </w:tr>
      <w:tr w14:paraId="568E1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18924E9">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162</w:t>
            </w:r>
          </w:p>
        </w:tc>
        <w:tc>
          <w:tcPr>
            <w:tcW w:w="491" w:type="pct"/>
            <w:vMerge w:val="continue"/>
            <w:tcBorders>
              <w:top w:val="nil"/>
              <w:left w:val="single" w:color="000000" w:sz="2" w:space="0"/>
              <w:bottom w:val="single" w:color="000000" w:sz="2" w:space="0"/>
              <w:right w:val="single" w:color="auto" w:sz="4" w:space="0"/>
            </w:tcBorders>
            <w:vAlign w:val="center"/>
          </w:tcPr>
          <w:p w14:paraId="605878A8">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1C863BD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▲环境条件要求的振</w:t>
            </w:r>
          </w:p>
          <w:p w14:paraId="3394B69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动适应性</w:t>
            </w:r>
          </w:p>
        </w:tc>
        <w:tc>
          <w:tcPr>
            <w:tcW w:w="3335" w:type="pct"/>
            <w:tcBorders>
              <w:top w:val="single" w:color="auto" w:sz="4" w:space="0"/>
              <w:left w:val="single" w:color="auto" w:sz="4" w:space="0"/>
              <w:bottom w:val="single" w:color="auto" w:sz="4" w:space="0"/>
              <w:right w:val="single" w:color="auto" w:sz="4" w:space="0"/>
            </w:tcBorders>
            <w:vAlign w:val="center"/>
          </w:tcPr>
          <w:p w14:paraId="79001DE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符合 GB/T 9813.2 中规定</w:t>
            </w:r>
          </w:p>
        </w:tc>
      </w:tr>
      <w:tr w14:paraId="27BBB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DD950A0">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163</w:t>
            </w:r>
          </w:p>
        </w:tc>
        <w:tc>
          <w:tcPr>
            <w:tcW w:w="491" w:type="pct"/>
            <w:vMerge w:val="continue"/>
            <w:tcBorders>
              <w:top w:val="nil"/>
              <w:left w:val="single" w:color="000000" w:sz="2" w:space="0"/>
              <w:bottom w:val="single" w:color="000000" w:sz="2" w:space="0"/>
              <w:right w:val="single" w:color="auto" w:sz="4" w:space="0"/>
            </w:tcBorders>
            <w:vAlign w:val="center"/>
          </w:tcPr>
          <w:p w14:paraId="197F286F">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1487837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▲环境条件要求的冲</w:t>
            </w:r>
          </w:p>
          <w:p w14:paraId="6A5328A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击适应性</w:t>
            </w:r>
          </w:p>
        </w:tc>
        <w:tc>
          <w:tcPr>
            <w:tcW w:w="3335" w:type="pct"/>
            <w:tcBorders>
              <w:top w:val="single" w:color="auto" w:sz="4" w:space="0"/>
              <w:left w:val="single" w:color="auto" w:sz="4" w:space="0"/>
              <w:bottom w:val="single" w:color="auto" w:sz="4" w:space="0"/>
              <w:right w:val="single" w:color="auto" w:sz="4" w:space="0"/>
            </w:tcBorders>
            <w:vAlign w:val="center"/>
          </w:tcPr>
          <w:p w14:paraId="2F1EBE5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符合 GB/T 9813.2 中规定</w:t>
            </w:r>
          </w:p>
        </w:tc>
      </w:tr>
      <w:tr w14:paraId="78DD6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6346E60">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164</w:t>
            </w:r>
          </w:p>
        </w:tc>
        <w:tc>
          <w:tcPr>
            <w:tcW w:w="491" w:type="pct"/>
            <w:vMerge w:val="continue"/>
            <w:tcBorders>
              <w:top w:val="nil"/>
              <w:left w:val="single" w:color="000000" w:sz="2" w:space="0"/>
              <w:bottom w:val="single" w:color="000000" w:sz="2" w:space="0"/>
              <w:right w:val="single" w:color="auto" w:sz="4" w:space="0"/>
            </w:tcBorders>
            <w:vAlign w:val="center"/>
          </w:tcPr>
          <w:p w14:paraId="5F2C34B0">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5AE9913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▲环境条件要求的碰</w:t>
            </w:r>
          </w:p>
          <w:p w14:paraId="289F00F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撞适应性</w:t>
            </w:r>
          </w:p>
        </w:tc>
        <w:tc>
          <w:tcPr>
            <w:tcW w:w="3335" w:type="pct"/>
            <w:tcBorders>
              <w:top w:val="single" w:color="auto" w:sz="4" w:space="0"/>
              <w:left w:val="single" w:color="auto" w:sz="4" w:space="0"/>
              <w:bottom w:val="single" w:color="auto" w:sz="4" w:space="0"/>
              <w:right w:val="single" w:color="auto" w:sz="4" w:space="0"/>
            </w:tcBorders>
            <w:vAlign w:val="center"/>
          </w:tcPr>
          <w:p w14:paraId="61A1C0D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符合 GB/T 9813.2 中规定</w:t>
            </w:r>
          </w:p>
        </w:tc>
      </w:tr>
      <w:tr w14:paraId="37717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CEA0C81">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165</w:t>
            </w:r>
          </w:p>
        </w:tc>
        <w:tc>
          <w:tcPr>
            <w:tcW w:w="491" w:type="pct"/>
            <w:vMerge w:val="continue"/>
            <w:tcBorders>
              <w:top w:val="nil"/>
              <w:left w:val="single" w:color="000000" w:sz="2" w:space="0"/>
              <w:bottom w:val="single" w:color="000000" w:sz="2" w:space="0"/>
              <w:right w:val="single" w:color="auto" w:sz="4" w:space="0"/>
            </w:tcBorders>
            <w:vAlign w:val="center"/>
          </w:tcPr>
          <w:p w14:paraId="315F5528">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391B3AB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▲环境条件要求的自</w:t>
            </w:r>
          </w:p>
          <w:p w14:paraId="143C17F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由跌落适应性</w:t>
            </w:r>
          </w:p>
        </w:tc>
        <w:tc>
          <w:tcPr>
            <w:tcW w:w="3335" w:type="pct"/>
            <w:tcBorders>
              <w:top w:val="single" w:color="auto" w:sz="4" w:space="0"/>
              <w:left w:val="single" w:color="auto" w:sz="4" w:space="0"/>
              <w:bottom w:val="single" w:color="auto" w:sz="4" w:space="0"/>
              <w:right w:val="single" w:color="auto" w:sz="4" w:space="0"/>
            </w:tcBorders>
            <w:vAlign w:val="center"/>
          </w:tcPr>
          <w:p w14:paraId="0709C2D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p>
          <w:p w14:paraId="56DF07C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符合 GB/T 9813.2 中规定</w:t>
            </w:r>
          </w:p>
        </w:tc>
      </w:tr>
      <w:tr w14:paraId="42A8B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6A386CC5">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166</w:t>
            </w:r>
          </w:p>
        </w:tc>
        <w:tc>
          <w:tcPr>
            <w:tcW w:w="491" w:type="pct"/>
            <w:vMerge w:val="continue"/>
            <w:tcBorders>
              <w:top w:val="nil"/>
              <w:left w:val="single" w:color="000000" w:sz="2" w:space="0"/>
              <w:bottom w:val="single" w:color="000000" w:sz="2" w:space="0"/>
              <w:right w:val="single" w:color="auto" w:sz="4" w:space="0"/>
            </w:tcBorders>
            <w:vAlign w:val="center"/>
          </w:tcPr>
          <w:p w14:paraId="43D9587E">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4777A5A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▲环境条件要求的运</w:t>
            </w:r>
          </w:p>
          <w:p w14:paraId="248AA83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输包装件</w:t>
            </w:r>
          </w:p>
          <w:p w14:paraId="5CCFF51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跌落适应性</w:t>
            </w:r>
          </w:p>
        </w:tc>
        <w:tc>
          <w:tcPr>
            <w:tcW w:w="3335" w:type="pct"/>
            <w:tcBorders>
              <w:top w:val="single" w:color="auto" w:sz="4" w:space="0"/>
              <w:left w:val="single" w:color="auto" w:sz="4" w:space="0"/>
              <w:bottom w:val="single" w:color="auto" w:sz="4" w:space="0"/>
              <w:right w:val="single" w:color="auto" w:sz="4" w:space="0"/>
            </w:tcBorders>
            <w:vAlign w:val="center"/>
          </w:tcPr>
          <w:p w14:paraId="6A669C2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p>
          <w:p w14:paraId="479CC94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符合 GB/T 9813.2 中规定</w:t>
            </w:r>
          </w:p>
        </w:tc>
      </w:tr>
      <w:tr w14:paraId="70171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B90646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167</w:t>
            </w:r>
          </w:p>
        </w:tc>
        <w:tc>
          <w:tcPr>
            <w:tcW w:w="491" w:type="pct"/>
            <w:vMerge w:val="continue"/>
            <w:tcBorders>
              <w:top w:val="nil"/>
              <w:left w:val="single" w:color="000000" w:sz="2" w:space="0"/>
              <w:bottom w:val="single" w:color="000000" w:sz="2" w:space="0"/>
              <w:right w:val="single" w:color="auto" w:sz="4" w:space="0"/>
            </w:tcBorders>
            <w:vAlign w:val="center"/>
          </w:tcPr>
          <w:p w14:paraId="10617235">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3E6A7AEC">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▲MTBF 测试</w:t>
            </w:r>
          </w:p>
        </w:tc>
        <w:tc>
          <w:tcPr>
            <w:tcW w:w="3335" w:type="pct"/>
            <w:tcBorders>
              <w:top w:val="single" w:color="auto" w:sz="4" w:space="0"/>
              <w:left w:val="single" w:color="auto" w:sz="4" w:space="0"/>
              <w:bottom w:val="single" w:color="auto" w:sz="4" w:space="0"/>
              <w:right w:val="single" w:color="auto" w:sz="4" w:space="0"/>
            </w:tcBorders>
            <w:vAlign w:val="center"/>
          </w:tcPr>
          <w:p w14:paraId="3C539D6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MTBF (m1)≥3 万小时</w:t>
            </w:r>
          </w:p>
        </w:tc>
      </w:tr>
      <w:tr w14:paraId="39197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66C6578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168</w:t>
            </w:r>
          </w:p>
        </w:tc>
        <w:tc>
          <w:tcPr>
            <w:tcW w:w="491" w:type="pct"/>
            <w:vMerge w:val="restart"/>
            <w:tcBorders>
              <w:top w:val="nil"/>
              <w:left w:val="single" w:color="000000" w:sz="2" w:space="0"/>
              <w:bottom w:val="single" w:color="000000" w:sz="2" w:space="0"/>
              <w:right w:val="single" w:color="auto" w:sz="4" w:space="0"/>
            </w:tcBorders>
            <w:vAlign w:val="center"/>
          </w:tcPr>
          <w:p w14:paraId="7F8001D2">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▲兼容要求</w:t>
            </w:r>
          </w:p>
        </w:tc>
        <w:tc>
          <w:tcPr>
            <w:tcW w:w="909" w:type="pct"/>
            <w:tcBorders>
              <w:top w:val="single" w:color="auto" w:sz="4" w:space="0"/>
              <w:left w:val="single" w:color="auto" w:sz="4" w:space="0"/>
              <w:bottom w:val="single" w:color="auto" w:sz="4" w:space="0"/>
              <w:right w:val="single" w:color="auto" w:sz="4" w:space="0"/>
            </w:tcBorders>
            <w:vAlign w:val="center"/>
          </w:tcPr>
          <w:p w14:paraId="4F5E982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▲常用软件兼容</w:t>
            </w:r>
          </w:p>
        </w:tc>
        <w:tc>
          <w:tcPr>
            <w:tcW w:w="3335" w:type="pct"/>
            <w:tcBorders>
              <w:top w:val="single" w:color="auto" w:sz="4" w:space="0"/>
              <w:left w:val="single" w:color="auto" w:sz="4" w:space="0"/>
              <w:bottom w:val="single" w:color="auto" w:sz="4" w:space="0"/>
              <w:right w:val="single" w:color="auto" w:sz="4" w:space="0"/>
            </w:tcBorders>
            <w:vAlign w:val="center"/>
          </w:tcPr>
          <w:p w14:paraId="3017CD6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支持流式软件、版式软件、浏览器、邮件客户端、解压软件、多媒体、图形图像处理等常用软件</w:t>
            </w:r>
          </w:p>
        </w:tc>
      </w:tr>
      <w:tr w14:paraId="22C70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1820CF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169</w:t>
            </w:r>
          </w:p>
        </w:tc>
        <w:tc>
          <w:tcPr>
            <w:tcW w:w="491" w:type="pct"/>
            <w:vMerge w:val="continue"/>
            <w:tcBorders>
              <w:top w:val="nil"/>
              <w:left w:val="single" w:color="000000" w:sz="2" w:space="0"/>
              <w:bottom w:val="single" w:color="000000" w:sz="2" w:space="0"/>
              <w:right w:val="single" w:color="auto" w:sz="4" w:space="0"/>
            </w:tcBorders>
            <w:vAlign w:val="center"/>
          </w:tcPr>
          <w:p w14:paraId="17F9AA2D">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503A20C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▲数据库兼容</w:t>
            </w:r>
          </w:p>
        </w:tc>
        <w:tc>
          <w:tcPr>
            <w:tcW w:w="3335" w:type="pct"/>
            <w:tcBorders>
              <w:top w:val="single" w:color="auto" w:sz="4" w:space="0"/>
              <w:left w:val="single" w:color="auto" w:sz="4" w:space="0"/>
              <w:bottom w:val="single" w:color="auto" w:sz="4" w:space="0"/>
              <w:right w:val="single" w:color="auto" w:sz="4" w:space="0"/>
            </w:tcBorders>
            <w:vAlign w:val="center"/>
          </w:tcPr>
          <w:p w14:paraId="5C5DFEC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兼容 3 个及以上厂商的数据库产品</w:t>
            </w:r>
          </w:p>
        </w:tc>
      </w:tr>
      <w:tr w14:paraId="75834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6FECF77D">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170</w:t>
            </w:r>
          </w:p>
        </w:tc>
        <w:tc>
          <w:tcPr>
            <w:tcW w:w="491" w:type="pct"/>
            <w:vMerge w:val="continue"/>
            <w:tcBorders>
              <w:top w:val="nil"/>
              <w:left w:val="single" w:color="000000" w:sz="2" w:space="0"/>
              <w:bottom w:val="single" w:color="000000" w:sz="2" w:space="0"/>
              <w:right w:val="single" w:color="auto" w:sz="4" w:space="0"/>
            </w:tcBorders>
            <w:vAlign w:val="center"/>
          </w:tcPr>
          <w:p w14:paraId="21D09EE0">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74CEA43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▲中间件兼容</w:t>
            </w:r>
          </w:p>
        </w:tc>
        <w:tc>
          <w:tcPr>
            <w:tcW w:w="3335" w:type="pct"/>
            <w:tcBorders>
              <w:top w:val="single" w:color="auto" w:sz="4" w:space="0"/>
              <w:left w:val="single" w:color="auto" w:sz="4" w:space="0"/>
              <w:bottom w:val="single" w:color="auto" w:sz="4" w:space="0"/>
              <w:right w:val="single" w:color="auto" w:sz="4" w:space="0"/>
            </w:tcBorders>
            <w:vAlign w:val="center"/>
          </w:tcPr>
          <w:p w14:paraId="6659598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兼容 3 个及以上厂商中间件产品</w:t>
            </w:r>
          </w:p>
        </w:tc>
      </w:tr>
      <w:tr w14:paraId="268EE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882B6DC">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171</w:t>
            </w:r>
          </w:p>
        </w:tc>
        <w:tc>
          <w:tcPr>
            <w:tcW w:w="491" w:type="pct"/>
            <w:vMerge w:val="continue"/>
            <w:tcBorders>
              <w:top w:val="nil"/>
              <w:left w:val="single" w:color="000000" w:sz="2" w:space="0"/>
              <w:bottom w:val="single" w:color="000000" w:sz="2" w:space="0"/>
              <w:right w:val="single" w:color="auto" w:sz="4" w:space="0"/>
            </w:tcBorders>
            <w:vAlign w:val="center"/>
          </w:tcPr>
          <w:p w14:paraId="767EFB5F">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52FC1F4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▲平台软件兼容</w:t>
            </w:r>
          </w:p>
        </w:tc>
        <w:tc>
          <w:tcPr>
            <w:tcW w:w="3335" w:type="pct"/>
            <w:tcBorders>
              <w:top w:val="single" w:color="auto" w:sz="4" w:space="0"/>
              <w:left w:val="single" w:color="auto" w:sz="4" w:space="0"/>
              <w:bottom w:val="single" w:color="auto" w:sz="4" w:space="0"/>
              <w:right w:val="single" w:color="auto" w:sz="4" w:space="0"/>
            </w:tcBorders>
            <w:vAlign w:val="center"/>
          </w:tcPr>
          <w:p w14:paraId="5A170E3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兼容 3 个及以上厂商云计算及大数据平台</w:t>
            </w:r>
          </w:p>
        </w:tc>
      </w:tr>
      <w:tr w14:paraId="3E097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7748EBC">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172</w:t>
            </w:r>
          </w:p>
        </w:tc>
        <w:tc>
          <w:tcPr>
            <w:tcW w:w="491" w:type="pct"/>
            <w:tcBorders>
              <w:top w:val="single" w:color="000000" w:sz="2" w:space="0"/>
              <w:left w:val="single" w:color="000000" w:sz="2" w:space="0"/>
              <w:bottom w:val="single" w:color="000000" w:sz="2" w:space="0"/>
              <w:right w:val="single" w:color="auto" w:sz="4" w:space="0"/>
            </w:tcBorders>
            <w:vAlign w:val="center"/>
          </w:tcPr>
          <w:p w14:paraId="353430C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▲包装及运输要求</w:t>
            </w:r>
          </w:p>
        </w:tc>
        <w:tc>
          <w:tcPr>
            <w:tcW w:w="909" w:type="pct"/>
            <w:tcBorders>
              <w:top w:val="single" w:color="auto" w:sz="4" w:space="0"/>
              <w:left w:val="single" w:color="auto" w:sz="4" w:space="0"/>
              <w:bottom w:val="single" w:color="auto" w:sz="4" w:space="0"/>
              <w:right w:val="single" w:color="auto" w:sz="4" w:space="0"/>
            </w:tcBorders>
            <w:vAlign w:val="center"/>
          </w:tcPr>
          <w:p w14:paraId="2CBBF87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▲标志、包</w:t>
            </w:r>
          </w:p>
          <w:p w14:paraId="172B39C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装、运输和贮存</w:t>
            </w:r>
          </w:p>
        </w:tc>
        <w:tc>
          <w:tcPr>
            <w:tcW w:w="3335" w:type="pct"/>
            <w:tcBorders>
              <w:top w:val="single" w:color="auto" w:sz="4" w:space="0"/>
              <w:left w:val="single" w:color="auto" w:sz="4" w:space="0"/>
              <w:bottom w:val="single" w:color="auto" w:sz="4" w:space="0"/>
              <w:right w:val="single" w:color="auto" w:sz="4" w:space="0"/>
            </w:tcBorders>
            <w:vAlign w:val="center"/>
          </w:tcPr>
          <w:p w14:paraId="15AD6F2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符合 GB/T 9813.2 和商品包装政府采购需求标准的相关规定</w:t>
            </w:r>
          </w:p>
        </w:tc>
      </w:tr>
      <w:tr w14:paraId="0138E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981F240">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173</w:t>
            </w:r>
          </w:p>
        </w:tc>
        <w:tc>
          <w:tcPr>
            <w:tcW w:w="491" w:type="pct"/>
            <w:vMerge w:val="restart"/>
            <w:tcBorders>
              <w:top w:val="nil"/>
              <w:left w:val="single" w:color="000000" w:sz="2" w:space="0"/>
              <w:bottom w:val="single" w:color="000000" w:sz="2" w:space="0"/>
              <w:right w:val="single" w:color="auto" w:sz="4" w:space="0"/>
            </w:tcBorders>
            <w:vAlign w:val="center"/>
          </w:tcPr>
          <w:p w14:paraId="2652DE3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服务要求</w:t>
            </w:r>
          </w:p>
        </w:tc>
        <w:tc>
          <w:tcPr>
            <w:tcW w:w="909" w:type="pct"/>
            <w:tcBorders>
              <w:top w:val="single" w:color="auto" w:sz="4" w:space="0"/>
              <w:left w:val="single" w:color="auto" w:sz="4" w:space="0"/>
              <w:bottom w:val="single" w:color="auto" w:sz="4" w:space="0"/>
              <w:right w:val="single" w:color="auto" w:sz="4" w:space="0"/>
            </w:tcBorders>
            <w:vAlign w:val="center"/>
          </w:tcPr>
          <w:p w14:paraId="422A9FE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▲配置检查工具</w:t>
            </w:r>
          </w:p>
        </w:tc>
        <w:tc>
          <w:tcPr>
            <w:tcW w:w="3335" w:type="pct"/>
            <w:tcBorders>
              <w:top w:val="single" w:color="auto" w:sz="4" w:space="0"/>
              <w:left w:val="single" w:color="auto" w:sz="4" w:space="0"/>
              <w:bottom w:val="single" w:color="auto" w:sz="4" w:space="0"/>
              <w:right w:val="single" w:color="auto" w:sz="4" w:space="0"/>
            </w:tcBorders>
            <w:vAlign w:val="center"/>
          </w:tcPr>
          <w:p w14:paraId="420AC6E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提供自检测试工具</w:t>
            </w:r>
          </w:p>
        </w:tc>
      </w:tr>
      <w:tr w14:paraId="35113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D45068E">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03352CF0">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76B29F31">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174</w:t>
            </w:r>
          </w:p>
        </w:tc>
        <w:tc>
          <w:tcPr>
            <w:tcW w:w="491" w:type="pct"/>
            <w:vMerge w:val="continue"/>
            <w:tcBorders>
              <w:top w:val="nil"/>
              <w:left w:val="single" w:color="000000" w:sz="2" w:space="0"/>
              <w:bottom w:val="single" w:color="000000" w:sz="2" w:space="0"/>
              <w:right w:val="single" w:color="auto" w:sz="4" w:space="0"/>
            </w:tcBorders>
            <w:vAlign w:val="center"/>
          </w:tcPr>
          <w:p w14:paraId="2F26400D">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34C9680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▲服务响应</w:t>
            </w:r>
          </w:p>
        </w:tc>
        <w:tc>
          <w:tcPr>
            <w:tcW w:w="3335" w:type="pct"/>
            <w:tcBorders>
              <w:top w:val="single" w:color="auto" w:sz="4" w:space="0"/>
              <w:left w:val="single" w:color="auto" w:sz="4" w:space="0"/>
              <w:bottom w:val="single" w:color="auto" w:sz="4" w:space="0"/>
              <w:right w:val="single" w:color="auto" w:sz="4" w:space="0"/>
            </w:tcBorders>
            <w:vAlign w:val="center"/>
          </w:tcPr>
          <w:p w14:paraId="6184152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a）提供产品5年维保及上门服务，满足同城 4 小时、异地 12 小时响应要求；</w:t>
            </w:r>
          </w:p>
          <w:p w14:paraId="5CEC7C1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b）提供政企专线 7*24 在线服务；</w:t>
            </w:r>
          </w:p>
          <w:p w14:paraId="60FE05A5">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c）现场保障技术服务团队员，国内上门服务地级市覆盖率达 100%</w:t>
            </w:r>
          </w:p>
        </w:tc>
      </w:tr>
      <w:tr w14:paraId="4BF0E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881CBDC">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175</w:t>
            </w:r>
          </w:p>
        </w:tc>
        <w:tc>
          <w:tcPr>
            <w:tcW w:w="491" w:type="pct"/>
            <w:vMerge w:val="continue"/>
            <w:tcBorders>
              <w:top w:val="nil"/>
              <w:left w:val="single" w:color="000000" w:sz="2" w:space="0"/>
              <w:bottom w:val="single" w:color="000000" w:sz="2" w:space="0"/>
              <w:right w:val="single" w:color="auto" w:sz="4" w:space="0"/>
            </w:tcBorders>
            <w:vAlign w:val="center"/>
          </w:tcPr>
          <w:p w14:paraId="33F6E5D9">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2A8236E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p>
          <w:p w14:paraId="0C18467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▲服务周期</w:t>
            </w:r>
          </w:p>
        </w:tc>
        <w:tc>
          <w:tcPr>
            <w:tcW w:w="3335" w:type="pct"/>
            <w:tcBorders>
              <w:top w:val="single" w:color="auto" w:sz="4" w:space="0"/>
              <w:left w:val="single" w:color="auto" w:sz="4" w:space="0"/>
              <w:bottom w:val="single" w:color="auto" w:sz="4" w:space="0"/>
              <w:right w:val="single" w:color="auto" w:sz="4" w:space="0"/>
            </w:tcBorders>
            <w:vAlign w:val="center"/>
          </w:tcPr>
          <w:p w14:paraId="78ADC8E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支持产品延保≥3 年</w:t>
            </w:r>
          </w:p>
          <w:p w14:paraId="5E200BF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提供每年延保服务报价</w:t>
            </w:r>
          </w:p>
          <w:p w14:paraId="37AE51F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提供备件服务能力≥6 年（自购买之日起）</w:t>
            </w:r>
          </w:p>
        </w:tc>
      </w:tr>
      <w:tr w14:paraId="2FBFC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C036F63">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7EE1CBF4">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176</w:t>
            </w:r>
          </w:p>
        </w:tc>
        <w:tc>
          <w:tcPr>
            <w:tcW w:w="491" w:type="pct"/>
            <w:vMerge w:val="continue"/>
            <w:tcBorders>
              <w:top w:val="nil"/>
              <w:left w:val="single" w:color="000000" w:sz="2" w:space="0"/>
              <w:bottom w:val="single" w:color="000000" w:sz="2" w:space="0"/>
              <w:right w:val="single" w:color="auto" w:sz="4" w:space="0"/>
            </w:tcBorders>
            <w:vAlign w:val="center"/>
          </w:tcPr>
          <w:p w14:paraId="33200FC6">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0A9B58D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▲预装操作系统</w:t>
            </w:r>
          </w:p>
        </w:tc>
        <w:tc>
          <w:tcPr>
            <w:tcW w:w="3335" w:type="pct"/>
            <w:tcBorders>
              <w:top w:val="single" w:color="auto" w:sz="4" w:space="0"/>
              <w:left w:val="single" w:color="auto" w:sz="4" w:space="0"/>
              <w:bottom w:val="single" w:color="auto" w:sz="4" w:space="0"/>
              <w:right w:val="single" w:color="auto" w:sz="4" w:space="0"/>
            </w:tcBorders>
            <w:vAlign w:val="center"/>
          </w:tcPr>
          <w:p w14:paraId="4A8987B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预装符合桌面操作系统政府采购需求标准的正版操作系统</w:t>
            </w:r>
          </w:p>
        </w:tc>
      </w:tr>
      <w:tr w14:paraId="43523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16C5E887">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177</w:t>
            </w:r>
          </w:p>
        </w:tc>
        <w:tc>
          <w:tcPr>
            <w:tcW w:w="491" w:type="pct"/>
            <w:vMerge w:val="continue"/>
            <w:tcBorders>
              <w:top w:val="nil"/>
              <w:left w:val="single" w:color="000000" w:sz="2" w:space="0"/>
              <w:bottom w:val="single" w:color="000000" w:sz="2" w:space="0"/>
              <w:right w:val="single" w:color="auto" w:sz="4" w:space="0"/>
            </w:tcBorders>
            <w:vAlign w:val="center"/>
          </w:tcPr>
          <w:p w14:paraId="217ACDF4">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55CD267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▲培训服务</w:t>
            </w:r>
          </w:p>
        </w:tc>
        <w:tc>
          <w:tcPr>
            <w:tcW w:w="3335" w:type="pct"/>
            <w:tcBorders>
              <w:top w:val="single" w:color="auto" w:sz="4" w:space="0"/>
              <w:left w:val="single" w:color="auto" w:sz="4" w:space="0"/>
              <w:bottom w:val="single" w:color="auto" w:sz="4" w:space="0"/>
              <w:right w:val="single" w:color="auto" w:sz="4" w:space="0"/>
            </w:tcBorders>
            <w:vAlign w:val="center"/>
          </w:tcPr>
          <w:p w14:paraId="575347C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供应商提供培训材料、产品手册、培训视频等培训相关内容</w:t>
            </w:r>
          </w:p>
        </w:tc>
      </w:tr>
      <w:tr w14:paraId="50883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38F5B90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178</w:t>
            </w:r>
          </w:p>
        </w:tc>
        <w:tc>
          <w:tcPr>
            <w:tcW w:w="491" w:type="pct"/>
            <w:vMerge w:val="continue"/>
            <w:tcBorders>
              <w:top w:val="nil"/>
              <w:left w:val="single" w:color="000000" w:sz="2" w:space="0"/>
              <w:bottom w:val="single" w:color="000000" w:sz="2" w:space="0"/>
              <w:right w:val="single" w:color="auto" w:sz="4" w:space="0"/>
            </w:tcBorders>
            <w:vAlign w:val="center"/>
          </w:tcPr>
          <w:p w14:paraId="6504D10C">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55AFC76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▲典型问题解决手册</w:t>
            </w:r>
          </w:p>
        </w:tc>
        <w:tc>
          <w:tcPr>
            <w:tcW w:w="3335" w:type="pct"/>
            <w:tcBorders>
              <w:top w:val="single" w:color="auto" w:sz="4" w:space="0"/>
              <w:left w:val="single" w:color="auto" w:sz="4" w:space="0"/>
              <w:bottom w:val="single" w:color="auto" w:sz="4" w:space="0"/>
              <w:right w:val="single" w:color="auto" w:sz="4" w:space="0"/>
            </w:tcBorders>
            <w:vAlign w:val="center"/>
          </w:tcPr>
          <w:p w14:paraId="669A89F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供应商提供典型问题解决说明文档或视频</w:t>
            </w:r>
          </w:p>
        </w:tc>
      </w:tr>
      <w:tr w14:paraId="0D951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4CDB0DCE">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179</w:t>
            </w:r>
          </w:p>
        </w:tc>
        <w:tc>
          <w:tcPr>
            <w:tcW w:w="491" w:type="pct"/>
            <w:vMerge w:val="continue"/>
            <w:tcBorders>
              <w:top w:val="nil"/>
              <w:left w:val="single" w:color="000000" w:sz="2" w:space="0"/>
              <w:bottom w:val="single" w:color="000000" w:sz="2" w:space="0"/>
              <w:right w:val="single" w:color="auto" w:sz="4" w:space="0"/>
            </w:tcBorders>
            <w:vAlign w:val="center"/>
          </w:tcPr>
          <w:p w14:paraId="178A42D5">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5524CA9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▲厂家升级软件与扩容服务</w:t>
            </w:r>
          </w:p>
        </w:tc>
        <w:tc>
          <w:tcPr>
            <w:tcW w:w="3335" w:type="pct"/>
            <w:tcBorders>
              <w:top w:val="single" w:color="auto" w:sz="4" w:space="0"/>
              <w:left w:val="single" w:color="auto" w:sz="4" w:space="0"/>
              <w:bottom w:val="single" w:color="auto" w:sz="4" w:space="0"/>
              <w:right w:val="single" w:color="auto" w:sz="4" w:space="0"/>
            </w:tcBorders>
            <w:vAlign w:val="center"/>
          </w:tcPr>
          <w:p w14:paraId="7219B2D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提供应商供上门升级部件/软件的增值服务</w:t>
            </w:r>
          </w:p>
        </w:tc>
      </w:tr>
      <w:tr w14:paraId="51DF9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B1128E4">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180</w:t>
            </w:r>
          </w:p>
        </w:tc>
        <w:tc>
          <w:tcPr>
            <w:tcW w:w="491" w:type="pct"/>
            <w:vMerge w:val="continue"/>
            <w:tcBorders>
              <w:top w:val="nil"/>
              <w:left w:val="single" w:color="000000" w:sz="2" w:space="0"/>
              <w:bottom w:val="single" w:color="000000" w:sz="2" w:space="0"/>
              <w:right w:val="single" w:color="auto" w:sz="4" w:space="0"/>
            </w:tcBorders>
            <w:vAlign w:val="center"/>
          </w:tcPr>
          <w:p w14:paraId="1891375C">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48FF6D2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▲整机质量服务要求</w:t>
            </w:r>
          </w:p>
        </w:tc>
        <w:tc>
          <w:tcPr>
            <w:tcW w:w="3335" w:type="pct"/>
            <w:tcBorders>
              <w:top w:val="single" w:color="auto" w:sz="4" w:space="0"/>
              <w:left w:val="single" w:color="auto" w:sz="4" w:space="0"/>
              <w:bottom w:val="single" w:color="auto" w:sz="4" w:space="0"/>
              <w:right w:val="single" w:color="auto" w:sz="4" w:space="0"/>
            </w:tcBorders>
            <w:vAlign w:val="center"/>
          </w:tcPr>
          <w:p w14:paraId="1F876F6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 xml:space="preserve">免费服务周期（含换件和维修）应不小于 </w:t>
            </w:r>
            <w:r>
              <w:rPr>
                <w:rFonts w:hint="eastAsia" w:ascii="宋体" w:hAnsi="宋体"/>
                <w:color w:val="auto"/>
                <w:spacing w:val="-2"/>
                <w:kern w:val="0"/>
                <w:sz w:val="22"/>
                <w:szCs w:val="22"/>
                <w:lang w:val="en-US" w:eastAsia="zh-CN"/>
              </w:rPr>
              <w:t>5</w:t>
            </w:r>
            <w:r>
              <w:rPr>
                <w:rFonts w:hint="eastAsia" w:ascii="宋体" w:hAnsi="宋体" w:eastAsia="Times New Roman"/>
                <w:color w:val="auto"/>
                <w:spacing w:val="-2"/>
                <w:kern w:val="0"/>
                <w:sz w:val="22"/>
                <w:szCs w:val="22"/>
              </w:rPr>
              <w:t xml:space="preserve"> 年</w:t>
            </w:r>
          </w:p>
        </w:tc>
      </w:tr>
      <w:tr w14:paraId="633D0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1B55AD94">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181</w:t>
            </w:r>
          </w:p>
        </w:tc>
        <w:tc>
          <w:tcPr>
            <w:tcW w:w="491" w:type="pct"/>
            <w:vMerge w:val="continue"/>
            <w:tcBorders>
              <w:top w:val="nil"/>
              <w:left w:val="single" w:color="000000" w:sz="2" w:space="0"/>
              <w:bottom w:val="single" w:color="000000" w:sz="2" w:space="0"/>
              <w:right w:val="single" w:color="auto" w:sz="4" w:space="0"/>
            </w:tcBorders>
            <w:vAlign w:val="center"/>
          </w:tcPr>
          <w:p w14:paraId="7BC340A1">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553BF971">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▲合格证书要求</w:t>
            </w:r>
          </w:p>
        </w:tc>
        <w:tc>
          <w:tcPr>
            <w:tcW w:w="3335" w:type="pct"/>
            <w:tcBorders>
              <w:top w:val="single" w:color="auto" w:sz="4" w:space="0"/>
              <w:left w:val="single" w:color="auto" w:sz="4" w:space="0"/>
              <w:bottom w:val="single" w:color="auto" w:sz="4" w:space="0"/>
              <w:right w:val="single" w:color="auto" w:sz="4" w:space="0"/>
            </w:tcBorders>
            <w:vAlign w:val="center"/>
          </w:tcPr>
          <w:p w14:paraId="626516E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供应商提供产品合格证</w:t>
            </w:r>
          </w:p>
        </w:tc>
      </w:tr>
      <w:tr w14:paraId="5EFCA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BFE8A9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182</w:t>
            </w:r>
          </w:p>
        </w:tc>
        <w:tc>
          <w:tcPr>
            <w:tcW w:w="491" w:type="pct"/>
            <w:vMerge w:val="continue"/>
            <w:tcBorders>
              <w:top w:val="nil"/>
              <w:left w:val="single" w:color="000000" w:sz="2" w:space="0"/>
              <w:bottom w:val="single" w:color="000000" w:sz="2" w:space="0"/>
              <w:right w:val="single" w:color="auto" w:sz="4" w:space="0"/>
            </w:tcBorders>
            <w:vAlign w:val="center"/>
          </w:tcPr>
          <w:p w14:paraId="72EBFD80">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7889F3C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▲开箱组装</w:t>
            </w:r>
          </w:p>
          <w:p w14:paraId="4354A68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/使用指导要求</w:t>
            </w:r>
          </w:p>
        </w:tc>
        <w:tc>
          <w:tcPr>
            <w:tcW w:w="3335" w:type="pct"/>
            <w:tcBorders>
              <w:top w:val="single" w:color="auto" w:sz="4" w:space="0"/>
              <w:left w:val="single" w:color="auto" w:sz="4" w:space="0"/>
              <w:bottom w:val="single" w:color="auto" w:sz="4" w:space="0"/>
              <w:right w:val="single" w:color="auto" w:sz="4" w:space="0"/>
            </w:tcBorders>
            <w:vAlign w:val="center"/>
          </w:tcPr>
          <w:p w14:paraId="713F36F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供应商提供开箱组装/使用指导</w:t>
            </w:r>
          </w:p>
        </w:tc>
      </w:tr>
      <w:tr w14:paraId="0E183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745119F7">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183</w:t>
            </w:r>
          </w:p>
        </w:tc>
        <w:tc>
          <w:tcPr>
            <w:tcW w:w="491" w:type="pct"/>
            <w:vMerge w:val="continue"/>
            <w:tcBorders>
              <w:top w:val="nil"/>
              <w:left w:val="single" w:color="000000" w:sz="2" w:space="0"/>
              <w:bottom w:val="single" w:color="000000" w:sz="2" w:space="0"/>
              <w:right w:val="single" w:color="auto" w:sz="4" w:space="0"/>
            </w:tcBorders>
            <w:vAlign w:val="center"/>
          </w:tcPr>
          <w:p w14:paraId="1439C027">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5AE7B47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▲驱动下载服务要求</w:t>
            </w:r>
          </w:p>
        </w:tc>
        <w:tc>
          <w:tcPr>
            <w:tcW w:w="3335" w:type="pct"/>
            <w:tcBorders>
              <w:top w:val="single" w:color="auto" w:sz="4" w:space="0"/>
              <w:left w:val="single" w:color="auto" w:sz="4" w:space="0"/>
              <w:bottom w:val="single" w:color="auto" w:sz="4" w:space="0"/>
              <w:right w:val="single" w:color="auto" w:sz="4" w:space="0"/>
            </w:tcBorders>
            <w:vAlign w:val="center"/>
          </w:tcPr>
          <w:p w14:paraId="467ED99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供应商提供驱动光盘或下载方式</w:t>
            </w:r>
          </w:p>
        </w:tc>
      </w:tr>
      <w:tr w14:paraId="16D8E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9AAC30A">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184</w:t>
            </w:r>
          </w:p>
        </w:tc>
        <w:tc>
          <w:tcPr>
            <w:tcW w:w="491" w:type="pct"/>
            <w:vMerge w:val="continue"/>
            <w:tcBorders>
              <w:top w:val="nil"/>
              <w:left w:val="single" w:color="000000" w:sz="2" w:space="0"/>
              <w:bottom w:val="single" w:color="000000" w:sz="2" w:space="0"/>
              <w:right w:val="single" w:color="auto" w:sz="4" w:space="0"/>
            </w:tcBorders>
            <w:vAlign w:val="center"/>
          </w:tcPr>
          <w:p w14:paraId="4144B411">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7AC28A4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▲兼容适配软件下载</w:t>
            </w:r>
          </w:p>
          <w:p w14:paraId="5180CEE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服务要求</w:t>
            </w:r>
          </w:p>
        </w:tc>
        <w:tc>
          <w:tcPr>
            <w:tcW w:w="3335" w:type="pct"/>
            <w:tcBorders>
              <w:top w:val="single" w:color="auto" w:sz="4" w:space="0"/>
              <w:left w:val="single" w:color="auto" w:sz="4" w:space="0"/>
              <w:bottom w:val="single" w:color="auto" w:sz="4" w:space="0"/>
              <w:right w:val="single" w:color="auto" w:sz="4" w:space="0"/>
            </w:tcBorders>
            <w:vAlign w:val="center"/>
          </w:tcPr>
          <w:p w14:paraId="2C37697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供应商提供兼容适配软件下载渠道（光盘、网站）</w:t>
            </w:r>
          </w:p>
        </w:tc>
      </w:tr>
      <w:tr w14:paraId="5AF13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F706FCE">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185</w:t>
            </w:r>
          </w:p>
        </w:tc>
        <w:tc>
          <w:tcPr>
            <w:tcW w:w="491" w:type="pct"/>
            <w:vMerge w:val="continue"/>
            <w:tcBorders>
              <w:top w:val="nil"/>
              <w:left w:val="single" w:color="000000" w:sz="2" w:space="0"/>
              <w:bottom w:val="single" w:color="000000" w:sz="2" w:space="0"/>
              <w:right w:val="single" w:color="auto" w:sz="4" w:space="0"/>
            </w:tcBorders>
            <w:vAlign w:val="center"/>
          </w:tcPr>
          <w:p w14:paraId="1D7192A8">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0171B9D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跨架构平</w:t>
            </w:r>
          </w:p>
          <w:p w14:paraId="26246C5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台应用兼容</w:t>
            </w:r>
          </w:p>
        </w:tc>
        <w:tc>
          <w:tcPr>
            <w:tcW w:w="3335" w:type="pct"/>
            <w:tcBorders>
              <w:top w:val="single" w:color="auto" w:sz="4" w:space="0"/>
              <w:left w:val="single" w:color="auto" w:sz="4" w:space="0"/>
              <w:bottom w:val="single" w:color="auto" w:sz="4" w:space="0"/>
              <w:right w:val="single" w:color="auto" w:sz="4" w:space="0"/>
            </w:tcBorders>
            <w:vAlign w:val="center"/>
          </w:tcPr>
          <w:p w14:paraId="3D0DA90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供应商提供跨架构平台应用兼容工具，兼容一种或者一种以上不同架构平台的应用运行</w:t>
            </w:r>
          </w:p>
        </w:tc>
      </w:tr>
      <w:tr w14:paraId="0A1A2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91C7E3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186</w:t>
            </w:r>
          </w:p>
        </w:tc>
        <w:tc>
          <w:tcPr>
            <w:tcW w:w="491" w:type="pct"/>
            <w:tcBorders>
              <w:top w:val="single" w:color="000000" w:sz="2" w:space="0"/>
              <w:left w:val="single" w:color="000000" w:sz="2" w:space="0"/>
              <w:bottom w:val="single" w:color="000000" w:sz="2" w:space="0"/>
              <w:right w:val="single" w:color="auto" w:sz="4" w:space="0"/>
            </w:tcBorders>
            <w:vAlign w:val="center"/>
          </w:tcPr>
          <w:p w14:paraId="6C392092">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▲供应链合规性</w:t>
            </w:r>
          </w:p>
          <w:p w14:paraId="47DD2614">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20984CA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▲产品部件保障</w:t>
            </w:r>
          </w:p>
        </w:tc>
        <w:tc>
          <w:tcPr>
            <w:tcW w:w="3335" w:type="pct"/>
            <w:tcBorders>
              <w:top w:val="single" w:color="auto" w:sz="4" w:space="0"/>
              <w:left w:val="single" w:color="auto" w:sz="4" w:space="0"/>
              <w:bottom w:val="single" w:color="auto" w:sz="4" w:space="0"/>
              <w:right w:val="single" w:color="auto" w:sz="4" w:space="0"/>
            </w:tcBorders>
            <w:vAlign w:val="center"/>
          </w:tcPr>
          <w:p w14:paraId="32E59B68">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保障产品主要部件，应提供 6 年的备件服务能力(自购买之日起)，或提供可兼容原设备的升级换代产品</w:t>
            </w:r>
          </w:p>
        </w:tc>
      </w:tr>
      <w:tr w14:paraId="12223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89E872E">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187</w:t>
            </w:r>
          </w:p>
        </w:tc>
        <w:tc>
          <w:tcPr>
            <w:tcW w:w="491" w:type="pct"/>
            <w:vMerge w:val="restart"/>
            <w:tcBorders>
              <w:top w:val="nil"/>
              <w:left w:val="single" w:color="000000" w:sz="2" w:space="0"/>
              <w:bottom w:val="single" w:color="000000" w:sz="2" w:space="0"/>
              <w:right w:val="single" w:color="auto" w:sz="4" w:space="0"/>
            </w:tcBorders>
            <w:vAlign w:val="center"/>
          </w:tcPr>
          <w:p w14:paraId="71B3DB65">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▲供应链质量</w:t>
            </w:r>
          </w:p>
        </w:tc>
        <w:tc>
          <w:tcPr>
            <w:tcW w:w="909" w:type="pct"/>
            <w:tcBorders>
              <w:top w:val="single" w:color="auto" w:sz="4" w:space="0"/>
              <w:left w:val="single" w:color="auto" w:sz="4" w:space="0"/>
              <w:bottom w:val="single" w:color="auto" w:sz="4" w:space="0"/>
              <w:right w:val="single" w:color="auto" w:sz="4" w:space="0"/>
            </w:tcBorders>
            <w:vAlign w:val="center"/>
          </w:tcPr>
          <w:p w14:paraId="2626F892">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▲抗干扰性</w:t>
            </w:r>
          </w:p>
        </w:tc>
        <w:tc>
          <w:tcPr>
            <w:tcW w:w="3335" w:type="pct"/>
            <w:tcBorders>
              <w:top w:val="single" w:color="auto" w:sz="4" w:space="0"/>
              <w:left w:val="single" w:color="auto" w:sz="4" w:space="0"/>
              <w:bottom w:val="single" w:color="auto" w:sz="4" w:space="0"/>
              <w:right w:val="single" w:color="auto" w:sz="4" w:space="0"/>
            </w:tcBorders>
            <w:vAlign w:val="center"/>
          </w:tcPr>
          <w:p w14:paraId="682CFE9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当产品部件出现供应风险时，供应商应通知采购人并提供风险应对方案确保产品的服务保障</w:t>
            </w:r>
          </w:p>
        </w:tc>
      </w:tr>
      <w:tr w14:paraId="44230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4EECD90">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188</w:t>
            </w:r>
          </w:p>
        </w:tc>
        <w:tc>
          <w:tcPr>
            <w:tcW w:w="491" w:type="pct"/>
            <w:vMerge w:val="continue"/>
            <w:tcBorders>
              <w:top w:val="nil"/>
              <w:left w:val="single" w:color="000000" w:sz="2" w:space="0"/>
              <w:bottom w:val="single" w:color="000000" w:sz="2" w:space="0"/>
              <w:right w:val="single" w:color="auto" w:sz="4" w:space="0"/>
            </w:tcBorders>
            <w:vAlign w:val="center"/>
          </w:tcPr>
          <w:p w14:paraId="7A2E95EE">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1743FBF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▲供应能力证明</w:t>
            </w:r>
          </w:p>
        </w:tc>
        <w:tc>
          <w:tcPr>
            <w:tcW w:w="3335" w:type="pct"/>
            <w:tcBorders>
              <w:top w:val="single" w:color="auto" w:sz="4" w:space="0"/>
              <w:left w:val="single" w:color="auto" w:sz="4" w:space="0"/>
              <w:bottom w:val="single" w:color="auto" w:sz="4" w:space="0"/>
              <w:right w:val="single" w:color="auto" w:sz="4" w:space="0"/>
            </w:tcBorders>
            <w:vAlign w:val="center"/>
          </w:tcPr>
          <w:p w14:paraId="3ECE103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提供供应链稳定承诺书，确保产品的部件在产品服务周期内稳定供货</w:t>
            </w:r>
          </w:p>
        </w:tc>
      </w:tr>
      <w:tr w14:paraId="0D417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1828764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189</w:t>
            </w:r>
          </w:p>
        </w:tc>
        <w:tc>
          <w:tcPr>
            <w:tcW w:w="491" w:type="pct"/>
            <w:tcBorders>
              <w:top w:val="single" w:color="000000" w:sz="2" w:space="0"/>
              <w:left w:val="single" w:color="000000" w:sz="2" w:space="0"/>
              <w:bottom w:val="single" w:color="000000" w:sz="2" w:space="0"/>
              <w:right w:val="single" w:color="auto" w:sz="4" w:space="0"/>
            </w:tcBorders>
            <w:vAlign w:val="center"/>
          </w:tcPr>
          <w:p w14:paraId="669AE670">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▲关键部件安全要求</w:t>
            </w:r>
          </w:p>
        </w:tc>
        <w:tc>
          <w:tcPr>
            <w:tcW w:w="909" w:type="pct"/>
            <w:tcBorders>
              <w:top w:val="single" w:color="auto" w:sz="4" w:space="0"/>
              <w:left w:val="single" w:color="auto" w:sz="4" w:space="0"/>
              <w:bottom w:val="single" w:color="auto" w:sz="4" w:space="0"/>
              <w:right w:val="single" w:color="auto" w:sz="4" w:space="0"/>
            </w:tcBorders>
            <w:vAlign w:val="center"/>
          </w:tcPr>
          <w:p w14:paraId="2F994DD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▲关键部件安全要求</w:t>
            </w:r>
            <w:r>
              <w:rPr>
                <w:color w:val="auto"/>
              </w:rPr>
              <w:fldChar w:fldCharType="begin"/>
            </w:r>
            <w:r>
              <w:rPr>
                <w:color w:val="auto"/>
              </w:rPr>
              <w:instrText xml:space="preserve"> HYPERLINK "file:///C:\\Users\\yx\\Desktop\\教学用笔记本电脑，数量：50.docx" \l "bookmark3" </w:instrText>
            </w:r>
            <w:r>
              <w:rPr>
                <w:color w:val="auto"/>
              </w:rPr>
              <w:fldChar w:fldCharType="separate"/>
            </w:r>
            <w:r>
              <w:rPr>
                <w:rFonts w:hint="eastAsia" w:ascii="宋体" w:hAnsi="宋体" w:eastAsia="Times New Roman"/>
                <w:color w:val="auto"/>
                <w:kern w:val="0"/>
                <w:sz w:val="22"/>
                <w:szCs w:val="22"/>
                <w:u w:val="single"/>
              </w:rPr>
              <w:t>3</w:t>
            </w:r>
            <w:r>
              <w:rPr>
                <w:rFonts w:hint="eastAsia" w:ascii="宋体" w:hAnsi="宋体" w:eastAsia="Times New Roman"/>
                <w:color w:val="auto"/>
                <w:kern w:val="0"/>
                <w:sz w:val="22"/>
                <w:szCs w:val="22"/>
                <w:u w:val="single"/>
              </w:rPr>
              <w:fldChar w:fldCharType="end"/>
            </w:r>
          </w:p>
        </w:tc>
        <w:tc>
          <w:tcPr>
            <w:tcW w:w="3335" w:type="pct"/>
            <w:tcBorders>
              <w:top w:val="single" w:color="auto" w:sz="4" w:space="0"/>
              <w:left w:val="single" w:color="auto" w:sz="4" w:space="0"/>
              <w:bottom w:val="single" w:color="auto" w:sz="4" w:space="0"/>
              <w:right w:val="single" w:color="auto" w:sz="4" w:space="0"/>
            </w:tcBorders>
            <w:vAlign w:val="center"/>
          </w:tcPr>
          <w:p w14:paraId="38C3278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CPU 和操作系统等关键部件应当符合安全可靠测评要求</w:t>
            </w:r>
          </w:p>
        </w:tc>
      </w:tr>
      <w:tr w14:paraId="40C87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11FCC291">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190</w:t>
            </w:r>
          </w:p>
        </w:tc>
        <w:tc>
          <w:tcPr>
            <w:tcW w:w="491" w:type="pct"/>
            <w:vMerge w:val="restart"/>
            <w:tcBorders>
              <w:top w:val="nil"/>
              <w:left w:val="single" w:color="000000" w:sz="2" w:space="0"/>
              <w:bottom w:val="single" w:color="000000" w:sz="2" w:space="0"/>
              <w:right w:val="single" w:color="auto" w:sz="4" w:space="0"/>
            </w:tcBorders>
            <w:vAlign w:val="center"/>
          </w:tcPr>
          <w:p w14:paraId="538DD6A8">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▲整机安全性要求</w:t>
            </w:r>
          </w:p>
        </w:tc>
        <w:tc>
          <w:tcPr>
            <w:tcW w:w="909" w:type="pct"/>
            <w:tcBorders>
              <w:top w:val="single" w:color="auto" w:sz="4" w:space="0"/>
              <w:left w:val="single" w:color="auto" w:sz="4" w:space="0"/>
              <w:bottom w:val="single" w:color="auto" w:sz="4" w:space="0"/>
              <w:right w:val="single" w:color="auto" w:sz="4" w:space="0"/>
            </w:tcBorders>
            <w:vAlign w:val="center"/>
          </w:tcPr>
          <w:p w14:paraId="639C3B1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USB 端口管控</w:t>
            </w:r>
          </w:p>
        </w:tc>
        <w:tc>
          <w:tcPr>
            <w:tcW w:w="3335" w:type="pct"/>
            <w:tcBorders>
              <w:top w:val="single" w:color="auto" w:sz="4" w:space="0"/>
              <w:left w:val="single" w:color="auto" w:sz="4" w:space="0"/>
              <w:bottom w:val="single" w:color="auto" w:sz="4" w:space="0"/>
              <w:right w:val="single" w:color="auto" w:sz="4" w:space="0"/>
            </w:tcBorders>
            <w:vAlign w:val="center"/>
          </w:tcPr>
          <w:p w14:paraId="012523F6">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 USB 端口管控</w:t>
            </w:r>
          </w:p>
        </w:tc>
      </w:tr>
      <w:tr w14:paraId="0B973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21870FC1">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191</w:t>
            </w:r>
          </w:p>
        </w:tc>
        <w:tc>
          <w:tcPr>
            <w:tcW w:w="491" w:type="pct"/>
            <w:vMerge w:val="continue"/>
            <w:tcBorders>
              <w:top w:val="nil"/>
              <w:left w:val="single" w:color="000000" w:sz="2" w:space="0"/>
              <w:bottom w:val="single" w:color="000000" w:sz="2" w:space="0"/>
              <w:right w:val="single" w:color="auto" w:sz="4" w:space="0"/>
            </w:tcBorders>
            <w:vAlign w:val="center"/>
          </w:tcPr>
          <w:p w14:paraId="3AB47F51">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009089CA">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▲密码算法实现</w:t>
            </w:r>
          </w:p>
        </w:tc>
        <w:tc>
          <w:tcPr>
            <w:tcW w:w="3335" w:type="pct"/>
            <w:tcBorders>
              <w:top w:val="single" w:color="auto" w:sz="4" w:space="0"/>
              <w:left w:val="single" w:color="auto" w:sz="4" w:space="0"/>
              <w:bottom w:val="single" w:color="auto" w:sz="4" w:space="0"/>
              <w:right w:val="single" w:color="auto" w:sz="4" w:space="0"/>
            </w:tcBorders>
            <w:vAlign w:val="center"/>
          </w:tcPr>
          <w:p w14:paraId="72C58B7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CPU 芯片应符合 GM/T 0008 的相关规定，或芯片密码模块应符合GB/T</w:t>
            </w:r>
          </w:p>
          <w:p w14:paraId="69813179">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37092 或 GM/T 0028 的相关规定</w:t>
            </w:r>
          </w:p>
        </w:tc>
      </w:tr>
      <w:tr w14:paraId="4E40A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07B43FDD">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192</w:t>
            </w:r>
          </w:p>
        </w:tc>
        <w:tc>
          <w:tcPr>
            <w:tcW w:w="491" w:type="pct"/>
            <w:vMerge w:val="continue"/>
            <w:tcBorders>
              <w:top w:val="nil"/>
              <w:left w:val="single" w:color="000000" w:sz="2" w:space="0"/>
              <w:bottom w:val="single" w:color="000000" w:sz="2" w:space="0"/>
              <w:right w:val="single" w:color="auto" w:sz="4" w:space="0"/>
            </w:tcBorders>
            <w:vAlign w:val="center"/>
          </w:tcPr>
          <w:p w14:paraId="37B696C2">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3468D084">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安全物理锁</w:t>
            </w:r>
          </w:p>
        </w:tc>
        <w:tc>
          <w:tcPr>
            <w:tcW w:w="3335" w:type="pct"/>
            <w:tcBorders>
              <w:top w:val="single" w:color="auto" w:sz="4" w:space="0"/>
              <w:left w:val="single" w:color="auto" w:sz="4" w:space="0"/>
              <w:bottom w:val="single" w:color="auto" w:sz="4" w:space="0"/>
              <w:right w:val="single" w:color="auto" w:sz="4" w:space="0"/>
            </w:tcBorders>
            <w:vAlign w:val="center"/>
          </w:tcPr>
          <w:p w14:paraId="72647D3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w:t>
            </w:r>
          </w:p>
        </w:tc>
      </w:tr>
      <w:tr w14:paraId="03F5D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61869F52">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04E10559">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p>
          <w:p w14:paraId="585F0BDF">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193</w:t>
            </w:r>
          </w:p>
        </w:tc>
        <w:tc>
          <w:tcPr>
            <w:tcW w:w="491" w:type="pct"/>
            <w:vMerge w:val="continue"/>
            <w:tcBorders>
              <w:top w:val="nil"/>
              <w:left w:val="single" w:color="000000" w:sz="2" w:space="0"/>
              <w:bottom w:val="single" w:color="000000" w:sz="2" w:space="0"/>
              <w:right w:val="single" w:color="auto" w:sz="4" w:space="0"/>
            </w:tcBorders>
            <w:vAlign w:val="center"/>
          </w:tcPr>
          <w:p w14:paraId="0856FCD2">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34BC047D">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▲信息安全基本要求</w:t>
            </w:r>
          </w:p>
        </w:tc>
        <w:tc>
          <w:tcPr>
            <w:tcW w:w="3335" w:type="pct"/>
            <w:tcBorders>
              <w:top w:val="single" w:color="auto" w:sz="4" w:space="0"/>
              <w:left w:val="single" w:color="auto" w:sz="4" w:space="0"/>
              <w:bottom w:val="single" w:color="auto" w:sz="4" w:space="0"/>
              <w:right w:val="single" w:color="auto" w:sz="4" w:space="0"/>
            </w:tcBorders>
            <w:vAlign w:val="center"/>
          </w:tcPr>
          <w:p w14:paraId="1F4AEDE3">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a) 应符合 GB/T 39276 的 5.2 的规定；</w:t>
            </w:r>
          </w:p>
          <w:p w14:paraId="3A3CE7D7">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b) 生产厂商应建立漏洞跟踪表，保证产品版本涉及到的漏洞(如驱动程序等)可查看；</w:t>
            </w:r>
          </w:p>
          <w:p w14:paraId="48922CA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c) 不得包含已知的恶意代码或漏洞，不存在未声明的指令、功能、接口</w:t>
            </w:r>
          </w:p>
        </w:tc>
      </w:tr>
      <w:tr w14:paraId="73690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5F5F0F0B">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194</w:t>
            </w:r>
          </w:p>
        </w:tc>
        <w:tc>
          <w:tcPr>
            <w:tcW w:w="491" w:type="pct"/>
            <w:vMerge w:val="continue"/>
            <w:tcBorders>
              <w:top w:val="nil"/>
              <w:left w:val="single" w:color="000000" w:sz="2" w:space="0"/>
              <w:bottom w:val="single" w:color="000000" w:sz="2" w:space="0"/>
              <w:right w:val="single" w:color="auto" w:sz="4" w:space="0"/>
            </w:tcBorders>
            <w:vAlign w:val="center"/>
          </w:tcPr>
          <w:p w14:paraId="5DC4EED3">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73F3E4BB">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▲固件安全启动</w:t>
            </w:r>
          </w:p>
        </w:tc>
        <w:tc>
          <w:tcPr>
            <w:tcW w:w="3335" w:type="pct"/>
            <w:tcBorders>
              <w:top w:val="single" w:color="auto" w:sz="4" w:space="0"/>
              <w:left w:val="single" w:color="auto" w:sz="4" w:space="0"/>
              <w:bottom w:val="single" w:color="auto" w:sz="4" w:space="0"/>
              <w:right w:val="single" w:color="auto" w:sz="4" w:space="0"/>
            </w:tcBorders>
            <w:vAlign w:val="center"/>
          </w:tcPr>
          <w:p w14:paraId="4B1FA27F">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支持固件安全启动功能，固件启动过程中只有通过启动校验才能正常启动</w:t>
            </w:r>
          </w:p>
        </w:tc>
      </w:tr>
      <w:tr w14:paraId="0DC29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264" w:type="pct"/>
            <w:tcBorders>
              <w:top w:val="single" w:color="000000" w:sz="2" w:space="0"/>
              <w:left w:val="single" w:color="000000" w:sz="2" w:space="0"/>
              <w:bottom w:val="single" w:color="000000" w:sz="2" w:space="0"/>
              <w:right w:val="single" w:color="000000" w:sz="2" w:space="0"/>
            </w:tcBorders>
            <w:vAlign w:val="center"/>
          </w:tcPr>
          <w:p w14:paraId="6748DE2C">
            <w:pPr>
              <w:widowControl/>
              <w:kinsoku w:val="0"/>
              <w:autoSpaceDE w:val="0"/>
              <w:autoSpaceDN w:val="0"/>
              <w:snapToGrid w:val="0"/>
              <w:spacing w:before="53"/>
              <w:ind w:right="151"/>
              <w:jc w:val="center"/>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195</w:t>
            </w:r>
          </w:p>
        </w:tc>
        <w:tc>
          <w:tcPr>
            <w:tcW w:w="491" w:type="pct"/>
            <w:vMerge w:val="continue"/>
            <w:tcBorders>
              <w:top w:val="nil"/>
              <w:left w:val="single" w:color="000000" w:sz="2" w:space="0"/>
              <w:bottom w:val="single" w:color="000000" w:sz="2" w:space="0"/>
              <w:right w:val="single" w:color="auto" w:sz="4" w:space="0"/>
            </w:tcBorders>
            <w:vAlign w:val="center"/>
          </w:tcPr>
          <w:p w14:paraId="73ED4F23">
            <w:pPr>
              <w:widowControl/>
              <w:adjustRightInd/>
              <w:jc w:val="left"/>
              <w:rPr>
                <w:rFonts w:ascii="宋体" w:hAnsi="宋体" w:eastAsia="Times New Roman"/>
                <w:color w:val="auto"/>
                <w:spacing w:val="-2"/>
                <w:kern w:val="0"/>
                <w:sz w:val="22"/>
                <w:szCs w:val="22"/>
              </w:rPr>
            </w:pPr>
          </w:p>
        </w:tc>
        <w:tc>
          <w:tcPr>
            <w:tcW w:w="909" w:type="pct"/>
            <w:tcBorders>
              <w:top w:val="single" w:color="auto" w:sz="4" w:space="0"/>
              <w:left w:val="single" w:color="auto" w:sz="4" w:space="0"/>
              <w:bottom w:val="single" w:color="auto" w:sz="4" w:space="0"/>
              <w:right w:val="single" w:color="auto" w:sz="4" w:space="0"/>
            </w:tcBorders>
            <w:vAlign w:val="center"/>
          </w:tcPr>
          <w:p w14:paraId="6D5133AE">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▲限用物质的限量要求</w:t>
            </w:r>
          </w:p>
        </w:tc>
        <w:tc>
          <w:tcPr>
            <w:tcW w:w="3335" w:type="pct"/>
            <w:tcBorders>
              <w:top w:val="single" w:color="auto" w:sz="4" w:space="0"/>
              <w:left w:val="single" w:color="auto" w:sz="4" w:space="0"/>
              <w:bottom w:val="single" w:color="auto" w:sz="4" w:space="0"/>
              <w:right w:val="single" w:color="auto" w:sz="4" w:space="0"/>
            </w:tcBorders>
            <w:vAlign w:val="center"/>
          </w:tcPr>
          <w:p w14:paraId="48049500">
            <w:pPr>
              <w:widowControl/>
              <w:kinsoku w:val="0"/>
              <w:autoSpaceDE w:val="0"/>
              <w:autoSpaceDN w:val="0"/>
              <w:snapToGrid w:val="0"/>
              <w:spacing w:before="53"/>
              <w:ind w:right="151"/>
              <w:jc w:val="left"/>
              <w:textAlignment w:val="baseline"/>
              <w:rPr>
                <w:rFonts w:ascii="宋体" w:hAnsi="宋体" w:eastAsia="Times New Roman"/>
                <w:color w:val="auto"/>
                <w:spacing w:val="-2"/>
                <w:kern w:val="0"/>
                <w:sz w:val="22"/>
                <w:szCs w:val="22"/>
              </w:rPr>
            </w:pPr>
            <w:r>
              <w:rPr>
                <w:rFonts w:hint="eastAsia" w:ascii="宋体" w:hAnsi="宋体" w:eastAsia="Times New Roman"/>
                <w:color w:val="auto"/>
                <w:spacing w:val="-2"/>
                <w:kern w:val="0"/>
                <w:sz w:val="22"/>
                <w:szCs w:val="22"/>
              </w:rPr>
              <w:t>符合 GB/T 26572 中规定</w:t>
            </w:r>
          </w:p>
        </w:tc>
      </w:tr>
    </w:tbl>
    <w:p w14:paraId="30DFAFC4">
      <w:pPr>
        <w:pStyle w:val="62"/>
        <w:ind w:left="0" w:leftChars="0" w:firstLine="0" w:firstLineChars="0"/>
        <w:rPr>
          <w:rFonts w:ascii="宋体" w:hAnsi="宋体" w:eastAsia="宋体"/>
          <w:color w:val="auto"/>
          <w:sz w:val="22"/>
          <w:szCs w:val="22"/>
        </w:rPr>
      </w:pPr>
    </w:p>
    <w:p w14:paraId="13704BF9">
      <w:pPr>
        <w:pStyle w:val="80"/>
        <w:numPr>
          <w:ilvl w:val="0"/>
          <w:numId w:val="2"/>
        </w:numPr>
        <w:ind w:firstLineChars="0"/>
        <w:rPr>
          <w:rFonts w:ascii="宋体" w:hAnsi="宋体" w:eastAsia="宋体"/>
          <w:b/>
          <w:bCs/>
          <w:color w:val="auto"/>
          <w:sz w:val="22"/>
          <w:szCs w:val="22"/>
        </w:rPr>
      </w:pPr>
      <w:r>
        <w:rPr>
          <w:rFonts w:hint="eastAsia" w:ascii="宋体" w:hAnsi="宋体" w:eastAsia="宋体"/>
          <w:b/>
          <w:bCs/>
          <w:color w:val="auto"/>
          <w:sz w:val="22"/>
          <w:szCs w:val="22"/>
        </w:rPr>
        <w:t>移动图形工作站：1台</w:t>
      </w:r>
    </w:p>
    <w:tbl>
      <w:tblPr>
        <w:tblStyle w:val="973"/>
        <w:tblW w:w="5558" w:type="pct"/>
        <w:tblInd w:w="-4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275"/>
        <w:gridCol w:w="1701"/>
        <w:gridCol w:w="5382"/>
      </w:tblGrid>
      <w:tr w14:paraId="0A0F9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8B7E5CF">
            <w:pPr>
              <w:pStyle w:val="347"/>
              <w:spacing w:before="38" w:after="0"/>
              <w:ind w:right="59"/>
              <w:jc w:val="center"/>
              <w:rPr>
                <w:rFonts w:ascii="宋体" w:hAnsi="宋体" w:eastAsia="Times New Roman"/>
                <w:b/>
                <w:bCs/>
                <w:color w:val="auto"/>
                <w:spacing w:val="-4"/>
                <w:sz w:val="22"/>
                <w:szCs w:val="22"/>
              </w:rPr>
            </w:pPr>
            <w:r>
              <w:rPr>
                <w:rFonts w:hint="eastAsia" w:ascii="宋体" w:hAnsi="宋体" w:eastAsia="Times New Roman"/>
                <w:b/>
                <w:bCs/>
                <w:color w:val="auto"/>
                <w:spacing w:val="-4"/>
                <w:sz w:val="22"/>
                <w:szCs w:val="22"/>
              </w:rPr>
              <w:t>序号</w:t>
            </w:r>
          </w:p>
        </w:tc>
        <w:tc>
          <w:tcPr>
            <w:tcW w:w="1275" w:type="dxa"/>
            <w:tcBorders>
              <w:top w:val="single" w:color="000000" w:sz="2" w:space="0"/>
              <w:left w:val="single" w:color="000000" w:sz="2" w:space="0"/>
              <w:bottom w:val="single" w:color="000000" w:sz="2" w:space="0"/>
              <w:right w:val="single" w:color="000000" w:sz="2" w:space="0"/>
            </w:tcBorders>
            <w:vAlign w:val="center"/>
          </w:tcPr>
          <w:p w14:paraId="37531E1F">
            <w:pPr>
              <w:pStyle w:val="347"/>
              <w:spacing w:before="38" w:after="0"/>
              <w:ind w:right="59"/>
              <w:jc w:val="center"/>
              <w:rPr>
                <w:rFonts w:ascii="宋体" w:hAnsi="宋体" w:eastAsia="Times New Roman"/>
                <w:b/>
                <w:bCs/>
                <w:color w:val="auto"/>
                <w:spacing w:val="-4"/>
                <w:sz w:val="22"/>
                <w:szCs w:val="22"/>
              </w:rPr>
            </w:pPr>
            <w:r>
              <w:rPr>
                <w:rFonts w:hint="eastAsia" w:ascii="宋体" w:hAnsi="宋体" w:eastAsia="Times New Roman"/>
                <w:b/>
                <w:bCs/>
                <w:color w:val="auto"/>
                <w:spacing w:val="-4"/>
                <w:sz w:val="22"/>
                <w:szCs w:val="22"/>
              </w:rPr>
              <w:t>一级指标</w:t>
            </w:r>
          </w:p>
        </w:tc>
        <w:tc>
          <w:tcPr>
            <w:tcW w:w="1701" w:type="dxa"/>
            <w:tcBorders>
              <w:top w:val="single" w:color="000000" w:sz="2" w:space="0"/>
              <w:left w:val="single" w:color="000000" w:sz="2" w:space="0"/>
              <w:bottom w:val="single" w:color="000000" w:sz="2" w:space="0"/>
              <w:right w:val="single" w:color="000000" w:sz="2" w:space="0"/>
            </w:tcBorders>
            <w:vAlign w:val="center"/>
          </w:tcPr>
          <w:p w14:paraId="6717FD45">
            <w:pPr>
              <w:pStyle w:val="347"/>
              <w:spacing w:before="38" w:after="0"/>
              <w:ind w:right="59"/>
              <w:jc w:val="center"/>
              <w:rPr>
                <w:rFonts w:ascii="宋体" w:hAnsi="宋体" w:eastAsia="Times New Roman"/>
                <w:b/>
                <w:bCs/>
                <w:color w:val="auto"/>
                <w:spacing w:val="-4"/>
                <w:sz w:val="22"/>
                <w:szCs w:val="22"/>
              </w:rPr>
            </w:pPr>
            <w:r>
              <w:rPr>
                <w:rFonts w:hint="eastAsia" w:ascii="宋体" w:hAnsi="宋体" w:eastAsia="Times New Roman"/>
                <w:b/>
                <w:bCs/>
                <w:color w:val="auto"/>
                <w:spacing w:val="-4"/>
                <w:sz w:val="22"/>
                <w:szCs w:val="22"/>
              </w:rPr>
              <w:t>二级指标</w:t>
            </w:r>
          </w:p>
        </w:tc>
        <w:tc>
          <w:tcPr>
            <w:tcW w:w="5382" w:type="dxa"/>
            <w:tcBorders>
              <w:top w:val="single" w:color="000000" w:sz="2" w:space="0"/>
              <w:left w:val="single" w:color="000000" w:sz="2" w:space="0"/>
              <w:bottom w:val="single" w:color="000000" w:sz="2" w:space="0"/>
              <w:right w:val="single" w:color="000000" w:sz="2" w:space="0"/>
            </w:tcBorders>
            <w:vAlign w:val="center"/>
          </w:tcPr>
          <w:p w14:paraId="0D2AB44C">
            <w:pPr>
              <w:pStyle w:val="347"/>
              <w:spacing w:before="38" w:after="0"/>
              <w:ind w:right="59"/>
              <w:jc w:val="center"/>
              <w:rPr>
                <w:rFonts w:ascii="宋体" w:hAnsi="宋体" w:eastAsia="Times New Roman"/>
                <w:b/>
                <w:bCs/>
                <w:color w:val="auto"/>
                <w:spacing w:val="-4"/>
                <w:sz w:val="22"/>
                <w:szCs w:val="22"/>
              </w:rPr>
            </w:pPr>
            <w:r>
              <w:rPr>
                <w:rFonts w:hint="eastAsia" w:ascii="宋体" w:hAnsi="宋体" w:eastAsia="Times New Roman"/>
                <w:b/>
                <w:bCs/>
                <w:color w:val="auto"/>
                <w:spacing w:val="-4"/>
                <w:sz w:val="22"/>
                <w:szCs w:val="22"/>
              </w:rPr>
              <w:t>指标要求</w:t>
            </w:r>
          </w:p>
        </w:tc>
      </w:tr>
      <w:tr w14:paraId="7D3BD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7"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A98744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w:t>
            </w:r>
          </w:p>
        </w:tc>
        <w:tc>
          <w:tcPr>
            <w:tcW w:w="1275" w:type="dxa"/>
            <w:tcBorders>
              <w:top w:val="single" w:color="000000" w:sz="2" w:space="0"/>
              <w:left w:val="single" w:color="000000" w:sz="2" w:space="0"/>
              <w:bottom w:val="single" w:color="000000" w:sz="2" w:space="0"/>
              <w:right w:val="single" w:color="000000" w:sz="2" w:space="0"/>
            </w:tcBorders>
            <w:vAlign w:val="center"/>
          </w:tcPr>
          <w:p w14:paraId="34C05936">
            <w:pPr>
              <w:pStyle w:val="347"/>
              <w:spacing w:before="38" w:after="0"/>
              <w:ind w:right="59"/>
              <w:jc w:val="center"/>
              <w:rPr>
                <w:rFonts w:ascii="宋体" w:hAnsi="宋体" w:eastAsia="Times New Roman"/>
                <w:color w:val="auto"/>
                <w:spacing w:val="-4"/>
                <w:sz w:val="22"/>
                <w:szCs w:val="22"/>
              </w:rPr>
            </w:pPr>
          </w:p>
          <w:p w14:paraId="46BEB929">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▲CPU规格</w:t>
            </w:r>
          </w:p>
        </w:tc>
        <w:tc>
          <w:tcPr>
            <w:tcW w:w="1701" w:type="dxa"/>
            <w:tcBorders>
              <w:top w:val="single" w:color="000000" w:sz="2" w:space="0"/>
              <w:left w:val="single" w:color="000000" w:sz="2" w:space="0"/>
              <w:bottom w:val="single" w:color="000000" w:sz="2" w:space="0"/>
              <w:right w:val="single" w:color="000000" w:sz="2" w:space="0"/>
            </w:tcBorders>
            <w:vAlign w:val="center"/>
          </w:tcPr>
          <w:p w14:paraId="675D87E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▲CPU 信息</w:t>
            </w:r>
          </w:p>
        </w:tc>
        <w:tc>
          <w:tcPr>
            <w:tcW w:w="5382" w:type="dxa"/>
            <w:tcBorders>
              <w:top w:val="single" w:color="000000" w:sz="2" w:space="0"/>
              <w:left w:val="single" w:color="000000" w:sz="2" w:space="0"/>
              <w:bottom w:val="single" w:color="000000" w:sz="2" w:space="0"/>
              <w:right w:val="single" w:color="000000" w:sz="2" w:space="0"/>
            </w:tcBorders>
            <w:vAlign w:val="center"/>
          </w:tcPr>
          <w:p w14:paraId="10566D2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•处理器：≥ 9 275HX ，核心 / 线程：≥24 核 24 线程（8P+16E）;</w:t>
            </w:r>
          </w:p>
          <w:p w14:paraId="6F8C2D2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 基础频率：≥ 2.7 GHz（P 核）、≥ 2.1 GHz（E 核）;</w:t>
            </w:r>
          </w:p>
          <w:p w14:paraId="38A0D24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 最高睿频：≥ 5.4 GHz（P 核）、≥ 4.6 GHz（E 核）;</w:t>
            </w:r>
          </w:p>
          <w:p w14:paraId="4039F6A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 末级缓存：≥ 36 MB 三级缓存;</w:t>
            </w:r>
          </w:p>
          <w:p w14:paraId="72F4DD7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 功耗：基础 55 W，最大睿频 160 W</w:t>
            </w:r>
          </w:p>
          <w:p w14:paraId="7910806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 最高内存支持：≥ DDR5-6400 MT/s，双通道，128-bit 位宽</w:t>
            </w:r>
          </w:p>
        </w:tc>
      </w:tr>
      <w:tr w14:paraId="64AE1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DB30897">
            <w:pPr>
              <w:pStyle w:val="347"/>
              <w:spacing w:before="38" w:after="0"/>
              <w:ind w:right="59"/>
              <w:jc w:val="center"/>
              <w:rPr>
                <w:rFonts w:ascii="宋体" w:hAnsi="宋体" w:eastAsia="Times New Roman"/>
                <w:color w:val="auto"/>
                <w:spacing w:val="-4"/>
                <w:sz w:val="22"/>
                <w:szCs w:val="22"/>
              </w:rPr>
            </w:pPr>
          </w:p>
          <w:p w14:paraId="0FC136F8">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2</w:t>
            </w:r>
          </w:p>
        </w:tc>
        <w:tc>
          <w:tcPr>
            <w:tcW w:w="1275" w:type="dxa"/>
            <w:vMerge w:val="restart"/>
            <w:tcBorders>
              <w:top w:val="nil"/>
              <w:left w:val="single" w:color="000000" w:sz="2" w:space="0"/>
              <w:bottom w:val="nil"/>
              <w:right w:val="single" w:color="000000" w:sz="2" w:space="0"/>
            </w:tcBorders>
            <w:vAlign w:val="center"/>
          </w:tcPr>
          <w:p w14:paraId="3AF1FA4D">
            <w:pPr>
              <w:pStyle w:val="347"/>
              <w:spacing w:before="38" w:after="0"/>
              <w:ind w:right="59"/>
              <w:jc w:val="center"/>
              <w:rPr>
                <w:rFonts w:ascii="宋体" w:hAnsi="宋体" w:eastAsia="Times New Roman"/>
                <w:color w:val="auto"/>
                <w:spacing w:val="-4"/>
                <w:sz w:val="22"/>
                <w:szCs w:val="22"/>
              </w:rPr>
            </w:pPr>
          </w:p>
          <w:p w14:paraId="2B52AF9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▲内存规格</w:t>
            </w:r>
          </w:p>
        </w:tc>
        <w:tc>
          <w:tcPr>
            <w:tcW w:w="1701" w:type="dxa"/>
            <w:tcBorders>
              <w:top w:val="single" w:color="000000" w:sz="2" w:space="0"/>
              <w:left w:val="single" w:color="000000" w:sz="2" w:space="0"/>
              <w:bottom w:val="single" w:color="000000" w:sz="2" w:space="0"/>
              <w:right w:val="single" w:color="000000" w:sz="2" w:space="0"/>
            </w:tcBorders>
            <w:vAlign w:val="center"/>
          </w:tcPr>
          <w:p w14:paraId="48514DE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▲内存配置容量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44B1688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≥32GB DDR5 5600MHz *2，</w:t>
            </w:r>
          </w:p>
        </w:tc>
      </w:tr>
      <w:tr w14:paraId="149BD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E51FA39">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3</w:t>
            </w:r>
          </w:p>
        </w:tc>
        <w:tc>
          <w:tcPr>
            <w:tcW w:w="1275" w:type="dxa"/>
            <w:vMerge w:val="continue"/>
            <w:tcBorders>
              <w:top w:val="nil"/>
              <w:left w:val="single" w:color="000000" w:sz="2" w:space="0"/>
              <w:bottom w:val="nil"/>
              <w:right w:val="single" w:color="000000" w:sz="2" w:space="0"/>
            </w:tcBorders>
            <w:vAlign w:val="center"/>
          </w:tcPr>
          <w:p w14:paraId="76698CEF">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C8732B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▲内存类型</w:t>
            </w:r>
          </w:p>
        </w:tc>
        <w:tc>
          <w:tcPr>
            <w:tcW w:w="5382" w:type="dxa"/>
            <w:tcBorders>
              <w:top w:val="single" w:color="000000" w:sz="2" w:space="0"/>
              <w:left w:val="single" w:color="000000" w:sz="2" w:space="0"/>
              <w:bottom w:val="single" w:color="000000" w:sz="2" w:space="0"/>
              <w:right w:val="single" w:color="000000" w:sz="2" w:space="0"/>
            </w:tcBorders>
            <w:vAlign w:val="center"/>
          </w:tcPr>
          <w:p w14:paraId="59D8FBD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支持DDR5 5600MHz及以上内存类型</w:t>
            </w:r>
          </w:p>
        </w:tc>
      </w:tr>
      <w:tr w14:paraId="35406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D56576B">
            <w:pPr>
              <w:pStyle w:val="347"/>
              <w:spacing w:before="38" w:after="0"/>
              <w:ind w:right="59"/>
              <w:jc w:val="center"/>
              <w:rPr>
                <w:rFonts w:ascii="宋体" w:hAnsi="宋体" w:eastAsia="Times New Roman"/>
                <w:color w:val="auto"/>
                <w:spacing w:val="-4"/>
                <w:sz w:val="22"/>
                <w:szCs w:val="22"/>
              </w:rPr>
            </w:pPr>
          </w:p>
          <w:p w14:paraId="45947392">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4</w:t>
            </w:r>
          </w:p>
        </w:tc>
        <w:tc>
          <w:tcPr>
            <w:tcW w:w="1275" w:type="dxa"/>
            <w:vMerge w:val="continue"/>
            <w:tcBorders>
              <w:top w:val="nil"/>
              <w:left w:val="single" w:color="000000" w:sz="2" w:space="0"/>
              <w:bottom w:val="nil"/>
              <w:right w:val="single" w:color="000000" w:sz="2" w:space="0"/>
            </w:tcBorders>
            <w:vAlign w:val="center"/>
          </w:tcPr>
          <w:p w14:paraId="5DB6E9F1">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3D31710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▲内存条配置数量（板载内存不涉</w:t>
            </w:r>
          </w:p>
          <w:p w14:paraId="57A0DCE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及）</w:t>
            </w:r>
          </w:p>
        </w:tc>
        <w:tc>
          <w:tcPr>
            <w:tcW w:w="5382" w:type="dxa"/>
            <w:tcBorders>
              <w:top w:val="single" w:color="000000" w:sz="2" w:space="0"/>
              <w:left w:val="single" w:color="000000" w:sz="2" w:space="0"/>
              <w:bottom w:val="single" w:color="000000" w:sz="2" w:space="0"/>
              <w:right w:val="single" w:color="000000" w:sz="2" w:space="0"/>
            </w:tcBorders>
            <w:vAlign w:val="center"/>
          </w:tcPr>
          <w:p w14:paraId="5C0B0AD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≥2</w:t>
            </w:r>
          </w:p>
        </w:tc>
      </w:tr>
      <w:tr w14:paraId="317EC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91564B4">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5</w:t>
            </w:r>
          </w:p>
        </w:tc>
        <w:tc>
          <w:tcPr>
            <w:tcW w:w="1275" w:type="dxa"/>
            <w:vMerge w:val="restart"/>
            <w:tcBorders>
              <w:top w:val="nil"/>
              <w:left w:val="single" w:color="000000" w:sz="2" w:space="0"/>
              <w:bottom w:val="nil"/>
              <w:right w:val="single" w:color="000000" w:sz="2" w:space="0"/>
            </w:tcBorders>
            <w:vAlign w:val="center"/>
          </w:tcPr>
          <w:p w14:paraId="5635D1EE">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▲主板规格</w:t>
            </w:r>
          </w:p>
        </w:tc>
        <w:tc>
          <w:tcPr>
            <w:tcW w:w="1701" w:type="dxa"/>
            <w:tcBorders>
              <w:top w:val="single" w:color="000000" w:sz="2" w:space="0"/>
              <w:left w:val="single" w:color="000000" w:sz="2" w:space="0"/>
              <w:bottom w:val="single" w:color="000000" w:sz="2" w:space="0"/>
              <w:right w:val="single" w:color="000000" w:sz="2" w:space="0"/>
            </w:tcBorders>
            <w:vAlign w:val="center"/>
          </w:tcPr>
          <w:p w14:paraId="3C9FAD4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▲主板集成模块</w:t>
            </w:r>
          </w:p>
        </w:tc>
        <w:tc>
          <w:tcPr>
            <w:tcW w:w="5382" w:type="dxa"/>
            <w:tcBorders>
              <w:top w:val="single" w:color="000000" w:sz="2" w:space="0"/>
              <w:left w:val="single" w:color="000000" w:sz="2" w:space="0"/>
              <w:bottom w:val="single" w:color="000000" w:sz="2" w:space="0"/>
              <w:right w:val="single" w:color="000000" w:sz="2" w:space="0"/>
            </w:tcBorders>
            <w:vAlign w:val="center"/>
          </w:tcPr>
          <w:p w14:paraId="2FE62D5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集成资源扩展模块、计算处理模块、音频扩展模块等，主板的互联拓扑可通过处理器或交换电路实现</w:t>
            </w:r>
          </w:p>
        </w:tc>
      </w:tr>
      <w:tr w14:paraId="3E99F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06E526E3">
            <w:pPr>
              <w:pStyle w:val="347"/>
              <w:spacing w:before="38" w:after="0"/>
              <w:ind w:right="59"/>
              <w:jc w:val="center"/>
              <w:rPr>
                <w:rFonts w:ascii="宋体" w:hAnsi="宋体" w:eastAsia="Times New Roman"/>
                <w:color w:val="auto"/>
                <w:spacing w:val="-4"/>
                <w:sz w:val="22"/>
                <w:szCs w:val="22"/>
              </w:rPr>
            </w:pPr>
          </w:p>
          <w:p w14:paraId="1809B231">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6</w:t>
            </w:r>
          </w:p>
        </w:tc>
        <w:tc>
          <w:tcPr>
            <w:tcW w:w="1275" w:type="dxa"/>
            <w:vMerge w:val="continue"/>
            <w:tcBorders>
              <w:top w:val="nil"/>
              <w:left w:val="single" w:color="000000" w:sz="2" w:space="0"/>
              <w:bottom w:val="nil"/>
              <w:right w:val="single" w:color="000000" w:sz="2" w:space="0"/>
            </w:tcBorders>
            <w:vAlign w:val="center"/>
          </w:tcPr>
          <w:p w14:paraId="0DD9B976">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376C7D7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▲主板支持的 CPU和内存情况</w:t>
            </w:r>
          </w:p>
        </w:tc>
        <w:tc>
          <w:tcPr>
            <w:tcW w:w="5382" w:type="dxa"/>
            <w:tcBorders>
              <w:top w:val="single" w:color="000000" w:sz="2" w:space="0"/>
              <w:left w:val="single" w:color="000000" w:sz="2" w:space="0"/>
              <w:bottom w:val="single" w:color="000000" w:sz="2" w:space="0"/>
              <w:right w:val="single" w:color="000000" w:sz="2" w:space="0"/>
            </w:tcBorders>
            <w:vAlign w:val="center"/>
          </w:tcPr>
          <w:p w14:paraId="7735131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1、主板支持的 CPU≥9 275 HX</w:t>
            </w:r>
          </w:p>
          <w:p w14:paraId="71A4EA2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2、内存≥2</w:t>
            </w:r>
          </w:p>
        </w:tc>
      </w:tr>
      <w:tr w14:paraId="42431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693506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7</w:t>
            </w:r>
          </w:p>
        </w:tc>
        <w:tc>
          <w:tcPr>
            <w:tcW w:w="1275" w:type="dxa"/>
            <w:vMerge w:val="continue"/>
            <w:tcBorders>
              <w:top w:val="nil"/>
              <w:left w:val="single" w:color="000000" w:sz="2" w:space="0"/>
              <w:bottom w:val="nil"/>
              <w:right w:val="single" w:color="000000" w:sz="2" w:space="0"/>
            </w:tcBorders>
            <w:vAlign w:val="center"/>
          </w:tcPr>
          <w:p w14:paraId="5BE2C146">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1069C99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主板内置PCIe 插槽数量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6D73FE3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4个PCIe Gen 5、4个PCIe Gen 4通道、2个集成式雷电技术4端口+独立雷电技术5、集成Wi-Fi 6E+独立 Wi-Fi 7</w:t>
            </w:r>
          </w:p>
        </w:tc>
      </w:tr>
      <w:tr w14:paraId="3D242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6063205">
            <w:pPr>
              <w:pStyle w:val="347"/>
              <w:spacing w:before="38" w:after="0"/>
              <w:ind w:right="59"/>
              <w:jc w:val="both"/>
              <w:rPr>
                <w:rFonts w:ascii="宋体" w:hAnsi="宋体" w:eastAsia="Times New Roman"/>
                <w:color w:val="auto"/>
                <w:spacing w:val="-4"/>
                <w:sz w:val="22"/>
                <w:szCs w:val="22"/>
              </w:rPr>
            </w:pPr>
            <w:r>
              <w:rPr>
                <w:rFonts w:hint="eastAsia" w:ascii="宋体" w:hAnsi="宋体" w:eastAsia="Times New Roman"/>
                <w:color w:val="auto"/>
                <w:spacing w:val="-4"/>
                <w:sz w:val="22"/>
                <w:szCs w:val="22"/>
              </w:rPr>
              <w:t xml:space="preserve">   8</w:t>
            </w:r>
          </w:p>
        </w:tc>
        <w:tc>
          <w:tcPr>
            <w:tcW w:w="1275" w:type="dxa"/>
            <w:vMerge w:val="continue"/>
            <w:tcBorders>
              <w:top w:val="nil"/>
              <w:left w:val="single" w:color="000000" w:sz="2" w:space="0"/>
              <w:bottom w:val="nil"/>
              <w:right w:val="single" w:color="000000" w:sz="2" w:space="0"/>
            </w:tcBorders>
            <w:vAlign w:val="center"/>
          </w:tcPr>
          <w:p w14:paraId="360DF2EE">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262448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特殊孔位及接口</w:t>
            </w:r>
          </w:p>
        </w:tc>
        <w:tc>
          <w:tcPr>
            <w:tcW w:w="5382" w:type="dxa"/>
            <w:tcBorders>
              <w:top w:val="single" w:color="000000" w:sz="2" w:space="0"/>
              <w:left w:val="single" w:color="000000" w:sz="2" w:space="0"/>
              <w:bottom w:val="single" w:color="000000" w:sz="2" w:space="0"/>
              <w:right w:val="single" w:color="000000" w:sz="2" w:space="0"/>
            </w:tcBorders>
            <w:vAlign w:val="center"/>
          </w:tcPr>
          <w:p w14:paraId="0BFAC22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雷电 4, HDMI 2.1, USB-C, USB-A, 全功能 Type-C</w:t>
            </w:r>
          </w:p>
        </w:tc>
      </w:tr>
      <w:tr w14:paraId="44CCC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722F4F0">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9</w:t>
            </w:r>
          </w:p>
        </w:tc>
        <w:tc>
          <w:tcPr>
            <w:tcW w:w="1275" w:type="dxa"/>
            <w:vMerge w:val="continue"/>
            <w:tcBorders>
              <w:top w:val="nil"/>
              <w:left w:val="single" w:color="000000" w:sz="2" w:space="0"/>
              <w:bottom w:val="nil"/>
              <w:right w:val="single" w:color="000000" w:sz="2" w:space="0"/>
            </w:tcBorders>
            <w:vAlign w:val="center"/>
          </w:tcPr>
          <w:p w14:paraId="52252A0C">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34452E6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▲主板其他内置接口</w:t>
            </w:r>
          </w:p>
        </w:tc>
        <w:tc>
          <w:tcPr>
            <w:tcW w:w="5382" w:type="dxa"/>
            <w:tcBorders>
              <w:top w:val="single" w:color="000000" w:sz="2" w:space="0"/>
              <w:left w:val="single" w:color="000000" w:sz="2" w:space="0"/>
              <w:bottom w:val="single" w:color="000000" w:sz="2" w:space="0"/>
              <w:right w:val="single" w:color="000000" w:sz="2" w:space="0"/>
            </w:tcBorders>
            <w:vAlign w:val="center"/>
          </w:tcPr>
          <w:p w14:paraId="446C055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SATA、M.2、USB 接口数量及占用状态</w:t>
            </w:r>
          </w:p>
        </w:tc>
      </w:tr>
      <w:tr w14:paraId="76319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722F249">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10</w:t>
            </w:r>
          </w:p>
        </w:tc>
        <w:tc>
          <w:tcPr>
            <w:tcW w:w="1275" w:type="dxa"/>
            <w:vMerge w:val="continue"/>
            <w:tcBorders>
              <w:top w:val="nil"/>
              <w:left w:val="single" w:color="000000" w:sz="2" w:space="0"/>
              <w:bottom w:val="nil"/>
              <w:right w:val="single" w:color="000000" w:sz="2" w:space="0"/>
            </w:tcBorders>
            <w:vAlign w:val="center"/>
          </w:tcPr>
          <w:p w14:paraId="074EF510">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7899692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▲单内存插槽最大可支持容量（板载</w:t>
            </w:r>
          </w:p>
          <w:p w14:paraId="736E550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内存不涉及）</w:t>
            </w:r>
          </w:p>
        </w:tc>
        <w:tc>
          <w:tcPr>
            <w:tcW w:w="5382" w:type="dxa"/>
            <w:tcBorders>
              <w:top w:val="single" w:color="000000" w:sz="2" w:space="0"/>
              <w:left w:val="single" w:color="000000" w:sz="2" w:space="0"/>
              <w:bottom w:val="single" w:color="000000" w:sz="2" w:space="0"/>
              <w:right w:val="single" w:color="000000" w:sz="2" w:space="0"/>
            </w:tcBorders>
            <w:vAlign w:val="center"/>
          </w:tcPr>
          <w:p w14:paraId="7FFCB15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≥32GB</w:t>
            </w:r>
          </w:p>
        </w:tc>
      </w:tr>
      <w:tr w14:paraId="18E16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E745938">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11</w:t>
            </w:r>
          </w:p>
        </w:tc>
        <w:tc>
          <w:tcPr>
            <w:tcW w:w="1275" w:type="dxa"/>
            <w:tcBorders>
              <w:top w:val="single" w:color="000000" w:sz="2" w:space="0"/>
              <w:left w:val="single" w:color="000000" w:sz="2" w:space="0"/>
              <w:bottom w:val="single" w:color="000000" w:sz="2" w:space="0"/>
              <w:right w:val="single" w:color="000000" w:sz="2" w:space="0"/>
            </w:tcBorders>
            <w:vAlign w:val="center"/>
          </w:tcPr>
          <w:p w14:paraId="5C25822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▲主板规格</w:t>
            </w:r>
          </w:p>
        </w:tc>
        <w:tc>
          <w:tcPr>
            <w:tcW w:w="1701" w:type="dxa"/>
            <w:tcBorders>
              <w:top w:val="single" w:color="000000" w:sz="2" w:space="0"/>
              <w:left w:val="single" w:color="000000" w:sz="2" w:space="0"/>
              <w:bottom w:val="single" w:color="000000" w:sz="2" w:space="0"/>
              <w:right w:val="single" w:color="000000" w:sz="2" w:space="0"/>
            </w:tcBorders>
            <w:vAlign w:val="center"/>
          </w:tcPr>
          <w:p w14:paraId="2F3F456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▲内存插槽满配时提供的最高内存总容量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036724A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≥64GB</w:t>
            </w:r>
          </w:p>
        </w:tc>
      </w:tr>
      <w:tr w14:paraId="5B080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FABB9DA">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12</w:t>
            </w:r>
          </w:p>
        </w:tc>
        <w:tc>
          <w:tcPr>
            <w:tcW w:w="1275" w:type="dxa"/>
            <w:vMerge w:val="restart"/>
            <w:tcBorders>
              <w:top w:val="nil"/>
              <w:left w:val="single" w:color="000000" w:sz="2" w:space="0"/>
              <w:bottom w:val="single" w:color="000000" w:sz="2" w:space="0"/>
              <w:right w:val="single" w:color="000000" w:sz="2" w:space="0"/>
            </w:tcBorders>
            <w:vAlign w:val="center"/>
          </w:tcPr>
          <w:p w14:paraId="0166B024">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▲存储设备规格</w:t>
            </w:r>
          </w:p>
        </w:tc>
        <w:tc>
          <w:tcPr>
            <w:tcW w:w="1701" w:type="dxa"/>
            <w:tcBorders>
              <w:top w:val="single" w:color="000000" w:sz="2" w:space="0"/>
              <w:left w:val="single" w:color="000000" w:sz="2" w:space="0"/>
              <w:bottom w:val="single" w:color="000000" w:sz="2" w:space="0"/>
              <w:right w:val="single" w:color="000000" w:sz="2" w:space="0"/>
            </w:tcBorders>
            <w:vAlign w:val="center"/>
          </w:tcPr>
          <w:p w14:paraId="69DDE39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▲固态盘数量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5031009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≥1个</w:t>
            </w:r>
          </w:p>
        </w:tc>
      </w:tr>
      <w:tr w14:paraId="12992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0889B6E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13</w:t>
            </w:r>
          </w:p>
        </w:tc>
        <w:tc>
          <w:tcPr>
            <w:tcW w:w="1275" w:type="dxa"/>
            <w:vMerge w:val="continue"/>
            <w:tcBorders>
              <w:top w:val="nil"/>
              <w:left w:val="single" w:color="000000" w:sz="2" w:space="0"/>
              <w:bottom w:val="single" w:color="000000" w:sz="2" w:space="0"/>
              <w:right w:val="single" w:color="000000" w:sz="2" w:space="0"/>
            </w:tcBorders>
            <w:vAlign w:val="center"/>
          </w:tcPr>
          <w:p w14:paraId="30D841DF">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72DDB72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▲固态存储容量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58F6FAA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≥2TB</w:t>
            </w:r>
          </w:p>
        </w:tc>
      </w:tr>
      <w:tr w14:paraId="79D0F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D362302">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14</w:t>
            </w:r>
          </w:p>
        </w:tc>
        <w:tc>
          <w:tcPr>
            <w:tcW w:w="1275" w:type="dxa"/>
            <w:vMerge w:val="continue"/>
            <w:tcBorders>
              <w:top w:val="nil"/>
              <w:left w:val="single" w:color="000000" w:sz="2" w:space="0"/>
              <w:bottom w:val="single" w:color="000000" w:sz="2" w:space="0"/>
              <w:right w:val="single" w:color="000000" w:sz="2" w:space="0"/>
            </w:tcBorders>
            <w:vAlign w:val="center"/>
          </w:tcPr>
          <w:p w14:paraId="3CACEE30">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135EB7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▲机械硬盘数量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7F9ED63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w:t>
            </w:r>
          </w:p>
        </w:tc>
      </w:tr>
      <w:tr w14:paraId="5E34A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77664C82">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15</w:t>
            </w:r>
          </w:p>
        </w:tc>
        <w:tc>
          <w:tcPr>
            <w:tcW w:w="1275" w:type="dxa"/>
            <w:vMerge w:val="continue"/>
            <w:tcBorders>
              <w:top w:val="nil"/>
              <w:left w:val="single" w:color="000000" w:sz="2" w:space="0"/>
              <w:bottom w:val="single" w:color="000000" w:sz="2" w:space="0"/>
              <w:right w:val="single" w:color="000000" w:sz="2" w:space="0"/>
            </w:tcBorders>
            <w:vAlign w:val="center"/>
          </w:tcPr>
          <w:p w14:paraId="26657952">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493250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▲机械硬盘总容量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6DB80CB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w:t>
            </w:r>
          </w:p>
        </w:tc>
      </w:tr>
      <w:tr w14:paraId="0A79D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48D16F9">
            <w:pPr>
              <w:pStyle w:val="347"/>
              <w:spacing w:before="38" w:after="0"/>
              <w:ind w:right="59"/>
              <w:jc w:val="center"/>
              <w:rPr>
                <w:rFonts w:ascii="宋体" w:hAnsi="宋体" w:eastAsia="Times New Roman"/>
                <w:color w:val="auto"/>
                <w:spacing w:val="-4"/>
                <w:sz w:val="22"/>
                <w:szCs w:val="22"/>
              </w:rPr>
            </w:pPr>
          </w:p>
          <w:p w14:paraId="6B3899C1">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16</w:t>
            </w:r>
          </w:p>
        </w:tc>
        <w:tc>
          <w:tcPr>
            <w:tcW w:w="1275" w:type="dxa"/>
            <w:vMerge w:val="continue"/>
            <w:tcBorders>
              <w:top w:val="nil"/>
              <w:left w:val="single" w:color="000000" w:sz="2" w:space="0"/>
              <w:bottom w:val="single" w:color="000000" w:sz="2" w:space="0"/>
              <w:right w:val="single" w:color="000000" w:sz="2" w:space="0"/>
            </w:tcBorders>
            <w:vAlign w:val="center"/>
          </w:tcPr>
          <w:p w14:paraId="18B731E3">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316F61F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▲机械硬盘转速</w:t>
            </w:r>
          </w:p>
        </w:tc>
        <w:tc>
          <w:tcPr>
            <w:tcW w:w="5382" w:type="dxa"/>
            <w:tcBorders>
              <w:top w:val="single" w:color="000000" w:sz="2" w:space="0"/>
              <w:left w:val="single" w:color="000000" w:sz="2" w:space="0"/>
              <w:bottom w:val="single" w:color="000000" w:sz="2" w:space="0"/>
              <w:right w:val="single" w:color="000000" w:sz="2" w:space="0"/>
            </w:tcBorders>
            <w:vAlign w:val="center"/>
          </w:tcPr>
          <w:p w14:paraId="0082A587">
            <w:pPr>
              <w:pStyle w:val="347"/>
              <w:spacing w:before="38" w:after="0"/>
              <w:ind w:right="59"/>
              <w:rPr>
                <w:rFonts w:ascii="宋体" w:hAnsi="宋体" w:eastAsia="Times New Roman"/>
                <w:color w:val="auto"/>
                <w:spacing w:val="-4"/>
                <w:sz w:val="22"/>
                <w:szCs w:val="22"/>
              </w:rPr>
            </w:pPr>
          </w:p>
          <w:p w14:paraId="08E96F9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w:t>
            </w:r>
          </w:p>
        </w:tc>
      </w:tr>
      <w:tr w14:paraId="2B907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EF9BC20">
            <w:pPr>
              <w:pStyle w:val="347"/>
              <w:spacing w:before="38" w:after="0"/>
              <w:ind w:right="59"/>
              <w:jc w:val="center"/>
              <w:rPr>
                <w:rFonts w:ascii="宋体" w:hAnsi="宋体" w:eastAsia="Times New Roman"/>
                <w:color w:val="auto"/>
                <w:spacing w:val="-4"/>
                <w:sz w:val="22"/>
                <w:szCs w:val="22"/>
              </w:rPr>
            </w:pPr>
          </w:p>
          <w:p w14:paraId="5D7147C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17</w:t>
            </w:r>
          </w:p>
        </w:tc>
        <w:tc>
          <w:tcPr>
            <w:tcW w:w="1275" w:type="dxa"/>
            <w:vMerge w:val="continue"/>
            <w:tcBorders>
              <w:top w:val="nil"/>
              <w:left w:val="single" w:color="000000" w:sz="2" w:space="0"/>
              <w:bottom w:val="single" w:color="000000" w:sz="2" w:space="0"/>
              <w:right w:val="single" w:color="000000" w:sz="2" w:space="0"/>
            </w:tcBorders>
            <w:vAlign w:val="center"/>
          </w:tcPr>
          <w:p w14:paraId="38C97A72">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2D565EF0">
            <w:pPr>
              <w:pStyle w:val="347"/>
              <w:spacing w:before="38" w:after="0"/>
              <w:ind w:right="59"/>
              <w:rPr>
                <w:rFonts w:ascii="宋体" w:hAnsi="宋体" w:eastAsia="Times New Roman"/>
                <w:color w:val="auto"/>
                <w:spacing w:val="-4"/>
                <w:sz w:val="22"/>
                <w:szCs w:val="22"/>
              </w:rPr>
            </w:pPr>
          </w:p>
          <w:p w14:paraId="4E03704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机械硬盘接口协议</w:t>
            </w:r>
          </w:p>
        </w:tc>
        <w:tc>
          <w:tcPr>
            <w:tcW w:w="5382" w:type="dxa"/>
            <w:tcBorders>
              <w:top w:val="single" w:color="000000" w:sz="2" w:space="0"/>
              <w:left w:val="single" w:color="000000" w:sz="2" w:space="0"/>
              <w:bottom w:val="single" w:color="000000" w:sz="2" w:space="0"/>
              <w:right w:val="single" w:color="000000" w:sz="2" w:space="0"/>
            </w:tcBorders>
            <w:vAlign w:val="center"/>
          </w:tcPr>
          <w:p w14:paraId="61711E36">
            <w:pPr>
              <w:pStyle w:val="347"/>
              <w:spacing w:before="38" w:after="0"/>
              <w:ind w:right="59"/>
              <w:rPr>
                <w:rFonts w:ascii="宋体" w:hAnsi="宋体" w:eastAsia="Times New Roman"/>
                <w:color w:val="auto"/>
                <w:spacing w:val="-4"/>
                <w:sz w:val="22"/>
                <w:szCs w:val="22"/>
              </w:rPr>
            </w:pPr>
          </w:p>
          <w:p w14:paraId="6D88905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w:t>
            </w:r>
          </w:p>
        </w:tc>
      </w:tr>
      <w:tr w14:paraId="56D8C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26603C4">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18</w:t>
            </w:r>
          </w:p>
        </w:tc>
        <w:tc>
          <w:tcPr>
            <w:tcW w:w="1275" w:type="dxa"/>
            <w:vMerge w:val="continue"/>
            <w:tcBorders>
              <w:top w:val="nil"/>
              <w:left w:val="single" w:color="000000" w:sz="2" w:space="0"/>
              <w:bottom w:val="single" w:color="000000" w:sz="2" w:space="0"/>
              <w:right w:val="single" w:color="000000" w:sz="2" w:space="0"/>
            </w:tcBorders>
            <w:vAlign w:val="center"/>
          </w:tcPr>
          <w:p w14:paraId="4F65E043">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17DDAD9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机械硬盘形态</w:t>
            </w:r>
          </w:p>
        </w:tc>
        <w:tc>
          <w:tcPr>
            <w:tcW w:w="5382" w:type="dxa"/>
            <w:tcBorders>
              <w:top w:val="single" w:color="000000" w:sz="2" w:space="0"/>
              <w:left w:val="single" w:color="000000" w:sz="2" w:space="0"/>
              <w:bottom w:val="single" w:color="000000" w:sz="2" w:space="0"/>
              <w:right w:val="single" w:color="000000" w:sz="2" w:space="0"/>
            </w:tcBorders>
            <w:vAlign w:val="center"/>
          </w:tcPr>
          <w:p w14:paraId="3BE9CB7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w:t>
            </w:r>
          </w:p>
        </w:tc>
      </w:tr>
      <w:tr w14:paraId="54EAD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0881B481">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19</w:t>
            </w:r>
          </w:p>
        </w:tc>
        <w:tc>
          <w:tcPr>
            <w:tcW w:w="1275" w:type="dxa"/>
            <w:vMerge w:val="continue"/>
            <w:tcBorders>
              <w:top w:val="nil"/>
              <w:left w:val="single" w:color="000000" w:sz="2" w:space="0"/>
              <w:bottom w:val="single" w:color="000000" w:sz="2" w:space="0"/>
              <w:right w:val="single" w:color="000000" w:sz="2" w:space="0"/>
            </w:tcBorders>
            <w:vAlign w:val="center"/>
          </w:tcPr>
          <w:p w14:paraId="1C350543">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64141C9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固态存储接口协议</w:t>
            </w:r>
          </w:p>
        </w:tc>
        <w:tc>
          <w:tcPr>
            <w:tcW w:w="5382" w:type="dxa"/>
            <w:tcBorders>
              <w:top w:val="single" w:color="000000" w:sz="2" w:space="0"/>
              <w:left w:val="single" w:color="000000" w:sz="2" w:space="0"/>
              <w:bottom w:val="single" w:color="000000" w:sz="2" w:space="0"/>
              <w:right w:val="single" w:color="000000" w:sz="2" w:space="0"/>
            </w:tcBorders>
            <w:vAlign w:val="center"/>
          </w:tcPr>
          <w:p w14:paraId="5E3D7F7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UFS/SATA/PCIe/NVMe/M.2 等类型接口协议</w:t>
            </w:r>
          </w:p>
        </w:tc>
      </w:tr>
      <w:tr w14:paraId="37853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7AA77C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20</w:t>
            </w:r>
          </w:p>
        </w:tc>
        <w:tc>
          <w:tcPr>
            <w:tcW w:w="1275" w:type="dxa"/>
            <w:vMerge w:val="continue"/>
            <w:tcBorders>
              <w:top w:val="nil"/>
              <w:left w:val="single" w:color="000000" w:sz="2" w:space="0"/>
              <w:bottom w:val="single" w:color="000000" w:sz="2" w:space="0"/>
              <w:right w:val="single" w:color="000000" w:sz="2" w:space="0"/>
            </w:tcBorders>
            <w:vAlign w:val="center"/>
          </w:tcPr>
          <w:p w14:paraId="2FA27B1A">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73C71F8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▲固态存储形态</w:t>
            </w:r>
          </w:p>
        </w:tc>
        <w:tc>
          <w:tcPr>
            <w:tcW w:w="5382" w:type="dxa"/>
            <w:tcBorders>
              <w:top w:val="single" w:color="000000" w:sz="2" w:space="0"/>
              <w:left w:val="single" w:color="000000" w:sz="2" w:space="0"/>
              <w:bottom w:val="single" w:color="000000" w:sz="2" w:space="0"/>
              <w:right w:val="single" w:color="000000" w:sz="2" w:space="0"/>
            </w:tcBorders>
            <w:vAlign w:val="center"/>
          </w:tcPr>
          <w:p w14:paraId="0F64395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采用插卡或板载等形态，插卡形态宜符合M.2 或mSATA等标准尺寸和接口定义</w:t>
            </w:r>
          </w:p>
        </w:tc>
      </w:tr>
      <w:tr w14:paraId="7A5A5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9337600">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21</w:t>
            </w:r>
          </w:p>
        </w:tc>
        <w:tc>
          <w:tcPr>
            <w:tcW w:w="1275" w:type="dxa"/>
            <w:vMerge w:val="continue"/>
            <w:tcBorders>
              <w:top w:val="nil"/>
              <w:left w:val="single" w:color="000000" w:sz="2" w:space="0"/>
              <w:bottom w:val="single" w:color="000000" w:sz="2" w:space="0"/>
              <w:right w:val="single" w:color="000000" w:sz="2" w:space="0"/>
            </w:tcBorders>
            <w:vAlign w:val="center"/>
          </w:tcPr>
          <w:p w14:paraId="3D617F6F">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C820A6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存储设备扩展盘位</w:t>
            </w:r>
          </w:p>
        </w:tc>
        <w:tc>
          <w:tcPr>
            <w:tcW w:w="5382" w:type="dxa"/>
            <w:tcBorders>
              <w:top w:val="single" w:color="000000" w:sz="2" w:space="0"/>
              <w:left w:val="single" w:color="000000" w:sz="2" w:space="0"/>
              <w:bottom w:val="single" w:color="000000" w:sz="2" w:space="0"/>
              <w:right w:val="single" w:color="000000" w:sz="2" w:space="0"/>
            </w:tcBorders>
            <w:vAlign w:val="center"/>
          </w:tcPr>
          <w:p w14:paraId="0755E5B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≥0</w:t>
            </w:r>
          </w:p>
        </w:tc>
      </w:tr>
      <w:tr w14:paraId="24572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D8F5D99">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22</w:t>
            </w:r>
          </w:p>
        </w:tc>
        <w:tc>
          <w:tcPr>
            <w:tcW w:w="1275" w:type="dxa"/>
            <w:vMerge w:val="continue"/>
            <w:tcBorders>
              <w:top w:val="nil"/>
              <w:left w:val="single" w:color="000000" w:sz="2" w:space="0"/>
              <w:bottom w:val="single" w:color="000000" w:sz="2" w:space="0"/>
              <w:right w:val="single" w:color="000000" w:sz="2" w:space="0"/>
            </w:tcBorders>
            <w:vAlign w:val="center"/>
          </w:tcPr>
          <w:p w14:paraId="5C8E3721">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812D911">
            <w:pPr>
              <w:pStyle w:val="347"/>
              <w:spacing w:before="38" w:after="0"/>
              <w:ind w:right="59"/>
              <w:rPr>
                <w:rFonts w:ascii="宋体" w:hAnsi="宋体" w:eastAsia="Times New Roman"/>
                <w:color w:val="auto"/>
                <w:spacing w:val="-4"/>
                <w:sz w:val="22"/>
                <w:szCs w:val="22"/>
              </w:rPr>
            </w:pPr>
          </w:p>
          <w:p w14:paraId="7C74AE7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▲存储设备其他参数要求</w:t>
            </w:r>
          </w:p>
        </w:tc>
        <w:tc>
          <w:tcPr>
            <w:tcW w:w="5382" w:type="dxa"/>
            <w:tcBorders>
              <w:top w:val="single" w:color="000000" w:sz="2" w:space="0"/>
              <w:left w:val="single" w:color="000000" w:sz="2" w:space="0"/>
              <w:bottom w:val="single" w:color="000000" w:sz="2" w:space="0"/>
              <w:right w:val="single" w:color="000000" w:sz="2" w:space="0"/>
            </w:tcBorders>
            <w:vAlign w:val="center"/>
          </w:tcPr>
          <w:p w14:paraId="14325F0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a）固态盘应符合 SJ/T 11654 相关规定；</w:t>
            </w:r>
          </w:p>
          <w:p w14:paraId="58CEC22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b）机械硬盘准备时间应不大于30s；</w:t>
            </w:r>
          </w:p>
          <w:p w14:paraId="32D1152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侧面固定螺丝孔数量可为 4 孔或 6 孔；工作状态环境温度应满足 5℃~55℃ ;其它参数应符合GB/T 12628 的相关规定</w:t>
            </w:r>
          </w:p>
        </w:tc>
      </w:tr>
      <w:tr w14:paraId="472B2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1A0F415">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23</w:t>
            </w:r>
          </w:p>
        </w:tc>
        <w:tc>
          <w:tcPr>
            <w:tcW w:w="1275" w:type="dxa"/>
            <w:vMerge w:val="restart"/>
            <w:tcBorders>
              <w:top w:val="nil"/>
              <w:left w:val="single" w:color="000000" w:sz="2" w:space="0"/>
              <w:bottom w:val="nil"/>
              <w:right w:val="single" w:color="000000" w:sz="2" w:space="0"/>
            </w:tcBorders>
            <w:vAlign w:val="center"/>
          </w:tcPr>
          <w:p w14:paraId="08F17A8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▲显卡规格</w:t>
            </w:r>
          </w:p>
        </w:tc>
        <w:tc>
          <w:tcPr>
            <w:tcW w:w="1701" w:type="dxa"/>
            <w:tcBorders>
              <w:top w:val="single" w:color="000000" w:sz="2" w:space="0"/>
              <w:left w:val="single" w:color="000000" w:sz="2" w:space="0"/>
              <w:bottom w:val="single" w:color="000000" w:sz="2" w:space="0"/>
              <w:right w:val="single" w:color="000000" w:sz="2" w:space="0"/>
            </w:tcBorders>
            <w:vAlign w:val="center"/>
          </w:tcPr>
          <w:p w14:paraId="10293B4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▲显卡类型</w:t>
            </w:r>
          </w:p>
        </w:tc>
        <w:tc>
          <w:tcPr>
            <w:tcW w:w="5382" w:type="dxa"/>
            <w:tcBorders>
              <w:top w:val="single" w:color="000000" w:sz="2" w:space="0"/>
              <w:left w:val="single" w:color="000000" w:sz="2" w:space="0"/>
              <w:bottom w:val="single" w:color="000000" w:sz="2" w:space="0"/>
              <w:right w:val="single" w:color="000000" w:sz="2" w:space="0"/>
            </w:tcBorders>
            <w:vAlign w:val="center"/>
          </w:tcPr>
          <w:p w14:paraId="59EB8E1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独立显卡,≥NVIDIA GeForce RTX 5070 Ti 12GB 移动版</w:t>
            </w:r>
          </w:p>
        </w:tc>
      </w:tr>
      <w:tr w14:paraId="00BA1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0A48BAC0">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24</w:t>
            </w:r>
          </w:p>
        </w:tc>
        <w:tc>
          <w:tcPr>
            <w:tcW w:w="1275" w:type="dxa"/>
            <w:vMerge w:val="continue"/>
            <w:tcBorders>
              <w:top w:val="nil"/>
              <w:left w:val="single" w:color="000000" w:sz="2" w:space="0"/>
              <w:bottom w:val="nil"/>
              <w:right w:val="single" w:color="000000" w:sz="2" w:space="0"/>
            </w:tcBorders>
            <w:vAlign w:val="center"/>
          </w:tcPr>
          <w:p w14:paraId="77EB1806">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E3E7AF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▲独立显卡显存类型</w:t>
            </w:r>
          </w:p>
        </w:tc>
        <w:tc>
          <w:tcPr>
            <w:tcW w:w="5382" w:type="dxa"/>
            <w:tcBorders>
              <w:top w:val="single" w:color="000000" w:sz="2" w:space="0"/>
              <w:left w:val="single" w:color="000000" w:sz="2" w:space="0"/>
              <w:bottom w:val="single" w:color="000000" w:sz="2" w:space="0"/>
              <w:right w:val="single" w:color="000000" w:sz="2" w:space="0"/>
            </w:tcBorders>
            <w:vAlign w:val="center"/>
          </w:tcPr>
          <w:p w14:paraId="4B38378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显存类型应为≥GDDR7</w:t>
            </w:r>
          </w:p>
        </w:tc>
      </w:tr>
      <w:tr w14:paraId="60349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C6434A3">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25</w:t>
            </w:r>
          </w:p>
        </w:tc>
        <w:tc>
          <w:tcPr>
            <w:tcW w:w="1275" w:type="dxa"/>
            <w:vMerge w:val="continue"/>
            <w:tcBorders>
              <w:top w:val="nil"/>
              <w:left w:val="single" w:color="000000" w:sz="2" w:space="0"/>
              <w:bottom w:val="nil"/>
              <w:right w:val="single" w:color="000000" w:sz="2" w:space="0"/>
            </w:tcBorders>
            <w:vAlign w:val="center"/>
          </w:tcPr>
          <w:p w14:paraId="4BD14B29">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6E79CBA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▲独立显卡显存位宽</w:t>
            </w:r>
          </w:p>
        </w:tc>
        <w:tc>
          <w:tcPr>
            <w:tcW w:w="5382" w:type="dxa"/>
            <w:tcBorders>
              <w:top w:val="single" w:color="000000" w:sz="2" w:space="0"/>
              <w:left w:val="single" w:color="000000" w:sz="2" w:space="0"/>
              <w:bottom w:val="single" w:color="000000" w:sz="2" w:space="0"/>
              <w:right w:val="single" w:color="000000" w:sz="2" w:space="0"/>
            </w:tcBorders>
            <w:vAlign w:val="center"/>
          </w:tcPr>
          <w:p w14:paraId="7B7991F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显存位宽≥192位</w:t>
            </w:r>
          </w:p>
        </w:tc>
      </w:tr>
      <w:tr w14:paraId="5A323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7BFFD4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26</w:t>
            </w:r>
          </w:p>
        </w:tc>
        <w:tc>
          <w:tcPr>
            <w:tcW w:w="1275" w:type="dxa"/>
            <w:vMerge w:val="continue"/>
            <w:tcBorders>
              <w:top w:val="nil"/>
              <w:left w:val="single" w:color="000000" w:sz="2" w:space="0"/>
              <w:bottom w:val="nil"/>
              <w:right w:val="single" w:color="000000" w:sz="2" w:space="0"/>
            </w:tcBorders>
            <w:vAlign w:val="center"/>
          </w:tcPr>
          <w:p w14:paraId="78DF3CB3">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7CA3EA5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▲独立显卡显存容量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40A54C2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显存容量≥12GB</w:t>
            </w:r>
          </w:p>
        </w:tc>
      </w:tr>
      <w:tr w14:paraId="27BCD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B35D2D7">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27</w:t>
            </w:r>
          </w:p>
        </w:tc>
        <w:tc>
          <w:tcPr>
            <w:tcW w:w="1275" w:type="dxa"/>
            <w:vMerge w:val="continue"/>
            <w:tcBorders>
              <w:top w:val="nil"/>
              <w:left w:val="single" w:color="000000" w:sz="2" w:space="0"/>
              <w:bottom w:val="nil"/>
              <w:right w:val="single" w:color="000000" w:sz="2" w:space="0"/>
            </w:tcBorders>
            <w:vAlign w:val="center"/>
          </w:tcPr>
          <w:p w14:paraId="03511B5D">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221A735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独立显卡接口协议</w:t>
            </w:r>
          </w:p>
        </w:tc>
        <w:tc>
          <w:tcPr>
            <w:tcW w:w="5382" w:type="dxa"/>
            <w:tcBorders>
              <w:top w:val="single" w:color="000000" w:sz="2" w:space="0"/>
              <w:left w:val="single" w:color="000000" w:sz="2" w:space="0"/>
              <w:bottom w:val="single" w:color="000000" w:sz="2" w:space="0"/>
              <w:right w:val="single" w:color="000000" w:sz="2" w:space="0"/>
            </w:tcBorders>
            <w:vAlign w:val="center"/>
          </w:tcPr>
          <w:p w14:paraId="2DB154D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产品支持 PCIe 协议版本大于等于2.0或 HT（HyperTransport）协议版本大于等于3.0 的独立显卡接口协议</w:t>
            </w:r>
          </w:p>
        </w:tc>
      </w:tr>
      <w:tr w14:paraId="0E91F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084B340C">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28</w:t>
            </w:r>
          </w:p>
        </w:tc>
        <w:tc>
          <w:tcPr>
            <w:tcW w:w="1275" w:type="dxa"/>
            <w:vMerge w:val="restart"/>
            <w:tcBorders>
              <w:top w:val="nil"/>
              <w:left w:val="single" w:color="000000" w:sz="2" w:space="0"/>
              <w:bottom w:val="nil"/>
              <w:right w:val="single" w:color="000000" w:sz="2" w:space="0"/>
            </w:tcBorders>
            <w:vAlign w:val="center"/>
          </w:tcPr>
          <w:p w14:paraId="64C2D068">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▲显示设备规格</w:t>
            </w:r>
          </w:p>
        </w:tc>
        <w:tc>
          <w:tcPr>
            <w:tcW w:w="1701" w:type="dxa"/>
            <w:tcBorders>
              <w:top w:val="single" w:color="000000" w:sz="2" w:space="0"/>
              <w:left w:val="single" w:color="000000" w:sz="2" w:space="0"/>
              <w:bottom w:val="single" w:color="000000" w:sz="2" w:space="0"/>
              <w:right w:val="single" w:color="000000" w:sz="2" w:space="0"/>
            </w:tcBorders>
            <w:vAlign w:val="center"/>
          </w:tcPr>
          <w:p w14:paraId="670DD865">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▲显示屏屏占比</w:t>
            </w:r>
          </w:p>
        </w:tc>
        <w:tc>
          <w:tcPr>
            <w:tcW w:w="5382" w:type="dxa"/>
            <w:tcBorders>
              <w:top w:val="single" w:color="000000" w:sz="2" w:space="0"/>
              <w:left w:val="single" w:color="000000" w:sz="2" w:space="0"/>
              <w:bottom w:val="single" w:color="000000" w:sz="2" w:space="0"/>
              <w:right w:val="single" w:color="000000" w:sz="2" w:space="0"/>
            </w:tcBorders>
            <w:vAlign w:val="center"/>
          </w:tcPr>
          <w:p w14:paraId="722C76D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≥80%</w:t>
            </w:r>
          </w:p>
        </w:tc>
      </w:tr>
      <w:tr w14:paraId="601FA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672D151">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29</w:t>
            </w:r>
          </w:p>
        </w:tc>
        <w:tc>
          <w:tcPr>
            <w:tcW w:w="1275" w:type="dxa"/>
            <w:vMerge w:val="continue"/>
            <w:tcBorders>
              <w:top w:val="nil"/>
              <w:left w:val="single" w:color="000000" w:sz="2" w:space="0"/>
              <w:bottom w:val="nil"/>
              <w:right w:val="single" w:color="000000" w:sz="2" w:space="0"/>
            </w:tcBorders>
            <w:vAlign w:val="center"/>
          </w:tcPr>
          <w:p w14:paraId="7517D32E">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78A4B4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显示屏分辨率</w:t>
            </w:r>
          </w:p>
        </w:tc>
        <w:tc>
          <w:tcPr>
            <w:tcW w:w="5382" w:type="dxa"/>
            <w:tcBorders>
              <w:top w:val="single" w:color="000000" w:sz="2" w:space="0"/>
              <w:left w:val="single" w:color="000000" w:sz="2" w:space="0"/>
              <w:bottom w:val="single" w:color="000000" w:sz="2" w:space="0"/>
              <w:right w:val="single" w:color="000000" w:sz="2" w:space="0"/>
            </w:tcBorders>
            <w:vAlign w:val="center"/>
          </w:tcPr>
          <w:p w14:paraId="3F536FD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≥2.5K（2560×1600）</w:t>
            </w:r>
          </w:p>
        </w:tc>
      </w:tr>
      <w:tr w14:paraId="350C1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AE8F842">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30</w:t>
            </w:r>
          </w:p>
        </w:tc>
        <w:tc>
          <w:tcPr>
            <w:tcW w:w="1275" w:type="dxa"/>
            <w:vMerge w:val="continue"/>
            <w:tcBorders>
              <w:top w:val="nil"/>
              <w:left w:val="single" w:color="000000" w:sz="2" w:space="0"/>
              <w:bottom w:val="nil"/>
              <w:right w:val="single" w:color="000000" w:sz="2" w:space="0"/>
            </w:tcBorders>
            <w:vAlign w:val="center"/>
          </w:tcPr>
          <w:p w14:paraId="02A92895">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6DCFC67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显示屏像素密度</w:t>
            </w:r>
          </w:p>
        </w:tc>
        <w:tc>
          <w:tcPr>
            <w:tcW w:w="5382" w:type="dxa"/>
            <w:tcBorders>
              <w:top w:val="single" w:color="000000" w:sz="2" w:space="0"/>
              <w:left w:val="single" w:color="000000" w:sz="2" w:space="0"/>
              <w:bottom w:val="single" w:color="000000" w:sz="2" w:space="0"/>
              <w:right w:val="single" w:color="000000" w:sz="2" w:space="0"/>
            </w:tcBorders>
            <w:vAlign w:val="center"/>
          </w:tcPr>
          <w:p w14:paraId="3625F24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≥120 像素/英寸</w:t>
            </w:r>
          </w:p>
        </w:tc>
      </w:tr>
      <w:tr w14:paraId="066DA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989345E">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31</w:t>
            </w:r>
          </w:p>
        </w:tc>
        <w:tc>
          <w:tcPr>
            <w:tcW w:w="1275" w:type="dxa"/>
            <w:vMerge w:val="continue"/>
            <w:tcBorders>
              <w:top w:val="nil"/>
              <w:left w:val="single" w:color="000000" w:sz="2" w:space="0"/>
              <w:bottom w:val="nil"/>
              <w:right w:val="single" w:color="000000" w:sz="2" w:space="0"/>
            </w:tcBorders>
            <w:vAlign w:val="center"/>
          </w:tcPr>
          <w:p w14:paraId="65C5B5A0">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7DCDC6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显示屏可视角度</w:t>
            </w:r>
          </w:p>
        </w:tc>
        <w:tc>
          <w:tcPr>
            <w:tcW w:w="5382" w:type="dxa"/>
            <w:tcBorders>
              <w:top w:val="single" w:color="000000" w:sz="2" w:space="0"/>
              <w:left w:val="single" w:color="000000" w:sz="2" w:space="0"/>
              <w:bottom w:val="single" w:color="000000" w:sz="2" w:space="0"/>
              <w:right w:val="single" w:color="000000" w:sz="2" w:space="0"/>
            </w:tcBorders>
            <w:vAlign w:val="center"/>
          </w:tcPr>
          <w:p w14:paraId="79137C85">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水平≥170 °</w:t>
            </w:r>
          </w:p>
        </w:tc>
      </w:tr>
      <w:tr w14:paraId="70CBC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F1FEA9A">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32</w:t>
            </w:r>
          </w:p>
        </w:tc>
        <w:tc>
          <w:tcPr>
            <w:tcW w:w="1275" w:type="dxa"/>
            <w:vMerge w:val="continue"/>
            <w:tcBorders>
              <w:top w:val="nil"/>
              <w:left w:val="single" w:color="000000" w:sz="2" w:space="0"/>
              <w:bottom w:val="nil"/>
              <w:right w:val="single" w:color="000000" w:sz="2" w:space="0"/>
            </w:tcBorders>
            <w:vAlign w:val="center"/>
          </w:tcPr>
          <w:p w14:paraId="23F613C8">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6EA3798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▲显示屏尺寸</w:t>
            </w:r>
          </w:p>
        </w:tc>
        <w:tc>
          <w:tcPr>
            <w:tcW w:w="5382" w:type="dxa"/>
            <w:tcBorders>
              <w:top w:val="single" w:color="000000" w:sz="2" w:space="0"/>
              <w:left w:val="single" w:color="000000" w:sz="2" w:space="0"/>
              <w:bottom w:val="single" w:color="000000" w:sz="2" w:space="0"/>
              <w:right w:val="single" w:color="000000" w:sz="2" w:space="0"/>
            </w:tcBorders>
            <w:vAlign w:val="center"/>
          </w:tcPr>
          <w:p w14:paraId="1C89F16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≥18英寸</w:t>
            </w:r>
          </w:p>
        </w:tc>
      </w:tr>
      <w:tr w14:paraId="4AA5D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F1BF1F3">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33</w:t>
            </w:r>
          </w:p>
        </w:tc>
        <w:tc>
          <w:tcPr>
            <w:tcW w:w="1275" w:type="dxa"/>
            <w:vMerge w:val="continue"/>
            <w:tcBorders>
              <w:top w:val="nil"/>
              <w:left w:val="single" w:color="000000" w:sz="2" w:space="0"/>
              <w:bottom w:val="nil"/>
              <w:right w:val="single" w:color="000000" w:sz="2" w:space="0"/>
            </w:tcBorders>
            <w:vAlign w:val="center"/>
          </w:tcPr>
          <w:p w14:paraId="6D47F3D1">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9D285E5">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▲显示屏屏幕比例</w:t>
            </w:r>
          </w:p>
        </w:tc>
        <w:tc>
          <w:tcPr>
            <w:tcW w:w="5382" w:type="dxa"/>
            <w:tcBorders>
              <w:top w:val="single" w:color="000000" w:sz="2" w:space="0"/>
              <w:left w:val="single" w:color="000000" w:sz="2" w:space="0"/>
              <w:bottom w:val="single" w:color="000000" w:sz="2" w:space="0"/>
              <w:right w:val="single" w:color="000000" w:sz="2" w:space="0"/>
            </w:tcBorders>
            <w:vAlign w:val="center"/>
          </w:tcPr>
          <w:p w14:paraId="2B19EE0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16:10</w:t>
            </w:r>
          </w:p>
        </w:tc>
      </w:tr>
      <w:tr w14:paraId="4726B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03774369">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34</w:t>
            </w:r>
          </w:p>
        </w:tc>
        <w:tc>
          <w:tcPr>
            <w:tcW w:w="1275" w:type="dxa"/>
            <w:vMerge w:val="continue"/>
            <w:tcBorders>
              <w:top w:val="nil"/>
              <w:left w:val="single" w:color="000000" w:sz="2" w:space="0"/>
              <w:bottom w:val="nil"/>
              <w:right w:val="single" w:color="000000" w:sz="2" w:space="0"/>
            </w:tcBorders>
            <w:vAlign w:val="center"/>
          </w:tcPr>
          <w:p w14:paraId="53F609CA">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530A0F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▲显示器外观颜色</w:t>
            </w:r>
          </w:p>
        </w:tc>
        <w:tc>
          <w:tcPr>
            <w:tcW w:w="5382" w:type="dxa"/>
            <w:tcBorders>
              <w:top w:val="single" w:color="000000" w:sz="2" w:space="0"/>
              <w:left w:val="single" w:color="000000" w:sz="2" w:space="0"/>
              <w:bottom w:val="single" w:color="000000" w:sz="2" w:space="0"/>
              <w:right w:val="single" w:color="000000" w:sz="2" w:space="0"/>
            </w:tcBorders>
            <w:vAlign w:val="center"/>
          </w:tcPr>
          <w:p w14:paraId="1E2FEA5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黑色/白色/银色等商务色系</w:t>
            </w:r>
          </w:p>
        </w:tc>
      </w:tr>
      <w:tr w14:paraId="3B554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07785FBB">
            <w:pPr>
              <w:pStyle w:val="347"/>
              <w:spacing w:before="38" w:after="0"/>
              <w:ind w:right="59"/>
              <w:jc w:val="center"/>
              <w:rPr>
                <w:rFonts w:ascii="宋体" w:hAnsi="宋体" w:eastAsia="Times New Roman"/>
                <w:color w:val="auto"/>
                <w:spacing w:val="-4"/>
                <w:sz w:val="22"/>
                <w:szCs w:val="22"/>
              </w:rPr>
            </w:pPr>
          </w:p>
          <w:p w14:paraId="1A9CBC14">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35</w:t>
            </w:r>
          </w:p>
        </w:tc>
        <w:tc>
          <w:tcPr>
            <w:tcW w:w="1275" w:type="dxa"/>
            <w:vMerge w:val="continue"/>
            <w:tcBorders>
              <w:top w:val="nil"/>
              <w:left w:val="single" w:color="000000" w:sz="2" w:space="0"/>
              <w:bottom w:val="nil"/>
              <w:right w:val="single" w:color="000000" w:sz="2" w:space="0"/>
            </w:tcBorders>
            <w:vAlign w:val="center"/>
          </w:tcPr>
          <w:p w14:paraId="3E25969E">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1C21E8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▲显示屏防蓝光</w:t>
            </w:r>
          </w:p>
        </w:tc>
        <w:tc>
          <w:tcPr>
            <w:tcW w:w="5382" w:type="dxa"/>
            <w:tcBorders>
              <w:top w:val="single" w:color="000000" w:sz="2" w:space="0"/>
              <w:left w:val="single" w:color="000000" w:sz="2" w:space="0"/>
              <w:bottom w:val="single" w:color="000000" w:sz="2" w:space="0"/>
              <w:right w:val="single" w:color="000000" w:sz="2" w:space="0"/>
            </w:tcBorders>
            <w:vAlign w:val="center"/>
          </w:tcPr>
          <w:p w14:paraId="3C672DB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支持防蓝光模式，蓝光加权辐射亮度比应≤0.0012W/( ·cd ·sr)（瓦每坎特拉每球面度）</w:t>
            </w:r>
          </w:p>
        </w:tc>
      </w:tr>
      <w:tr w14:paraId="32514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7D08ECCD">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36</w:t>
            </w:r>
          </w:p>
        </w:tc>
        <w:tc>
          <w:tcPr>
            <w:tcW w:w="1275" w:type="dxa"/>
            <w:vMerge w:val="continue"/>
            <w:tcBorders>
              <w:top w:val="nil"/>
              <w:left w:val="single" w:color="000000" w:sz="2" w:space="0"/>
              <w:bottom w:val="nil"/>
              <w:right w:val="single" w:color="000000" w:sz="2" w:space="0"/>
            </w:tcBorders>
            <w:vAlign w:val="center"/>
          </w:tcPr>
          <w:p w14:paraId="6842C136">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04AAF3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▲显示屏低频闪</w:t>
            </w:r>
          </w:p>
        </w:tc>
        <w:tc>
          <w:tcPr>
            <w:tcW w:w="5382" w:type="dxa"/>
            <w:tcBorders>
              <w:top w:val="single" w:color="000000" w:sz="2" w:space="0"/>
              <w:left w:val="single" w:color="000000" w:sz="2" w:space="0"/>
              <w:bottom w:val="single" w:color="000000" w:sz="2" w:space="0"/>
              <w:right w:val="single" w:color="000000" w:sz="2" w:space="0"/>
            </w:tcBorders>
            <w:vAlign w:val="center"/>
          </w:tcPr>
          <w:p w14:paraId="791F691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显示屏应支持低频闪≤-35dB</w:t>
            </w:r>
          </w:p>
        </w:tc>
      </w:tr>
      <w:tr w14:paraId="6F7CE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13F86EA">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37</w:t>
            </w:r>
          </w:p>
        </w:tc>
        <w:tc>
          <w:tcPr>
            <w:tcW w:w="1275" w:type="dxa"/>
            <w:vMerge w:val="continue"/>
            <w:tcBorders>
              <w:top w:val="nil"/>
              <w:left w:val="single" w:color="000000" w:sz="2" w:space="0"/>
              <w:bottom w:val="nil"/>
              <w:right w:val="single" w:color="000000" w:sz="2" w:space="0"/>
            </w:tcBorders>
            <w:vAlign w:val="center"/>
          </w:tcPr>
          <w:p w14:paraId="1E91708E">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742A87C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▲显示屏防炫目</w:t>
            </w:r>
          </w:p>
        </w:tc>
        <w:tc>
          <w:tcPr>
            <w:tcW w:w="5382" w:type="dxa"/>
            <w:tcBorders>
              <w:top w:val="single" w:color="000000" w:sz="2" w:space="0"/>
              <w:left w:val="single" w:color="000000" w:sz="2" w:space="0"/>
              <w:bottom w:val="single" w:color="000000" w:sz="2" w:space="0"/>
              <w:right w:val="single" w:color="000000" w:sz="2" w:space="0"/>
            </w:tcBorders>
            <w:vAlign w:val="center"/>
          </w:tcPr>
          <w:p w14:paraId="0896FC6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显示屏镜面反射率≤10%</w:t>
            </w:r>
          </w:p>
        </w:tc>
      </w:tr>
      <w:tr w14:paraId="6A04F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B892F25">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38</w:t>
            </w:r>
          </w:p>
        </w:tc>
        <w:tc>
          <w:tcPr>
            <w:tcW w:w="1275" w:type="dxa"/>
            <w:vMerge w:val="restart"/>
            <w:tcBorders>
              <w:top w:val="nil"/>
              <w:left w:val="single" w:color="000000" w:sz="2" w:space="0"/>
              <w:bottom w:val="single" w:color="000000" w:sz="2" w:space="0"/>
              <w:right w:val="single" w:color="000000" w:sz="2" w:space="0"/>
            </w:tcBorders>
            <w:vAlign w:val="center"/>
          </w:tcPr>
          <w:p w14:paraId="05E64CC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▲外设规格</w:t>
            </w:r>
          </w:p>
        </w:tc>
        <w:tc>
          <w:tcPr>
            <w:tcW w:w="1701" w:type="dxa"/>
            <w:tcBorders>
              <w:top w:val="single" w:color="000000" w:sz="2" w:space="0"/>
              <w:left w:val="single" w:color="000000" w:sz="2" w:space="0"/>
              <w:bottom w:val="single" w:color="000000" w:sz="2" w:space="0"/>
              <w:right w:val="single" w:color="000000" w:sz="2" w:space="0"/>
            </w:tcBorders>
            <w:vAlign w:val="center"/>
          </w:tcPr>
          <w:p w14:paraId="344AE0A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传声器数量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321EB98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≥0</w:t>
            </w:r>
          </w:p>
        </w:tc>
      </w:tr>
      <w:tr w14:paraId="27291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7BD155C7">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39</w:t>
            </w:r>
          </w:p>
        </w:tc>
        <w:tc>
          <w:tcPr>
            <w:tcW w:w="1275" w:type="dxa"/>
            <w:vMerge w:val="continue"/>
            <w:tcBorders>
              <w:top w:val="nil"/>
              <w:left w:val="single" w:color="000000" w:sz="2" w:space="0"/>
              <w:bottom w:val="single" w:color="000000" w:sz="2" w:space="0"/>
              <w:right w:val="single" w:color="000000" w:sz="2" w:space="0"/>
            </w:tcBorders>
            <w:vAlign w:val="center"/>
          </w:tcPr>
          <w:p w14:paraId="1BF4A6F4">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77239BE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扬声器数量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1F5E7DD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≥0</w:t>
            </w:r>
          </w:p>
        </w:tc>
      </w:tr>
      <w:tr w14:paraId="48082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1E82D6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40</w:t>
            </w:r>
          </w:p>
        </w:tc>
        <w:tc>
          <w:tcPr>
            <w:tcW w:w="1275" w:type="dxa"/>
            <w:vMerge w:val="continue"/>
            <w:tcBorders>
              <w:top w:val="nil"/>
              <w:left w:val="single" w:color="000000" w:sz="2" w:space="0"/>
              <w:bottom w:val="single" w:color="000000" w:sz="2" w:space="0"/>
              <w:right w:val="single" w:color="000000" w:sz="2" w:space="0"/>
            </w:tcBorders>
            <w:vAlign w:val="center"/>
          </w:tcPr>
          <w:p w14:paraId="0DB99D8D">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1F098B2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▲鼠标数量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367A2E2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≥1个</w:t>
            </w:r>
          </w:p>
        </w:tc>
      </w:tr>
      <w:tr w14:paraId="5E2F5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BE34823">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41</w:t>
            </w:r>
          </w:p>
        </w:tc>
        <w:tc>
          <w:tcPr>
            <w:tcW w:w="1275" w:type="dxa"/>
            <w:vMerge w:val="continue"/>
            <w:tcBorders>
              <w:top w:val="nil"/>
              <w:left w:val="single" w:color="000000" w:sz="2" w:space="0"/>
              <w:bottom w:val="single" w:color="000000" w:sz="2" w:space="0"/>
              <w:right w:val="single" w:color="000000" w:sz="2" w:space="0"/>
            </w:tcBorders>
            <w:vAlign w:val="center"/>
          </w:tcPr>
          <w:p w14:paraId="613C6C75">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2EC8391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▲键盘数量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7D3F5E7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≥1个</w:t>
            </w:r>
          </w:p>
        </w:tc>
      </w:tr>
      <w:tr w14:paraId="5B8AE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F187063">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42</w:t>
            </w:r>
          </w:p>
        </w:tc>
        <w:tc>
          <w:tcPr>
            <w:tcW w:w="1275" w:type="dxa"/>
            <w:vMerge w:val="continue"/>
            <w:tcBorders>
              <w:top w:val="nil"/>
              <w:left w:val="single" w:color="000000" w:sz="2" w:space="0"/>
              <w:bottom w:val="single" w:color="000000" w:sz="2" w:space="0"/>
              <w:right w:val="single" w:color="000000" w:sz="2" w:space="0"/>
            </w:tcBorders>
            <w:vAlign w:val="center"/>
          </w:tcPr>
          <w:p w14:paraId="73D65625">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D01506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▲摄像头数量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6A118BE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≥1个</w:t>
            </w:r>
          </w:p>
        </w:tc>
      </w:tr>
      <w:tr w14:paraId="47F4D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9CDC2E7">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43</w:t>
            </w:r>
          </w:p>
        </w:tc>
        <w:tc>
          <w:tcPr>
            <w:tcW w:w="1275" w:type="dxa"/>
            <w:vMerge w:val="continue"/>
            <w:tcBorders>
              <w:top w:val="nil"/>
              <w:left w:val="single" w:color="000000" w:sz="2" w:space="0"/>
              <w:bottom w:val="single" w:color="000000" w:sz="2" w:space="0"/>
              <w:right w:val="single" w:color="000000" w:sz="2" w:space="0"/>
            </w:tcBorders>
            <w:vAlign w:val="center"/>
          </w:tcPr>
          <w:p w14:paraId="23E18F31">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12B9831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光驱数量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6746C00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≥0 个</w:t>
            </w:r>
          </w:p>
        </w:tc>
      </w:tr>
      <w:tr w14:paraId="29665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805F1E7">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44</w:t>
            </w:r>
          </w:p>
        </w:tc>
        <w:tc>
          <w:tcPr>
            <w:tcW w:w="1275" w:type="dxa"/>
            <w:vMerge w:val="continue"/>
            <w:tcBorders>
              <w:top w:val="nil"/>
              <w:left w:val="single" w:color="000000" w:sz="2" w:space="0"/>
              <w:bottom w:val="single" w:color="000000" w:sz="2" w:space="0"/>
              <w:right w:val="single" w:color="000000" w:sz="2" w:space="0"/>
            </w:tcBorders>
            <w:vAlign w:val="center"/>
          </w:tcPr>
          <w:p w14:paraId="127B0FBD">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6BA5AEA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▲键盘按键数目</w:t>
            </w:r>
          </w:p>
        </w:tc>
        <w:tc>
          <w:tcPr>
            <w:tcW w:w="5382" w:type="dxa"/>
            <w:tcBorders>
              <w:top w:val="single" w:color="000000" w:sz="2" w:space="0"/>
              <w:left w:val="single" w:color="000000" w:sz="2" w:space="0"/>
              <w:bottom w:val="single" w:color="000000" w:sz="2" w:space="0"/>
              <w:right w:val="single" w:color="000000" w:sz="2" w:space="0"/>
            </w:tcBorders>
            <w:vAlign w:val="center"/>
          </w:tcPr>
          <w:p w14:paraId="1831F4E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61 键/86 键/101 键/104 键等</w:t>
            </w:r>
          </w:p>
        </w:tc>
      </w:tr>
      <w:tr w14:paraId="441AC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6F4FD80">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45</w:t>
            </w:r>
          </w:p>
        </w:tc>
        <w:tc>
          <w:tcPr>
            <w:tcW w:w="1275" w:type="dxa"/>
            <w:vMerge w:val="continue"/>
            <w:tcBorders>
              <w:top w:val="nil"/>
              <w:left w:val="single" w:color="000000" w:sz="2" w:space="0"/>
              <w:bottom w:val="single" w:color="000000" w:sz="2" w:space="0"/>
              <w:right w:val="single" w:color="000000" w:sz="2" w:space="0"/>
            </w:tcBorders>
            <w:vAlign w:val="center"/>
          </w:tcPr>
          <w:p w14:paraId="4F02D558">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7ADE361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▲摄像头像素</w:t>
            </w:r>
          </w:p>
        </w:tc>
        <w:tc>
          <w:tcPr>
            <w:tcW w:w="5382" w:type="dxa"/>
            <w:tcBorders>
              <w:top w:val="single" w:color="000000" w:sz="2" w:space="0"/>
              <w:left w:val="single" w:color="000000" w:sz="2" w:space="0"/>
              <w:bottom w:val="single" w:color="000000" w:sz="2" w:space="0"/>
              <w:right w:val="single" w:color="000000" w:sz="2" w:space="0"/>
            </w:tcBorders>
            <w:vAlign w:val="center"/>
          </w:tcPr>
          <w:p w14:paraId="7FB2CD9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≥200 万</w:t>
            </w:r>
          </w:p>
        </w:tc>
      </w:tr>
      <w:tr w14:paraId="71103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2E7E5C8">
            <w:pPr>
              <w:pStyle w:val="347"/>
              <w:spacing w:before="38" w:after="0"/>
              <w:ind w:right="59"/>
              <w:jc w:val="center"/>
              <w:rPr>
                <w:rFonts w:ascii="宋体" w:hAnsi="宋体" w:eastAsia="Times New Roman"/>
                <w:color w:val="auto"/>
                <w:spacing w:val="-4"/>
                <w:sz w:val="22"/>
                <w:szCs w:val="22"/>
              </w:rPr>
            </w:pPr>
          </w:p>
          <w:p w14:paraId="50F4B81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46</w:t>
            </w:r>
          </w:p>
        </w:tc>
        <w:tc>
          <w:tcPr>
            <w:tcW w:w="1275" w:type="dxa"/>
            <w:vMerge w:val="continue"/>
            <w:tcBorders>
              <w:top w:val="nil"/>
              <w:left w:val="single" w:color="000000" w:sz="2" w:space="0"/>
              <w:bottom w:val="single" w:color="000000" w:sz="2" w:space="0"/>
              <w:right w:val="single" w:color="000000" w:sz="2" w:space="0"/>
            </w:tcBorders>
            <w:vAlign w:val="center"/>
          </w:tcPr>
          <w:p w14:paraId="7BC6E45B">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23B6A14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▲摄像头分辨率</w:t>
            </w:r>
          </w:p>
        </w:tc>
        <w:tc>
          <w:tcPr>
            <w:tcW w:w="5382" w:type="dxa"/>
            <w:tcBorders>
              <w:top w:val="single" w:color="000000" w:sz="2" w:space="0"/>
              <w:left w:val="single" w:color="000000" w:sz="2" w:space="0"/>
              <w:bottom w:val="single" w:color="000000" w:sz="2" w:space="0"/>
              <w:right w:val="single" w:color="000000" w:sz="2" w:space="0"/>
            </w:tcBorders>
            <w:vAlign w:val="center"/>
          </w:tcPr>
          <w:p w14:paraId="7ECE1D24">
            <w:pPr>
              <w:pStyle w:val="347"/>
              <w:spacing w:before="38" w:after="0"/>
              <w:ind w:right="59"/>
              <w:rPr>
                <w:rFonts w:ascii="宋体" w:hAnsi="宋体" w:eastAsia="Times New Roman"/>
                <w:color w:val="auto"/>
                <w:spacing w:val="-4"/>
                <w:sz w:val="22"/>
                <w:szCs w:val="22"/>
              </w:rPr>
            </w:pPr>
          </w:p>
          <w:p w14:paraId="3B43DB7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≥1920×1080</w:t>
            </w:r>
          </w:p>
        </w:tc>
      </w:tr>
      <w:tr w14:paraId="0E317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4B7C358">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47</w:t>
            </w:r>
          </w:p>
        </w:tc>
        <w:tc>
          <w:tcPr>
            <w:tcW w:w="1275" w:type="dxa"/>
            <w:vMerge w:val="continue"/>
            <w:tcBorders>
              <w:top w:val="nil"/>
              <w:left w:val="single" w:color="000000" w:sz="2" w:space="0"/>
              <w:bottom w:val="single" w:color="000000" w:sz="2" w:space="0"/>
              <w:right w:val="single" w:color="000000" w:sz="2" w:space="0"/>
            </w:tcBorders>
            <w:vAlign w:val="center"/>
          </w:tcPr>
          <w:p w14:paraId="38735DB7">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22C3F81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▲扬声器功率</w:t>
            </w:r>
          </w:p>
        </w:tc>
        <w:tc>
          <w:tcPr>
            <w:tcW w:w="5382" w:type="dxa"/>
            <w:tcBorders>
              <w:top w:val="single" w:color="000000" w:sz="2" w:space="0"/>
              <w:left w:val="single" w:color="000000" w:sz="2" w:space="0"/>
              <w:bottom w:val="single" w:color="000000" w:sz="2" w:space="0"/>
              <w:right w:val="single" w:color="000000" w:sz="2" w:space="0"/>
            </w:tcBorders>
            <w:vAlign w:val="center"/>
          </w:tcPr>
          <w:p w14:paraId="32A7D64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 瓦/个</w:t>
            </w:r>
          </w:p>
        </w:tc>
      </w:tr>
      <w:tr w14:paraId="549CA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54BC83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48</w:t>
            </w:r>
          </w:p>
        </w:tc>
        <w:tc>
          <w:tcPr>
            <w:tcW w:w="1275" w:type="dxa"/>
            <w:vMerge w:val="continue"/>
            <w:tcBorders>
              <w:top w:val="nil"/>
              <w:left w:val="single" w:color="000000" w:sz="2" w:space="0"/>
              <w:bottom w:val="single" w:color="000000" w:sz="2" w:space="0"/>
              <w:right w:val="single" w:color="000000" w:sz="2" w:space="0"/>
            </w:tcBorders>
            <w:vAlign w:val="center"/>
          </w:tcPr>
          <w:p w14:paraId="1950E747">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0955C4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▲扬声器频率范围</w:t>
            </w:r>
          </w:p>
        </w:tc>
        <w:tc>
          <w:tcPr>
            <w:tcW w:w="5382" w:type="dxa"/>
            <w:tcBorders>
              <w:top w:val="single" w:color="000000" w:sz="2" w:space="0"/>
              <w:left w:val="single" w:color="000000" w:sz="2" w:space="0"/>
              <w:bottom w:val="single" w:color="000000" w:sz="2" w:space="0"/>
              <w:right w:val="single" w:color="000000" w:sz="2" w:space="0"/>
            </w:tcBorders>
            <w:vAlign w:val="center"/>
          </w:tcPr>
          <w:p w14:paraId="7285B19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不低于（100Hz-8kHz）范围</w:t>
            </w:r>
          </w:p>
        </w:tc>
      </w:tr>
      <w:tr w14:paraId="6EF20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B6B80BE">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49</w:t>
            </w:r>
          </w:p>
        </w:tc>
        <w:tc>
          <w:tcPr>
            <w:tcW w:w="1275" w:type="dxa"/>
            <w:vMerge w:val="continue"/>
            <w:tcBorders>
              <w:top w:val="nil"/>
              <w:left w:val="single" w:color="000000" w:sz="2" w:space="0"/>
              <w:bottom w:val="single" w:color="000000" w:sz="2" w:space="0"/>
              <w:right w:val="single" w:color="000000" w:sz="2" w:space="0"/>
            </w:tcBorders>
            <w:vAlign w:val="center"/>
          </w:tcPr>
          <w:p w14:paraId="62E9935C">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69E9C58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扬声器总谐波失真</w:t>
            </w:r>
          </w:p>
        </w:tc>
        <w:tc>
          <w:tcPr>
            <w:tcW w:w="5382" w:type="dxa"/>
            <w:tcBorders>
              <w:top w:val="single" w:color="000000" w:sz="2" w:space="0"/>
              <w:left w:val="single" w:color="000000" w:sz="2" w:space="0"/>
              <w:bottom w:val="single" w:color="000000" w:sz="2" w:space="0"/>
              <w:right w:val="single" w:color="000000" w:sz="2" w:space="0"/>
            </w:tcBorders>
            <w:vAlign w:val="center"/>
          </w:tcPr>
          <w:p w14:paraId="498CDD8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谐波失真在 100Hz-7kHz 频率范围内不高于 10%</w:t>
            </w:r>
          </w:p>
        </w:tc>
      </w:tr>
      <w:tr w14:paraId="7062E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D22A9B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50</w:t>
            </w:r>
          </w:p>
        </w:tc>
        <w:tc>
          <w:tcPr>
            <w:tcW w:w="1275" w:type="dxa"/>
            <w:vMerge w:val="continue"/>
            <w:tcBorders>
              <w:top w:val="nil"/>
              <w:left w:val="single" w:color="000000" w:sz="2" w:space="0"/>
              <w:bottom w:val="single" w:color="000000" w:sz="2" w:space="0"/>
              <w:right w:val="single" w:color="000000" w:sz="2" w:space="0"/>
            </w:tcBorders>
            <w:vAlign w:val="center"/>
          </w:tcPr>
          <w:p w14:paraId="4FE059DC">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7CB9327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扬声器最大声压级</w:t>
            </w:r>
          </w:p>
        </w:tc>
        <w:tc>
          <w:tcPr>
            <w:tcW w:w="5382" w:type="dxa"/>
            <w:tcBorders>
              <w:top w:val="single" w:color="000000" w:sz="2" w:space="0"/>
              <w:left w:val="single" w:color="000000" w:sz="2" w:space="0"/>
              <w:bottom w:val="single" w:color="000000" w:sz="2" w:space="0"/>
              <w:right w:val="single" w:color="000000" w:sz="2" w:space="0"/>
            </w:tcBorders>
            <w:vAlign w:val="center"/>
          </w:tcPr>
          <w:p w14:paraId="6E00591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最大声压级在粉红噪声播放场景下，工作距离处声压级不低于70dB</w:t>
            </w:r>
          </w:p>
        </w:tc>
      </w:tr>
      <w:tr w14:paraId="0138E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F2E829E">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51</w:t>
            </w:r>
          </w:p>
        </w:tc>
        <w:tc>
          <w:tcPr>
            <w:tcW w:w="1275" w:type="dxa"/>
            <w:vMerge w:val="continue"/>
            <w:tcBorders>
              <w:top w:val="nil"/>
              <w:left w:val="single" w:color="000000" w:sz="2" w:space="0"/>
              <w:bottom w:val="single" w:color="000000" w:sz="2" w:space="0"/>
              <w:right w:val="single" w:color="000000" w:sz="2" w:space="0"/>
            </w:tcBorders>
            <w:vAlign w:val="center"/>
          </w:tcPr>
          <w:p w14:paraId="169A2515">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6028298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▲键盘连接方式</w:t>
            </w:r>
          </w:p>
        </w:tc>
        <w:tc>
          <w:tcPr>
            <w:tcW w:w="5382" w:type="dxa"/>
            <w:tcBorders>
              <w:top w:val="single" w:color="000000" w:sz="2" w:space="0"/>
              <w:left w:val="single" w:color="000000" w:sz="2" w:space="0"/>
              <w:bottom w:val="single" w:color="000000" w:sz="2" w:space="0"/>
              <w:right w:val="single" w:color="000000" w:sz="2" w:space="0"/>
            </w:tcBorders>
            <w:vAlign w:val="center"/>
          </w:tcPr>
          <w:p w14:paraId="6E75A08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w:t>
            </w:r>
          </w:p>
        </w:tc>
      </w:tr>
      <w:tr w14:paraId="4F39A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8088EC5">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52</w:t>
            </w:r>
          </w:p>
        </w:tc>
        <w:tc>
          <w:tcPr>
            <w:tcW w:w="1275" w:type="dxa"/>
            <w:vMerge w:val="continue"/>
            <w:tcBorders>
              <w:top w:val="nil"/>
              <w:left w:val="single" w:color="000000" w:sz="2" w:space="0"/>
              <w:bottom w:val="single" w:color="000000" w:sz="2" w:space="0"/>
              <w:right w:val="single" w:color="000000" w:sz="2" w:space="0"/>
            </w:tcBorders>
            <w:vAlign w:val="center"/>
          </w:tcPr>
          <w:p w14:paraId="02706CE1">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7C0BE96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▲键盘键程</w:t>
            </w:r>
          </w:p>
        </w:tc>
        <w:tc>
          <w:tcPr>
            <w:tcW w:w="5382" w:type="dxa"/>
            <w:tcBorders>
              <w:top w:val="single" w:color="000000" w:sz="2" w:space="0"/>
              <w:left w:val="single" w:color="000000" w:sz="2" w:space="0"/>
              <w:bottom w:val="single" w:color="000000" w:sz="2" w:space="0"/>
              <w:right w:val="single" w:color="000000" w:sz="2" w:space="0"/>
            </w:tcBorders>
            <w:vAlign w:val="center"/>
          </w:tcPr>
          <w:p w14:paraId="384FBBC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2.3mm ~ 4.0mm</w:t>
            </w:r>
          </w:p>
        </w:tc>
      </w:tr>
      <w:tr w14:paraId="726BD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41AAD9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53</w:t>
            </w:r>
          </w:p>
        </w:tc>
        <w:tc>
          <w:tcPr>
            <w:tcW w:w="1275" w:type="dxa"/>
            <w:vMerge w:val="continue"/>
            <w:tcBorders>
              <w:top w:val="nil"/>
              <w:left w:val="single" w:color="000000" w:sz="2" w:space="0"/>
              <w:bottom w:val="single" w:color="000000" w:sz="2" w:space="0"/>
              <w:right w:val="single" w:color="000000" w:sz="2" w:space="0"/>
            </w:tcBorders>
            <w:vAlign w:val="center"/>
          </w:tcPr>
          <w:p w14:paraId="3B5E9EF2">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334081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▲键盘按键压力</w:t>
            </w:r>
          </w:p>
        </w:tc>
        <w:tc>
          <w:tcPr>
            <w:tcW w:w="5382" w:type="dxa"/>
            <w:tcBorders>
              <w:top w:val="single" w:color="000000" w:sz="2" w:space="0"/>
              <w:left w:val="single" w:color="000000" w:sz="2" w:space="0"/>
              <w:bottom w:val="single" w:color="000000" w:sz="2" w:space="0"/>
              <w:right w:val="single" w:color="000000" w:sz="2" w:space="0"/>
            </w:tcBorders>
            <w:vAlign w:val="center"/>
          </w:tcPr>
          <w:p w14:paraId="3780545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按键压力应在 0.54 N±0.14N</w:t>
            </w:r>
          </w:p>
        </w:tc>
      </w:tr>
      <w:tr w14:paraId="252BA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B67A615">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54</w:t>
            </w:r>
          </w:p>
        </w:tc>
        <w:tc>
          <w:tcPr>
            <w:tcW w:w="1275" w:type="dxa"/>
            <w:vMerge w:val="continue"/>
            <w:tcBorders>
              <w:top w:val="nil"/>
              <w:left w:val="single" w:color="000000" w:sz="2" w:space="0"/>
              <w:bottom w:val="single" w:color="000000" w:sz="2" w:space="0"/>
              <w:right w:val="single" w:color="000000" w:sz="2" w:space="0"/>
            </w:tcBorders>
            <w:vAlign w:val="center"/>
          </w:tcPr>
          <w:p w14:paraId="54885B11">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21AB1E65">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▲有线键盘连接线</w:t>
            </w:r>
          </w:p>
        </w:tc>
        <w:tc>
          <w:tcPr>
            <w:tcW w:w="5382" w:type="dxa"/>
            <w:tcBorders>
              <w:top w:val="single" w:color="000000" w:sz="2" w:space="0"/>
              <w:left w:val="single" w:color="000000" w:sz="2" w:space="0"/>
              <w:bottom w:val="single" w:color="000000" w:sz="2" w:space="0"/>
              <w:right w:val="single" w:color="000000" w:sz="2" w:space="0"/>
            </w:tcBorders>
            <w:vAlign w:val="center"/>
          </w:tcPr>
          <w:p w14:paraId="4577BC6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≥1.5 米</w:t>
            </w:r>
          </w:p>
        </w:tc>
      </w:tr>
      <w:tr w14:paraId="2E7EF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CB3CE8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55</w:t>
            </w:r>
          </w:p>
        </w:tc>
        <w:tc>
          <w:tcPr>
            <w:tcW w:w="1275" w:type="dxa"/>
            <w:vMerge w:val="continue"/>
            <w:tcBorders>
              <w:top w:val="nil"/>
              <w:left w:val="single" w:color="000000" w:sz="2" w:space="0"/>
              <w:bottom w:val="single" w:color="000000" w:sz="2" w:space="0"/>
              <w:right w:val="single" w:color="000000" w:sz="2" w:space="0"/>
            </w:tcBorders>
            <w:vAlign w:val="center"/>
          </w:tcPr>
          <w:p w14:paraId="70B09E8E">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624D2495">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▲键盘颜色</w:t>
            </w:r>
          </w:p>
        </w:tc>
        <w:tc>
          <w:tcPr>
            <w:tcW w:w="5382" w:type="dxa"/>
            <w:tcBorders>
              <w:top w:val="single" w:color="000000" w:sz="2" w:space="0"/>
              <w:left w:val="single" w:color="000000" w:sz="2" w:space="0"/>
              <w:bottom w:val="single" w:color="000000" w:sz="2" w:space="0"/>
              <w:right w:val="single" w:color="000000" w:sz="2" w:space="0"/>
            </w:tcBorders>
            <w:vAlign w:val="center"/>
          </w:tcPr>
          <w:p w14:paraId="5FD6D92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黑色/白色/银色等商务色系</w:t>
            </w:r>
          </w:p>
        </w:tc>
      </w:tr>
      <w:tr w14:paraId="4E845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0AB2E7B1">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56</w:t>
            </w:r>
          </w:p>
        </w:tc>
        <w:tc>
          <w:tcPr>
            <w:tcW w:w="1275" w:type="dxa"/>
            <w:vMerge w:val="continue"/>
            <w:tcBorders>
              <w:top w:val="nil"/>
              <w:left w:val="single" w:color="000000" w:sz="2" w:space="0"/>
              <w:bottom w:val="single" w:color="000000" w:sz="2" w:space="0"/>
              <w:right w:val="single" w:color="000000" w:sz="2" w:space="0"/>
            </w:tcBorders>
            <w:vAlign w:val="center"/>
          </w:tcPr>
          <w:p w14:paraId="7DA9C034">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223AE05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▲键盘其他要求</w:t>
            </w:r>
          </w:p>
        </w:tc>
        <w:tc>
          <w:tcPr>
            <w:tcW w:w="5382" w:type="dxa"/>
            <w:tcBorders>
              <w:top w:val="single" w:color="000000" w:sz="2" w:space="0"/>
              <w:left w:val="single" w:color="000000" w:sz="2" w:space="0"/>
              <w:bottom w:val="single" w:color="000000" w:sz="2" w:space="0"/>
              <w:right w:val="single" w:color="000000" w:sz="2" w:space="0"/>
            </w:tcBorders>
            <w:vAlign w:val="center"/>
          </w:tcPr>
          <w:p w14:paraId="7C3421B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键盘外观结构、连接方式、主要功能、安全、电磁兼容性、可靠性应符合GB/T 14081 的相关规定</w:t>
            </w:r>
          </w:p>
        </w:tc>
      </w:tr>
      <w:tr w14:paraId="409EB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7DF466B5">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57</w:t>
            </w:r>
          </w:p>
        </w:tc>
        <w:tc>
          <w:tcPr>
            <w:tcW w:w="1275" w:type="dxa"/>
            <w:vMerge w:val="continue"/>
            <w:tcBorders>
              <w:top w:val="nil"/>
              <w:left w:val="single" w:color="000000" w:sz="2" w:space="0"/>
              <w:bottom w:val="single" w:color="000000" w:sz="2" w:space="0"/>
              <w:right w:val="single" w:color="000000" w:sz="2" w:space="0"/>
            </w:tcBorders>
            <w:vAlign w:val="center"/>
          </w:tcPr>
          <w:p w14:paraId="21844CEB">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3D27215">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▲鼠标连接方式</w:t>
            </w:r>
          </w:p>
        </w:tc>
        <w:tc>
          <w:tcPr>
            <w:tcW w:w="5382" w:type="dxa"/>
            <w:tcBorders>
              <w:top w:val="single" w:color="000000" w:sz="2" w:space="0"/>
              <w:left w:val="single" w:color="000000" w:sz="2" w:space="0"/>
              <w:bottom w:val="single" w:color="000000" w:sz="2" w:space="0"/>
              <w:right w:val="single" w:color="000000" w:sz="2" w:space="0"/>
            </w:tcBorders>
            <w:vAlign w:val="center"/>
          </w:tcPr>
          <w:p w14:paraId="10F5D7D5">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有线或无线</w:t>
            </w:r>
          </w:p>
        </w:tc>
      </w:tr>
      <w:tr w14:paraId="18C54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77EEC64">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58</w:t>
            </w:r>
          </w:p>
        </w:tc>
        <w:tc>
          <w:tcPr>
            <w:tcW w:w="1275" w:type="dxa"/>
            <w:vMerge w:val="continue"/>
            <w:tcBorders>
              <w:top w:val="nil"/>
              <w:left w:val="single" w:color="000000" w:sz="2" w:space="0"/>
              <w:bottom w:val="single" w:color="000000" w:sz="2" w:space="0"/>
              <w:right w:val="single" w:color="000000" w:sz="2" w:space="0"/>
            </w:tcBorders>
            <w:vAlign w:val="center"/>
          </w:tcPr>
          <w:p w14:paraId="581CD93E">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78E96FA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▲有线鼠标连接线</w:t>
            </w:r>
          </w:p>
        </w:tc>
        <w:tc>
          <w:tcPr>
            <w:tcW w:w="5382" w:type="dxa"/>
            <w:tcBorders>
              <w:top w:val="single" w:color="000000" w:sz="2" w:space="0"/>
              <w:left w:val="single" w:color="000000" w:sz="2" w:space="0"/>
              <w:bottom w:val="single" w:color="000000" w:sz="2" w:space="0"/>
              <w:right w:val="single" w:color="000000" w:sz="2" w:space="0"/>
            </w:tcBorders>
            <w:vAlign w:val="center"/>
          </w:tcPr>
          <w:p w14:paraId="58B38AF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≥1.5 米</w:t>
            </w:r>
          </w:p>
        </w:tc>
      </w:tr>
      <w:tr w14:paraId="4812F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A03130F">
            <w:pPr>
              <w:pStyle w:val="347"/>
              <w:spacing w:before="38" w:after="0"/>
              <w:ind w:right="59"/>
              <w:jc w:val="center"/>
              <w:rPr>
                <w:rFonts w:ascii="宋体" w:hAnsi="宋体" w:eastAsia="Times New Roman"/>
                <w:color w:val="auto"/>
                <w:spacing w:val="-4"/>
                <w:sz w:val="22"/>
                <w:szCs w:val="22"/>
              </w:rPr>
            </w:pPr>
          </w:p>
          <w:p w14:paraId="3161EAB4">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59</w:t>
            </w:r>
          </w:p>
        </w:tc>
        <w:tc>
          <w:tcPr>
            <w:tcW w:w="1275" w:type="dxa"/>
            <w:vMerge w:val="continue"/>
            <w:tcBorders>
              <w:top w:val="nil"/>
              <w:left w:val="single" w:color="000000" w:sz="2" w:space="0"/>
              <w:bottom w:val="single" w:color="000000" w:sz="2" w:space="0"/>
              <w:right w:val="single" w:color="000000" w:sz="2" w:space="0"/>
            </w:tcBorders>
            <w:vAlign w:val="center"/>
          </w:tcPr>
          <w:p w14:paraId="17E8FBAB">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76F025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▲鼠标DPI 分辨率</w:t>
            </w:r>
          </w:p>
        </w:tc>
        <w:tc>
          <w:tcPr>
            <w:tcW w:w="5382" w:type="dxa"/>
            <w:tcBorders>
              <w:top w:val="single" w:color="000000" w:sz="2" w:space="0"/>
              <w:left w:val="single" w:color="000000" w:sz="2" w:space="0"/>
              <w:bottom w:val="single" w:color="000000" w:sz="2" w:space="0"/>
              <w:right w:val="single" w:color="000000" w:sz="2" w:space="0"/>
            </w:tcBorders>
            <w:vAlign w:val="center"/>
          </w:tcPr>
          <w:p w14:paraId="41F48B49">
            <w:pPr>
              <w:pStyle w:val="347"/>
              <w:spacing w:before="38" w:after="0"/>
              <w:ind w:right="59"/>
              <w:rPr>
                <w:rFonts w:ascii="宋体" w:hAnsi="宋体" w:eastAsia="Times New Roman"/>
                <w:color w:val="auto"/>
                <w:spacing w:val="-4"/>
                <w:sz w:val="22"/>
                <w:szCs w:val="22"/>
              </w:rPr>
            </w:pPr>
          </w:p>
          <w:p w14:paraId="264EE0B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800~1600</w:t>
            </w:r>
          </w:p>
        </w:tc>
      </w:tr>
      <w:tr w14:paraId="36206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75BA21E">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60</w:t>
            </w:r>
          </w:p>
        </w:tc>
        <w:tc>
          <w:tcPr>
            <w:tcW w:w="1275" w:type="dxa"/>
            <w:vMerge w:val="continue"/>
            <w:tcBorders>
              <w:top w:val="nil"/>
              <w:left w:val="single" w:color="000000" w:sz="2" w:space="0"/>
              <w:bottom w:val="single" w:color="000000" w:sz="2" w:space="0"/>
              <w:right w:val="single" w:color="000000" w:sz="2" w:space="0"/>
            </w:tcBorders>
            <w:vAlign w:val="center"/>
          </w:tcPr>
          <w:p w14:paraId="4D849F0F">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5C7C71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鼠标颜色</w:t>
            </w:r>
          </w:p>
        </w:tc>
        <w:tc>
          <w:tcPr>
            <w:tcW w:w="5382" w:type="dxa"/>
            <w:tcBorders>
              <w:top w:val="single" w:color="000000" w:sz="2" w:space="0"/>
              <w:left w:val="single" w:color="000000" w:sz="2" w:space="0"/>
              <w:bottom w:val="single" w:color="000000" w:sz="2" w:space="0"/>
              <w:right w:val="single" w:color="000000" w:sz="2" w:space="0"/>
            </w:tcBorders>
            <w:vAlign w:val="center"/>
          </w:tcPr>
          <w:p w14:paraId="1752BFB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黑色/银色/白色等商务色系</w:t>
            </w:r>
          </w:p>
        </w:tc>
      </w:tr>
      <w:tr w14:paraId="32DD5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7EA7A121">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61</w:t>
            </w:r>
          </w:p>
        </w:tc>
        <w:tc>
          <w:tcPr>
            <w:tcW w:w="1275" w:type="dxa"/>
            <w:vMerge w:val="continue"/>
            <w:tcBorders>
              <w:top w:val="nil"/>
              <w:left w:val="single" w:color="000000" w:sz="2" w:space="0"/>
              <w:bottom w:val="single" w:color="000000" w:sz="2" w:space="0"/>
              <w:right w:val="single" w:color="000000" w:sz="2" w:space="0"/>
            </w:tcBorders>
            <w:vAlign w:val="center"/>
          </w:tcPr>
          <w:p w14:paraId="6D26B51B">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25E1AF4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▲鼠标其他要求</w:t>
            </w:r>
          </w:p>
        </w:tc>
        <w:tc>
          <w:tcPr>
            <w:tcW w:w="5382" w:type="dxa"/>
            <w:tcBorders>
              <w:top w:val="single" w:color="000000" w:sz="2" w:space="0"/>
              <w:left w:val="single" w:color="000000" w:sz="2" w:space="0"/>
              <w:bottom w:val="single" w:color="000000" w:sz="2" w:space="0"/>
              <w:right w:val="single" w:color="000000" w:sz="2" w:space="0"/>
            </w:tcBorders>
            <w:vAlign w:val="center"/>
          </w:tcPr>
          <w:p w14:paraId="2A455FA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其它参数应符合GB/T 26245 的相关规定</w:t>
            </w:r>
          </w:p>
        </w:tc>
      </w:tr>
      <w:tr w14:paraId="65EAF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7783A1BD">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62</w:t>
            </w:r>
          </w:p>
        </w:tc>
        <w:tc>
          <w:tcPr>
            <w:tcW w:w="1275" w:type="dxa"/>
            <w:vMerge w:val="continue"/>
            <w:tcBorders>
              <w:top w:val="nil"/>
              <w:left w:val="single" w:color="000000" w:sz="2" w:space="0"/>
              <w:bottom w:val="single" w:color="000000" w:sz="2" w:space="0"/>
              <w:right w:val="single" w:color="000000" w:sz="2" w:space="0"/>
            </w:tcBorders>
            <w:vAlign w:val="center"/>
          </w:tcPr>
          <w:p w14:paraId="468577B0">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1658252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内置光驱</w:t>
            </w:r>
          </w:p>
        </w:tc>
        <w:tc>
          <w:tcPr>
            <w:tcW w:w="5382" w:type="dxa"/>
            <w:tcBorders>
              <w:top w:val="single" w:color="000000" w:sz="2" w:space="0"/>
              <w:left w:val="single" w:color="000000" w:sz="2" w:space="0"/>
              <w:bottom w:val="single" w:color="000000" w:sz="2" w:space="0"/>
              <w:right w:val="single" w:color="000000" w:sz="2" w:space="0"/>
            </w:tcBorders>
            <w:vAlign w:val="center"/>
          </w:tcPr>
          <w:p w14:paraId="60EAF60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w:t>
            </w:r>
          </w:p>
        </w:tc>
      </w:tr>
      <w:tr w14:paraId="3991F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DB5BA15">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63</w:t>
            </w:r>
          </w:p>
        </w:tc>
        <w:tc>
          <w:tcPr>
            <w:tcW w:w="1275" w:type="dxa"/>
            <w:vMerge w:val="restart"/>
            <w:tcBorders>
              <w:top w:val="nil"/>
              <w:left w:val="single" w:color="000000" w:sz="2" w:space="0"/>
              <w:bottom w:val="nil"/>
              <w:right w:val="single" w:color="000000" w:sz="2" w:space="0"/>
            </w:tcBorders>
            <w:vAlign w:val="center"/>
          </w:tcPr>
          <w:p w14:paraId="70FD8E8A">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▲网络设备规格</w:t>
            </w:r>
          </w:p>
        </w:tc>
        <w:tc>
          <w:tcPr>
            <w:tcW w:w="1701" w:type="dxa"/>
            <w:tcBorders>
              <w:top w:val="single" w:color="000000" w:sz="2" w:space="0"/>
              <w:left w:val="single" w:color="000000" w:sz="2" w:space="0"/>
              <w:bottom w:val="single" w:color="000000" w:sz="2" w:space="0"/>
              <w:right w:val="single" w:color="000000" w:sz="2" w:space="0"/>
            </w:tcBorders>
            <w:vAlign w:val="center"/>
          </w:tcPr>
          <w:p w14:paraId="3FA68BC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▲有线网卡数量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1899055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w:t>
            </w:r>
          </w:p>
        </w:tc>
      </w:tr>
      <w:tr w14:paraId="44B58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08E0825">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64</w:t>
            </w:r>
          </w:p>
        </w:tc>
        <w:tc>
          <w:tcPr>
            <w:tcW w:w="1275" w:type="dxa"/>
            <w:vMerge w:val="continue"/>
            <w:tcBorders>
              <w:top w:val="nil"/>
              <w:left w:val="single" w:color="000000" w:sz="2" w:space="0"/>
              <w:bottom w:val="nil"/>
              <w:right w:val="single" w:color="000000" w:sz="2" w:space="0"/>
            </w:tcBorders>
            <w:vAlign w:val="center"/>
          </w:tcPr>
          <w:p w14:paraId="6740D133">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02B356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无线网卡及天线数量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523F464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≥0</w:t>
            </w:r>
          </w:p>
        </w:tc>
      </w:tr>
      <w:tr w14:paraId="5F7D8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0A4E9054">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65</w:t>
            </w:r>
          </w:p>
        </w:tc>
        <w:tc>
          <w:tcPr>
            <w:tcW w:w="1275" w:type="dxa"/>
            <w:vMerge w:val="continue"/>
            <w:tcBorders>
              <w:top w:val="nil"/>
              <w:left w:val="single" w:color="000000" w:sz="2" w:space="0"/>
              <w:bottom w:val="nil"/>
              <w:right w:val="single" w:color="000000" w:sz="2" w:space="0"/>
            </w:tcBorders>
            <w:vAlign w:val="center"/>
          </w:tcPr>
          <w:p w14:paraId="07CD18DC">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EFF552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单无线网卡天线数量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66AE472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≥0</w:t>
            </w:r>
          </w:p>
        </w:tc>
      </w:tr>
      <w:tr w14:paraId="1EE40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10A8D42">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66</w:t>
            </w:r>
          </w:p>
        </w:tc>
        <w:tc>
          <w:tcPr>
            <w:tcW w:w="1275" w:type="dxa"/>
            <w:vMerge w:val="restart"/>
            <w:tcBorders>
              <w:top w:val="nil"/>
              <w:left w:val="single" w:color="000000" w:sz="2" w:space="0"/>
              <w:bottom w:val="nil"/>
              <w:right w:val="single" w:color="000000" w:sz="2" w:space="0"/>
            </w:tcBorders>
            <w:vAlign w:val="center"/>
          </w:tcPr>
          <w:p w14:paraId="706E4737">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▲外部接口规格</w:t>
            </w:r>
          </w:p>
        </w:tc>
        <w:tc>
          <w:tcPr>
            <w:tcW w:w="1701" w:type="dxa"/>
            <w:tcBorders>
              <w:top w:val="single" w:color="000000" w:sz="2" w:space="0"/>
              <w:left w:val="single" w:color="000000" w:sz="2" w:space="0"/>
              <w:bottom w:val="single" w:color="000000" w:sz="2" w:space="0"/>
              <w:right w:val="single" w:color="000000" w:sz="2" w:space="0"/>
            </w:tcBorders>
            <w:vAlign w:val="center"/>
          </w:tcPr>
          <w:p w14:paraId="7435071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▲USB 接口数量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3371607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≥8，机箱前板至少包括 2 个 USB3.0 及以上接口</w:t>
            </w:r>
          </w:p>
        </w:tc>
      </w:tr>
      <w:tr w14:paraId="08BE9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58E14E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67</w:t>
            </w:r>
          </w:p>
        </w:tc>
        <w:tc>
          <w:tcPr>
            <w:tcW w:w="1275" w:type="dxa"/>
            <w:vMerge w:val="continue"/>
            <w:tcBorders>
              <w:top w:val="nil"/>
              <w:left w:val="single" w:color="000000" w:sz="2" w:space="0"/>
              <w:bottom w:val="nil"/>
              <w:right w:val="single" w:color="000000" w:sz="2" w:space="0"/>
            </w:tcBorders>
            <w:vAlign w:val="center"/>
          </w:tcPr>
          <w:p w14:paraId="5C7EB887">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229F62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USB 母座接口要求</w:t>
            </w:r>
          </w:p>
        </w:tc>
        <w:tc>
          <w:tcPr>
            <w:tcW w:w="5382" w:type="dxa"/>
            <w:tcBorders>
              <w:top w:val="single" w:color="000000" w:sz="2" w:space="0"/>
              <w:left w:val="single" w:color="000000" w:sz="2" w:space="0"/>
              <w:bottom w:val="single" w:color="000000" w:sz="2" w:space="0"/>
              <w:right w:val="single" w:color="000000" w:sz="2" w:space="0"/>
            </w:tcBorders>
            <w:vAlign w:val="center"/>
          </w:tcPr>
          <w:p w14:paraId="373A698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机箱前面板额外预留2 个专用 USB 母座接口孔位和1 个通用A 型 USB 母座接口孔位，采用横向排列中心间距应不小于27mm</w:t>
            </w:r>
          </w:p>
        </w:tc>
      </w:tr>
      <w:tr w14:paraId="3B744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73820232">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68</w:t>
            </w:r>
          </w:p>
        </w:tc>
        <w:tc>
          <w:tcPr>
            <w:tcW w:w="1275" w:type="dxa"/>
            <w:vMerge w:val="continue"/>
            <w:tcBorders>
              <w:top w:val="nil"/>
              <w:left w:val="single" w:color="000000" w:sz="2" w:space="0"/>
              <w:bottom w:val="nil"/>
              <w:right w:val="single" w:color="000000" w:sz="2" w:space="0"/>
            </w:tcBorders>
            <w:vAlign w:val="center"/>
          </w:tcPr>
          <w:p w14:paraId="0F395E2C">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23D01C2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▲视频接口数量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467E170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w:t>
            </w:r>
          </w:p>
        </w:tc>
      </w:tr>
      <w:tr w14:paraId="42C74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5D33F9A">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69</w:t>
            </w:r>
          </w:p>
        </w:tc>
        <w:tc>
          <w:tcPr>
            <w:tcW w:w="1275" w:type="dxa"/>
            <w:vMerge w:val="continue"/>
            <w:tcBorders>
              <w:top w:val="nil"/>
              <w:left w:val="single" w:color="000000" w:sz="2" w:space="0"/>
              <w:bottom w:val="nil"/>
              <w:right w:val="single" w:color="000000" w:sz="2" w:space="0"/>
            </w:tcBorders>
            <w:vAlign w:val="center"/>
          </w:tcPr>
          <w:p w14:paraId="1CEBD3EC">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E52CFD5">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▲音频接口数量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03BA9F9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w:t>
            </w:r>
          </w:p>
        </w:tc>
      </w:tr>
      <w:tr w14:paraId="75046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3B6EA9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70</w:t>
            </w:r>
          </w:p>
        </w:tc>
        <w:tc>
          <w:tcPr>
            <w:tcW w:w="1275" w:type="dxa"/>
            <w:vMerge w:val="continue"/>
            <w:tcBorders>
              <w:top w:val="nil"/>
              <w:left w:val="single" w:color="000000" w:sz="2" w:space="0"/>
              <w:bottom w:val="nil"/>
              <w:right w:val="single" w:color="000000" w:sz="2" w:space="0"/>
            </w:tcBorders>
            <w:vAlign w:val="center"/>
          </w:tcPr>
          <w:p w14:paraId="3C3481B3">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1D0646C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存储卡接口数量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3CABC10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≥0</w:t>
            </w:r>
          </w:p>
        </w:tc>
      </w:tr>
      <w:tr w14:paraId="4C140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F477D67">
            <w:pPr>
              <w:pStyle w:val="347"/>
              <w:spacing w:before="38" w:after="0"/>
              <w:ind w:right="59"/>
              <w:jc w:val="center"/>
              <w:rPr>
                <w:rFonts w:ascii="宋体" w:hAnsi="宋体" w:eastAsia="Times New Roman"/>
                <w:color w:val="auto"/>
                <w:spacing w:val="-4"/>
                <w:sz w:val="22"/>
                <w:szCs w:val="22"/>
              </w:rPr>
            </w:pPr>
          </w:p>
          <w:p w14:paraId="7633F742">
            <w:pPr>
              <w:pStyle w:val="347"/>
              <w:spacing w:before="38" w:after="0"/>
              <w:ind w:right="59"/>
              <w:jc w:val="center"/>
              <w:rPr>
                <w:rFonts w:ascii="宋体" w:hAnsi="宋体" w:eastAsia="Times New Roman"/>
                <w:color w:val="auto"/>
                <w:spacing w:val="-4"/>
                <w:sz w:val="22"/>
                <w:szCs w:val="22"/>
              </w:rPr>
            </w:pPr>
          </w:p>
          <w:p w14:paraId="250E5237">
            <w:pPr>
              <w:pStyle w:val="347"/>
              <w:spacing w:before="38" w:after="0"/>
              <w:ind w:right="59"/>
              <w:jc w:val="center"/>
              <w:rPr>
                <w:rFonts w:ascii="宋体" w:hAnsi="宋体" w:eastAsia="Times New Roman"/>
                <w:color w:val="auto"/>
                <w:spacing w:val="-4"/>
                <w:sz w:val="22"/>
                <w:szCs w:val="22"/>
              </w:rPr>
            </w:pPr>
          </w:p>
          <w:p w14:paraId="4194C7C9">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71</w:t>
            </w:r>
          </w:p>
        </w:tc>
        <w:tc>
          <w:tcPr>
            <w:tcW w:w="1275" w:type="dxa"/>
            <w:vMerge w:val="restart"/>
            <w:tcBorders>
              <w:top w:val="nil"/>
              <w:left w:val="single" w:color="000000" w:sz="2" w:space="0"/>
              <w:bottom w:val="single" w:color="000000" w:sz="2" w:space="0"/>
              <w:right w:val="single" w:color="000000" w:sz="2" w:space="0"/>
            </w:tcBorders>
            <w:vAlign w:val="center"/>
          </w:tcPr>
          <w:p w14:paraId="4AB9E0B7">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▲整机基础规格</w:t>
            </w:r>
          </w:p>
        </w:tc>
        <w:tc>
          <w:tcPr>
            <w:tcW w:w="1701" w:type="dxa"/>
            <w:tcBorders>
              <w:top w:val="single" w:color="000000" w:sz="2" w:space="0"/>
              <w:left w:val="single" w:color="000000" w:sz="2" w:space="0"/>
              <w:bottom w:val="single" w:color="000000" w:sz="2" w:space="0"/>
              <w:right w:val="single" w:color="000000" w:sz="2" w:space="0"/>
            </w:tcBorders>
            <w:vAlign w:val="center"/>
          </w:tcPr>
          <w:p w14:paraId="169D8D7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▲整机外观</w:t>
            </w:r>
          </w:p>
        </w:tc>
        <w:tc>
          <w:tcPr>
            <w:tcW w:w="5382" w:type="dxa"/>
            <w:tcBorders>
              <w:top w:val="single" w:color="000000" w:sz="2" w:space="0"/>
              <w:left w:val="single" w:color="000000" w:sz="2" w:space="0"/>
              <w:bottom w:val="single" w:color="000000" w:sz="2" w:space="0"/>
              <w:right w:val="single" w:color="000000" w:sz="2" w:space="0"/>
            </w:tcBorders>
            <w:vAlign w:val="center"/>
          </w:tcPr>
          <w:p w14:paraId="0A31C47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a) 产品表面不应有凹痕、划伤、裂缝、变形和污染等。表面涂层均匀，不应起泡、龟裂、脱落和磨损，金属零部件无锈蚀及其它机械损伤；</w:t>
            </w:r>
          </w:p>
          <w:p w14:paraId="65CE6F7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b) 产品表面说明功能的文字、符号、标志，应清晰、端正、牢固；</w:t>
            </w:r>
          </w:p>
          <w:p w14:paraId="6C0C419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c) 宜在产品显著位置提供运行状态指示功能，并由生产厂商提供详细参数</w:t>
            </w:r>
          </w:p>
        </w:tc>
      </w:tr>
      <w:tr w14:paraId="17D86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7E7EC0C2">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72</w:t>
            </w:r>
          </w:p>
        </w:tc>
        <w:tc>
          <w:tcPr>
            <w:tcW w:w="1275" w:type="dxa"/>
            <w:vMerge w:val="continue"/>
            <w:tcBorders>
              <w:top w:val="nil"/>
              <w:left w:val="single" w:color="000000" w:sz="2" w:space="0"/>
              <w:bottom w:val="single" w:color="000000" w:sz="2" w:space="0"/>
              <w:right w:val="single" w:color="000000" w:sz="2" w:space="0"/>
            </w:tcBorders>
            <w:vAlign w:val="center"/>
          </w:tcPr>
          <w:p w14:paraId="024886BE">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3CFAB48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▲整机结构</w:t>
            </w:r>
          </w:p>
        </w:tc>
        <w:tc>
          <w:tcPr>
            <w:tcW w:w="5382" w:type="dxa"/>
            <w:tcBorders>
              <w:top w:val="single" w:color="000000" w:sz="2" w:space="0"/>
              <w:left w:val="single" w:color="000000" w:sz="2" w:space="0"/>
              <w:bottom w:val="single" w:color="000000" w:sz="2" w:space="0"/>
              <w:right w:val="single" w:color="000000" w:sz="2" w:space="0"/>
            </w:tcBorders>
            <w:vAlign w:val="center"/>
          </w:tcPr>
          <w:p w14:paraId="3E99550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笔记本式结构</w:t>
            </w:r>
          </w:p>
        </w:tc>
      </w:tr>
      <w:tr w14:paraId="0ED11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63A9B0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73</w:t>
            </w:r>
          </w:p>
        </w:tc>
        <w:tc>
          <w:tcPr>
            <w:tcW w:w="1275" w:type="dxa"/>
            <w:vMerge w:val="continue"/>
            <w:tcBorders>
              <w:top w:val="nil"/>
              <w:left w:val="single" w:color="000000" w:sz="2" w:space="0"/>
              <w:bottom w:val="single" w:color="000000" w:sz="2" w:space="0"/>
              <w:right w:val="single" w:color="000000" w:sz="2" w:space="0"/>
            </w:tcBorders>
            <w:vAlign w:val="center"/>
          </w:tcPr>
          <w:p w14:paraId="52969DB3">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3081CBC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▲机箱防护要求</w:t>
            </w:r>
          </w:p>
        </w:tc>
        <w:tc>
          <w:tcPr>
            <w:tcW w:w="5382" w:type="dxa"/>
            <w:tcBorders>
              <w:top w:val="single" w:color="000000" w:sz="2" w:space="0"/>
              <w:left w:val="single" w:color="000000" w:sz="2" w:space="0"/>
              <w:bottom w:val="single" w:color="000000" w:sz="2" w:space="0"/>
              <w:right w:val="single" w:color="000000" w:sz="2" w:space="0"/>
            </w:tcBorders>
            <w:vAlign w:val="center"/>
          </w:tcPr>
          <w:p w14:paraId="057B6D5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机箱应符合 GB/T 4208 中 IP20 防护要求</w:t>
            </w:r>
          </w:p>
        </w:tc>
      </w:tr>
      <w:tr w14:paraId="364B2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1BC3DC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74</w:t>
            </w:r>
          </w:p>
        </w:tc>
        <w:tc>
          <w:tcPr>
            <w:tcW w:w="1275" w:type="dxa"/>
            <w:vMerge w:val="continue"/>
            <w:tcBorders>
              <w:top w:val="nil"/>
              <w:left w:val="single" w:color="000000" w:sz="2" w:space="0"/>
              <w:bottom w:val="single" w:color="000000" w:sz="2" w:space="0"/>
              <w:right w:val="single" w:color="000000" w:sz="2" w:space="0"/>
            </w:tcBorders>
            <w:vAlign w:val="center"/>
          </w:tcPr>
          <w:p w14:paraId="45FCBA85">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29A6FC9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▲整机噪音</w:t>
            </w:r>
          </w:p>
        </w:tc>
        <w:tc>
          <w:tcPr>
            <w:tcW w:w="5382" w:type="dxa"/>
            <w:tcBorders>
              <w:top w:val="single" w:color="000000" w:sz="2" w:space="0"/>
              <w:left w:val="single" w:color="000000" w:sz="2" w:space="0"/>
              <w:bottom w:val="single" w:color="000000" w:sz="2" w:space="0"/>
              <w:right w:val="single" w:color="000000" w:sz="2" w:space="0"/>
            </w:tcBorders>
            <w:vAlign w:val="center"/>
          </w:tcPr>
          <w:p w14:paraId="51BF8A45">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产品工作在空闲状态下，产品的声功率级应不超过4.5 Bel</w:t>
            </w:r>
          </w:p>
        </w:tc>
      </w:tr>
      <w:tr w14:paraId="53A25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200BDB8">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75</w:t>
            </w:r>
          </w:p>
        </w:tc>
        <w:tc>
          <w:tcPr>
            <w:tcW w:w="1275" w:type="dxa"/>
            <w:vMerge w:val="continue"/>
            <w:tcBorders>
              <w:top w:val="nil"/>
              <w:left w:val="single" w:color="000000" w:sz="2" w:space="0"/>
              <w:bottom w:val="single" w:color="000000" w:sz="2" w:space="0"/>
              <w:right w:val="single" w:color="000000" w:sz="2" w:space="0"/>
            </w:tcBorders>
            <w:vAlign w:val="center"/>
          </w:tcPr>
          <w:p w14:paraId="1C956E29">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164131F5">
            <w:pPr>
              <w:pStyle w:val="347"/>
              <w:spacing w:before="38" w:after="0"/>
              <w:ind w:right="59"/>
              <w:rPr>
                <w:rFonts w:ascii="宋体" w:hAnsi="宋体" w:eastAsia="Times New Roman"/>
                <w:color w:val="auto"/>
                <w:spacing w:val="-4"/>
                <w:sz w:val="22"/>
                <w:szCs w:val="22"/>
              </w:rPr>
            </w:pPr>
          </w:p>
          <w:p w14:paraId="36DCB14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▲整机散热</w:t>
            </w:r>
          </w:p>
        </w:tc>
        <w:tc>
          <w:tcPr>
            <w:tcW w:w="5382" w:type="dxa"/>
            <w:tcBorders>
              <w:top w:val="single" w:color="000000" w:sz="2" w:space="0"/>
              <w:left w:val="single" w:color="000000" w:sz="2" w:space="0"/>
              <w:bottom w:val="single" w:color="000000" w:sz="2" w:space="0"/>
              <w:right w:val="single" w:color="000000" w:sz="2" w:space="0"/>
            </w:tcBorders>
            <w:vAlign w:val="center"/>
          </w:tcPr>
          <w:p w14:paraId="0244BB9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在环境温度25℃及处理器满载情况下，产品表面温度应符合下列要求：</w:t>
            </w:r>
          </w:p>
          <w:p w14:paraId="3E731E8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a) 出风口在机箱后面板情况下，出风口温度不高于55℃ ;</w:t>
            </w:r>
          </w:p>
          <w:p w14:paraId="2B5DE9C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b) 可触及面温度小于45℃ ;</w:t>
            </w:r>
          </w:p>
          <w:p w14:paraId="23B0CC0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c) 显示器表面温度：显示屏温度不高于 38℃ , 显示屏上下灯带位置温度（如涉及）不高于40℃ , 出风口温度不高于 45℃</w:t>
            </w:r>
          </w:p>
        </w:tc>
      </w:tr>
      <w:tr w14:paraId="49BCF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6E565ED">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76</w:t>
            </w:r>
          </w:p>
        </w:tc>
        <w:tc>
          <w:tcPr>
            <w:tcW w:w="1275" w:type="dxa"/>
            <w:vMerge w:val="continue"/>
            <w:tcBorders>
              <w:top w:val="nil"/>
              <w:left w:val="single" w:color="000000" w:sz="2" w:space="0"/>
              <w:bottom w:val="single" w:color="000000" w:sz="2" w:space="0"/>
              <w:right w:val="single" w:color="000000" w:sz="2" w:space="0"/>
            </w:tcBorders>
            <w:vAlign w:val="center"/>
          </w:tcPr>
          <w:p w14:paraId="5BAB4DD7">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19B39BA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▲整机能效限定值</w:t>
            </w:r>
          </w:p>
        </w:tc>
        <w:tc>
          <w:tcPr>
            <w:tcW w:w="5382" w:type="dxa"/>
            <w:tcBorders>
              <w:top w:val="single" w:color="000000" w:sz="2" w:space="0"/>
              <w:left w:val="single" w:color="000000" w:sz="2" w:space="0"/>
              <w:bottom w:val="single" w:color="000000" w:sz="2" w:space="0"/>
              <w:right w:val="single" w:color="000000" w:sz="2" w:space="0"/>
            </w:tcBorders>
            <w:vAlign w:val="center"/>
          </w:tcPr>
          <w:p w14:paraId="03EEA45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产品能效限定值应达到 GB 28380-2012标准中能效等级 2 级及以上</w:t>
            </w:r>
          </w:p>
        </w:tc>
      </w:tr>
      <w:tr w14:paraId="562BD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A07176C">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77</w:t>
            </w:r>
          </w:p>
        </w:tc>
        <w:tc>
          <w:tcPr>
            <w:tcW w:w="1275" w:type="dxa"/>
            <w:vMerge w:val="continue"/>
            <w:tcBorders>
              <w:top w:val="nil"/>
              <w:left w:val="single" w:color="000000" w:sz="2" w:space="0"/>
              <w:bottom w:val="single" w:color="000000" w:sz="2" w:space="0"/>
              <w:right w:val="single" w:color="000000" w:sz="2" w:space="0"/>
            </w:tcBorders>
            <w:vAlign w:val="center"/>
          </w:tcPr>
          <w:p w14:paraId="3172E85A">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6E1896D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机身材质</w:t>
            </w:r>
          </w:p>
        </w:tc>
        <w:tc>
          <w:tcPr>
            <w:tcW w:w="5382" w:type="dxa"/>
            <w:tcBorders>
              <w:top w:val="single" w:color="000000" w:sz="2" w:space="0"/>
              <w:left w:val="single" w:color="000000" w:sz="2" w:space="0"/>
              <w:bottom w:val="single" w:color="000000" w:sz="2" w:space="0"/>
              <w:right w:val="single" w:color="000000" w:sz="2" w:space="0"/>
            </w:tcBorders>
            <w:vAlign w:val="center"/>
          </w:tcPr>
          <w:p w14:paraId="1F37BAF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塑料/金属等</w:t>
            </w:r>
          </w:p>
        </w:tc>
      </w:tr>
      <w:tr w14:paraId="7211F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E1F221E">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78</w:t>
            </w:r>
          </w:p>
        </w:tc>
        <w:tc>
          <w:tcPr>
            <w:tcW w:w="1275" w:type="dxa"/>
            <w:vMerge w:val="continue"/>
            <w:tcBorders>
              <w:top w:val="nil"/>
              <w:left w:val="single" w:color="000000" w:sz="2" w:space="0"/>
              <w:bottom w:val="single" w:color="000000" w:sz="2" w:space="0"/>
              <w:right w:val="single" w:color="000000" w:sz="2" w:space="0"/>
            </w:tcBorders>
            <w:vAlign w:val="center"/>
          </w:tcPr>
          <w:p w14:paraId="0392A395">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1F15A72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▲机身颜色</w:t>
            </w:r>
          </w:p>
        </w:tc>
        <w:tc>
          <w:tcPr>
            <w:tcW w:w="5382" w:type="dxa"/>
            <w:tcBorders>
              <w:top w:val="single" w:color="000000" w:sz="2" w:space="0"/>
              <w:left w:val="single" w:color="000000" w:sz="2" w:space="0"/>
              <w:bottom w:val="single" w:color="000000" w:sz="2" w:space="0"/>
              <w:right w:val="single" w:color="000000" w:sz="2" w:space="0"/>
            </w:tcBorders>
            <w:vAlign w:val="center"/>
          </w:tcPr>
          <w:p w14:paraId="3F6FC86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一般选用灰色/黑色等商务色系</w:t>
            </w:r>
          </w:p>
        </w:tc>
      </w:tr>
      <w:tr w14:paraId="46A6B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01380C5">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79</w:t>
            </w:r>
          </w:p>
        </w:tc>
        <w:tc>
          <w:tcPr>
            <w:tcW w:w="1275" w:type="dxa"/>
            <w:vMerge w:val="continue"/>
            <w:tcBorders>
              <w:top w:val="nil"/>
              <w:left w:val="single" w:color="000000" w:sz="2" w:space="0"/>
              <w:bottom w:val="single" w:color="000000" w:sz="2" w:space="0"/>
              <w:right w:val="single" w:color="000000" w:sz="2" w:space="0"/>
            </w:tcBorders>
            <w:vAlign w:val="center"/>
          </w:tcPr>
          <w:p w14:paraId="2FB9B3BD">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615DA28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▲机箱尺寸容量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4DA1118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w:t>
            </w:r>
          </w:p>
        </w:tc>
      </w:tr>
      <w:tr w14:paraId="0BFB7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F9B32B1">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80</w:t>
            </w:r>
          </w:p>
        </w:tc>
        <w:tc>
          <w:tcPr>
            <w:tcW w:w="1275" w:type="dxa"/>
            <w:vMerge w:val="restart"/>
            <w:tcBorders>
              <w:top w:val="nil"/>
              <w:left w:val="single" w:color="000000" w:sz="2" w:space="0"/>
              <w:bottom w:val="nil"/>
              <w:right w:val="single" w:color="000000" w:sz="2" w:space="0"/>
            </w:tcBorders>
            <w:vAlign w:val="center"/>
          </w:tcPr>
          <w:p w14:paraId="60BDFC8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▲CPU性能</w:t>
            </w:r>
          </w:p>
        </w:tc>
        <w:tc>
          <w:tcPr>
            <w:tcW w:w="1701" w:type="dxa"/>
            <w:tcBorders>
              <w:top w:val="single" w:color="000000" w:sz="2" w:space="0"/>
              <w:left w:val="single" w:color="000000" w:sz="2" w:space="0"/>
              <w:bottom w:val="single" w:color="000000" w:sz="2" w:space="0"/>
              <w:right w:val="single" w:color="000000" w:sz="2" w:space="0"/>
            </w:tcBorders>
            <w:vAlign w:val="center"/>
          </w:tcPr>
          <w:p w14:paraId="4182F37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▲CPU 物理核数</w:t>
            </w:r>
          </w:p>
        </w:tc>
        <w:tc>
          <w:tcPr>
            <w:tcW w:w="5382" w:type="dxa"/>
            <w:tcBorders>
              <w:top w:val="single" w:color="000000" w:sz="2" w:space="0"/>
              <w:left w:val="single" w:color="000000" w:sz="2" w:space="0"/>
              <w:bottom w:val="single" w:color="000000" w:sz="2" w:space="0"/>
              <w:right w:val="single" w:color="000000" w:sz="2" w:space="0"/>
            </w:tcBorders>
            <w:vAlign w:val="center"/>
          </w:tcPr>
          <w:p w14:paraId="3E526A8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核数或线程数≥ 24</w:t>
            </w:r>
          </w:p>
        </w:tc>
      </w:tr>
      <w:tr w14:paraId="5A385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2DDA791">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81</w:t>
            </w:r>
          </w:p>
        </w:tc>
        <w:tc>
          <w:tcPr>
            <w:tcW w:w="1275" w:type="dxa"/>
            <w:vMerge w:val="continue"/>
            <w:tcBorders>
              <w:top w:val="nil"/>
              <w:left w:val="single" w:color="000000" w:sz="2" w:space="0"/>
              <w:bottom w:val="nil"/>
              <w:right w:val="single" w:color="000000" w:sz="2" w:space="0"/>
            </w:tcBorders>
            <w:vAlign w:val="center"/>
          </w:tcPr>
          <w:p w14:paraId="0B88ADAC">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16C6954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▲CPU 主频</w:t>
            </w:r>
          </w:p>
        </w:tc>
        <w:tc>
          <w:tcPr>
            <w:tcW w:w="5382" w:type="dxa"/>
            <w:tcBorders>
              <w:top w:val="single" w:color="000000" w:sz="2" w:space="0"/>
              <w:left w:val="single" w:color="000000" w:sz="2" w:space="0"/>
              <w:bottom w:val="single" w:color="000000" w:sz="2" w:space="0"/>
              <w:right w:val="single" w:color="000000" w:sz="2" w:space="0"/>
            </w:tcBorders>
            <w:vAlign w:val="center"/>
          </w:tcPr>
          <w:p w14:paraId="5B2A20E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≥2.7GHz</w:t>
            </w:r>
          </w:p>
        </w:tc>
      </w:tr>
      <w:tr w14:paraId="6D7C7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E7E24E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82</w:t>
            </w:r>
          </w:p>
        </w:tc>
        <w:tc>
          <w:tcPr>
            <w:tcW w:w="1275" w:type="dxa"/>
            <w:vMerge w:val="continue"/>
            <w:tcBorders>
              <w:top w:val="nil"/>
              <w:left w:val="single" w:color="000000" w:sz="2" w:space="0"/>
              <w:bottom w:val="nil"/>
              <w:right w:val="single" w:color="000000" w:sz="2" w:space="0"/>
            </w:tcBorders>
            <w:vAlign w:val="center"/>
          </w:tcPr>
          <w:p w14:paraId="67EAD2C4">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15B04335">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▲CPU 末级缓存容量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3DDDF5E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≥36MB</w:t>
            </w:r>
          </w:p>
        </w:tc>
      </w:tr>
      <w:tr w14:paraId="4E375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491467D">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83</w:t>
            </w:r>
          </w:p>
        </w:tc>
        <w:tc>
          <w:tcPr>
            <w:tcW w:w="1275" w:type="dxa"/>
            <w:vMerge w:val="continue"/>
            <w:tcBorders>
              <w:top w:val="nil"/>
              <w:left w:val="single" w:color="000000" w:sz="2" w:space="0"/>
              <w:bottom w:val="nil"/>
              <w:right w:val="single" w:color="000000" w:sz="2" w:space="0"/>
            </w:tcBorders>
            <w:vAlign w:val="center"/>
          </w:tcPr>
          <w:p w14:paraId="5E92A4EC">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FA31AA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▲CPU 支持的内存</w:t>
            </w:r>
          </w:p>
          <w:p w14:paraId="506337A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最高速率</w:t>
            </w:r>
          </w:p>
        </w:tc>
        <w:tc>
          <w:tcPr>
            <w:tcW w:w="5382" w:type="dxa"/>
            <w:tcBorders>
              <w:top w:val="single" w:color="000000" w:sz="2" w:space="0"/>
              <w:left w:val="single" w:color="000000" w:sz="2" w:space="0"/>
              <w:bottom w:val="single" w:color="000000" w:sz="2" w:space="0"/>
              <w:right w:val="single" w:color="000000" w:sz="2" w:space="0"/>
            </w:tcBorders>
            <w:vAlign w:val="center"/>
          </w:tcPr>
          <w:p w14:paraId="5028D8D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≥DDR5-6400 MT/s</w:t>
            </w:r>
          </w:p>
        </w:tc>
      </w:tr>
      <w:tr w14:paraId="0EF09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0F3E5853">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84</w:t>
            </w:r>
          </w:p>
        </w:tc>
        <w:tc>
          <w:tcPr>
            <w:tcW w:w="1275" w:type="dxa"/>
            <w:tcBorders>
              <w:top w:val="single" w:color="000000" w:sz="2" w:space="0"/>
              <w:left w:val="single" w:color="000000" w:sz="2" w:space="0"/>
              <w:bottom w:val="single" w:color="000000" w:sz="2" w:space="0"/>
              <w:right w:val="single" w:color="000000" w:sz="2" w:space="0"/>
            </w:tcBorders>
            <w:vAlign w:val="center"/>
          </w:tcPr>
          <w:p w14:paraId="2F9B35D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▲内存性能</w:t>
            </w:r>
          </w:p>
        </w:tc>
        <w:tc>
          <w:tcPr>
            <w:tcW w:w="1701" w:type="dxa"/>
            <w:tcBorders>
              <w:top w:val="single" w:color="000000" w:sz="2" w:space="0"/>
              <w:left w:val="single" w:color="000000" w:sz="2" w:space="0"/>
              <w:bottom w:val="single" w:color="000000" w:sz="2" w:space="0"/>
              <w:right w:val="single" w:color="000000" w:sz="2" w:space="0"/>
            </w:tcBorders>
            <w:vAlign w:val="center"/>
          </w:tcPr>
          <w:p w14:paraId="5F8E959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▲内存读写速率</w:t>
            </w:r>
          </w:p>
        </w:tc>
        <w:tc>
          <w:tcPr>
            <w:tcW w:w="5382" w:type="dxa"/>
            <w:tcBorders>
              <w:top w:val="single" w:color="000000" w:sz="2" w:space="0"/>
              <w:left w:val="single" w:color="000000" w:sz="2" w:space="0"/>
              <w:bottom w:val="single" w:color="000000" w:sz="2" w:space="0"/>
              <w:right w:val="single" w:color="000000" w:sz="2" w:space="0"/>
            </w:tcBorders>
            <w:vAlign w:val="center"/>
          </w:tcPr>
          <w:p w14:paraId="732B6CC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≥5600MT/s</w:t>
            </w:r>
          </w:p>
        </w:tc>
      </w:tr>
      <w:tr w14:paraId="4E888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D98CA3A">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85</w:t>
            </w:r>
          </w:p>
        </w:tc>
        <w:tc>
          <w:tcPr>
            <w:tcW w:w="1275" w:type="dxa"/>
            <w:vMerge w:val="restart"/>
            <w:tcBorders>
              <w:top w:val="nil"/>
              <w:left w:val="single" w:color="000000" w:sz="2" w:space="0"/>
              <w:bottom w:val="nil"/>
              <w:right w:val="single" w:color="000000" w:sz="2" w:space="0"/>
            </w:tcBorders>
            <w:vAlign w:val="center"/>
          </w:tcPr>
          <w:p w14:paraId="61C9D0BA">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▲显卡性能</w:t>
            </w:r>
          </w:p>
        </w:tc>
        <w:tc>
          <w:tcPr>
            <w:tcW w:w="1701" w:type="dxa"/>
            <w:tcBorders>
              <w:top w:val="single" w:color="000000" w:sz="2" w:space="0"/>
              <w:left w:val="single" w:color="000000" w:sz="2" w:space="0"/>
              <w:bottom w:val="single" w:color="000000" w:sz="2" w:space="0"/>
              <w:right w:val="single" w:color="000000" w:sz="2" w:space="0"/>
            </w:tcBorders>
            <w:vAlign w:val="center"/>
          </w:tcPr>
          <w:p w14:paraId="06AACA5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▲显示分辨率</w:t>
            </w:r>
          </w:p>
        </w:tc>
        <w:tc>
          <w:tcPr>
            <w:tcW w:w="5382" w:type="dxa"/>
            <w:tcBorders>
              <w:top w:val="single" w:color="000000" w:sz="2" w:space="0"/>
              <w:left w:val="single" w:color="000000" w:sz="2" w:space="0"/>
              <w:bottom w:val="single" w:color="000000" w:sz="2" w:space="0"/>
              <w:right w:val="single" w:color="000000" w:sz="2" w:space="0"/>
            </w:tcBorders>
            <w:vAlign w:val="center"/>
          </w:tcPr>
          <w:p w14:paraId="3767FAC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≥2560×1600</w:t>
            </w:r>
          </w:p>
        </w:tc>
      </w:tr>
      <w:tr w14:paraId="18830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A18B66D">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86</w:t>
            </w:r>
          </w:p>
        </w:tc>
        <w:tc>
          <w:tcPr>
            <w:tcW w:w="1275" w:type="dxa"/>
            <w:vMerge w:val="continue"/>
            <w:tcBorders>
              <w:top w:val="nil"/>
              <w:left w:val="single" w:color="000000" w:sz="2" w:space="0"/>
              <w:bottom w:val="nil"/>
              <w:right w:val="single" w:color="000000" w:sz="2" w:space="0"/>
            </w:tcBorders>
            <w:vAlign w:val="center"/>
          </w:tcPr>
          <w:p w14:paraId="6C8C2360">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36BBCC5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▲显卡显示芯片核心频率</w:t>
            </w:r>
          </w:p>
        </w:tc>
        <w:tc>
          <w:tcPr>
            <w:tcW w:w="5382" w:type="dxa"/>
            <w:tcBorders>
              <w:top w:val="single" w:color="000000" w:sz="2" w:space="0"/>
              <w:left w:val="single" w:color="000000" w:sz="2" w:space="0"/>
              <w:bottom w:val="single" w:color="000000" w:sz="2" w:space="0"/>
              <w:right w:val="single" w:color="000000" w:sz="2" w:space="0"/>
            </w:tcBorders>
            <w:vAlign w:val="center"/>
          </w:tcPr>
          <w:p w14:paraId="601AED3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≥800MHz</w:t>
            </w:r>
          </w:p>
        </w:tc>
      </w:tr>
      <w:tr w14:paraId="6B725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12042A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87</w:t>
            </w:r>
          </w:p>
        </w:tc>
        <w:tc>
          <w:tcPr>
            <w:tcW w:w="1275" w:type="dxa"/>
            <w:vMerge w:val="continue"/>
            <w:tcBorders>
              <w:top w:val="nil"/>
              <w:left w:val="single" w:color="000000" w:sz="2" w:space="0"/>
              <w:bottom w:val="nil"/>
              <w:right w:val="single" w:color="000000" w:sz="2" w:space="0"/>
            </w:tcBorders>
            <w:vAlign w:val="center"/>
          </w:tcPr>
          <w:p w14:paraId="1DC2A61D">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3D04041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▲显存等效频率</w:t>
            </w:r>
          </w:p>
        </w:tc>
        <w:tc>
          <w:tcPr>
            <w:tcW w:w="5382" w:type="dxa"/>
            <w:tcBorders>
              <w:top w:val="single" w:color="000000" w:sz="2" w:space="0"/>
              <w:left w:val="single" w:color="000000" w:sz="2" w:space="0"/>
              <w:bottom w:val="single" w:color="000000" w:sz="2" w:space="0"/>
              <w:right w:val="single" w:color="000000" w:sz="2" w:space="0"/>
            </w:tcBorders>
            <w:vAlign w:val="center"/>
          </w:tcPr>
          <w:p w14:paraId="0F06604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≥1600MT/s</w:t>
            </w:r>
          </w:p>
        </w:tc>
      </w:tr>
      <w:tr w14:paraId="00AD6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BA5C43E">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88</w:t>
            </w:r>
          </w:p>
        </w:tc>
        <w:tc>
          <w:tcPr>
            <w:tcW w:w="1275" w:type="dxa"/>
            <w:vMerge w:val="continue"/>
            <w:tcBorders>
              <w:top w:val="nil"/>
              <w:left w:val="single" w:color="000000" w:sz="2" w:space="0"/>
              <w:bottom w:val="nil"/>
              <w:right w:val="single" w:color="000000" w:sz="2" w:space="0"/>
            </w:tcBorders>
            <w:vAlign w:val="center"/>
          </w:tcPr>
          <w:p w14:paraId="0015DF39">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3EEA9A5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▲显卡可支持多屏同时显示数量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038E6AA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 2 块屏幕同时显示，分辨率应不低于 2560×1600</w:t>
            </w:r>
          </w:p>
        </w:tc>
      </w:tr>
      <w:tr w14:paraId="524FB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AD2FF1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89</w:t>
            </w:r>
          </w:p>
        </w:tc>
        <w:tc>
          <w:tcPr>
            <w:tcW w:w="1275" w:type="dxa"/>
            <w:vMerge w:val="restart"/>
            <w:tcBorders>
              <w:top w:val="nil"/>
              <w:left w:val="single" w:color="000000" w:sz="2" w:space="0"/>
              <w:bottom w:val="single" w:color="000000" w:sz="2" w:space="0"/>
              <w:right w:val="single" w:color="000000" w:sz="2" w:space="0"/>
            </w:tcBorders>
            <w:vAlign w:val="center"/>
          </w:tcPr>
          <w:p w14:paraId="7FA40C5D">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▲显示设备性能</w:t>
            </w:r>
          </w:p>
        </w:tc>
        <w:tc>
          <w:tcPr>
            <w:tcW w:w="1701" w:type="dxa"/>
            <w:tcBorders>
              <w:top w:val="single" w:color="000000" w:sz="2" w:space="0"/>
              <w:left w:val="single" w:color="000000" w:sz="2" w:space="0"/>
              <w:bottom w:val="single" w:color="000000" w:sz="2" w:space="0"/>
              <w:right w:val="single" w:color="000000" w:sz="2" w:space="0"/>
            </w:tcBorders>
            <w:vAlign w:val="center"/>
          </w:tcPr>
          <w:p w14:paraId="6961A2F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▲显示屏刷新率</w:t>
            </w:r>
          </w:p>
        </w:tc>
        <w:tc>
          <w:tcPr>
            <w:tcW w:w="5382" w:type="dxa"/>
            <w:tcBorders>
              <w:top w:val="single" w:color="000000" w:sz="2" w:space="0"/>
              <w:left w:val="single" w:color="000000" w:sz="2" w:space="0"/>
              <w:bottom w:val="single" w:color="000000" w:sz="2" w:space="0"/>
              <w:right w:val="single" w:color="000000" w:sz="2" w:space="0"/>
            </w:tcBorders>
            <w:vAlign w:val="center"/>
          </w:tcPr>
          <w:p w14:paraId="1F7DF4B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≥240Hz</w:t>
            </w:r>
          </w:p>
        </w:tc>
      </w:tr>
      <w:tr w14:paraId="335BA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05EB1AA7">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90</w:t>
            </w:r>
          </w:p>
        </w:tc>
        <w:tc>
          <w:tcPr>
            <w:tcW w:w="1275" w:type="dxa"/>
            <w:vMerge w:val="continue"/>
            <w:tcBorders>
              <w:top w:val="nil"/>
              <w:left w:val="single" w:color="000000" w:sz="2" w:space="0"/>
              <w:bottom w:val="single" w:color="000000" w:sz="2" w:space="0"/>
              <w:right w:val="single" w:color="000000" w:sz="2" w:space="0"/>
            </w:tcBorders>
            <w:vAlign w:val="center"/>
          </w:tcPr>
          <w:p w14:paraId="2F4ADA3E">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363A539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▲显示屏位深</w:t>
            </w:r>
          </w:p>
        </w:tc>
        <w:tc>
          <w:tcPr>
            <w:tcW w:w="5382" w:type="dxa"/>
            <w:tcBorders>
              <w:top w:val="single" w:color="000000" w:sz="2" w:space="0"/>
              <w:left w:val="single" w:color="000000" w:sz="2" w:space="0"/>
              <w:bottom w:val="single" w:color="000000" w:sz="2" w:space="0"/>
              <w:right w:val="single" w:color="000000" w:sz="2" w:space="0"/>
            </w:tcBorders>
            <w:vAlign w:val="center"/>
          </w:tcPr>
          <w:p w14:paraId="3344C87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≥10位</w:t>
            </w:r>
          </w:p>
        </w:tc>
      </w:tr>
      <w:tr w14:paraId="5A218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040A893">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91</w:t>
            </w:r>
          </w:p>
        </w:tc>
        <w:tc>
          <w:tcPr>
            <w:tcW w:w="1275" w:type="dxa"/>
            <w:vMerge w:val="continue"/>
            <w:tcBorders>
              <w:top w:val="nil"/>
              <w:left w:val="single" w:color="000000" w:sz="2" w:space="0"/>
              <w:bottom w:val="single" w:color="000000" w:sz="2" w:space="0"/>
              <w:right w:val="single" w:color="000000" w:sz="2" w:space="0"/>
            </w:tcBorders>
            <w:vAlign w:val="center"/>
          </w:tcPr>
          <w:p w14:paraId="68EA1F45">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7098522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▲显示屏色域</w:t>
            </w:r>
          </w:p>
        </w:tc>
        <w:tc>
          <w:tcPr>
            <w:tcW w:w="5382" w:type="dxa"/>
            <w:tcBorders>
              <w:top w:val="single" w:color="000000" w:sz="2" w:space="0"/>
              <w:left w:val="single" w:color="000000" w:sz="2" w:space="0"/>
              <w:bottom w:val="single" w:color="000000" w:sz="2" w:space="0"/>
              <w:right w:val="single" w:color="000000" w:sz="2" w:space="0"/>
            </w:tcBorders>
            <w:vAlign w:val="center"/>
          </w:tcPr>
          <w:p w14:paraId="4679F66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≥100% DCI-P3 广色域</w:t>
            </w:r>
          </w:p>
        </w:tc>
      </w:tr>
      <w:tr w14:paraId="3C95B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2E2C321">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92</w:t>
            </w:r>
          </w:p>
        </w:tc>
        <w:tc>
          <w:tcPr>
            <w:tcW w:w="1275" w:type="dxa"/>
            <w:vMerge w:val="continue"/>
            <w:tcBorders>
              <w:top w:val="nil"/>
              <w:left w:val="single" w:color="000000" w:sz="2" w:space="0"/>
              <w:bottom w:val="single" w:color="000000" w:sz="2" w:space="0"/>
              <w:right w:val="single" w:color="000000" w:sz="2" w:space="0"/>
            </w:tcBorders>
            <w:vAlign w:val="center"/>
          </w:tcPr>
          <w:p w14:paraId="20681CC2">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1DA597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▲显示屏色准</w:t>
            </w:r>
          </w:p>
        </w:tc>
        <w:tc>
          <w:tcPr>
            <w:tcW w:w="5382" w:type="dxa"/>
            <w:tcBorders>
              <w:top w:val="single" w:color="000000" w:sz="2" w:space="0"/>
              <w:left w:val="single" w:color="000000" w:sz="2" w:space="0"/>
              <w:bottom w:val="single" w:color="000000" w:sz="2" w:space="0"/>
              <w:right w:val="single" w:color="000000" w:sz="2" w:space="0"/>
            </w:tcBorders>
            <w:vAlign w:val="center"/>
          </w:tcPr>
          <w:p w14:paraId="0C8D4F3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△E ≤ 1</w:t>
            </w:r>
          </w:p>
        </w:tc>
      </w:tr>
      <w:tr w14:paraId="20343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FFE77FC">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93</w:t>
            </w:r>
          </w:p>
        </w:tc>
        <w:tc>
          <w:tcPr>
            <w:tcW w:w="1275" w:type="dxa"/>
            <w:vMerge w:val="continue"/>
            <w:tcBorders>
              <w:top w:val="nil"/>
              <w:left w:val="single" w:color="000000" w:sz="2" w:space="0"/>
              <w:bottom w:val="single" w:color="000000" w:sz="2" w:space="0"/>
              <w:right w:val="single" w:color="000000" w:sz="2" w:space="0"/>
            </w:tcBorders>
            <w:vAlign w:val="center"/>
          </w:tcPr>
          <w:p w14:paraId="15A852C2">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8DE54A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▲显示屏响应时间</w:t>
            </w:r>
          </w:p>
        </w:tc>
        <w:tc>
          <w:tcPr>
            <w:tcW w:w="5382" w:type="dxa"/>
            <w:tcBorders>
              <w:top w:val="single" w:color="000000" w:sz="2" w:space="0"/>
              <w:left w:val="single" w:color="000000" w:sz="2" w:space="0"/>
              <w:bottom w:val="single" w:color="000000" w:sz="2" w:space="0"/>
              <w:right w:val="single" w:color="000000" w:sz="2" w:space="0"/>
            </w:tcBorders>
            <w:vAlign w:val="center"/>
          </w:tcPr>
          <w:p w14:paraId="52F8596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≤3ms</w:t>
            </w:r>
          </w:p>
        </w:tc>
      </w:tr>
      <w:tr w14:paraId="42572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5D1E5F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94</w:t>
            </w:r>
          </w:p>
        </w:tc>
        <w:tc>
          <w:tcPr>
            <w:tcW w:w="1275" w:type="dxa"/>
            <w:vMerge w:val="continue"/>
            <w:tcBorders>
              <w:top w:val="nil"/>
              <w:left w:val="single" w:color="000000" w:sz="2" w:space="0"/>
              <w:bottom w:val="single" w:color="000000" w:sz="2" w:space="0"/>
              <w:right w:val="single" w:color="000000" w:sz="2" w:space="0"/>
            </w:tcBorders>
            <w:vAlign w:val="center"/>
          </w:tcPr>
          <w:p w14:paraId="5C971918">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DA7E1F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▲显示屏亮度</w:t>
            </w:r>
          </w:p>
        </w:tc>
        <w:tc>
          <w:tcPr>
            <w:tcW w:w="5382" w:type="dxa"/>
            <w:tcBorders>
              <w:top w:val="single" w:color="000000" w:sz="2" w:space="0"/>
              <w:left w:val="single" w:color="000000" w:sz="2" w:space="0"/>
              <w:bottom w:val="single" w:color="000000" w:sz="2" w:space="0"/>
              <w:right w:val="single" w:color="000000" w:sz="2" w:space="0"/>
            </w:tcBorders>
            <w:vAlign w:val="center"/>
          </w:tcPr>
          <w:p w14:paraId="00D9B09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≥500尼特</w:t>
            </w:r>
          </w:p>
        </w:tc>
      </w:tr>
      <w:tr w14:paraId="5AB6C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D874AE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95</w:t>
            </w:r>
          </w:p>
        </w:tc>
        <w:tc>
          <w:tcPr>
            <w:tcW w:w="1275" w:type="dxa"/>
            <w:vMerge w:val="continue"/>
            <w:tcBorders>
              <w:top w:val="nil"/>
              <w:left w:val="single" w:color="000000" w:sz="2" w:space="0"/>
              <w:bottom w:val="single" w:color="000000" w:sz="2" w:space="0"/>
              <w:right w:val="single" w:color="000000" w:sz="2" w:space="0"/>
            </w:tcBorders>
            <w:vAlign w:val="center"/>
          </w:tcPr>
          <w:p w14:paraId="27E8006A">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292678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▲显示屏亮度一致性</w:t>
            </w:r>
          </w:p>
        </w:tc>
        <w:tc>
          <w:tcPr>
            <w:tcW w:w="5382" w:type="dxa"/>
            <w:tcBorders>
              <w:top w:val="single" w:color="000000" w:sz="2" w:space="0"/>
              <w:left w:val="single" w:color="000000" w:sz="2" w:space="0"/>
              <w:bottom w:val="single" w:color="000000" w:sz="2" w:space="0"/>
              <w:right w:val="single" w:color="000000" w:sz="2" w:space="0"/>
            </w:tcBorders>
            <w:vAlign w:val="center"/>
          </w:tcPr>
          <w:p w14:paraId="626C9F2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≥70%</w:t>
            </w:r>
          </w:p>
        </w:tc>
      </w:tr>
      <w:tr w14:paraId="1DCE5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17EBB6E">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96</w:t>
            </w:r>
          </w:p>
        </w:tc>
        <w:tc>
          <w:tcPr>
            <w:tcW w:w="1275" w:type="dxa"/>
            <w:vMerge w:val="continue"/>
            <w:tcBorders>
              <w:top w:val="nil"/>
              <w:left w:val="single" w:color="000000" w:sz="2" w:space="0"/>
              <w:bottom w:val="single" w:color="000000" w:sz="2" w:space="0"/>
              <w:right w:val="single" w:color="000000" w:sz="2" w:space="0"/>
            </w:tcBorders>
            <w:vAlign w:val="center"/>
          </w:tcPr>
          <w:p w14:paraId="6487102A">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6BF2EBA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▲显示屏对比度</w:t>
            </w:r>
          </w:p>
        </w:tc>
        <w:tc>
          <w:tcPr>
            <w:tcW w:w="5382" w:type="dxa"/>
            <w:tcBorders>
              <w:top w:val="single" w:color="000000" w:sz="2" w:space="0"/>
              <w:left w:val="single" w:color="000000" w:sz="2" w:space="0"/>
              <w:bottom w:val="single" w:color="000000" w:sz="2" w:space="0"/>
              <w:right w:val="single" w:color="000000" w:sz="2" w:space="0"/>
            </w:tcBorders>
            <w:vAlign w:val="center"/>
          </w:tcPr>
          <w:p w14:paraId="12A552A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≥1000：1</w:t>
            </w:r>
          </w:p>
        </w:tc>
      </w:tr>
      <w:tr w14:paraId="52D06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2F743C1">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97</w:t>
            </w:r>
          </w:p>
        </w:tc>
        <w:tc>
          <w:tcPr>
            <w:tcW w:w="1275" w:type="dxa"/>
            <w:vMerge w:val="continue"/>
            <w:tcBorders>
              <w:top w:val="nil"/>
              <w:left w:val="single" w:color="000000" w:sz="2" w:space="0"/>
              <w:bottom w:val="single" w:color="000000" w:sz="2" w:space="0"/>
              <w:right w:val="single" w:color="000000" w:sz="2" w:space="0"/>
            </w:tcBorders>
            <w:vAlign w:val="center"/>
          </w:tcPr>
          <w:p w14:paraId="3207B6FF">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544524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▲显示屏其他参数</w:t>
            </w:r>
          </w:p>
        </w:tc>
        <w:tc>
          <w:tcPr>
            <w:tcW w:w="5382" w:type="dxa"/>
            <w:tcBorders>
              <w:top w:val="single" w:color="000000" w:sz="2" w:space="0"/>
              <w:left w:val="single" w:color="000000" w:sz="2" w:space="0"/>
              <w:bottom w:val="single" w:color="000000" w:sz="2" w:space="0"/>
              <w:right w:val="single" w:color="000000" w:sz="2" w:space="0"/>
            </w:tcBorders>
            <w:vAlign w:val="center"/>
          </w:tcPr>
          <w:p w14:paraId="19BEF23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其它参数应符合SJ/T 11292 的相关规定</w:t>
            </w:r>
          </w:p>
        </w:tc>
      </w:tr>
      <w:tr w14:paraId="66C2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A47B886">
            <w:pPr>
              <w:pStyle w:val="347"/>
              <w:spacing w:before="38" w:after="0"/>
              <w:ind w:right="59"/>
              <w:jc w:val="center"/>
              <w:rPr>
                <w:rFonts w:ascii="宋体" w:hAnsi="宋体" w:eastAsia="Times New Roman"/>
                <w:color w:val="auto"/>
                <w:spacing w:val="-4"/>
                <w:sz w:val="22"/>
                <w:szCs w:val="22"/>
              </w:rPr>
            </w:pPr>
          </w:p>
          <w:p w14:paraId="2BDC9D8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98</w:t>
            </w:r>
          </w:p>
        </w:tc>
        <w:tc>
          <w:tcPr>
            <w:tcW w:w="1275" w:type="dxa"/>
            <w:vMerge w:val="restart"/>
            <w:tcBorders>
              <w:top w:val="nil"/>
              <w:left w:val="single" w:color="000000" w:sz="2" w:space="0"/>
              <w:bottom w:val="nil"/>
              <w:right w:val="single" w:color="000000" w:sz="2" w:space="0"/>
            </w:tcBorders>
            <w:vAlign w:val="center"/>
          </w:tcPr>
          <w:p w14:paraId="44ED25C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▲网络设备性能</w:t>
            </w:r>
          </w:p>
        </w:tc>
        <w:tc>
          <w:tcPr>
            <w:tcW w:w="1701" w:type="dxa"/>
            <w:tcBorders>
              <w:top w:val="single" w:color="000000" w:sz="2" w:space="0"/>
              <w:left w:val="single" w:color="000000" w:sz="2" w:space="0"/>
              <w:bottom w:val="single" w:color="000000" w:sz="2" w:space="0"/>
              <w:right w:val="single" w:color="000000" w:sz="2" w:space="0"/>
            </w:tcBorders>
            <w:vAlign w:val="center"/>
          </w:tcPr>
          <w:p w14:paraId="1907A36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▲有线网卡速率</w:t>
            </w:r>
          </w:p>
        </w:tc>
        <w:tc>
          <w:tcPr>
            <w:tcW w:w="5382" w:type="dxa"/>
            <w:tcBorders>
              <w:top w:val="single" w:color="000000" w:sz="2" w:space="0"/>
              <w:left w:val="single" w:color="000000" w:sz="2" w:space="0"/>
              <w:bottom w:val="single" w:color="000000" w:sz="2" w:space="0"/>
              <w:right w:val="single" w:color="000000" w:sz="2" w:space="0"/>
            </w:tcBorders>
            <w:vAlign w:val="center"/>
          </w:tcPr>
          <w:p w14:paraId="2671CF1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最高速率应不低于 1000Mbps，应支持10Mbps、100Mbps、1000Mbps 速率自适应</w:t>
            </w:r>
          </w:p>
        </w:tc>
      </w:tr>
      <w:tr w14:paraId="33CED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CC6811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99</w:t>
            </w:r>
          </w:p>
        </w:tc>
        <w:tc>
          <w:tcPr>
            <w:tcW w:w="1275" w:type="dxa"/>
            <w:vMerge w:val="continue"/>
            <w:tcBorders>
              <w:top w:val="nil"/>
              <w:left w:val="single" w:color="000000" w:sz="2" w:space="0"/>
              <w:bottom w:val="nil"/>
              <w:right w:val="single" w:color="000000" w:sz="2" w:space="0"/>
            </w:tcBorders>
            <w:vAlign w:val="center"/>
          </w:tcPr>
          <w:p w14:paraId="5622BF17">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70B068A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支持无线网络通信技术协议</w:t>
            </w:r>
          </w:p>
        </w:tc>
        <w:tc>
          <w:tcPr>
            <w:tcW w:w="5382" w:type="dxa"/>
            <w:tcBorders>
              <w:top w:val="single" w:color="000000" w:sz="2" w:space="0"/>
              <w:left w:val="single" w:color="000000" w:sz="2" w:space="0"/>
              <w:bottom w:val="single" w:color="000000" w:sz="2" w:space="0"/>
              <w:right w:val="single" w:color="000000" w:sz="2" w:space="0"/>
            </w:tcBorders>
            <w:vAlign w:val="center"/>
          </w:tcPr>
          <w:p w14:paraId="56A71E6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 WAPI 或 WiFi5.0 及以上协议</w:t>
            </w:r>
          </w:p>
        </w:tc>
      </w:tr>
      <w:tr w14:paraId="73EC1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422168A">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100</w:t>
            </w:r>
          </w:p>
        </w:tc>
        <w:tc>
          <w:tcPr>
            <w:tcW w:w="1275" w:type="dxa"/>
            <w:vMerge w:val="continue"/>
            <w:tcBorders>
              <w:top w:val="nil"/>
              <w:left w:val="single" w:color="000000" w:sz="2" w:space="0"/>
              <w:bottom w:val="nil"/>
              <w:right w:val="single" w:color="000000" w:sz="2" w:space="0"/>
            </w:tcBorders>
            <w:vAlign w:val="center"/>
          </w:tcPr>
          <w:p w14:paraId="42264F50">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78AD73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无线网卡频宽</w:t>
            </w:r>
          </w:p>
        </w:tc>
        <w:tc>
          <w:tcPr>
            <w:tcW w:w="5382" w:type="dxa"/>
            <w:tcBorders>
              <w:top w:val="single" w:color="000000" w:sz="2" w:space="0"/>
              <w:left w:val="single" w:color="000000" w:sz="2" w:space="0"/>
              <w:bottom w:val="single" w:color="000000" w:sz="2" w:space="0"/>
              <w:right w:val="single" w:color="000000" w:sz="2" w:space="0"/>
            </w:tcBorders>
            <w:vAlign w:val="center"/>
          </w:tcPr>
          <w:p w14:paraId="3C5F628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≥20MHz</w:t>
            </w:r>
          </w:p>
        </w:tc>
      </w:tr>
      <w:tr w14:paraId="2DDDD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64D455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101</w:t>
            </w:r>
          </w:p>
        </w:tc>
        <w:tc>
          <w:tcPr>
            <w:tcW w:w="1275" w:type="dxa"/>
            <w:vMerge w:val="restart"/>
            <w:tcBorders>
              <w:top w:val="nil"/>
              <w:left w:val="single" w:color="000000" w:sz="2" w:space="0"/>
              <w:bottom w:val="nil"/>
              <w:right w:val="single" w:color="000000" w:sz="2" w:space="0"/>
            </w:tcBorders>
            <w:vAlign w:val="center"/>
          </w:tcPr>
          <w:p w14:paraId="2A7A10A7">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▲主板功能</w:t>
            </w:r>
          </w:p>
        </w:tc>
        <w:tc>
          <w:tcPr>
            <w:tcW w:w="1701" w:type="dxa"/>
            <w:tcBorders>
              <w:top w:val="single" w:color="000000" w:sz="2" w:space="0"/>
              <w:left w:val="single" w:color="000000" w:sz="2" w:space="0"/>
              <w:bottom w:val="single" w:color="000000" w:sz="2" w:space="0"/>
              <w:right w:val="single" w:color="000000" w:sz="2" w:space="0"/>
            </w:tcBorders>
            <w:vAlign w:val="center"/>
          </w:tcPr>
          <w:p w14:paraId="4B561F9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▲内存扩展接口 (板载内存不涉及)</w:t>
            </w:r>
          </w:p>
        </w:tc>
        <w:tc>
          <w:tcPr>
            <w:tcW w:w="5382" w:type="dxa"/>
            <w:tcBorders>
              <w:top w:val="single" w:color="000000" w:sz="2" w:space="0"/>
              <w:left w:val="single" w:color="000000" w:sz="2" w:space="0"/>
              <w:bottom w:val="single" w:color="000000" w:sz="2" w:space="0"/>
              <w:right w:val="single" w:color="000000" w:sz="2" w:space="0"/>
            </w:tcBorders>
            <w:vAlign w:val="center"/>
          </w:tcPr>
          <w:p w14:paraId="5194F16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≥2</w:t>
            </w:r>
          </w:p>
        </w:tc>
      </w:tr>
      <w:tr w14:paraId="6CD75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534A7EE">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102</w:t>
            </w:r>
          </w:p>
        </w:tc>
        <w:tc>
          <w:tcPr>
            <w:tcW w:w="1275" w:type="dxa"/>
            <w:vMerge w:val="continue"/>
            <w:tcBorders>
              <w:top w:val="nil"/>
              <w:left w:val="single" w:color="000000" w:sz="2" w:space="0"/>
              <w:bottom w:val="nil"/>
              <w:right w:val="single" w:color="000000" w:sz="2" w:space="0"/>
            </w:tcBorders>
            <w:vAlign w:val="center"/>
          </w:tcPr>
          <w:p w14:paraId="2FB185AC">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314A560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存储扩展接口(板载存储不涉及)</w:t>
            </w:r>
          </w:p>
        </w:tc>
        <w:tc>
          <w:tcPr>
            <w:tcW w:w="5382" w:type="dxa"/>
            <w:tcBorders>
              <w:top w:val="single" w:color="000000" w:sz="2" w:space="0"/>
              <w:left w:val="single" w:color="000000" w:sz="2" w:space="0"/>
              <w:bottom w:val="single" w:color="000000" w:sz="2" w:space="0"/>
              <w:right w:val="single" w:color="000000" w:sz="2" w:space="0"/>
            </w:tcBorders>
            <w:vAlign w:val="center"/>
          </w:tcPr>
          <w:p w14:paraId="1F79AC7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支持存储设备扩展接口≥2 个，如UFS3.0、SATA3.0、SAS3.0、M.2 等接口类型</w:t>
            </w:r>
          </w:p>
        </w:tc>
      </w:tr>
      <w:tr w14:paraId="3234D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08CAEDB9">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103</w:t>
            </w:r>
          </w:p>
        </w:tc>
        <w:tc>
          <w:tcPr>
            <w:tcW w:w="1275" w:type="dxa"/>
            <w:vMerge w:val="continue"/>
            <w:tcBorders>
              <w:top w:val="nil"/>
              <w:left w:val="single" w:color="000000" w:sz="2" w:space="0"/>
              <w:bottom w:val="nil"/>
              <w:right w:val="single" w:color="000000" w:sz="2" w:space="0"/>
            </w:tcBorders>
            <w:vAlign w:val="center"/>
          </w:tcPr>
          <w:p w14:paraId="7E12F8C4">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A7FD185">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▲主板USB 瞬间过流保护</w:t>
            </w:r>
          </w:p>
        </w:tc>
        <w:tc>
          <w:tcPr>
            <w:tcW w:w="5382" w:type="dxa"/>
            <w:tcBorders>
              <w:top w:val="single" w:color="000000" w:sz="2" w:space="0"/>
              <w:left w:val="single" w:color="000000" w:sz="2" w:space="0"/>
              <w:bottom w:val="single" w:color="000000" w:sz="2" w:space="0"/>
              <w:right w:val="single" w:color="000000" w:sz="2" w:space="0"/>
            </w:tcBorders>
            <w:vAlign w:val="center"/>
          </w:tcPr>
          <w:p w14:paraId="71EC85C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支持瞬间过流保护功能</w:t>
            </w:r>
          </w:p>
        </w:tc>
      </w:tr>
      <w:tr w14:paraId="5FE23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C69D26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104</w:t>
            </w:r>
          </w:p>
        </w:tc>
        <w:tc>
          <w:tcPr>
            <w:tcW w:w="1275" w:type="dxa"/>
            <w:vMerge w:val="continue"/>
            <w:tcBorders>
              <w:top w:val="nil"/>
              <w:left w:val="single" w:color="000000" w:sz="2" w:space="0"/>
              <w:bottom w:val="nil"/>
              <w:right w:val="single" w:color="000000" w:sz="2" w:space="0"/>
            </w:tcBorders>
            <w:vAlign w:val="center"/>
          </w:tcPr>
          <w:p w14:paraId="10C31E69">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9F714C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▲主板防静电保护</w:t>
            </w:r>
          </w:p>
        </w:tc>
        <w:tc>
          <w:tcPr>
            <w:tcW w:w="5382" w:type="dxa"/>
            <w:tcBorders>
              <w:top w:val="single" w:color="000000" w:sz="2" w:space="0"/>
              <w:left w:val="single" w:color="000000" w:sz="2" w:space="0"/>
              <w:bottom w:val="single" w:color="000000" w:sz="2" w:space="0"/>
              <w:right w:val="single" w:color="000000" w:sz="2" w:space="0"/>
            </w:tcBorders>
            <w:vAlign w:val="center"/>
          </w:tcPr>
          <w:p w14:paraId="7A7D102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支持防静电保护功能</w:t>
            </w:r>
          </w:p>
        </w:tc>
      </w:tr>
      <w:tr w14:paraId="56809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0FEA321B">
            <w:pPr>
              <w:pStyle w:val="347"/>
              <w:spacing w:before="38" w:after="0"/>
              <w:ind w:right="59"/>
              <w:jc w:val="center"/>
              <w:rPr>
                <w:rFonts w:ascii="宋体" w:hAnsi="宋体" w:eastAsia="Times New Roman"/>
                <w:color w:val="auto"/>
                <w:spacing w:val="-4"/>
                <w:sz w:val="22"/>
                <w:szCs w:val="22"/>
              </w:rPr>
            </w:pPr>
          </w:p>
          <w:p w14:paraId="5F76DAF9">
            <w:pPr>
              <w:pStyle w:val="347"/>
              <w:spacing w:before="38" w:after="0"/>
              <w:ind w:right="59"/>
              <w:jc w:val="center"/>
              <w:rPr>
                <w:rFonts w:ascii="宋体" w:hAnsi="宋体" w:eastAsia="Times New Roman"/>
                <w:color w:val="auto"/>
                <w:spacing w:val="-4"/>
                <w:sz w:val="22"/>
                <w:szCs w:val="22"/>
              </w:rPr>
            </w:pPr>
          </w:p>
          <w:p w14:paraId="18D99E28">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105</w:t>
            </w:r>
          </w:p>
        </w:tc>
        <w:tc>
          <w:tcPr>
            <w:tcW w:w="1275" w:type="dxa"/>
            <w:vMerge w:val="continue"/>
            <w:tcBorders>
              <w:top w:val="nil"/>
              <w:left w:val="single" w:color="000000" w:sz="2" w:space="0"/>
              <w:bottom w:val="nil"/>
              <w:right w:val="single" w:color="000000" w:sz="2" w:space="0"/>
            </w:tcBorders>
            <w:vAlign w:val="center"/>
          </w:tcPr>
          <w:p w14:paraId="3654A71F">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B788C8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▲I/O 接口功能</w:t>
            </w:r>
          </w:p>
        </w:tc>
        <w:tc>
          <w:tcPr>
            <w:tcW w:w="5382" w:type="dxa"/>
            <w:tcBorders>
              <w:top w:val="single" w:color="000000" w:sz="2" w:space="0"/>
              <w:left w:val="single" w:color="000000" w:sz="2" w:space="0"/>
              <w:bottom w:val="single" w:color="000000" w:sz="2" w:space="0"/>
              <w:right w:val="single" w:color="000000" w:sz="2" w:space="0"/>
            </w:tcBorders>
            <w:vAlign w:val="center"/>
          </w:tcPr>
          <w:p w14:paraId="5DA4404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提供基于标准 USB 接口外设连接功能、基于音频输入输出接口的音频扩展功能、基于 PCIe 接口板卡扩展功能、基于 HDMI/VGA/Type-C/DVI/DP 等接口外接显示器扩展功能、基于存储接口对产品进行增容功能等。工作站 I/O 接口应具备外接标准 USB 设备、显示器、音频设备等内外部设备能力</w:t>
            </w:r>
          </w:p>
        </w:tc>
      </w:tr>
      <w:tr w14:paraId="06538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0379D84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106</w:t>
            </w:r>
          </w:p>
        </w:tc>
        <w:tc>
          <w:tcPr>
            <w:tcW w:w="1275" w:type="dxa"/>
            <w:vMerge w:val="restart"/>
            <w:tcBorders>
              <w:top w:val="nil"/>
              <w:left w:val="single" w:color="000000" w:sz="2" w:space="0"/>
              <w:bottom w:val="single" w:color="000000" w:sz="2" w:space="0"/>
              <w:right w:val="single" w:color="000000" w:sz="2" w:space="0"/>
            </w:tcBorders>
            <w:vAlign w:val="center"/>
          </w:tcPr>
          <w:p w14:paraId="31308ED7">
            <w:pPr>
              <w:pStyle w:val="347"/>
              <w:spacing w:before="38" w:after="0"/>
              <w:ind w:right="59"/>
              <w:jc w:val="center"/>
              <w:rPr>
                <w:rFonts w:ascii="宋体" w:hAnsi="宋体" w:eastAsia="Times New Roman"/>
                <w:color w:val="auto"/>
                <w:spacing w:val="-4"/>
                <w:sz w:val="22"/>
                <w:szCs w:val="22"/>
              </w:rPr>
            </w:pPr>
          </w:p>
          <w:p w14:paraId="1C06CA35">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▲显卡功能</w:t>
            </w:r>
          </w:p>
        </w:tc>
        <w:tc>
          <w:tcPr>
            <w:tcW w:w="1701" w:type="dxa"/>
            <w:tcBorders>
              <w:top w:val="single" w:color="000000" w:sz="2" w:space="0"/>
              <w:left w:val="single" w:color="000000" w:sz="2" w:space="0"/>
              <w:bottom w:val="single" w:color="000000" w:sz="2" w:space="0"/>
              <w:right w:val="single" w:color="000000" w:sz="2" w:space="0"/>
            </w:tcBorders>
            <w:vAlign w:val="center"/>
          </w:tcPr>
          <w:p w14:paraId="2A08AC7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▲显卡外接显示接口</w:t>
            </w:r>
          </w:p>
        </w:tc>
        <w:tc>
          <w:tcPr>
            <w:tcW w:w="5382" w:type="dxa"/>
            <w:tcBorders>
              <w:top w:val="single" w:color="000000" w:sz="2" w:space="0"/>
              <w:left w:val="single" w:color="000000" w:sz="2" w:space="0"/>
              <w:bottom w:val="single" w:color="000000" w:sz="2" w:space="0"/>
              <w:right w:val="single" w:color="000000" w:sz="2" w:space="0"/>
            </w:tcBorders>
            <w:vAlign w:val="center"/>
          </w:tcPr>
          <w:p w14:paraId="119991B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显卡至少支持 VGA、HDMI、DVI、DP、 Type-C 中 1 种显示接口，并与显示器接口相匹配</w:t>
            </w:r>
          </w:p>
        </w:tc>
      </w:tr>
      <w:tr w14:paraId="400AA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CAE9225">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107</w:t>
            </w:r>
          </w:p>
        </w:tc>
        <w:tc>
          <w:tcPr>
            <w:tcW w:w="1275" w:type="dxa"/>
            <w:vMerge w:val="continue"/>
            <w:tcBorders>
              <w:top w:val="nil"/>
              <w:left w:val="single" w:color="000000" w:sz="2" w:space="0"/>
              <w:bottom w:val="single" w:color="000000" w:sz="2" w:space="0"/>
              <w:right w:val="single" w:color="000000" w:sz="2" w:space="0"/>
            </w:tcBorders>
            <w:vAlign w:val="center"/>
          </w:tcPr>
          <w:p w14:paraId="206FDE17">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2B7D7E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独立显卡数量</w:t>
            </w:r>
          </w:p>
        </w:tc>
        <w:tc>
          <w:tcPr>
            <w:tcW w:w="5382" w:type="dxa"/>
            <w:tcBorders>
              <w:top w:val="single" w:color="000000" w:sz="2" w:space="0"/>
              <w:left w:val="single" w:color="000000" w:sz="2" w:space="0"/>
              <w:bottom w:val="single" w:color="000000" w:sz="2" w:space="0"/>
              <w:right w:val="single" w:color="000000" w:sz="2" w:space="0"/>
            </w:tcBorders>
            <w:vAlign w:val="center"/>
          </w:tcPr>
          <w:p w14:paraId="5A9362A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w:t>
            </w:r>
          </w:p>
        </w:tc>
      </w:tr>
      <w:tr w14:paraId="1AC2B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4A5705D">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108</w:t>
            </w:r>
          </w:p>
        </w:tc>
        <w:tc>
          <w:tcPr>
            <w:tcW w:w="1275" w:type="dxa"/>
            <w:vMerge w:val="restart"/>
            <w:tcBorders>
              <w:top w:val="nil"/>
              <w:left w:val="single" w:color="000000" w:sz="2" w:space="0"/>
              <w:bottom w:val="nil"/>
              <w:right w:val="single" w:color="000000" w:sz="2" w:space="0"/>
            </w:tcBorders>
            <w:vAlign w:val="center"/>
          </w:tcPr>
          <w:p w14:paraId="240C342D">
            <w:pPr>
              <w:pStyle w:val="347"/>
              <w:spacing w:before="38" w:after="0"/>
              <w:ind w:right="59"/>
              <w:jc w:val="center"/>
              <w:rPr>
                <w:rFonts w:ascii="宋体" w:hAnsi="宋体" w:eastAsia="Times New Roman"/>
                <w:color w:val="auto"/>
                <w:spacing w:val="-4"/>
                <w:sz w:val="22"/>
                <w:szCs w:val="22"/>
              </w:rPr>
            </w:pPr>
          </w:p>
          <w:p w14:paraId="302E3471">
            <w:pPr>
              <w:pStyle w:val="347"/>
              <w:spacing w:before="38" w:after="0"/>
              <w:ind w:right="59"/>
              <w:jc w:val="center"/>
              <w:rPr>
                <w:rFonts w:ascii="宋体" w:hAnsi="宋体" w:eastAsia="Times New Roman"/>
                <w:color w:val="auto"/>
                <w:spacing w:val="-4"/>
                <w:sz w:val="22"/>
                <w:szCs w:val="22"/>
              </w:rPr>
            </w:pPr>
          </w:p>
          <w:p w14:paraId="49D282FD">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▲显示设备功能</w:t>
            </w:r>
          </w:p>
        </w:tc>
        <w:tc>
          <w:tcPr>
            <w:tcW w:w="1701" w:type="dxa"/>
            <w:tcBorders>
              <w:top w:val="single" w:color="000000" w:sz="2" w:space="0"/>
              <w:left w:val="single" w:color="000000" w:sz="2" w:space="0"/>
              <w:bottom w:val="single" w:color="000000" w:sz="2" w:space="0"/>
              <w:right w:val="single" w:color="000000" w:sz="2" w:space="0"/>
            </w:tcBorders>
            <w:vAlign w:val="center"/>
          </w:tcPr>
          <w:p w14:paraId="4248DE9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▲显示器接口</w:t>
            </w:r>
          </w:p>
        </w:tc>
        <w:tc>
          <w:tcPr>
            <w:tcW w:w="5382" w:type="dxa"/>
            <w:tcBorders>
              <w:top w:val="single" w:color="000000" w:sz="2" w:space="0"/>
              <w:left w:val="single" w:color="000000" w:sz="2" w:space="0"/>
              <w:bottom w:val="single" w:color="000000" w:sz="2" w:space="0"/>
              <w:right w:val="single" w:color="000000" w:sz="2" w:space="0"/>
            </w:tcBorders>
            <w:vAlign w:val="center"/>
          </w:tcPr>
          <w:p w14:paraId="7FE88BF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w:t>
            </w:r>
          </w:p>
        </w:tc>
      </w:tr>
      <w:tr w14:paraId="05F0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F14E4CD">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109</w:t>
            </w:r>
          </w:p>
        </w:tc>
        <w:tc>
          <w:tcPr>
            <w:tcW w:w="1275" w:type="dxa"/>
            <w:vMerge w:val="continue"/>
            <w:tcBorders>
              <w:top w:val="nil"/>
              <w:left w:val="single" w:color="000000" w:sz="2" w:space="0"/>
              <w:bottom w:val="nil"/>
              <w:right w:val="single" w:color="000000" w:sz="2" w:space="0"/>
            </w:tcBorders>
            <w:vAlign w:val="center"/>
          </w:tcPr>
          <w:p w14:paraId="3512C295">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7B8C61B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▲显示器支架</w:t>
            </w:r>
          </w:p>
        </w:tc>
        <w:tc>
          <w:tcPr>
            <w:tcW w:w="5382" w:type="dxa"/>
            <w:tcBorders>
              <w:top w:val="single" w:color="000000" w:sz="2" w:space="0"/>
              <w:left w:val="single" w:color="000000" w:sz="2" w:space="0"/>
              <w:bottom w:val="single" w:color="000000" w:sz="2" w:space="0"/>
              <w:right w:val="single" w:color="000000" w:sz="2" w:space="0"/>
            </w:tcBorders>
            <w:vAlign w:val="center"/>
          </w:tcPr>
          <w:p w14:paraId="4F0A4F8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w:t>
            </w:r>
          </w:p>
        </w:tc>
      </w:tr>
      <w:tr w14:paraId="5B694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7F99376E">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110</w:t>
            </w:r>
          </w:p>
        </w:tc>
        <w:tc>
          <w:tcPr>
            <w:tcW w:w="1275" w:type="dxa"/>
            <w:vMerge w:val="continue"/>
            <w:tcBorders>
              <w:top w:val="nil"/>
              <w:left w:val="single" w:color="000000" w:sz="2" w:space="0"/>
              <w:bottom w:val="nil"/>
              <w:right w:val="single" w:color="000000" w:sz="2" w:space="0"/>
            </w:tcBorders>
            <w:vAlign w:val="center"/>
          </w:tcPr>
          <w:p w14:paraId="2B0CE4A1">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BAA6ED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▲显示器参数调节</w:t>
            </w:r>
          </w:p>
        </w:tc>
        <w:tc>
          <w:tcPr>
            <w:tcW w:w="5382" w:type="dxa"/>
            <w:tcBorders>
              <w:top w:val="single" w:color="000000" w:sz="2" w:space="0"/>
              <w:left w:val="single" w:color="000000" w:sz="2" w:space="0"/>
              <w:bottom w:val="single" w:color="000000" w:sz="2" w:space="0"/>
              <w:right w:val="single" w:color="000000" w:sz="2" w:space="0"/>
            </w:tcBorders>
            <w:vAlign w:val="center"/>
          </w:tcPr>
          <w:p w14:paraId="0922475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w:t>
            </w:r>
          </w:p>
        </w:tc>
      </w:tr>
      <w:tr w14:paraId="41021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92A648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111</w:t>
            </w:r>
          </w:p>
        </w:tc>
        <w:tc>
          <w:tcPr>
            <w:tcW w:w="1275" w:type="dxa"/>
            <w:vMerge w:val="restart"/>
            <w:tcBorders>
              <w:top w:val="nil"/>
              <w:left w:val="single" w:color="000000" w:sz="2" w:space="0"/>
              <w:bottom w:val="nil"/>
              <w:right w:val="single" w:color="000000" w:sz="2" w:space="0"/>
            </w:tcBorders>
            <w:vAlign w:val="center"/>
          </w:tcPr>
          <w:p w14:paraId="3E8026A1">
            <w:pPr>
              <w:pStyle w:val="347"/>
              <w:spacing w:before="38" w:after="0"/>
              <w:ind w:right="59"/>
              <w:jc w:val="center"/>
              <w:rPr>
                <w:rFonts w:ascii="宋体" w:hAnsi="宋体" w:eastAsia="Times New Roman"/>
                <w:color w:val="auto"/>
                <w:spacing w:val="-4"/>
                <w:sz w:val="22"/>
                <w:szCs w:val="22"/>
              </w:rPr>
            </w:pPr>
          </w:p>
          <w:p w14:paraId="14439F5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外设功能</w:t>
            </w:r>
          </w:p>
        </w:tc>
        <w:tc>
          <w:tcPr>
            <w:tcW w:w="1701" w:type="dxa"/>
            <w:tcBorders>
              <w:top w:val="single" w:color="000000" w:sz="2" w:space="0"/>
              <w:left w:val="single" w:color="000000" w:sz="2" w:space="0"/>
              <w:bottom w:val="single" w:color="000000" w:sz="2" w:space="0"/>
              <w:right w:val="single" w:color="000000" w:sz="2" w:space="0"/>
            </w:tcBorders>
            <w:vAlign w:val="center"/>
          </w:tcPr>
          <w:p w14:paraId="5C47551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摄像头物理隐私保护开关</w:t>
            </w:r>
          </w:p>
        </w:tc>
        <w:tc>
          <w:tcPr>
            <w:tcW w:w="5382" w:type="dxa"/>
            <w:tcBorders>
              <w:top w:val="single" w:color="000000" w:sz="2" w:space="0"/>
              <w:left w:val="single" w:color="000000" w:sz="2" w:space="0"/>
              <w:bottom w:val="single" w:color="000000" w:sz="2" w:space="0"/>
              <w:right w:val="single" w:color="000000" w:sz="2" w:space="0"/>
            </w:tcBorders>
            <w:vAlign w:val="center"/>
          </w:tcPr>
          <w:p w14:paraId="4FEFD94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支持物理隐私保护开关</w:t>
            </w:r>
          </w:p>
        </w:tc>
      </w:tr>
      <w:tr w14:paraId="52DE7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1560D77">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112</w:t>
            </w:r>
          </w:p>
        </w:tc>
        <w:tc>
          <w:tcPr>
            <w:tcW w:w="1275" w:type="dxa"/>
            <w:vMerge w:val="continue"/>
            <w:tcBorders>
              <w:top w:val="nil"/>
              <w:left w:val="single" w:color="000000" w:sz="2" w:space="0"/>
              <w:bottom w:val="nil"/>
              <w:right w:val="single" w:color="000000" w:sz="2" w:space="0"/>
            </w:tcBorders>
            <w:vAlign w:val="center"/>
          </w:tcPr>
          <w:p w14:paraId="08E3EDE7">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19FDA4E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传声器降噪</w:t>
            </w:r>
          </w:p>
        </w:tc>
        <w:tc>
          <w:tcPr>
            <w:tcW w:w="5382" w:type="dxa"/>
            <w:tcBorders>
              <w:top w:val="single" w:color="000000" w:sz="2" w:space="0"/>
              <w:left w:val="single" w:color="000000" w:sz="2" w:space="0"/>
              <w:bottom w:val="single" w:color="000000" w:sz="2" w:space="0"/>
              <w:right w:val="single" w:color="000000" w:sz="2" w:space="0"/>
            </w:tcBorders>
            <w:vAlign w:val="center"/>
          </w:tcPr>
          <w:p w14:paraId="2BE5B0D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支持降噪功能</w:t>
            </w:r>
          </w:p>
        </w:tc>
      </w:tr>
      <w:tr w14:paraId="1CE1D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0651071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113</w:t>
            </w:r>
          </w:p>
        </w:tc>
        <w:tc>
          <w:tcPr>
            <w:tcW w:w="1275" w:type="dxa"/>
            <w:vMerge w:val="continue"/>
            <w:tcBorders>
              <w:top w:val="nil"/>
              <w:left w:val="single" w:color="000000" w:sz="2" w:space="0"/>
              <w:bottom w:val="nil"/>
              <w:right w:val="single" w:color="000000" w:sz="2" w:space="0"/>
            </w:tcBorders>
            <w:vAlign w:val="center"/>
          </w:tcPr>
          <w:p w14:paraId="303B3A90">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655B64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键盘背光</w:t>
            </w:r>
          </w:p>
        </w:tc>
        <w:tc>
          <w:tcPr>
            <w:tcW w:w="5382" w:type="dxa"/>
            <w:tcBorders>
              <w:top w:val="single" w:color="000000" w:sz="2" w:space="0"/>
              <w:left w:val="single" w:color="000000" w:sz="2" w:space="0"/>
              <w:bottom w:val="single" w:color="000000" w:sz="2" w:space="0"/>
              <w:right w:val="single" w:color="000000" w:sz="2" w:space="0"/>
            </w:tcBorders>
            <w:vAlign w:val="center"/>
          </w:tcPr>
          <w:p w14:paraId="2C6ED7A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支持键盘背光</w:t>
            </w:r>
          </w:p>
        </w:tc>
      </w:tr>
      <w:tr w14:paraId="6FF65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66E0073">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114</w:t>
            </w:r>
          </w:p>
        </w:tc>
        <w:tc>
          <w:tcPr>
            <w:tcW w:w="1275" w:type="dxa"/>
            <w:vMerge w:val="continue"/>
            <w:tcBorders>
              <w:top w:val="nil"/>
              <w:left w:val="single" w:color="000000" w:sz="2" w:space="0"/>
              <w:bottom w:val="nil"/>
              <w:right w:val="single" w:color="000000" w:sz="2" w:space="0"/>
            </w:tcBorders>
            <w:vAlign w:val="center"/>
          </w:tcPr>
          <w:p w14:paraId="2CCCB05C">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8F0326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光驱功能</w:t>
            </w:r>
          </w:p>
        </w:tc>
        <w:tc>
          <w:tcPr>
            <w:tcW w:w="5382" w:type="dxa"/>
            <w:tcBorders>
              <w:top w:val="single" w:color="000000" w:sz="2" w:space="0"/>
              <w:left w:val="single" w:color="000000" w:sz="2" w:space="0"/>
              <w:bottom w:val="single" w:color="000000" w:sz="2" w:space="0"/>
              <w:right w:val="single" w:color="000000" w:sz="2" w:space="0"/>
            </w:tcBorders>
            <w:vAlign w:val="center"/>
          </w:tcPr>
          <w:p w14:paraId="1E4C4AA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w:t>
            </w:r>
          </w:p>
        </w:tc>
      </w:tr>
      <w:tr w14:paraId="08374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1B9CA4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115</w:t>
            </w:r>
          </w:p>
        </w:tc>
        <w:tc>
          <w:tcPr>
            <w:tcW w:w="1275" w:type="dxa"/>
            <w:vMerge w:val="restart"/>
            <w:tcBorders>
              <w:top w:val="nil"/>
              <w:left w:val="single" w:color="000000" w:sz="2" w:space="0"/>
              <w:bottom w:val="nil"/>
              <w:right w:val="single" w:color="000000" w:sz="2" w:space="0"/>
            </w:tcBorders>
            <w:vAlign w:val="center"/>
          </w:tcPr>
          <w:p w14:paraId="7B4A484D">
            <w:pPr>
              <w:pStyle w:val="347"/>
              <w:spacing w:before="38" w:after="0"/>
              <w:ind w:right="59"/>
              <w:jc w:val="center"/>
              <w:rPr>
                <w:rFonts w:ascii="宋体" w:hAnsi="宋体" w:eastAsia="Times New Roman"/>
                <w:color w:val="auto"/>
                <w:spacing w:val="-4"/>
                <w:sz w:val="22"/>
                <w:szCs w:val="22"/>
              </w:rPr>
            </w:pPr>
          </w:p>
          <w:p w14:paraId="3057973A">
            <w:pPr>
              <w:pStyle w:val="347"/>
              <w:spacing w:before="38" w:after="0"/>
              <w:ind w:right="59"/>
              <w:jc w:val="center"/>
              <w:rPr>
                <w:rFonts w:ascii="宋体" w:hAnsi="宋体" w:eastAsia="Times New Roman"/>
                <w:color w:val="auto"/>
                <w:spacing w:val="-4"/>
                <w:sz w:val="22"/>
                <w:szCs w:val="22"/>
              </w:rPr>
            </w:pPr>
          </w:p>
          <w:p w14:paraId="70A293A5">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▲存储功能</w:t>
            </w:r>
          </w:p>
        </w:tc>
        <w:tc>
          <w:tcPr>
            <w:tcW w:w="1701" w:type="dxa"/>
            <w:tcBorders>
              <w:top w:val="single" w:color="000000" w:sz="2" w:space="0"/>
              <w:left w:val="single" w:color="000000" w:sz="2" w:space="0"/>
              <w:bottom w:val="single" w:color="000000" w:sz="2" w:space="0"/>
              <w:right w:val="single" w:color="000000" w:sz="2" w:space="0"/>
            </w:tcBorders>
            <w:vAlign w:val="center"/>
          </w:tcPr>
          <w:p w14:paraId="5EA0737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▲存储功能</w:t>
            </w:r>
          </w:p>
        </w:tc>
        <w:tc>
          <w:tcPr>
            <w:tcW w:w="5382" w:type="dxa"/>
            <w:tcBorders>
              <w:top w:val="single" w:color="000000" w:sz="2" w:space="0"/>
              <w:left w:val="single" w:color="000000" w:sz="2" w:space="0"/>
              <w:bottom w:val="single" w:color="000000" w:sz="2" w:space="0"/>
              <w:right w:val="single" w:color="000000" w:sz="2" w:space="0"/>
            </w:tcBorders>
            <w:vAlign w:val="center"/>
          </w:tcPr>
          <w:p w14:paraId="393DB7D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通过 SATA 固态存储/PCIe 固态存储 /UFS 固态存储/SATA 硬磁盘等存储部件提供存储功能</w:t>
            </w:r>
          </w:p>
        </w:tc>
      </w:tr>
      <w:tr w14:paraId="2B2E5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3B0A5BE">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116</w:t>
            </w:r>
          </w:p>
        </w:tc>
        <w:tc>
          <w:tcPr>
            <w:tcW w:w="1275" w:type="dxa"/>
            <w:vMerge w:val="continue"/>
            <w:tcBorders>
              <w:top w:val="nil"/>
              <w:left w:val="single" w:color="000000" w:sz="2" w:space="0"/>
              <w:bottom w:val="nil"/>
              <w:right w:val="single" w:color="000000" w:sz="2" w:space="0"/>
            </w:tcBorders>
            <w:vAlign w:val="center"/>
          </w:tcPr>
          <w:p w14:paraId="02EC450F">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6192D5D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内置控制器固态存储加密</w:t>
            </w:r>
          </w:p>
        </w:tc>
        <w:tc>
          <w:tcPr>
            <w:tcW w:w="5382" w:type="dxa"/>
            <w:tcBorders>
              <w:top w:val="single" w:color="000000" w:sz="2" w:space="0"/>
              <w:left w:val="single" w:color="000000" w:sz="2" w:space="0"/>
              <w:bottom w:val="single" w:color="000000" w:sz="2" w:space="0"/>
              <w:right w:val="single" w:color="000000" w:sz="2" w:space="0"/>
            </w:tcBorders>
            <w:vAlign w:val="center"/>
          </w:tcPr>
          <w:p w14:paraId="3B0F192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固态存储宜通过内置控制器硬件支持 加密，不依赖处理器，保障数据安全性，但不得影响存储性能。符合如下要求：</w:t>
            </w:r>
          </w:p>
          <w:p w14:paraId="4C3272B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a) 支持加密功能，且加密功能开启不影响 SSD 读写性能；</w:t>
            </w:r>
          </w:p>
          <w:p w14:paraId="37859DA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b) 支持固件加密、安全启动和安全升级；</w:t>
            </w:r>
          </w:p>
          <w:p w14:paraId="3AF26DE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c) 支持数据的安全擦除；</w:t>
            </w:r>
          </w:p>
          <w:p w14:paraId="348C6CE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d) 宜具有存储状态指示灯，并可通过不同显示方式给出数据读写状态</w:t>
            </w:r>
          </w:p>
        </w:tc>
      </w:tr>
      <w:tr w14:paraId="0B984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056B2507">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117</w:t>
            </w:r>
          </w:p>
        </w:tc>
        <w:tc>
          <w:tcPr>
            <w:tcW w:w="1275" w:type="dxa"/>
            <w:vMerge w:val="restart"/>
            <w:tcBorders>
              <w:top w:val="nil"/>
              <w:left w:val="single" w:color="000000" w:sz="2" w:space="0"/>
              <w:bottom w:val="single" w:color="000000" w:sz="2" w:space="0"/>
              <w:right w:val="single" w:color="000000" w:sz="2" w:space="0"/>
            </w:tcBorders>
            <w:vAlign w:val="center"/>
          </w:tcPr>
          <w:p w14:paraId="438535F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▲网络设备功能</w:t>
            </w:r>
          </w:p>
        </w:tc>
        <w:tc>
          <w:tcPr>
            <w:tcW w:w="1701" w:type="dxa"/>
            <w:tcBorders>
              <w:top w:val="single" w:color="000000" w:sz="2" w:space="0"/>
              <w:left w:val="single" w:color="000000" w:sz="2" w:space="0"/>
              <w:bottom w:val="single" w:color="000000" w:sz="2" w:space="0"/>
              <w:right w:val="single" w:color="000000" w:sz="2" w:space="0"/>
            </w:tcBorders>
            <w:vAlign w:val="center"/>
          </w:tcPr>
          <w:p w14:paraId="474040D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▲网络功能</w:t>
            </w:r>
          </w:p>
        </w:tc>
        <w:tc>
          <w:tcPr>
            <w:tcW w:w="5382" w:type="dxa"/>
            <w:tcBorders>
              <w:top w:val="single" w:color="000000" w:sz="2" w:space="0"/>
              <w:left w:val="single" w:color="000000" w:sz="2" w:space="0"/>
              <w:bottom w:val="single" w:color="000000" w:sz="2" w:space="0"/>
              <w:right w:val="single" w:color="000000" w:sz="2" w:space="0"/>
            </w:tcBorders>
            <w:vAlign w:val="center"/>
          </w:tcPr>
          <w:p w14:paraId="53AC112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a)支持网络连接、网络开启/关闭功能；</w:t>
            </w:r>
          </w:p>
          <w:p w14:paraId="25FDAD0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b)支持访问网络和数据交换功能</w:t>
            </w:r>
          </w:p>
        </w:tc>
      </w:tr>
      <w:tr w14:paraId="16905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597A371">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118</w:t>
            </w:r>
          </w:p>
        </w:tc>
        <w:tc>
          <w:tcPr>
            <w:tcW w:w="1275" w:type="dxa"/>
            <w:vMerge w:val="continue"/>
            <w:tcBorders>
              <w:top w:val="nil"/>
              <w:left w:val="single" w:color="000000" w:sz="2" w:space="0"/>
              <w:bottom w:val="single" w:color="000000" w:sz="2" w:space="0"/>
              <w:right w:val="single" w:color="000000" w:sz="2" w:space="0"/>
            </w:tcBorders>
            <w:vAlign w:val="center"/>
          </w:tcPr>
          <w:p w14:paraId="39490C3A">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2DE0740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无线网卡频段</w:t>
            </w:r>
          </w:p>
        </w:tc>
        <w:tc>
          <w:tcPr>
            <w:tcW w:w="5382" w:type="dxa"/>
            <w:tcBorders>
              <w:top w:val="single" w:color="000000" w:sz="2" w:space="0"/>
              <w:left w:val="single" w:color="000000" w:sz="2" w:space="0"/>
              <w:bottom w:val="single" w:color="000000" w:sz="2" w:space="0"/>
              <w:right w:val="single" w:color="000000" w:sz="2" w:space="0"/>
            </w:tcBorders>
            <w:vAlign w:val="center"/>
          </w:tcPr>
          <w:p w14:paraId="24A534D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支持双频段</w:t>
            </w:r>
          </w:p>
        </w:tc>
      </w:tr>
      <w:tr w14:paraId="38B5F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57B1AC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119</w:t>
            </w:r>
          </w:p>
        </w:tc>
        <w:tc>
          <w:tcPr>
            <w:tcW w:w="1275" w:type="dxa"/>
            <w:vMerge w:val="continue"/>
            <w:tcBorders>
              <w:top w:val="nil"/>
              <w:left w:val="single" w:color="000000" w:sz="2" w:space="0"/>
              <w:bottom w:val="single" w:color="000000" w:sz="2" w:space="0"/>
              <w:right w:val="single" w:color="000000" w:sz="2" w:space="0"/>
            </w:tcBorders>
            <w:vAlign w:val="center"/>
          </w:tcPr>
          <w:p w14:paraId="16C7FDE8">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D8D3C1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物理开关</w:t>
            </w:r>
          </w:p>
        </w:tc>
        <w:tc>
          <w:tcPr>
            <w:tcW w:w="5382" w:type="dxa"/>
            <w:tcBorders>
              <w:top w:val="single" w:color="000000" w:sz="2" w:space="0"/>
              <w:left w:val="single" w:color="000000" w:sz="2" w:space="0"/>
              <w:bottom w:val="single" w:color="000000" w:sz="2" w:space="0"/>
              <w:right w:val="single" w:color="000000" w:sz="2" w:space="0"/>
            </w:tcBorders>
            <w:vAlign w:val="center"/>
          </w:tcPr>
          <w:p w14:paraId="0C6D276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支持网络设备物理开关</w:t>
            </w:r>
          </w:p>
        </w:tc>
      </w:tr>
      <w:tr w14:paraId="46400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3F551DD">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120</w:t>
            </w:r>
          </w:p>
        </w:tc>
        <w:tc>
          <w:tcPr>
            <w:tcW w:w="1275" w:type="dxa"/>
            <w:vMerge w:val="continue"/>
            <w:tcBorders>
              <w:top w:val="nil"/>
              <w:left w:val="single" w:color="000000" w:sz="2" w:space="0"/>
              <w:bottom w:val="single" w:color="000000" w:sz="2" w:space="0"/>
              <w:right w:val="single" w:color="000000" w:sz="2" w:space="0"/>
            </w:tcBorders>
            <w:vAlign w:val="center"/>
          </w:tcPr>
          <w:p w14:paraId="219FFD51">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6395870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▲数据传输</w:t>
            </w:r>
          </w:p>
        </w:tc>
        <w:tc>
          <w:tcPr>
            <w:tcW w:w="5382" w:type="dxa"/>
            <w:tcBorders>
              <w:top w:val="single" w:color="000000" w:sz="2" w:space="0"/>
              <w:left w:val="single" w:color="000000" w:sz="2" w:space="0"/>
              <w:bottom w:val="single" w:color="000000" w:sz="2" w:space="0"/>
              <w:right w:val="single" w:color="000000" w:sz="2" w:space="0"/>
            </w:tcBorders>
            <w:vAlign w:val="center"/>
          </w:tcPr>
          <w:p w14:paraId="67618B1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支持数据传输能力，并提供数据流量和异常日志记录功能</w:t>
            </w:r>
          </w:p>
        </w:tc>
      </w:tr>
      <w:tr w14:paraId="67CB4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12B946E">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121</w:t>
            </w:r>
          </w:p>
        </w:tc>
        <w:tc>
          <w:tcPr>
            <w:tcW w:w="1275" w:type="dxa"/>
            <w:vMerge w:val="continue"/>
            <w:tcBorders>
              <w:top w:val="nil"/>
              <w:left w:val="single" w:color="000000" w:sz="2" w:space="0"/>
              <w:bottom w:val="single" w:color="000000" w:sz="2" w:space="0"/>
              <w:right w:val="single" w:color="000000" w:sz="2" w:space="0"/>
            </w:tcBorders>
            <w:vAlign w:val="center"/>
          </w:tcPr>
          <w:p w14:paraId="23C8298D">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9CAB0C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蓝牙协议</w:t>
            </w:r>
          </w:p>
        </w:tc>
        <w:tc>
          <w:tcPr>
            <w:tcW w:w="5382" w:type="dxa"/>
            <w:tcBorders>
              <w:top w:val="single" w:color="000000" w:sz="2" w:space="0"/>
              <w:left w:val="single" w:color="000000" w:sz="2" w:space="0"/>
              <w:bottom w:val="single" w:color="000000" w:sz="2" w:space="0"/>
              <w:right w:val="single" w:color="000000" w:sz="2" w:space="0"/>
            </w:tcBorders>
            <w:vAlign w:val="center"/>
          </w:tcPr>
          <w:p w14:paraId="3A1F7A6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支持蓝牙模块，蓝牙协议不低于5.0 版本</w:t>
            </w:r>
          </w:p>
        </w:tc>
      </w:tr>
      <w:tr w14:paraId="54148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CA4ED5A">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122</w:t>
            </w:r>
          </w:p>
        </w:tc>
        <w:tc>
          <w:tcPr>
            <w:tcW w:w="1275" w:type="dxa"/>
            <w:vMerge w:val="continue"/>
            <w:tcBorders>
              <w:top w:val="nil"/>
              <w:left w:val="single" w:color="000000" w:sz="2" w:space="0"/>
              <w:bottom w:val="single" w:color="000000" w:sz="2" w:space="0"/>
              <w:right w:val="single" w:color="000000" w:sz="2" w:space="0"/>
            </w:tcBorders>
            <w:vAlign w:val="center"/>
          </w:tcPr>
          <w:p w14:paraId="25A37F84">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7FA2173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▲有线网卡接口类型</w:t>
            </w:r>
          </w:p>
        </w:tc>
        <w:tc>
          <w:tcPr>
            <w:tcW w:w="5382" w:type="dxa"/>
            <w:tcBorders>
              <w:top w:val="single" w:color="000000" w:sz="2" w:space="0"/>
              <w:left w:val="single" w:color="000000" w:sz="2" w:space="0"/>
              <w:bottom w:val="single" w:color="000000" w:sz="2" w:space="0"/>
              <w:right w:val="single" w:color="000000" w:sz="2" w:space="0"/>
            </w:tcBorders>
            <w:vAlign w:val="center"/>
          </w:tcPr>
          <w:p w14:paraId="3C080FE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 RJ45 接口</w:t>
            </w:r>
          </w:p>
        </w:tc>
      </w:tr>
      <w:tr w14:paraId="02E03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E94AF81">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123</w:t>
            </w:r>
          </w:p>
        </w:tc>
        <w:tc>
          <w:tcPr>
            <w:tcW w:w="1275" w:type="dxa"/>
            <w:vMerge w:val="continue"/>
            <w:tcBorders>
              <w:top w:val="nil"/>
              <w:left w:val="single" w:color="000000" w:sz="2" w:space="0"/>
              <w:bottom w:val="single" w:color="000000" w:sz="2" w:space="0"/>
              <w:right w:val="single" w:color="000000" w:sz="2" w:space="0"/>
            </w:tcBorders>
            <w:vAlign w:val="center"/>
          </w:tcPr>
          <w:p w14:paraId="28E20C93">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3148BA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无线网卡标准</w:t>
            </w:r>
          </w:p>
        </w:tc>
        <w:tc>
          <w:tcPr>
            <w:tcW w:w="5382" w:type="dxa"/>
            <w:tcBorders>
              <w:top w:val="single" w:color="000000" w:sz="2" w:space="0"/>
              <w:left w:val="single" w:color="000000" w:sz="2" w:space="0"/>
              <w:bottom w:val="single" w:color="000000" w:sz="2" w:space="0"/>
              <w:right w:val="single" w:color="000000" w:sz="2" w:space="0"/>
            </w:tcBorders>
            <w:vAlign w:val="center"/>
          </w:tcPr>
          <w:p w14:paraId="751B253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若配备无线网卡应符合 GB 15629.11 （所有部分）</w:t>
            </w:r>
          </w:p>
        </w:tc>
      </w:tr>
      <w:tr w14:paraId="5F5FE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FE06023">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124</w:t>
            </w:r>
          </w:p>
        </w:tc>
        <w:tc>
          <w:tcPr>
            <w:tcW w:w="1275" w:type="dxa"/>
            <w:vMerge w:val="continue"/>
            <w:tcBorders>
              <w:top w:val="nil"/>
              <w:left w:val="single" w:color="000000" w:sz="2" w:space="0"/>
              <w:bottom w:val="single" w:color="000000" w:sz="2" w:space="0"/>
              <w:right w:val="single" w:color="000000" w:sz="2" w:space="0"/>
            </w:tcBorders>
            <w:vAlign w:val="center"/>
          </w:tcPr>
          <w:p w14:paraId="477D95C5">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919C22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▲网络设备拆装</w:t>
            </w:r>
          </w:p>
        </w:tc>
        <w:tc>
          <w:tcPr>
            <w:tcW w:w="5382" w:type="dxa"/>
            <w:tcBorders>
              <w:top w:val="single" w:color="000000" w:sz="2" w:space="0"/>
              <w:left w:val="single" w:color="000000" w:sz="2" w:space="0"/>
              <w:bottom w:val="single" w:color="000000" w:sz="2" w:space="0"/>
              <w:right w:val="single" w:color="000000" w:sz="2" w:space="0"/>
            </w:tcBorders>
            <w:vAlign w:val="center"/>
          </w:tcPr>
          <w:p w14:paraId="08D380A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若配备的网络设备应支持物理拆装，包括无线网卡和蓝牙模块等</w:t>
            </w:r>
          </w:p>
        </w:tc>
      </w:tr>
      <w:tr w14:paraId="15C1E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98BCE5D">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125</w:t>
            </w:r>
          </w:p>
        </w:tc>
        <w:tc>
          <w:tcPr>
            <w:tcW w:w="1275" w:type="dxa"/>
            <w:vMerge w:val="restart"/>
            <w:tcBorders>
              <w:top w:val="nil"/>
              <w:left w:val="single" w:color="000000" w:sz="2" w:space="0"/>
              <w:bottom w:val="nil"/>
              <w:right w:val="single" w:color="000000" w:sz="2" w:space="0"/>
            </w:tcBorders>
            <w:vAlign w:val="center"/>
          </w:tcPr>
          <w:p w14:paraId="5C6C19E5">
            <w:pPr>
              <w:pStyle w:val="347"/>
              <w:spacing w:before="38" w:after="0"/>
              <w:ind w:right="59"/>
              <w:jc w:val="center"/>
              <w:rPr>
                <w:rFonts w:ascii="宋体" w:hAnsi="宋体" w:eastAsia="Times New Roman"/>
                <w:color w:val="auto"/>
                <w:spacing w:val="-4"/>
                <w:sz w:val="22"/>
                <w:szCs w:val="22"/>
              </w:rPr>
            </w:pPr>
          </w:p>
          <w:p w14:paraId="2FAAFA52">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▲外部接口功能</w:t>
            </w:r>
          </w:p>
        </w:tc>
        <w:tc>
          <w:tcPr>
            <w:tcW w:w="1701" w:type="dxa"/>
            <w:tcBorders>
              <w:top w:val="single" w:color="000000" w:sz="2" w:space="0"/>
              <w:left w:val="single" w:color="000000" w:sz="2" w:space="0"/>
              <w:bottom w:val="single" w:color="000000" w:sz="2" w:space="0"/>
              <w:right w:val="single" w:color="000000" w:sz="2" w:space="0"/>
            </w:tcBorders>
            <w:vAlign w:val="center"/>
          </w:tcPr>
          <w:p w14:paraId="2F83C91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▲音频接口类型</w:t>
            </w:r>
          </w:p>
        </w:tc>
        <w:tc>
          <w:tcPr>
            <w:tcW w:w="5382" w:type="dxa"/>
            <w:tcBorders>
              <w:top w:val="single" w:color="000000" w:sz="2" w:space="0"/>
              <w:left w:val="single" w:color="000000" w:sz="2" w:space="0"/>
              <w:bottom w:val="single" w:color="000000" w:sz="2" w:space="0"/>
              <w:right w:val="single" w:color="000000" w:sz="2" w:space="0"/>
            </w:tcBorders>
            <w:vAlign w:val="center"/>
          </w:tcPr>
          <w:p w14:paraId="0C49307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 3.5mm 孔径 3 段式或 4 段式接口</w:t>
            </w:r>
          </w:p>
        </w:tc>
      </w:tr>
      <w:tr w14:paraId="589A1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9CDA427">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126</w:t>
            </w:r>
          </w:p>
        </w:tc>
        <w:tc>
          <w:tcPr>
            <w:tcW w:w="1275" w:type="dxa"/>
            <w:vMerge w:val="continue"/>
            <w:tcBorders>
              <w:top w:val="nil"/>
              <w:left w:val="single" w:color="000000" w:sz="2" w:space="0"/>
              <w:bottom w:val="nil"/>
              <w:right w:val="single" w:color="000000" w:sz="2" w:space="0"/>
            </w:tcBorders>
            <w:vAlign w:val="center"/>
          </w:tcPr>
          <w:p w14:paraId="122DF7B7">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C4C2E2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▲视频接口类型</w:t>
            </w:r>
          </w:p>
        </w:tc>
        <w:tc>
          <w:tcPr>
            <w:tcW w:w="5382" w:type="dxa"/>
            <w:tcBorders>
              <w:top w:val="single" w:color="000000" w:sz="2" w:space="0"/>
              <w:left w:val="single" w:color="000000" w:sz="2" w:space="0"/>
              <w:bottom w:val="single" w:color="000000" w:sz="2" w:space="0"/>
              <w:right w:val="single" w:color="000000" w:sz="2" w:space="0"/>
            </w:tcBorders>
            <w:vAlign w:val="center"/>
          </w:tcPr>
          <w:p w14:paraId="29829B8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至少支持 VGA、HDMI、DVI、DP、Type-C中 1 种显示接口</w:t>
            </w:r>
          </w:p>
        </w:tc>
      </w:tr>
      <w:tr w14:paraId="4721E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DACF365">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127</w:t>
            </w:r>
          </w:p>
        </w:tc>
        <w:tc>
          <w:tcPr>
            <w:tcW w:w="1275" w:type="dxa"/>
            <w:vMerge w:val="continue"/>
            <w:tcBorders>
              <w:top w:val="nil"/>
              <w:left w:val="single" w:color="000000" w:sz="2" w:space="0"/>
              <w:bottom w:val="nil"/>
              <w:right w:val="single" w:color="000000" w:sz="2" w:space="0"/>
            </w:tcBorders>
            <w:vAlign w:val="center"/>
          </w:tcPr>
          <w:p w14:paraId="55F54E2E">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6E4E1D4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▲HDMI、DP、Type-C</w:t>
            </w:r>
          </w:p>
          <w:p w14:paraId="6334250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显示接口要求</w:t>
            </w:r>
          </w:p>
        </w:tc>
        <w:tc>
          <w:tcPr>
            <w:tcW w:w="5382" w:type="dxa"/>
            <w:tcBorders>
              <w:top w:val="single" w:color="000000" w:sz="2" w:space="0"/>
              <w:left w:val="single" w:color="000000" w:sz="2" w:space="0"/>
              <w:bottom w:val="single" w:color="000000" w:sz="2" w:space="0"/>
              <w:right w:val="single" w:color="000000" w:sz="2" w:space="0"/>
            </w:tcBorders>
            <w:vAlign w:val="center"/>
          </w:tcPr>
          <w:p w14:paraId="01837A2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若提供 HDMI 或 DP 或 Type-C 作为显示接口，应支持音频和视频同步输出</w:t>
            </w:r>
          </w:p>
        </w:tc>
      </w:tr>
      <w:tr w14:paraId="17EE8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57F5D72">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128</w:t>
            </w:r>
          </w:p>
        </w:tc>
        <w:tc>
          <w:tcPr>
            <w:tcW w:w="1275" w:type="dxa"/>
            <w:vMerge w:val="continue"/>
            <w:tcBorders>
              <w:top w:val="nil"/>
              <w:left w:val="single" w:color="000000" w:sz="2" w:space="0"/>
              <w:bottom w:val="nil"/>
              <w:right w:val="single" w:color="000000" w:sz="2" w:space="0"/>
            </w:tcBorders>
            <w:vAlign w:val="center"/>
          </w:tcPr>
          <w:p w14:paraId="51366BCB">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C465C3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其他接口</w:t>
            </w:r>
          </w:p>
        </w:tc>
        <w:tc>
          <w:tcPr>
            <w:tcW w:w="5382" w:type="dxa"/>
            <w:tcBorders>
              <w:top w:val="single" w:color="000000" w:sz="2" w:space="0"/>
              <w:left w:val="single" w:color="000000" w:sz="2" w:space="0"/>
              <w:bottom w:val="single" w:color="000000" w:sz="2" w:space="0"/>
              <w:right w:val="single" w:color="000000" w:sz="2" w:space="0"/>
            </w:tcBorders>
            <w:vAlign w:val="center"/>
          </w:tcPr>
          <w:p w14:paraId="4F008C8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a) 产品支持串行接口，可实现GB/T 6107 的功能；</w:t>
            </w:r>
          </w:p>
          <w:p w14:paraId="2BF346F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b) 产品支持并行接口，可实现GB/T</w:t>
            </w:r>
          </w:p>
          <w:p w14:paraId="1382C3B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18235.1 的功能</w:t>
            </w:r>
          </w:p>
        </w:tc>
      </w:tr>
      <w:tr w14:paraId="7521F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9C048D0">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129</w:t>
            </w:r>
          </w:p>
        </w:tc>
        <w:tc>
          <w:tcPr>
            <w:tcW w:w="1275" w:type="dxa"/>
            <w:vMerge w:val="continue"/>
            <w:tcBorders>
              <w:top w:val="nil"/>
              <w:left w:val="single" w:color="000000" w:sz="2" w:space="0"/>
              <w:bottom w:val="nil"/>
              <w:right w:val="single" w:color="000000" w:sz="2" w:space="0"/>
            </w:tcBorders>
            <w:vAlign w:val="center"/>
          </w:tcPr>
          <w:p w14:paraId="1A798077">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67CE6B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存储卡接口类型</w:t>
            </w:r>
          </w:p>
        </w:tc>
        <w:tc>
          <w:tcPr>
            <w:tcW w:w="5382" w:type="dxa"/>
            <w:tcBorders>
              <w:top w:val="single" w:color="000000" w:sz="2" w:space="0"/>
              <w:left w:val="single" w:color="000000" w:sz="2" w:space="0"/>
              <w:bottom w:val="single" w:color="000000" w:sz="2" w:space="0"/>
              <w:right w:val="single" w:color="000000" w:sz="2" w:space="0"/>
            </w:tcBorders>
            <w:vAlign w:val="center"/>
          </w:tcPr>
          <w:p w14:paraId="6160776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 SD、TF 等存储卡接口</w:t>
            </w:r>
          </w:p>
        </w:tc>
      </w:tr>
      <w:tr w14:paraId="5AA4A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E7601A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130</w:t>
            </w:r>
          </w:p>
        </w:tc>
        <w:tc>
          <w:tcPr>
            <w:tcW w:w="1275" w:type="dxa"/>
            <w:tcBorders>
              <w:top w:val="single" w:color="000000" w:sz="2" w:space="0"/>
              <w:left w:val="single" w:color="000000" w:sz="2" w:space="0"/>
              <w:bottom w:val="single" w:color="000000" w:sz="2" w:space="0"/>
              <w:right w:val="single" w:color="000000" w:sz="2" w:space="0"/>
            </w:tcBorders>
            <w:vAlign w:val="center"/>
          </w:tcPr>
          <w:p w14:paraId="6CC7C924">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▲电源功能</w:t>
            </w:r>
          </w:p>
        </w:tc>
        <w:tc>
          <w:tcPr>
            <w:tcW w:w="1701" w:type="dxa"/>
            <w:tcBorders>
              <w:top w:val="single" w:color="000000" w:sz="2" w:space="0"/>
              <w:left w:val="single" w:color="000000" w:sz="2" w:space="0"/>
              <w:bottom w:val="single" w:color="000000" w:sz="2" w:space="0"/>
              <w:right w:val="single" w:color="000000" w:sz="2" w:space="0"/>
            </w:tcBorders>
            <w:vAlign w:val="center"/>
          </w:tcPr>
          <w:p w14:paraId="4CF2334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▲电源线适配能力</w:t>
            </w:r>
          </w:p>
        </w:tc>
        <w:tc>
          <w:tcPr>
            <w:tcW w:w="5382" w:type="dxa"/>
            <w:tcBorders>
              <w:top w:val="single" w:color="000000" w:sz="2" w:space="0"/>
              <w:left w:val="single" w:color="000000" w:sz="2" w:space="0"/>
              <w:bottom w:val="single" w:color="000000" w:sz="2" w:space="0"/>
              <w:right w:val="single" w:color="000000" w:sz="2" w:space="0"/>
            </w:tcBorders>
            <w:vAlign w:val="center"/>
          </w:tcPr>
          <w:p w14:paraId="3E66352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电源适配器电线组件应符合GB/T</w:t>
            </w:r>
          </w:p>
          <w:p w14:paraId="29CDC9A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15934 的要求，可拆线的插头和连接器可以不做要求</w:t>
            </w:r>
          </w:p>
        </w:tc>
      </w:tr>
      <w:tr w14:paraId="1E069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735C93E5">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131</w:t>
            </w:r>
          </w:p>
        </w:tc>
        <w:tc>
          <w:tcPr>
            <w:tcW w:w="1275" w:type="dxa"/>
            <w:vMerge w:val="restart"/>
            <w:tcBorders>
              <w:top w:val="nil"/>
              <w:left w:val="single" w:color="000000" w:sz="2" w:space="0"/>
              <w:bottom w:val="single" w:color="000000" w:sz="2" w:space="0"/>
              <w:right w:val="single" w:color="000000" w:sz="2" w:space="0"/>
            </w:tcBorders>
            <w:vAlign w:val="center"/>
          </w:tcPr>
          <w:p w14:paraId="0DFD5038">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▲操作系统及软件功</w:t>
            </w:r>
          </w:p>
          <w:p w14:paraId="5CFC9ED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能</w:t>
            </w:r>
          </w:p>
        </w:tc>
        <w:tc>
          <w:tcPr>
            <w:tcW w:w="1701" w:type="dxa"/>
            <w:tcBorders>
              <w:top w:val="single" w:color="000000" w:sz="2" w:space="0"/>
              <w:left w:val="single" w:color="000000" w:sz="2" w:space="0"/>
              <w:bottom w:val="single" w:color="000000" w:sz="2" w:space="0"/>
              <w:right w:val="single" w:color="000000" w:sz="2" w:space="0"/>
            </w:tcBorders>
            <w:vAlign w:val="center"/>
          </w:tcPr>
          <w:p w14:paraId="50D52B0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▲中文信息处理要求</w:t>
            </w:r>
          </w:p>
        </w:tc>
        <w:tc>
          <w:tcPr>
            <w:tcW w:w="5382" w:type="dxa"/>
            <w:tcBorders>
              <w:top w:val="single" w:color="000000" w:sz="2" w:space="0"/>
              <w:left w:val="single" w:color="000000" w:sz="2" w:space="0"/>
              <w:bottom w:val="single" w:color="000000" w:sz="2" w:space="0"/>
              <w:right w:val="single" w:color="000000" w:sz="2" w:space="0"/>
            </w:tcBorders>
            <w:vAlign w:val="center"/>
          </w:tcPr>
          <w:p w14:paraId="16DC16F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预装windows11 home ，符合 GB 18030 的相关规定</w:t>
            </w:r>
          </w:p>
        </w:tc>
      </w:tr>
      <w:tr w14:paraId="3DB1F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7254B00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132</w:t>
            </w:r>
          </w:p>
        </w:tc>
        <w:tc>
          <w:tcPr>
            <w:tcW w:w="1275" w:type="dxa"/>
            <w:vMerge w:val="continue"/>
            <w:tcBorders>
              <w:top w:val="nil"/>
              <w:left w:val="single" w:color="000000" w:sz="2" w:space="0"/>
              <w:bottom w:val="single" w:color="000000" w:sz="2" w:space="0"/>
              <w:right w:val="single" w:color="000000" w:sz="2" w:space="0"/>
            </w:tcBorders>
            <w:vAlign w:val="center"/>
          </w:tcPr>
          <w:p w14:paraId="01C244A5">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D206FB5">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▲操作系统备份及还原功能</w:t>
            </w:r>
          </w:p>
        </w:tc>
        <w:tc>
          <w:tcPr>
            <w:tcW w:w="5382" w:type="dxa"/>
            <w:tcBorders>
              <w:top w:val="single" w:color="000000" w:sz="2" w:space="0"/>
              <w:left w:val="single" w:color="000000" w:sz="2" w:space="0"/>
              <w:bottom w:val="single" w:color="000000" w:sz="2" w:space="0"/>
              <w:right w:val="single" w:color="000000" w:sz="2" w:space="0"/>
            </w:tcBorders>
            <w:vAlign w:val="center"/>
          </w:tcPr>
          <w:p w14:paraId="25F4026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支持操作系统备份及还原功能</w:t>
            </w:r>
          </w:p>
        </w:tc>
      </w:tr>
      <w:tr w14:paraId="1E152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134F764">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133</w:t>
            </w:r>
          </w:p>
        </w:tc>
        <w:tc>
          <w:tcPr>
            <w:tcW w:w="1275" w:type="dxa"/>
            <w:vMerge w:val="continue"/>
            <w:tcBorders>
              <w:top w:val="nil"/>
              <w:left w:val="single" w:color="000000" w:sz="2" w:space="0"/>
              <w:bottom w:val="single" w:color="000000" w:sz="2" w:space="0"/>
              <w:right w:val="single" w:color="000000" w:sz="2" w:space="0"/>
            </w:tcBorders>
            <w:vAlign w:val="center"/>
          </w:tcPr>
          <w:p w14:paraId="261822F4">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1AE748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▲固件备份还原能力</w:t>
            </w:r>
          </w:p>
        </w:tc>
        <w:tc>
          <w:tcPr>
            <w:tcW w:w="5382" w:type="dxa"/>
            <w:tcBorders>
              <w:top w:val="single" w:color="000000" w:sz="2" w:space="0"/>
              <w:left w:val="single" w:color="000000" w:sz="2" w:space="0"/>
              <w:bottom w:val="single" w:color="000000" w:sz="2" w:space="0"/>
              <w:right w:val="single" w:color="000000" w:sz="2" w:space="0"/>
            </w:tcBorders>
            <w:vAlign w:val="center"/>
          </w:tcPr>
          <w:p w14:paraId="0CAD234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支持备份及还原固件的功能</w:t>
            </w:r>
          </w:p>
        </w:tc>
      </w:tr>
      <w:tr w14:paraId="2A523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8D149D2">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134</w:t>
            </w:r>
          </w:p>
        </w:tc>
        <w:tc>
          <w:tcPr>
            <w:tcW w:w="1275" w:type="dxa"/>
            <w:vMerge w:val="continue"/>
            <w:tcBorders>
              <w:top w:val="nil"/>
              <w:left w:val="single" w:color="000000" w:sz="2" w:space="0"/>
              <w:bottom w:val="single" w:color="000000" w:sz="2" w:space="0"/>
              <w:right w:val="single" w:color="000000" w:sz="2" w:space="0"/>
            </w:tcBorders>
            <w:vAlign w:val="center"/>
          </w:tcPr>
          <w:p w14:paraId="4903DC8C">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98B88A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▲操作系统及驱动升级</w:t>
            </w:r>
          </w:p>
        </w:tc>
        <w:tc>
          <w:tcPr>
            <w:tcW w:w="5382" w:type="dxa"/>
            <w:tcBorders>
              <w:top w:val="single" w:color="000000" w:sz="2" w:space="0"/>
              <w:left w:val="single" w:color="000000" w:sz="2" w:space="0"/>
              <w:bottom w:val="single" w:color="000000" w:sz="2" w:space="0"/>
              <w:right w:val="single" w:color="000000" w:sz="2" w:space="0"/>
            </w:tcBorders>
            <w:vAlign w:val="center"/>
          </w:tcPr>
          <w:p w14:paraId="17DB8575">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支持通过网络、闪存盘等方式对操作系统、驱动进行升级</w:t>
            </w:r>
          </w:p>
        </w:tc>
      </w:tr>
      <w:tr w14:paraId="2DA0C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7FAE89F5">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135</w:t>
            </w:r>
          </w:p>
        </w:tc>
        <w:tc>
          <w:tcPr>
            <w:tcW w:w="1275" w:type="dxa"/>
            <w:vMerge w:val="continue"/>
            <w:tcBorders>
              <w:top w:val="nil"/>
              <w:left w:val="single" w:color="000000" w:sz="2" w:space="0"/>
              <w:bottom w:val="single" w:color="000000" w:sz="2" w:space="0"/>
              <w:right w:val="single" w:color="000000" w:sz="2" w:space="0"/>
            </w:tcBorders>
            <w:vAlign w:val="center"/>
          </w:tcPr>
          <w:p w14:paraId="58013245">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396AF02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固件升级</w:t>
            </w:r>
          </w:p>
        </w:tc>
        <w:tc>
          <w:tcPr>
            <w:tcW w:w="5382" w:type="dxa"/>
            <w:tcBorders>
              <w:top w:val="single" w:color="000000" w:sz="2" w:space="0"/>
              <w:left w:val="single" w:color="000000" w:sz="2" w:space="0"/>
              <w:bottom w:val="single" w:color="000000" w:sz="2" w:space="0"/>
              <w:right w:val="single" w:color="000000" w:sz="2" w:space="0"/>
            </w:tcBorders>
            <w:vAlign w:val="center"/>
          </w:tcPr>
          <w:p w14:paraId="27807DD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支持通过网络、闪存盘等方式对固件进行升级</w:t>
            </w:r>
          </w:p>
        </w:tc>
      </w:tr>
      <w:tr w14:paraId="646CB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D90D3EA">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136</w:t>
            </w:r>
          </w:p>
        </w:tc>
        <w:tc>
          <w:tcPr>
            <w:tcW w:w="1275" w:type="dxa"/>
            <w:vMerge w:val="continue"/>
            <w:tcBorders>
              <w:top w:val="nil"/>
              <w:left w:val="single" w:color="000000" w:sz="2" w:space="0"/>
              <w:bottom w:val="single" w:color="000000" w:sz="2" w:space="0"/>
              <w:right w:val="single" w:color="000000" w:sz="2" w:space="0"/>
            </w:tcBorders>
            <w:vAlign w:val="center"/>
          </w:tcPr>
          <w:p w14:paraId="55143C90">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4B6293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▲BIOS 支持关闭通讯接口</w:t>
            </w:r>
          </w:p>
        </w:tc>
        <w:tc>
          <w:tcPr>
            <w:tcW w:w="5382" w:type="dxa"/>
            <w:tcBorders>
              <w:top w:val="single" w:color="000000" w:sz="2" w:space="0"/>
              <w:left w:val="single" w:color="000000" w:sz="2" w:space="0"/>
              <w:bottom w:val="single" w:color="000000" w:sz="2" w:space="0"/>
              <w:right w:val="single" w:color="000000" w:sz="2" w:space="0"/>
            </w:tcBorders>
            <w:vAlign w:val="center"/>
          </w:tcPr>
          <w:p w14:paraId="08C8831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支持BIOS 关闭以太网及 USB 接口功能</w:t>
            </w:r>
          </w:p>
        </w:tc>
      </w:tr>
      <w:tr w14:paraId="1F3A3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A18B3B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137</w:t>
            </w:r>
          </w:p>
        </w:tc>
        <w:tc>
          <w:tcPr>
            <w:tcW w:w="1275" w:type="dxa"/>
            <w:vMerge w:val="continue"/>
            <w:tcBorders>
              <w:top w:val="nil"/>
              <w:left w:val="single" w:color="000000" w:sz="2" w:space="0"/>
              <w:bottom w:val="single" w:color="000000" w:sz="2" w:space="0"/>
              <w:right w:val="single" w:color="000000" w:sz="2" w:space="0"/>
            </w:tcBorders>
            <w:vAlign w:val="center"/>
          </w:tcPr>
          <w:p w14:paraId="31720759">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2652E60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▲固件查看信息</w:t>
            </w:r>
          </w:p>
        </w:tc>
        <w:tc>
          <w:tcPr>
            <w:tcW w:w="5382" w:type="dxa"/>
            <w:tcBorders>
              <w:top w:val="single" w:color="000000" w:sz="2" w:space="0"/>
              <w:left w:val="single" w:color="000000" w:sz="2" w:space="0"/>
              <w:bottom w:val="single" w:color="000000" w:sz="2" w:space="0"/>
              <w:right w:val="single" w:color="000000" w:sz="2" w:space="0"/>
            </w:tcBorders>
            <w:vAlign w:val="center"/>
          </w:tcPr>
          <w:p w14:paraId="50A0AE2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支持查看固件版本、内存信息、主板信息、处理器信息和系统时间信息等功能</w:t>
            </w:r>
          </w:p>
        </w:tc>
      </w:tr>
      <w:tr w14:paraId="78305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A73D86D">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138</w:t>
            </w:r>
          </w:p>
        </w:tc>
        <w:tc>
          <w:tcPr>
            <w:tcW w:w="1275" w:type="dxa"/>
            <w:vMerge w:val="continue"/>
            <w:tcBorders>
              <w:top w:val="nil"/>
              <w:left w:val="single" w:color="000000" w:sz="2" w:space="0"/>
              <w:bottom w:val="single" w:color="000000" w:sz="2" w:space="0"/>
              <w:right w:val="single" w:color="000000" w:sz="2" w:space="0"/>
            </w:tcBorders>
            <w:vAlign w:val="center"/>
          </w:tcPr>
          <w:p w14:paraId="4D0D2A50">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651BBD7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▲固件设置启动顺序</w:t>
            </w:r>
          </w:p>
        </w:tc>
        <w:tc>
          <w:tcPr>
            <w:tcW w:w="5382" w:type="dxa"/>
            <w:tcBorders>
              <w:top w:val="single" w:color="000000" w:sz="2" w:space="0"/>
              <w:left w:val="single" w:color="000000" w:sz="2" w:space="0"/>
              <w:bottom w:val="single" w:color="000000" w:sz="2" w:space="0"/>
              <w:right w:val="single" w:color="000000" w:sz="2" w:space="0"/>
            </w:tcBorders>
            <w:vAlign w:val="center"/>
          </w:tcPr>
          <w:p w14:paraId="37BD2A4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支持设置启动顺序功能，并按照设置的启动顺序启动</w:t>
            </w:r>
          </w:p>
        </w:tc>
      </w:tr>
      <w:tr w14:paraId="44BBF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7D59B2E">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139</w:t>
            </w:r>
          </w:p>
        </w:tc>
        <w:tc>
          <w:tcPr>
            <w:tcW w:w="1275" w:type="dxa"/>
            <w:vMerge w:val="continue"/>
            <w:tcBorders>
              <w:top w:val="nil"/>
              <w:left w:val="single" w:color="000000" w:sz="2" w:space="0"/>
              <w:bottom w:val="single" w:color="000000" w:sz="2" w:space="0"/>
              <w:right w:val="single" w:color="000000" w:sz="2" w:space="0"/>
            </w:tcBorders>
            <w:vAlign w:val="center"/>
          </w:tcPr>
          <w:p w14:paraId="502A5280">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28CC6D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▲固件设置口令</w:t>
            </w:r>
          </w:p>
        </w:tc>
        <w:tc>
          <w:tcPr>
            <w:tcW w:w="5382" w:type="dxa"/>
            <w:tcBorders>
              <w:top w:val="single" w:color="000000" w:sz="2" w:space="0"/>
              <w:left w:val="single" w:color="000000" w:sz="2" w:space="0"/>
              <w:bottom w:val="single" w:color="000000" w:sz="2" w:space="0"/>
              <w:right w:val="single" w:color="000000" w:sz="2" w:space="0"/>
            </w:tcBorders>
            <w:vAlign w:val="center"/>
          </w:tcPr>
          <w:p w14:paraId="4ADD037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支持设置口令、修改口令、验证口令功能</w:t>
            </w:r>
          </w:p>
        </w:tc>
      </w:tr>
      <w:tr w14:paraId="48CF3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A88539C">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140</w:t>
            </w:r>
          </w:p>
        </w:tc>
        <w:tc>
          <w:tcPr>
            <w:tcW w:w="1275" w:type="dxa"/>
            <w:vMerge w:val="continue"/>
            <w:tcBorders>
              <w:top w:val="nil"/>
              <w:left w:val="single" w:color="000000" w:sz="2" w:space="0"/>
              <w:bottom w:val="single" w:color="000000" w:sz="2" w:space="0"/>
              <w:right w:val="single" w:color="000000" w:sz="2" w:space="0"/>
            </w:tcBorders>
            <w:vAlign w:val="center"/>
          </w:tcPr>
          <w:p w14:paraId="138060D2">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1D496E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▲固件设置网络引导</w:t>
            </w:r>
          </w:p>
        </w:tc>
        <w:tc>
          <w:tcPr>
            <w:tcW w:w="5382" w:type="dxa"/>
            <w:tcBorders>
              <w:top w:val="single" w:color="000000" w:sz="2" w:space="0"/>
              <w:left w:val="single" w:color="000000" w:sz="2" w:space="0"/>
              <w:bottom w:val="single" w:color="000000" w:sz="2" w:space="0"/>
              <w:right w:val="single" w:color="000000" w:sz="2" w:space="0"/>
            </w:tcBorders>
            <w:vAlign w:val="center"/>
          </w:tcPr>
          <w:p w14:paraId="0E4AC05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支持网络引导启动和关闭功能</w:t>
            </w:r>
          </w:p>
        </w:tc>
      </w:tr>
      <w:tr w14:paraId="229C1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A3F4570">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141</w:t>
            </w:r>
          </w:p>
        </w:tc>
        <w:tc>
          <w:tcPr>
            <w:tcW w:w="1275" w:type="dxa"/>
            <w:vMerge w:val="restart"/>
            <w:tcBorders>
              <w:top w:val="nil"/>
              <w:left w:val="single" w:color="000000" w:sz="2" w:space="0"/>
              <w:bottom w:val="nil"/>
              <w:right w:val="single" w:color="000000" w:sz="2" w:space="0"/>
            </w:tcBorders>
            <w:vAlign w:val="center"/>
          </w:tcPr>
          <w:p w14:paraId="47088720">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生物识别功能</w:t>
            </w:r>
          </w:p>
        </w:tc>
        <w:tc>
          <w:tcPr>
            <w:tcW w:w="1701" w:type="dxa"/>
            <w:tcBorders>
              <w:top w:val="single" w:color="000000" w:sz="2" w:space="0"/>
              <w:left w:val="single" w:color="000000" w:sz="2" w:space="0"/>
              <w:bottom w:val="single" w:color="000000" w:sz="2" w:space="0"/>
              <w:right w:val="single" w:color="000000" w:sz="2" w:space="0"/>
            </w:tcBorders>
            <w:vAlign w:val="center"/>
          </w:tcPr>
          <w:p w14:paraId="52BF3B9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指纹识别</w:t>
            </w:r>
          </w:p>
        </w:tc>
        <w:tc>
          <w:tcPr>
            <w:tcW w:w="5382" w:type="dxa"/>
            <w:tcBorders>
              <w:top w:val="single" w:color="000000" w:sz="2" w:space="0"/>
              <w:left w:val="single" w:color="000000" w:sz="2" w:space="0"/>
              <w:bottom w:val="single" w:color="000000" w:sz="2" w:space="0"/>
              <w:right w:val="single" w:color="000000" w:sz="2" w:space="0"/>
            </w:tcBorders>
            <w:vAlign w:val="center"/>
          </w:tcPr>
          <w:p w14:paraId="78FF4B7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指纹识别功能符合GB/T 37742 的相关规定</w:t>
            </w:r>
          </w:p>
        </w:tc>
      </w:tr>
      <w:tr w14:paraId="1D112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6DABAC1">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142</w:t>
            </w:r>
          </w:p>
        </w:tc>
        <w:tc>
          <w:tcPr>
            <w:tcW w:w="1275" w:type="dxa"/>
            <w:vMerge w:val="continue"/>
            <w:tcBorders>
              <w:top w:val="nil"/>
              <w:left w:val="single" w:color="000000" w:sz="2" w:space="0"/>
              <w:bottom w:val="nil"/>
              <w:right w:val="single" w:color="000000" w:sz="2" w:space="0"/>
            </w:tcBorders>
            <w:vAlign w:val="center"/>
          </w:tcPr>
          <w:p w14:paraId="02E7E9DC">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BE1EF9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人脸识别</w:t>
            </w:r>
          </w:p>
        </w:tc>
        <w:tc>
          <w:tcPr>
            <w:tcW w:w="5382" w:type="dxa"/>
            <w:tcBorders>
              <w:top w:val="single" w:color="000000" w:sz="2" w:space="0"/>
              <w:left w:val="single" w:color="000000" w:sz="2" w:space="0"/>
              <w:bottom w:val="single" w:color="000000" w:sz="2" w:space="0"/>
              <w:right w:val="single" w:color="000000" w:sz="2" w:space="0"/>
            </w:tcBorders>
            <w:vAlign w:val="center"/>
          </w:tcPr>
          <w:p w14:paraId="38B3B91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人脸识别功能符合 GB/T 37036.3 的相关规定</w:t>
            </w:r>
          </w:p>
        </w:tc>
      </w:tr>
      <w:tr w14:paraId="7314E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F0797D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143</w:t>
            </w:r>
          </w:p>
        </w:tc>
        <w:tc>
          <w:tcPr>
            <w:tcW w:w="1275" w:type="dxa"/>
            <w:vMerge w:val="continue"/>
            <w:tcBorders>
              <w:top w:val="nil"/>
              <w:left w:val="single" w:color="000000" w:sz="2" w:space="0"/>
              <w:bottom w:val="nil"/>
              <w:right w:val="single" w:color="000000" w:sz="2" w:space="0"/>
            </w:tcBorders>
            <w:vAlign w:val="center"/>
          </w:tcPr>
          <w:p w14:paraId="35A02129">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2C74283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静脉识别</w:t>
            </w:r>
          </w:p>
        </w:tc>
        <w:tc>
          <w:tcPr>
            <w:tcW w:w="5382" w:type="dxa"/>
            <w:tcBorders>
              <w:top w:val="single" w:color="000000" w:sz="2" w:space="0"/>
              <w:left w:val="single" w:color="000000" w:sz="2" w:space="0"/>
              <w:bottom w:val="single" w:color="000000" w:sz="2" w:space="0"/>
              <w:right w:val="single" w:color="000000" w:sz="2" w:space="0"/>
            </w:tcBorders>
            <w:vAlign w:val="center"/>
          </w:tcPr>
          <w:p w14:paraId="0F91306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w:t>
            </w:r>
          </w:p>
        </w:tc>
      </w:tr>
      <w:tr w14:paraId="75842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F6F7341">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144</w:t>
            </w:r>
          </w:p>
        </w:tc>
        <w:tc>
          <w:tcPr>
            <w:tcW w:w="1275" w:type="dxa"/>
            <w:vMerge w:val="restart"/>
            <w:tcBorders>
              <w:top w:val="nil"/>
              <w:left w:val="single" w:color="000000" w:sz="2" w:space="0"/>
              <w:bottom w:val="nil"/>
              <w:right w:val="single" w:color="000000" w:sz="2" w:space="0"/>
            </w:tcBorders>
            <w:vAlign w:val="center"/>
          </w:tcPr>
          <w:p w14:paraId="3437A358">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硬件加速功能</w:t>
            </w:r>
          </w:p>
        </w:tc>
        <w:tc>
          <w:tcPr>
            <w:tcW w:w="1701" w:type="dxa"/>
            <w:tcBorders>
              <w:top w:val="single" w:color="000000" w:sz="2" w:space="0"/>
              <w:left w:val="single" w:color="000000" w:sz="2" w:space="0"/>
              <w:bottom w:val="single" w:color="000000" w:sz="2" w:space="0"/>
              <w:right w:val="single" w:color="000000" w:sz="2" w:space="0"/>
            </w:tcBorders>
            <w:vAlign w:val="center"/>
          </w:tcPr>
          <w:p w14:paraId="14C8A02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NPU/GPU等 AI 加速模块</w:t>
            </w:r>
          </w:p>
        </w:tc>
        <w:tc>
          <w:tcPr>
            <w:tcW w:w="5382" w:type="dxa"/>
            <w:tcBorders>
              <w:top w:val="single" w:color="000000" w:sz="2" w:space="0"/>
              <w:left w:val="single" w:color="000000" w:sz="2" w:space="0"/>
              <w:bottom w:val="single" w:color="000000" w:sz="2" w:space="0"/>
              <w:right w:val="single" w:color="000000" w:sz="2" w:space="0"/>
            </w:tcBorders>
            <w:vAlign w:val="center"/>
          </w:tcPr>
          <w:p w14:paraId="33F8B4C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 NPU/GPU 等AI 加速模块</w:t>
            </w:r>
          </w:p>
        </w:tc>
      </w:tr>
      <w:tr w14:paraId="4A3A1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6F9D3D5">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145</w:t>
            </w:r>
          </w:p>
        </w:tc>
        <w:tc>
          <w:tcPr>
            <w:tcW w:w="1275" w:type="dxa"/>
            <w:vMerge w:val="continue"/>
            <w:tcBorders>
              <w:top w:val="nil"/>
              <w:left w:val="single" w:color="000000" w:sz="2" w:space="0"/>
              <w:bottom w:val="nil"/>
              <w:right w:val="single" w:color="000000" w:sz="2" w:space="0"/>
            </w:tcBorders>
            <w:vAlign w:val="center"/>
          </w:tcPr>
          <w:p w14:paraId="7FD2419F">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3BB3A3A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视频编解码加速模块</w:t>
            </w:r>
          </w:p>
        </w:tc>
        <w:tc>
          <w:tcPr>
            <w:tcW w:w="5382" w:type="dxa"/>
            <w:tcBorders>
              <w:top w:val="single" w:color="000000" w:sz="2" w:space="0"/>
              <w:left w:val="single" w:color="000000" w:sz="2" w:space="0"/>
              <w:bottom w:val="single" w:color="000000" w:sz="2" w:space="0"/>
              <w:right w:val="single" w:color="000000" w:sz="2" w:space="0"/>
            </w:tcBorders>
            <w:vAlign w:val="center"/>
          </w:tcPr>
          <w:p w14:paraId="6BD7C31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支持视频编解码加速模块</w:t>
            </w:r>
          </w:p>
        </w:tc>
      </w:tr>
      <w:tr w14:paraId="47F3A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6FF1771">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146</w:t>
            </w:r>
          </w:p>
        </w:tc>
        <w:tc>
          <w:tcPr>
            <w:tcW w:w="1275" w:type="dxa"/>
            <w:vMerge w:val="continue"/>
            <w:tcBorders>
              <w:top w:val="nil"/>
              <w:left w:val="single" w:color="000000" w:sz="2" w:space="0"/>
              <w:bottom w:val="nil"/>
              <w:right w:val="single" w:color="000000" w:sz="2" w:space="0"/>
            </w:tcBorders>
            <w:vAlign w:val="center"/>
          </w:tcPr>
          <w:p w14:paraId="7AD2F4DE">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714ED87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影像处理加速模块</w:t>
            </w:r>
          </w:p>
        </w:tc>
        <w:tc>
          <w:tcPr>
            <w:tcW w:w="5382" w:type="dxa"/>
            <w:tcBorders>
              <w:top w:val="single" w:color="000000" w:sz="2" w:space="0"/>
              <w:left w:val="single" w:color="000000" w:sz="2" w:space="0"/>
              <w:bottom w:val="single" w:color="000000" w:sz="2" w:space="0"/>
              <w:right w:val="single" w:color="000000" w:sz="2" w:space="0"/>
            </w:tcBorders>
            <w:vAlign w:val="center"/>
          </w:tcPr>
          <w:p w14:paraId="722BFF6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支持影像处理加速模块</w:t>
            </w:r>
          </w:p>
        </w:tc>
      </w:tr>
      <w:tr w14:paraId="05A4E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ACF818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147</w:t>
            </w:r>
          </w:p>
        </w:tc>
        <w:tc>
          <w:tcPr>
            <w:tcW w:w="1275" w:type="dxa"/>
            <w:vMerge w:val="restart"/>
            <w:tcBorders>
              <w:top w:val="nil"/>
              <w:left w:val="single" w:color="000000" w:sz="2" w:space="0"/>
              <w:bottom w:val="nil"/>
              <w:right w:val="single" w:color="000000" w:sz="2" w:space="0"/>
            </w:tcBorders>
            <w:vAlign w:val="center"/>
          </w:tcPr>
          <w:p w14:paraId="380DE18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▲存储设备可靠性</w:t>
            </w:r>
          </w:p>
        </w:tc>
        <w:tc>
          <w:tcPr>
            <w:tcW w:w="1701" w:type="dxa"/>
            <w:tcBorders>
              <w:top w:val="single" w:color="000000" w:sz="2" w:space="0"/>
              <w:left w:val="single" w:color="000000" w:sz="2" w:space="0"/>
              <w:bottom w:val="single" w:color="000000" w:sz="2" w:space="0"/>
              <w:right w:val="single" w:color="000000" w:sz="2" w:space="0"/>
            </w:tcBorders>
            <w:vAlign w:val="center"/>
          </w:tcPr>
          <w:p w14:paraId="00D770F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▲固态存储寿命</w:t>
            </w:r>
          </w:p>
        </w:tc>
        <w:tc>
          <w:tcPr>
            <w:tcW w:w="5382" w:type="dxa"/>
            <w:tcBorders>
              <w:top w:val="single" w:color="000000" w:sz="2" w:space="0"/>
              <w:left w:val="single" w:color="000000" w:sz="2" w:space="0"/>
              <w:bottom w:val="single" w:color="000000" w:sz="2" w:space="0"/>
              <w:right w:val="single" w:color="000000" w:sz="2" w:space="0"/>
            </w:tcBorders>
            <w:vAlign w:val="center"/>
          </w:tcPr>
          <w:p w14:paraId="7F1E3135">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TBW ≥ 80TB（条件：240GB 硬盘容量）</w:t>
            </w:r>
          </w:p>
        </w:tc>
      </w:tr>
      <w:tr w14:paraId="76E38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0E9A6C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148</w:t>
            </w:r>
          </w:p>
        </w:tc>
        <w:tc>
          <w:tcPr>
            <w:tcW w:w="1275" w:type="dxa"/>
            <w:vMerge w:val="continue"/>
            <w:tcBorders>
              <w:top w:val="nil"/>
              <w:left w:val="single" w:color="000000" w:sz="2" w:space="0"/>
              <w:bottom w:val="nil"/>
              <w:right w:val="single" w:color="000000" w:sz="2" w:space="0"/>
            </w:tcBorders>
            <w:vAlign w:val="center"/>
          </w:tcPr>
          <w:p w14:paraId="28F62C98">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1E91620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▲机械硬盘寿命</w:t>
            </w:r>
          </w:p>
        </w:tc>
        <w:tc>
          <w:tcPr>
            <w:tcW w:w="5382" w:type="dxa"/>
            <w:tcBorders>
              <w:top w:val="single" w:color="000000" w:sz="2" w:space="0"/>
              <w:left w:val="single" w:color="000000" w:sz="2" w:space="0"/>
              <w:bottom w:val="single" w:color="000000" w:sz="2" w:space="0"/>
              <w:right w:val="single" w:color="000000" w:sz="2" w:space="0"/>
            </w:tcBorders>
            <w:vAlign w:val="center"/>
          </w:tcPr>
          <w:p w14:paraId="22D79D8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通电时间≥5 万小时</w:t>
            </w:r>
          </w:p>
        </w:tc>
      </w:tr>
      <w:tr w14:paraId="5E283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7A3CA803">
            <w:pPr>
              <w:pStyle w:val="347"/>
              <w:spacing w:before="38" w:after="0"/>
              <w:ind w:right="59"/>
              <w:jc w:val="center"/>
              <w:rPr>
                <w:rFonts w:ascii="宋体" w:hAnsi="宋体" w:eastAsia="Times New Roman"/>
                <w:color w:val="auto"/>
                <w:spacing w:val="-4"/>
                <w:sz w:val="22"/>
                <w:szCs w:val="22"/>
              </w:rPr>
            </w:pPr>
          </w:p>
          <w:p w14:paraId="448E7F4C">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149</w:t>
            </w:r>
          </w:p>
        </w:tc>
        <w:tc>
          <w:tcPr>
            <w:tcW w:w="1275" w:type="dxa"/>
            <w:tcBorders>
              <w:top w:val="single" w:color="000000" w:sz="2" w:space="0"/>
              <w:left w:val="single" w:color="000000" w:sz="2" w:space="0"/>
              <w:bottom w:val="single" w:color="000000" w:sz="2" w:space="0"/>
              <w:right w:val="single" w:color="000000" w:sz="2" w:space="0"/>
            </w:tcBorders>
            <w:vAlign w:val="center"/>
          </w:tcPr>
          <w:p w14:paraId="6A4BD7A7">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▲显示设备可靠性</w:t>
            </w:r>
          </w:p>
        </w:tc>
        <w:tc>
          <w:tcPr>
            <w:tcW w:w="1701" w:type="dxa"/>
            <w:tcBorders>
              <w:top w:val="single" w:color="000000" w:sz="2" w:space="0"/>
              <w:left w:val="single" w:color="000000" w:sz="2" w:space="0"/>
              <w:bottom w:val="single" w:color="000000" w:sz="2" w:space="0"/>
              <w:right w:val="single" w:color="000000" w:sz="2" w:space="0"/>
            </w:tcBorders>
            <w:vAlign w:val="center"/>
          </w:tcPr>
          <w:p w14:paraId="648905A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▲显示屏</w:t>
            </w:r>
          </w:p>
          <w:p w14:paraId="6A8344A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屏幕失效点</w:t>
            </w:r>
          </w:p>
        </w:tc>
        <w:tc>
          <w:tcPr>
            <w:tcW w:w="5382" w:type="dxa"/>
            <w:tcBorders>
              <w:top w:val="single" w:color="000000" w:sz="2" w:space="0"/>
              <w:left w:val="single" w:color="000000" w:sz="2" w:space="0"/>
              <w:bottom w:val="single" w:color="000000" w:sz="2" w:space="0"/>
              <w:right w:val="single" w:color="000000" w:sz="2" w:space="0"/>
            </w:tcBorders>
            <w:vAlign w:val="center"/>
          </w:tcPr>
          <w:p w14:paraId="542111F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符合 GB/T 9813.2 的要求</w:t>
            </w:r>
          </w:p>
        </w:tc>
      </w:tr>
      <w:tr w14:paraId="0E3A6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630871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150</w:t>
            </w:r>
          </w:p>
        </w:tc>
        <w:tc>
          <w:tcPr>
            <w:tcW w:w="1275" w:type="dxa"/>
            <w:vMerge w:val="restart"/>
            <w:tcBorders>
              <w:top w:val="nil"/>
              <w:left w:val="single" w:color="000000" w:sz="2" w:space="0"/>
              <w:bottom w:val="nil"/>
              <w:right w:val="single" w:color="000000" w:sz="2" w:space="0"/>
            </w:tcBorders>
            <w:vAlign w:val="center"/>
          </w:tcPr>
          <w:p w14:paraId="197ACA2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▲外设可靠性</w:t>
            </w:r>
          </w:p>
        </w:tc>
        <w:tc>
          <w:tcPr>
            <w:tcW w:w="1701" w:type="dxa"/>
            <w:tcBorders>
              <w:top w:val="single" w:color="000000" w:sz="2" w:space="0"/>
              <w:left w:val="single" w:color="000000" w:sz="2" w:space="0"/>
              <w:bottom w:val="single" w:color="000000" w:sz="2" w:space="0"/>
              <w:right w:val="single" w:color="000000" w:sz="2" w:space="0"/>
            </w:tcBorders>
            <w:vAlign w:val="center"/>
          </w:tcPr>
          <w:p w14:paraId="5B47D685">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▲键盘按键寿命</w:t>
            </w:r>
          </w:p>
        </w:tc>
        <w:tc>
          <w:tcPr>
            <w:tcW w:w="5382" w:type="dxa"/>
            <w:tcBorders>
              <w:top w:val="single" w:color="000000" w:sz="2" w:space="0"/>
              <w:left w:val="single" w:color="000000" w:sz="2" w:space="0"/>
              <w:bottom w:val="single" w:color="000000" w:sz="2" w:space="0"/>
              <w:right w:val="single" w:color="000000" w:sz="2" w:space="0"/>
            </w:tcBorders>
            <w:vAlign w:val="center"/>
          </w:tcPr>
          <w:p w14:paraId="30ECDDF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≥1000 万次</w:t>
            </w:r>
          </w:p>
        </w:tc>
      </w:tr>
      <w:tr w14:paraId="0C717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2A22DFD">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151</w:t>
            </w:r>
          </w:p>
        </w:tc>
        <w:tc>
          <w:tcPr>
            <w:tcW w:w="1275" w:type="dxa"/>
            <w:vMerge w:val="continue"/>
            <w:tcBorders>
              <w:top w:val="nil"/>
              <w:left w:val="single" w:color="000000" w:sz="2" w:space="0"/>
              <w:bottom w:val="nil"/>
              <w:right w:val="single" w:color="000000" w:sz="2" w:space="0"/>
            </w:tcBorders>
            <w:vAlign w:val="center"/>
          </w:tcPr>
          <w:p w14:paraId="4F24CEEA">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CABF27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▲鼠标按键寿命</w:t>
            </w:r>
          </w:p>
        </w:tc>
        <w:tc>
          <w:tcPr>
            <w:tcW w:w="5382" w:type="dxa"/>
            <w:tcBorders>
              <w:top w:val="single" w:color="000000" w:sz="2" w:space="0"/>
              <w:left w:val="single" w:color="000000" w:sz="2" w:space="0"/>
              <w:bottom w:val="single" w:color="000000" w:sz="2" w:space="0"/>
              <w:right w:val="single" w:color="000000" w:sz="2" w:space="0"/>
            </w:tcBorders>
            <w:vAlign w:val="center"/>
          </w:tcPr>
          <w:p w14:paraId="1D866F4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≥500 万次</w:t>
            </w:r>
          </w:p>
        </w:tc>
      </w:tr>
      <w:tr w14:paraId="6FAAF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CB0907E">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152</w:t>
            </w:r>
          </w:p>
        </w:tc>
        <w:tc>
          <w:tcPr>
            <w:tcW w:w="1275" w:type="dxa"/>
            <w:vMerge w:val="continue"/>
            <w:tcBorders>
              <w:top w:val="nil"/>
              <w:left w:val="single" w:color="000000" w:sz="2" w:space="0"/>
              <w:bottom w:val="nil"/>
              <w:right w:val="single" w:color="000000" w:sz="2" w:space="0"/>
            </w:tcBorders>
            <w:vAlign w:val="center"/>
          </w:tcPr>
          <w:p w14:paraId="6EE18E8E">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45DE9D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▲键盘鼠标线材寿命</w:t>
            </w:r>
          </w:p>
        </w:tc>
        <w:tc>
          <w:tcPr>
            <w:tcW w:w="5382" w:type="dxa"/>
            <w:tcBorders>
              <w:top w:val="single" w:color="000000" w:sz="2" w:space="0"/>
              <w:left w:val="single" w:color="000000" w:sz="2" w:space="0"/>
              <w:bottom w:val="single" w:color="000000" w:sz="2" w:space="0"/>
              <w:right w:val="single" w:color="000000" w:sz="2" w:space="0"/>
            </w:tcBorders>
            <w:vAlign w:val="center"/>
          </w:tcPr>
          <w:p w14:paraId="7A2DE33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键盘鼠标所用线材经±60 °弯折不低于 3000 次，功能、外观完好</w:t>
            </w:r>
          </w:p>
        </w:tc>
      </w:tr>
      <w:tr w14:paraId="29EEC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BA561F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153</w:t>
            </w:r>
          </w:p>
        </w:tc>
        <w:tc>
          <w:tcPr>
            <w:tcW w:w="1275" w:type="dxa"/>
            <w:vMerge w:val="continue"/>
            <w:tcBorders>
              <w:top w:val="nil"/>
              <w:left w:val="single" w:color="000000" w:sz="2" w:space="0"/>
              <w:bottom w:val="nil"/>
              <w:right w:val="single" w:color="000000" w:sz="2" w:space="0"/>
            </w:tcBorders>
            <w:vAlign w:val="center"/>
          </w:tcPr>
          <w:p w14:paraId="4F7C0CE1">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5621E3B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▲风扇寿命</w:t>
            </w:r>
          </w:p>
        </w:tc>
        <w:tc>
          <w:tcPr>
            <w:tcW w:w="5382" w:type="dxa"/>
            <w:tcBorders>
              <w:top w:val="single" w:color="000000" w:sz="2" w:space="0"/>
              <w:left w:val="single" w:color="000000" w:sz="2" w:space="0"/>
              <w:bottom w:val="single" w:color="000000" w:sz="2" w:space="0"/>
              <w:right w:val="single" w:color="000000" w:sz="2" w:space="0"/>
            </w:tcBorders>
            <w:vAlign w:val="center"/>
          </w:tcPr>
          <w:p w14:paraId="113923E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≥4 万小时</w:t>
            </w:r>
          </w:p>
        </w:tc>
      </w:tr>
      <w:tr w14:paraId="67F33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714DA70D">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154</w:t>
            </w:r>
          </w:p>
        </w:tc>
        <w:tc>
          <w:tcPr>
            <w:tcW w:w="1275" w:type="dxa"/>
            <w:vMerge w:val="restart"/>
            <w:tcBorders>
              <w:top w:val="nil"/>
              <w:left w:val="single" w:color="000000" w:sz="2" w:space="0"/>
              <w:bottom w:val="nil"/>
              <w:right w:val="single" w:color="000000" w:sz="2" w:space="0"/>
            </w:tcBorders>
            <w:vAlign w:val="center"/>
          </w:tcPr>
          <w:p w14:paraId="23889C8B">
            <w:pPr>
              <w:pStyle w:val="347"/>
              <w:spacing w:before="38" w:after="0"/>
              <w:ind w:right="59"/>
              <w:jc w:val="center"/>
              <w:rPr>
                <w:rFonts w:ascii="宋体" w:hAnsi="宋体" w:eastAsia="Times New Roman"/>
                <w:color w:val="auto"/>
                <w:spacing w:val="-4"/>
                <w:sz w:val="22"/>
                <w:szCs w:val="22"/>
              </w:rPr>
            </w:pPr>
          </w:p>
          <w:p w14:paraId="3AB4F99D">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▲整机可靠性要求</w:t>
            </w:r>
          </w:p>
        </w:tc>
        <w:tc>
          <w:tcPr>
            <w:tcW w:w="1701" w:type="dxa"/>
            <w:tcBorders>
              <w:top w:val="single" w:color="000000" w:sz="2" w:space="0"/>
              <w:left w:val="single" w:color="000000" w:sz="2" w:space="0"/>
              <w:bottom w:val="single" w:color="000000" w:sz="2" w:space="0"/>
              <w:right w:val="single" w:color="000000" w:sz="2" w:space="0"/>
            </w:tcBorders>
            <w:vAlign w:val="center"/>
          </w:tcPr>
          <w:p w14:paraId="5E26AFB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▲电磁兼容性要求的抗扰度</w:t>
            </w:r>
          </w:p>
        </w:tc>
        <w:tc>
          <w:tcPr>
            <w:tcW w:w="5382" w:type="dxa"/>
            <w:tcBorders>
              <w:top w:val="single" w:color="000000" w:sz="2" w:space="0"/>
              <w:left w:val="single" w:color="000000" w:sz="2" w:space="0"/>
              <w:bottom w:val="single" w:color="000000" w:sz="2" w:space="0"/>
              <w:right w:val="single" w:color="000000" w:sz="2" w:space="0"/>
            </w:tcBorders>
            <w:vAlign w:val="center"/>
          </w:tcPr>
          <w:p w14:paraId="55870BF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符合 GB/T 9254.2 的规定</w:t>
            </w:r>
          </w:p>
        </w:tc>
      </w:tr>
      <w:tr w14:paraId="40C6F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CEC64D7">
            <w:pPr>
              <w:pStyle w:val="347"/>
              <w:spacing w:before="38" w:after="0"/>
              <w:ind w:right="59"/>
              <w:jc w:val="center"/>
              <w:rPr>
                <w:rFonts w:ascii="宋体" w:hAnsi="宋体" w:eastAsia="Times New Roman"/>
                <w:color w:val="auto"/>
                <w:spacing w:val="-4"/>
                <w:sz w:val="22"/>
                <w:szCs w:val="22"/>
              </w:rPr>
            </w:pPr>
          </w:p>
          <w:p w14:paraId="3DE13348">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155</w:t>
            </w:r>
          </w:p>
        </w:tc>
        <w:tc>
          <w:tcPr>
            <w:tcW w:w="1275" w:type="dxa"/>
            <w:vMerge w:val="continue"/>
            <w:tcBorders>
              <w:top w:val="nil"/>
              <w:left w:val="single" w:color="000000" w:sz="2" w:space="0"/>
              <w:bottom w:val="nil"/>
              <w:right w:val="single" w:color="000000" w:sz="2" w:space="0"/>
            </w:tcBorders>
            <w:vAlign w:val="center"/>
          </w:tcPr>
          <w:p w14:paraId="69E0739C">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10C6388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▲环境条件要求的气候环境适应性</w:t>
            </w:r>
          </w:p>
        </w:tc>
        <w:tc>
          <w:tcPr>
            <w:tcW w:w="5382" w:type="dxa"/>
            <w:tcBorders>
              <w:top w:val="single" w:color="000000" w:sz="2" w:space="0"/>
              <w:left w:val="single" w:color="000000" w:sz="2" w:space="0"/>
              <w:bottom w:val="single" w:color="000000" w:sz="2" w:space="0"/>
              <w:right w:val="single" w:color="000000" w:sz="2" w:space="0"/>
            </w:tcBorders>
            <w:vAlign w:val="center"/>
          </w:tcPr>
          <w:p w14:paraId="1C3E7C7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符合 GB/T 9813.1 中规定</w:t>
            </w:r>
          </w:p>
        </w:tc>
      </w:tr>
      <w:tr w14:paraId="7FE22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108CB2F">
            <w:pPr>
              <w:pStyle w:val="347"/>
              <w:spacing w:before="38" w:after="0"/>
              <w:ind w:right="59"/>
              <w:jc w:val="center"/>
              <w:rPr>
                <w:rFonts w:ascii="宋体" w:hAnsi="宋体" w:eastAsia="Times New Roman"/>
                <w:color w:val="auto"/>
                <w:spacing w:val="-4"/>
                <w:sz w:val="22"/>
                <w:szCs w:val="22"/>
              </w:rPr>
            </w:pPr>
          </w:p>
          <w:p w14:paraId="625EA7F7">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156</w:t>
            </w:r>
          </w:p>
        </w:tc>
        <w:tc>
          <w:tcPr>
            <w:tcW w:w="1275" w:type="dxa"/>
            <w:vMerge w:val="continue"/>
            <w:tcBorders>
              <w:top w:val="nil"/>
              <w:left w:val="single" w:color="000000" w:sz="2" w:space="0"/>
              <w:bottom w:val="nil"/>
              <w:right w:val="single" w:color="000000" w:sz="2" w:space="0"/>
            </w:tcBorders>
            <w:vAlign w:val="center"/>
          </w:tcPr>
          <w:p w14:paraId="1B94E53E">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E89D85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▲环境条件要求的振动适应性</w:t>
            </w:r>
          </w:p>
        </w:tc>
        <w:tc>
          <w:tcPr>
            <w:tcW w:w="5382" w:type="dxa"/>
            <w:tcBorders>
              <w:top w:val="single" w:color="000000" w:sz="2" w:space="0"/>
              <w:left w:val="single" w:color="000000" w:sz="2" w:space="0"/>
              <w:bottom w:val="single" w:color="000000" w:sz="2" w:space="0"/>
              <w:right w:val="single" w:color="000000" w:sz="2" w:space="0"/>
            </w:tcBorders>
            <w:vAlign w:val="center"/>
          </w:tcPr>
          <w:p w14:paraId="0E927F9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符合 GB/T 9813.1 中规定</w:t>
            </w:r>
          </w:p>
        </w:tc>
      </w:tr>
      <w:tr w14:paraId="0775B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802548A">
            <w:pPr>
              <w:pStyle w:val="347"/>
              <w:spacing w:before="38" w:after="0"/>
              <w:ind w:right="59"/>
              <w:jc w:val="center"/>
              <w:rPr>
                <w:rFonts w:ascii="宋体" w:hAnsi="宋体" w:eastAsia="Times New Roman"/>
                <w:color w:val="auto"/>
                <w:spacing w:val="-4"/>
                <w:sz w:val="22"/>
                <w:szCs w:val="22"/>
              </w:rPr>
            </w:pPr>
          </w:p>
          <w:p w14:paraId="7DAFDB9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157</w:t>
            </w:r>
          </w:p>
        </w:tc>
        <w:tc>
          <w:tcPr>
            <w:tcW w:w="1275" w:type="dxa"/>
            <w:vMerge w:val="continue"/>
            <w:tcBorders>
              <w:top w:val="nil"/>
              <w:left w:val="single" w:color="000000" w:sz="2" w:space="0"/>
              <w:bottom w:val="nil"/>
              <w:right w:val="single" w:color="000000" w:sz="2" w:space="0"/>
            </w:tcBorders>
            <w:vAlign w:val="center"/>
          </w:tcPr>
          <w:p w14:paraId="72A74037">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6A9B359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▲环境条件要求的冲击适应性</w:t>
            </w:r>
          </w:p>
        </w:tc>
        <w:tc>
          <w:tcPr>
            <w:tcW w:w="5382" w:type="dxa"/>
            <w:tcBorders>
              <w:top w:val="single" w:color="000000" w:sz="2" w:space="0"/>
              <w:left w:val="single" w:color="000000" w:sz="2" w:space="0"/>
              <w:bottom w:val="single" w:color="000000" w:sz="2" w:space="0"/>
              <w:right w:val="single" w:color="000000" w:sz="2" w:space="0"/>
            </w:tcBorders>
            <w:vAlign w:val="center"/>
          </w:tcPr>
          <w:p w14:paraId="072AC86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符合 GB/T 9813.1 中规定</w:t>
            </w:r>
          </w:p>
        </w:tc>
      </w:tr>
      <w:tr w14:paraId="20409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753D81E">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158</w:t>
            </w:r>
          </w:p>
        </w:tc>
        <w:tc>
          <w:tcPr>
            <w:tcW w:w="1275" w:type="dxa"/>
            <w:vMerge w:val="continue"/>
            <w:tcBorders>
              <w:top w:val="nil"/>
              <w:left w:val="single" w:color="000000" w:sz="2" w:space="0"/>
              <w:bottom w:val="nil"/>
              <w:right w:val="single" w:color="000000" w:sz="2" w:space="0"/>
            </w:tcBorders>
            <w:vAlign w:val="center"/>
          </w:tcPr>
          <w:p w14:paraId="7E229F21">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3D11FA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▲环境条件要求的碰撞适应性</w:t>
            </w:r>
          </w:p>
        </w:tc>
        <w:tc>
          <w:tcPr>
            <w:tcW w:w="5382" w:type="dxa"/>
            <w:tcBorders>
              <w:top w:val="single" w:color="000000" w:sz="2" w:space="0"/>
              <w:left w:val="single" w:color="000000" w:sz="2" w:space="0"/>
              <w:bottom w:val="single" w:color="000000" w:sz="2" w:space="0"/>
              <w:right w:val="single" w:color="000000" w:sz="2" w:space="0"/>
            </w:tcBorders>
            <w:vAlign w:val="center"/>
          </w:tcPr>
          <w:p w14:paraId="2F3547F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符合 GB/T 9813.1 中规定</w:t>
            </w:r>
          </w:p>
        </w:tc>
      </w:tr>
      <w:tr w14:paraId="1B652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88774CA">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159</w:t>
            </w:r>
          </w:p>
        </w:tc>
        <w:tc>
          <w:tcPr>
            <w:tcW w:w="1275" w:type="dxa"/>
            <w:vMerge w:val="continue"/>
            <w:tcBorders>
              <w:top w:val="nil"/>
              <w:left w:val="single" w:color="000000" w:sz="2" w:space="0"/>
              <w:bottom w:val="nil"/>
              <w:right w:val="single" w:color="000000" w:sz="2" w:space="0"/>
            </w:tcBorders>
            <w:vAlign w:val="center"/>
          </w:tcPr>
          <w:p w14:paraId="0473719F">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1A2A220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▲环境条件要求的运输包装件跌落适应性</w:t>
            </w:r>
          </w:p>
        </w:tc>
        <w:tc>
          <w:tcPr>
            <w:tcW w:w="5382" w:type="dxa"/>
            <w:tcBorders>
              <w:top w:val="single" w:color="000000" w:sz="2" w:space="0"/>
              <w:left w:val="single" w:color="000000" w:sz="2" w:space="0"/>
              <w:bottom w:val="single" w:color="000000" w:sz="2" w:space="0"/>
              <w:right w:val="single" w:color="000000" w:sz="2" w:space="0"/>
            </w:tcBorders>
            <w:vAlign w:val="center"/>
          </w:tcPr>
          <w:p w14:paraId="498D4E2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符合 GB/T 9813.1 中规定</w:t>
            </w:r>
          </w:p>
        </w:tc>
      </w:tr>
      <w:tr w14:paraId="08881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1247665">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160</w:t>
            </w:r>
          </w:p>
        </w:tc>
        <w:tc>
          <w:tcPr>
            <w:tcW w:w="1275" w:type="dxa"/>
            <w:vMerge w:val="continue"/>
            <w:tcBorders>
              <w:top w:val="nil"/>
              <w:left w:val="single" w:color="000000" w:sz="2" w:space="0"/>
              <w:bottom w:val="nil"/>
              <w:right w:val="single" w:color="000000" w:sz="2" w:space="0"/>
            </w:tcBorders>
            <w:vAlign w:val="center"/>
          </w:tcPr>
          <w:p w14:paraId="65A703FD">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2DAFD0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▲MTBF 测试</w:t>
            </w:r>
          </w:p>
        </w:tc>
        <w:tc>
          <w:tcPr>
            <w:tcW w:w="5382" w:type="dxa"/>
            <w:tcBorders>
              <w:top w:val="single" w:color="000000" w:sz="2" w:space="0"/>
              <w:left w:val="single" w:color="000000" w:sz="2" w:space="0"/>
              <w:bottom w:val="single" w:color="000000" w:sz="2" w:space="0"/>
              <w:right w:val="single" w:color="000000" w:sz="2" w:space="0"/>
            </w:tcBorders>
            <w:vAlign w:val="center"/>
          </w:tcPr>
          <w:p w14:paraId="7448E8C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MTBF (m1)≥3 万小时</w:t>
            </w:r>
          </w:p>
        </w:tc>
      </w:tr>
      <w:tr w14:paraId="1F179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D521C50">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161</w:t>
            </w:r>
          </w:p>
        </w:tc>
        <w:tc>
          <w:tcPr>
            <w:tcW w:w="1275" w:type="dxa"/>
            <w:vMerge w:val="restart"/>
            <w:tcBorders>
              <w:top w:val="nil"/>
              <w:left w:val="single" w:color="000000" w:sz="2" w:space="0"/>
              <w:bottom w:val="nil"/>
              <w:right w:val="single" w:color="000000" w:sz="2" w:space="0"/>
            </w:tcBorders>
            <w:vAlign w:val="center"/>
          </w:tcPr>
          <w:p w14:paraId="09C5C381">
            <w:pPr>
              <w:pStyle w:val="347"/>
              <w:spacing w:before="38" w:after="0"/>
              <w:ind w:right="59"/>
              <w:jc w:val="center"/>
              <w:rPr>
                <w:rFonts w:ascii="宋体" w:hAnsi="宋体" w:eastAsia="Times New Roman"/>
                <w:color w:val="auto"/>
                <w:spacing w:val="-4"/>
                <w:sz w:val="22"/>
                <w:szCs w:val="22"/>
              </w:rPr>
            </w:pPr>
          </w:p>
          <w:p w14:paraId="19D3142A">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▲兼容要求</w:t>
            </w:r>
          </w:p>
        </w:tc>
        <w:tc>
          <w:tcPr>
            <w:tcW w:w="1701" w:type="dxa"/>
            <w:tcBorders>
              <w:top w:val="single" w:color="000000" w:sz="2" w:space="0"/>
              <w:left w:val="single" w:color="000000" w:sz="2" w:space="0"/>
              <w:bottom w:val="single" w:color="000000" w:sz="2" w:space="0"/>
              <w:right w:val="single" w:color="000000" w:sz="2" w:space="0"/>
            </w:tcBorders>
            <w:vAlign w:val="center"/>
          </w:tcPr>
          <w:p w14:paraId="6E2070FF">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▲常用软件兼容</w:t>
            </w:r>
          </w:p>
        </w:tc>
        <w:tc>
          <w:tcPr>
            <w:tcW w:w="5382" w:type="dxa"/>
            <w:tcBorders>
              <w:top w:val="single" w:color="000000" w:sz="2" w:space="0"/>
              <w:left w:val="single" w:color="000000" w:sz="2" w:space="0"/>
              <w:bottom w:val="single" w:color="000000" w:sz="2" w:space="0"/>
              <w:right w:val="single" w:color="000000" w:sz="2" w:space="0"/>
            </w:tcBorders>
            <w:vAlign w:val="center"/>
          </w:tcPr>
          <w:p w14:paraId="4B18A2A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应支持流式软件、版式软件、浏览器、邮件客户端、解压软件、多媒体、图形图像处理等常用软件</w:t>
            </w:r>
          </w:p>
        </w:tc>
      </w:tr>
      <w:tr w14:paraId="07483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5E381D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162</w:t>
            </w:r>
          </w:p>
        </w:tc>
        <w:tc>
          <w:tcPr>
            <w:tcW w:w="1275" w:type="dxa"/>
            <w:vMerge w:val="continue"/>
            <w:tcBorders>
              <w:top w:val="nil"/>
              <w:left w:val="single" w:color="000000" w:sz="2" w:space="0"/>
              <w:bottom w:val="nil"/>
              <w:right w:val="single" w:color="000000" w:sz="2" w:space="0"/>
            </w:tcBorders>
            <w:vAlign w:val="center"/>
          </w:tcPr>
          <w:p w14:paraId="18C54D11">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6357A7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▲数据库兼容</w:t>
            </w:r>
          </w:p>
        </w:tc>
        <w:tc>
          <w:tcPr>
            <w:tcW w:w="5382" w:type="dxa"/>
            <w:tcBorders>
              <w:top w:val="single" w:color="000000" w:sz="2" w:space="0"/>
              <w:left w:val="single" w:color="000000" w:sz="2" w:space="0"/>
              <w:bottom w:val="single" w:color="000000" w:sz="2" w:space="0"/>
              <w:right w:val="single" w:color="000000" w:sz="2" w:space="0"/>
            </w:tcBorders>
            <w:vAlign w:val="center"/>
          </w:tcPr>
          <w:p w14:paraId="771E91B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兼容 3 个及以上厂商的数据库产品</w:t>
            </w:r>
          </w:p>
        </w:tc>
      </w:tr>
      <w:tr w14:paraId="0ADE1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4E349F2">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163</w:t>
            </w:r>
          </w:p>
        </w:tc>
        <w:tc>
          <w:tcPr>
            <w:tcW w:w="1275" w:type="dxa"/>
            <w:vMerge w:val="continue"/>
            <w:tcBorders>
              <w:top w:val="nil"/>
              <w:left w:val="single" w:color="000000" w:sz="2" w:space="0"/>
              <w:bottom w:val="nil"/>
              <w:right w:val="single" w:color="000000" w:sz="2" w:space="0"/>
            </w:tcBorders>
            <w:vAlign w:val="center"/>
          </w:tcPr>
          <w:p w14:paraId="7A58844B">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6C49A42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▲中间件兼容</w:t>
            </w:r>
          </w:p>
        </w:tc>
        <w:tc>
          <w:tcPr>
            <w:tcW w:w="5382" w:type="dxa"/>
            <w:tcBorders>
              <w:top w:val="single" w:color="000000" w:sz="2" w:space="0"/>
              <w:left w:val="single" w:color="000000" w:sz="2" w:space="0"/>
              <w:bottom w:val="single" w:color="000000" w:sz="2" w:space="0"/>
              <w:right w:val="single" w:color="000000" w:sz="2" w:space="0"/>
            </w:tcBorders>
            <w:vAlign w:val="center"/>
          </w:tcPr>
          <w:p w14:paraId="32E0A97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兼容 3 个及以上厂商中间件产品</w:t>
            </w:r>
          </w:p>
        </w:tc>
      </w:tr>
      <w:tr w14:paraId="4583A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EF9F43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164</w:t>
            </w:r>
          </w:p>
        </w:tc>
        <w:tc>
          <w:tcPr>
            <w:tcW w:w="1275" w:type="dxa"/>
            <w:vMerge w:val="continue"/>
            <w:tcBorders>
              <w:top w:val="nil"/>
              <w:left w:val="single" w:color="000000" w:sz="2" w:space="0"/>
              <w:bottom w:val="nil"/>
              <w:right w:val="single" w:color="000000" w:sz="2" w:space="0"/>
            </w:tcBorders>
            <w:vAlign w:val="center"/>
          </w:tcPr>
          <w:p w14:paraId="323A6462">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7BBC971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▲平台软件兼容</w:t>
            </w:r>
          </w:p>
        </w:tc>
        <w:tc>
          <w:tcPr>
            <w:tcW w:w="5382" w:type="dxa"/>
            <w:tcBorders>
              <w:top w:val="single" w:color="000000" w:sz="2" w:space="0"/>
              <w:left w:val="single" w:color="000000" w:sz="2" w:space="0"/>
              <w:bottom w:val="single" w:color="000000" w:sz="2" w:space="0"/>
              <w:right w:val="single" w:color="000000" w:sz="2" w:space="0"/>
            </w:tcBorders>
            <w:vAlign w:val="center"/>
          </w:tcPr>
          <w:p w14:paraId="731BE74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兼容 3 个及以上厂商云计算及大数据平台</w:t>
            </w:r>
          </w:p>
        </w:tc>
      </w:tr>
      <w:tr w14:paraId="58F12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A01B457">
            <w:pPr>
              <w:pStyle w:val="347"/>
              <w:spacing w:before="38" w:after="0"/>
              <w:ind w:right="59"/>
              <w:jc w:val="center"/>
              <w:rPr>
                <w:rFonts w:ascii="宋体" w:hAnsi="宋体" w:eastAsia="Times New Roman"/>
                <w:color w:val="auto"/>
                <w:spacing w:val="-4"/>
                <w:sz w:val="22"/>
                <w:szCs w:val="22"/>
              </w:rPr>
            </w:pPr>
          </w:p>
          <w:p w14:paraId="0BB92B5E">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165</w:t>
            </w:r>
          </w:p>
        </w:tc>
        <w:tc>
          <w:tcPr>
            <w:tcW w:w="1275" w:type="dxa"/>
            <w:tcBorders>
              <w:top w:val="single" w:color="000000" w:sz="2" w:space="0"/>
              <w:left w:val="single" w:color="000000" w:sz="2" w:space="0"/>
              <w:bottom w:val="single" w:color="000000" w:sz="2" w:space="0"/>
              <w:right w:val="single" w:color="000000" w:sz="2" w:space="0"/>
            </w:tcBorders>
            <w:vAlign w:val="center"/>
          </w:tcPr>
          <w:p w14:paraId="2256CB48">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▲包装及运输要求</w:t>
            </w:r>
          </w:p>
        </w:tc>
        <w:tc>
          <w:tcPr>
            <w:tcW w:w="1701" w:type="dxa"/>
            <w:tcBorders>
              <w:top w:val="single" w:color="000000" w:sz="2" w:space="0"/>
              <w:left w:val="single" w:color="000000" w:sz="2" w:space="0"/>
              <w:bottom w:val="single" w:color="000000" w:sz="2" w:space="0"/>
              <w:right w:val="single" w:color="000000" w:sz="2" w:space="0"/>
            </w:tcBorders>
            <w:vAlign w:val="center"/>
          </w:tcPr>
          <w:p w14:paraId="50AF4ED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▲标志、包装、运输和贮存</w:t>
            </w:r>
          </w:p>
        </w:tc>
        <w:tc>
          <w:tcPr>
            <w:tcW w:w="5382" w:type="dxa"/>
            <w:tcBorders>
              <w:top w:val="single" w:color="000000" w:sz="2" w:space="0"/>
              <w:left w:val="single" w:color="000000" w:sz="2" w:space="0"/>
              <w:bottom w:val="single" w:color="000000" w:sz="2" w:space="0"/>
              <w:right w:val="single" w:color="000000" w:sz="2" w:space="0"/>
            </w:tcBorders>
            <w:vAlign w:val="center"/>
          </w:tcPr>
          <w:p w14:paraId="4165138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符合 GB/T9813.1 和商品包装政府采购需求标准的相关规定</w:t>
            </w:r>
          </w:p>
        </w:tc>
      </w:tr>
      <w:tr w14:paraId="6CBEC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F655C7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166</w:t>
            </w:r>
          </w:p>
        </w:tc>
        <w:tc>
          <w:tcPr>
            <w:tcW w:w="1275" w:type="dxa"/>
            <w:vMerge w:val="restart"/>
            <w:tcBorders>
              <w:top w:val="nil"/>
              <w:left w:val="single" w:color="000000" w:sz="2" w:space="0"/>
              <w:bottom w:val="single" w:color="000000" w:sz="2" w:space="0"/>
              <w:right w:val="single" w:color="000000" w:sz="2" w:space="0"/>
            </w:tcBorders>
            <w:vAlign w:val="center"/>
          </w:tcPr>
          <w:p w14:paraId="4B536499">
            <w:pPr>
              <w:pStyle w:val="347"/>
              <w:spacing w:before="38" w:after="0"/>
              <w:ind w:right="59"/>
              <w:jc w:val="center"/>
              <w:rPr>
                <w:rFonts w:ascii="宋体" w:hAnsi="宋体" w:eastAsia="Times New Roman"/>
                <w:color w:val="auto"/>
                <w:spacing w:val="-4"/>
                <w:sz w:val="22"/>
                <w:szCs w:val="22"/>
              </w:rPr>
            </w:pPr>
          </w:p>
          <w:p w14:paraId="6BD31621">
            <w:pPr>
              <w:pStyle w:val="347"/>
              <w:spacing w:before="38" w:after="0"/>
              <w:ind w:right="59"/>
              <w:jc w:val="center"/>
              <w:rPr>
                <w:rFonts w:ascii="宋体" w:hAnsi="宋体" w:eastAsia="Times New Roman"/>
                <w:color w:val="auto"/>
                <w:spacing w:val="-4"/>
                <w:sz w:val="22"/>
                <w:szCs w:val="22"/>
              </w:rPr>
            </w:pPr>
          </w:p>
          <w:p w14:paraId="6BAECF0C">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▲服务要求</w:t>
            </w:r>
          </w:p>
        </w:tc>
        <w:tc>
          <w:tcPr>
            <w:tcW w:w="1701" w:type="dxa"/>
            <w:tcBorders>
              <w:top w:val="single" w:color="000000" w:sz="2" w:space="0"/>
              <w:left w:val="single" w:color="000000" w:sz="2" w:space="0"/>
              <w:bottom w:val="single" w:color="000000" w:sz="2" w:space="0"/>
              <w:right w:val="single" w:color="000000" w:sz="2" w:space="0"/>
            </w:tcBorders>
            <w:vAlign w:val="center"/>
          </w:tcPr>
          <w:p w14:paraId="3F53DD3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▲配置检查工具</w:t>
            </w:r>
          </w:p>
        </w:tc>
        <w:tc>
          <w:tcPr>
            <w:tcW w:w="5382" w:type="dxa"/>
            <w:tcBorders>
              <w:top w:val="single" w:color="000000" w:sz="2" w:space="0"/>
              <w:left w:val="single" w:color="000000" w:sz="2" w:space="0"/>
              <w:bottom w:val="single" w:color="000000" w:sz="2" w:space="0"/>
              <w:right w:val="single" w:color="000000" w:sz="2" w:space="0"/>
            </w:tcBorders>
            <w:vAlign w:val="center"/>
          </w:tcPr>
          <w:p w14:paraId="3C7AC2F5">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供应商提供经自检测试工具</w:t>
            </w:r>
          </w:p>
        </w:tc>
      </w:tr>
      <w:tr w14:paraId="4020F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E7F01F0">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167</w:t>
            </w:r>
          </w:p>
        </w:tc>
        <w:tc>
          <w:tcPr>
            <w:tcW w:w="1275" w:type="dxa"/>
            <w:vMerge w:val="continue"/>
            <w:tcBorders>
              <w:top w:val="nil"/>
              <w:left w:val="single" w:color="000000" w:sz="2" w:space="0"/>
              <w:bottom w:val="single" w:color="000000" w:sz="2" w:space="0"/>
              <w:right w:val="single" w:color="000000" w:sz="2" w:space="0"/>
            </w:tcBorders>
            <w:vAlign w:val="center"/>
          </w:tcPr>
          <w:p w14:paraId="31CBF18B">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6B3376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▲服务响应</w:t>
            </w:r>
          </w:p>
        </w:tc>
        <w:tc>
          <w:tcPr>
            <w:tcW w:w="5382" w:type="dxa"/>
            <w:tcBorders>
              <w:top w:val="single" w:color="000000" w:sz="2" w:space="0"/>
              <w:left w:val="single" w:color="000000" w:sz="2" w:space="0"/>
              <w:bottom w:val="single" w:color="000000" w:sz="2" w:space="0"/>
              <w:right w:val="single" w:color="000000" w:sz="2" w:space="0"/>
            </w:tcBorders>
            <w:vAlign w:val="center"/>
          </w:tcPr>
          <w:p w14:paraId="10CF14F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a）提供产品3 年维保及上门服务（满足同城4 小时、异地 12 小时响应要求）；</w:t>
            </w:r>
          </w:p>
          <w:p w14:paraId="10C59CE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b）提供政企专线 7 24 在线服务；</w:t>
            </w:r>
          </w:p>
          <w:p w14:paraId="40F5F2E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c）现场保障技术服务团队员，国内上门服务地级市覆盖率达 100%</w:t>
            </w:r>
          </w:p>
        </w:tc>
      </w:tr>
      <w:tr w14:paraId="1EEB9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6C97E3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168</w:t>
            </w:r>
          </w:p>
        </w:tc>
        <w:tc>
          <w:tcPr>
            <w:tcW w:w="1275" w:type="dxa"/>
            <w:vMerge w:val="continue"/>
            <w:tcBorders>
              <w:top w:val="nil"/>
              <w:left w:val="single" w:color="000000" w:sz="2" w:space="0"/>
              <w:bottom w:val="single" w:color="000000" w:sz="2" w:space="0"/>
              <w:right w:val="single" w:color="000000" w:sz="2" w:space="0"/>
            </w:tcBorders>
            <w:vAlign w:val="center"/>
          </w:tcPr>
          <w:p w14:paraId="29C9D344">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1926F96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▲服务周期</w:t>
            </w:r>
          </w:p>
        </w:tc>
        <w:tc>
          <w:tcPr>
            <w:tcW w:w="5382" w:type="dxa"/>
            <w:tcBorders>
              <w:top w:val="single" w:color="000000" w:sz="2" w:space="0"/>
              <w:left w:val="single" w:color="000000" w:sz="2" w:space="0"/>
              <w:bottom w:val="single" w:color="000000" w:sz="2" w:space="0"/>
              <w:right w:val="single" w:color="000000" w:sz="2" w:space="0"/>
            </w:tcBorders>
            <w:vAlign w:val="center"/>
          </w:tcPr>
          <w:p w14:paraId="7C394DB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支持产品延保≥3 年 提供每年延保服务报价提供备件服务能力≥6 年（自购买之日起）</w:t>
            </w:r>
          </w:p>
        </w:tc>
      </w:tr>
      <w:tr w14:paraId="19030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B573FC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169</w:t>
            </w:r>
          </w:p>
        </w:tc>
        <w:tc>
          <w:tcPr>
            <w:tcW w:w="1275" w:type="dxa"/>
            <w:vMerge w:val="continue"/>
            <w:tcBorders>
              <w:top w:val="nil"/>
              <w:left w:val="single" w:color="000000" w:sz="2" w:space="0"/>
              <w:bottom w:val="single" w:color="000000" w:sz="2" w:space="0"/>
              <w:right w:val="single" w:color="000000" w:sz="2" w:space="0"/>
            </w:tcBorders>
            <w:vAlign w:val="center"/>
          </w:tcPr>
          <w:p w14:paraId="23A177EB">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60AE37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▲预装操作系统</w:t>
            </w:r>
          </w:p>
        </w:tc>
        <w:tc>
          <w:tcPr>
            <w:tcW w:w="5382" w:type="dxa"/>
            <w:tcBorders>
              <w:top w:val="single" w:color="000000" w:sz="2" w:space="0"/>
              <w:left w:val="single" w:color="000000" w:sz="2" w:space="0"/>
              <w:bottom w:val="single" w:color="000000" w:sz="2" w:space="0"/>
              <w:right w:val="single" w:color="000000" w:sz="2" w:space="0"/>
            </w:tcBorders>
            <w:vAlign w:val="center"/>
          </w:tcPr>
          <w:p w14:paraId="713102D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预装符合桌面操作系统政府采购需求标准的正版操作系统</w:t>
            </w:r>
          </w:p>
        </w:tc>
      </w:tr>
      <w:tr w14:paraId="64478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4E1F726">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170</w:t>
            </w:r>
          </w:p>
        </w:tc>
        <w:tc>
          <w:tcPr>
            <w:tcW w:w="1275" w:type="dxa"/>
            <w:vMerge w:val="continue"/>
            <w:tcBorders>
              <w:top w:val="nil"/>
              <w:left w:val="single" w:color="000000" w:sz="2" w:space="0"/>
              <w:bottom w:val="single" w:color="000000" w:sz="2" w:space="0"/>
              <w:right w:val="single" w:color="000000" w:sz="2" w:space="0"/>
            </w:tcBorders>
            <w:vAlign w:val="center"/>
          </w:tcPr>
          <w:p w14:paraId="59582291">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497857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▲培训服务</w:t>
            </w:r>
          </w:p>
        </w:tc>
        <w:tc>
          <w:tcPr>
            <w:tcW w:w="5382" w:type="dxa"/>
            <w:tcBorders>
              <w:top w:val="single" w:color="000000" w:sz="2" w:space="0"/>
              <w:left w:val="single" w:color="000000" w:sz="2" w:space="0"/>
              <w:bottom w:val="single" w:color="000000" w:sz="2" w:space="0"/>
              <w:right w:val="single" w:color="000000" w:sz="2" w:space="0"/>
            </w:tcBorders>
            <w:vAlign w:val="center"/>
          </w:tcPr>
          <w:p w14:paraId="0B7B031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供应商提供培训材料、产品手册、培训视频等培训相关内容</w:t>
            </w:r>
          </w:p>
        </w:tc>
      </w:tr>
      <w:tr w14:paraId="671F7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EEB59B8">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171</w:t>
            </w:r>
          </w:p>
        </w:tc>
        <w:tc>
          <w:tcPr>
            <w:tcW w:w="1275" w:type="dxa"/>
            <w:vMerge w:val="continue"/>
            <w:tcBorders>
              <w:top w:val="nil"/>
              <w:left w:val="single" w:color="000000" w:sz="2" w:space="0"/>
              <w:bottom w:val="single" w:color="000000" w:sz="2" w:space="0"/>
              <w:right w:val="single" w:color="000000" w:sz="2" w:space="0"/>
            </w:tcBorders>
            <w:vAlign w:val="center"/>
          </w:tcPr>
          <w:p w14:paraId="43BF6A52">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131F9E65">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▲典型问题解决手册</w:t>
            </w:r>
          </w:p>
        </w:tc>
        <w:tc>
          <w:tcPr>
            <w:tcW w:w="5382" w:type="dxa"/>
            <w:tcBorders>
              <w:top w:val="single" w:color="000000" w:sz="2" w:space="0"/>
              <w:left w:val="single" w:color="000000" w:sz="2" w:space="0"/>
              <w:bottom w:val="single" w:color="000000" w:sz="2" w:space="0"/>
              <w:right w:val="single" w:color="000000" w:sz="2" w:space="0"/>
            </w:tcBorders>
            <w:vAlign w:val="center"/>
          </w:tcPr>
          <w:p w14:paraId="38745A3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供应商提供典型问题解决说明文档或视频</w:t>
            </w:r>
          </w:p>
        </w:tc>
      </w:tr>
      <w:tr w14:paraId="6952D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0F073785">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172</w:t>
            </w:r>
          </w:p>
        </w:tc>
        <w:tc>
          <w:tcPr>
            <w:tcW w:w="1275" w:type="dxa"/>
            <w:vMerge w:val="continue"/>
            <w:tcBorders>
              <w:top w:val="nil"/>
              <w:left w:val="single" w:color="000000" w:sz="2" w:space="0"/>
              <w:bottom w:val="single" w:color="000000" w:sz="2" w:space="0"/>
              <w:right w:val="single" w:color="000000" w:sz="2" w:space="0"/>
            </w:tcBorders>
            <w:vAlign w:val="center"/>
          </w:tcPr>
          <w:p w14:paraId="66014750">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07CB301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▲厂家升级软件与</w:t>
            </w:r>
          </w:p>
          <w:p w14:paraId="225ED3D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扩容服务</w:t>
            </w:r>
          </w:p>
        </w:tc>
        <w:tc>
          <w:tcPr>
            <w:tcW w:w="5382" w:type="dxa"/>
            <w:tcBorders>
              <w:top w:val="single" w:color="000000" w:sz="2" w:space="0"/>
              <w:left w:val="single" w:color="000000" w:sz="2" w:space="0"/>
              <w:bottom w:val="single" w:color="000000" w:sz="2" w:space="0"/>
              <w:right w:val="single" w:color="000000" w:sz="2" w:space="0"/>
            </w:tcBorders>
            <w:vAlign w:val="center"/>
          </w:tcPr>
          <w:p w14:paraId="21FB8E6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供应商提供上门升级部件/软件的增值服务</w:t>
            </w:r>
          </w:p>
        </w:tc>
      </w:tr>
      <w:tr w14:paraId="77E41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3BE9034D">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173</w:t>
            </w:r>
          </w:p>
        </w:tc>
        <w:tc>
          <w:tcPr>
            <w:tcW w:w="1275" w:type="dxa"/>
            <w:vMerge w:val="continue"/>
            <w:tcBorders>
              <w:top w:val="nil"/>
              <w:left w:val="single" w:color="000000" w:sz="2" w:space="0"/>
              <w:bottom w:val="single" w:color="000000" w:sz="2" w:space="0"/>
              <w:right w:val="single" w:color="000000" w:sz="2" w:space="0"/>
            </w:tcBorders>
            <w:vAlign w:val="center"/>
          </w:tcPr>
          <w:p w14:paraId="046F9847">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257B5E8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▲整机质量服务要求</w:t>
            </w:r>
          </w:p>
        </w:tc>
        <w:tc>
          <w:tcPr>
            <w:tcW w:w="5382" w:type="dxa"/>
            <w:tcBorders>
              <w:top w:val="single" w:color="000000" w:sz="2" w:space="0"/>
              <w:left w:val="single" w:color="000000" w:sz="2" w:space="0"/>
              <w:bottom w:val="single" w:color="000000" w:sz="2" w:space="0"/>
              <w:right w:val="single" w:color="000000" w:sz="2" w:space="0"/>
            </w:tcBorders>
            <w:vAlign w:val="center"/>
          </w:tcPr>
          <w:p w14:paraId="2B77AA05">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免费服务周期（含换件和维修）应不小于 3 年</w:t>
            </w:r>
          </w:p>
        </w:tc>
      </w:tr>
      <w:tr w14:paraId="1B8EB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7183D2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174</w:t>
            </w:r>
          </w:p>
        </w:tc>
        <w:tc>
          <w:tcPr>
            <w:tcW w:w="1275" w:type="dxa"/>
            <w:vMerge w:val="continue"/>
            <w:tcBorders>
              <w:top w:val="nil"/>
              <w:left w:val="single" w:color="000000" w:sz="2" w:space="0"/>
              <w:bottom w:val="single" w:color="000000" w:sz="2" w:space="0"/>
              <w:right w:val="single" w:color="000000" w:sz="2" w:space="0"/>
            </w:tcBorders>
            <w:vAlign w:val="center"/>
          </w:tcPr>
          <w:p w14:paraId="6B057763">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5C2DE5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▲合格证书要求</w:t>
            </w:r>
          </w:p>
        </w:tc>
        <w:tc>
          <w:tcPr>
            <w:tcW w:w="5382" w:type="dxa"/>
            <w:tcBorders>
              <w:top w:val="single" w:color="000000" w:sz="2" w:space="0"/>
              <w:left w:val="single" w:color="000000" w:sz="2" w:space="0"/>
              <w:bottom w:val="single" w:color="000000" w:sz="2" w:space="0"/>
              <w:right w:val="single" w:color="000000" w:sz="2" w:space="0"/>
            </w:tcBorders>
            <w:vAlign w:val="center"/>
          </w:tcPr>
          <w:p w14:paraId="1A38AFDD">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供应商提供产品合格证</w:t>
            </w:r>
          </w:p>
        </w:tc>
      </w:tr>
      <w:tr w14:paraId="36F4B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7DA265AC">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175</w:t>
            </w:r>
          </w:p>
        </w:tc>
        <w:tc>
          <w:tcPr>
            <w:tcW w:w="1275" w:type="dxa"/>
            <w:vMerge w:val="continue"/>
            <w:tcBorders>
              <w:top w:val="nil"/>
              <w:left w:val="single" w:color="000000" w:sz="2" w:space="0"/>
              <w:bottom w:val="single" w:color="000000" w:sz="2" w:space="0"/>
              <w:right w:val="single" w:color="000000" w:sz="2" w:space="0"/>
            </w:tcBorders>
            <w:vAlign w:val="center"/>
          </w:tcPr>
          <w:p w14:paraId="2AE52109">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C958E1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▲开箱组装/使用指导要求</w:t>
            </w:r>
          </w:p>
        </w:tc>
        <w:tc>
          <w:tcPr>
            <w:tcW w:w="5382" w:type="dxa"/>
            <w:tcBorders>
              <w:top w:val="single" w:color="000000" w:sz="2" w:space="0"/>
              <w:left w:val="single" w:color="000000" w:sz="2" w:space="0"/>
              <w:bottom w:val="single" w:color="000000" w:sz="2" w:space="0"/>
              <w:right w:val="single" w:color="000000" w:sz="2" w:space="0"/>
            </w:tcBorders>
            <w:vAlign w:val="center"/>
          </w:tcPr>
          <w:p w14:paraId="33D3B0E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供应商提供开箱组装/使用指导</w:t>
            </w:r>
          </w:p>
        </w:tc>
      </w:tr>
      <w:tr w14:paraId="05550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5B4B789">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176</w:t>
            </w:r>
          </w:p>
        </w:tc>
        <w:tc>
          <w:tcPr>
            <w:tcW w:w="1275" w:type="dxa"/>
            <w:vMerge w:val="continue"/>
            <w:tcBorders>
              <w:top w:val="nil"/>
              <w:left w:val="single" w:color="000000" w:sz="2" w:space="0"/>
              <w:bottom w:val="single" w:color="000000" w:sz="2" w:space="0"/>
              <w:right w:val="single" w:color="000000" w:sz="2" w:space="0"/>
            </w:tcBorders>
            <w:vAlign w:val="center"/>
          </w:tcPr>
          <w:p w14:paraId="6C396648">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3913B75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▲驱动下载服务要求</w:t>
            </w:r>
          </w:p>
        </w:tc>
        <w:tc>
          <w:tcPr>
            <w:tcW w:w="5382" w:type="dxa"/>
            <w:tcBorders>
              <w:top w:val="single" w:color="000000" w:sz="2" w:space="0"/>
              <w:left w:val="single" w:color="000000" w:sz="2" w:space="0"/>
              <w:bottom w:val="single" w:color="000000" w:sz="2" w:space="0"/>
              <w:right w:val="single" w:color="000000" w:sz="2" w:space="0"/>
            </w:tcBorders>
            <w:vAlign w:val="center"/>
          </w:tcPr>
          <w:p w14:paraId="65DA582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供应商提供驱动光盘或下载方式</w:t>
            </w:r>
          </w:p>
        </w:tc>
      </w:tr>
      <w:tr w14:paraId="64655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2585C832">
            <w:pPr>
              <w:pStyle w:val="347"/>
              <w:spacing w:before="38" w:after="0"/>
              <w:ind w:right="59"/>
              <w:jc w:val="center"/>
              <w:rPr>
                <w:rFonts w:ascii="宋体" w:hAnsi="宋体" w:eastAsia="Times New Roman"/>
                <w:color w:val="auto"/>
                <w:spacing w:val="-4"/>
                <w:sz w:val="22"/>
                <w:szCs w:val="22"/>
              </w:rPr>
            </w:pPr>
          </w:p>
          <w:p w14:paraId="7007E6D2">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177</w:t>
            </w:r>
          </w:p>
        </w:tc>
        <w:tc>
          <w:tcPr>
            <w:tcW w:w="1275" w:type="dxa"/>
            <w:vMerge w:val="continue"/>
            <w:tcBorders>
              <w:top w:val="nil"/>
              <w:left w:val="single" w:color="000000" w:sz="2" w:space="0"/>
              <w:bottom w:val="single" w:color="000000" w:sz="2" w:space="0"/>
              <w:right w:val="single" w:color="000000" w:sz="2" w:space="0"/>
            </w:tcBorders>
            <w:vAlign w:val="center"/>
          </w:tcPr>
          <w:p w14:paraId="49FFCD10">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44AB72A5">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▲兼容适配软件下载服务要求</w:t>
            </w:r>
          </w:p>
        </w:tc>
        <w:tc>
          <w:tcPr>
            <w:tcW w:w="5382" w:type="dxa"/>
            <w:tcBorders>
              <w:top w:val="single" w:color="000000" w:sz="2" w:space="0"/>
              <w:left w:val="single" w:color="000000" w:sz="2" w:space="0"/>
              <w:bottom w:val="single" w:color="000000" w:sz="2" w:space="0"/>
              <w:right w:val="single" w:color="000000" w:sz="2" w:space="0"/>
            </w:tcBorders>
            <w:vAlign w:val="center"/>
          </w:tcPr>
          <w:p w14:paraId="2984D53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供应商提供兼容适配软件下载渠道（光盘、网站）</w:t>
            </w:r>
          </w:p>
        </w:tc>
      </w:tr>
      <w:tr w14:paraId="18B7E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532551E">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178</w:t>
            </w:r>
          </w:p>
        </w:tc>
        <w:tc>
          <w:tcPr>
            <w:tcW w:w="1275" w:type="dxa"/>
            <w:vMerge w:val="continue"/>
            <w:tcBorders>
              <w:top w:val="nil"/>
              <w:left w:val="single" w:color="000000" w:sz="2" w:space="0"/>
              <w:bottom w:val="single" w:color="000000" w:sz="2" w:space="0"/>
              <w:right w:val="single" w:color="000000" w:sz="2" w:space="0"/>
            </w:tcBorders>
            <w:vAlign w:val="center"/>
          </w:tcPr>
          <w:p w14:paraId="13F9713F">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1B13E78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跨架构平台应用兼容</w:t>
            </w:r>
          </w:p>
        </w:tc>
        <w:tc>
          <w:tcPr>
            <w:tcW w:w="5382" w:type="dxa"/>
            <w:tcBorders>
              <w:top w:val="single" w:color="000000" w:sz="2" w:space="0"/>
              <w:left w:val="single" w:color="000000" w:sz="2" w:space="0"/>
              <w:bottom w:val="single" w:color="000000" w:sz="2" w:space="0"/>
              <w:right w:val="single" w:color="000000" w:sz="2" w:space="0"/>
            </w:tcBorders>
            <w:vAlign w:val="center"/>
          </w:tcPr>
          <w:p w14:paraId="58D957C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供应商提供跨架构平台应用兼容工具，支持一种或者一种以上不同架构平台的应用</w:t>
            </w:r>
          </w:p>
        </w:tc>
      </w:tr>
      <w:tr w14:paraId="2C6DF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03EF871">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179</w:t>
            </w:r>
          </w:p>
        </w:tc>
        <w:tc>
          <w:tcPr>
            <w:tcW w:w="1275" w:type="dxa"/>
            <w:tcBorders>
              <w:top w:val="single" w:color="000000" w:sz="2" w:space="0"/>
              <w:left w:val="single" w:color="000000" w:sz="2" w:space="0"/>
              <w:bottom w:val="single" w:color="000000" w:sz="2" w:space="0"/>
              <w:right w:val="single" w:color="000000" w:sz="2" w:space="0"/>
            </w:tcBorders>
            <w:vAlign w:val="center"/>
          </w:tcPr>
          <w:p w14:paraId="2602206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▲供应链合规性</w:t>
            </w:r>
          </w:p>
        </w:tc>
        <w:tc>
          <w:tcPr>
            <w:tcW w:w="1701" w:type="dxa"/>
            <w:tcBorders>
              <w:top w:val="single" w:color="000000" w:sz="2" w:space="0"/>
              <w:left w:val="single" w:color="000000" w:sz="2" w:space="0"/>
              <w:bottom w:val="single" w:color="000000" w:sz="2" w:space="0"/>
              <w:right w:val="single" w:color="000000" w:sz="2" w:space="0"/>
            </w:tcBorders>
            <w:vAlign w:val="center"/>
          </w:tcPr>
          <w:p w14:paraId="2EFD413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▲产品部件保障</w:t>
            </w:r>
          </w:p>
        </w:tc>
        <w:tc>
          <w:tcPr>
            <w:tcW w:w="5382" w:type="dxa"/>
            <w:tcBorders>
              <w:top w:val="single" w:color="000000" w:sz="2" w:space="0"/>
              <w:left w:val="single" w:color="000000" w:sz="2" w:space="0"/>
              <w:bottom w:val="single" w:color="000000" w:sz="2" w:space="0"/>
              <w:right w:val="single" w:color="000000" w:sz="2" w:space="0"/>
            </w:tcBorders>
            <w:vAlign w:val="center"/>
          </w:tcPr>
          <w:p w14:paraId="48AA1B5C">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保障产品主要部件提供 6 年的备件服务能力(自购买之日起)，或提供可兼容原设备的升级换代产品</w:t>
            </w:r>
          </w:p>
        </w:tc>
      </w:tr>
      <w:tr w14:paraId="29F27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F7170CE">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180</w:t>
            </w:r>
          </w:p>
        </w:tc>
        <w:tc>
          <w:tcPr>
            <w:tcW w:w="1275" w:type="dxa"/>
            <w:vMerge w:val="restart"/>
            <w:tcBorders>
              <w:top w:val="nil"/>
              <w:left w:val="single" w:color="000000" w:sz="2" w:space="0"/>
              <w:bottom w:val="nil"/>
              <w:right w:val="single" w:color="000000" w:sz="2" w:space="0"/>
            </w:tcBorders>
            <w:vAlign w:val="center"/>
          </w:tcPr>
          <w:p w14:paraId="4FB125F7">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▲供应链质量</w:t>
            </w:r>
          </w:p>
        </w:tc>
        <w:tc>
          <w:tcPr>
            <w:tcW w:w="1701" w:type="dxa"/>
            <w:tcBorders>
              <w:top w:val="single" w:color="000000" w:sz="2" w:space="0"/>
              <w:left w:val="single" w:color="000000" w:sz="2" w:space="0"/>
              <w:bottom w:val="single" w:color="000000" w:sz="2" w:space="0"/>
              <w:right w:val="single" w:color="000000" w:sz="2" w:space="0"/>
            </w:tcBorders>
            <w:vAlign w:val="center"/>
          </w:tcPr>
          <w:p w14:paraId="58C9788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▲抗干扰性</w:t>
            </w:r>
          </w:p>
        </w:tc>
        <w:tc>
          <w:tcPr>
            <w:tcW w:w="5382" w:type="dxa"/>
            <w:tcBorders>
              <w:top w:val="single" w:color="000000" w:sz="2" w:space="0"/>
              <w:left w:val="single" w:color="000000" w:sz="2" w:space="0"/>
              <w:bottom w:val="single" w:color="000000" w:sz="2" w:space="0"/>
              <w:right w:val="single" w:color="000000" w:sz="2" w:space="0"/>
            </w:tcBorders>
            <w:vAlign w:val="center"/>
          </w:tcPr>
          <w:p w14:paraId="4523C73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当产品部件出现供应风险时，供应商应通知采购人并提供风险应对方案确保产品的服务保障</w:t>
            </w:r>
          </w:p>
        </w:tc>
      </w:tr>
      <w:tr w14:paraId="79D06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5E95AA7D">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181</w:t>
            </w:r>
          </w:p>
        </w:tc>
        <w:tc>
          <w:tcPr>
            <w:tcW w:w="1275" w:type="dxa"/>
            <w:vMerge w:val="continue"/>
            <w:tcBorders>
              <w:top w:val="nil"/>
              <w:left w:val="single" w:color="000000" w:sz="2" w:space="0"/>
              <w:bottom w:val="nil"/>
              <w:right w:val="single" w:color="000000" w:sz="2" w:space="0"/>
            </w:tcBorders>
            <w:vAlign w:val="center"/>
          </w:tcPr>
          <w:p w14:paraId="1EA2BC02">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3A5AE60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▲供应能力证明</w:t>
            </w:r>
          </w:p>
        </w:tc>
        <w:tc>
          <w:tcPr>
            <w:tcW w:w="5382" w:type="dxa"/>
            <w:tcBorders>
              <w:top w:val="single" w:color="000000" w:sz="2" w:space="0"/>
              <w:left w:val="single" w:color="000000" w:sz="2" w:space="0"/>
              <w:bottom w:val="single" w:color="000000" w:sz="2" w:space="0"/>
              <w:right w:val="single" w:color="000000" w:sz="2" w:space="0"/>
            </w:tcBorders>
            <w:vAlign w:val="center"/>
          </w:tcPr>
          <w:p w14:paraId="0DA05C5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供应商提供供应链稳定承诺书，确保产品的部件在产品服务周期内稳定供货</w:t>
            </w:r>
          </w:p>
        </w:tc>
      </w:tr>
      <w:tr w14:paraId="0B49D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0D591847">
            <w:pPr>
              <w:pStyle w:val="347"/>
              <w:spacing w:before="38" w:after="0"/>
              <w:ind w:right="59"/>
              <w:jc w:val="center"/>
              <w:rPr>
                <w:rFonts w:ascii="宋体" w:hAnsi="宋体" w:eastAsia="Times New Roman"/>
                <w:color w:val="auto"/>
                <w:spacing w:val="-4"/>
                <w:sz w:val="22"/>
                <w:szCs w:val="22"/>
              </w:rPr>
            </w:pPr>
          </w:p>
          <w:p w14:paraId="1AEEADC7">
            <w:pPr>
              <w:pStyle w:val="347"/>
              <w:spacing w:before="38" w:after="0"/>
              <w:ind w:right="59"/>
              <w:jc w:val="center"/>
              <w:rPr>
                <w:rFonts w:ascii="宋体" w:hAnsi="宋体" w:eastAsia="Times New Roman"/>
                <w:color w:val="auto"/>
                <w:spacing w:val="-4"/>
                <w:sz w:val="22"/>
                <w:szCs w:val="22"/>
              </w:rPr>
            </w:pPr>
          </w:p>
          <w:p w14:paraId="60F41E07">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182</w:t>
            </w:r>
          </w:p>
        </w:tc>
        <w:tc>
          <w:tcPr>
            <w:tcW w:w="1275" w:type="dxa"/>
            <w:tcBorders>
              <w:top w:val="single" w:color="000000" w:sz="2" w:space="0"/>
              <w:left w:val="single" w:color="000000" w:sz="2" w:space="0"/>
              <w:bottom w:val="single" w:color="000000" w:sz="2" w:space="0"/>
              <w:right w:val="single" w:color="000000" w:sz="2" w:space="0"/>
            </w:tcBorders>
            <w:vAlign w:val="center"/>
          </w:tcPr>
          <w:p w14:paraId="0A1F584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▲关键部件安全要求</w:t>
            </w:r>
          </w:p>
        </w:tc>
        <w:tc>
          <w:tcPr>
            <w:tcW w:w="1701" w:type="dxa"/>
            <w:tcBorders>
              <w:top w:val="single" w:color="000000" w:sz="2" w:space="0"/>
              <w:left w:val="single" w:color="000000" w:sz="2" w:space="0"/>
              <w:bottom w:val="single" w:color="000000" w:sz="2" w:space="0"/>
              <w:right w:val="single" w:color="000000" w:sz="2" w:space="0"/>
            </w:tcBorders>
            <w:vAlign w:val="center"/>
          </w:tcPr>
          <w:p w14:paraId="2B05450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▲关键部件安全要求3</w:t>
            </w:r>
          </w:p>
        </w:tc>
        <w:tc>
          <w:tcPr>
            <w:tcW w:w="5382" w:type="dxa"/>
            <w:tcBorders>
              <w:top w:val="single" w:color="000000" w:sz="2" w:space="0"/>
              <w:left w:val="single" w:color="000000" w:sz="2" w:space="0"/>
              <w:bottom w:val="single" w:color="000000" w:sz="2" w:space="0"/>
              <w:right w:val="single" w:color="000000" w:sz="2" w:space="0"/>
            </w:tcBorders>
            <w:vAlign w:val="center"/>
          </w:tcPr>
          <w:p w14:paraId="7A9C36F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CPU和操作系统等关键部件应当符合安全可靠测评要求</w:t>
            </w:r>
          </w:p>
        </w:tc>
      </w:tr>
      <w:tr w14:paraId="40243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BDA69C4">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183</w:t>
            </w:r>
          </w:p>
        </w:tc>
        <w:tc>
          <w:tcPr>
            <w:tcW w:w="1275" w:type="dxa"/>
            <w:vMerge w:val="restart"/>
            <w:tcBorders>
              <w:top w:val="nil"/>
              <w:left w:val="single" w:color="000000" w:sz="2" w:space="0"/>
              <w:bottom w:val="single" w:color="000000" w:sz="2" w:space="0"/>
              <w:right w:val="single" w:color="000000" w:sz="2" w:space="0"/>
            </w:tcBorders>
            <w:vAlign w:val="center"/>
          </w:tcPr>
          <w:p w14:paraId="63BE8BA4">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▲整机安全性要求</w:t>
            </w:r>
          </w:p>
        </w:tc>
        <w:tc>
          <w:tcPr>
            <w:tcW w:w="1701" w:type="dxa"/>
            <w:tcBorders>
              <w:top w:val="single" w:color="000000" w:sz="2" w:space="0"/>
              <w:left w:val="single" w:color="000000" w:sz="2" w:space="0"/>
              <w:bottom w:val="single" w:color="000000" w:sz="2" w:space="0"/>
              <w:right w:val="single" w:color="000000" w:sz="2" w:space="0"/>
            </w:tcBorders>
            <w:vAlign w:val="center"/>
          </w:tcPr>
          <w:p w14:paraId="40C7D147">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▲密码算法实现</w:t>
            </w:r>
          </w:p>
        </w:tc>
        <w:tc>
          <w:tcPr>
            <w:tcW w:w="5382" w:type="dxa"/>
            <w:tcBorders>
              <w:top w:val="single" w:color="000000" w:sz="2" w:space="0"/>
              <w:left w:val="single" w:color="000000" w:sz="2" w:space="0"/>
              <w:bottom w:val="single" w:color="000000" w:sz="2" w:space="0"/>
              <w:right w:val="single" w:color="000000" w:sz="2" w:space="0"/>
            </w:tcBorders>
            <w:vAlign w:val="center"/>
          </w:tcPr>
          <w:p w14:paraId="25373D01">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CPU芯片应符合GM/T 0008 的相关规定，或芯片密码模块应符合GB/T 37092 或GM/T 0028 的相关规定</w:t>
            </w:r>
          </w:p>
        </w:tc>
      </w:tr>
      <w:tr w14:paraId="3AF46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45A27605">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184</w:t>
            </w:r>
          </w:p>
        </w:tc>
        <w:tc>
          <w:tcPr>
            <w:tcW w:w="1275" w:type="dxa"/>
            <w:vMerge w:val="continue"/>
            <w:tcBorders>
              <w:top w:val="nil"/>
              <w:left w:val="single" w:color="000000" w:sz="2" w:space="0"/>
              <w:bottom w:val="single" w:color="000000" w:sz="2" w:space="0"/>
              <w:right w:val="single" w:color="000000" w:sz="2" w:space="0"/>
            </w:tcBorders>
            <w:vAlign w:val="center"/>
          </w:tcPr>
          <w:p w14:paraId="334D36C9">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350E81D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USB 端口管控</w:t>
            </w:r>
          </w:p>
        </w:tc>
        <w:tc>
          <w:tcPr>
            <w:tcW w:w="5382" w:type="dxa"/>
            <w:tcBorders>
              <w:top w:val="single" w:color="000000" w:sz="2" w:space="0"/>
              <w:left w:val="single" w:color="000000" w:sz="2" w:space="0"/>
              <w:bottom w:val="single" w:color="000000" w:sz="2" w:space="0"/>
              <w:right w:val="single" w:color="000000" w:sz="2" w:space="0"/>
            </w:tcBorders>
            <w:vAlign w:val="center"/>
          </w:tcPr>
          <w:p w14:paraId="7CD79A78">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 USB 端口管控</w:t>
            </w:r>
          </w:p>
        </w:tc>
      </w:tr>
      <w:tr w14:paraId="1F4AB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75666B4F">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185</w:t>
            </w:r>
          </w:p>
        </w:tc>
        <w:tc>
          <w:tcPr>
            <w:tcW w:w="1275" w:type="dxa"/>
            <w:vMerge w:val="continue"/>
            <w:tcBorders>
              <w:top w:val="nil"/>
              <w:left w:val="single" w:color="000000" w:sz="2" w:space="0"/>
              <w:bottom w:val="single" w:color="000000" w:sz="2" w:space="0"/>
              <w:right w:val="single" w:color="000000" w:sz="2" w:space="0"/>
            </w:tcBorders>
            <w:vAlign w:val="center"/>
          </w:tcPr>
          <w:p w14:paraId="27D4F0A3">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76FC000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安全物理锁</w:t>
            </w:r>
          </w:p>
        </w:tc>
        <w:tc>
          <w:tcPr>
            <w:tcW w:w="5382" w:type="dxa"/>
            <w:tcBorders>
              <w:top w:val="single" w:color="000000" w:sz="2" w:space="0"/>
              <w:left w:val="single" w:color="000000" w:sz="2" w:space="0"/>
              <w:bottom w:val="single" w:color="000000" w:sz="2" w:space="0"/>
              <w:right w:val="single" w:color="000000" w:sz="2" w:space="0"/>
            </w:tcBorders>
            <w:vAlign w:val="center"/>
          </w:tcPr>
          <w:p w14:paraId="3C892FAE">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支持安全物理锁</w:t>
            </w:r>
          </w:p>
        </w:tc>
      </w:tr>
      <w:tr w14:paraId="048A8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83F46AB">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186</w:t>
            </w:r>
          </w:p>
        </w:tc>
        <w:tc>
          <w:tcPr>
            <w:tcW w:w="1275" w:type="dxa"/>
            <w:vMerge w:val="continue"/>
            <w:tcBorders>
              <w:top w:val="nil"/>
              <w:left w:val="single" w:color="000000" w:sz="2" w:space="0"/>
              <w:bottom w:val="single" w:color="000000" w:sz="2" w:space="0"/>
              <w:right w:val="single" w:color="000000" w:sz="2" w:space="0"/>
            </w:tcBorders>
            <w:vAlign w:val="center"/>
          </w:tcPr>
          <w:p w14:paraId="752832F7">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6CFAC094">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▲信息安全基本要求</w:t>
            </w:r>
          </w:p>
        </w:tc>
        <w:tc>
          <w:tcPr>
            <w:tcW w:w="5382" w:type="dxa"/>
            <w:tcBorders>
              <w:top w:val="single" w:color="000000" w:sz="2" w:space="0"/>
              <w:left w:val="single" w:color="000000" w:sz="2" w:space="0"/>
              <w:bottom w:val="single" w:color="000000" w:sz="2" w:space="0"/>
              <w:right w:val="single" w:color="000000" w:sz="2" w:space="0"/>
            </w:tcBorders>
            <w:vAlign w:val="center"/>
          </w:tcPr>
          <w:p w14:paraId="1DB4488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a) 应符合 GB/T 39276 的 5.2 的规定；</w:t>
            </w:r>
          </w:p>
          <w:p w14:paraId="1434DC7A">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b) 生产厂商应建立漏洞跟踪表，保证产品版本涉及到的漏洞(如驱动程序</w:t>
            </w:r>
          </w:p>
          <w:p w14:paraId="0CD67003">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等)可查看；</w:t>
            </w:r>
          </w:p>
          <w:p w14:paraId="49960E89">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c) 产品不得包含已知的恶意代码或漏洞，不存在未声明的指令、功能、接口</w:t>
            </w:r>
          </w:p>
        </w:tc>
      </w:tr>
      <w:tr w14:paraId="0C3EF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1A68BAF4">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187</w:t>
            </w:r>
          </w:p>
        </w:tc>
        <w:tc>
          <w:tcPr>
            <w:tcW w:w="1275" w:type="dxa"/>
            <w:vMerge w:val="continue"/>
            <w:tcBorders>
              <w:top w:val="nil"/>
              <w:left w:val="single" w:color="000000" w:sz="2" w:space="0"/>
              <w:bottom w:val="single" w:color="000000" w:sz="2" w:space="0"/>
              <w:right w:val="single" w:color="000000" w:sz="2" w:space="0"/>
            </w:tcBorders>
            <w:vAlign w:val="center"/>
          </w:tcPr>
          <w:p w14:paraId="15AF51BA">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6A00AC96">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▲固件安全启动</w:t>
            </w:r>
          </w:p>
        </w:tc>
        <w:tc>
          <w:tcPr>
            <w:tcW w:w="5382" w:type="dxa"/>
            <w:tcBorders>
              <w:top w:val="single" w:color="000000" w:sz="2" w:space="0"/>
              <w:left w:val="single" w:color="000000" w:sz="2" w:space="0"/>
              <w:bottom w:val="single" w:color="000000" w:sz="2" w:space="0"/>
              <w:right w:val="single" w:color="000000" w:sz="2" w:space="0"/>
            </w:tcBorders>
            <w:vAlign w:val="center"/>
          </w:tcPr>
          <w:p w14:paraId="58B9FC52">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支持固件安全启动功能，固件启动过程中只有通过启动校验才能正常启动</w:t>
            </w:r>
          </w:p>
        </w:tc>
      </w:tr>
      <w:tr w14:paraId="0545D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 w:type="dxa"/>
            <w:tcBorders>
              <w:top w:val="single" w:color="000000" w:sz="2" w:space="0"/>
              <w:left w:val="single" w:color="000000" w:sz="2" w:space="0"/>
              <w:bottom w:val="single" w:color="000000" w:sz="2" w:space="0"/>
              <w:right w:val="single" w:color="000000" w:sz="2" w:space="0"/>
            </w:tcBorders>
            <w:vAlign w:val="center"/>
          </w:tcPr>
          <w:p w14:paraId="6FA78242">
            <w:pPr>
              <w:pStyle w:val="347"/>
              <w:spacing w:before="38" w:after="0"/>
              <w:ind w:right="59"/>
              <w:jc w:val="center"/>
              <w:rPr>
                <w:rFonts w:ascii="宋体" w:hAnsi="宋体" w:eastAsia="Times New Roman"/>
                <w:color w:val="auto"/>
                <w:spacing w:val="-4"/>
                <w:sz w:val="22"/>
                <w:szCs w:val="22"/>
              </w:rPr>
            </w:pPr>
            <w:r>
              <w:rPr>
                <w:rFonts w:hint="eastAsia" w:ascii="宋体" w:hAnsi="宋体" w:eastAsia="Times New Roman"/>
                <w:color w:val="auto"/>
                <w:spacing w:val="-4"/>
                <w:sz w:val="22"/>
                <w:szCs w:val="22"/>
              </w:rPr>
              <w:t>188</w:t>
            </w:r>
          </w:p>
        </w:tc>
        <w:tc>
          <w:tcPr>
            <w:tcW w:w="1275" w:type="dxa"/>
            <w:vMerge w:val="continue"/>
            <w:tcBorders>
              <w:top w:val="nil"/>
              <w:left w:val="single" w:color="000000" w:sz="2" w:space="0"/>
              <w:bottom w:val="single" w:color="000000" w:sz="2" w:space="0"/>
              <w:right w:val="single" w:color="000000" w:sz="2" w:space="0"/>
            </w:tcBorders>
            <w:vAlign w:val="center"/>
          </w:tcPr>
          <w:p w14:paraId="50262CB9">
            <w:pPr>
              <w:adjustRightInd/>
              <w:rPr>
                <w:rFonts w:ascii="宋体" w:hAnsi="宋体" w:eastAsia="Times New Roman"/>
                <w:color w:val="auto"/>
                <w:spacing w:val="-4"/>
                <w:sz w:val="22"/>
                <w:szCs w:val="22"/>
              </w:rPr>
            </w:pPr>
          </w:p>
        </w:tc>
        <w:tc>
          <w:tcPr>
            <w:tcW w:w="1701" w:type="dxa"/>
            <w:tcBorders>
              <w:top w:val="single" w:color="000000" w:sz="2" w:space="0"/>
              <w:left w:val="single" w:color="000000" w:sz="2" w:space="0"/>
              <w:bottom w:val="single" w:color="000000" w:sz="2" w:space="0"/>
              <w:right w:val="single" w:color="000000" w:sz="2" w:space="0"/>
            </w:tcBorders>
            <w:vAlign w:val="center"/>
          </w:tcPr>
          <w:p w14:paraId="7AFD908B">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▲限用物质的限量要求</w:t>
            </w:r>
          </w:p>
        </w:tc>
        <w:tc>
          <w:tcPr>
            <w:tcW w:w="5382" w:type="dxa"/>
            <w:tcBorders>
              <w:top w:val="single" w:color="000000" w:sz="2" w:space="0"/>
              <w:left w:val="single" w:color="000000" w:sz="2" w:space="0"/>
              <w:bottom w:val="single" w:color="000000" w:sz="2" w:space="0"/>
              <w:right w:val="single" w:color="000000" w:sz="2" w:space="0"/>
            </w:tcBorders>
            <w:vAlign w:val="center"/>
          </w:tcPr>
          <w:p w14:paraId="55C57CA0">
            <w:pPr>
              <w:pStyle w:val="347"/>
              <w:spacing w:before="38" w:after="0"/>
              <w:ind w:right="59"/>
              <w:rPr>
                <w:rFonts w:ascii="宋体" w:hAnsi="宋体" w:eastAsia="Times New Roman"/>
                <w:color w:val="auto"/>
                <w:spacing w:val="-4"/>
                <w:sz w:val="22"/>
                <w:szCs w:val="22"/>
              </w:rPr>
            </w:pPr>
            <w:r>
              <w:rPr>
                <w:rFonts w:hint="eastAsia" w:ascii="宋体" w:hAnsi="宋体" w:eastAsia="Times New Roman"/>
                <w:color w:val="auto"/>
                <w:spacing w:val="-4"/>
                <w:sz w:val="22"/>
                <w:szCs w:val="22"/>
              </w:rPr>
              <w:t>符合 GB/T 26572 中规定</w:t>
            </w:r>
          </w:p>
        </w:tc>
      </w:tr>
    </w:tbl>
    <w:p w14:paraId="2BC912D3">
      <w:pPr>
        <w:pStyle w:val="62"/>
        <w:ind w:left="0" w:leftChars="0" w:firstLine="0" w:firstLineChars="0"/>
        <w:rPr>
          <w:rFonts w:ascii="宋体" w:hAnsi="宋体" w:eastAsia="宋体"/>
          <w:color w:val="auto"/>
          <w:sz w:val="22"/>
          <w:szCs w:val="22"/>
        </w:rPr>
      </w:pPr>
    </w:p>
    <w:p w14:paraId="443A23D7">
      <w:pPr>
        <w:pStyle w:val="80"/>
        <w:numPr>
          <w:ilvl w:val="0"/>
          <w:numId w:val="2"/>
        </w:numPr>
        <w:ind w:firstLineChars="0"/>
        <w:rPr>
          <w:rFonts w:ascii="宋体" w:hAnsi="宋体" w:eastAsia="宋体"/>
          <w:b/>
          <w:bCs/>
          <w:color w:val="auto"/>
          <w:sz w:val="22"/>
          <w:szCs w:val="22"/>
        </w:rPr>
      </w:pPr>
      <w:r>
        <w:rPr>
          <w:rFonts w:hint="eastAsia" w:ascii="宋体" w:hAnsi="宋体" w:eastAsia="宋体"/>
          <w:b/>
          <w:bCs/>
          <w:color w:val="auto"/>
          <w:sz w:val="22"/>
          <w:szCs w:val="22"/>
        </w:rPr>
        <w:t>服务器：2台</w:t>
      </w:r>
    </w:p>
    <w:tbl>
      <w:tblPr>
        <w:tblStyle w:val="63"/>
        <w:tblW w:w="9334" w:type="dxa"/>
        <w:jc w:val="center"/>
        <w:tblLayout w:type="autofit"/>
        <w:tblCellMar>
          <w:top w:w="0" w:type="dxa"/>
          <w:left w:w="108" w:type="dxa"/>
          <w:bottom w:w="0" w:type="dxa"/>
          <w:right w:w="108" w:type="dxa"/>
        </w:tblCellMar>
      </w:tblPr>
      <w:tblGrid>
        <w:gridCol w:w="779"/>
        <w:gridCol w:w="1440"/>
        <w:gridCol w:w="2627"/>
        <w:gridCol w:w="4252"/>
        <w:gridCol w:w="236"/>
      </w:tblGrid>
      <w:tr w14:paraId="754D5D2F">
        <w:tblPrEx>
          <w:tblCellMar>
            <w:top w:w="0" w:type="dxa"/>
            <w:left w:w="108" w:type="dxa"/>
            <w:bottom w:w="0" w:type="dxa"/>
            <w:right w:w="108" w:type="dxa"/>
          </w:tblCellMar>
        </w:tblPrEx>
        <w:trPr>
          <w:gridAfter w:val="1"/>
          <w:wAfter w:w="236" w:type="dxa"/>
          <w:trHeight w:val="24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6DDE7C15">
            <w:pPr>
              <w:widowControl/>
              <w:jc w:val="center"/>
              <w:rPr>
                <w:rFonts w:ascii="宋体" w:hAnsi="宋体"/>
                <w:b/>
                <w:bCs/>
                <w:color w:val="auto"/>
                <w:kern w:val="0"/>
                <w:sz w:val="22"/>
                <w:szCs w:val="22"/>
              </w:rPr>
            </w:pPr>
            <w:r>
              <w:rPr>
                <w:rFonts w:hint="eastAsia" w:ascii="宋体" w:hAnsi="宋体"/>
                <w:b/>
                <w:bCs/>
                <w:color w:val="auto"/>
                <w:kern w:val="0"/>
                <w:sz w:val="22"/>
                <w:szCs w:val="22"/>
              </w:rPr>
              <w:t>序号</w:t>
            </w:r>
          </w:p>
        </w:tc>
        <w:tc>
          <w:tcPr>
            <w:tcW w:w="1440" w:type="dxa"/>
            <w:tcBorders>
              <w:top w:val="single" w:color="auto" w:sz="4" w:space="0"/>
              <w:left w:val="nil"/>
              <w:bottom w:val="single" w:color="auto" w:sz="4" w:space="0"/>
              <w:right w:val="single" w:color="auto" w:sz="4" w:space="0"/>
            </w:tcBorders>
            <w:vAlign w:val="center"/>
          </w:tcPr>
          <w:p w14:paraId="25F1CF2B">
            <w:pPr>
              <w:widowControl/>
              <w:jc w:val="center"/>
              <w:rPr>
                <w:rFonts w:ascii="宋体" w:hAnsi="宋体"/>
                <w:b/>
                <w:bCs/>
                <w:color w:val="auto"/>
                <w:kern w:val="0"/>
                <w:sz w:val="22"/>
                <w:szCs w:val="22"/>
              </w:rPr>
            </w:pPr>
            <w:r>
              <w:rPr>
                <w:rFonts w:hint="eastAsia" w:ascii="宋体" w:hAnsi="宋体"/>
                <w:b/>
                <w:bCs/>
                <w:color w:val="auto"/>
                <w:kern w:val="0"/>
                <w:sz w:val="22"/>
                <w:szCs w:val="22"/>
              </w:rPr>
              <w:t>一级指标</w:t>
            </w:r>
          </w:p>
        </w:tc>
        <w:tc>
          <w:tcPr>
            <w:tcW w:w="2627" w:type="dxa"/>
            <w:tcBorders>
              <w:top w:val="single" w:color="auto" w:sz="4" w:space="0"/>
              <w:left w:val="nil"/>
              <w:bottom w:val="single" w:color="auto" w:sz="4" w:space="0"/>
              <w:right w:val="single" w:color="auto" w:sz="4" w:space="0"/>
            </w:tcBorders>
            <w:vAlign w:val="center"/>
          </w:tcPr>
          <w:p w14:paraId="015E5A1C">
            <w:pPr>
              <w:widowControl/>
              <w:jc w:val="center"/>
              <w:rPr>
                <w:rFonts w:ascii="宋体" w:hAnsi="宋体"/>
                <w:b/>
                <w:bCs/>
                <w:color w:val="auto"/>
                <w:kern w:val="0"/>
                <w:sz w:val="22"/>
                <w:szCs w:val="22"/>
              </w:rPr>
            </w:pPr>
            <w:r>
              <w:rPr>
                <w:rFonts w:hint="eastAsia" w:ascii="宋体" w:hAnsi="宋体"/>
                <w:b/>
                <w:bCs/>
                <w:color w:val="auto"/>
                <w:kern w:val="0"/>
                <w:sz w:val="22"/>
                <w:szCs w:val="22"/>
              </w:rPr>
              <w:t>二级指标</w:t>
            </w:r>
          </w:p>
        </w:tc>
        <w:tc>
          <w:tcPr>
            <w:tcW w:w="4252" w:type="dxa"/>
            <w:tcBorders>
              <w:top w:val="single" w:color="auto" w:sz="4" w:space="0"/>
              <w:left w:val="nil"/>
              <w:bottom w:val="single" w:color="auto" w:sz="4" w:space="0"/>
              <w:right w:val="single" w:color="auto" w:sz="4" w:space="0"/>
            </w:tcBorders>
            <w:vAlign w:val="center"/>
          </w:tcPr>
          <w:p w14:paraId="1001AC47">
            <w:pPr>
              <w:widowControl/>
              <w:jc w:val="center"/>
              <w:rPr>
                <w:rFonts w:ascii="宋体" w:hAnsi="宋体"/>
                <w:b/>
                <w:bCs/>
                <w:color w:val="auto"/>
                <w:kern w:val="0"/>
                <w:sz w:val="22"/>
                <w:szCs w:val="22"/>
              </w:rPr>
            </w:pPr>
            <w:r>
              <w:rPr>
                <w:rFonts w:hint="eastAsia" w:ascii="宋体" w:hAnsi="宋体"/>
                <w:b/>
                <w:bCs/>
                <w:color w:val="auto"/>
                <w:kern w:val="0"/>
                <w:sz w:val="22"/>
                <w:szCs w:val="22"/>
              </w:rPr>
              <w:t>采购人技术要求</w:t>
            </w:r>
          </w:p>
        </w:tc>
      </w:tr>
      <w:tr w14:paraId="35143613">
        <w:tblPrEx>
          <w:tblCellMar>
            <w:top w:w="0" w:type="dxa"/>
            <w:left w:w="108" w:type="dxa"/>
            <w:bottom w:w="0" w:type="dxa"/>
            <w:right w:w="108" w:type="dxa"/>
          </w:tblCellMar>
        </w:tblPrEx>
        <w:trPr>
          <w:gridAfter w:val="1"/>
          <w:wAfter w:w="236" w:type="dxa"/>
          <w:cantSplit/>
          <w:trHeight w:val="2042" w:hRule="atLeast"/>
          <w:jc w:val="center"/>
        </w:trPr>
        <w:tc>
          <w:tcPr>
            <w:tcW w:w="779" w:type="dxa"/>
            <w:tcBorders>
              <w:top w:val="nil"/>
              <w:left w:val="single" w:color="auto" w:sz="4" w:space="0"/>
              <w:bottom w:val="single" w:color="auto" w:sz="4" w:space="0"/>
              <w:right w:val="single" w:color="auto" w:sz="4" w:space="0"/>
            </w:tcBorders>
            <w:vAlign w:val="center"/>
          </w:tcPr>
          <w:p w14:paraId="3FDE0615">
            <w:pPr>
              <w:widowControl/>
              <w:jc w:val="center"/>
              <w:rPr>
                <w:rFonts w:ascii="宋体" w:hAnsi="宋体"/>
                <w:color w:val="auto"/>
                <w:kern w:val="0"/>
                <w:sz w:val="22"/>
                <w:szCs w:val="22"/>
              </w:rPr>
            </w:pPr>
            <w:r>
              <w:rPr>
                <w:rFonts w:hint="eastAsia" w:ascii="宋体" w:hAnsi="宋体"/>
                <w:color w:val="auto"/>
                <w:kern w:val="0"/>
                <w:sz w:val="22"/>
                <w:szCs w:val="22"/>
              </w:rPr>
              <w:t>1</w:t>
            </w:r>
          </w:p>
        </w:tc>
        <w:tc>
          <w:tcPr>
            <w:tcW w:w="1440" w:type="dxa"/>
            <w:tcBorders>
              <w:top w:val="nil"/>
              <w:left w:val="nil"/>
              <w:bottom w:val="single" w:color="auto" w:sz="4" w:space="0"/>
              <w:right w:val="single" w:color="auto" w:sz="4" w:space="0"/>
            </w:tcBorders>
            <w:vAlign w:val="center"/>
          </w:tcPr>
          <w:p w14:paraId="0AC10C96">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CPU规格</w:t>
            </w:r>
          </w:p>
        </w:tc>
        <w:tc>
          <w:tcPr>
            <w:tcW w:w="2627" w:type="dxa"/>
            <w:tcBorders>
              <w:top w:val="nil"/>
              <w:left w:val="nil"/>
              <w:bottom w:val="single" w:color="auto" w:sz="4" w:space="0"/>
              <w:right w:val="single" w:color="auto" w:sz="4" w:space="0"/>
            </w:tcBorders>
            <w:vAlign w:val="center"/>
          </w:tcPr>
          <w:p w14:paraId="0284FD9A">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CPU信息</w:t>
            </w:r>
          </w:p>
        </w:tc>
        <w:tc>
          <w:tcPr>
            <w:tcW w:w="4252" w:type="dxa"/>
            <w:tcBorders>
              <w:top w:val="nil"/>
              <w:left w:val="nil"/>
              <w:bottom w:val="single" w:color="auto" w:sz="4" w:space="0"/>
              <w:right w:val="single" w:color="auto" w:sz="4" w:space="0"/>
            </w:tcBorders>
            <w:vAlign w:val="center"/>
          </w:tcPr>
          <w:p w14:paraId="547B8EFB">
            <w:pPr>
              <w:widowControl/>
              <w:jc w:val="left"/>
              <w:rPr>
                <w:rFonts w:ascii="宋体" w:hAnsi="宋体"/>
                <w:color w:val="auto"/>
                <w:kern w:val="0"/>
                <w:sz w:val="22"/>
                <w:szCs w:val="22"/>
              </w:rPr>
            </w:pPr>
            <w:r>
              <w:rPr>
                <w:rFonts w:hint="eastAsia" w:ascii="宋体" w:hAnsi="宋体"/>
                <w:color w:val="auto"/>
                <w:kern w:val="0"/>
                <w:sz w:val="22"/>
                <w:szCs w:val="22"/>
              </w:rPr>
              <w:t>X86架构，配置2颗CPU</w:t>
            </w:r>
          </w:p>
          <w:p w14:paraId="6AD5F18A">
            <w:pPr>
              <w:widowControl/>
              <w:jc w:val="left"/>
              <w:rPr>
                <w:rFonts w:ascii="宋体" w:hAnsi="宋体"/>
                <w:color w:val="auto"/>
                <w:kern w:val="0"/>
                <w:sz w:val="22"/>
                <w:szCs w:val="22"/>
              </w:rPr>
            </w:pPr>
            <w:r>
              <w:rPr>
                <w:rFonts w:hint="eastAsia" w:ascii="宋体" w:hAnsi="宋体"/>
                <w:color w:val="auto"/>
                <w:kern w:val="0"/>
                <w:sz w:val="22"/>
                <w:szCs w:val="22"/>
              </w:rPr>
              <w:t>物理核心数：≥10 核</w:t>
            </w:r>
          </w:p>
          <w:p w14:paraId="1D4E9F16">
            <w:pPr>
              <w:widowControl/>
              <w:jc w:val="left"/>
              <w:rPr>
                <w:rFonts w:ascii="宋体" w:hAnsi="宋体"/>
                <w:color w:val="auto"/>
                <w:kern w:val="0"/>
                <w:sz w:val="22"/>
                <w:szCs w:val="22"/>
              </w:rPr>
            </w:pPr>
            <w:r>
              <w:rPr>
                <w:rFonts w:hint="eastAsia" w:ascii="宋体" w:hAnsi="宋体"/>
                <w:color w:val="auto"/>
                <w:kern w:val="0"/>
                <w:sz w:val="22"/>
                <w:szCs w:val="22"/>
              </w:rPr>
              <w:t>主频：≥2.40 GHz，最大睿频≥3.20 GHz</w:t>
            </w:r>
          </w:p>
          <w:p w14:paraId="59079A07">
            <w:pPr>
              <w:widowControl/>
              <w:jc w:val="left"/>
              <w:rPr>
                <w:rFonts w:ascii="宋体" w:hAnsi="宋体"/>
                <w:color w:val="auto"/>
                <w:kern w:val="0"/>
                <w:sz w:val="22"/>
                <w:szCs w:val="22"/>
              </w:rPr>
            </w:pPr>
            <w:r>
              <w:rPr>
                <w:rFonts w:hint="eastAsia" w:ascii="宋体" w:hAnsi="宋体"/>
                <w:color w:val="auto"/>
                <w:kern w:val="0"/>
                <w:sz w:val="22"/>
                <w:szCs w:val="22"/>
              </w:rPr>
              <w:t>末级缓存：≥13.75 MB • 线程数：≥20 线程</w:t>
            </w:r>
          </w:p>
          <w:p w14:paraId="2ADC0EE2">
            <w:pPr>
              <w:widowControl/>
              <w:jc w:val="left"/>
              <w:rPr>
                <w:rFonts w:ascii="宋体" w:hAnsi="宋体"/>
                <w:color w:val="auto"/>
                <w:kern w:val="0"/>
                <w:sz w:val="22"/>
                <w:szCs w:val="22"/>
              </w:rPr>
            </w:pPr>
            <w:r>
              <w:rPr>
                <w:rFonts w:hint="eastAsia" w:ascii="宋体" w:hAnsi="宋体"/>
                <w:color w:val="auto"/>
                <w:kern w:val="0"/>
                <w:sz w:val="22"/>
                <w:szCs w:val="22"/>
              </w:rPr>
              <w:t>热设计功耗：100W</w:t>
            </w:r>
          </w:p>
          <w:p w14:paraId="1B55712B">
            <w:pPr>
              <w:widowControl/>
              <w:jc w:val="left"/>
              <w:rPr>
                <w:rFonts w:ascii="宋体" w:hAnsi="宋体"/>
                <w:color w:val="auto"/>
                <w:kern w:val="0"/>
                <w:sz w:val="22"/>
                <w:szCs w:val="22"/>
              </w:rPr>
            </w:pPr>
            <w:r>
              <w:rPr>
                <w:rFonts w:hint="eastAsia" w:ascii="宋体" w:hAnsi="宋体"/>
                <w:color w:val="auto"/>
                <w:kern w:val="0"/>
                <w:sz w:val="22"/>
                <w:szCs w:val="22"/>
              </w:rPr>
              <w:t>内存最高速率：≥DDR4</w:t>
            </w:r>
            <w:r>
              <w:rPr>
                <w:rFonts w:hint="eastAsia" w:ascii="宋体" w:hAnsi="宋体"/>
                <w:color w:val="auto"/>
                <w:kern w:val="0"/>
                <w:sz w:val="22"/>
                <w:szCs w:val="22"/>
              </w:rPr>
              <w:noBreakHyphen/>
            </w:r>
            <w:r>
              <w:rPr>
                <w:rFonts w:hint="eastAsia" w:ascii="宋体" w:hAnsi="宋体"/>
                <w:color w:val="auto"/>
                <w:kern w:val="0"/>
                <w:sz w:val="22"/>
                <w:szCs w:val="22"/>
              </w:rPr>
              <w:t>2400 MHz</w:t>
            </w:r>
          </w:p>
          <w:p w14:paraId="64A39010">
            <w:pPr>
              <w:widowControl/>
              <w:jc w:val="left"/>
              <w:rPr>
                <w:rFonts w:ascii="宋体" w:hAnsi="宋体"/>
                <w:color w:val="auto"/>
                <w:kern w:val="0"/>
                <w:sz w:val="22"/>
                <w:szCs w:val="22"/>
              </w:rPr>
            </w:pPr>
            <w:r>
              <w:rPr>
                <w:rFonts w:hint="eastAsia" w:ascii="宋体" w:hAnsi="宋体"/>
                <w:color w:val="auto"/>
                <w:kern w:val="0"/>
                <w:sz w:val="22"/>
                <w:szCs w:val="22"/>
              </w:rPr>
              <w:t>内存通道数：≥6 通道 • 内存位宽：384</w:t>
            </w:r>
            <w:r>
              <w:rPr>
                <w:rFonts w:hint="eastAsia" w:ascii="宋体" w:hAnsi="宋体"/>
                <w:color w:val="auto"/>
                <w:kern w:val="0"/>
                <w:sz w:val="22"/>
                <w:szCs w:val="22"/>
              </w:rPr>
              <w:noBreakHyphen/>
            </w:r>
            <w:r>
              <w:rPr>
                <w:rFonts w:hint="eastAsia" w:ascii="宋体" w:hAnsi="宋体"/>
                <w:color w:val="auto"/>
                <w:kern w:val="0"/>
                <w:sz w:val="22"/>
                <w:szCs w:val="22"/>
              </w:rPr>
              <w:t>bit</w:t>
            </w:r>
          </w:p>
        </w:tc>
      </w:tr>
      <w:tr w14:paraId="1530A9FD">
        <w:tblPrEx>
          <w:tblCellMar>
            <w:top w:w="0" w:type="dxa"/>
            <w:left w:w="108" w:type="dxa"/>
            <w:bottom w:w="0" w:type="dxa"/>
            <w:right w:w="108" w:type="dxa"/>
          </w:tblCellMar>
        </w:tblPrEx>
        <w:trPr>
          <w:gridAfter w:val="1"/>
          <w:wAfter w:w="236" w:type="dxa"/>
          <w:trHeight w:val="952" w:hRule="atLeast"/>
          <w:jc w:val="center"/>
        </w:trPr>
        <w:tc>
          <w:tcPr>
            <w:tcW w:w="779" w:type="dxa"/>
            <w:tcBorders>
              <w:top w:val="nil"/>
              <w:left w:val="single" w:color="auto" w:sz="4" w:space="0"/>
              <w:bottom w:val="single" w:color="auto" w:sz="4" w:space="0"/>
              <w:right w:val="single" w:color="auto" w:sz="4" w:space="0"/>
            </w:tcBorders>
            <w:vAlign w:val="center"/>
          </w:tcPr>
          <w:p w14:paraId="5477C95D">
            <w:pPr>
              <w:widowControl/>
              <w:jc w:val="center"/>
              <w:rPr>
                <w:rFonts w:ascii="宋体" w:hAnsi="宋体"/>
                <w:color w:val="auto"/>
                <w:kern w:val="0"/>
                <w:sz w:val="22"/>
                <w:szCs w:val="22"/>
              </w:rPr>
            </w:pPr>
            <w:r>
              <w:rPr>
                <w:rFonts w:hint="eastAsia" w:ascii="宋体" w:hAnsi="宋体"/>
                <w:color w:val="auto"/>
                <w:kern w:val="0"/>
                <w:sz w:val="22"/>
                <w:szCs w:val="22"/>
              </w:rPr>
              <w:t>2</w:t>
            </w:r>
          </w:p>
        </w:tc>
        <w:tc>
          <w:tcPr>
            <w:tcW w:w="1440" w:type="dxa"/>
            <w:vMerge w:val="restart"/>
            <w:tcBorders>
              <w:top w:val="nil"/>
              <w:left w:val="nil"/>
              <w:bottom w:val="single" w:color="auto" w:sz="4" w:space="0"/>
              <w:right w:val="single" w:color="auto" w:sz="4" w:space="0"/>
            </w:tcBorders>
            <w:vAlign w:val="center"/>
          </w:tcPr>
          <w:p w14:paraId="72D78A29">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主板规格</w:t>
            </w:r>
          </w:p>
        </w:tc>
        <w:tc>
          <w:tcPr>
            <w:tcW w:w="2627" w:type="dxa"/>
            <w:tcBorders>
              <w:top w:val="nil"/>
              <w:left w:val="nil"/>
              <w:bottom w:val="single" w:color="auto" w:sz="4" w:space="0"/>
              <w:right w:val="single" w:color="auto" w:sz="4" w:space="0"/>
            </w:tcBorders>
            <w:vAlign w:val="center"/>
          </w:tcPr>
          <w:p w14:paraId="3A6A3C52">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主板支持的CPU和内存情况</w:t>
            </w:r>
          </w:p>
        </w:tc>
        <w:tc>
          <w:tcPr>
            <w:tcW w:w="4252" w:type="dxa"/>
            <w:tcBorders>
              <w:top w:val="nil"/>
              <w:left w:val="nil"/>
              <w:bottom w:val="single" w:color="auto" w:sz="4" w:space="0"/>
              <w:right w:val="single" w:color="auto" w:sz="4" w:space="0"/>
            </w:tcBorders>
            <w:vAlign w:val="center"/>
          </w:tcPr>
          <w:p w14:paraId="3E79BBD2">
            <w:pPr>
              <w:widowControl/>
              <w:jc w:val="left"/>
              <w:rPr>
                <w:rFonts w:ascii="宋体" w:hAnsi="宋体"/>
                <w:color w:val="auto"/>
                <w:kern w:val="0"/>
                <w:sz w:val="22"/>
                <w:szCs w:val="22"/>
              </w:rPr>
            </w:pPr>
            <w:r>
              <w:rPr>
                <w:rFonts w:hint="eastAsia" w:ascii="宋体" w:hAnsi="宋体"/>
                <w:color w:val="auto"/>
                <w:kern w:val="0"/>
                <w:sz w:val="22"/>
                <w:szCs w:val="22"/>
              </w:rPr>
              <w:t>服务器主板支持但不限于Intel Xeon、AMD EPYC系列处理器；支持DDR4主流内存型号；</w:t>
            </w:r>
          </w:p>
        </w:tc>
      </w:tr>
      <w:tr w14:paraId="1523180B">
        <w:tblPrEx>
          <w:tblCellMar>
            <w:top w:w="0" w:type="dxa"/>
            <w:left w:w="108" w:type="dxa"/>
            <w:bottom w:w="0" w:type="dxa"/>
            <w:right w:w="108" w:type="dxa"/>
          </w:tblCellMar>
        </w:tblPrEx>
        <w:trPr>
          <w:gridAfter w:val="1"/>
          <w:wAfter w:w="236" w:type="dxa"/>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7B10BE97">
            <w:pPr>
              <w:widowControl/>
              <w:jc w:val="center"/>
              <w:rPr>
                <w:rFonts w:ascii="宋体" w:hAnsi="宋体"/>
                <w:color w:val="auto"/>
                <w:kern w:val="0"/>
                <w:sz w:val="22"/>
                <w:szCs w:val="22"/>
              </w:rPr>
            </w:pPr>
            <w:r>
              <w:rPr>
                <w:rFonts w:hint="eastAsia" w:ascii="宋体" w:hAnsi="宋体"/>
                <w:color w:val="auto"/>
                <w:kern w:val="0"/>
                <w:sz w:val="22"/>
                <w:szCs w:val="22"/>
              </w:rPr>
              <w:t>3</w:t>
            </w:r>
          </w:p>
        </w:tc>
        <w:tc>
          <w:tcPr>
            <w:tcW w:w="1440" w:type="dxa"/>
            <w:vMerge w:val="continue"/>
            <w:tcBorders>
              <w:top w:val="nil"/>
              <w:left w:val="nil"/>
              <w:bottom w:val="single" w:color="auto" w:sz="4" w:space="0"/>
              <w:right w:val="single" w:color="auto" w:sz="4" w:space="0"/>
            </w:tcBorders>
            <w:vAlign w:val="center"/>
          </w:tcPr>
          <w:p w14:paraId="0A371109">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54620D49">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主板内存槽数量</w:t>
            </w:r>
          </w:p>
        </w:tc>
        <w:tc>
          <w:tcPr>
            <w:tcW w:w="4252" w:type="dxa"/>
            <w:tcBorders>
              <w:top w:val="nil"/>
              <w:left w:val="nil"/>
              <w:bottom w:val="single" w:color="auto" w:sz="4" w:space="0"/>
              <w:right w:val="single" w:color="auto" w:sz="4" w:space="0"/>
            </w:tcBorders>
            <w:vAlign w:val="center"/>
          </w:tcPr>
          <w:p w14:paraId="5B6EF21B">
            <w:pPr>
              <w:widowControl/>
              <w:jc w:val="left"/>
              <w:rPr>
                <w:rFonts w:ascii="宋体" w:hAnsi="宋体"/>
                <w:color w:val="auto"/>
                <w:kern w:val="0"/>
                <w:sz w:val="22"/>
                <w:szCs w:val="22"/>
              </w:rPr>
            </w:pPr>
            <w:r>
              <w:rPr>
                <w:rFonts w:hint="eastAsia" w:ascii="宋体" w:hAnsi="宋体"/>
                <w:color w:val="auto"/>
                <w:kern w:val="0"/>
                <w:sz w:val="22"/>
                <w:szCs w:val="22"/>
              </w:rPr>
              <w:t>内存插槽：服务器最大支持≥12个DIMM插槽；</w:t>
            </w:r>
          </w:p>
        </w:tc>
      </w:tr>
      <w:tr w14:paraId="226172D2">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0FFC0260">
            <w:pPr>
              <w:widowControl/>
              <w:jc w:val="center"/>
              <w:rPr>
                <w:rFonts w:ascii="宋体" w:hAnsi="宋体"/>
                <w:color w:val="auto"/>
                <w:kern w:val="0"/>
                <w:sz w:val="22"/>
                <w:szCs w:val="22"/>
              </w:rPr>
            </w:pPr>
            <w:r>
              <w:rPr>
                <w:rFonts w:hint="eastAsia" w:ascii="宋体" w:hAnsi="宋体"/>
                <w:color w:val="auto"/>
                <w:kern w:val="0"/>
                <w:sz w:val="22"/>
                <w:szCs w:val="22"/>
              </w:rPr>
              <w:t>4</w:t>
            </w:r>
          </w:p>
        </w:tc>
        <w:tc>
          <w:tcPr>
            <w:tcW w:w="1440" w:type="dxa"/>
            <w:vMerge w:val="continue"/>
            <w:tcBorders>
              <w:top w:val="nil"/>
              <w:left w:val="nil"/>
              <w:bottom w:val="single" w:color="auto" w:sz="4" w:space="0"/>
              <w:right w:val="single" w:color="auto" w:sz="4" w:space="0"/>
            </w:tcBorders>
            <w:vAlign w:val="center"/>
          </w:tcPr>
          <w:p w14:paraId="20A18A74">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0451C8E4">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主板存储接口</w:t>
            </w:r>
          </w:p>
        </w:tc>
        <w:tc>
          <w:tcPr>
            <w:tcW w:w="4252" w:type="dxa"/>
            <w:tcBorders>
              <w:top w:val="nil"/>
              <w:left w:val="nil"/>
              <w:bottom w:val="single" w:color="auto" w:sz="4" w:space="0"/>
              <w:right w:val="single" w:color="auto" w:sz="4" w:space="0"/>
            </w:tcBorders>
            <w:vAlign w:val="center"/>
          </w:tcPr>
          <w:p w14:paraId="11555D63">
            <w:pPr>
              <w:widowControl/>
              <w:jc w:val="left"/>
              <w:rPr>
                <w:rFonts w:ascii="宋体" w:hAnsi="宋体"/>
                <w:color w:val="auto"/>
                <w:kern w:val="0"/>
                <w:sz w:val="22"/>
                <w:szCs w:val="22"/>
              </w:rPr>
            </w:pPr>
            <w:r>
              <w:rPr>
                <w:rFonts w:hint="eastAsia" w:ascii="宋体" w:hAnsi="宋体"/>
                <w:color w:val="auto"/>
                <w:kern w:val="0"/>
                <w:sz w:val="22"/>
                <w:szCs w:val="22"/>
              </w:rPr>
              <w:t>支持SAS/SATA等存储接口</w:t>
            </w:r>
          </w:p>
        </w:tc>
      </w:tr>
      <w:tr w14:paraId="493D7E04">
        <w:tblPrEx>
          <w:tblCellMar>
            <w:top w:w="0" w:type="dxa"/>
            <w:left w:w="108" w:type="dxa"/>
            <w:bottom w:w="0" w:type="dxa"/>
            <w:right w:w="108" w:type="dxa"/>
          </w:tblCellMar>
        </w:tblPrEx>
        <w:trPr>
          <w:gridAfter w:val="1"/>
          <w:wAfter w:w="236" w:type="dxa"/>
          <w:trHeight w:val="952" w:hRule="atLeast"/>
          <w:jc w:val="center"/>
        </w:trPr>
        <w:tc>
          <w:tcPr>
            <w:tcW w:w="779" w:type="dxa"/>
            <w:tcBorders>
              <w:top w:val="nil"/>
              <w:left w:val="single" w:color="auto" w:sz="4" w:space="0"/>
              <w:bottom w:val="single" w:color="auto" w:sz="4" w:space="0"/>
              <w:right w:val="single" w:color="auto" w:sz="4" w:space="0"/>
            </w:tcBorders>
            <w:vAlign w:val="center"/>
          </w:tcPr>
          <w:p w14:paraId="39A6902B">
            <w:pPr>
              <w:widowControl/>
              <w:jc w:val="center"/>
              <w:rPr>
                <w:rFonts w:ascii="宋体" w:hAnsi="宋体"/>
                <w:color w:val="auto"/>
                <w:kern w:val="0"/>
                <w:sz w:val="22"/>
                <w:szCs w:val="22"/>
              </w:rPr>
            </w:pPr>
            <w:r>
              <w:rPr>
                <w:rFonts w:hint="eastAsia" w:ascii="宋体" w:hAnsi="宋体"/>
                <w:color w:val="auto"/>
                <w:kern w:val="0"/>
                <w:sz w:val="22"/>
                <w:szCs w:val="22"/>
              </w:rPr>
              <w:t>5</w:t>
            </w:r>
          </w:p>
        </w:tc>
        <w:tc>
          <w:tcPr>
            <w:tcW w:w="1440" w:type="dxa"/>
            <w:vMerge w:val="continue"/>
            <w:tcBorders>
              <w:top w:val="nil"/>
              <w:left w:val="nil"/>
              <w:bottom w:val="single" w:color="auto" w:sz="4" w:space="0"/>
              <w:right w:val="single" w:color="auto" w:sz="4" w:space="0"/>
            </w:tcBorders>
            <w:vAlign w:val="center"/>
          </w:tcPr>
          <w:p w14:paraId="0352AD4A">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13D2D740">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PCIe插槽接口</w:t>
            </w:r>
          </w:p>
        </w:tc>
        <w:tc>
          <w:tcPr>
            <w:tcW w:w="4252" w:type="dxa"/>
            <w:tcBorders>
              <w:top w:val="nil"/>
              <w:left w:val="nil"/>
              <w:bottom w:val="single" w:color="auto" w:sz="4" w:space="0"/>
              <w:right w:val="single" w:color="auto" w:sz="4" w:space="0"/>
            </w:tcBorders>
            <w:vAlign w:val="center"/>
          </w:tcPr>
          <w:p w14:paraId="05622ABB">
            <w:pPr>
              <w:widowControl/>
              <w:jc w:val="left"/>
              <w:rPr>
                <w:rFonts w:ascii="宋体" w:hAnsi="宋体"/>
                <w:color w:val="auto"/>
                <w:kern w:val="0"/>
                <w:sz w:val="22"/>
                <w:szCs w:val="22"/>
              </w:rPr>
            </w:pPr>
            <w:r>
              <w:rPr>
                <w:rFonts w:hint="eastAsia" w:ascii="宋体" w:hAnsi="宋体"/>
                <w:color w:val="auto"/>
                <w:kern w:val="0"/>
                <w:sz w:val="22"/>
                <w:szCs w:val="22"/>
              </w:rPr>
              <w:t>符合PCIe3.0或以上的高速串行计算机扩展总线标准，PCIe的接口速率与位宽需保证向下兼容</w:t>
            </w:r>
          </w:p>
        </w:tc>
      </w:tr>
      <w:tr w14:paraId="56A052CA">
        <w:tblPrEx>
          <w:tblCellMar>
            <w:top w:w="0" w:type="dxa"/>
            <w:left w:w="108" w:type="dxa"/>
            <w:bottom w:w="0" w:type="dxa"/>
            <w:right w:w="108" w:type="dxa"/>
          </w:tblCellMar>
        </w:tblPrEx>
        <w:trPr>
          <w:gridAfter w:val="1"/>
          <w:wAfter w:w="236" w:type="dxa"/>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04FB41A3">
            <w:pPr>
              <w:widowControl/>
              <w:jc w:val="center"/>
              <w:rPr>
                <w:rFonts w:ascii="宋体" w:hAnsi="宋体"/>
                <w:color w:val="auto"/>
                <w:kern w:val="0"/>
                <w:sz w:val="22"/>
                <w:szCs w:val="22"/>
              </w:rPr>
            </w:pPr>
            <w:r>
              <w:rPr>
                <w:rFonts w:hint="eastAsia" w:ascii="宋体" w:hAnsi="宋体"/>
                <w:color w:val="auto"/>
                <w:kern w:val="0"/>
                <w:sz w:val="22"/>
                <w:szCs w:val="22"/>
              </w:rPr>
              <w:t>6</w:t>
            </w:r>
          </w:p>
        </w:tc>
        <w:tc>
          <w:tcPr>
            <w:tcW w:w="1440" w:type="dxa"/>
            <w:vMerge w:val="continue"/>
            <w:tcBorders>
              <w:top w:val="nil"/>
              <w:left w:val="nil"/>
              <w:bottom w:val="single" w:color="auto" w:sz="4" w:space="0"/>
              <w:right w:val="single" w:color="auto" w:sz="4" w:space="0"/>
            </w:tcBorders>
            <w:vAlign w:val="center"/>
          </w:tcPr>
          <w:p w14:paraId="385F4162">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4C55E916">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主板PCIe插槽数量及规格</w:t>
            </w:r>
          </w:p>
        </w:tc>
        <w:tc>
          <w:tcPr>
            <w:tcW w:w="4252" w:type="dxa"/>
            <w:tcBorders>
              <w:top w:val="nil"/>
              <w:left w:val="nil"/>
              <w:bottom w:val="single" w:color="auto" w:sz="4" w:space="0"/>
              <w:right w:val="single" w:color="auto" w:sz="4" w:space="0"/>
            </w:tcBorders>
            <w:vAlign w:val="center"/>
          </w:tcPr>
          <w:p w14:paraId="6BE979FA">
            <w:pPr>
              <w:widowControl/>
              <w:jc w:val="left"/>
              <w:rPr>
                <w:rFonts w:ascii="宋体" w:hAnsi="宋体"/>
                <w:color w:val="auto"/>
                <w:kern w:val="0"/>
                <w:sz w:val="22"/>
                <w:szCs w:val="22"/>
              </w:rPr>
            </w:pPr>
            <w:r>
              <w:rPr>
                <w:rFonts w:hint="eastAsia" w:ascii="宋体" w:hAnsi="宋体"/>
                <w:color w:val="auto"/>
                <w:kern w:val="0"/>
                <w:sz w:val="22"/>
                <w:szCs w:val="22"/>
              </w:rPr>
              <w:t>≥6个PCIe3.0或以上槽位</w:t>
            </w:r>
          </w:p>
        </w:tc>
      </w:tr>
      <w:tr w14:paraId="56EA65C7">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1E7E7708">
            <w:pPr>
              <w:widowControl/>
              <w:jc w:val="center"/>
              <w:rPr>
                <w:rFonts w:ascii="宋体" w:hAnsi="宋体"/>
                <w:color w:val="auto"/>
                <w:kern w:val="0"/>
                <w:sz w:val="22"/>
                <w:szCs w:val="22"/>
              </w:rPr>
            </w:pPr>
            <w:r>
              <w:rPr>
                <w:rFonts w:hint="eastAsia" w:ascii="宋体" w:hAnsi="宋体"/>
                <w:color w:val="auto"/>
                <w:kern w:val="0"/>
                <w:sz w:val="22"/>
                <w:szCs w:val="22"/>
              </w:rPr>
              <w:t>7</w:t>
            </w:r>
          </w:p>
        </w:tc>
        <w:tc>
          <w:tcPr>
            <w:tcW w:w="1440" w:type="dxa"/>
            <w:vMerge w:val="continue"/>
            <w:tcBorders>
              <w:top w:val="nil"/>
              <w:left w:val="nil"/>
              <w:bottom w:val="single" w:color="auto" w:sz="4" w:space="0"/>
              <w:right w:val="single" w:color="auto" w:sz="4" w:space="0"/>
            </w:tcBorders>
            <w:vAlign w:val="center"/>
          </w:tcPr>
          <w:p w14:paraId="33C05B70">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29AFCEA8">
            <w:pPr>
              <w:widowControl/>
              <w:jc w:val="left"/>
              <w:rPr>
                <w:rFonts w:ascii="宋体" w:hAnsi="宋体"/>
                <w:color w:val="auto"/>
                <w:kern w:val="0"/>
                <w:sz w:val="22"/>
                <w:szCs w:val="22"/>
              </w:rPr>
            </w:pPr>
            <w:r>
              <w:rPr>
                <w:rFonts w:hint="eastAsia" w:ascii="宋体" w:hAnsi="宋体"/>
                <w:color w:val="auto"/>
                <w:kern w:val="0"/>
                <w:sz w:val="22"/>
                <w:szCs w:val="22"/>
              </w:rPr>
              <w:t>特殊孔位及接口</w:t>
            </w:r>
          </w:p>
        </w:tc>
        <w:tc>
          <w:tcPr>
            <w:tcW w:w="4252" w:type="dxa"/>
            <w:tcBorders>
              <w:top w:val="nil"/>
              <w:left w:val="nil"/>
              <w:bottom w:val="single" w:color="auto" w:sz="4" w:space="0"/>
              <w:right w:val="single" w:color="auto" w:sz="4" w:space="0"/>
            </w:tcBorders>
            <w:vAlign w:val="center"/>
          </w:tcPr>
          <w:p w14:paraId="6671704A">
            <w:pPr>
              <w:widowControl/>
              <w:jc w:val="left"/>
              <w:rPr>
                <w:rFonts w:ascii="宋体" w:hAnsi="宋体"/>
                <w:color w:val="auto"/>
                <w:kern w:val="0"/>
                <w:sz w:val="22"/>
                <w:szCs w:val="22"/>
              </w:rPr>
            </w:pPr>
            <w:r>
              <w:rPr>
                <w:rFonts w:hint="eastAsia" w:ascii="宋体" w:hAnsi="宋体"/>
                <w:color w:val="auto"/>
                <w:kern w:val="0"/>
                <w:sz w:val="22"/>
                <w:szCs w:val="22"/>
              </w:rPr>
              <w:t>不涉及</w:t>
            </w:r>
          </w:p>
        </w:tc>
      </w:tr>
      <w:tr w14:paraId="250DE784">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4FF9CAB6">
            <w:pPr>
              <w:widowControl/>
              <w:jc w:val="center"/>
              <w:rPr>
                <w:rFonts w:ascii="宋体" w:hAnsi="宋体"/>
                <w:color w:val="auto"/>
                <w:kern w:val="0"/>
                <w:sz w:val="22"/>
                <w:szCs w:val="22"/>
              </w:rPr>
            </w:pPr>
            <w:r>
              <w:rPr>
                <w:rFonts w:hint="eastAsia" w:ascii="宋体" w:hAnsi="宋体"/>
                <w:color w:val="auto"/>
                <w:kern w:val="0"/>
                <w:sz w:val="22"/>
                <w:szCs w:val="22"/>
              </w:rPr>
              <w:t>8</w:t>
            </w:r>
          </w:p>
        </w:tc>
        <w:tc>
          <w:tcPr>
            <w:tcW w:w="1440" w:type="dxa"/>
            <w:vMerge w:val="continue"/>
            <w:tcBorders>
              <w:top w:val="nil"/>
              <w:left w:val="nil"/>
              <w:bottom w:val="single" w:color="auto" w:sz="4" w:space="0"/>
              <w:right w:val="single" w:color="auto" w:sz="4" w:space="0"/>
            </w:tcBorders>
            <w:vAlign w:val="center"/>
          </w:tcPr>
          <w:p w14:paraId="5471B036">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61F87BD9">
            <w:pPr>
              <w:widowControl/>
              <w:jc w:val="left"/>
              <w:rPr>
                <w:rFonts w:ascii="宋体" w:hAnsi="宋体"/>
                <w:color w:val="auto"/>
                <w:kern w:val="0"/>
                <w:sz w:val="22"/>
                <w:szCs w:val="22"/>
              </w:rPr>
            </w:pPr>
            <w:r>
              <w:rPr>
                <w:rFonts w:hint="eastAsia" w:ascii="宋体" w:hAnsi="宋体"/>
                <w:color w:val="auto"/>
                <w:kern w:val="0"/>
                <w:sz w:val="22"/>
                <w:szCs w:val="22"/>
              </w:rPr>
              <w:t>板载网络接口</w:t>
            </w:r>
          </w:p>
        </w:tc>
        <w:tc>
          <w:tcPr>
            <w:tcW w:w="4252" w:type="dxa"/>
            <w:tcBorders>
              <w:top w:val="nil"/>
              <w:left w:val="nil"/>
              <w:bottom w:val="single" w:color="auto" w:sz="4" w:space="0"/>
              <w:right w:val="single" w:color="auto" w:sz="4" w:space="0"/>
            </w:tcBorders>
            <w:vAlign w:val="center"/>
          </w:tcPr>
          <w:p w14:paraId="175AD41C">
            <w:pPr>
              <w:widowControl/>
              <w:jc w:val="left"/>
              <w:rPr>
                <w:rFonts w:ascii="宋体" w:hAnsi="宋体"/>
                <w:color w:val="auto"/>
                <w:kern w:val="0"/>
                <w:sz w:val="22"/>
                <w:szCs w:val="22"/>
              </w:rPr>
            </w:pPr>
            <w:r>
              <w:rPr>
                <w:rFonts w:hint="eastAsia" w:ascii="宋体" w:hAnsi="宋体"/>
                <w:color w:val="auto"/>
                <w:kern w:val="0"/>
                <w:sz w:val="22"/>
                <w:szCs w:val="22"/>
              </w:rPr>
              <w:t>不涉及</w:t>
            </w:r>
          </w:p>
        </w:tc>
      </w:tr>
      <w:tr w14:paraId="35A2F378">
        <w:tblPrEx>
          <w:tblCellMar>
            <w:top w:w="0" w:type="dxa"/>
            <w:left w:w="108" w:type="dxa"/>
            <w:bottom w:w="0" w:type="dxa"/>
            <w:right w:w="108" w:type="dxa"/>
          </w:tblCellMar>
        </w:tblPrEx>
        <w:trPr>
          <w:gridAfter w:val="1"/>
          <w:wAfter w:w="236" w:type="dxa"/>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7F4FFB51">
            <w:pPr>
              <w:widowControl/>
              <w:jc w:val="center"/>
              <w:rPr>
                <w:rFonts w:ascii="宋体" w:hAnsi="宋体"/>
                <w:color w:val="auto"/>
                <w:kern w:val="0"/>
                <w:sz w:val="22"/>
                <w:szCs w:val="22"/>
              </w:rPr>
            </w:pPr>
            <w:r>
              <w:rPr>
                <w:rFonts w:hint="eastAsia" w:ascii="宋体" w:hAnsi="宋体"/>
                <w:color w:val="auto"/>
                <w:kern w:val="0"/>
                <w:sz w:val="22"/>
                <w:szCs w:val="22"/>
              </w:rPr>
              <w:t>9</w:t>
            </w:r>
          </w:p>
        </w:tc>
        <w:tc>
          <w:tcPr>
            <w:tcW w:w="1440" w:type="dxa"/>
            <w:vMerge w:val="continue"/>
            <w:tcBorders>
              <w:top w:val="nil"/>
              <w:left w:val="nil"/>
              <w:bottom w:val="single" w:color="auto" w:sz="4" w:space="0"/>
              <w:right w:val="single" w:color="auto" w:sz="4" w:space="0"/>
            </w:tcBorders>
            <w:vAlign w:val="center"/>
          </w:tcPr>
          <w:p w14:paraId="339928F4">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58D1A31B">
            <w:pPr>
              <w:widowControl/>
              <w:jc w:val="left"/>
              <w:rPr>
                <w:rFonts w:ascii="宋体" w:hAnsi="宋体"/>
                <w:color w:val="auto"/>
                <w:kern w:val="0"/>
                <w:sz w:val="22"/>
                <w:szCs w:val="22"/>
              </w:rPr>
            </w:pPr>
            <w:r>
              <w:rPr>
                <w:rFonts w:hint="eastAsia" w:ascii="宋体" w:hAnsi="宋体"/>
                <w:color w:val="auto"/>
                <w:kern w:val="0"/>
                <w:sz w:val="22"/>
                <w:szCs w:val="22"/>
              </w:rPr>
              <w:t>主板OCP插槽数量</w:t>
            </w:r>
          </w:p>
        </w:tc>
        <w:tc>
          <w:tcPr>
            <w:tcW w:w="4252" w:type="dxa"/>
            <w:tcBorders>
              <w:top w:val="nil"/>
              <w:left w:val="nil"/>
              <w:bottom w:val="single" w:color="auto" w:sz="4" w:space="0"/>
              <w:right w:val="single" w:color="auto" w:sz="4" w:space="0"/>
            </w:tcBorders>
            <w:vAlign w:val="center"/>
          </w:tcPr>
          <w:p w14:paraId="218B1EDF">
            <w:pPr>
              <w:widowControl/>
              <w:jc w:val="left"/>
              <w:rPr>
                <w:rFonts w:ascii="宋体" w:hAnsi="宋体"/>
                <w:color w:val="auto"/>
                <w:kern w:val="0"/>
                <w:sz w:val="22"/>
                <w:szCs w:val="22"/>
              </w:rPr>
            </w:pPr>
            <w:r>
              <w:rPr>
                <w:rFonts w:hint="eastAsia" w:ascii="宋体" w:hAnsi="宋体"/>
                <w:color w:val="auto"/>
                <w:kern w:val="0"/>
                <w:sz w:val="22"/>
                <w:szCs w:val="22"/>
              </w:rPr>
              <w:t>支持1个OCP3.0及以上插槽</w:t>
            </w:r>
          </w:p>
        </w:tc>
      </w:tr>
      <w:tr w14:paraId="4D330705">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69AF9A9A">
            <w:pPr>
              <w:widowControl/>
              <w:jc w:val="center"/>
              <w:rPr>
                <w:rFonts w:ascii="宋体" w:hAnsi="宋体"/>
                <w:color w:val="auto"/>
                <w:kern w:val="0"/>
                <w:sz w:val="22"/>
                <w:szCs w:val="22"/>
              </w:rPr>
            </w:pPr>
            <w:r>
              <w:rPr>
                <w:rFonts w:hint="eastAsia" w:ascii="宋体" w:hAnsi="宋体"/>
                <w:color w:val="auto"/>
                <w:kern w:val="0"/>
                <w:sz w:val="22"/>
                <w:szCs w:val="22"/>
              </w:rPr>
              <w:t>10</w:t>
            </w:r>
          </w:p>
        </w:tc>
        <w:tc>
          <w:tcPr>
            <w:tcW w:w="1440" w:type="dxa"/>
            <w:vMerge w:val="restart"/>
            <w:tcBorders>
              <w:top w:val="nil"/>
              <w:left w:val="nil"/>
              <w:bottom w:val="single" w:color="auto" w:sz="4" w:space="0"/>
              <w:right w:val="single" w:color="auto" w:sz="4" w:space="0"/>
            </w:tcBorders>
            <w:vAlign w:val="center"/>
          </w:tcPr>
          <w:p w14:paraId="4534B29F">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内存规格</w:t>
            </w:r>
          </w:p>
        </w:tc>
        <w:tc>
          <w:tcPr>
            <w:tcW w:w="2627" w:type="dxa"/>
            <w:tcBorders>
              <w:top w:val="nil"/>
              <w:left w:val="nil"/>
              <w:bottom w:val="single" w:color="auto" w:sz="4" w:space="0"/>
              <w:right w:val="single" w:color="auto" w:sz="4" w:space="0"/>
            </w:tcBorders>
            <w:vAlign w:val="center"/>
          </w:tcPr>
          <w:p w14:paraId="4C7C86F9">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内存数量</w:t>
            </w:r>
          </w:p>
        </w:tc>
        <w:tc>
          <w:tcPr>
            <w:tcW w:w="4252" w:type="dxa"/>
            <w:tcBorders>
              <w:top w:val="nil"/>
              <w:left w:val="nil"/>
              <w:bottom w:val="single" w:color="auto" w:sz="4" w:space="0"/>
              <w:right w:val="single" w:color="auto" w:sz="4" w:space="0"/>
            </w:tcBorders>
            <w:vAlign w:val="center"/>
          </w:tcPr>
          <w:p w14:paraId="148396F8">
            <w:pPr>
              <w:widowControl/>
              <w:jc w:val="left"/>
              <w:rPr>
                <w:rFonts w:ascii="宋体" w:hAnsi="宋体"/>
                <w:color w:val="auto"/>
                <w:kern w:val="0"/>
                <w:sz w:val="22"/>
                <w:szCs w:val="22"/>
              </w:rPr>
            </w:pPr>
            <w:r>
              <w:rPr>
                <w:rFonts w:hint="eastAsia" w:ascii="宋体" w:hAnsi="宋体"/>
                <w:color w:val="auto"/>
                <w:kern w:val="0"/>
                <w:sz w:val="22"/>
                <w:szCs w:val="22"/>
              </w:rPr>
              <w:t>≥4</w:t>
            </w:r>
          </w:p>
        </w:tc>
      </w:tr>
      <w:tr w14:paraId="58984291">
        <w:tblPrEx>
          <w:tblCellMar>
            <w:top w:w="0" w:type="dxa"/>
            <w:left w:w="108" w:type="dxa"/>
            <w:bottom w:w="0" w:type="dxa"/>
            <w:right w:w="108" w:type="dxa"/>
          </w:tblCellMar>
        </w:tblPrEx>
        <w:trPr>
          <w:gridAfter w:val="1"/>
          <w:wAfter w:w="236" w:type="dxa"/>
          <w:trHeight w:val="90" w:hRule="atLeast"/>
          <w:jc w:val="center"/>
        </w:trPr>
        <w:tc>
          <w:tcPr>
            <w:tcW w:w="779" w:type="dxa"/>
            <w:tcBorders>
              <w:top w:val="nil"/>
              <w:left w:val="single" w:color="auto" w:sz="4" w:space="0"/>
              <w:bottom w:val="single" w:color="auto" w:sz="4" w:space="0"/>
              <w:right w:val="single" w:color="auto" w:sz="4" w:space="0"/>
            </w:tcBorders>
            <w:vAlign w:val="center"/>
          </w:tcPr>
          <w:p w14:paraId="7328B238">
            <w:pPr>
              <w:widowControl/>
              <w:jc w:val="center"/>
              <w:rPr>
                <w:rFonts w:ascii="宋体" w:hAnsi="宋体"/>
                <w:color w:val="auto"/>
                <w:kern w:val="0"/>
                <w:sz w:val="22"/>
                <w:szCs w:val="22"/>
              </w:rPr>
            </w:pPr>
            <w:r>
              <w:rPr>
                <w:rFonts w:hint="eastAsia" w:ascii="宋体" w:hAnsi="宋体"/>
                <w:color w:val="auto"/>
                <w:kern w:val="0"/>
                <w:sz w:val="22"/>
                <w:szCs w:val="22"/>
              </w:rPr>
              <w:t>11</w:t>
            </w:r>
          </w:p>
        </w:tc>
        <w:tc>
          <w:tcPr>
            <w:tcW w:w="1440" w:type="dxa"/>
            <w:vMerge w:val="continue"/>
            <w:tcBorders>
              <w:top w:val="nil"/>
              <w:left w:val="nil"/>
              <w:bottom w:val="single" w:color="auto" w:sz="4" w:space="0"/>
              <w:right w:val="single" w:color="auto" w:sz="4" w:space="0"/>
            </w:tcBorders>
            <w:vAlign w:val="center"/>
          </w:tcPr>
          <w:p w14:paraId="5B930C49">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60766FFA">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内存规格</w:t>
            </w:r>
          </w:p>
        </w:tc>
        <w:tc>
          <w:tcPr>
            <w:tcW w:w="4252" w:type="dxa"/>
            <w:tcBorders>
              <w:top w:val="nil"/>
              <w:left w:val="nil"/>
              <w:bottom w:val="single" w:color="auto" w:sz="4" w:space="0"/>
              <w:right w:val="single" w:color="auto" w:sz="4" w:space="0"/>
            </w:tcBorders>
            <w:vAlign w:val="center"/>
          </w:tcPr>
          <w:p w14:paraId="3F1B30DB">
            <w:pPr>
              <w:widowControl/>
              <w:jc w:val="left"/>
              <w:rPr>
                <w:rFonts w:ascii="宋体" w:hAnsi="宋体"/>
                <w:color w:val="auto"/>
                <w:kern w:val="0"/>
                <w:sz w:val="22"/>
                <w:szCs w:val="22"/>
              </w:rPr>
            </w:pPr>
            <w:r>
              <w:rPr>
                <w:rFonts w:hint="eastAsia" w:ascii="宋体" w:hAnsi="宋体"/>
                <w:color w:val="auto"/>
                <w:kern w:val="0"/>
                <w:sz w:val="22"/>
                <w:szCs w:val="22"/>
              </w:rPr>
              <w:t>≥DDR4</w:t>
            </w:r>
          </w:p>
        </w:tc>
      </w:tr>
      <w:tr w14:paraId="0896E0AD">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2199FFBC">
            <w:pPr>
              <w:widowControl/>
              <w:jc w:val="center"/>
              <w:rPr>
                <w:rFonts w:ascii="宋体" w:hAnsi="宋体"/>
                <w:color w:val="auto"/>
                <w:kern w:val="0"/>
                <w:sz w:val="22"/>
                <w:szCs w:val="22"/>
              </w:rPr>
            </w:pPr>
            <w:r>
              <w:rPr>
                <w:rFonts w:hint="eastAsia" w:ascii="宋体" w:hAnsi="宋体"/>
                <w:color w:val="auto"/>
                <w:kern w:val="0"/>
                <w:sz w:val="22"/>
                <w:szCs w:val="22"/>
              </w:rPr>
              <w:t>12</w:t>
            </w:r>
          </w:p>
        </w:tc>
        <w:tc>
          <w:tcPr>
            <w:tcW w:w="1440" w:type="dxa"/>
            <w:vMerge w:val="continue"/>
            <w:tcBorders>
              <w:top w:val="nil"/>
              <w:left w:val="nil"/>
              <w:bottom w:val="single" w:color="auto" w:sz="4" w:space="0"/>
              <w:right w:val="single" w:color="auto" w:sz="4" w:space="0"/>
            </w:tcBorders>
            <w:vAlign w:val="center"/>
          </w:tcPr>
          <w:p w14:paraId="53A5D34D">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084C7214">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内存通道</w:t>
            </w:r>
          </w:p>
        </w:tc>
        <w:tc>
          <w:tcPr>
            <w:tcW w:w="4252" w:type="dxa"/>
            <w:tcBorders>
              <w:top w:val="nil"/>
              <w:left w:val="nil"/>
              <w:bottom w:val="single" w:color="auto" w:sz="4" w:space="0"/>
              <w:right w:val="single" w:color="auto" w:sz="4" w:space="0"/>
            </w:tcBorders>
            <w:vAlign w:val="center"/>
          </w:tcPr>
          <w:p w14:paraId="52B9DA04">
            <w:pPr>
              <w:widowControl/>
              <w:jc w:val="left"/>
              <w:rPr>
                <w:rFonts w:ascii="宋体" w:hAnsi="宋体"/>
                <w:color w:val="auto"/>
                <w:kern w:val="0"/>
                <w:sz w:val="22"/>
                <w:szCs w:val="22"/>
              </w:rPr>
            </w:pPr>
            <w:r>
              <w:rPr>
                <w:rFonts w:hint="eastAsia" w:ascii="宋体" w:hAnsi="宋体"/>
                <w:color w:val="auto"/>
                <w:kern w:val="0"/>
                <w:sz w:val="22"/>
                <w:szCs w:val="22"/>
              </w:rPr>
              <w:t>支持1DPC、2DPC插法</w:t>
            </w:r>
          </w:p>
        </w:tc>
      </w:tr>
      <w:tr w14:paraId="51AC0345">
        <w:tblPrEx>
          <w:tblCellMar>
            <w:top w:w="0" w:type="dxa"/>
            <w:left w:w="108" w:type="dxa"/>
            <w:bottom w:w="0" w:type="dxa"/>
            <w:right w:w="108" w:type="dxa"/>
          </w:tblCellMar>
        </w:tblPrEx>
        <w:trPr>
          <w:gridAfter w:val="1"/>
          <w:wAfter w:w="236" w:type="dxa"/>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26892729">
            <w:pPr>
              <w:widowControl/>
              <w:jc w:val="center"/>
              <w:rPr>
                <w:rFonts w:ascii="宋体" w:hAnsi="宋体"/>
                <w:color w:val="auto"/>
                <w:kern w:val="0"/>
                <w:sz w:val="22"/>
                <w:szCs w:val="22"/>
              </w:rPr>
            </w:pPr>
            <w:r>
              <w:rPr>
                <w:rFonts w:hint="eastAsia" w:ascii="宋体" w:hAnsi="宋体"/>
                <w:color w:val="auto"/>
                <w:kern w:val="0"/>
                <w:sz w:val="22"/>
                <w:szCs w:val="22"/>
              </w:rPr>
              <w:t>13</w:t>
            </w:r>
          </w:p>
        </w:tc>
        <w:tc>
          <w:tcPr>
            <w:tcW w:w="1440" w:type="dxa"/>
            <w:vMerge w:val="restart"/>
            <w:tcBorders>
              <w:top w:val="nil"/>
              <w:left w:val="nil"/>
              <w:bottom w:val="single" w:color="auto" w:sz="4" w:space="0"/>
              <w:right w:val="single" w:color="auto" w:sz="4" w:space="0"/>
            </w:tcBorders>
            <w:vAlign w:val="center"/>
          </w:tcPr>
          <w:p w14:paraId="4921A49B">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存储规格</w:t>
            </w:r>
          </w:p>
        </w:tc>
        <w:tc>
          <w:tcPr>
            <w:tcW w:w="2627" w:type="dxa"/>
            <w:tcBorders>
              <w:top w:val="nil"/>
              <w:left w:val="nil"/>
              <w:bottom w:val="single" w:color="auto" w:sz="4" w:space="0"/>
              <w:right w:val="single" w:color="auto" w:sz="4" w:space="0"/>
            </w:tcBorders>
            <w:vAlign w:val="center"/>
          </w:tcPr>
          <w:p w14:paraId="2BB56EBD">
            <w:pPr>
              <w:widowControl/>
              <w:jc w:val="left"/>
              <w:rPr>
                <w:rFonts w:ascii="宋体" w:hAnsi="宋体"/>
                <w:color w:val="auto"/>
                <w:kern w:val="0"/>
                <w:sz w:val="22"/>
                <w:szCs w:val="22"/>
              </w:rPr>
            </w:pPr>
            <w:r>
              <w:rPr>
                <w:rFonts w:hint="eastAsia" w:ascii="宋体" w:hAnsi="宋体"/>
                <w:color w:val="auto"/>
                <w:kern w:val="0"/>
                <w:sz w:val="22"/>
                <w:szCs w:val="22"/>
              </w:rPr>
              <w:t>硬盘类型</w:t>
            </w:r>
          </w:p>
        </w:tc>
        <w:tc>
          <w:tcPr>
            <w:tcW w:w="4252" w:type="dxa"/>
            <w:tcBorders>
              <w:top w:val="nil"/>
              <w:left w:val="nil"/>
              <w:bottom w:val="single" w:color="auto" w:sz="4" w:space="0"/>
              <w:right w:val="single" w:color="auto" w:sz="4" w:space="0"/>
            </w:tcBorders>
            <w:vAlign w:val="center"/>
          </w:tcPr>
          <w:p w14:paraId="6C1AAD45">
            <w:pPr>
              <w:widowControl/>
              <w:jc w:val="left"/>
              <w:rPr>
                <w:rFonts w:ascii="宋体" w:hAnsi="宋体"/>
                <w:color w:val="auto"/>
                <w:kern w:val="0"/>
                <w:sz w:val="22"/>
                <w:szCs w:val="22"/>
              </w:rPr>
            </w:pPr>
            <w:r>
              <w:rPr>
                <w:rFonts w:hint="eastAsia" w:ascii="宋体" w:hAnsi="宋体"/>
                <w:color w:val="auto"/>
                <w:kern w:val="0"/>
                <w:sz w:val="22"/>
                <w:szCs w:val="22"/>
              </w:rPr>
              <w:t>供应商给出服务器支持硬磁盘和固态盘类型及规格</w:t>
            </w:r>
          </w:p>
        </w:tc>
      </w:tr>
      <w:tr w14:paraId="4030348C">
        <w:tblPrEx>
          <w:tblCellMar>
            <w:top w:w="0" w:type="dxa"/>
            <w:left w:w="108" w:type="dxa"/>
            <w:bottom w:w="0" w:type="dxa"/>
            <w:right w:w="108" w:type="dxa"/>
          </w:tblCellMar>
        </w:tblPrEx>
        <w:trPr>
          <w:gridAfter w:val="1"/>
          <w:wAfter w:w="236" w:type="dxa"/>
          <w:trHeight w:val="941" w:hRule="atLeast"/>
          <w:jc w:val="center"/>
        </w:trPr>
        <w:tc>
          <w:tcPr>
            <w:tcW w:w="779" w:type="dxa"/>
            <w:tcBorders>
              <w:top w:val="nil"/>
              <w:left w:val="single" w:color="auto" w:sz="4" w:space="0"/>
              <w:bottom w:val="single" w:color="auto" w:sz="4" w:space="0"/>
              <w:right w:val="single" w:color="auto" w:sz="4" w:space="0"/>
            </w:tcBorders>
            <w:vAlign w:val="center"/>
          </w:tcPr>
          <w:p w14:paraId="7FB980DB">
            <w:pPr>
              <w:widowControl/>
              <w:jc w:val="center"/>
              <w:rPr>
                <w:rFonts w:ascii="宋体" w:hAnsi="宋体"/>
                <w:color w:val="auto"/>
                <w:kern w:val="0"/>
                <w:sz w:val="22"/>
                <w:szCs w:val="22"/>
              </w:rPr>
            </w:pPr>
            <w:r>
              <w:rPr>
                <w:rFonts w:hint="eastAsia" w:ascii="宋体" w:hAnsi="宋体"/>
                <w:color w:val="auto"/>
                <w:kern w:val="0"/>
                <w:sz w:val="22"/>
                <w:szCs w:val="22"/>
              </w:rPr>
              <w:t>14</w:t>
            </w:r>
          </w:p>
        </w:tc>
        <w:tc>
          <w:tcPr>
            <w:tcW w:w="1440" w:type="dxa"/>
            <w:vMerge w:val="continue"/>
            <w:tcBorders>
              <w:top w:val="nil"/>
              <w:left w:val="nil"/>
              <w:bottom w:val="single" w:color="auto" w:sz="4" w:space="0"/>
              <w:right w:val="single" w:color="auto" w:sz="4" w:space="0"/>
            </w:tcBorders>
            <w:vAlign w:val="center"/>
          </w:tcPr>
          <w:p w14:paraId="7365384A">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260839DA">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硬磁盘实配容量</w:t>
            </w:r>
          </w:p>
        </w:tc>
        <w:tc>
          <w:tcPr>
            <w:tcW w:w="4252" w:type="dxa"/>
            <w:tcBorders>
              <w:top w:val="nil"/>
              <w:left w:val="nil"/>
              <w:bottom w:val="single" w:color="auto" w:sz="4" w:space="0"/>
              <w:right w:val="single" w:color="auto" w:sz="4" w:space="0"/>
            </w:tcBorders>
            <w:vAlign w:val="center"/>
          </w:tcPr>
          <w:p w14:paraId="786A5648">
            <w:pPr>
              <w:widowControl/>
              <w:jc w:val="left"/>
              <w:rPr>
                <w:rFonts w:ascii="宋体" w:hAnsi="宋体"/>
                <w:color w:val="auto"/>
                <w:kern w:val="0"/>
                <w:sz w:val="22"/>
                <w:szCs w:val="22"/>
              </w:rPr>
            </w:pPr>
            <w:r>
              <w:rPr>
                <w:rFonts w:hint="eastAsia" w:ascii="宋体" w:hAnsi="宋体"/>
                <w:color w:val="auto"/>
                <w:kern w:val="0"/>
                <w:sz w:val="22"/>
                <w:szCs w:val="22"/>
              </w:rPr>
              <w:t>1、系统盘≥3.84TB SSD固态硬盘*1块；</w:t>
            </w:r>
          </w:p>
          <w:p w14:paraId="5D4856CB">
            <w:pPr>
              <w:widowControl/>
              <w:jc w:val="left"/>
              <w:rPr>
                <w:rFonts w:ascii="宋体" w:hAnsi="宋体"/>
                <w:color w:val="auto"/>
                <w:kern w:val="0"/>
                <w:sz w:val="22"/>
                <w:szCs w:val="22"/>
              </w:rPr>
            </w:pPr>
            <w:r>
              <w:rPr>
                <w:rFonts w:hint="eastAsia" w:ascii="宋体" w:hAnsi="宋体"/>
                <w:color w:val="auto"/>
                <w:kern w:val="0"/>
                <w:sz w:val="22"/>
                <w:szCs w:val="22"/>
              </w:rPr>
              <w:t>2数据盘：≥8TB HDD 机械硬盘*4块。</w:t>
            </w:r>
          </w:p>
        </w:tc>
      </w:tr>
      <w:tr w14:paraId="6F28E9F7">
        <w:tblPrEx>
          <w:tblCellMar>
            <w:top w:w="0" w:type="dxa"/>
            <w:left w:w="108" w:type="dxa"/>
            <w:bottom w:w="0" w:type="dxa"/>
            <w:right w:w="108" w:type="dxa"/>
          </w:tblCellMar>
        </w:tblPrEx>
        <w:trPr>
          <w:gridAfter w:val="1"/>
          <w:wAfter w:w="236" w:type="dxa"/>
          <w:trHeight w:val="717" w:hRule="atLeast"/>
          <w:jc w:val="center"/>
        </w:trPr>
        <w:tc>
          <w:tcPr>
            <w:tcW w:w="779" w:type="dxa"/>
            <w:tcBorders>
              <w:top w:val="nil"/>
              <w:left w:val="single" w:color="auto" w:sz="4" w:space="0"/>
              <w:bottom w:val="single" w:color="auto" w:sz="4" w:space="0"/>
              <w:right w:val="single" w:color="auto" w:sz="4" w:space="0"/>
            </w:tcBorders>
            <w:vAlign w:val="center"/>
          </w:tcPr>
          <w:p w14:paraId="5111E004">
            <w:pPr>
              <w:widowControl/>
              <w:jc w:val="center"/>
              <w:rPr>
                <w:rFonts w:ascii="宋体" w:hAnsi="宋体"/>
                <w:color w:val="auto"/>
                <w:kern w:val="0"/>
                <w:sz w:val="22"/>
                <w:szCs w:val="22"/>
              </w:rPr>
            </w:pPr>
            <w:r>
              <w:rPr>
                <w:rFonts w:hint="eastAsia" w:ascii="宋体" w:hAnsi="宋体"/>
                <w:color w:val="auto"/>
                <w:kern w:val="0"/>
                <w:sz w:val="22"/>
                <w:szCs w:val="22"/>
              </w:rPr>
              <w:t>15</w:t>
            </w:r>
          </w:p>
        </w:tc>
        <w:tc>
          <w:tcPr>
            <w:tcW w:w="1440" w:type="dxa"/>
            <w:vMerge w:val="continue"/>
            <w:tcBorders>
              <w:top w:val="nil"/>
              <w:left w:val="nil"/>
              <w:bottom w:val="single" w:color="auto" w:sz="4" w:space="0"/>
              <w:right w:val="single" w:color="auto" w:sz="4" w:space="0"/>
            </w:tcBorders>
            <w:vAlign w:val="center"/>
          </w:tcPr>
          <w:p w14:paraId="47FCD875">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2070EEC0">
            <w:pPr>
              <w:widowControl/>
              <w:jc w:val="left"/>
              <w:rPr>
                <w:rFonts w:ascii="宋体" w:hAnsi="宋体"/>
                <w:color w:val="auto"/>
                <w:kern w:val="0"/>
                <w:sz w:val="22"/>
                <w:szCs w:val="22"/>
              </w:rPr>
            </w:pPr>
            <w:r>
              <w:rPr>
                <w:rFonts w:hint="eastAsia" w:ascii="宋体" w:hAnsi="宋体"/>
                <w:color w:val="auto"/>
                <w:kern w:val="0"/>
                <w:sz w:val="22"/>
                <w:szCs w:val="22"/>
              </w:rPr>
              <w:t>硬盘接口类型</w:t>
            </w:r>
          </w:p>
        </w:tc>
        <w:tc>
          <w:tcPr>
            <w:tcW w:w="4252" w:type="dxa"/>
            <w:tcBorders>
              <w:top w:val="nil"/>
              <w:left w:val="nil"/>
              <w:bottom w:val="single" w:color="auto" w:sz="4" w:space="0"/>
              <w:right w:val="single" w:color="auto" w:sz="4" w:space="0"/>
            </w:tcBorders>
            <w:vAlign w:val="center"/>
          </w:tcPr>
          <w:p w14:paraId="788EFF79">
            <w:pPr>
              <w:widowControl/>
              <w:jc w:val="left"/>
              <w:rPr>
                <w:rFonts w:ascii="宋体" w:hAnsi="宋体"/>
                <w:color w:val="auto"/>
                <w:kern w:val="0"/>
                <w:sz w:val="22"/>
                <w:szCs w:val="22"/>
              </w:rPr>
            </w:pPr>
            <w:r>
              <w:rPr>
                <w:rFonts w:hint="eastAsia" w:ascii="宋体" w:hAnsi="宋体"/>
                <w:color w:val="auto"/>
                <w:kern w:val="0"/>
                <w:sz w:val="22"/>
                <w:szCs w:val="22"/>
              </w:rPr>
              <w:t>支持SAS、SATA接口HDD硬盘，支持SATA SSD、U.2 NVMe SSD固态硬盘</w:t>
            </w:r>
          </w:p>
        </w:tc>
      </w:tr>
      <w:tr w14:paraId="7A263449">
        <w:tblPrEx>
          <w:tblCellMar>
            <w:top w:w="0" w:type="dxa"/>
            <w:left w:w="108" w:type="dxa"/>
            <w:bottom w:w="0" w:type="dxa"/>
            <w:right w:w="108" w:type="dxa"/>
          </w:tblCellMar>
        </w:tblPrEx>
        <w:trPr>
          <w:gridAfter w:val="1"/>
          <w:wAfter w:w="236" w:type="dxa"/>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7A0A6204">
            <w:pPr>
              <w:widowControl/>
              <w:jc w:val="center"/>
              <w:rPr>
                <w:rFonts w:ascii="宋体" w:hAnsi="宋体"/>
                <w:color w:val="auto"/>
                <w:kern w:val="0"/>
                <w:sz w:val="22"/>
                <w:szCs w:val="22"/>
              </w:rPr>
            </w:pPr>
            <w:r>
              <w:rPr>
                <w:rFonts w:hint="eastAsia" w:ascii="宋体" w:hAnsi="宋体"/>
                <w:color w:val="auto"/>
                <w:kern w:val="0"/>
                <w:sz w:val="22"/>
                <w:szCs w:val="22"/>
              </w:rPr>
              <w:t>16</w:t>
            </w:r>
          </w:p>
        </w:tc>
        <w:tc>
          <w:tcPr>
            <w:tcW w:w="1440" w:type="dxa"/>
            <w:vMerge w:val="continue"/>
            <w:tcBorders>
              <w:top w:val="nil"/>
              <w:left w:val="nil"/>
              <w:bottom w:val="single" w:color="auto" w:sz="4" w:space="0"/>
              <w:right w:val="single" w:color="auto" w:sz="4" w:space="0"/>
            </w:tcBorders>
            <w:vAlign w:val="center"/>
          </w:tcPr>
          <w:p w14:paraId="780D8D42">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2951D54D">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硬盘实配数量</w:t>
            </w:r>
          </w:p>
        </w:tc>
        <w:tc>
          <w:tcPr>
            <w:tcW w:w="4252" w:type="dxa"/>
            <w:tcBorders>
              <w:top w:val="nil"/>
              <w:left w:val="nil"/>
              <w:bottom w:val="single" w:color="auto" w:sz="4" w:space="0"/>
              <w:right w:val="single" w:color="auto" w:sz="4" w:space="0"/>
            </w:tcBorders>
            <w:vAlign w:val="center"/>
          </w:tcPr>
          <w:p w14:paraId="25A64C48">
            <w:pPr>
              <w:widowControl/>
              <w:jc w:val="left"/>
              <w:rPr>
                <w:rFonts w:ascii="宋体" w:hAnsi="宋体"/>
                <w:color w:val="auto"/>
                <w:kern w:val="0"/>
                <w:sz w:val="22"/>
                <w:szCs w:val="22"/>
              </w:rPr>
            </w:pPr>
            <w:r>
              <w:rPr>
                <w:rFonts w:hint="eastAsia" w:ascii="宋体" w:hAnsi="宋体"/>
                <w:color w:val="auto"/>
                <w:kern w:val="0"/>
                <w:sz w:val="22"/>
                <w:szCs w:val="22"/>
              </w:rPr>
              <w:t>≥1块固态硬盘，≥4块存储硬盘</w:t>
            </w:r>
          </w:p>
        </w:tc>
      </w:tr>
      <w:tr w14:paraId="58D14A85">
        <w:tblPrEx>
          <w:tblCellMar>
            <w:top w:w="0" w:type="dxa"/>
            <w:left w:w="108" w:type="dxa"/>
            <w:bottom w:w="0" w:type="dxa"/>
            <w:right w:w="108" w:type="dxa"/>
          </w:tblCellMar>
        </w:tblPrEx>
        <w:trPr>
          <w:gridAfter w:val="1"/>
          <w:wAfter w:w="236" w:type="dxa"/>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6757D49A">
            <w:pPr>
              <w:widowControl/>
              <w:jc w:val="center"/>
              <w:rPr>
                <w:rFonts w:ascii="宋体" w:hAnsi="宋体"/>
                <w:color w:val="auto"/>
                <w:kern w:val="0"/>
                <w:sz w:val="22"/>
                <w:szCs w:val="22"/>
              </w:rPr>
            </w:pPr>
            <w:r>
              <w:rPr>
                <w:rFonts w:hint="eastAsia" w:ascii="宋体" w:hAnsi="宋体"/>
                <w:color w:val="auto"/>
                <w:kern w:val="0"/>
                <w:sz w:val="22"/>
                <w:szCs w:val="22"/>
              </w:rPr>
              <w:t>17</w:t>
            </w:r>
          </w:p>
        </w:tc>
        <w:tc>
          <w:tcPr>
            <w:tcW w:w="1440" w:type="dxa"/>
            <w:vMerge w:val="continue"/>
            <w:tcBorders>
              <w:top w:val="nil"/>
              <w:left w:val="nil"/>
              <w:bottom w:val="single" w:color="auto" w:sz="4" w:space="0"/>
              <w:right w:val="single" w:color="auto" w:sz="4" w:space="0"/>
            </w:tcBorders>
            <w:vAlign w:val="center"/>
          </w:tcPr>
          <w:p w14:paraId="2F1F8ACE">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78C4D77F">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硬盘插槽数量及规格</w:t>
            </w:r>
          </w:p>
        </w:tc>
        <w:tc>
          <w:tcPr>
            <w:tcW w:w="4252" w:type="dxa"/>
            <w:tcBorders>
              <w:top w:val="nil"/>
              <w:left w:val="nil"/>
              <w:bottom w:val="single" w:color="auto" w:sz="4" w:space="0"/>
              <w:right w:val="single" w:color="auto" w:sz="4" w:space="0"/>
            </w:tcBorders>
            <w:vAlign w:val="center"/>
          </w:tcPr>
          <w:p w14:paraId="099D2C8B">
            <w:pPr>
              <w:widowControl/>
              <w:jc w:val="left"/>
              <w:rPr>
                <w:rFonts w:ascii="宋体" w:hAnsi="宋体"/>
                <w:color w:val="auto"/>
                <w:kern w:val="0"/>
                <w:sz w:val="22"/>
                <w:szCs w:val="22"/>
              </w:rPr>
            </w:pPr>
            <w:r>
              <w:rPr>
                <w:rFonts w:hint="eastAsia" w:ascii="宋体" w:hAnsi="宋体"/>
                <w:color w:val="auto"/>
                <w:kern w:val="0"/>
                <w:sz w:val="22"/>
                <w:szCs w:val="22"/>
              </w:rPr>
              <w:t>存储：默认支持≥8个3.5”/2.5” SATA/SAS/SSD 硬盘</w:t>
            </w:r>
          </w:p>
        </w:tc>
      </w:tr>
      <w:tr w14:paraId="4F12C8D6">
        <w:tblPrEx>
          <w:tblCellMar>
            <w:top w:w="0" w:type="dxa"/>
            <w:left w:w="108" w:type="dxa"/>
            <w:bottom w:w="0" w:type="dxa"/>
            <w:right w:w="108" w:type="dxa"/>
          </w:tblCellMar>
        </w:tblPrEx>
        <w:trPr>
          <w:gridAfter w:val="1"/>
          <w:wAfter w:w="236" w:type="dxa"/>
          <w:trHeight w:val="64" w:hRule="atLeast"/>
          <w:jc w:val="center"/>
        </w:trPr>
        <w:tc>
          <w:tcPr>
            <w:tcW w:w="779" w:type="dxa"/>
            <w:tcBorders>
              <w:top w:val="nil"/>
              <w:left w:val="single" w:color="auto" w:sz="4" w:space="0"/>
              <w:bottom w:val="single" w:color="auto" w:sz="4" w:space="0"/>
              <w:right w:val="single" w:color="auto" w:sz="4" w:space="0"/>
            </w:tcBorders>
            <w:vAlign w:val="center"/>
          </w:tcPr>
          <w:p w14:paraId="41B54202">
            <w:pPr>
              <w:widowControl/>
              <w:jc w:val="center"/>
              <w:rPr>
                <w:rFonts w:ascii="宋体" w:hAnsi="宋体"/>
                <w:color w:val="auto"/>
                <w:kern w:val="0"/>
                <w:sz w:val="22"/>
                <w:szCs w:val="22"/>
              </w:rPr>
            </w:pPr>
            <w:r>
              <w:rPr>
                <w:rFonts w:hint="eastAsia" w:ascii="宋体" w:hAnsi="宋体"/>
                <w:color w:val="auto"/>
                <w:kern w:val="0"/>
                <w:sz w:val="22"/>
                <w:szCs w:val="22"/>
              </w:rPr>
              <w:t>18</w:t>
            </w:r>
          </w:p>
        </w:tc>
        <w:tc>
          <w:tcPr>
            <w:tcW w:w="1440" w:type="dxa"/>
            <w:vMerge w:val="continue"/>
            <w:tcBorders>
              <w:top w:val="nil"/>
              <w:left w:val="nil"/>
              <w:bottom w:val="single" w:color="auto" w:sz="4" w:space="0"/>
              <w:right w:val="single" w:color="auto" w:sz="4" w:space="0"/>
            </w:tcBorders>
            <w:vAlign w:val="center"/>
          </w:tcPr>
          <w:p w14:paraId="09BD825E">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57506CCF">
            <w:pPr>
              <w:widowControl/>
              <w:jc w:val="left"/>
              <w:rPr>
                <w:rFonts w:ascii="宋体" w:hAnsi="宋体"/>
                <w:color w:val="auto"/>
                <w:kern w:val="0"/>
                <w:sz w:val="22"/>
                <w:szCs w:val="22"/>
              </w:rPr>
            </w:pPr>
            <w:r>
              <w:rPr>
                <w:rFonts w:hint="eastAsia" w:ascii="宋体" w:hAnsi="宋体"/>
                <w:color w:val="auto"/>
                <w:kern w:val="0"/>
                <w:sz w:val="22"/>
                <w:szCs w:val="22"/>
              </w:rPr>
              <w:t>硬盘其他参数要求</w:t>
            </w:r>
          </w:p>
        </w:tc>
        <w:tc>
          <w:tcPr>
            <w:tcW w:w="4252" w:type="dxa"/>
            <w:tcBorders>
              <w:top w:val="nil"/>
              <w:left w:val="nil"/>
              <w:bottom w:val="single" w:color="auto" w:sz="4" w:space="0"/>
              <w:right w:val="single" w:color="auto" w:sz="4" w:space="0"/>
            </w:tcBorders>
            <w:vAlign w:val="center"/>
          </w:tcPr>
          <w:p w14:paraId="7CDB22A8">
            <w:pPr>
              <w:widowControl/>
              <w:jc w:val="left"/>
              <w:rPr>
                <w:rFonts w:ascii="宋体" w:hAnsi="宋体"/>
                <w:color w:val="auto"/>
                <w:kern w:val="0"/>
                <w:sz w:val="22"/>
                <w:szCs w:val="22"/>
              </w:rPr>
            </w:pPr>
            <w:r>
              <w:rPr>
                <w:rFonts w:hint="eastAsia" w:ascii="宋体" w:hAnsi="宋体"/>
                <w:color w:val="auto"/>
                <w:kern w:val="0"/>
                <w:sz w:val="22"/>
                <w:szCs w:val="22"/>
              </w:rPr>
              <w:t>a)机械硬盘准备时间应不大于30s；侧面固定螺丝孔数量可为4孔或6孔；工作状态环境温度应满足5℃55℃,其它参数应符合GB/T12628的相关规定；b)若服务器支持固态盘，固态盘符合SJ/T11654相关规定</w:t>
            </w:r>
          </w:p>
        </w:tc>
      </w:tr>
      <w:tr w14:paraId="5E3A96E4">
        <w:tblPrEx>
          <w:tblCellMar>
            <w:top w:w="0" w:type="dxa"/>
            <w:left w:w="108" w:type="dxa"/>
            <w:bottom w:w="0" w:type="dxa"/>
            <w:right w:w="108" w:type="dxa"/>
          </w:tblCellMar>
        </w:tblPrEx>
        <w:trPr>
          <w:gridAfter w:val="1"/>
          <w:wAfter w:w="236" w:type="dxa"/>
          <w:trHeight w:val="717" w:hRule="atLeast"/>
          <w:jc w:val="center"/>
        </w:trPr>
        <w:tc>
          <w:tcPr>
            <w:tcW w:w="779" w:type="dxa"/>
            <w:tcBorders>
              <w:top w:val="nil"/>
              <w:left w:val="single" w:color="auto" w:sz="4" w:space="0"/>
              <w:bottom w:val="single" w:color="auto" w:sz="4" w:space="0"/>
              <w:right w:val="single" w:color="auto" w:sz="4" w:space="0"/>
            </w:tcBorders>
            <w:vAlign w:val="center"/>
          </w:tcPr>
          <w:p w14:paraId="507E9EC7">
            <w:pPr>
              <w:widowControl/>
              <w:jc w:val="center"/>
              <w:rPr>
                <w:rFonts w:ascii="宋体" w:hAnsi="宋体"/>
                <w:color w:val="auto"/>
                <w:kern w:val="0"/>
                <w:sz w:val="22"/>
                <w:szCs w:val="22"/>
              </w:rPr>
            </w:pPr>
            <w:r>
              <w:rPr>
                <w:rFonts w:hint="eastAsia" w:ascii="宋体" w:hAnsi="宋体"/>
                <w:color w:val="auto"/>
                <w:kern w:val="0"/>
                <w:sz w:val="22"/>
                <w:szCs w:val="22"/>
              </w:rPr>
              <w:t>19</w:t>
            </w:r>
          </w:p>
        </w:tc>
        <w:tc>
          <w:tcPr>
            <w:tcW w:w="1440" w:type="dxa"/>
            <w:tcBorders>
              <w:top w:val="nil"/>
              <w:left w:val="nil"/>
              <w:bottom w:val="single" w:color="auto" w:sz="4" w:space="0"/>
              <w:right w:val="single" w:color="auto" w:sz="4" w:space="0"/>
            </w:tcBorders>
            <w:vAlign w:val="center"/>
          </w:tcPr>
          <w:p w14:paraId="66E6A4C3">
            <w:pPr>
              <w:widowControl/>
              <w:jc w:val="center"/>
              <w:rPr>
                <w:rFonts w:ascii="宋体" w:hAnsi="宋体"/>
                <w:color w:val="auto"/>
                <w:kern w:val="0"/>
                <w:sz w:val="22"/>
                <w:szCs w:val="22"/>
              </w:rPr>
            </w:pPr>
            <w:r>
              <w:rPr>
                <w:rFonts w:hint="eastAsia" w:ascii="宋体" w:hAnsi="宋体"/>
                <w:color w:val="auto"/>
                <w:kern w:val="0"/>
                <w:sz w:val="22"/>
                <w:szCs w:val="22"/>
              </w:rPr>
              <w:t>RAID卡规格（若支持RAID卡）</w:t>
            </w:r>
          </w:p>
        </w:tc>
        <w:tc>
          <w:tcPr>
            <w:tcW w:w="2627" w:type="dxa"/>
            <w:tcBorders>
              <w:top w:val="nil"/>
              <w:left w:val="nil"/>
              <w:bottom w:val="single" w:color="auto" w:sz="4" w:space="0"/>
              <w:right w:val="single" w:color="auto" w:sz="4" w:space="0"/>
            </w:tcBorders>
            <w:vAlign w:val="center"/>
          </w:tcPr>
          <w:p w14:paraId="13F645A4">
            <w:pPr>
              <w:widowControl/>
              <w:jc w:val="left"/>
              <w:rPr>
                <w:rFonts w:ascii="宋体" w:hAnsi="宋体"/>
                <w:color w:val="auto"/>
                <w:kern w:val="0"/>
                <w:sz w:val="22"/>
                <w:szCs w:val="22"/>
              </w:rPr>
            </w:pPr>
            <w:r>
              <w:rPr>
                <w:rFonts w:hint="eastAsia" w:ascii="宋体" w:hAnsi="宋体"/>
                <w:color w:val="auto"/>
                <w:kern w:val="0"/>
                <w:sz w:val="22"/>
                <w:szCs w:val="22"/>
              </w:rPr>
              <w:t>RAID卡支持的SAS</w:t>
            </w:r>
          </w:p>
        </w:tc>
        <w:tc>
          <w:tcPr>
            <w:tcW w:w="4252" w:type="dxa"/>
            <w:tcBorders>
              <w:top w:val="nil"/>
              <w:left w:val="nil"/>
              <w:bottom w:val="single" w:color="auto" w:sz="4" w:space="0"/>
              <w:right w:val="single" w:color="auto" w:sz="4" w:space="0"/>
            </w:tcBorders>
            <w:vAlign w:val="center"/>
          </w:tcPr>
          <w:p w14:paraId="0D6EFACA">
            <w:pPr>
              <w:widowControl/>
              <w:jc w:val="left"/>
              <w:rPr>
                <w:rFonts w:ascii="宋体" w:hAnsi="宋体"/>
                <w:color w:val="auto"/>
                <w:kern w:val="0"/>
                <w:sz w:val="22"/>
                <w:szCs w:val="22"/>
              </w:rPr>
            </w:pPr>
            <w:r>
              <w:rPr>
                <w:rFonts w:hint="eastAsia" w:ascii="宋体" w:hAnsi="宋体"/>
                <w:color w:val="auto"/>
                <w:kern w:val="0"/>
                <w:sz w:val="22"/>
                <w:szCs w:val="22"/>
              </w:rPr>
              <w:t>≥8</w:t>
            </w:r>
          </w:p>
        </w:tc>
      </w:tr>
      <w:tr w14:paraId="520D4E9A">
        <w:tblPrEx>
          <w:tblCellMar>
            <w:top w:w="0" w:type="dxa"/>
            <w:left w:w="108" w:type="dxa"/>
            <w:bottom w:w="0" w:type="dxa"/>
            <w:right w:w="108" w:type="dxa"/>
          </w:tblCellMar>
        </w:tblPrEx>
        <w:trPr>
          <w:gridAfter w:val="1"/>
          <w:wAfter w:w="236" w:type="dxa"/>
          <w:trHeight w:val="717" w:hRule="atLeast"/>
          <w:jc w:val="center"/>
        </w:trPr>
        <w:tc>
          <w:tcPr>
            <w:tcW w:w="779" w:type="dxa"/>
            <w:tcBorders>
              <w:top w:val="nil"/>
              <w:left w:val="single" w:color="auto" w:sz="4" w:space="0"/>
              <w:bottom w:val="single" w:color="auto" w:sz="4" w:space="0"/>
              <w:right w:val="single" w:color="auto" w:sz="4" w:space="0"/>
            </w:tcBorders>
            <w:vAlign w:val="center"/>
          </w:tcPr>
          <w:p w14:paraId="26FFEC96">
            <w:pPr>
              <w:widowControl/>
              <w:jc w:val="center"/>
              <w:rPr>
                <w:rFonts w:ascii="宋体" w:hAnsi="宋体"/>
                <w:color w:val="auto"/>
                <w:kern w:val="0"/>
                <w:sz w:val="22"/>
                <w:szCs w:val="22"/>
              </w:rPr>
            </w:pPr>
            <w:r>
              <w:rPr>
                <w:rFonts w:hint="eastAsia" w:ascii="宋体" w:hAnsi="宋体"/>
                <w:color w:val="auto"/>
                <w:kern w:val="0"/>
                <w:sz w:val="22"/>
                <w:szCs w:val="22"/>
              </w:rPr>
              <w:t>20</w:t>
            </w:r>
          </w:p>
        </w:tc>
        <w:tc>
          <w:tcPr>
            <w:tcW w:w="1440" w:type="dxa"/>
            <w:tcBorders>
              <w:top w:val="nil"/>
              <w:left w:val="nil"/>
              <w:bottom w:val="single" w:color="auto" w:sz="4" w:space="0"/>
              <w:right w:val="single" w:color="auto" w:sz="4" w:space="0"/>
            </w:tcBorders>
            <w:vAlign w:val="center"/>
          </w:tcPr>
          <w:p w14:paraId="54377146">
            <w:pPr>
              <w:widowControl/>
              <w:jc w:val="center"/>
              <w:rPr>
                <w:rFonts w:ascii="宋体" w:hAnsi="宋体"/>
                <w:color w:val="auto"/>
                <w:kern w:val="0"/>
                <w:sz w:val="22"/>
                <w:szCs w:val="22"/>
              </w:rPr>
            </w:pPr>
            <w:r>
              <w:rPr>
                <w:rFonts w:hint="eastAsia" w:ascii="宋体" w:hAnsi="宋体"/>
                <w:color w:val="auto"/>
                <w:kern w:val="0"/>
                <w:sz w:val="22"/>
                <w:szCs w:val="22"/>
              </w:rPr>
              <w:t>SAS直通卡规格(若支持SAS直通卡)</w:t>
            </w:r>
          </w:p>
        </w:tc>
        <w:tc>
          <w:tcPr>
            <w:tcW w:w="2627" w:type="dxa"/>
            <w:tcBorders>
              <w:top w:val="nil"/>
              <w:left w:val="nil"/>
              <w:bottom w:val="single" w:color="auto" w:sz="4" w:space="0"/>
              <w:right w:val="single" w:color="auto" w:sz="4" w:space="0"/>
            </w:tcBorders>
            <w:vAlign w:val="center"/>
          </w:tcPr>
          <w:p w14:paraId="2D06C4BE">
            <w:pPr>
              <w:widowControl/>
              <w:jc w:val="left"/>
              <w:rPr>
                <w:rFonts w:ascii="宋体" w:hAnsi="宋体"/>
                <w:color w:val="auto"/>
                <w:kern w:val="0"/>
                <w:sz w:val="22"/>
                <w:szCs w:val="22"/>
              </w:rPr>
            </w:pPr>
            <w:r>
              <w:rPr>
                <w:rFonts w:hint="eastAsia" w:ascii="宋体" w:hAnsi="宋体"/>
                <w:color w:val="auto"/>
                <w:kern w:val="0"/>
                <w:sz w:val="22"/>
                <w:szCs w:val="22"/>
              </w:rPr>
              <w:t>SAS直通卡SAS接口数量</w:t>
            </w:r>
          </w:p>
        </w:tc>
        <w:tc>
          <w:tcPr>
            <w:tcW w:w="4252" w:type="dxa"/>
            <w:tcBorders>
              <w:top w:val="nil"/>
              <w:left w:val="nil"/>
              <w:bottom w:val="single" w:color="auto" w:sz="4" w:space="0"/>
              <w:right w:val="single" w:color="auto" w:sz="4" w:space="0"/>
            </w:tcBorders>
            <w:vAlign w:val="center"/>
          </w:tcPr>
          <w:p w14:paraId="6B7CA690">
            <w:pPr>
              <w:widowControl/>
              <w:jc w:val="left"/>
              <w:rPr>
                <w:rFonts w:ascii="宋体" w:hAnsi="宋体"/>
                <w:color w:val="auto"/>
                <w:kern w:val="0"/>
                <w:sz w:val="22"/>
                <w:szCs w:val="22"/>
              </w:rPr>
            </w:pPr>
            <w:r>
              <w:rPr>
                <w:rFonts w:hint="eastAsia" w:ascii="宋体" w:hAnsi="宋体"/>
                <w:color w:val="auto"/>
                <w:kern w:val="0"/>
                <w:sz w:val="22"/>
                <w:szCs w:val="22"/>
              </w:rPr>
              <w:t>≥8</w:t>
            </w:r>
          </w:p>
        </w:tc>
      </w:tr>
      <w:tr w14:paraId="4C6048D5">
        <w:tblPrEx>
          <w:tblCellMar>
            <w:top w:w="0" w:type="dxa"/>
            <w:left w:w="108" w:type="dxa"/>
            <w:bottom w:w="0" w:type="dxa"/>
            <w:right w:w="108" w:type="dxa"/>
          </w:tblCellMar>
        </w:tblPrEx>
        <w:trPr>
          <w:gridAfter w:val="1"/>
          <w:wAfter w:w="236" w:type="dxa"/>
          <w:trHeight w:val="717" w:hRule="atLeast"/>
          <w:jc w:val="center"/>
        </w:trPr>
        <w:tc>
          <w:tcPr>
            <w:tcW w:w="779" w:type="dxa"/>
            <w:tcBorders>
              <w:top w:val="nil"/>
              <w:left w:val="single" w:color="auto" w:sz="4" w:space="0"/>
              <w:bottom w:val="single" w:color="auto" w:sz="4" w:space="0"/>
              <w:right w:val="single" w:color="auto" w:sz="4" w:space="0"/>
            </w:tcBorders>
            <w:vAlign w:val="center"/>
          </w:tcPr>
          <w:p w14:paraId="7A2F1D6F">
            <w:pPr>
              <w:widowControl/>
              <w:jc w:val="center"/>
              <w:rPr>
                <w:rFonts w:ascii="宋体" w:hAnsi="宋体"/>
                <w:color w:val="auto"/>
                <w:kern w:val="0"/>
                <w:sz w:val="22"/>
                <w:szCs w:val="22"/>
              </w:rPr>
            </w:pPr>
            <w:r>
              <w:rPr>
                <w:rFonts w:hint="eastAsia" w:ascii="宋体" w:hAnsi="宋体"/>
                <w:color w:val="auto"/>
                <w:kern w:val="0"/>
                <w:sz w:val="22"/>
                <w:szCs w:val="22"/>
              </w:rPr>
              <w:t>21</w:t>
            </w:r>
          </w:p>
        </w:tc>
        <w:tc>
          <w:tcPr>
            <w:tcW w:w="1440" w:type="dxa"/>
            <w:tcBorders>
              <w:top w:val="nil"/>
              <w:left w:val="nil"/>
              <w:bottom w:val="single" w:color="auto" w:sz="4" w:space="0"/>
              <w:right w:val="single" w:color="auto" w:sz="4" w:space="0"/>
            </w:tcBorders>
            <w:vAlign w:val="center"/>
          </w:tcPr>
          <w:p w14:paraId="6EF1D3BF">
            <w:pPr>
              <w:widowControl/>
              <w:jc w:val="center"/>
              <w:rPr>
                <w:rFonts w:ascii="宋体" w:hAnsi="宋体"/>
                <w:color w:val="auto"/>
                <w:kern w:val="0"/>
                <w:sz w:val="22"/>
                <w:szCs w:val="22"/>
              </w:rPr>
            </w:pPr>
            <w:r>
              <w:rPr>
                <w:rFonts w:hint="eastAsia" w:ascii="宋体" w:hAnsi="宋体"/>
                <w:color w:val="auto"/>
                <w:kern w:val="0"/>
                <w:sz w:val="22"/>
                <w:szCs w:val="22"/>
              </w:rPr>
              <w:t>HBA卡规格(若支持HBA直通卡)</w:t>
            </w:r>
          </w:p>
        </w:tc>
        <w:tc>
          <w:tcPr>
            <w:tcW w:w="2627" w:type="dxa"/>
            <w:tcBorders>
              <w:top w:val="nil"/>
              <w:left w:val="nil"/>
              <w:bottom w:val="single" w:color="auto" w:sz="4" w:space="0"/>
              <w:right w:val="single" w:color="auto" w:sz="4" w:space="0"/>
            </w:tcBorders>
            <w:vAlign w:val="center"/>
          </w:tcPr>
          <w:p w14:paraId="21761EB6">
            <w:pPr>
              <w:widowControl/>
              <w:jc w:val="left"/>
              <w:rPr>
                <w:rFonts w:ascii="宋体" w:hAnsi="宋体"/>
                <w:color w:val="auto"/>
                <w:kern w:val="0"/>
                <w:sz w:val="22"/>
                <w:szCs w:val="22"/>
              </w:rPr>
            </w:pPr>
            <w:r>
              <w:rPr>
                <w:rFonts w:hint="eastAsia" w:ascii="宋体" w:hAnsi="宋体"/>
                <w:color w:val="auto"/>
                <w:kern w:val="0"/>
                <w:sz w:val="22"/>
                <w:szCs w:val="22"/>
              </w:rPr>
              <w:t>HBA卡端口数量</w:t>
            </w:r>
          </w:p>
        </w:tc>
        <w:tc>
          <w:tcPr>
            <w:tcW w:w="4252" w:type="dxa"/>
            <w:tcBorders>
              <w:top w:val="nil"/>
              <w:left w:val="nil"/>
              <w:bottom w:val="single" w:color="auto" w:sz="4" w:space="0"/>
              <w:right w:val="single" w:color="auto" w:sz="4" w:space="0"/>
            </w:tcBorders>
            <w:vAlign w:val="center"/>
          </w:tcPr>
          <w:p w14:paraId="6E90C026">
            <w:pPr>
              <w:widowControl/>
              <w:jc w:val="left"/>
              <w:rPr>
                <w:rFonts w:ascii="宋体" w:hAnsi="宋体"/>
                <w:color w:val="auto"/>
                <w:kern w:val="0"/>
                <w:sz w:val="22"/>
                <w:szCs w:val="22"/>
              </w:rPr>
            </w:pPr>
            <w:r>
              <w:rPr>
                <w:rFonts w:hint="eastAsia" w:ascii="宋体" w:hAnsi="宋体"/>
                <w:color w:val="auto"/>
                <w:kern w:val="0"/>
                <w:sz w:val="22"/>
                <w:szCs w:val="22"/>
              </w:rPr>
              <w:t>≥0</w:t>
            </w:r>
          </w:p>
        </w:tc>
      </w:tr>
      <w:tr w14:paraId="52DBC799">
        <w:tblPrEx>
          <w:tblCellMar>
            <w:top w:w="0" w:type="dxa"/>
            <w:left w:w="108" w:type="dxa"/>
            <w:bottom w:w="0" w:type="dxa"/>
            <w:right w:w="108" w:type="dxa"/>
          </w:tblCellMar>
        </w:tblPrEx>
        <w:trPr>
          <w:gridAfter w:val="1"/>
          <w:wAfter w:w="236" w:type="dxa"/>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4D73646A">
            <w:pPr>
              <w:widowControl/>
              <w:jc w:val="center"/>
              <w:rPr>
                <w:rFonts w:ascii="宋体" w:hAnsi="宋体"/>
                <w:color w:val="auto"/>
                <w:kern w:val="0"/>
                <w:sz w:val="22"/>
                <w:szCs w:val="22"/>
              </w:rPr>
            </w:pPr>
            <w:r>
              <w:rPr>
                <w:rFonts w:hint="eastAsia" w:ascii="宋体" w:hAnsi="宋体"/>
                <w:color w:val="auto"/>
                <w:kern w:val="0"/>
                <w:sz w:val="22"/>
                <w:szCs w:val="22"/>
              </w:rPr>
              <w:t>22</w:t>
            </w:r>
          </w:p>
        </w:tc>
        <w:tc>
          <w:tcPr>
            <w:tcW w:w="1440" w:type="dxa"/>
            <w:vMerge w:val="restart"/>
            <w:tcBorders>
              <w:top w:val="nil"/>
              <w:left w:val="nil"/>
              <w:bottom w:val="single" w:color="auto" w:sz="4" w:space="0"/>
              <w:right w:val="single" w:color="auto" w:sz="4" w:space="0"/>
            </w:tcBorders>
            <w:vAlign w:val="center"/>
          </w:tcPr>
          <w:p w14:paraId="31A0E911">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网络规格</w:t>
            </w:r>
          </w:p>
        </w:tc>
        <w:tc>
          <w:tcPr>
            <w:tcW w:w="2627" w:type="dxa"/>
            <w:tcBorders>
              <w:top w:val="nil"/>
              <w:left w:val="nil"/>
              <w:bottom w:val="single" w:color="auto" w:sz="4" w:space="0"/>
              <w:right w:val="single" w:color="auto" w:sz="4" w:space="0"/>
            </w:tcBorders>
            <w:vAlign w:val="center"/>
          </w:tcPr>
          <w:p w14:paraId="5AFA83E6">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网口速率和数量</w:t>
            </w:r>
          </w:p>
        </w:tc>
        <w:tc>
          <w:tcPr>
            <w:tcW w:w="4252" w:type="dxa"/>
            <w:tcBorders>
              <w:top w:val="nil"/>
              <w:left w:val="nil"/>
              <w:bottom w:val="single" w:color="auto" w:sz="4" w:space="0"/>
              <w:right w:val="single" w:color="auto" w:sz="4" w:space="0"/>
            </w:tcBorders>
            <w:vAlign w:val="center"/>
          </w:tcPr>
          <w:p w14:paraId="1F50C5B5">
            <w:pPr>
              <w:widowControl/>
              <w:jc w:val="left"/>
              <w:rPr>
                <w:rFonts w:ascii="宋体" w:hAnsi="宋体"/>
                <w:color w:val="auto"/>
                <w:kern w:val="0"/>
                <w:sz w:val="22"/>
                <w:szCs w:val="22"/>
              </w:rPr>
            </w:pPr>
            <w:r>
              <w:rPr>
                <w:rFonts w:hint="eastAsia" w:ascii="宋体" w:hAnsi="宋体"/>
                <w:color w:val="auto"/>
                <w:kern w:val="0"/>
                <w:sz w:val="22"/>
                <w:szCs w:val="22"/>
              </w:rPr>
              <w:t>提供≥2个千兆网口,2个万兆网口；</w:t>
            </w:r>
          </w:p>
        </w:tc>
      </w:tr>
      <w:tr w14:paraId="0AA1E8A0">
        <w:tblPrEx>
          <w:tblCellMar>
            <w:top w:w="0" w:type="dxa"/>
            <w:left w:w="108" w:type="dxa"/>
            <w:bottom w:w="0" w:type="dxa"/>
            <w:right w:w="108" w:type="dxa"/>
          </w:tblCellMar>
        </w:tblPrEx>
        <w:trPr>
          <w:gridAfter w:val="1"/>
          <w:wAfter w:w="236" w:type="dxa"/>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53D0098F">
            <w:pPr>
              <w:widowControl/>
              <w:jc w:val="center"/>
              <w:rPr>
                <w:rFonts w:ascii="宋体" w:hAnsi="宋体"/>
                <w:color w:val="auto"/>
                <w:kern w:val="0"/>
                <w:sz w:val="22"/>
                <w:szCs w:val="22"/>
              </w:rPr>
            </w:pPr>
            <w:r>
              <w:rPr>
                <w:rFonts w:hint="eastAsia" w:ascii="宋体" w:hAnsi="宋体"/>
                <w:color w:val="auto"/>
                <w:kern w:val="0"/>
                <w:sz w:val="22"/>
                <w:szCs w:val="22"/>
              </w:rPr>
              <w:t>23</w:t>
            </w:r>
          </w:p>
        </w:tc>
        <w:tc>
          <w:tcPr>
            <w:tcW w:w="1440" w:type="dxa"/>
            <w:vMerge w:val="continue"/>
            <w:tcBorders>
              <w:top w:val="nil"/>
              <w:left w:val="nil"/>
              <w:bottom w:val="single" w:color="auto" w:sz="4" w:space="0"/>
              <w:right w:val="single" w:color="auto" w:sz="4" w:space="0"/>
            </w:tcBorders>
            <w:vAlign w:val="center"/>
          </w:tcPr>
          <w:p w14:paraId="41AEE642">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76796D5B">
            <w:pPr>
              <w:widowControl/>
              <w:jc w:val="left"/>
              <w:rPr>
                <w:rFonts w:ascii="宋体" w:hAnsi="宋体"/>
                <w:color w:val="auto"/>
                <w:kern w:val="0"/>
                <w:sz w:val="22"/>
                <w:szCs w:val="22"/>
              </w:rPr>
            </w:pPr>
            <w:r>
              <w:rPr>
                <w:rFonts w:hint="eastAsia" w:ascii="宋体" w:hAnsi="宋体"/>
                <w:color w:val="auto"/>
                <w:kern w:val="0"/>
                <w:sz w:val="22"/>
                <w:szCs w:val="22"/>
              </w:rPr>
              <w:t>存储型服务器网口速率和数量</w:t>
            </w:r>
          </w:p>
        </w:tc>
        <w:tc>
          <w:tcPr>
            <w:tcW w:w="4252" w:type="dxa"/>
            <w:tcBorders>
              <w:top w:val="nil"/>
              <w:left w:val="nil"/>
              <w:bottom w:val="single" w:color="auto" w:sz="4" w:space="0"/>
              <w:right w:val="single" w:color="auto" w:sz="4" w:space="0"/>
            </w:tcBorders>
            <w:vAlign w:val="center"/>
          </w:tcPr>
          <w:p w14:paraId="7A231CED">
            <w:pPr>
              <w:widowControl/>
              <w:jc w:val="left"/>
              <w:rPr>
                <w:rFonts w:ascii="宋体" w:hAnsi="宋体"/>
                <w:color w:val="auto"/>
                <w:kern w:val="0"/>
                <w:sz w:val="22"/>
                <w:szCs w:val="22"/>
              </w:rPr>
            </w:pPr>
            <w:r>
              <w:rPr>
                <w:rFonts w:hint="eastAsia" w:ascii="宋体" w:hAnsi="宋体"/>
                <w:color w:val="auto"/>
                <w:kern w:val="0"/>
                <w:sz w:val="22"/>
                <w:szCs w:val="22"/>
              </w:rPr>
              <w:t>不涉及</w:t>
            </w:r>
          </w:p>
        </w:tc>
      </w:tr>
      <w:tr w14:paraId="212854DF">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6D09E466">
            <w:pPr>
              <w:widowControl/>
              <w:jc w:val="center"/>
              <w:rPr>
                <w:rFonts w:ascii="宋体" w:hAnsi="宋体"/>
                <w:color w:val="auto"/>
                <w:kern w:val="0"/>
                <w:sz w:val="22"/>
                <w:szCs w:val="22"/>
              </w:rPr>
            </w:pPr>
            <w:r>
              <w:rPr>
                <w:rFonts w:hint="eastAsia" w:ascii="宋体" w:hAnsi="宋体"/>
                <w:color w:val="auto"/>
                <w:kern w:val="0"/>
                <w:sz w:val="22"/>
                <w:szCs w:val="22"/>
              </w:rPr>
              <w:t>24</w:t>
            </w:r>
          </w:p>
        </w:tc>
        <w:tc>
          <w:tcPr>
            <w:tcW w:w="1440" w:type="dxa"/>
            <w:vMerge w:val="continue"/>
            <w:tcBorders>
              <w:top w:val="nil"/>
              <w:left w:val="nil"/>
              <w:bottom w:val="single" w:color="auto" w:sz="4" w:space="0"/>
              <w:right w:val="single" w:color="auto" w:sz="4" w:space="0"/>
            </w:tcBorders>
            <w:vAlign w:val="center"/>
          </w:tcPr>
          <w:p w14:paraId="36BBBF2D">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029FE537">
            <w:pPr>
              <w:widowControl/>
              <w:jc w:val="left"/>
              <w:rPr>
                <w:rFonts w:ascii="宋体" w:hAnsi="宋体"/>
                <w:color w:val="auto"/>
                <w:kern w:val="0"/>
                <w:sz w:val="22"/>
                <w:szCs w:val="22"/>
              </w:rPr>
            </w:pPr>
            <w:r>
              <w:rPr>
                <w:rFonts w:hint="eastAsia" w:ascii="宋体" w:hAnsi="宋体"/>
                <w:color w:val="auto"/>
                <w:kern w:val="0"/>
                <w:sz w:val="22"/>
                <w:szCs w:val="22"/>
              </w:rPr>
              <w:t>独立网卡网口数量</w:t>
            </w:r>
          </w:p>
        </w:tc>
        <w:tc>
          <w:tcPr>
            <w:tcW w:w="4252" w:type="dxa"/>
            <w:tcBorders>
              <w:top w:val="nil"/>
              <w:left w:val="nil"/>
              <w:bottom w:val="single" w:color="auto" w:sz="4" w:space="0"/>
              <w:right w:val="single" w:color="auto" w:sz="4" w:space="0"/>
            </w:tcBorders>
            <w:vAlign w:val="center"/>
          </w:tcPr>
          <w:p w14:paraId="60E01620">
            <w:pPr>
              <w:widowControl/>
              <w:jc w:val="left"/>
              <w:rPr>
                <w:rFonts w:ascii="宋体" w:hAnsi="宋体"/>
                <w:color w:val="auto"/>
                <w:kern w:val="0"/>
                <w:sz w:val="22"/>
                <w:szCs w:val="22"/>
              </w:rPr>
            </w:pPr>
            <w:r>
              <w:rPr>
                <w:rFonts w:hint="eastAsia" w:ascii="宋体" w:hAnsi="宋体"/>
                <w:color w:val="auto"/>
                <w:kern w:val="0"/>
                <w:sz w:val="22"/>
                <w:szCs w:val="22"/>
              </w:rPr>
              <w:t>不涉及</w:t>
            </w:r>
          </w:p>
        </w:tc>
      </w:tr>
      <w:tr w14:paraId="16B2A5EC">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1EF46059">
            <w:pPr>
              <w:widowControl/>
              <w:jc w:val="center"/>
              <w:rPr>
                <w:rFonts w:ascii="宋体" w:hAnsi="宋体"/>
                <w:color w:val="auto"/>
                <w:kern w:val="0"/>
                <w:sz w:val="22"/>
                <w:szCs w:val="22"/>
              </w:rPr>
            </w:pPr>
            <w:r>
              <w:rPr>
                <w:rFonts w:hint="eastAsia" w:ascii="宋体" w:hAnsi="宋体"/>
                <w:color w:val="auto"/>
                <w:kern w:val="0"/>
                <w:sz w:val="22"/>
                <w:szCs w:val="22"/>
              </w:rPr>
              <w:t>25</w:t>
            </w:r>
          </w:p>
        </w:tc>
        <w:tc>
          <w:tcPr>
            <w:tcW w:w="1440" w:type="dxa"/>
            <w:vMerge w:val="continue"/>
            <w:tcBorders>
              <w:top w:val="nil"/>
              <w:left w:val="nil"/>
              <w:bottom w:val="single" w:color="auto" w:sz="4" w:space="0"/>
              <w:right w:val="single" w:color="auto" w:sz="4" w:space="0"/>
            </w:tcBorders>
            <w:vAlign w:val="center"/>
          </w:tcPr>
          <w:p w14:paraId="46C3506C">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034A1341">
            <w:pPr>
              <w:widowControl/>
              <w:jc w:val="left"/>
              <w:rPr>
                <w:rFonts w:ascii="宋体" w:hAnsi="宋体"/>
                <w:color w:val="auto"/>
                <w:kern w:val="0"/>
                <w:sz w:val="22"/>
                <w:szCs w:val="22"/>
              </w:rPr>
            </w:pPr>
            <w:r>
              <w:rPr>
                <w:rFonts w:hint="eastAsia" w:ascii="宋体" w:hAnsi="宋体"/>
                <w:color w:val="auto"/>
                <w:kern w:val="0"/>
                <w:sz w:val="22"/>
                <w:szCs w:val="22"/>
              </w:rPr>
              <w:t>独立网卡接口类型</w:t>
            </w:r>
          </w:p>
        </w:tc>
        <w:tc>
          <w:tcPr>
            <w:tcW w:w="4252" w:type="dxa"/>
            <w:tcBorders>
              <w:top w:val="nil"/>
              <w:left w:val="nil"/>
              <w:bottom w:val="single" w:color="auto" w:sz="4" w:space="0"/>
              <w:right w:val="single" w:color="auto" w:sz="4" w:space="0"/>
            </w:tcBorders>
            <w:vAlign w:val="center"/>
          </w:tcPr>
          <w:p w14:paraId="23039D69">
            <w:pPr>
              <w:widowControl/>
              <w:jc w:val="left"/>
              <w:rPr>
                <w:rFonts w:ascii="宋体" w:hAnsi="宋体"/>
                <w:color w:val="auto"/>
                <w:kern w:val="0"/>
                <w:sz w:val="22"/>
                <w:szCs w:val="22"/>
              </w:rPr>
            </w:pPr>
            <w:r>
              <w:rPr>
                <w:rFonts w:hint="eastAsia" w:ascii="宋体" w:hAnsi="宋体"/>
                <w:color w:val="auto"/>
                <w:kern w:val="0"/>
                <w:sz w:val="22"/>
                <w:szCs w:val="22"/>
              </w:rPr>
              <w:t>支持RJ45/QSFP/SFP等</w:t>
            </w:r>
          </w:p>
        </w:tc>
      </w:tr>
      <w:tr w14:paraId="5372D9B3">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3971EA81">
            <w:pPr>
              <w:widowControl/>
              <w:jc w:val="center"/>
              <w:rPr>
                <w:rFonts w:ascii="宋体" w:hAnsi="宋体"/>
                <w:color w:val="auto"/>
                <w:kern w:val="0"/>
                <w:sz w:val="22"/>
                <w:szCs w:val="22"/>
              </w:rPr>
            </w:pPr>
            <w:r>
              <w:rPr>
                <w:rFonts w:hint="eastAsia" w:ascii="宋体" w:hAnsi="宋体"/>
                <w:color w:val="auto"/>
                <w:kern w:val="0"/>
                <w:sz w:val="22"/>
                <w:szCs w:val="22"/>
              </w:rPr>
              <w:t>26</w:t>
            </w:r>
          </w:p>
        </w:tc>
        <w:tc>
          <w:tcPr>
            <w:tcW w:w="1440" w:type="dxa"/>
            <w:vMerge w:val="continue"/>
            <w:tcBorders>
              <w:top w:val="nil"/>
              <w:left w:val="nil"/>
              <w:bottom w:val="single" w:color="auto" w:sz="4" w:space="0"/>
              <w:right w:val="single" w:color="auto" w:sz="4" w:space="0"/>
            </w:tcBorders>
            <w:vAlign w:val="center"/>
          </w:tcPr>
          <w:p w14:paraId="1DCF9A74">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34C9DC12">
            <w:pPr>
              <w:widowControl/>
              <w:jc w:val="left"/>
              <w:rPr>
                <w:rFonts w:ascii="宋体" w:hAnsi="宋体"/>
                <w:color w:val="auto"/>
                <w:kern w:val="0"/>
                <w:sz w:val="22"/>
                <w:szCs w:val="22"/>
              </w:rPr>
            </w:pPr>
            <w:r>
              <w:rPr>
                <w:rFonts w:hint="eastAsia" w:ascii="宋体" w:hAnsi="宋体"/>
                <w:color w:val="auto"/>
                <w:kern w:val="0"/>
                <w:sz w:val="22"/>
                <w:szCs w:val="22"/>
              </w:rPr>
              <w:t>板载网卡接口类型</w:t>
            </w:r>
          </w:p>
        </w:tc>
        <w:tc>
          <w:tcPr>
            <w:tcW w:w="4252" w:type="dxa"/>
            <w:tcBorders>
              <w:top w:val="nil"/>
              <w:left w:val="nil"/>
              <w:bottom w:val="single" w:color="auto" w:sz="4" w:space="0"/>
              <w:right w:val="single" w:color="auto" w:sz="4" w:space="0"/>
            </w:tcBorders>
            <w:vAlign w:val="center"/>
          </w:tcPr>
          <w:p w14:paraId="73670551">
            <w:pPr>
              <w:widowControl/>
              <w:jc w:val="left"/>
              <w:rPr>
                <w:rFonts w:ascii="宋体" w:hAnsi="宋体"/>
                <w:color w:val="auto"/>
                <w:kern w:val="0"/>
                <w:sz w:val="22"/>
                <w:szCs w:val="22"/>
              </w:rPr>
            </w:pPr>
            <w:r>
              <w:rPr>
                <w:rFonts w:hint="eastAsia" w:ascii="宋体" w:hAnsi="宋体"/>
                <w:color w:val="auto"/>
                <w:kern w:val="0"/>
                <w:sz w:val="22"/>
                <w:szCs w:val="22"/>
              </w:rPr>
              <w:t>支持RJ45/QSFP/SFP等</w:t>
            </w:r>
          </w:p>
        </w:tc>
      </w:tr>
      <w:tr w14:paraId="622F1391">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27F503C9">
            <w:pPr>
              <w:widowControl/>
              <w:jc w:val="center"/>
              <w:rPr>
                <w:rFonts w:ascii="宋体" w:hAnsi="宋体"/>
                <w:color w:val="auto"/>
                <w:kern w:val="0"/>
                <w:sz w:val="22"/>
                <w:szCs w:val="22"/>
              </w:rPr>
            </w:pPr>
            <w:r>
              <w:rPr>
                <w:rFonts w:hint="eastAsia" w:ascii="宋体" w:hAnsi="宋体"/>
                <w:color w:val="auto"/>
                <w:kern w:val="0"/>
                <w:sz w:val="22"/>
                <w:szCs w:val="22"/>
              </w:rPr>
              <w:t>27</w:t>
            </w:r>
          </w:p>
        </w:tc>
        <w:tc>
          <w:tcPr>
            <w:tcW w:w="1440" w:type="dxa"/>
            <w:vMerge w:val="restart"/>
            <w:tcBorders>
              <w:top w:val="nil"/>
              <w:left w:val="nil"/>
              <w:bottom w:val="single" w:color="auto" w:sz="4" w:space="0"/>
              <w:right w:val="single" w:color="auto" w:sz="4" w:space="0"/>
            </w:tcBorders>
            <w:vAlign w:val="center"/>
          </w:tcPr>
          <w:p w14:paraId="15CD83EB">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外部接口规格</w:t>
            </w:r>
          </w:p>
        </w:tc>
        <w:tc>
          <w:tcPr>
            <w:tcW w:w="2627" w:type="dxa"/>
            <w:tcBorders>
              <w:top w:val="nil"/>
              <w:left w:val="nil"/>
              <w:bottom w:val="single" w:color="auto" w:sz="4" w:space="0"/>
              <w:right w:val="single" w:color="auto" w:sz="4" w:space="0"/>
            </w:tcBorders>
            <w:vAlign w:val="center"/>
          </w:tcPr>
          <w:p w14:paraId="4DDCF5C3">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显示接口</w:t>
            </w:r>
          </w:p>
        </w:tc>
        <w:tc>
          <w:tcPr>
            <w:tcW w:w="4252" w:type="dxa"/>
            <w:tcBorders>
              <w:top w:val="nil"/>
              <w:left w:val="nil"/>
              <w:bottom w:val="single" w:color="auto" w:sz="4" w:space="0"/>
              <w:right w:val="single" w:color="auto" w:sz="4" w:space="0"/>
            </w:tcBorders>
            <w:vAlign w:val="center"/>
          </w:tcPr>
          <w:p w14:paraId="7D5DD481">
            <w:pPr>
              <w:widowControl/>
              <w:jc w:val="left"/>
              <w:rPr>
                <w:rFonts w:ascii="宋体" w:hAnsi="宋体"/>
                <w:color w:val="auto"/>
                <w:kern w:val="0"/>
                <w:sz w:val="22"/>
                <w:szCs w:val="22"/>
              </w:rPr>
            </w:pPr>
            <w:r>
              <w:rPr>
                <w:rFonts w:hint="eastAsia" w:ascii="宋体" w:hAnsi="宋体"/>
                <w:color w:val="auto"/>
                <w:kern w:val="0"/>
                <w:sz w:val="22"/>
                <w:szCs w:val="22"/>
              </w:rPr>
              <w:t>≥1个VGA+ 1个HDMI 2.1</w:t>
            </w:r>
          </w:p>
        </w:tc>
      </w:tr>
      <w:tr w14:paraId="7BEBC272">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1D9B3A0C">
            <w:pPr>
              <w:widowControl/>
              <w:jc w:val="center"/>
              <w:rPr>
                <w:rFonts w:ascii="宋体" w:hAnsi="宋体"/>
                <w:color w:val="auto"/>
                <w:kern w:val="0"/>
                <w:sz w:val="22"/>
                <w:szCs w:val="22"/>
              </w:rPr>
            </w:pPr>
            <w:r>
              <w:rPr>
                <w:rFonts w:hint="eastAsia" w:ascii="宋体" w:hAnsi="宋体"/>
                <w:color w:val="auto"/>
                <w:kern w:val="0"/>
                <w:sz w:val="22"/>
                <w:szCs w:val="22"/>
              </w:rPr>
              <w:t>28</w:t>
            </w:r>
          </w:p>
        </w:tc>
        <w:tc>
          <w:tcPr>
            <w:tcW w:w="1440" w:type="dxa"/>
            <w:vMerge w:val="continue"/>
            <w:tcBorders>
              <w:top w:val="nil"/>
              <w:left w:val="nil"/>
              <w:bottom w:val="single" w:color="auto" w:sz="4" w:space="0"/>
              <w:right w:val="single" w:color="auto" w:sz="4" w:space="0"/>
            </w:tcBorders>
            <w:vAlign w:val="center"/>
          </w:tcPr>
          <w:p w14:paraId="44DD3F92">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593182DE">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USB接口</w:t>
            </w:r>
          </w:p>
        </w:tc>
        <w:tc>
          <w:tcPr>
            <w:tcW w:w="4252" w:type="dxa"/>
            <w:tcBorders>
              <w:top w:val="nil"/>
              <w:left w:val="nil"/>
              <w:bottom w:val="single" w:color="auto" w:sz="4" w:space="0"/>
              <w:right w:val="single" w:color="auto" w:sz="4" w:space="0"/>
            </w:tcBorders>
            <w:vAlign w:val="center"/>
          </w:tcPr>
          <w:p w14:paraId="34B7346C">
            <w:pPr>
              <w:widowControl/>
              <w:jc w:val="left"/>
              <w:rPr>
                <w:rFonts w:ascii="宋体" w:hAnsi="宋体"/>
                <w:color w:val="auto"/>
                <w:kern w:val="0"/>
                <w:sz w:val="22"/>
                <w:szCs w:val="22"/>
              </w:rPr>
            </w:pPr>
            <w:r>
              <w:rPr>
                <w:rFonts w:hint="eastAsia" w:ascii="宋体" w:hAnsi="宋体"/>
                <w:color w:val="auto"/>
                <w:kern w:val="0"/>
                <w:sz w:val="22"/>
                <w:szCs w:val="22"/>
              </w:rPr>
              <w:t>≥4个USB 3.0</w:t>
            </w:r>
          </w:p>
        </w:tc>
      </w:tr>
      <w:tr w14:paraId="176655F8">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62511DEF">
            <w:pPr>
              <w:widowControl/>
              <w:jc w:val="center"/>
              <w:rPr>
                <w:rFonts w:ascii="宋体" w:hAnsi="宋体"/>
                <w:color w:val="auto"/>
                <w:kern w:val="0"/>
                <w:sz w:val="22"/>
                <w:szCs w:val="22"/>
              </w:rPr>
            </w:pPr>
            <w:r>
              <w:rPr>
                <w:rFonts w:hint="eastAsia" w:ascii="宋体" w:hAnsi="宋体"/>
                <w:color w:val="auto"/>
                <w:kern w:val="0"/>
                <w:sz w:val="22"/>
                <w:szCs w:val="22"/>
              </w:rPr>
              <w:t>29</w:t>
            </w:r>
          </w:p>
        </w:tc>
        <w:tc>
          <w:tcPr>
            <w:tcW w:w="1440" w:type="dxa"/>
            <w:vMerge w:val="continue"/>
            <w:tcBorders>
              <w:top w:val="nil"/>
              <w:left w:val="nil"/>
              <w:bottom w:val="single" w:color="auto" w:sz="4" w:space="0"/>
              <w:right w:val="single" w:color="auto" w:sz="4" w:space="0"/>
            </w:tcBorders>
            <w:vAlign w:val="center"/>
          </w:tcPr>
          <w:p w14:paraId="647957AF">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5FDE5D92">
            <w:pPr>
              <w:widowControl/>
              <w:jc w:val="left"/>
              <w:rPr>
                <w:rFonts w:ascii="宋体" w:hAnsi="宋体"/>
                <w:color w:val="auto"/>
                <w:kern w:val="0"/>
                <w:sz w:val="22"/>
                <w:szCs w:val="22"/>
              </w:rPr>
            </w:pPr>
            <w:r>
              <w:rPr>
                <w:rFonts w:hint="eastAsia" w:ascii="宋体" w:hAnsi="宋体"/>
                <w:color w:val="auto"/>
                <w:kern w:val="0"/>
                <w:sz w:val="22"/>
                <w:szCs w:val="22"/>
              </w:rPr>
              <w:t>特殊接口及孔位</w:t>
            </w:r>
          </w:p>
        </w:tc>
        <w:tc>
          <w:tcPr>
            <w:tcW w:w="4252" w:type="dxa"/>
            <w:tcBorders>
              <w:top w:val="nil"/>
              <w:left w:val="nil"/>
              <w:bottom w:val="single" w:color="auto" w:sz="4" w:space="0"/>
              <w:right w:val="single" w:color="auto" w:sz="4" w:space="0"/>
            </w:tcBorders>
            <w:vAlign w:val="center"/>
          </w:tcPr>
          <w:p w14:paraId="7DD8F981">
            <w:pPr>
              <w:widowControl/>
              <w:jc w:val="left"/>
              <w:rPr>
                <w:rFonts w:ascii="宋体" w:hAnsi="宋体"/>
                <w:color w:val="auto"/>
                <w:kern w:val="0"/>
                <w:sz w:val="22"/>
                <w:szCs w:val="22"/>
              </w:rPr>
            </w:pPr>
            <w:r>
              <w:rPr>
                <w:rFonts w:hint="eastAsia" w:ascii="宋体" w:hAnsi="宋体"/>
                <w:color w:val="auto"/>
                <w:kern w:val="0"/>
                <w:sz w:val="22"/>
                <w:szCs w:val="22"/>
              </w:rPr>
              <w:t>不涉及</w:t>
            </w:r>
          </w:p>
        </w:tc>
      </w:tr>
      <w:tr w14:paraId="6843DE92">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2C2C3894">
            <w:pPr>
              <w:widowControl/>
              <w:jc w:val="center"/>
              <w:rPr>
                <w:rFonts w:ascii="宋体" w:hAnsi="宋体"/>
                <w:color w:val="auto"/>
                <w:kern w:val="0"/>
                <w:sz w:val="22"/>
                <w:szCs w:val="22"/>
              </w:rPr>
            </w:pPr>
            <w:r>
              <w:rPr>
                <w:rFonts w:hint="eastAsia" w:ascii="宋体" w:hAnsi="宋体"/>
                <w:color w:val="auto"/>
                <w:kern w:val="0"/>
                <w:sz w:val="22"/>
                <w:szCs w:val="22"/>
              </w:rPr>
              <w:t>30</w:t>
            </w:r>
          </w:p>
        </w:tc>
        <w:tc>
          <w:tcPr>
            <w:tcW w:w="1440" w:type="dxa"/>
            <w:vMerge w:val="continue"/>
            <w:tcBorders>
              <w:top w:val="nil"/>
              <w:left w:val="nil"/>
              <w:bottom w:val="single" w:color="auto" w:sz="4" w:space="0"/>
              <w:right w:val="single" w:color="auto" w:sz="4" w:space="0"/>
            </w:tcBorders>
            <w:vAlign w:val="center"/>
          </w:tcPr>
          <w:p w14:paraId="7F40AC57">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7C215CBC">
            <w:pPr>
              <w:widowControl/>
              <w:jc w:val="left"/>
              <w:rPr>
                <w:rFonts w:ascii="宋体" w:hAnsi="宋体"/>
                <w:color w:val="auto"/>
                <w:kern w:val="0"/>
                <w:sz w:val="22"/>
                <w:szCs w:val="22"/>
              </w:rPr>
            </w:pPr>
            <w:r>
              <w:rPr>
                <w:rFonts w:hint="eastAsia" w:ascii="宋体" w:hAnsi="宋体"/>
                <w:color w:val="auto"/>
                <w:kern w:val="0"/>
                <w:sz w:val="22"/>
                <w:szCs w:val="22"/>
              </w:rPr>
              <w:t>其他接口</w:t>
            </w:r>
          </w:p>
        </w:tc>
        <w:tc>
          <w:tcPr>
            <w:tcW w:w="4252" w:type="dxa"/>
            <w:tcBorders>
              <w:top w:val="nil"/>
              <w:left w:val="nil"/>
              <w:bottom w:val="single" w:color="auto" w:sz="4" w:space="0"/>
              <w:right w:val="single" w:color="auto" w:sz="4" w:space="0"/>
            </w:tcBorders>
            <w:vAlign w:val="center"/>
          </w:tcPr>
          <w:p w14:paraId="60D36AC7">
            <w:pPr>
              <w:widowControl/>
              <w:jc w:val="left"/>
              <w:rPr>
                <w:rFonts w:ascii="宋体" w:hAnsi="宋体"/>
                <w:color w:val="auto"/>
                <w:kern w:val="0"/>
                <w:sz w:val="22"/>
                <w:szCs w:val="22"/>
              </w:rPr>
            </w:pPr>
            <w:r>
              <w:rPr>
                <w:rFonts w:hint="eastAsia" w:ascii="宋体" w:hAnsi="宋体"/>
                <w:color w:val="auto"/>
                <w:kern w:val="0"/>
                <w:sz w:val="22"/>
                <w:szCs w:val="22"/>
              </w:rPr>
              <w:t>≥1个管理网口</w:t>
            </w:r>
          </w:p>
        </w:tc>
      </w:tr>
      <w:tr w14:paraId="784F9C3B">
        <w:tblPrEx>
          <w:tblCellMar>
            <w:top w:w="0" w:type="dxa"/>
            <w:left w:w="108" w:type="dxa"/>
            <w:bottom w:w="0" w:type="dxa"/>
            <w:right w:w="108" w:type="dxa"/>
          </w:tblCellMar>
        </w:tblPrEx>
        <w:trPr>
          <w:gridAfter w:val="1"/>
          <w:wAfter w:w="236" w:type="dxa"/>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08C7EEBE">
            <w:pPr>
              <w:widowControl/>
              <w:jc w:val="center"/>
              <w:rPr>
                <w:rFonts w:ascii="宋体" w:hAnsi="宋体"/>
                <w:color w:val="auto"/>
                <w:kern w:val="0"/>
                <w:sz w:val="22"/>
                <w:szCs w:val="22"/>
              </w:rPr>
            </w:pPr>
            <w:r>
              <w:rPr>
                <w:rFonts w:hint="eastAsia" w:ascii="宋体" w:hAnsi="宋体"/>
                <w:color w:val="auto"/>
                <w:kern w:val="0"/>
                <w:sz w:val="22"/>
                <w:szCs w:val="22"/>
              </w:rPr>
              <w:t>31</w:t>
            </w:r>
          </w:p>
        </w:tc>
        <w:tc>
          <w:tcPr>
            <w:tcW w:w="1440" w:type="dxa"/>
            <w:vMerge w:val="restart"/>
            <w:tcBorders>
              <w:top w:val="nil"/>
              <w:left w:val="nil"/>
              <w:bottom w:val="single" w:color="auto" w:sz="4" w:space="0"/>
              <w:right w:val="single" w:color="auto" w:sz="4" w:space="0"/>
            </w:tcBorders>
            <w:vAlign w:val="center"/>
          </w:tcPr>
          <w:p w14:paraId="302A0989">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电源规格</w:t>
            </w:r>
          </w:p>
        </w:tc>
        <w:tc>
          <w:tcPr>
            <w:tcW w:w="2627" w:type="dxa"/>
            <w:tcBorders>
              <w:top w:val="nil"/>
              <w:left w:val="nil"/>
              <w:bottom w:val="single" w:color="auto" w:sz="4" w:space="0"/>
              <w:right w:val="single" w:color="auto" w:sz="4" w:space="0"/>
            </w:tcBorders>
            <w:vAlign w:val="center"/>
          </w:tcPr>
          <w:p w14:paraId="1E15A712">
            <w:pPr>
              <w:widowControl/>
              <w:jc w:val="left"/>
              <w:rPr>
                <w:rFonts w:ascii="宋体" w:hAnsi="宋体"/>
                <w:color w:val="auto"/>
                <w:kern w:val="0"/>
                <w:sz w:val="22"/>
                <w:szCs w:val="22"/>
              </w:rPr>
            </w:pPr>
            <w:r>
              <w:rPr>
                <w:rFonts w:hint="eastAsia" w:ascii="宋体" w:hAnsi="宋体"/>
                <w:color w:val="auto"/>
                <w:kern w:val="0"/>
                <w:sz w:val="22"/>
                <w:szCs w:val="22"/>
              </w:rPr>
              <w:t>电源冗余模式</w:t>
            </w:r>
          </w:p>
        </w:tc>
        <w:tc>
          <w:tcPr>
            <w:tcW w:w="4252" w:type="dxa"/>
            <w:tcBorders>
              <w:top w:val="nil"/>
              <w:left w:val="nil"/>
              <w:bottom w:val="single" w:color="auto" w:sz="4" w:space="0"/>
              <w:right w:val="single" w:color="auto" w:sz="4" w:space="0"/>
            </w:tcBorders>
            <w:vAlign w:val="center"/>
          </w:tcPr>
          <w:p w14:paraId="027493BE">
            <w:pPr>
              <w:widowControl/>
              <w:jc w:val="left"/>
              <w:rPr>
                <w:rFonts w:ascii="宋体" w:hAnsi="宋体"/>
                <w:color w:val="auto"/>
                <w:kern w:val="0"/>
                <w:sz w:val="22"/>
                <w:szCs w:val="22"/>
              </w:rPr>
            </w:pPr>
            <w:r>
              <w:rPr>
                <w:rFonts w:hint="eastAsia" w:ascii="宋体" w:hAnsi="宋体"/>
                <w:color w:val="auto"/>
                <w:kern w:val="0"/>
                <w:sz w:val="22"/>
                <w:szCs w:val="22"/>
              </w:rPr>
              <w:t>电源：配置2个热插拔冗余电源，支持1+1冗余；</w:t>
            </w:r>
          </w:p>
        </w:tc>
      </w:tr>
      <w:tr w14:paraId="21A3E1A7">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5EB6557D">
            <w:pPr>
              <w:widowControl/>
              <w:jc w:val="center"/>
              <w:rPr>
                <w:rFonts w:ascii="宋体" w:hAnsi="宋体"/>
                <w:color w:val="auto"/>
                <w:kern w:val="0"/>
                <w:sz w:val="22"/>
                <w:szCs w:val="22"/>
              </w:rPr>
            </w:pPr>
            <w:r>
              <w:rPr>
                <w:rFonts w:hint="eastAsia" w:ascii="宋体" w:hAnsi="宋体"/>
                <w:color w:val="auto"/>
                <w:kern w:val="0"/>
                <w:sz w:val="22"/>
                <w:szCs w:val="22"/>
              </w:rPr>
              <w:t>32</w:t>
            </w:r>
          </w:p>
        </w:tc>
        <w:tc>
          <w:tcPr>
            <w:tcW w:w="1440" w:type="dxa"/>
            <w:vMerge w:val="continue"/>
            <w:tcBorders>
              <w:top w:val="nil"/>
              <w:left w:val="nil"/>
              <w:bottom w:val="single" w:color="auto" w:sz="4" w:space="0"/>
              <w:right w:val="single" w:color="auto" w:sz="4" w:space="0"/>
            </w:tcBorders>
            <w:vAlign w:val="center"/>
          </w:tcPr>
          <w:p w14:paraId="361CFDD1">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52DAC7A4">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电源模块数量</w:t>
            </w:r>
          </w:p>
        </w:tc>
        <w:tc>
          <w:tcPr>
            <w:tcW w:w="4252" w:type="dxa"/>
            <w:tcBorders>
              <w:top w:val="nil"/>
              <w:left w:val="nil"/>
              <w:bottom w:val="single" w:color="auto" w:sz="4" w:space="0"/>
              <w:right w:val="single" w:color="auto" w:sz="4" w:space="0"/>
            </w:tcBorders>
            <w:vAlign w:val="center"/>
          </w:tcPr>
          <w:p w14:paraId="296AF45F">
            <w:pPr>
              <w:widowControl/>
              <w:jc w:val="left"/>
              <w:rPr>
                <w:rFonts w:ascii="宋体" w:hAnsi="宋体"/>
                <w:color w:val="auto"/>
                <w:kern w:val="0"/>
                <w:sz w:val="22"/>
                <w:szCs w:val="22"/>
              </w:rPr>
            </w:pPr>
            <w:r>
              <w:rPr>
                <w:rFonts w:hint="eastAsia" w:ascii="宋体" w:hAnsi="宋体"/>
                <w:color w:val="auto"/>
                <w:kern w:val="0"/>
                <w:sz w:val="22"/>
                <w:szCs w:val="22"/>
              </w:rPr>
              <w:t>≥2</w:t>
            </w:r>
          </w:p>
        </w:tc>
      </w:tr>
      <w:tr w14:paraId="638A8ECD">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29EE28BA">
            <w:pPr>
              <w:widowControl/>
              <w:jc w:val="center"/>
              <w:rPr>
                <w:rFonts w:ascii="宋体" w:hAnsi="宋体"/>
                <w:color w:val="auto"/>
                <w:kern w:val="0"/>
                <w:sz w:val="22"/>
                <w:szCs w:val="22"/>
              </w:rPr>
            </w:pPr>
            <w:r>
              <w:rPr>
                <w:rFonts w:hint="eastAsia" w:ascii="宋体" w:hAnsi="宋体"/>
                <w:color w:val="auto"/>
                <w:kern w:val="0"/>
                <w:sz w:val="22"/>
                <w:szCs w:val="22"/>
              </w:rPr>
              <w:t>33</w:t>
            </w:r>
          </w:p>
        </w:tc>
        <w:tc>
          <w:tcPr>
            <w:tcW w:w="1440" w:type="dxa"/>
            <w:vMerge w:val="continue"/>
            <w:tcBorders>
              <w:top w:val="nil"/>
              <w:left w:val="nil"/>
              <w:bottom w:val="single" w:color="auto" w:sz="4" w:space="0"/>
              <w:right w:val="single" w:color="auto" w:sz="4" w:space="0"/>
            </w:tcBorders>
            <w:vAlign w:val="center"/>
          </w:tcPr>
          <w:p w14:paraId="4BCDF470">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6FBE1733">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电源功率</w:t>
            </w:r>
          </w:p>
        </w:tc>
        <w:tc>
          <w:tcPr>
            <w:tcW w:w="4252" w:type="dxa"/>
            <w:tcBorders>
              <w:top w:val="nil"/>
              <w:left w:val="nil"/>
              <w:bottom w:val="single" w:color="auto" w:sz="4" w:space="0"/>
              <w:right w:val="single" w:color="auto" w:sz="4" w:space="0"/>
            </w:tcBorders>
            <w:vAlign w:val="center"/>
          </w:tcPr>
          <w:p w14:paraId="7649BF9B">
            <w:pPr>
              <w:widowControl/>
              <w:jc w:val="left"/>
              <w:rPr>
                <w:rFonts w:ascii="宋体" w:hAnsi="宋体"/>
                <w:color w:val="auto"/>
                <w:kern w:val="0"/>
                <w:sz w:val="22"/>
                <w:szCs w:val="22"/>
              </w:rPr>
            </w:pPr>
            <w:r>
              <w:rPr>
                <w:rFonts w:hint="eastAsia" w:ascii="宋体" w:hAnsi="宋体"/>
                <w:color w:val="auto"/>
                <w:kern w:val="0"/>
                <w:sz w:val="22"/>
                <w:szCs w:val="22"/>
              </w:rPr>
              <w:t>≥500W</w:t>
            </w:r>
          </w:p>
        </w:tc>
      </w:tr>
      <w:tr w14:paraId="1B1E9103">
        <w:tblPrEx>
          <w:tblCellMar>
            <w:top w:w="0" w:type="dxa"/>
            <w:left w:w="108" w:type="dxa"/>
            <w:bottom w:w="0" w:type="dxa"/>
            <w:right w:w="108" w:type="dxa"/>
          </w:tblCellMar>
        </w:tblPrEx>
        <w:trPr>
          <w:gridAfter w:val="1"/>
          <w:wAfter w:w="236" w:type="dxa"/>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2B32FA49">
            <w:pPr>
              <w:widowControl/>
              <w:jc w:val="center"/>
              <w:rPr>
                <w:rFonts w:ascii="宋体" w:hAnsi="宋体"/>
                <w:color w:val="auto"/>
                <w:kern w:val="0"/>
                <w:sz w:val="22"/>
                <w:szCs w:val="22"/>
              </w:rPr>
            </w:pPr>
            <w:r>
              <w:rPr>
                <w:rFonts w:hint="eastAsia" w:ascii="宋体" w:hAnsi="宋体"/>
                <w:color w:val="auto"/>
                <w:kern w:val="0"/>
                <w:sz w:val="22"/>
                <w:szCs w:val="22"/>
              </w:rPr>
              <w:t>34</w:t>
            </w:r>
          </w:p>
        </w:tc>
        <w:tc>
          <w:tcPr>
            <w:tcW w:w="1440" w:type="dxa"/>
            <w:vMerge w:val="continue"/>
            <w:tcBorders>
              <w:top w:val="nil"/>
              <w:left w:val="nil"/>
              <w:bottom w:val="single" w:color="auto" w:sz="4" w:space="0"/>
              <w:right w:val="single" w:color="auto" w:sz="4" w:space="0"/>
            </w:tcBorders>
            <w:vAlign w:val="center"/>
          </w:tcPr>
          <w:p w14:paraId="2D91F073">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4D8E8C40">
            <w:pPr>
              <w:widowControl/>
              <w:jc w:val="left"/>
              <w:rPr>
                <w:rFonts w:ascii="宋体" w:hAnsi="宋体"/>
                <w:color w:val="auto"/>
                <w:kern w:val="0"/>
                <w:sz w:val="22"/>
                <w:szCs w:val="22"/>
              </w:rPr>
            </w:pPr>
            <w:r>
              <w:rPr>
                <w:rFonts w:hint="eastAsia" w:ascii="宋体" w:hAnsi="宋体"/>
                <w:color w:val="auto"/>
                <w:kern w:val="0"/>
                <w:sz w:val="22"/>
                <w:szCs w:val="22"/>
              </w:rPr>
              <w:t>电源指示灯</w:t>
            </w:r>
          </w:p>
        </w:tc>
        <w:tc>
          <w:tcPr>
            <w:tcW w:w="4252" w:type="dxa"/>
            <w:tcBorders>
              <w:top w:val="nil"/>
              <w:left w:val="nil"/>
              <w:bottom w:val="single" w:color="auto" w:sz="4" w:space="0"/>
              <w:right w:val="single" w:color="auto" w:sz="4" w:space="0"/>
            </w:tcBorders>
            <w:vAlign w:val="center"/>
          </w:tcPr>
          <w:p w14:paraId="77BF426D">
            <w:pPr>
              <w:widowControl/>
              <w:jc w:val="left"/>
              <w:rPr>
                <w:rFonts w:ascii="宋体" w:hAnsi="宋体"/>
                <w:color w:val="auto"/>
                <w:kern w:val="0"/>
                <w:sz w:val="22"/>
                <w:szCs w:val="22"/>
              </w:rPr>
            </w:pPr>
            <w:r>
              <w:rPr>
                <w:rFonts w:hint="eastAsia" w:ascii="宋体" w:hAnsi="宋体"/>
                <w:color w:val="auto"/>
                <w:kern w:val="0"/>
                <w:sz w:val="22"/>
                <w:szCs w:val="22"/>
              </w:rPr>
              <w:t>配备电源指示灯，指示待机、工作异常等状态</w:t>
            </w:r>
          </w:p>
        </w:tc>
      </w:tr>
      <w:tr w14:paraId="0CA507FD">
        <w:tblPrEx>
          <w:tblCellMar>
            <w:top w:w="0" w:type="dxa"/>
            <w:left w:w="108" w:type="dxa"/>
            <w:bottom w:w="0" w:type="dxa"/>
            <w:right w:w="108" w:type="dxa"/>
          </w:tblCellMar>
        </w:tblPrEx>
        <w:trPr>
          <w:gridAfter w:val="1"/>
          <w:wAfter w:w="236" w:type="dxa"/>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3A316D29">
            <w:pPr>
              <w:widowControl/>
              <w:jc w:val="center"/>
              <w:rPr>
                <w:rFonts w:ascii="宋体" w:hAnsi="宋体"/>
                <w:color w:val="auto"/>
                <w:kern w:val="0"/>
                <w:sz w:val="22"/>
                <w:szCs w:val="22"/>
              </w:rPr>
            </w:pPr>
            <w:r>
              <w:rPr>
                <w:rFonts w:hint="eastAsia" w:ascii="宋体" w:hAnsi="宋体"/>
                <w:color w:val="auto"/>
                <w:kern w:val="0"/>
                <w:sz w:val="22"/>
                <w:szCs w:val="22"/>
              </w:rPr>
              <w:t>35</w:t>
            </w:r>
          </w:p>
        </w:tc>
        <w:tc>
          <w:tcPr>
            <w:tcW w:w="1440" w:type="dxa"/>
            <w:vMerge w:val="restart"/>
            <w:tcBorders>
              <w:top w:val="nil"/>
              <w:left w:val="nil"/>
              <w:bottom w:val="single" w:color="auto" w:sz="4" w:space="0"/>
              <w:right w:val="single" w:color="auto" w:sz="4" w:space="0"/>
            </w:tcBorders>
            <w:vAlign w:val="center"/>
          </w:tcPr>
          <w:p w14:paraId="21652478">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整机规格</w:t>
            </w:r>
          </w:p>
        </w:tc>
        <w:tc>
          <w:tcPr>
            <w:tcW w:w="2627" w:type="dxa"/>
            <w:tcBorders>
              <w:top w:val="nil"/>
              <w:left w:val="nil"/>
              <w:bottom w:val="single" w:color="auto" w:sz="4" w:space="0"/>
              <w:right w:val="single" w:color="auto" w:sz="4" w:space="0"/>
            </w:tcBorders>
            <w:vAlign w:val="center"/>
          </w:tcPr>
          <w:p w14:paraId="7FAF26B5">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外观和结构</w:t>
            </w:r>
          </w:p>
        </w:tc>
        <w:tc>
          <w:tcPr>
            <w:tcW w:w="4252" w:type="dxa"/>
            <w:tcBorders>
              <w:top w:val="nil"/>
              <w:left w:val="nil"/>
              <w:bottom w:val="single" w:color="auto" w:sz="4" w:space="0"/>
              <w:right w:val="single" w:color="auto" w:sz="4" w:space="0"/>
            </w:tcBorders>
            <w:vAlign w:val="center"/>
          </w:tcPr>
          <w:p w14:paraId="08F9FF0E">
            <w:pPr>
              <w:widowControl/>
              <w:jc w:val="left"/>
              <w:rPr>
                <w:rFonts w:ascii="宋体" w:hAnsi="宋体"/>
                <w:color w:val="auto"/>
                <w:kern w:val="0"/>
                <w:sz w:val="22"/>
                <w:szCs w:val="22"/>
              </w:rPr>
            </w:pPr>
            <w:r>
              <w:rPr>
                <w:rFonts w:hint="eastAsia" w:ascii="宋体" w:hAnsi="宋体"/>
                <w:color w:val="auto"/>
                <w:kern w:val="0"/>
                <w:sz w:val="22"/>
                <w:szCs w:val="22"/>
              </w:rPr>
              <w:t>标准滑轨，可安装于标准机柜</w:t>
            </w:r>
          </w:p>
        </w:tc>
      </w:tr>
      <w:tr w14:paraId="32A42C9C">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5726DCB5">
            <w:pPr>
              <w:widowControl/>
              <w:jc w:val="center"/>
              <w:rPr>
                <w:rFonts w:ascii="宋体" w:hAnsi="宋体"/>
                <w:color w:val="auto"/>
                <w:kern w:val="0"/>
                <w:sz w:val="22"/>
                <w:szCs w:val="22"/>
              </w:rPr>
            </w:pPr>
            <w:r>
              <w:rPr>
                <w:rFonts w:hint="eastAsia" w:ascii="宋体" w:hAnsi="宋体"/>
                <w:color w:val="auto"/>
                <w:kern w:val="0"/>
                <w:sz w:val="22"/>
                <w:szCs w:val="22"/>
              </w:rPr>
              <w:t>36</w:t>
            </w:r>
          </w:p>
        </w:tc>
        <w:tc>
          <w:tcPr>
            <w:tcW w:w="1440" w:type="dxa"/>
            <w:vMerge w:val="continue"/>
            <w:tcBorders>
              <w:top w:val="nil"/>
              <w:left w:val="nil"/>
              <w:bottom w:val="single" w:color="auto" w:sz="4" w:space="0"/>
              <w:right w:val="single" w:color="auto" w:sz="4" w:space="0"/>
            </w:tcBorders>
            <w:vAlign w:val="center"/>
          </w:tcPr>
          <w:p w14:paraId="58D4A812">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53471BF6">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尺寸（高×宽×深）</w:t>
            </w:r>
          </w:p>
        </w:tc>
        <w:tc>
          <w:tcPr>
            <w:tcW w:w="4252" w:type="dxa"/>
            <w:tcBorders>
              <w:top w:val="nil"/>
              <w:left w:val="nil"/>
              <w:bottom w:val="single" w:color="auto" w:sz="4" w:space="0"/>
              <w:right w:val="single" w:color="auto" w:sz="4" w:space="0"/>
            </w:tcBorders>
            <w:vAlign w:val="center"/>
          </w:tcPr>
          <w:p w14:paraId="6D56A138">
            <w:pPr>
              <w:widowControl/>
              <w:jc w:val="left"/>
              <w:rPr>
                <w:rFonts w:ascii="宋体" w:hAnsi="宋体"/>
                <w:color w:val="auto"/>
                <w:kern w:val="0"/>
                <w:sz w:val="22"/>
                <w:szCs w:val="22"/>
              </w:rPr>
            </w:pPr>
            <w:r>
              <w:rPr>
                <w:rFonts w:hint="eastAsia" w:ascii="宋体" w:hAnsi="宋体"/>
                <w:color w:val="auto"/>
                <w:kern w:val="0"/>
                <w:sz w:val="22"/>
                <w:szCs w:val="22"/>
              </w:rPr>
              <w:t>≤90mm×447mm×800mm</w:t>
            </w:r>
          </w:p>
        </w:tc>
      </w:tr>
      <w:tr w14:paraId="70C9549D">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61C5BFCA">
            <w:pPr>
              <w:widowControl/>
              <w:jc w:val="center"/>
              <w:rPr>
                <w:rFonts w:ascii="宋体" w:hAnsi="宋体"/>
                <w:color w:val="auto"/>
                <w:kern w:val="0"/>
                <w:sz w:val="22"/>
                <w:szCs w:val="22"/>
              </w:rPr>
            </w:pPr>
            <w:r>
              <w:rPr>
                <w:rFonts w:hint="eastAsia" w:ascii="宋体" w:hAnsi="宋体"/>
                <w:color w:val="auto"/>
                <w:kern w:val="0"/>
                <w:sz w:val="22"/>
                <w:szCs w:val="22"/>
              </w:rPr>
              <w:t>37</w:t>
            </w:r>
          </w:p>
        </w:tc>
        <w:tc>
          <w:tcPr>
            <w:tcW w:w="1440" w:type="dxa"/>
            <w:vMerge w:val="continue"/>
            <w:tcBorders>
              <w:top w:val="nil"/>
              <w:left w:val="nil"/>
              <w:bottom w:val="single" w:color="auto" w:sz="4" w:space="0"/>
              <w:right w:val="single" w:color="auto" w:sz="4" w:space="0"/>
            </w:tcBorders>
            <w:vAlign w:val="center"/>
          </w:tcPr>
          <w:p w14:paraId="5F71F7FD">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0E38A7DF">
            <w:pPr>
              <w:widowControl/>
              <w:jc w:val="left"/>
              <w:rPr>
                <w:rFonts w:ascii="宋体" w:hAnsi="宋体"/>
                <w:color w:val="auto"/>
                <w:kern w:val="0"/>
                <w:sz w:val="22"/>
                <w:szCs w:val="22"/>
              </w:rPr>
            </w:pPr>
            <w:r>
              <w:rPr>
                <w:rFonts w:hint="eastAsia" w:ascii="宋体" w:hAnsi="宋体"/>
                <w:color w:val="auto"/>
                <w:kern w:val="0"/>
                <w:sz w:val="22"/>
                <w:szCs w:val="22"/>
              </w:rPr>
              <w:t>服务器导轨</w:t>
            </w:r>
          </w:p>
        </w:tc>
        <w:tc>
          <w:tcPr>
            <w:tcW w:w="4252" w:type="dxa"/>
            <w:tcBorders>
              <w:top w:val="nil"/>
              <w:left w:val="nil"/>
              <w:bottom w:val="single" w:color="auto" w:sz="4" w:space="0"/>
              <w:right w:val="single" w:color="auto" w:sz="4" w:space="0"/>
            </w:tcBorders>
            <w:vAlign w:val="center"/>
          </w:tcPr>
          <w:p w14:paraId="23350F44">
            <w:pPr>
              <w:widowControl/>
              <w:jc w:val="left"/>
              <w:rPr>
                <w:rFonts w:ascii="宋体" w:hAnsi="宋体"/>
                <w:color w:val="auto"/>
                <w:kern w:val="0"/>
                <w:sz w:val="22"/>
                <w:szCs w:val="22"/>
              </w:rPr>
            </w:pPr>
            <w:r>
              <w:rPr>
                <w:rFonts w:hint="eastAsia" w:ascii="宋体" w:hAnsi="宋体"/>
                <w:color w:val="auto"/>
                <w:kern w:val="0"/>
                <w:sz w:val="22"/>
                <w:szCs w:val="22"/>
              </w:rPr>
              <w:t>2U静态滑轨</w:t>
            </w:r>
          </w:p>
        </w:tc>
      </w:tr>
      <w:tr w14:paraId="423C1693">
        <w:tblPrEx>
          <w:tblCellMar>
            <w:top w:w="0" w:type="dxa"/>
            <w:left w:w="108" w:type="dxa"/>
            <w:bottom w:w="0" w:type="dxa"/>
            <w:right w:w="108" w:type="dxa"/>
          </w:tblCellMar>
        </w:tblPrEx>
        <w:trPr>
          <w:gridAfter w:val="1"/>
          <w:wAfter w:w="236" w:type="dxa"/>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2D1D079E">
            <w:pPr>
              <w:widowControl/>
              <w:jc w:val="center"/>
              <w:rPr>
                <w:rFonts w:ascii="宋体" w:hAnsi="宋体"/>
                <w:color w:val="auto"/>
                <w:kern w:val="0"/>
                <w:sz w:val="22"/>
                <w:szCs w:val="22"/>
              </w:rPr>
            </w:pPr>
            <w:r>
              <w:rPr>
                <w:rFonts w:hint="eastAsia" w:ascii="宋体" w:hAnsi="宋体"/>
                <w:color w:val="auto"/>
                <w:kern w:val="0"/>
                <w:sz w:val="22"/>
                <w:szCs w:val="22"/>
              </w:rPr>
              <w:t>38</w:t>
            </w:r>
          </w:p>
        </w:tc>
        <w:tc>
          <w:tcPr>
            <w:tcW w:w="1440" w:type="dxa"/>
            <w:vMerge w:val="continue"/>
            <w:tcBorders>
              <w:top w:val="nil"/>
              <w:left w:val="nil"/>
              <w:bottom w:val="single" w:color="auto" w:sz="4" w:space="0"/>
              <w:right w:val="single" w:color="auto" w:sz="4" w:space="0"/>
            </w:tcBorders>
            <w:vAlign w:val="center"/>
          </w:tcPr>
          <w:p w14:paraId="0316E434">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4714DE20">
            <w:pPr>
              <w:widowControl/>
              <w:jc w:val="left"/>
              <w:rPr>
                <w:rFonts w:ascii="宋体" w:hAnsi="宋体"/>
                <w:color w:val="auto"/>
                <w:kern w:val="0"/>
                <w:sz w:val="22"/>
                <w:szCs w:val="22"/>
              </w:rPr>
            </w:pPr>
            <w:r>
              <w:rPr>
                <w:rFonts w:hint="eastAsia" w:ascii="宋体" w:hAnsi="宋体"/>
                <w:color w:val="auto"/>
                <w:kern w:val="0"/>
                <w:sz w:val="22"/>
                <w:szCs w:val="22"/>
              </w:rPr>
              <w:t>CPU个数与机柜高度单位(U)比</w:t>
            </w:r>
          </w:p>
        </w:tc>
        <w:tc>
          <w:tcPr>
            <w:tcW w:w="4252" w:type="dxa"/>
            <w:tcBorders>
              <w:top w:val="nil"/>
              <w:left w:val="nil"/>
              <w:bottom w:val="single" w:color="auto" w:sz="4" w:space="0"/>
              <w:right w:val="single" w:color="auto" w:sz="4" w:space="0"/>
            </w:tcBorders>
            <w:vAlign w:val="center"/>
          </w:tcPr>
          <w:p w14:paraId="77409F26">
            <w:pPr>
              <w:widowControl/>
              <w:jc w:val="left"/>
              <w:rPr>
                <w:rFonts w:ascii="宋体" w:hAnsi="宋体"/>
                <w:color w:val="auto"/>
                <w:kern w:val="0"/>
                <w:sz w:val="22"/>
                <w:szCs w:val="22"/>
              </w:rPr>
            </w:pPr>
            <w:r>
              <w:rPr>
                <w:rFonts w:hint="eastAsia" w:ascii="宋体" w:hAnsi="宋体"/>
                <w:color w:val="auto"/>
                <w:kern w:val="0"/>
                <w:sz w:val="22"/>
                <w:szCs w:val="22"/>
              </w:rPr>
              <w:t>不涉及</w:t>
            </w:r>
          </w:p>
        </w:tc>
      </w:tr>
      <w:tr w14:paraId="331CF2FB">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53545B42">
            <w:pPr>
              <w:widowControl/>
              <w:jc w:val="center"/>
              <w:rPr>
                <w:rFonts w:ascii="宋体" w:hAnsi="宋体"/>
                <w:color w:val="auto"/>
                <w:kern w:val="0"/>
                <w:sz w:val="22"/>
                <w:szCs w:val="22"/>
              </w:rPr>
            </w:pPr>
            <w:r>
              <w:rPr>
                <w:rFonts w:hint="eastAsia" w:ascii="宋体" w:hAnsi="宋体"/>
                <w:color w:val="auto"/>
                <w:kern w:val="0"/>
                <w:sz w:val="22"/>
                <w:szCs w:val="22"/>
              </w:rPr>
              <w:t>39</w:t>
            </w:r>
          </w:p>
        </w:tc>
        <w:tc>
          <w:tcPr>
            <w:tcW w:w="1440" w:type="dxa"/>
            <w:vMerge w:val="continue"/>
            <w:tcBorders>
              <w:top w:val="nil"/>
              <w:left w:val="nil"/>
              <w:bottom w:val="single" w:color="auto" w:sz="4" w:space="0"/>
              <w:right w:val="single" w:color="auto" w:sz="4" w:space="0"/>
            </w:tcBorders>
            <w:vAlign w:val="center"/>
          </w:tcPr>
          <w:p w14:paraId="680621F5">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4E2EC259">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环境适应性</w:t>
            </w:r>
          </w:p>
        </w:tc>
        <w:tc>
          <w:tcPr>
            <w:tcW w:w="4252" w:type="dxa"/>
            <w:tcBorders>
              <w:top w:val="nil"/>
              <w:left w:val="nil"/>
              <w:bottom w:val="single" w:color="auto" w:sz="4" w:space="0"/>
              <w:right w:val="single" w:color="auto" w:sz="4" w:space="0"/>
            </w:tcBorders>
            <w:vAlign w:val="center"/>
          </w:tcPr>
          <w:p w14:paraId="61E31387">
            <w:pPr>
              <w:widowControl/>
              <w:jc w:val="left"/>
              <w:rPr>
                <w:rFonts w:ascii="宋体" w:hAnsi="宋体"/>
                <w:color w:val="auto"/>
                <w:kern w:val="0"/>
                <w:sz w:val="22"/>
                <w:szCs w:val="22"/>
              </w:rPr>
            </w:pPr>
            <w:r>
              <w:rPr>
                <w:rFonts w:hint="eastAsia" w:ascii="宋体" w:hAnsi="宋体"/>
                <w:color w:val="auto"/>
                <w:kern w:val="0"/>
                <w:sz w:val="22"/>
                <w:szCs w:val="22"/>
              </w:rPr>
              <w:t>不涉及</w:t>
            </w:r>
          </w:p>
        </w:tc>
      </w:tr>
      <w:tr w14:paraId="69A5B27E">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0E8CC450">
            <w:pPr>
              <w:widowControl/>
              <w:jc w:val="center"/>
              <w:rPr>
                <w:rFonts w:ascii="宋体" w:hAnsi="宋体"/>
                <w:color w:val="auto"/>
                <w:kern w:val="0"/>
                <w:sz w:val="22"/>
                <w:szCs w:val="22"/>
              </w:rPr>
            </w:pPr>
            <w:r>
              <w:rPr>
                <w:rFonts w:hint="eastAsia" w:ascii="宋体" w:hAnsi="宋体"/>
                <w:color w:val="auto"/>
                <w:kern w:val="0"/>
                <w:sz w:val="22"/>
                <w:szCs w:val="22"/>
              </w:rPr>
              <w:t>40</w:t>
            </w:r>
          </w:p>
        </w:tc>
        <w:tc>
          <w:tcPr>
            <w:tcW w:w="1440" w:type="dxa"/>
            <w:vMerge w:val="continue"/>
            <w:tcBorders>
              <w:top w:val="nil"/>
              <w:left w:val="nil"/>
              <w:bottom w:val="single" w:color="auto" w:sz="4" w:space="0"/>
              <w:right w:val="single" w:color="auto" w:sz="4" w:space="0"/>
            </w:tcBorders>
            <w:vAlign w:val="center"/>
          </w:tcPr>
          <w:p w14:paraId="652E63CD">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596A6F4B">
            <w:pPr>
              <w:widowControl/>
              <w:jc w:val="left"/>
              <w:rPr>
                <w:rFonts w:ascii="宋体" w:hAnsi="宋体"/>
                <w:color w:val="auto"/>
                <w:kern w:val="0"/>
                <w:sz w:val="22"/>
                <w:szCs w:val="22"/>
              </w:rPr>
            </w:pPr>
            <w:r>
              <w:rPr>
                <w:rFonts w:hint="eastAsia" w:ascii="宋体" w:hAnsi="宋体"/>
                <w:color w:val="auto"/>
                <w:kern w:val="0"/>
                <w:sz w:val="22"/>
                <w:szCs w:val="22"/>
              </w:rPr>
              <w:t>特殊机型环境适应性</w:t>
            </w:r>
          </w:p>
        </w:tc>
        <w:tc>
          <w:tcPr>
            <w:tcW w:w="4252" w:type="dxa"/>
            <w:tcBorders>
              <w:top w:val="nil"/>
              <w:left w:val="nil"/>
              <w:bottom w:val="single" w:color="auto" w:sz="4" w:space="0"/>
              <w:right w:val="single" w:color="auto" w:sz="4" w:space="0"/>
            </w:tcBorders>
            <w:vAlign w:val="center"/>
          </w:tcPr>
          <w:p w14:paraId="49CC3560">
            <w:pPr>
              <w:widowControl/>
              <w:jc w:val="left"/>
              <w:rPr>
                <w:rFonts w:ascii="宋体" w:hAnsi="宋体"/>
                <w:color w:val="auto"/>
                <w:kern w:val="0"/>
                <w:sz w:val="22"/>
                <w:szCs w:val="22"/>
              </w:rPr>
            </w:pPr>
            <w:r>
              <w:rPr>
                <w:rFonts w:hint="eastAsia" w:ascii="宋体" w:hAnsi="宋体"/>
                <w:color w:val="auto"/>
                <w:kern w:val="0"/>
                <w:sz w:val="22"/>
                <w:szCs w:val="22"/>
              </w:rPr>
              <w:t>不涉及</w:t>
            </w:r>
          </w:p>
        </w:tc>
      </w:tr>
      <w:tr w14:paraId="57820960">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47229FB6">
            <w:pPr>
              <w:widowControl/>
              <w:jc w:val="center"/>
              <w:rPr>
                <w:rFonts w:ascii="宋体" w:hAnsi="宋体"/>
                <w:color w:val="auto"/>
                <w:kern w:val="0"/>
                <w:sz w:val="22"/>
                <w:szCs w:val="22"/>
              </w:rPr>
            </w:pPr>
            <w:r>
              <w:rPr>
                <w:rFonts w:hint="eastAsia" w:ascii="宋体" w:hAnsi="宋体"/>
                <w:color w:val="auto"/>
                <w:kern w:val="0"/>
                <w:sz w:val="22"/>
                <w:szCs w:val="22"/>
              </w:rPr>
              <w:t>41</w:t>
            </w:r>
          </w:p>
        </w:tc>
        <w:tc>
          <w:tcPr>
            <w:tcW w:w="1440" w:type="dxa"/>
            <w:vMerge w:val="continue"/>
            <w:tcBorders>
              <w:top w:val="nil"/>
              <w:left w:val="nil"/>
              <w:bottom w:val="single" w:color="auto" w:sz="4" w:space="0"/>
              <w:right w:val="single" w:color="auto" w:sz="4" w:space="0"/>
            </w:tcBorders>
            <w:vAlign w:val="center"/>
          </w:tcPr>
          <w:p w14:paraId="1D20C8AF">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1DF9E487">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机械环境适应性</w:t>
            </w:r>
          </w:p>
        </w:tc>
        <w:tc>
          <w:tcPr>
            <w:tcW w:w="4252" w:type="dxa"/>
            <w:tcBorders>
              <w:top w:val="nil"/>
              <w:left w:val="nil"/>
              <w:bottom w:val="single" w:color="auto" w:sz="4" w:space="0"/>
              <w:right w:val="single" w:color="auto" w:sz="4" w:space="0"/>
            </w:tcBorders>
            <w:vAlign w:val="center"/>
          </w:tcPr>
          <w:p w14:paraId="440688EA">
            <w:pPr>
              <w:widowControl/>
              <w:jc w:val="left"/>
              <w:rPr>
                <w:rFonts w:ascii="宋体" w:hAnsi="宋体"/>
                <w:color w:val="auto"/>
                <w:kern w:val="0"/>
                <w:sz w:val="22"/>
                <w:szCs w:val="22"/>
              </w:rPr>
            </w:pPr>
            <w:r>
              <w:rPr>
                <w:rFonts w:hint="eastAsia" w:ascii="宋体" w:hAnsi="宋体"/>
                <w:color w:val="auto"/>
                <w:kern w:val="0"/>
                <w:sz w:val="22"/>
                <w:szCs w:val="22"/>
              </w:rPr>
              <w:t>不涉及</w:t>
            </w:r>
          </w:p>
        </w:tc>
      </w:tr>
      <w:tr w14:paraId="5FC85777">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383B0BCD">
            <w:pPr>
              <w:widowControl/>
              <w:jc w:val="center"/>
              <w:rPr>
                <w:rFonts w:ascii="宋体" w:hAnsi="宋体"/>
                <w:color w:val="auto"/>
                <w:kern w:val="0"/>
                <w:sz w:val="22"/>
                <w:szCs w:val="22"/>
              </w:rPr>
            </w:pPr>
            <w:r>
              <w:rPr>
                <w:rFonts w:hint="eastAsia" w:ascii="宋体" w:hAnsi="宋体"/>
                <w:color w:val="auto"/>
                <w:kern w:val="0"/>
                <w:sz w:val="22"/>
                <w:szCs w:val="22"/>
              </w:rPr>
              <w:t>42</w:t>
            </w:r>
          </w:p>
        </w:tc>
        <w:tc>
          <w:tcPr>
            <w:tcW w:w="1440" w:type="dxa"/>
            <w:vMerge w:val="continue"/>
            <w:tcBorders>
              <w:top w:val="nil"/>
              <w:left w:val="nil"/>
              <w:bottom w:val="single" w:color="auto" w:sz="4" w:space="0"/>
              <w:right w:val="single" w:color="auto" w:sz="4" w:space="0"/>
            </w:tcBorders>
            <w:vAlign w:val="center"/>
          </w:tcPr>
          <w:p w14:paraId="6498C7A6">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65629B19">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噪声</w:t>
            </w:r>
          </w:p>
        </w:tc>
        <w:tc>
          <w:tcPr>
            <w:tcW w:w="4252" w:type="dxa"/>
            <w:tcBorders>
              <w:top w:val="nil"/>
              <w:left w:val="nil"/>
              <w:bottom w:val="single" w:color="auto" w:sz="4" w:space="0"/>
              <w:right w:val="single" w:color="auto" w:sz="4" w:space="0"/>
            </w:tcBorders>
            <w:vAlign w:val="center"/>
          </w:tcPr>
          <w:p w14:paraId="7E27BE78">
            <w:pPr>
              <w:widowControl/>
              <w:jc w:val="left"/>
              <w:rPr>
                <w:rFonts w:ascii="宋体" w:hAnsi="宋体"/>
                <w:color w:val="auto"/>
                <w:kern w:val="0"/>
                <w:sz w:val="22"/>
                <w:szCs w:val="22"/>
              </w:rPr>
            </w:pPr>
            <w:r>
              <w:rPr>
                <w:rFonts w:hint="eastAsia" w:ascii="宋体" w:hAnsi="宋体"/>
                <w:color w:val="auto"/>
                <w:kern w:val="0"/>
                <w:sz w:val="22"/>
                <w:szCs w:val="22"/>
              </w:rPr>
              <w:t>不涉及</w:t>
            </w:r>
          </w:p>
        </w:tc>
      </w:tr>
      <w:tr w14:paraId="5E5D91D2">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16296D43">
            <w:pPr>
              <w:widowControl/>
              <w:jc w:val="center"/>
              <w:rPr>
                <w:rFonts w:ascii="宋体" w:hAnsi="宋体"/>
                <w:color w:val="auto"/>
                <w:kern w:val="0"/>
                <w:sz w:val="22"/>
                <w:szCs w:val="22"/>
              </w:rPr>
            </w:pPr>
            <w:r>
              <w:rPr>
                <w:rFonts w:hint="eastAsia" w:ascii="宋体" w:hAnsi="宋体"/>
                <w:color w:val="auto"/>
                <w:kern w:val="0"/>
                <w:sz w:val="22"/>
                <w:szCs w:val="22"/>
              </w:rPr>
              <w:t>43</w:t>
            </w:r>
          </w:p>
        </w:tc>
        <w:tc>
          <w:tcPr>
            <w:tcW w:w="1440" w:type="dxa"/>
            <w:vMerge w:val="restart"/>
            <w:tcBorders>
              <w:top w:val="nil"/>
              <w:left w:val="nil"/>
              <w:bottom w:val="single" w:color="auto" w:sz="4" w:space="0"/>
              <w:right w:val="single" w:color="auto" w:sz="4" w:space="0"/>
            </w:tcBorders>
            <w:vAlign w:val="center"/>
          </w:tcPr>
          <w:p w14:paraId="05BADE96">
            <w:pPr>
              <w:widowControl/>
              <w:jc w:val="center"/>
              <w:rPr>
                <w:rFonts w:ascii="宋体" w:hAnsi="宋体"/>
                <w:color w:val="auto"/>
                <w:kern w:val="0"/>
                <w:sz w:val="22"/>
                <w:szCs w:val="22"/>
              </w:rPr>
            </w:pPr>
            <w:r>
              <w:rPr>
                <w:rFonts w:hint="eastAsia" w:ascii="宋体" w:hAnsi="宋体"/>
                <w:color w:val="auto"/>
                <w:kern w:val="0"/>
                <w:sz w:val="22"/>
                <w:szCs w:val="22"/>
              </w:rPr>
              <w:t>AI计算单元规格</w:t>
            </w:r>
          </w:p>
        </w:tc>
        <w:tc>
          <w:tcPr>
            <w:tcW w:w="2627" w:type="dxa"/>
            <w:tcBorders>
              <w:top w:val="nil"/>
              <w:left w:val="nil"/>
              <w:bottom w:val="single" w:color="auto" w:sz="4" w:space="0"/>
              <w:right w:val="single" w:color="auto" w:sz="4" w:space="0"/>
            </w:tcBorders>
            <w:vAlign w:val="center"/>
          </w:tcPr>
          <w:p w14:paraId="23E8D074">
            <w:pPr>
              <w:widowControl/>
              <w:jc w:val="left"/>
              <w:rPr>
                <w:rFonts w:ascii="宋体" w:hAnsi="宋体"/>
                <w:color w:val="auto"/>
                <w:kern w:val="0"/>
                <w:sz w:val="22"/>
                <w:szCs w:val="22"/>
              </w:rPr>
            </w:pPr>
            <w:r>
              <w:rPr>
                <w:rFonts w:hint="eastAsia" w:ascii="宋体" w:hAnsi="宋体"/>
                <w:color w:val="auto"/>
                <w:kern w:val="0"/>
                <w:sz w:val="22"/>
                <w:szCs w:val="22"/>
              </w:rPr>
              <w:t>AI计算单元</w:t>
            </w:r>
          </w:p>
        </w:tc>
        <w:tc>
          <w:tcPr>
            <w:tcW w:w="4252" w:type="dxa"/>
            <w:tcBorders>
              <w:top w:val="nil"/>
              <w:left w:val="nil"/>
              <w:bottom w:val="single" w:color="auto" w:sz="4" w:space="0"/>
              <w:right w:val="single" w:color="auto" w:sz="4" w:space="0"/>
            </w:tcBorders>
            <w:vAlign w:val="center"/>
          </w:tcPr>
          <w:p w14:paraId="24F7BC45">
            <w:pPr>
              <w:widowControl/>
              <w:jc w:val="left"/>
              <w:rPr>
                <w:rFonts w:ascii="宋体" w:hAnsi="宋体"/>
                <w:color w:val="auto"/>
                <w:kern w:val="0"/>
                <w:sz w:val="22"/>
                <w:szCs w:val="22"/>
              </w:rPr>
            </w:pPr>
            <w:r>
              <w:rPr>
                <w:rFonts w:hint="eastAsia" w:ascii="宋体" w:hAnsi="宋体"/>
                <w:color w:val="auto"/>
                <w:kern w:val="0"/>
                <w:sz w:val="22"/>
                <w:szCs w:val="22"/>
              </w:rPr>
              <w:t>配置集成显卡</w:t>
            </w:r>
          </w:p>
        </w:tc>
      </w:tr>
      <w:tr w14:paraId="4585ABC3">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1E04842A">
            <w:pPr>
              <w:widowControl/>
              <w:jc w:val="center"/>
              <w:rPr>
                <w:rFonts w:ascii="宋体" w:hAnsi="宋体"/>
                <w:color w:val="auto"/>
                <w:kern w:val="0"/>
                <w:sz w:val="22"/>
                <w:szCs w:val="22"/>
              </w:rPr>
            </w:pPr>
            <w:r>
              <w:rPr>
                <w:rFonts w:hint="eastAsia" w:ascii="宋体" w:hAnsi="宋体"/>
                <w:color w:val="auto"/>
                <w:kern w:val="0"/>
                <w:sz w:val="22"/>
                <w:szCs w:val="22"/>
              </w:rPr>
              <w:t>44</w:t>
            </w:r>
          </w:p>
        </w:tc>
        <w:tc>
          <w:tcPr>
            <w:tcW w:w="1440" w:type="dxa"/>
            <w:vMerge w:val="continue"/>
            <w:tcBorders>
              <w:top w:val="nil"/>
              <w:left w:val="nil"/>
              <w:bottom w:val="single" w:color="auto" w:sz="4" w:space="0"/>
              <w:right w:val="single" w:color="auto" w:sz="4" w:space="0"/>
            </w:tcBorders>
            <w:vAlign w:val="center"/>
          </w:tcPr>
          <w:p w14:paraId="4751A72F">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2C47EA21">
            <w:pPr>
              <w:widowControl/>
              <w:jc w:val="left"/>
              <w:rPr>
                <w:rFonts w:ascii="宋体" w:hAnsi="宋体"/>
                <w:color w:val="auto"/>
                <w:kern w:val="0"/>
                <w:sz w:val="22"/>
                <w:szCs w:val="22"/>
              </w:rPr>
            </w:pPr>
            <w:r>
              <w:rPr>
                <w:rFonts w:hint="eastAsia" w:ascii="宋体" w:hAnsi="宋体"/>
                <w:color w:val="auto"/>
                <w:kern w:val="0"/>
                <w:sz w:val="22"/>
                <w:szCs w:val="22"/>
              </w:rPr>
              <w:t>一键式迁移</w:t>
            </w:r>
          </w:p>
        </w:tc>
        <w:tc>
          <w:tcPr>
            <w:tcW w:w="4252" w:type="dxa"/>
            <w:tcBorders>
              <w:top w:val="nil"/>
              <w:left w:val="nil"/>
              <w:bottom w:val="single" w:color="auto" w:sz="4" w:space="0"/>
              <w:right w:val="single" w:color="auto" w:sz="4" w:space="0"/>
            </w:tcBorders>
            <w:vAlign w:val="center"/>
          </w:tcPr>
          <w:p w14:paraId="7C9D70FB">
            <w:pPr>
              <w:widowControl/>
              <w:jc w:val="left"/>
              <w:rPr>
                <w:rFonts w:ascii="宋体" w:hAnsi="宋体"/>
                <w:color w:val="auto"/>
                <w:kern w:val="0"/>
                <w:sz w:val="22"/>
                <w:szCs w:val="22"/>
              </w:rPr>
            </w:pPr>
            <w:r>
              <w:rPr>
                <w:rFonts w:hint="eastAsia" w:ascii="宋体" w:hAnsi="宋体"/>
                <w:color w:val="auto"/>
                <w:kern w:val="0"/>
                <w:sz w:val="22"/>
                <w:szCs w:val="22"/>
              </w:rPr>
              <w:t>不涉及</w:t>
            </w:r>
          </w:p>
        </w:tc>
      </w:tr>
      <w:tr w14:paraId="19891F43">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0D02F984">
            <w:pPr>
              <w:widowControl/>
              <w:jc w:val="center"/>
              <w:rPr>
                <w:rFonts w:ascii="宋体" w:hAnsi="宋体"/>
                <w:color w:val="auto"/>
                <w:kern w:val="0"/>
                <w:sz w:val="22"/>
                <w:szCs w:val="22"/>
              </w:rPr>
            </w:pPr>
            <w:r>
              <w:rPr>
                <w:rFonts w:hint="eastAsia" w:ascii="宋体" w:hAnsi="宋体"/>
                <w:color w:val="auto"/>
                <w:kern w:val="0"/>
                <w:sz w:val="22"/>
                <w:szCs w:val="22"/>
              </w:rPr>
              <w:t>45</w:t>
            </w:r>
          </w:p>
        </w:tc>
        <w:tc>
          <w:tcPr>
            <w:tcW w:w="1440" w:type="dxa"/>
            <w:vMerge w:val="restart"/>
            <w:tcBorders>
              <w:top w:val="nil"/>
              <w:left w:val="nil"/>
              <w:bottom w:val="single" w:color="auto" w:sz="4" w:space="0"/>
              <w:right w:val="single" w:color="auto" w:sz="4" w:space="0"/>
            </w:tcBorders>
            <w:vAlign w:val="center"/>
          </w:tcPr>
          <w:p w14:paraId="7F77A500">
            <w:pPr>
              <w:widowControl/>
              <w:jc w:val="center"/>
              <w:rPr>
                <w:rFonts w:ascii="宋体" w:hAnsi="宋体"/>
                <w:color w:val="auto"/>
                <w:kern w:val="0"/>
                <w:sz w:val="22"/>
                <w:szCs w:val="22"/>
              </w:rPr>
            </w:pPr>
            <w:r>
              <w:rPr>
                <w:rFonts w:hint="eastAsia" w:ascii="宋体" w:hAnsi="宋体"/>
                <w:color w:val="auto"/>
                <w:kern w:val="0"/>
                <w:sz w:val="22"/>
                <w:szCs w:val="22"/>
              </w:rPr>
              <w:t>机柜规格</w:t>
            </w:r>
          </w:p>
        </w:tc>
        <w:tc>
          <w:tcPr>
            <w:tcW w:w="2627" w:type="dxa"/>
            <w:tcBorders>
              <w:top w:val="nil"/>
              <w:left w:val="nil"/>
              <w:bottom w:val="single" w:color="auto" w:sz="4" w:space="0"/>
              <w:right w:val="single" w:color="auto" w:sz="4" w:space="0"/>
            </w:tcBorders>
            <w:vAlign w:val="center"/>
          </w:tcPr>
          <w:p w14:paraId="1782D0EE">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机柜尺寸</w:t>
            </w:r>
          </w:p>
        </w:tc>
        <w:tc>
          <w:tcPr>
            <w:tcW w:w="4252" w:type="dxa"/>
            <w:tcBorders>
              <w:top w:val="nil"/>
              <w:left w:val="nil"/>
              <w:bottom w:val="single" w:color="auto" w:sz="4" w:space="0"/>
              <w:right w:val="single" w:color="auto" w:sz="4" w:space="0"/>
            </w:tcBorders>
            <w:vAlign w:val="center"/>
          </w:tcPr>
          <w:p w14:paraId="72353296">
            <w:pPr>
              <w:widowControl/>
              <w:jc w:val="left"/>
              <w:rPr>
                <w:rFonts w:ascii="宋体" w:hAnsi="宋体"/>
                <w:color w:val="auto"/>
                <w:kern w:val="0"/>
                <w:sz w:val="22"/>
                <w:szCs w:val="22"/>
              </w:rPr>
            </w:pPr>
            <w:r>
              <w:rPr>
                <w:rFonts w:hint="eastAsia" w:ascii="宋体" w:hAnsi="宋体"/>
                <w:color w:val="auto"/>
                <w:kern w:val="0"/>
                <w:sz w:val="22"/>
                <w:szCs w:val="22"/>
              </w:rPr>
              <w:t>不涉及</w:t>
            </w:r>
          </w:p>
        </w:tc>
      </w:tr>
      <w:tr w14:paraId="69D942A6">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3E760E7A">
            <w:pPr>
              <w:widowControl/>
              <w:jc w:val="center"/>
              <w:rPr>
                <w:rFonts w:ascii="宋体" w:hAnsi="宋体"/>
                <w:color w:val="auto"/>
                <w:kern w:val="0"/>
                <w:sz w:val="22"/>
                <w:szCs w:val="22"/>
              </w:rPr>
            </w:pPr>
            <w:r>
              <w:rPr>
                <w:rFonts w:hint="eastAsia" w:ascii="宋体" w:hAnsi="宋体"/>
                <w:color w:val="auto"/>
                <w:kern w:val="0"/>
                <w:sz w:val="22"/>
                <w:szCs w:val="22"/>
              </w:rPr>
              <w:t>46</w:t>
            </w:r>
          </w:p>
        </w:tc>
        <w:tc>
          <w:tcPr>
            <w:tcW w:w="1440" w:type="dxa"/>
            <w:vMerge w:val="continue"/>
            <w:tcBorders>
              <w:top w:val="nil"/>
              <w:left w:val="nil"/>
              <w:bottom w:val="single" w:color="auto" w:sz="4" w:space="0"/>
              <w:right w:val="single" w:color="auto" w:sz="4" w:space="0"/>
            </w:tcBorders>
            <w:vAlign w:val="center"/>
          </w:tcPr>
          <w:p w14:paraId="7F61A549">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61747495">
            <w:pPr>
              <w:widowControl/>
              <w:jc w:val="left"/>
              <w:rPr>
                <w:rFonts w:ascii="宋体" w:hAnsi="宋体"/>
                <w:color w:val="auto"/>
                <w:kern w:val="0"/>
                <w:sz w:val="22"/>
                <w:szCs w:val="22"/>
              </w:rPr>
            </w:pPr>
            <w:r>
              <w:rPr>
                <w:rFonts w:hint="eastAsia" w:ascii="宋体" w:hAnsi="宋体"/>
                <w:color w:val="auto"/>
                <w:kern w:val="0"/>
                <w:sz w:val="22"/>
                <w:szCs w:val="22"/>
              </w:rPr>
              <w:t>机柜管理板</w:t>
            </w:r>
          </w:p>
        </w:tc>
        <w:tc>
          <w:tcPr>
            <w:tcW w:w="4252" w:type="dxa"/>
            <w:tcBorders>
              <w:top w:val="nil"/>
              <w:left w:val="nil"/>
              <w:bottom w:val="single" w:color="auto" w:sz="4" w:space="0"/>
              <w:right w:val="single" w:color="auto" w:sz="4" w:space="0"/>
            </w:tcBorders>
            <w:vAlign w:val="center"/>
          </w:tcPr>
          <w:p w14:paraId="68F9A1F0">
            <w:pPr>
              <w:widowControl/>
              <w:jc w:val="left"/>
              <w:rPr>
                <w:rFonts w:ascii="宋体" w:hAnsi="宋体"/>
                <w:color w:val="auto"/>
                <w:kern w:val="0"/>
                <w:sz w:val="22"/>
                <w:szCs w:val="22"/>
              </w:rPr>
            </w:pPr>
            <w:r>
              <w:rPr>
                <w:rFonts w:hint="eastAsia" w:ascii="宋体" w:hAnsi="宋体"/>
                <w:color w:val="auto"/>
                <w:kern w:val="0"/>
                <w:sz w:val="22"/>
                <w:szCs w:val="22"/>
              </w:rPr>
              <w:t>不涉及</w:t>
            </w:r>
          </w:p>
        </w:tc>
      </w:tr>
      <w:tr w14:paraId="3A936FA2">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28EC600A">
            <w:pPr>
              <w:widowControl/>
              <w:jc w:val="center"/>
              <w:rPr>
                <w:rFonts w:ascii="宋体" w:hAnsi="宋体"/>
                <w:color w:val="auto"/>
                <w:kern w:val="0"/>
                <w:sz w:val="22"/>
                <w:szCs w:val="22"/>
              </w:rPr>
            </w:pPr>
            <w:r>
              <w:rPr>
                <w:rFonts w:hint="eastAsia" w:ascii="宋体" w:hAnsi="宋体"/>
                <w:color w:val="auto"/>
                <w:kern w:val="0"/>
                <w:sz w:val="22"/>
                <w:szCs w:val="22"/>
              </w:rPr>
              <w:t>47</w:t>
            </w:r>
          </w:p>
        </w:tc>
        <w:tc>
          <w:tcPr>
            <w:tcW w:w="1440" w:type="dxa"/>
            <w:vMerge w:val="continue"/>
            <w:tcBorders>
              <w:top w:val="nil"/>
              <w:left w:val="nil"/>
              <w:bottom w:val="single" w:color="auto" w:sz="4" w:space="0"/>
              <w:right w:val="single" w:color="auto" w:sz="4" w:space="0"/>
            </w:tcBorders>
            <w:vAlign w:val="center"/>
          </w:tcPr>
          <w:p w14:paraId="58D90D3F">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77AEC0A1">
            <w:pPr>
              <w:widowControl/>
              <w:jc w:val="left"/>
              <w:rPr>
                <w:rFonts w:ascii="宋体" w:hAnsi="宋体"/>
                <w:color w:val="auto"/>
                <w:kern w:val="0"/>
                <w:sz w:val="22"/>
                <w:szCs w:val="22"/>
              </w:rPr>
            </w:pPr>
            <w:r>
              <w:rPr>
                <w:rFonts w:hint="eastAsia" w:ascii="宋体" w:hAnsi="宋体"/>
                <w:color w:val="auto"/>
                <w:kern w:val="0"/>
                <w:sz w:val="22"/>
                <w:szCs w:val="22"/>
              </w:rPr>
              <w:t>机柜电源规格</w:t>
            </w:r>
          </w:p>
        </w:tc>
        <w:tc>
          <w:tcPr>
            <w:tcW w:w="4252" w:type="dxa"/>
            <w:tcBorders>
              <w:top w:val="nil"/>
              <w:left w:val="nil"/>
              <w:bottom w:val="single" w:color="auto" w:sz="4" w:space="0"/>
              <w:right w:val="single" w:color="auto" w:sz="4" w:space="0"/>
            </w:tcBorders>
            <w:vAlign w:val="center"/>
          </w:tcPr>
          <w:p w14:paraId="4750BC37">
            <w:pPr>
              <w:widowControl/>
              <w:jc w:val="left"/>
              <w:rPr>
                <w:rFonts w:ascii="宋体" w:hAnsi="宋体"/>
                <w:color w:val="auto"/>
                <w:kern w:val="0"/>
                <w:sz w:val="22"/>
                <w:szCs w:val="22"/>
              </w:rPr>
            </w:pPr>
            <w:r>
              <w:rPr>
                <w:rFonts w:hint="eastAsia" w:ascii="宋体" w:hAnsi="宋体"/>
                <w:color w:val="auto"/>
                <w:kern w:val="0"/>
                <w:sz w:val="22"/>
                <w:szCs w:val="22"/>
              </w:rPr>
              <w:t>不涉及</w:t>
            </w:r>
          </w:p>
        </w:tc>
      </w:tr>
      <w:tr w14:paraId="27D4ED83">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75CA0E2A">
            <w:pPr>
              <w:widowControl/>
              <w:jc w:val="center"/>
              <w:rPr>
                <w:rFonts w:ascii="宋体" w:hAnsi="宋体"/>
                <w:color w:val="auto"/>
                <w:kern w:val="0"/>
                <w:sz w:val="22"/>
                <w:szCs w:val="22"/>
              </w:rPr>
            </w:pPr>
            <w:r>
              <w:rPr>
                <w:rFonts w:hint="eastAsia" w:ascii="宋体" w:hAnsi="宋体"/>
                <w:color w:val="auto"/>
                <w:kern w:val="0"/>
                <w:sz w:val="22"/>
                <w:szCs w:val="22"/>
              </w:rPr>
              <w:t>48</w:t>
            </w:r>
          </w:p>
        </w:tc>
        <w:tc>
          <w:tcPr>
            <w:tcW w:w="1440" w:type="dxa"/>
            <w:vMerge w:val="restart"/>
            <w:tcBorders>
              <w:top w:val="nil"/>
              <w:left w:val="nil"/>
              <w:bottom w:val="single" w:color="auto" w:sz="4" w:space="0"/>
              <w:right w:val="single" w:color="auto" w:sz="4" w:space="0"/>
            </w:tcBorders>
            <w:vAlign w:val="center"/>
          </w:tcPr>
          <w:p w14:paraId="58FB357C">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主板功能</w:t>
            </w:r>
          </w:p>
        </w:tc>
        <w:tc>
          <w:tcPr>
            <w:tcW w:w="2627" w:type="dxa"/>
            <w:tcBorders>
              <w:top w:val="nil"/>
              <w:left w:val="nil"/>
              <w:bottom w:val="single" w:color="auto" w:sz="4" w:space="0"/>
              <w:right w:val="single" w:color="auto" w:sz="4" w:space="0"/>
            </w:tcBorders>
            <w:vAlign w:val="center"/>
          </w:tcPr>
          <w:p w14:paraId="5A35408A">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主板外部接口种类</w:t>
            </w:r>
          </w:p>
        </w:tc>
        <w:tc>
          <w:tcPr>
            <w:tcW w:w="4252" w:type="dxa"/>
            <w:tcBorders>
              <w:top w:val="nil"/>
              <w:left w:val="nil"/>
              <w:bottom w:val="single" w:color="auto" w:sz="4" w:space="0"/>
              <w:right w:val="single" w:color="auto" w:sz="4" w:space="0"/>
            </w:tcBorders>
            <w:vAlign w:val="center"/>
          </w:tcPr>
          <w:p w14:paraId="1160C9F0">
            <w:pPr>
              <w:widowControl/>
              <w:jc w:val="left"/>
              <w:rPr>
                <w:rFonts w:ascii="宋体" w:hAnsi="宋体"/>
                <w:color w:val="auto"/>
                <w:kern w:val="0"/>
                <w:sz w:val="22"/>
                <w:szCs w:val="22"/>
              </w:rPr>
            </w:pPr>
            <w:r>
              <w:rPr>
                <w:rFonts w:hint="eastAsia" w:ascii="宋体" w:hAnsi="宋体"/>
                <w:color w:val="auto"/>
                <w:kern w:val="0"/>
                <w:sz w:val="22"/>
                <w:szCs w:val="22"/>
              </w:rPr>
              <w:t>支持USB、显示、管理等接口，如：VGA、USB3.0、BMC管理端口</w:t>
            </w:r>
          </w:p>
        </w:tc>
      </w:tr>
      <w:tr w14:paraId="79AB4EA7">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35DED905">
            <w:pPr>
              <w:widowControl/>
              <w:jc w:val="center"/>
              <w:rPr>
                <w:rFonts w:ascii="宋体" w:hAnsi="宋体"/>
                <w:color w:val="auto"/>
                <w:kern w:val="0"/>
                <w:sz w:val="22"/>
                <w:szCs w:val="22"/>
              </w:rPr>
            </w:pPr>
            <w:r>
              <w:rPr>
                <w:rFonts w:hint="eastAsia" w:ascii="宋体" w:hAnsi="宋体"/>
                <w:color w:val="auto"/>
                <w:kern w:val="0"/>
                <w:sz w:val="22"/>
                <w:szCs w:val="22"/>
              </w:rPr>
              <w:t>49</w:t>
            </w:r>
          </w:p>
        </w:tc>
        <w:tc>
          <w:tcPr>
            <w:tcW w:w="1440" w:type="dxa"/>
            <w:vMerge w:val="continue"/>
            <w:tcBorders>
              <w:top w:val="nil"/>
              <w:left w:val="nil"/>
              <w:bottom w:val="single" w:color="auto" w:sz="4" w:space="0"/>
              <w:right w:val="single" w:color="auto" w:sz="4" w:space="0"/>
            </w:tcBorders>
            <w:vAlign w:val="center"/>
          </w:tcPr>
          <w:p w14:paraId="5722FBBC">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145B2A02">
            <w:pPr>
              <w:widowControl/>
              <w:jc w:val="left"/>
              <w:rPr>
                <w:rFonts w:ascii="宋体" w:hAnsi="宋体"/>
                <w:color w:val="auto"/>
                <w:kern w:val="0"/>
                <w:sz w:val="22"/>
                <w:szCs w:val="22"/>
              </w:rPr>
            </w:pPr>
            <w:r>
              <w:rPr>
                <w:rFonts w:hint="eastAsia" w:ascii="宋体" w:hAnsi="宋体"/>
                <w:color w:val="auto"/>
                <w:kern w:val="0"/>
                <w:sz w:val="22"/>
                <w:szCs w:val="22"/>
              </w:rPr>
              <w:t>主板防烧板设计</w:t>
            </w:r>
          </w:p>
        </w:tc>
        <w:tc>
          <w:tcPr>
            <w:tcW w:w="4252" w:type="dxa"/>
            <w:tcBorders>
              <w:top w:val="nil"/>
              <w:left w:val="nil"/>
              <w:bottom w:val="single" w:color="auto" w:sz="4" w:space="0"/>
              <w:right w:val="single" w:color="auto" w:sz="4" w:space="0"/>
            </w:tcBorders>
            <w:vAlign w:val="center"/>
          </w:tcPr>
          <w:p w14:paraId="4281F2D6">
            <w:pPr>
              <w:widowControl/>
              <w:jc w:val="left"/>
              <w:rPr>
                <w:rFonts w:ascii="宋体" w:hAnsi="宋体"/>
                <w:color w:val="auto"/>
                <w:kern w:val="0"/>
                <w:sz w:val="22"/>
                <w:szCs w:val="22"/>
              </w:rPr>
            </w:pPr>
            <w:r>
              <w:rPr>
                <w:rFonts w:hint="eastAsia" w:ascii="宋体" w:hAnsi="宋体"/>
                <w:color w:val="auto"/>
                <w:kern w:val="0"/>
                <w:sz w:val="22"/>
                <w:szCs w:val="22"/>
              </w:rPr>
              <w:t>不涉及</w:t>
            </w:r>
          </w:p>
        </w:tc>
      </w:tr>
      <w:tr w14:paraId="35B0448A">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0EAC0D70">
            <w:pPr>
              <w:widowControl/>
              <w:jc w:val="center"/>
              <w:rPr>
                <w:rFonts w:ascii="宋体" w:hAnsi="宋体"/>
                <w:color w:val="auto"/>
                <w:kern w:val="0"/>
                <w:sz w:val="22"/>
                <w:szCs w:val="22"/>
              </w:rPr>
            </w:pPr>
            <w:r>
              <w:rPr>
                <w:rFonts w:hint="eastAsia" w:ascii="宋体" w:hAnsi="宋体"/>
                <w:color w:val="auto"/>
                <w:kern w:val="0"/>
                <w:sz w:val="22"/>
                <w:szCs w:val="22"/>
              </w:rPr>
              <w:t>50</w:t>
            </w:r>
          </w:p>
        </w:tc>
        <w:tc>
          <w:tcPr>
            <w:tcW w:w="1440" w:type="dxa"/>
            <w:vMerge w:val="continue"/>
            <w:tcBorders>
              <w:top w:val="nil"/>
              <w:left w:val="nil"/>
              <w:bottom w:val="single" w:color="auto" w:sz="4" w:space="0"/>
              <w:right w:val="single" w:color="auto" w:sz="4" w:space="0"/>
            </w:tcBorders>
            <w:vAlign w:val="center"/>
          </w:tcPr>
          <w:p w14:paraId="3FBEAC54">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5FF6A2C0">
            <w:pPr>
              <w:widowControl/>
              <w:jc w:val="left"/>
              <w:rPr>
                <w:rFonts w:ascii="宋体" w:hAnsi="宋体"/>
                <w:color w:val="auto"/>
                <w:kern w:val="0"/>
                <w:sz w:val="22"/>
                <w:szCs w:val="22"/>
              </w:rPr>
            </w:pPr>
            <w:r>
              <w:rPr>
                <w:rFonts w:hint="eastAsia" w:ascii="宋体" w:hAnsi="宋体"/>
                <w:color w:val="auto"/>
                <w:kern w:val="0"/>
                <w:sz w:val="22"/>
                <w:szCs w:val="22"/>
              </w:rPr>
              <w:t>扩展功能</w:t>
            </w:r>
          </w:p>
        </w:tc>
        <w:tc>
          <w:tcPr>
            <w:tcW w:w="4252" w:type="dxa"/>
            <w:tcBorders>
              <w:top w:val="nil"/>
              <w:left w:val="nil"/>
              <w:bottom w:val="single" w:color="auto" w:sz="4" w:space="0"/>
              <w:right w:val="single" w:color="auto" w:sz="4" w:space="0"/>
            </w:tcBorders>
            <w:vAlign w:val="center"/>
          </w:tcPr>
          <w:p w14:paraId="2154207D">
            <w:pPr>
              <w:widowControl/>
              <w:jc w:val="left"/>
              <w:rPr>
                <w:rFonts w:ascii="宋体" w:hAnsi="宋体"/>
                <w:color w:val="auto"/>
                <w:kern w:val="0"/>
                <w:sz w:val="22"/>
                <w:szCs w:val="22"/>
              </w:rPr>
            </w:pPr>
            <w:r>
              <w:rPr>
                <w:rFonts w:hint="eastAsia" w:ascii="宋体" w:hAnsi="宋体"/>
                <w:color w:val="auto"/>
                <w:kern w:val="0"/>
                <w:sz w:val="22"/>
                <w:szCs w:val="22"/>
              </w:rPr>
              <w:t>支持OCP灵活插卡</w:t>
            </w:r>
          </w:p>
        </w:tc>
      </w:tr>
      <w:tr w14:paraId="3F3EC0A5">
        <w:tblPrEx>
          <w:tblCellMar>
            <w:top w:w="0" w:type="dxa"/>
            <w:left w:w="108" w:type="dxa"/>
            <w:bottom w:w="0" w:type="dxa"/>
            <w:right w:w="108" w:type="dxa"/>
          </w:tblCellMar>
        </w:tblPrEx>
        <w:trPr>
          <w:gridAfter w:val="1"/>
          <w:wAfter w:w="236" w:type="dxa"/>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5EF2CD5D">
            <w:pPr>
              <w:widowControl/>
              <w:jc w:val="center"/>
              <w:rPr>
                <w:rFonts w:ascii="宋体" w:hAnsi="宋体"/>
                <w:color w:val="auto"/>
                <w:kern w:val="0"/>
                <w:sz w:val="22"/>
                <w:szCs w:val="22"/>
              </w:rPr>
            </w:pPr>
            <w:r>
              <w:rPr>
                <w:rFonts w:hint="eastAsia" w:ascii="宋体" w:hAnsi="宋体"/>
                <w:color w:val="auto"/>
                <w:kern w:val="0"/>
                <w:sz w:val="22"/>
                <w:szCs w:val="22"/>
              </w:rPr>
              <w:t>51</w:t>
            </w:r>
          </w:p>
        </w:tc>
        <w:tc>
          <w:tcPr>
            <w:tcW w:w="1440" w:type="dxa"/>
            <w:tcBorders>
              <w:top w:val="nil"/>
              <w:left w:val="nil"/>
              <w:bottom w:val="single" w:color="auto" w:sz="4" w:space="0"/>
              <w:right w:val="single" w:color="auto" w:sz="4" w:space="0"/>
            </w:tcBorders>
            <w:vAlign w:val="center"/>
          </w:tcPr>
          <w:p w14:paraId="72DF761D">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网络功能</w:t>
            </w:r>
          </w:p>
        </w:tc>
        <w:tc>
          <w:tcPr>
            <w:tcW w:w="2627" w:type="dxa"/>
            <w:tcBorders>
              <w:top w:val="nil"/>
              <w:left w:val="nil"/>
              <w:bottom w:val="single" w:color="auto" w:sz="4" w:space="0"/>
              <w:right w:val="single" w:color="auto" w:sz="4" w:space="0"/>
            </w:tcBorders>
            <w:vAlign w:val="center"/>
          </w:tcPr>
          <w:p w14:paraId="1DF7B27C">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网络功能</w:t>
            </w:r>
          </w:p>
        </w:tc>
        <w:tc>
          <w:tcPr>
            <w:tcW w:w="4252" w:type="dxa"/>
            <w:tcBorders>
              <w:top w:val="nil"/>
              <w:left w:val="nil"/>
              <w:bottom w:val="single" w:color="auto" w:sz="4" w:space="0"/>
              <w:right w:val="single" w:color="auto" w:sz="4" w:space="0"/>
            </w:tcBorders>
            <w:vAlign w:val="center"/>
          </w:tcPr>
          <w:p w14:paraId="091F0ABB">
            <w:pPr>
              <w:widowControl/>
              <w:jc w:val="left"/>
              <w:rPr>
                <w:rFonts w:ascii="宋体" w:hAnsi="宋体"/>
                <w:color w:val="auto"/>
                <w:kern w:val="0"/>
                <w:sz w:val="22"/>
                <w:szCs w:val="22"/>
              </w:rPr>
            </w:pPr>
            <w:r>
              <w:rPr>
                <w:rFonts w:hint="eastAsia" w:ascii="宋体" w:hAnsi="宋体"/>
                <w:color w:val="auto"/>
                <w:kern w:val="0"/>
                <w:sz w:val="22"/>
                <w:szCs w:val="22"/>
              </w:rPr>
              <w:t>支持网络连接、网络访问、数据交换和网络管控功能</w:t>
            </w:r>
          </w:p>
        </w:tc>
      </w:tr>
      <w:tr w14:paraId="2B756A5A">
        <w:tblPrEx>
          <w:tblCellMar>
            <w:top w:w="0" w:type="dxa"/>
            <w:left w:w="108" w:type="dxa"/>
            <w:bottom w:w="0" w:type="dxa"/>
            <w:right w:w="108" w:type="dxa"/>
          </w:tblCellMar>
        </w:tblPrEx>
        <w:trPr>
          <w:gridAfter w:val="1"/>
          <w:wAfter w:w="236" w:type="dxa"/>
          <w:trHeight w:val="1895" w:hRule="atLeast"/>
          <w:jc w:val="center"/>
        </w:trPr>
        <w:tc>
          <w:tcPr>
            <w:tcW w:w="779" w:type="dxa"/>
            <w:tcBorders>
              <w:top w:val="nil"/>
              <w:left w:val="single" w:color="auto" w:sz="4" w:space="0"/>
              <w:bottom w:val="single" w:color="auto" w:sz="4" w:space="0"/>
              <w:right w:val="single" w:color="auto" w:sz="4" w:space="0"/>
            </w:tcBorders>
            <w:vAlign w:val="center"/>
          </w:tcPr>
          <w:p w14:paraId="709E28C7">
            <w:pPr>
              <w:widowControl/>
              <w:jc w:val="center"/>
              <w:rPr>
                <w:rFonts w:ascii="宋体" w:hAnsi="宋体"/>
                <w:color w:val="auto"/>
                <w:kern w:val="0"/>
                <w:sz w:val="22"/>
                <w:szCs w:val="22"/>
              </w:rPr>
            </w:pPr>
            <w:r>
              <w:rPr>
                <w:rFonts w:hint="eastAsia" w:ascii="宋体" w:hAnsi="宋体"/>
                <w:color w:val="auto"/>
                <w:kern w:val="0"/>
                <w:sz w:val="22"/>
                <w:szCs w:val="22"/>
              </w:rPr>
              <w:t>52</w:t>
            </w:r>
          </w:p>
        </w:tc>
        <w:tc>
          <w:tcPr>
            <w:tcW w:w="1440" w:type="dxa"/>
            <w:vMerge w:val="restart"/>
            <w:tcBorders>
              <w:top w:val="nil"/>
              <w:left w:val="nil"/>
              <w:bottom w:val="single" w:color="auto" w:sz="4" w:space="0"/>
              <w:right w:val="single" w:color="auto" w:sz="4" w:space="0"/>
            </w:tcBorders>
            <w:vAlign w:val="center"/>
          </w:tcPr>
          <w:p w14:paraId="423F939F">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CPU功能</w:t>
            </w:r>
          </w:p>
        </w:tc>
        <w:tc>
          <w:tcPr>
            <w:tcW w:w="2627" w:type="dxa"/>
            <w:tcBorders>
              <w:top w:val="nil"/>
              <w:left w:val="nil"/>
              <w:bottom w:val="single" w:color="auto" w:sz="4" w:space="0"/>
              <w:right w:val="single" w:color="auto" w:sz="4" w:space="0"/>
            </w:tcBorders>
            <w:vAlign w:val="center"/>
          </w:tcPr>
          <w:p w14:paraId="37218784">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计算处理</w:t>
            </w:r>
          </w:p>
        </w:tc>
        <w:tc>
          <w:tcPr>
            <w:tcW w:w="4252" w:type="dxa"/>
            <w:tcBorders>
              <w:top w:val="nil"/>
              <w:left w:val="nil"/>
              <w:bottom w:val="single" w:color="auto" w:sz="4" w:space="0"/>
              <w:right w:val="single" w:color="auto" w:sz="4" w:space="0"/>
            </w:tcBorders>
            <w:vAlign w:val="center"/>
          </w:tcPr>
          <w:p w14:paraId="40CE9E71">
            <w:pPr>
              <w:widowControl/>
              <w:jc w:val="left"/>
              <w:rPr>
                <w:rFonts w:ascii="宋体" w:hAnsi="宋体"/>
                <w:color w:val="auto"/>
                <w:kern w:val="0"/>
                <w:sz w:val="22"/>
                <w:szCs w:val="22"/>
              </w:rPr>
            </w:pPr>
            <w:r>
              <w:rPr>
                <w:rFonts w:hint="eastAsia" w:ascii="宋体" w:hAnsi="宋体"/>
                <w:color w:val="auto"/>
                <w:kern w:val="0"/>
                <w:sz w:val="22"/>
                <w:szCs w:val="22"/>
              </w:rPr>
              <w:t>支持通用计算及虚拟化功能。处理器需集成整型计算单元、浮点计算单元、内存控制器、I/O模块等，处理器与存储部件、网络部件、I/O部件等组成计算系统，提供数据处理、网络接入等计算相关功能</w:t>
            </w:r>
          </w:p>
        </w:tc>
      </w:tr>
      <w:tr w14:paraId="4164DE78">
        <w:tblPrEx>
          <w:tblCellMar>
            <w:top w:w="0" w:type="dxa"/>
            <w:left w:w="108" w:type="dxa"/>
            <w:bottom w:w="0" w:type="dxa"/>
            <w:right w:w="108" w:type="dxa"/>
          </w:tblCellMar>
        </w:tblPrEx>
        <w:trPr>
          <w:gridAfter w:val="1"/>
          <w:wAfter w:w="236" w:type="dxa"/>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773D3E90">
            <w:pPr>
              <w:widowControl/>
              <w:jc w:val="center"/>
              <w:rPr>
                <w:rFonts w:ascii="宋体" w:hAnsi="宋体"/>
                <w:color w:val="auto"/>
                <w:kern w:val="0"/>
                <w:sz w:val="22"/>
                <w:szCs w:val="22"/>
              </w:rPr>
            </w:pPr>
            <w:r>
              <w:rPr>
                <w:rFonts w:hint="eastAsia" w:ascii="宋体" w:hAnsi="宋体"/>
                <w:color w:val="auto"/>
                <w:kern w:val="0"/>
                <w:sz w:val="22"/>
                <w:szCs w:val="22"/>
              </w:rPr>
              <w:t>53</w:t>
            </w:r>
          </w:p>
        </w:tc>
        <w:tc>
          <w:tcPr>
            <w:tcW w:w="1440" w:type="dxa"/>
            <w:vMerge w:val="continue"/>
            <w:tcBorders>
              <w:top w:val="nil"/>
              <w:left w:val="nil"/>
              <w:bottom w:val="single" w:color="auto" w:sz="4" w:space="0"/>
              <w:right w:val="single" w:color="auto" w:sz="4" w:space="0"/>
            </w:tcBorders>
            <w:vAlign w:val="center"/>
          </w:tcPr>
          <w:p w14:paraId="04832ED0">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40C556CB">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密码算法实现</w:t>
            </w:r>
          </w:p>
        </w:tc>
        <w:tc>
          <w:tcPr>
            <w:tcW w:w="4252" w:type="dxa"/>
            <w:tcBorders>
              <w:top w:val="nil"/>
              <w:left w:val="nil"/>
              <w:bottom w:val="single" w:color="auto" w:sz="4" w:space="0"/>
              <w:right w:val="single" w:color="auto" w:sz="4" w:space="0"/>
            </w:tcBorders>
            <w:vAlign w:val="center"/>
          </w:tcPr>
          <w:p w14:paraId="7E280D91">
            <w:pPr>
              <w:widowControl/>
              <w:jc w:val="left"/>
              <w:rPr>
                <w:rFonts w:ascii="宋体" w:hAnsi="宋体"/>
                <w:color w:val="auto"/>
                <w:kern w:val="0"/>
                <w:sz w:val="22"/>
                <w:szCs w:val="22"/>
              </w:rPr>
            </w:pPr>
            <w:r>
              <w:rPr>
                <w:rFonts w:hint="eastAsia" w:ascii="宋体" w:hAnsi="宋体"/>
                <w:color w:val="auto"/>
                <w:kern w:val="0"/>
                <w:sz w:val="22"/>
                <w:szCs w:val="22"/>
              </w:rPr>
              <w:t>不涉及</w:t>
            </w:r>
          </w:p>
        </w:tc>
      </w:tr>
      <w:tr w14:paraId="5AA8A4AC">
        <w:tblPrEx>
          <w:tblCellMar>
            <w:top w:w="0" w:type="dxa"/>
            <w:left w:w="108" w:type="dxa"/>
            <w:bottom w:w="0" w:type="dxa"/>
            <w:right w:w="108" w:type="dxa"/>
          </w:tblCellMar>
        </w:tblPrEx>
        <w:trPr>
          <w:gridAfter w:val="1"/>
          <w:wAfter w:w="236" w:type="dxa"/>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300E942D">
            <w:pPr>
              <w:widowControl/>
              <w:jc w:val="center"/>
              <w:rPr>
                <w:rFonts w:ascii="宋体" w:hAnsi="宋体"/>
                <w:color w:val="auto"/>
                <w:kern w:val="0"/>
                <w:sz w:val="22"/>
                <w:szCs w:val="22"/>
              </w:rPr>
            </w:pPr>
            <w:r>
              <w:rPr>
                <w:rFonts w:hint="eastAsia" w:ascii="宋体" w:hAnsi="宋体"/>
                <w:color w:val="auto"/>
                <w:kern w:val="0"/>
                <w:sz w:val="22"/>
                <w:szCs w:val="22"/>
              </w:rPr>
              <w:t>54</w:t>
            </w:r>
          </w:p>
        </w:tc>
        <w:tc>
          <w:tcPr>
            <w:tcW w:w="1440" w:type="dxa"/>
            <w:vMerge w:val="restart"/>
            <w:tcBorders>
              <w:top w:val="nil"/>
              <w:left w:val="nil"/>
              <w:bottom w:val="single" w:color="auto" w:sz="4" w:space="0"/>
              <w:right w:val="single" w:color="auto" w:sz="4" w:space="0"/>
            </w:tcBorders>
            <w:vAlign w:val="center"/>
          </w:tcPr>
          <w:p w14:paraId="413C61C5">
            <w:pPr>
              <w:widowControl/>
              <w:jc w:val="center"/>
              <w:rPr>
                <w:rFonts w:ascii="宋体" w:hAnsi="宋体"/>
                <w:color w:val="auto"/>
                <w:kern w:val="0"/>
                <w:sz w:val="22"/>
                <w:szCs w:val="22"/>
              </w:rPr>
            </w:pPr>
            <w:r>
              <w:rPr>
                <w:rFonts w:hint="eastAsia" w:ascii="宋体" w:hAnsi="宋体"/>
                <w:color w:val="auto"/>
                <w:kern w:val="0"/>
                <w:sz w:val="22"/>
                <w:szCs w:val="22"/>
              </w:rPr>
              <w:t>存储功能</w:t>
            </w:r>
          </w:p>
        </w:tc>
        <w:tc>
          <w:tcPr>
            <w:tcW w:w="2627" w:type="dxa"/>
            <w:tcBorders>
              <w:top w:val="nil"/>
              <w:left w:val="nil"/>
              <w:bottom w:val="single" w:color="auto" w:sz="4" w:space="0"/>
              <w:right w:val="single" w:color="auto" w:sz="4" w:space="0"/>
            </w:tcBorders>
            <w:vAlign w:val="center"/>
          </w:tcPr>
          <w:p w14:paraId="69252926">
            <w:pPr>
              <w:widowControl/>
              <w:jc w:val="left"/>
              <w:rPr>
                <w:rFonts w:ascii="宋体" w:hAnsi="宋体"/>
                <w:color w:val="auto"/>
                <w:kern w:val="0"/>
                <w:sz w:val="22"/>
                <w:szCs w:val="22"/>
              </w:rPr>
            </w:pPr>
            <w:r>
              <w:rPr>
                <w:rFonts w:hint="eastAsia" w:ascii="宋体" w:hAnsi="宋体"/>
                <w:color w:val="auto"/>
                <w:kern w:val="0"/>
                <w:sz w:val="22"/>
                <w:szCs w:val="22"/>
              </w:rPr>
              <w:t>内存校验</w:t>
            </w:r>
          </w:p>
        </w:tc>
        <w:tc>
          <w:tcPr>
            <w:tcW w:w="4252" w:type="dxa"/>
            <w:tcBorders>
              <w:top w:val="nil"/>
              <w:left w:val="nil"/>
              <w:bottom w:val="single" w:color="auto" w:sz="4" w:space="0"/>
              <w:right w:val="single" w:color="auto" w:sz="4" w:space="0"/>
            </w:tcBorders>
            <w:vAlign w:val="center"/>
          </w:tcPr>
          <w:p w14:paraId="240E0392">
            <w:pPr>
              <w:widowControl/>
              <w:jc w:val="left"/>
              <w:rPr>
                <w:rFonts w:ascii="宋体" w:hAnsi="宋体"/>
                <w:color w:val="auto"/>
                <w:kern w:val="0"/>
                <w:sz w:val="22"/>
                <w:szCs w:val="22"/>
              </w:rPr>
            </w:pPr>
            <w:r>
              <w:rPr>
                <w:rFonts w:hint="eastAsia" w:ascii="宋体" w:hAnsi="宋体"/>
                <w:color w:val="auto"/>
                <w:kern w:val="0"/>
                <w:sz w:val="22"/>
                <w:szCs w:val="22"/>
              </w:rPr>
              <w:t>支持内存校验或内存增强型纠错功能</w:t>
            </w:r>
          </w:p>
        </w:tc>
      </w:tr>
      <w:tr w14:paraId="3031DD10">
        <w:tblPrEx>
          <w:tblCellMar>
            <w:top w:w="0" w:type="dxa"/>
            <w:left w:w="108" w:type="dxa"/>
            <w:bottom w:w="0" w:type="dxa"/>
            <w:right w:w="108" w:type="dxa"/>
          </w:tblCellMar>
        </w:tblPrEx>
        <w:trPr>
          <w:gridAfter w:val="1"/>
          <w:wAfter w:w="236" w:type="dxa"/>
          <w:trHeight w:val="717" w:hRule="atLeast"/>
          <w:jc w:val="center"/>
        </w:trPr>
        <w:tc>
          <w:tcPr>
            <w:tcW w:w="779" w:type="dxa"/>
            <w:tcBorders>
              <w:top w:val="nil"/>
              <w:left w:val="single" w:color="auto" w:sz="4" w:space="0"/>
              <w:bottom w:val="single" w:color="auto" w:sz="4" w:space="0"/>
              <w:right w:val="single" w:color="auto" w:sz="4" w:space="0"/>
            </w:tcBorders>
            <w:vAlign w:val="center"/>
          </w:tcPr>
          <w:p w14:paraId="080DA0C7">
            <w:pPr>
              <w:widowControl/>
              <w:jc w:val="center"/>
              <w:rPr>
                <w:rFonts w:ascii="宋体" w:hAnsi="宋体"/>
                <w:color w:val="auto"/>
                <w:kern w:val="0"/>
                <w:sz w:val="22"/>
                <w:szCs w:val="22"/>
              </w:rPr>
            </w:pPr>
            <w:r>
              <w:rPr>
                <w:rFonts w:hint="eastAsia" w:ascii="宋体" w:hAnsi="宋体"/>
                <w:color w:val="auto"/>
                <w:kern w:val="0"/>
                <w:sz w:val="22"/>
                <w:szCs w:val="22"/>
              </w:rPr>
              <w:t>55</w:t>
            </w:r>
          </w:p>
        </w:tc>
        <w:tc>
          <w:tcPr>
            <w:tcW w:w="1440" w:type="dxa"/>
            <w:vMerge w:val="continue"/>
            <w:tcBorders>
              <w:top w:val="nil"/>
              <w:left w:val="nil"/>
              <w:bottom w:val="single" w:color="auto" w:sz="4" w:space="0"/>
              <w:right w:val="single" w:color="auto" w:sz="4" w:space="0"/>
            </w:tcBorders>
            <w:vAlign w:val="center"/>
          </w:tcPr>
          <w:p w14:paraId="43BF0155">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0837E763">
            <w:pPr>
              <w:widowControl/>
              <w:jc w:val="left"/>
              <w:rPr>
                <w:rFonts w:ascii="宋体" w:hAnsi="宋体"/>
                <w:color w:val="auto"/>
                <w:kern w:val="0"/>
                <w:sz w:val="22"/>
                <w:szCs w:val="22"/>
              </w:rPr>
            </w:pPr>
            <w:r>
              <w:rPr>
                <w:rFonts w:hint="eastAsia" w:ascii="宋体" w:hAnsi="宋体"/>
                <w:color w:val="auto"/>
                <w:kern w:val="0"/>
                <w:sz w:val="22"/>
                <w:szCs w:val="22"/>
              </w:rPr>
              <w:t>SATASSDNAND健康状态上报</w:t>
            </w:r>
          </w:p>
        </w:tc>
        <w:tc>
          <w:tcPr>
            <w:tcW w:w="4252" w:type="dxa"/>
            <w:tcBorders>
              <w:top w:val="nil"/>
              <w:left w:val="nil"/>
              <w:bottom w:val="single" w:color="auto" w:sz="4" w:space="0"/>
              <w:right w:val="single" w:color="auto" w:sz="4" w:space="0"/>
            </w:tcBorders>
            <w:vAlign w:val="center"/>
          </w:tcPr>
          <w:p w14:paraId="1D9CDFAB">
            <w:pPr>
              <w:widowControl/>
              <w:jc w:val="left"/>
              <w:rPr>
                <w:rFonts w:ascii="宋体" w:hAnsi="宋体"/>
                <w:color w:val="auto"/>
                <w:kern w:val="0"/>
                <w:sz w:val="22"/>
                <w:szCs w:val="22"/>
              </w:rPr>
            </w:pPr>
            <w:r>
              <w:rPr>
                <w:rFonts w:hint="eastAsia" w:ascii="宋体" w:hAnsi="宋体"/>
                <w:color w:val="auto"/>
                <w:kern w:val="0"/>
                <w:sz w:val="22"/>
                <w:szCs w:val="22"/>
              </w:rPr>
              <w:t>支持关键外部存储器（硬磁盘、SSD等）的健康状态上报并进行故障诊断</w:t>
            </w:r>
          </w:p>
        </w:tc>
      </w:tr>
      <w:tr w14:paraId="680CDF8B">
        <w:tblPrEx>
          <w:tblCellMar>
            <w:top w:w="0" w:type="dxa"/>
            <w:left w:w="108" w:type="dxa"/>
            <w:bottom w:w="0" w:type="dxa"/>
            <w:right w:w="108" w:type="dxa"/>
          </w:tblCellMar>
        </w:tblPrEx>
        <w:trPr>
          <w:gridAfter w:val="1"/>
          <w:wAfter w:w="236" w:type="dxa"/>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470EA705">
            <w:pPr>
              <w:widowControl/>
              <w:jc w:val="center"/>
              <w:rPr>
                <w:rFonts w:ascii="宋体" w:hAnsi="宋体"/>
                <w:color w:val="auto"/>
                <w:kern w:val="0"/>
                <w:sz w:val="22"/>
                <w:szCs w:val="22"/>
              </w:rPr>
            </w:pPr>
            <w:r>
              <w:rPr>
                <w:rFonts w:hint="eastAsia" w:ascii="宋体" w:hAnsi="宋体"/>
                <w:color w:val="auto"/>
                <w:kern w:val="0"/>
                <w:sz w:val="22"/>
                <w:szCs w:val="22"/>
              </w:rPr>
              <w:t>56</w:t>
            </w:r>
          </w:p>
        </w:tc>
        <w:tc>
          <w:tcPr>
            <w:tcW w:w="1440" w:type="dxa"/>
            <w:vMerge w:val="continue"/>
            <w:tcBorders>
              <w:top w:val="nil"/>
              <w:left w:val="nil"/>
              <w:bottom w:val="single" w:color="auto" w:sz="4" w:space="0"/>
              <w:right w:val="single" w:color="auto" w:sz="4" w:space="0"/>
            </w:tcBorders>
            <w:vAlign w:val="center"/>
          </w:tcPr>
          <w:p w14:paraId="12462224">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111744C4">
            <w:pPr>
              <w:widowControl/>
              <w:jc w:val="left"/>
              <w:rPr>
                <w:rFonts w:ascii="宋体" w:hAnsi="宋体"/>
                <w:color w:val="auto"/>
                <w:kern w:val="0"/>
                <w:sz w:val="22"/>
                <w:szCs w:val="22"/>
              </w:rPr>
            </w:pPr>
            <w:r>
              <w:rPr>
                <w:rFonts w:hint="eastAsia" w:ascii="宋体" w:hAnsi="宋体"/>
                <w:color w:val="auto"/>
                <w:kern w:val="0"/>
                <w:sz w:val="22"/>
                <w:szCs w:val="22"/>
              </w:rPr>
              <w:t>SATASSD单die故障隔离</w:t>
            </w:r>
          </w:p>
        </w:tc>
        <w:tc>
          <w:tcPr>
            <w:tcW w:w="4252" w:type="dxa"/>
            <w:tcBorders>
              <w:top w:val="nil"/>
              <w:left w:val="nil"/>
              <w:bottom w:val="single" w:color="auto" w:sz="4" w:space="0"/>
              <w:right w:val="single" w:color="auto" w:sz="4" w:space="0"/>
            </w:tcBorders>
            <w:vAlign w:val="center"/>
          </w:tcPr>
          <w:p w14:paraId="2CE6583D">
            <w:pPr>
              <w:widowControl/>
              <w:jc w:val="left"/>
              <w:rPr>
                <w:rFonts w:ascii="宋体" w:hAnsi="宋体"/>
                <w:color w:val="auto"/>
                <w:kern w:val="0"/>
                <w:sz w:val="22"/>
                <w:szCs w:val="22"/>
              </w:rPr>
            </w:pPr>
            <w:r>
              <w:rPr>
                <w:rFonts w:hint="eastAsia" w:ascii="宋体" w:hAnsi="宋体"/>
                <w:color w:val="auto"/>
                <w:kern w:val="0"/>
                <w:sz w:val="22"/>
                <w:szCs w:val="22"/>
              </w:rPr>
              <w:t>支持SSD关键外部存储器中单存储晶元故障隔离</w:t>
            </w:r>
          </w:p>
        </w:tc>
      </w:tr>
      <w:tr w14:paraId="5B6FAE4F">
        <w:tblPrEx>
          <w:tblCellMar>
            <w:top w:w="0" w:type="dxa"/>
            <w:left w:w="108" w:type="dxa"/>
            <w:bottom w:w="0" w:type="dxa"/>
            <w:right w:w="108" w:type="dxa"/>
          </w:tblCellMar>
        </w:tblPrEx>
        <w:trPr>
          <w:gridAfter w:val="1"/>
          <w:wAfter w:w="236" w:type="dxa"/>
          <w:trHeight w:val="717" w:hRule="atLeast"/>
          <w:jc w:val="center"/>
        </w:trPr>
        <w:tc>
          <w:tcPr>
            <w:tcW w:w="779" w:type="dxa"/>
            <w:tcBorders>
              <w:top w:val="nil"/>
              <w:left w:val="single" w:color="auto" w:sz="4" w:space="0"/>
              <w:bottom w:val="single" w:color="auto" w:sz="4" w:space="0"/>
              <w:right w:val="single" w:color="auto" w:sz="4" w:space="0"/>
            </w:tcBorders>
            <w:vAlign w:val="center"/>
          </w:tcPr>
          <w:p w14:paraId="3D70387E">
            <w:pPr>
              <w:widowControl/>
              <w:jc w:val="center"/>
              <w:rPr>
                <w:rFonts w:ascii="宋体" w:hAnsi="宋体"/>
                <w:color w:val="auto"/>
                <w:kern w:val="0"/>
                <w:sz w:val="22"/>
                <w:szCs w:val="22"/>
              </w:rPr>
            </w:pPr>
            <w:r>
              <w:rPr>
                <w:rFonts w:hint="eastAsia" w:ascii="宋体" w:hAnsi="宋体"/>
                <w:color w:val="auto"/>
                <w:kern w:val="0"/>
                <w:sz w:val="22"/>
                <w:szCs w:val="22"/>
              </w:rPr>
              <w:t>57</w:t>
            </w:r>
          </w:p>
        </w:tc>
        <w:tc>
          <w:tcPr>
            <w:tcW w:w="1440" w:type="dxa"/>
            <w:vMerge w:val="restart"/>
            <w:tcBorders>
              <w:top w:val="nil"/>
              <w:left w:val="nil"/>
              <w:bottom w:val="single" w:color="auto" w:sz="4" w:space="0"/>
              <w:right w:val="single" w:color="auto" w:sz="4" w:space="0"/>
            </w:tcBorders>
            <w:vAlign w:val="center"/>
          </w:tcPr>
          <w:p w14:paraId="1573BF6C">
            <w:pPr>
              <w:widowControl/>
              <w:jc w:val="center"/>
              <w:rPr>
                <w:rFonts w:ascii="宋体" w:hAnsi="宋体"/>
                <w:color w:val="auto"/>
                <w:kern w:val="0"/>
                <w:sz w:val="22"/>
                <w:szCs w:val="22"/>
              </w:rPr>
            </w:pPr>
            <w:r>
              <w:rPr>
                <w:rFonts w:hint="eastAsia" w:ascii="宋体" w:hAnsi="宋体"/>
                <w:color w:val="auto"/>
                <w:kern w:val="0"/>
                <w:sz w:val="22"/>
                <w:szCs w:val="22"/>
              </w:rPr>
              <w:t>RAID卡功能（若支持RAID卡）</w:t>
            </w:r>
          </w:p>
        </w:tc>
        <w:tc>
          <w:tcPr>
            <w:tcW w:w="2627" w:type="dxa"/>
            <w:tcBorders>
              <w:top w:val="nil"/>
              <w:left w:val="nil"/>
              <w:bottom w:val="single" w:color="auto" w:sz="4" w:space="0"/>
              <w:right w:val="single" w:color="auto" w:sz="4" w:space="0"/>
            </w:tcBorders>
            <w:vAlign w:val="center"/>
          </w:tcPr>
          <w:p w14:paraId="211A6DDA">
            <w:pPr>
              <w:widowControl/>
              <w:jc w:val="left"/>
              <w:rPr>
                <w:rFonts w:ascii="宋体" w:hAnsi="宋体"/>
                <w:color w:val="auto"/>
                <w:kern w:val="0"/>
                <w:sz w:val="22"/>
                <w:szCs w:val="22"/>
              </w:rPr>
            </w:pPr>
            <w:r>
              <w:rPr>
                <w:rFonts w:hint="eastAsia" w:ascii="宋体" w:hAnsi="宋体"/>
                <w:color w:val="auto"/>
                <w:kern w:val="0"/>
                <w:sz w:val="22"/>
                <w:szCs w:val="22"/>
              </w:rPr>
              <w:t>RAID卡RAID级别支持</w:t>
            </w:r>
          </w:p>
        </w:tc>
        <w:tc>
          <w:tcPr>
            <w:tcW w:w="4252" w:type="dxa"/>
            <w:tcBorders>
              <w:top w:val="nil"/>
              <w:left w:val="nil"/>
              <w:bottom w:val="single" w:color="auto" w:sz="4" w:space="0"/>
              <w:right w:val="single" w:color="auto" w:sz="4" w:space="0"/>
            </w:tcBorders>
            <w:vAlign w:val="center"/>
          </w:tcPr>
          <w:p w14:paraId="3F928BF1">
            <w:pPr>
              <w:widowControl/>
              <w:jc w:val="left"/>
              <w:rPr>
                <w:rFonts w:ascii="宋体" w:hAnsi="宋体"/>
                <w:color w:val="auto"/>
                <w:kern w:val="0"/>
                <w:sz w:val="22"/>
                <w:szCs w:val="22"/>
              </w:rPr>
            </w:pPr>
            <w:r>
              <w:rPr>
                <w:rFonts w:hint="eastAsia" w:ascii="宋体" w:hAnsi="宋体"/>
                <w:color w:val="auto"/>
                <w:kern w:val="0"/>
                <w:sz w:val="22"/>
                <w:szCs w:val="22"/>
              </w:rPr>
              <w:t>RAID模式支持RAID0/1/10/5，存储型支持RAID0/1/5/6/10/50/60</w:t>
            </w:r>
          </w:p>
        </w:tc>
      </w:tr>
      <w:tr w14:paraId="015A254C">
        <w:tblPrEx>
          <w:tblCellMar>
            <w:top w:w="0" w:type="dxa"/>
            <w:left w:w="108" w:type="dxa"/>
            <w:bottom w:w="0" w:type="dxa"/>
            <w:right w:w="108" w:type="dxa"/>
          </w:tblCellMar>
        </w:tblPrEx>
        <w:trPr>
          <w:gridAfter w:val="1"/>
          <w:wAfter w:w="236" w:type="dxa"/>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37CBB5D4">
            <w:pPr>
              <w:widowControl/>
              <w:jc w:val="center"/>
              <w:rPr>
                <w:rFonts w:ascii="宋体" w:hAnsi="宋体"/>
                <w:color w:val="auto"/>
                <w:kern w:val="0"/>
                <w:sz w:val="22"/>
                <w:szCs w:val="22"/>
              </w:rPr>
            </w:pPr>
            <w:r>
              <w:rPr>
                <w:rFonts w:hint="eastAsia" w:ascii="宋体" w:hAnsi="宋体"/>
                <w:color w:val="auto"/>
                <w:kern w:val="0"/>
                <w:sz w:val="22"/>
                <w:szCs w:val="22"/>
              </w:rPr>
              <w:t>58</w:t>
            </w:r>
          </w:p>
        </w:tc>
        <w:tc>
          <w:tcPr>
            <w:tcW w:w="1440" w:type="dxa"/>
            <w:vMerge w:val="continue"/>
            <w:tcBorders>
              <w:top w:val="nil"/>
              <w:left w:val="nil"/>
              <w:bottom w:val="single" w:color="auto" w:sz="4" w:space="0"/>
              <w:right w:val="single" w:color="auto" w:sz="4" w:space="0"/>
            </w:tcBorders>
            <w:vAlign w:val="center"/>
          </w:tcPr>
          <w:p w14:paraId="0B12000D">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210138DF">
            <w:pPr>
              <w:widowControl/>
              <w:jc w:val="left"/>
              <w:rPr>
                <w:rFonts w:ascii="宋体" w:hAnsi="宋体"/>
                <w:color w:val="auto"/>
                <w:kern w:val="0"/>
                <w:sz w:val="22"/>
                <w:szCs w:val="22"/>
              </w:rPr>
            </w:pPr>
            <w:r>
              <w:rPr>
                <w:rFonts w:hint="eastAsia" w:ascii="宋体" w:hAnsi="宋体"/>
                <w:color w:val="auto"/>
                <w:kern w:val="0"/>
                <w:sz w:val="22"/>
                <w:szCs w:val="22"/>
              </w:rPr>
              <w:t>RAID卡BBU单元</w:t>
            </w:r>
          </w:p>
        </w:tc>
        <w:tc>
          <w:tcPr>
            <w:tcW w:w="4252" w:type="dxa"/>
            <w:tcBorders>
              <w:top w:val="nil"/>
              <w:left w:val="nil"/>
              <w:bottom w:val="single" w:color="auto" w:sz="4" w:space="0"/>
              <w:right w:val="single" w:color="auto" w:sz="4" w:space="0"/>
            </w:tcBorders>
            <w:vAlign w:val="center"/>
          </w:tcPr>
          <w:p w14:paraId="10DDC1AB">
            <w:pPr>
              <w:widowControl/>
              <w:jc w:val="left"/>
              <w:rPr>
                <w:rFonts w:ascii="宋体" w:hAnsi="宋体"/>
                <w:color w:val="auto"/>
                <w:kern w:val="0"/>
                <w:sz w:val="22"/>
                <w:szCs w:val="22"/>
              </w:rPr>
            </w:pPr>
            <w:r>
              <w:rPr>
                <w:rFonts w:hint="eastAsia" w:ascii="宋体" w:hAnsi="宋体"/>
                <w:color w:val="auto"/>
                <w:kern w:val="0"/>
                <w:sz w:val="22"/>
                <w:szCs w:val="22"/>
              </w:rPr>
              <w:t>RAID卡支持电池或电容备份单元</w:t>
            </w:r>
          </w:p>
        </w:tc>
      </w:tr>
      <w:tr w14:paraId="6187F158">
        <w:tblPrEx>
          <w:tblCellMar>
            <w:top w:w="0" w:type="dxa"/>
            <w:left w:w="108" w:type="dxa"/>
            <w:bottom w:w="0" w:type="dxa"/>
            <w:right w:w="108" w:type="dxa"/>
          </w:tblCellMar>
        </w:tblPrEx>
        <w:trPr>
          <w:gridAfter w:val="1"/>
          <w:wAfter w:w="236" w:type="dxa"/>
          <w:trHeight w:val="717" w:hRule="atLeast"/>
          <w:jc w:val="center"/>
        </w:trPr>
        <w:tc>
          <w:tcPr>
            <w:tcW w:w="779" w:type="dxa"/>
            <w:tcBorders>
              <w:top w:val="nil"/>
              <w:left w:val="single" w:color="auto" w:sz="4" w:space="0"/>
              <w:bottom w:val="single" w:color="auto" w:sz="4" w:space="0"/>
              <w:right w:val="single" w:color="auto" w:sz="4" w:space="0"/>
            </w:tcBorders>
            <w:vAlign w:val="center"/>
          </w:tcPr>
          <w:p w14:paraId="1DC70E6D">
            <w:pPr>
              <w:widowControl/>
              <w:jc w:val="center"/>
              <w:rPr>
                <w:rFonts w:ascii="宋体" w:hAnsi="宋体"/>
                <w:color w:val="auto"/>
                <w:kern w:val="0"/>
                <w:sz w:val="22"/>
                <w:szCs w:val="22"/>
              </w:rPr>
            </w:pPr>
            <w:r>
              <w:rPr>
                <w:rFonts w:hint="eastAsia" w:ascii="宋体" w:hAnsi="宋体"/>
                <w:color w:val="auto"/>
                <w:kern w:val="0"/>
                <w:sz w:val="22"/>
                <w:szCs w:val="22"/>
              </w:rPr>
              <w:t>59</w:t>
            </w:r>
          </w:p>
        </w:tc>
        <w:tc>
          <w:tcPr>
            <w:tcW w:w="1440" w:type="dxa"/>
            <w:tcBorders>
              <w:top w:val="nil"/>
              <w:left w:val="nil"/>
              <w:bottom w:val="single" w:color="auto" w:sz="4" w:space="0"/>
              <w:right w:val="single" w:color="auto" w:sz="4" w:space="0"/>
            </w:tcBorders>
            <w:vAlign w:val="center"/>
          </w:tcPr>
          <w:p w14:paraId="0B918178">
            <w:pPr>
              <w:widowControl/>
              <w:jc w:val="center"/>
              <w:rPr>
                <w:rFonts w:ascii="宋体" w:hAnsi="宋体"/>
                <w:color w:val="auto"/>
                <w:kern w:val="0"/>
                <w:sz w:val="22"/>
                <w:szCs w:val="22"/>
              </w:rPr>
            </w:pPr>
            <w:r>
              <w:rPr>
                <w:rFonts w:hint="eastAsia" w:ascii="宋体" w:hAnsi="宋体"/>
                <w:color w:val="auto"/>
                <w:kern w:val="0"/>
                <w:sz w:val="22"/>
                <w:szCs w:val="22"/>
              </w:rPr>
              <w:t>光驱功能</w:t>
            </w:r>
          </w:p>
        </w:tc>
        <w:tc>
          <w:tcPr>
            <w:tcW w:w="2627" w:type="dxa"/>
            <w:tcBorders>
              <w:top w:val="nil"/>
              <w:left w:val="nil"/>
              <w:bottom w:val="single" w:color="auto" w:sz="4" w:space="0"/>
              <w:right w:val="single" w:color="auto" w:sz="4" w:space="0"/>
            </w:tcBorders>
            <w:vAlign w:val="center"/>
          </w:tcPr>
          <w:p w14:paraId="6F2EFDA4">
            <w:pPr>
              <w:widowControl/>
              <w:jc w:val="left"/>
              <w:rPr>
                <w:rFonts w:ascii="宋体" w:hAnsi="宋体"/>
                <w:color w:val="auto"/>
                <w:kern w:val="0"/>
                <w:sz w:val="22"/>
                <w:szCs w:val="22"/>
              </w:rPr>
            </w:pPr>
            <w:r>
              <w:rPr>
                <w:rFonts w:hint="eastAsia" w:ascii="宋体" w:hAnsi="宋体"/>
                <w:color w:val="auto"/>
                <w:kern w:val="0"/>
                <w:sz w:val="22"/>
                <w:szCs w:val="22"/>
              </w:rPr>
              <w:t>光驱类型（是否支持RW，以及光盘类型CD/DVD）</w:t>
            </w:r>
          </w:p>
        </w:tc>
        <w:tc>
          <w:tcPr>
            <w:tcW w:w="4252" w:type="dxa"/>
            <w:tcBorders>
              <w:top w:val="nil"/>
              <w:left w:val="nil"/>
              <w:bottom w:val="single" w:color="auto" w:sz="4" w:space="0"/>
              <w:right w:val="single" w:color="auto" w:sz="4" w:space="0"/>
            </w:tcBorders>
            <w:vAlign w:val="center"/>
          </w:tcPr>
          <w:p w14:paraId="2F67780F">
            <w:pPr>
              <w:widowControl/>
              <w:jc w:val="left"/>
              <w:rPr>
                <w:rFonts w:ascii="宋体" w:hAnsi="宋体"/>
                <w:color w:val="auto"/>
                <w:kern w:val="0"/>
                <w:sz w:val="22"/>
                <w:szCs w:val="22"/>
              </w:rPr>
            </w:pPr>
            <w:r>
              <w:rPr>
                <w:rFonts w:hint="eastAsia" w:ascii="宋体" w:hAnsi="宋体"/>
                <w:color w:val="auto"/>
                <w:kern w:val="0"/>
                <w:sz w:val="22"/>
                <w:szCs w:val="22"/>
              </w:rPr>
              <w:t>不涉及</w:t>
            </w:r>
          </w:p>
        </w:tc>
      </w:tr>
      <w:tr w14:paraId="13CB9EFC">
        <w:tblPrEx>
          <w:tblCellMar>
            <w:top w:w="0" w:type="dxa"/>
            <w:left w:w="108" w:type="dxa"/>
            <w:bottom w:w="0" w:type="dxa"/>
            <w:right w:w="108" w:type="dxa"/>
          </w:tblCellMar>
        </w:tblPrEx>
        <w:trPr>
          <w:gridAfter w:val="1"/>
          <w:wAfter w:w="236" w:type="dxa"/>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0BB5E2CA">
            <w:pPr>
              <w:widowControl/>
              <w:jc w:val="center"/>
              <w:rPr>
                <w:rFonts w:ascii="宋体" w:hAnsi="宋体"/>
                <w:color w:val="auto"/>
                <w:kern w:val="0"/>
                <w:sz w:val="22"/>
                <w:szCs w:val="22"/>
              </w:rPr>
            </w:pPr>
            <w:r>
              <w:rPr>
                <w:rFonts w:hint="eastAsia" w:ascii="宋体" w:hAnsi="宋体"/>
                <w:color w:val="auto"/>
                <w:kern w:val="0"/>
                <w:sz w:val="22"/>
                <w:szCs w:val="22"/>
              </w:rPr>
              <w:t>60</w:t>
            </w:r>
          </w:p>
        </w:tc>
        <w:tc>
          <w:tcPr>
            <w:tcW w:w="1440" w:type="dxa"/>
            <w:vMerge w:val="restart"/>
            <w:tcBorders>
              <w:top w:val="nil"/>
              <w:left w:val="nil"/>
              <w:bottom w:val="single" w:color="auto" w:sz="4" w:space="0"/>
              <w:right w:val="single" w:color="auto" w:sz="4" w:space="0"/>
            </w:tcBorders>
            <w:vAlign w:val="center"/>
          </w:tcPr>
          <w:p w14:paraId="2A22480D">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电源功能</w:t>
            </w:r>
          </w:p>
        </w:tc>
        <w:tc>
          <w:tcPr>
            <w:tcW w:w="2627" w:type="dxa"/>
            <w:tcBorders>
              <w:top w:val="nil"/>
              <w:left w:val="nil"/>
              <w:bottom w:val="single" w:color="auto" w:sz="4" w:space="0"/>
              <w:right w:val="single" w:color="auto" w:sz="4" w:space="0"/>
            </w:tcBorders>
            <w:vAlign w:val="center"/>
          </w:tcPr>
          <w:p w14:paraId="78794454">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电源热插拔</w:t>
            </w:r>
          </w:p>
        </w:tc>
        <w:tc>
          <w:tcPr>
            <w:tcW w:w="4252" w:type="dxa"/>
            <w:tcBorders>
              <w:top w:val="nil"/>
              <w:left w:val="nil"/>
              <w:bottom w:val="single" w:color="auto" w:sz="4" w:space="0"/>
              <w:right w:val="single" w:color="auto" w:sz="4" w:space="0"/>
            </w:tcBorders>
            <w:vAlign w:val="center"/>
          </w:tcPr>
          <w:p w14:paraId="5DF610DA">
            <w:pPr>
              <w:widowControl/>
              <w:jc w:val="left"/>
              <w:rPr>
                <w:rFonts w:ascii="宋体" w:hAnsi="宋体"/>
                <w:color w:val="auto"/>
                <w:kern w:val="0"/>
                <w:sz w:val="22"/>
                <w:szCs w:val="22"/>
              </w:rPr>
            </w:pPr>
            <w:r>
              <w:rPr>
                <w:rFonts w:hint="eastAsia" w:ascii="宋体" w:hAnsi="宋体"/>
                <w:color w:val="auto"/>
                <w:kern w:val="0"/>
                <w:sz w:val="22"/>
                <w:szCs w:val="22"/>
              </w:rPr>
              <w:t>配置2个热插拔冗余电源，支持1+1冗余</w:t>
            </w:r>
          </w:p>
        </w:tc>
      </w:tr>
      <w:tr w14:paraId="30345EE3">
        <w:tblPrEx>
          <w:tblCellMar>
            <w:top w:w="0" w:type="dxa"/>
            <w:left w:w="108" w:type="dxa"/>
            <w:bottom w:w="0" w:type="dxa"/>
            <w:right w:w="108" w:type="dxa"/>
          </w:tblCellMar>
        </w:tblPrEx>
        <w:trPr>
          <w:gridAfter w:val="1"/>
          <w:wAfter w:w="236" w:type="dxa"/>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31F37A44">
            <w:pPr>
              <w:widowControl/>
              <w:jc w:val="center"/>
              <w:rPr>
                <w:rFonts w:ascii="宋体" w:hAnsi="宋体"/>
                <w:color w:val="auto"/>
                <w:kern w:val="0"/>
                <w:sz w:val="22"/>
                <w:szCs w:val="22"/>
              </w:rPr>
            </w:pPr>
            <w:r>
              <w:rPr>
                <w:rFonts w:hint="eastAsia" w:ascii="宋体" w:hAnsi="宋体"/>
                <w:color w:val="auto"/>
                <w:kern w:val="0"/>
                <w:sz w:val="22"/>
                <w:szCs w:val="22"/>
              </w:rPr>
              <w:t>61</w:t>
            </w:r>
          </w:p>
        </w:tc>
        <w:tc>
          <w:tcPr>
            <w:tcW w:w="1440" w:type="dxa"/>
            <w:vMerge w:val="continue"/>
            <w:tcBorders>
              <w:top w:val="nil"/>
              <w:left w:val="nil"/>
              <w:bottom w:val="single" w:color="auto" w:sz="4" w:space="0"/>
              <w:right w:val="single" w:color="auto" w:sz="4" w:space="0"/>
            </w:tcBorders>
            <w:vAlign w:val="center"/>
          </w:tcPr>
          <w:p w14:paraId="63EFB74E">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63CE0B55">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电源过流保护</w:t>
            </w:r>
          </w:p>
        </w:tc>
        <w:tc>
          <w:tcPr>
            <w:tcW w:w="4252" w:type="dxa"/>
            <w:tcBorders>
              <w:top w:val="nil"/>
              <w:left w:val="nil"/>
              <w:bottom w:val="single" w:color="auto" w:sz="4" w:space="0"/>
              <w:right w:val="single" w:color="auto" w:sz="4" w:space="0"/>
            </w:tcBorders>
            <w:vAlign w:val="center"/>
          </w:tcPr>
          <w:p w14:paraId="20CEE296">
            <w:pPr>
              <w:widowControl/>
              <w:jc w:val="left"/>
              <w:rPr>
                <w:rFonts w:ascii="宋体" w:hAnsi="宋体"/>
                <w:color w:val="auto"/>
                <w:kern w:val="0"/>
                <w:sz w:val="22"/>
                <w:szCs w:val="22"/>
              </w:rPr>
            </w:pPr>
            <w:r>
              <w:rPr>
                <w:rFonts w:hint="eastAsia" w:ascii="宋体" w:hAnsi="宋体"/>
                <w:color w:val="auto"/>
                <w:kern w:val="0"/>
                <w:sz w:val="22"/>
                <w:szCs w:val="22"/>
              </w:rPr>
              <w:t>支持过流及短路保护的功能</w:t>
            </w:r>
          </w:p>
        </w:tc>
      </w:tr>
      <w:tr w14:paraId="38AE2A8F">
        <w:tblPrEx>
          <w:tblCellMar>
            <w:top w:w="0" w:type="dxa"/>
            <w:left w:w="108" w:type="dxa"/>
            <w:bottom w:w="0" w:type="dxa"/>
            <w:right w:w="108" w:type="dxa"/>
          </w:tblCellMar>
        </w:tblPrEx>
        <w:trPr>
          <w:gridAfter w:val="1"/>
          <w:wAfter w:w="236" w:type="dxa"/>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0B11DE3D">
            <w:pPr>
              <w:widowControl/>
              <w:jc w:val="center"/>
              <w:rPr>
                <w:rFonts w:ascii="宋体" w:hAnsi="宋体"/>
                <w:color w:val="auto"/>
                <w:kern w:val="0"/>
                <w:sz w:val="22"/>
                <w:szCs w:val="22"/>
              </w:rPr>
            </w:pPr>
            <w:r>
              <w:rPr>
                <w:rFonts w:hint="eastAsia" w:ascii="宋体" w:hAnsi="宋体"/>
                <w:color w:val="auto"/>
                <w:kern w:val="0"/>
                <w:sz w:val="22"/>
                <w:szCs w:val="22"/>
              </w:rPr>
              <w:t>62</w:t>
            </w:r>
          </w:p>
        </w:tc>
        <w:tc>
          <w:tcPr>
            <w:tcW w:w="1440" w:type="dxa"/>
            <w:vMerge w:val="restart"/>
            <w:tcBorders>
              <w:top w:val="nil"/>
              <w:left w:val="nil"/>
              <w:bottom w:val="single" w:color="auto" w:sz="4" w:space="0"/>
              <w:right w:val="single" w:color="auto" w:sz="4" w:space="0"/>
            </w:tcBorders>
            <w:vAlign w:val="center"/>
          </w:tcPr>
          <w:p w14:paraId="5B7A9B10">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整机功能</w:t>
            </w:r>
          </w:p>
        </w:tc>
        <w:tc>
          <w:tcPr>
            <w:tcW w:w="2627" w:type="dxa"/>
            <w:tcBorders>
              <w:top w:val="nil"/>
              <w:left w:val="nil"/>
              <w:bottom w:val="single" w:color="auto" w:sz="4" w:space="0"/>
              <w:right w:val="single" w:color="auto" w:sz="4" w:space="0"/>
            </w:tcBorders>
            <w:vAlign w:val="center"/>
          </w:tcPr>
          <w:p w14:paraId="23FEBD93">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散热方式</w:t>
            </w:r>
          </w:p>
        </w:tc>
        <w:tc>
          <w:tcPr>
            <w:tcW w:w="4252" w:type="dxa"/>
            <w:tcBorders>
              <w:top w:val="nil"/>
              <w:left w:val="nil"/>
              <w:bottom w:val="single" w:color="auto" w:sz="4" w:space="0"/>
              <w:right w:val="single" w:color="auto" w:sz="4" w:space="0"/>
            </w:tcBorders>
            <w:vAlign w:val="center"/>
          </w:tcPr>
          <w:p w14:paraId="11004361">
            <w:pPr>
              <w:widowControl/>
              <w:jc w:val="left"/>
              <w:rPr>
                <w:rFonts w:ascii="宋体" w:hAnsi="宋体"/>
                <w:color w:val="auto"/>
                <w:kern w:val="0"/>
                <w:sz w:val="22"/>
                <w:szCs w:val="22"/>
              </w:rPr>
            </w:pPr>
            <w:r>
              <w:rPr>
                <w:rFonts w:hint="eastAsia" w:ascii="宋体" w:hAnsi="宋体"/>
                <w:color w:val="auto"/>
                <w:kern w:val="0"/>
                <w:sz w:val="22"/>
                <w:szCs w:val="22"/>
              </w:rPr>
              <w:t>支持风冷或液冷等散热方式</w:t>
            </w:r>
          </w:p>
        </w:tc>
      </w:tr>
      <w:tr w14:paraId="3C89D0E9">
        <w:tblPrEx>
          <w:tblCellMar>
            <w:top w:w="0" w:type="dxa"/>
            <w:left w:w="108" w:type="dxa"/>
            <w:bottom w:w="0" w:type="dxa"/>
            <w:right w:w="108" w:type="dxa"/>
          </w:tblCellMar>
        </w:tblPrEx>
        <w:trPr>
          <w:gridAfter w:val="1"/>
          <w:wAfter w:w="236" w:type="dxa"/>
          <w:trHeight w:val="717" w:hRule="atLeast"/>
          <w:jc w:val="center"/>
        </w:trPr>
        <w:tc>
          <w:tcPr>
            <w:tcW w:w="779" w:type="dxa"/>
            <w:tcBorders>
              <w:top w:val="nil"/>
              <w:left w:val="single" w:color="auto" w:sz="4" w:space="0"/>
              <w:bottom w:val="single" w:color="auto" w:sz="4" w:space="0"/>
              <w:right w:val="single" w:color="auto" w:sz="4" w:space="0"/>
            </w:tcBorders>
            <w:vAlign w:val="center"/>
          </w:tcPr>
          <w:p w14:paraId="36074D87">
            <w:pPr>
              <w:widowControl/>
              <w:jc w:val="center"/>
              <w:rPr>
                <w:rFonts w:ascii="宋体" w:hAnsi="宋体"/>
                <w:color w:val="auto"/>
                <w:kern w:val="0"/>
                <w:sz w:val="22"/>
                <w:szCs w:val="22"/>
              </w:rPr>
            </w:pPr>
            <w:r>
              <w:rPr>
                <w:rFonts w:hint="eastAsia" w:ascii="宋体" w:hAnsi="宋体"/>
                <w:color w:val="auto"/>
                <w:kern w:val="0"/>
                <w:sz w:val="22"/>
                <w:szCs w:val="22"/>
              </w:rPr>
              <w:t>63</w:t>
            </w:r>
          </w:p>
        </w:tc>
        <w:tc>
          <w:tcPr>
            <w:tcW w:w="1440" w:type="dxa"/>
            <w:vMerge w:val="continue"/>
            <w:tcBorders>
              <w:top w:val="nil"/>
              <w:left w:val="nil"/>
              <w:bottom w:val="single" w:color="auto" w:sz="4" w:space="0"/>
              <w:right w:val="single" w:color="auto" w:sz="4" w:space="0"/>
            </w:tcBorders>
            <w:vAlign w:val="center"/>
          </w:tcPr>
          <w:p w14:paraId="17EB7747">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40212FF0">
            <w:pPr>
              <w:widowControl/>
              <w:jc w:val="left"/>
              <w:rPr>
                <w:rFonts w:ascii="宋体" w:hAnsi="宋体"/>
                <w:color w:val="auto"/>
                <w:kern w:val="0"/>
                <w:sz w:val="22"/>
                <w:szCs w:val="22"/>
              </w:rPr>
            </w:pPr>
            <w:r>
              <w:rPr>
                <w:rFonts w:hint="eastAsia" w:ascii="宋体" w:hAnsi="宋体"/>
                <w:color w:val="auto"/>
                <w:kern w:val="0"/>
                <w:sz w:val="22"/>
                <w:szCs w:val="22"/>
              </w:rPr>
              <w:t>其他功能</w:t>
            </w:r>
          </w:p>
        </w:tc>
        <w:tc>
          <w:tcPr>
            <w:tcW w:w="4252" w:type="dxa"/>
            <w:tcBorders>
              <w:top w:val="nil"/>
              <w:left w:val="nil"/>
              <w:bottom w:val="single" w:color="auto" w:sz="4" w:space="0"/>
              <w:right w:val="single" w:color="auto" w:sz="4" w:space="0"/>
            </w:tcBorders>
            <w:vAlign w:val="center"/>
          </w:tcPr>
          <w:p w14:paraId="65D657E6">
            <w:pPr>
              <w:widowControl/>
              <w:jc w:val="left"/>
              <w:rPr>
                <w:rFonts w:ascii="宋体" w:hAnsi="宋体"/>
                <w:color w:val="auto"/>
                <w:kern w:val="0"/>
                <w:sz w:val="22"/>
                <w:szCs w:val="22"/>
              </w:rPr>
            </w:pPr>
            <w:r>
              <w:rPr>
                <w:rFonts w:hint="eastAsia" w:ascii="宋体" w:hAnsi="宋体"/>
                <w:color w:val="auto"/>
                <w:kern w:val="0"/>
                <w:sz w:val="22"/>
                <w:szCs w:val="22"/>
              </w:rPr>
              <w:t>a)支持关键部件冗余（包括电源、风扇等）；b)支持熔断保护与恢复功能</w:t>
            </w:r>
          </w:p>
        </w:tc>
      </w:tr>
      <w:tr w14:paraId="7F0E3832">
        <w:tblPrEx>
          <w:tblCellMar>
            <w:top w:w="0" w:type="dxa"/>
            <w:left w:w="108" w:type="dxa"/>
            <w:bottom w:w="0" w:type="dxa"/>
            <w:right w:w="108" w:type="dxa"/>
          </w:tblCellMar>
        </w:tblPrEx>
        <w:trPr>
          <w:gridAfter w:val="1"/>
          <w:wAfter w:w="236" w:type="dxa"/>
          <w:trHeight w:val="1040" w:hRule="atLeast"/>
          <w:jc w:val="center"/>
        </w:trPr>
        <w:tc>
          <w:tcPr>
            <w:tcW w:w="779" w:type="dxa"/>
            <w:vMerge w:val="restart"/>
            <w:tcBorders>
              <w:top w:val="nil"/>
              <w:left w:val="single" w:color="auto" w:sz="4" w:space="0"/>
              <w:bottom w:val="single" w:color="auto" w:sz="4" w:space="0"/>
              <w:right w:val="single" w:color="auto" w:sz="4" w:space="0"/>
            </w:tcBorders>
            <w:vAlign w:val="center"/>
          </w:tcPr>
          <w:p w14:paraId="4171FFD1">
            <w:pPr>
              <w:widowControl/>
              <w:jc w:val="center"/>
              <w:rPr>
                <w:rFonts w:ascii="宋体" w:hAnsi="宋体"/>
                <w:color w:val="auto"/>
                <w:kern w:val="0"/>
                <w:sz w:val="22"/>
                <w:szCs w:val="22"/>
              </w:rPr>
            </w:pPr>
            <w:r>
              <w:rPr>
                <w:rFonts w:hint="eastAsia" w:ascii="宋体" w:hAnsi="宋体"/>
                <w:color w:val="auto"/>
                <w:kern w:val="0"/>
                <w:sz w:val="22"/>
                <w:szCs w:val="22"/>
              </w:rPr>
              <w:t>64</w:t>
            </w:r>
          </w:p>
        </w:tc>
        <w:tc>
          <w:tcPr>
            <w:tcW w:w="1440" w:type="dxa"/>
            <w:vMerge w:val="restart"/>
            <w:tcBorders>
              <w:top w:val="nil"/>
              <w:left w:val="nil"/>
              <w:bottom w:val="single" w:color="auto" w:sz="4" w:space="0"/>
              <w:right w:val="single" w:color="auto" w:sz="4" w:space="0"/>
            </w:tcBorders>
            <w:vAlign w:val="center"/>
          </w:tcPr>
          <w:p w14:paraId="4E7F7058">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管理系统功能</w:t>
            </w:r>
          </w:p>
        </w:tc>
        <w:tc>
          <w:tcPr>
            <w:tcW w:w="2627" w:type="dxa"/>
            <w:vMerge w:val="restart"/>
            <w:tcBorders>
              <w:top w:val="nil"/>
              <w:left w:val="nil"/>
              <w:bottom w:val="single" w:color="auto" w:sz="4" w:space="0"/>
              <w:right w:val="single" w:color="auto" w:sz="4" w:space="0"/>
            </w:tcBorders>
            <w:vAlign w:val="center"/>
          </w:tcPr>
          <w:p w14:paraId="3C928A9F">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BMC固件基础功能</w:t>
            </w:r>
          </w:p>
        </w:tc>
        <w:tc>
          <w:tcPr>
            <w:tcW w:w="4252" w:type="dxa"/>
            <w:vMerge w:val="restart"/>
            <w:tcBorders>
              <w:top w:val="nil"/>
              <w:left w:val="nil"/>
              <w:bottom w:val="single" w:color="000000" w:sz="4" w:space="0"/>
              <w:right w:val="single" w:color="auto" w:sz="4" w:space="0"/>
            </w:tcBorders>
            <w:vAlign w:val="center"/>
          </w:tcPr>
          <w:p w14:paraId="30D6E964">
            <w:pPr>
              <w:widowControl/>
              <w:jc w:val="left"/>
              <w:rPr>
                <w:rFonts w:ascii="宋体" w:hAnsi="宋体"/>
                <w:color w:val="auto"/>
                <w:kern w:val="0"/>
                <w:sz w:val="22"/>
                <w:szCs w:val="22"/>
              </w:rPr>
            </w:pPr>
            <w:r>
              <w:rPr>
                <w:rFonts w:hint="eastAsia" w:ascii="宋体" w:hAnsi="宋体"/>
                <w:color w:val="auto"/>
                <w:kern w:val="0"/>
                <w:sz w:val="22"/>
                <w:szCs w:val="22"/>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7C0F0EE5">
        <w:tblPrEx>
          <w:tblCellMar>
            <w:top w:w="0" w:type="dxa"/>
            <w:left w:w="108" w:type="dxa"/>
            <w:bottom w:w="0" w:type="dxa"/>
            <w:right w:w="108" w:type="dxa"/>
          </w:tblCellMar>
        </w:tblPrEx>
        <w:trPr>
          <w:trHeight w:val="2088"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A964B26">
            <w:pPr>
              <w:widowControl/>
              <w:jc w:val="left"/>
              <w:rPr>
                <w:rFonts w:ascii="宋体" w:hAnsi="宋体"/>
                <w:color w:val="auto"/>
                <w:kern w:val="0"/>
                <w:sz w:val="22"/>
                <w:szCs w:val="22"/>
              </w:rPr>
            </w:pPr>
          </w:p>
        </w:tc>
        <w:tc>
          <w:tcPr>
            <w:tcW w:w="1440" w:type="dxa"/>
            <w:vMerge w:val="continue"/>
            <w:tcBorders>
              <w:top w:val="nil"/>
              <w:left w:val="nil"/>
              <w:bottom w:val="single" w:color="auto" w:sz="4" w:space="0"/>
              <w:right w:val="single" w:color="auto" w:sz="4" w:space="0"/>
            </w:tcBorders>
            <w:vAlign w:val="center"/>
          </w:tcPr>
          <w:p w14:paraId="6EC50CEA">
            <w:pPr>
              <w:widowControl/>
              <w:jc w:val="left"/>
              <w:rPr>
                <w:rFonts w:ascii="宋体" w:hAnsi="宋体"/>
                <w:color w:val="auto"/>
                <w:kern w:val="0"/>
                <w:sz w:val="22"/>
                <w:szCs w:val="22"/>
              </w:rPr>
            </w:pPr>
          </w:p>
        </w:tc>
        <w:tc>
          <w:tcPr>
            <w:tcW w:w="2627" w:type="dxa"/>
            <w:vMerge w:val="continue"/>
            <w:tcBorders>
              <w:top w:val="nil"/>
              <w:left w:val="nil"/>
              <w:bottom w:val="single" w:color="auto" w:sz="4" w:space="0"/>
              <w:right w:val="single" w:color="auto" w:sz="4" w:space="0"/>
            </w:tcBorders>
            <w:vAlign w:val="center"/>
          </w:tcPr>
          <w:p w14:paraId="3A924CE1">
            <w:pPr>
              <w:widowControl/>
              <w:jc w:val="left"/>
              <w:rPr>
                <w:rFonts w:ascii="宋体" w:hAnsi="宋体"/>
                <w:color w:val="auto"/>
                <w:kern w:val="0"/>
                <w:sz w:val="22"/>
                <w:szCs w:val="22"/>
              </w:rPr>
            </w:pPr>
          </w:p>
        </w:tc>
        <w:tc>
          <w:tcPr>
            <w:tcW w:w="4252" w:type="dxa"/>
            <w:vMerge w:val="continue"/>
            <w:tcBorders>
              <w:top w:val="nil"/>
              <w:left w:val="nil"/>
              <w:bottom w:val="single" w:color="000000" w:sz="4" w:space="0"/>
              <w:right w:val="single" w:color="auto" w:sz="4" w:space="0"/>
            </w:tcBorders>
            <w:vAlign w:val="center"/>
          </w:tcPr>
          <w:p w14:paraId="6B31A691">
            <w:pPr>
              <w:widowControl/>
              <w:jc w:val="left"/>
              <w:rPr>
                <w:rFonts w:ascii="宋体" w:hAnsi="宋体"/>
                <w:color w:val="auto"/>
                <w:kern w:val="0"/>
                <w:sz w:val="22"/>
                <w:szCs w:val="22"/>
              </w:rPr>
            </w:pPr>
          </w:p>
        </w:tc>
        <w:tc>
          <w:tcPr>
            <w:tcW w:w="236" w:type="dxa"/>
            <w:vAlign w:val="center"/>
          </w:tcPr>
          <w:p w14:paraId="68C59CC5">
            <w:pPr>
              <w:rPr>
                <w:rFonts w:ascii="宋体" w:hAnsi="宋体"/>
                <w:color w:val="auto"/>
                <w:kern w:val="0"/>
                <w:sz w:val="22"/>
                <w:szCs w:val="22"/>
              </w:rPr>
            </w:pPr>
          </w:p>
        </w:tc>
      </w:tr>
      <w:tr w14:paraId="7F5CE174">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75312C14">
            <w:pPr>
              <w:widowControl/>
              <w:jc w:val="center"/>
              <w:rPr>
                <w:rFonts w:ascii="宋体" w:hAnsi="宋体"/>
                <w:color w:val="auto"/>
                <w:kern w:val="0"/>
                <w:sz w:val="22"/>
                <w:szCs w:val="22"/>
              </w:rPr>
            </w:pPr>
            <w:r>
              <w:rPr>
                <w:rFonts w:hint="eastAsia" w:ascii="宋体" w:hAnsi="宋体"/>
                <w:color w:val="auto"/>
                <w:kern w:val="0"/>
                <w:sz w:val="22"/>
                <w:szCs w:val="22"/>
              </w:rPr>
              <w:t>65</w:t>
            </w:r>
          </w:p>
        </w:tc>
        <w:tc>
          <w:tcPr>
            <w:tcW w:w="1440" w:type="dxa"/>
            <w:vMerge w:val="continue"/>
            <w:tcBorders>
              <w:top w:val="nil"/>
              <w:left w:val="nil"/>
              <w:bottom w:val="single" w:color="auto" w:sz="4" w:space="0"/>
              <w:right w:val="single" w:color="auto" w:sz="4" w:space="0"/>
            </w:tcBorders>
            <w:vAlign w:val="center"/>
          </w:tcPr>
          <w:p w14:paraId="368020C5">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65329363">
            <w:pPr>
              <w:widowControl/>
              <w:jc w:val="left"/>
              <w:rPr>
                <w:rFonts w:ascii="宋体" w:hAnsi="宋体"/>
                <w:color w:val="auto"/>
                <w:kern w:val="0"/>
                <w:sz w:val="22"/>
                <w:szCs w:val="22"/>
              </w:rPr>
            </w:pPr>
            <w:r>
              <w:rPr>
                <w:rFonts w:hint="eastAsia" w:ascii="宋体" w:hAnsi="宋体"/>
                <w:color w:val="auto"/>
                <w:kern w:val="0"/>
                <w:sz w:val="22"/>
                <w:szCs w:val="22"/>
              </w:rPr>
              <w:t>BMC固件增强功能</w:t>
            </w:r>
          </w:p>
        </w:tc>
        <w:tc>
          <w:tcPr>
            <w:tcW w:w="4252" w:type="dxa"/>
            <w:tcBorders>
              <w:top w:val="nil"/>
              <w:left w:val="nil"/>
              <w:bottom w:val="single" w:color="auto" w:sz="4" w:space="0"/>
              <w:right w:val="single" w:color="auto" w:sz="4" w:space="0"/>
            </w:tcBorders>
            <w:vAlign w:val="center"/>
          </w:tcPr>
          <w:p w14:paraId="3D0F1881">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29E5A9BD">
            <w:pPr>
              <w:widowControl/>
              <w:jc w:val="left"/>
              <w:rPr>
                <w:rFonts w:eastAsia="Times New Roman"/>
                <w:color w:val="auto"/>
                <w:kern w:val="0"/>
                <w:sz w:val="22"/>
                <w:szCs w:val="22"/>
              </w:rPr>
            </w:pPr>
          </w:p>
        </w:tc>
      </w:tr>
      <w:tr w14:paraId="1FC4B2C0">
        <w:tblPrEx>
          <w:tblCellMar>
            <w:top w:w="0" w:type="dxa"/>
            <w:left w:w="108" w:type="dxa"/>
            <w:bottom w:w="0" w:type="dxa"/>
            <w:right w:w="108" w:type="dxa"/>
          </w:tblCellMar>
        </w:tblPrEx>
        <w:trPr>
          <w:trHeight w:val="669" w:hRule="atLeast"/>
          <w:jc w:val="center"/>
        </w:trPr>
        <w:tc>
          <w:tcPr>
            <w:tcW w:w="779" w:type="dxa"/>
            <w:tcBorders>
              <w:top w:val="nil"/>
              <w:left w:val="single" w:color="auto" w:sz="4" w:space="0"/>
              <w:bottom w:val="single" w:color="auto" w:sz="4" w:space="0"/>
              <w:right w:val="single" w:color="auto" w:sz="4" w:space="0"/>
            </w:tcBorders>
            <w:vAlign w:val="center"/>
          </w:tcPr>
          <w:p w14:paraId="70DAFA38">
            <w:pPr>
              <w:widowControl/>
              <w:jc w:val="center"/>
              <w:rPr>
                <w:rFonts w:ascii="宋体" w:hAnsi="宋体"/>
                <w:color w:val="auto"/>
                <w:kern w:val="0"/>
                <w:sz w:val="22"/>
                <w:szCs w:val="22"/>
              </w:rPr>
            </w:pPr>
            <w:r>
              <w:rPr>
                <w:rFonts w:hint="eastAsia" w:ascii="宋体" w:hAnsi="宋体"/>
                <w:color w:val="auto"/>
                <w:kern w:val="0"/>
                <w:sz w:val="22"/>
                <w:szCs w:val="22"/>
              </w:rPr>
              <w:t>66</w:t>
            </w:r>
          </w:p>
        </w:tc>
        <w:tc>
          <w:tcPr>
            <w:tcW w:w="1440" w:type="dxa"/>
            <w:vMerge w:val="continue"/>
            <w:tcBorders>
              <w:top w:val="nil"/>
              <w:left w:val="nil"/>
              <w:bottom w:val="single" w:color="auto" w:sz="4" w:space="0"/>
              <w:right w:val="single" w:color="auto" w:sz="4" w:space="0"/>
            </w:tcBorders>
            <w:vAlign w:val="center"/>
          </w:tcPr>
          <w:p w14:paraId="0BEE01F3">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04BD88DB">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BIOS固件基础功能</w:t>
            </w:r>
          </w:p>
        </w:tc>
        <w:tc>
          <w:tcPr>
            <w:tcW w:w="4252" w:type="dxa"/>
            <w:tcBorders>
              <w:top w:val="nil"/>
              <w:left w:val="nil"/>
              <w:bottom w:val="single" w:color="auto" w:sz="4" w:space="0"/>
              <w:right w:val="single" w:color="auto" w:sz="4" w:space="0"/>
            </w:tcBorders>
            <w:vAlign w:val="center"/>
          </w:tcPr>
          <w:p w14:paraId="26724049">
            <w:pPr>
              <w:widowControl/>
              <w:jc w:val="left"/>
              <w:rPr>
                <w:rFonts w:ascii="宋体" w:hAnsi="宋体"/>
                <w:color w:val="auto"/>
                <w:kern w:val="0"/>
                <w:sz w:val="22"/>
                <w:szCs w:val="22"/>
              </w:rPr>
            </w:pPr>
            <w:r>
              <w:rPr>
                <w:rFonts w:hint="eastAsia" w:ascii="宋体" w:hAnsi="宋体"/>
                <w:color w:val="auto"/>
                <w:kern w:val="0"/>
                <w:sz w:val="22"/>
                <w:szCs w:val="22"/>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c>
          <w:tcPr>
            <w:tcW w:w="236" w:type="dxa"/>
            <w:vAlign w:val="center"/>
          </w:tcPr>
          <w:p w14:paraId="579FCC6C">
            <w:pPr>
              <w:widowControl/>
              <w:jc w:val="left"/>
              <w:rPr>
                <w:rFonts w:eastAsia="Times New Roman"/>
                <w:color w:val="auto"/>
                <w:kern w:val="0"/>
                <w:sz w:val="22"/>
                <w:szCs w:val="22"/>
              </w:rPr>
            </w:pPr>
          </w:p>
        </w:tc>
      </w:tr>
      <w:tr w14:paraId="40492613">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7DF06543">
            <w:pPr>
              <w:widowControl/>
              <w:jc w:val="center"/>
              <w:rPr>
                <w:rFonts w:ascii="宋体" w:hAnsi="宋体"/>
                <w:color w:val="auto"/>
                <w:kern w:val="0"/>
                <w:sz w:val="22"/>
                <w:szCs w:val="22"/>
              </w:rPr>
            </w:pPr>
            <w:r>
              <w:rPr>
                <w:rFonts w:hint="eastAsia" w:ascii="宋体" w:hAnsi="宋体"/>
                <w:color w:val="auto"/>
                <w:kern w:val="0"/>
                <w:sz w:val="22"/>
                <w:szCs w:val="22"/>
              </w:rPr>
              <w:t>67</w:t>
            </w:r>
          </w:p>
        </w:tc>
        <w:tc>
          <w:tcPr>
            <w:tcW w:w="1440" w:type="dxa"/>
            <w:vMerge w:val="continue"/>
            <w:tcBorders>
              <w:top w:val="nil"/>
              <w:left w:val="nil"/>
              <w:bottom w:val="single" w:color="auto" w:sz="4" w:space="0"/>
              <w:right w:val="single" w:color="auto" w:sz="4" w:space="0"/>
            </w:tcBorders>
            <w:vAlign w:val="center"/>
          </w:tcPr>
          <w:p w14:paraId="334B85EE">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41266D28">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远程控制</w:t>
            </w:r>
          </w:p>
        </w:tc>
        <w:tc>
          <w:tcPr>
            <w:tcW w:w="4252" w:type="dxa"/>
            <w:tcBorders>
              <w:top w:val="nil"/>
              <w:left w:val="nil"/>
              <w:bottom w:val="single" w:color="auto" w:sz="4" w:space="0"/>
              <w:right w:val="single" w:color="auto" w:sz="4" w:space="0"/>
            </w:tcBorders>
            <w:vAlign w:val="center"/>
          </w:tcPr>
          <w:p w14:paraId="6CD08088">
            <w:pPr>
              <w:widowControl/>
              <w:jc w:val="left"/>
              <w:rPr>
                <w:rFonts w:ascii="宋体" w:hAnsi="宋体"/>
                <w:color w:val="auto"/>
                <w:kern w:val="0"/>
                <w:sz w:val="22"/>
                <w:szCs w:val="22"/>
              </w:rPr>
            </w:pPr>
            <w:r>
              <w:rPr>
                <w:rFonts w:hint="eastAsia" w:ascii="宋体" w:hAnsi="宋体"/>
                <w:color w:val="auto"/>
                <w:kern w:val="0"/>
                <w:sz w:val="22"/>
                <w:szCs w:val="22"/>
              </w:rPr>
              <w:t>支持远程关机和重新启动功能</w:t>
            </w:r>
          </w:p>
        </w:tc>
        <w:tc>
          <w:tcPr>
            <w:tcW w:w="236" w:type="dxa"/>
            <w:vAlign w:val="center"/>
          </w:tcPr>
          <w:p w14:paraId="29D59FB9">
            <w:pPr>
              <w:widowControl/>
              <w:jc w:val="left"/>
              <w:rPr>
                <w:rFonts w:eastAsia="Times New Roman"/>
                <w:color w:val="auto"/>
                <w:kern w:val="0"/>
                <w:sz w:val="22"/>
                <w:szCs w:val="22"/>
              </w:rPr>
            </w:pPr>
          </w:p>
        </w:tc>
      </w:tr>
      <w:tr w14:paraId="7D079D23">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43F78AEA">
            <w:pPr>
              <w:widowControl/>
              <w:jc w:val="center"/>
              <w:rPr>
                <w:rFonts w:ascii="宋体" w:hAnsi="宋体"/>
                <w:color w:val="auto"/>
                <w:kern w:val="0"/>
                <w:sz w:val="22"/>
                <w:szCs w:val="22"/>
              </w:rPr>
            </w:pPr>
            <w:r>
              <w:rPr>
                <w:rFonts w:hint="eastAsia" w:ascii="宋体" w:hAnsi="宋体"/>
                <w:color w:val="auto"/>
                <w:kern w:val="0"/>
                <w:sz w:val="22"/>
                <w:szCs w:val="22"/>
              </w:rPr>
              <w:t>68</w:t>
            </w:r>
          </w:p>
        </w:tc>
        <w:tc>
          <w:tcPr>
            <w:tcW w:w="1440" w:type="dxa"/>
            <w:vMerge w:val="restart"/>
            <w:tcBorders>
              <w:top w:val="nil"/>
              <w:left w:val="nil"/>
              <w:bottom w:val="single" w:color="auto" w:sz="4" w:space="0"/>
              <w:right w:val="single" w:color="auto" w:sz="4" w:space="0"/>
            </w:tcBorders>
            <w:vAlign w:val="center"/>
          </w:tcPr>
          <w:p w14:paraId="4A610363">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操作系统及驱动功能</w:t>
            </w:r>
          </w:p>
        </w:tc>
        <w:tc>
          <w:tcPr>
            <w:tcW w:w="2627" w:type="dxa"/>
            <w:tcBorders>
              <w:top w:val="nil"/>
              <w:left w:val="nil"/>
              <w:bottom w:val="single" w:color="auto" w:sz="4" w:space="0"/>
              <w:right w:val="single" w:color="auto" w:sz="4" w:space="0"/>
            </w:tcBorders>
            <w:vAlign w:val="center"/>
          </w:tcPr>
          <w:p w14:paraId="27E031DB">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操作系统及驱动的升级</w:t>
            </w:r>
          </w:p>
        </w:tc>
        <w:tc>
          <w:tcPr>
            <w:tcW w:w="4252" w:type="dxa"/>
            <w:tcBorders>
              <w:top w:val="nil"/>
              <w:left w:val="nil"/>
              <w:bottom w:val="single" w:color="auto" w:sz="4" w:space="0"/>
              <w:right w:val="single" w:color="auto" w:sz="4" w:space="0"/>
            </w:tcBorders>
            <w:vAlign w:val="center"/>
          </w:tcPr>
          <w:p w14:paraId="04CB552C">
            <w:pPr>
              <w:widowControl/>
              <w:jc w:val="left"/>
              <w:rPr>
                <w:rFonts w:ascii="宋体" w:hAnsi="宋体"/>
                <w:color w:val="auto"/>
                <w:kern w:val="0"/>
                <w:sz w:val="22"/>
                <w:szCs w:val="22"/>
              </w:rPr>
            </w:pPr>
            <w:r>
              <w:rPr>
                <w:rFonts w:hint="eastAsia" w:ascii="宋体" w:hAnsi="宋体"/>
                <w:color w:val="auto"/>
                <w:kern w:val="0"/>
                <w:sz w:val="22"/>
                <w:szCs w:val="22"/>
              </w:rPr>
              <w:t>预装操作系统需适配所采购的软硬件设备；</w:t>
            </w:r>
          </w:p>
          <w:p w14:paraId="12DE5968">
            <w:pPr>
              <w:widowControl/>
              <w:jc w:val="left"/>
              <w:rPr>
                <w:rFonts w:ascii="宋体" w:hAnsi="宋体"/>
                <w:color w:val="auto"/>
                <w:kern w:val="0"/>
                <w:sz w:val="22"/>
                <w:szCs w:val="22"/>
              </w:rPr>
            </w:pPr>
            <w:r>
              <w:rPr>
                <w:rFonts w:hint="eastAsia" w:ascii="宋体" w:hAnsi="宋体"/>
                <w:color w:val="auto"/>
                <w:kern w:val="0"/>
                <w:sz w:val="22"/>
                <w:szCs w:val="22"/>
              </w:rPr>
              <w:t>支持通过网络、闪存盘对操作系统、驱动进行升级</w:t>
            </w:r>
          </w:p>
        </w:tc>
        <w:tc>
          <w:tcPr>
            <w:tcW w:w="236" w:type="dxa"/>
            <w:vAlign w:val="center"/>
          </w:tcPr>
          <w:p w14:paraId="70175D42">
            <w:pPr>
              <w:widowControl/>
              <w:jc w:val="left"/>
              <w:rPr>
                <w:rFonts w:eastAsia="Times New Roman"/>
                <w:color w:val="auto"/>
                <w:kern w:val="0"/>
                <w:sz w:val="22"/>
                <w:szCs w:val="22"/>
              </w:rPr>
            </w:pPr>
          </w:p>
        </w:tc>
      </w:tr>
      <w:tr w14:paraId="14581301">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3419AC4E">
            <w:pPr>
              <w:widowControl/>
              <w:jc w:val="center"/>
              <w:rPr>
                <w:rFonts w:ascii="宋体" w:hAnsi="宋体"/>
                <w:color w:val="auto"/>
                <w:kern w:val="0"/>
                <w:sz w:val="22"/>
                <w:szCs w:val="22"/>
              </w:rPr>
            </w:pPr>
            <w:r>
              <w:rPr>
                <w:rFonts w:hint="eastAsia" w:ascii="宋体" w:hAnsi="宋体"/>
                <w:color w:val="auto"/>
                <w:kern w:val="0"/>
                <w:sz w:val="22"/>
                <w:szCs w:val="22"/>
              </w:rPr>
              <w:t>69</w:t>
            </w:r>
          </w:p>
        </w:tc>
        <w:tc>
          <w:tcPr>
            <w:tcW w:w="1440" w:type="dxa"/>
            <w:vMerge w:val="continue"/>
            <w:tcBorders>
              <w:top w:val="nil"/>
              <w:left w:val="nil"/>
              <w:bottom w:val="single" w:color="auto" w:sz="4" w:space="0"/>
              <w:right w:val="single" w:color="auto" w:sz="4" w:space="0"/>
            </w:tcBorders>
            <w:vAlign w:val="center"/>
          </w:tcPr>
          <w:p w14:paraId="1DED61D4">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22F46089">
            <w:pPr>
              <w:widowControl/>
              <w:jc w:val="left"/>
              <w:rPr>
                <w:rFonts w:ascii="宋体" w:hAnsi="宋体"/>
                <w:color w:val="auto"/>
                <w:kern w:val="0"/>
                <w:sz w:val="22"/>
                <w:szCs w:val="22"/>
              </w:rPr>
            </w:pPr>
            <w:r>
              <w:rPr>
                <w:rFonts w:hint="eastAsia" w:ascii="宋体" w:hAnsi="宋体"/>
                <w:color w:val="auto"/>
                <w:kern w:val="0"/>
                <w:sz w:val="22"/>
                <w:szCs w:val="22"/>
              </w:rPr>
              <w:t>操作系统及驱动的备份还原</w:t>
            </w:r>
          </w:p>
        </w:tc>
        <w:tc>
          <w:tcPr>
            <w:tcW w:w="4252" w:type="dxa"/>
            <w:tcBorders>
              <w:top w:val="nil"/>
              <w:left w:val="nil"/>
              <w:bottom w:val="single" w:color="auto" w:sz="4" w:space="0"/>
              <w:right w:val="single" w:color="auto" w:sz="4" w:space="0"/>
            </w:tcBorders>
            <w:vAlign w:val="center"/>
          </w:tcPr>
          <w:p w14:paraId="6F34D8CB">
            <w:pPr>
              <w:widowControl/>
              <w:jc w:val="left"/>
              <w:rPr>
                <w:rFonts w:ascii="宋体" w:hAnsi="宋体"/>
                <w:color w:val="auto"/>
                <w:kern w:val="0"/>
                <w:sz w:val="22"/>
                <w:szCs w:val="22"/>
              </w:rPr>
            </w:pPr>
            <w:r>
              <w:rPr>
                <w:rFonts w:hint="eastAsia" w:ascii="宋体" w:hAnsi="宋体"/>
                <w:color w:val="auto"/>
                <w:kern w:val="0"/>
                <w:sz w:val="22"/>
                <w:szCs w:val="22"/>
              </w:rPr>
              <w:t>支持操作系统备份及还原功能</w:t>
            </w:r>
          </w:p>
        </w:tc>
        <w:tc>
          <w:tcPr>
            <w:tcW w:w="236" w:type="dxa"/>
            <w:vAlign w:val="center"/>
          </w:tcPr>
          <w:p w14:paraId="031D6023">
            <w:pPr>
              <w:widowControl/>
              <w:jc w:val="left"/>
              <w:rPr>
                <w:rFonts w:eastAsia="Times New Roman"/>
                <w:color w:val="auto"/>
                <w:kern w:val="0"/>
                <w:sz w:val="22"/>
                <w:szCs w:val="22"/>
              </w:rPr>
            </w:pPr>
          </w:p>
        </w:tc>
      </w:tr>
      <w:tr w14:paraId="6ECA8918">
        <w:tblPrEx>
          <w:tblCellMar>
            <w:top w:w="0" w:type="dxa"/>
            <w:left w:w="108" w:type="dxa"/>
            <w:bottom w:w="0" w:type="dxa"/>
            <w:right w:w="108" w:type="dxa"/>
          </w:tblCellMar>
        </w:tblPrEx>
        <w:trPr>
          <w:trHeight w:val="856" w:hRule="atLeast"/>
          <w:jc w:val="center"/>
        </w:trPr>
        <w:tc>
          <w:tcPr>
            <w:tcW w:w="779" w:type="dxa"/>
            <w:tcBorders>
              <w:top w:val="nil"/>
              <w:left w:val="single" w:color="auto" w:sz="4" w:space="0"/>
              <w:bottom w:val="single" w:color="auto" w:sz="4" w:space="0"/>
              <w:right w:val="single" w:color="auto" w:sz="4" w:space="0"/>
            </w:tcBorders>
            <w:vAlign w:val="center"/>
          </w:tcPr>
          <w:p w14:paraId="71482C63">
            <w:pPr>
              <w:widowControl/>
              <w:jc w:val="center"/>
              <w:rPr>
                <w:rFonts w:ascii="宋体" w:hAnsi="宋体"/>
                <w:color w:val="auto"/>
                <w:kern w:val="0"/>
                <w:sz w:val="22"/>
                <w:szCs w:val="22"/>
              </w:rPr>
            </w:pPr>
            <w:r>
              <w:rPr>
                <w:rFonts w:hint="eastAsia" w:ascii="宋体" w:hAnsi="宋体"/>
                <w:color w:val="auto"/>
                <w:kern w:val="0"/>
                <w:sz w:val="22"/>
                <w:szCs w:val="22"/>
              </w:rPr>
              <w:t>70</w:t>
            </w:r>
          </w:p>
        </w:tc>
        <w:tc>
          <w:tcPr>
            <w:tcW w:w="1440" w:type="dxa"/>
            <w:vMerge w:val="continue"/>
            <w:tcBorders>
              <w:top w:val="nil"/>
              <w:left w:val="nil"/>
              <w:bottom w:val="single" w:color="auto" w:sz="4" w:space="0"/>
              <w:right w:val="single" w:color="auto" w:sz="4" w:space="0"/>
            </w:tcBorders>
            <w:vAlign w:val="center"/>
          </w:tcPr>
          <w:p w14:paraId="2EDB1C1E">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2D642837">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操作系统功能</w:t>
            </w:r>
          </w:p>
        </w:tc>
        <w:tc>
          <w:tcPr>
            <w:tcW w:w="4252" w:type="dxa"/>
            <w:tcBorders>
              <w:top w:val="nil"/>
              <w:left w:val="nil"/>
              <w:bottom w:val="single" w:color="auto" w:sz="4" w:space="0"/>
              <w:right w:val="single" w:color="auto" w:sz="4" w:space="0"/>
            </w:tcBorders>
            <w:vAlign w:val="center"/>
          </w:tcPr>
          <w:p w14:paraId="0E557CB3">
            <w:pPr>
              <w:widowControl/>
              <w:jc w:val="left"/>
              <w:rPr>
                <w:rFonts w:ascii="宋体" w:hAnsi="宋体"/>
                <w:color w:val="auto"/>
                <w:kern w:val="0"/>
                <w:sz w:val="22"/>
                <w:szCs w:val="22"/>
              </w:rPr>
            </w:pPr>
            <w:r>
              <w:rPr>
                <w:rFonts w:hint="eastAsia" w:ascii="宋体" w:hAnsi="宋体"/>
                <w:color w:val="auto"/>
                <w:kern w:val="0"/>
                <w:sz w:val="22"/>
                <w:szCs w:val="22"/>
              </w:rPr>
              <w:t>a)支持访问控制、安全审计、网络接入鉴别等功能；b)操作系统其他功能应满足操作系统政府采购需求标准中加*的指标要求</w:t>
            </w:r>
          </w:p>
        </w:tc>
        <w:tc>
          <w:tcPr>
            <w:tcW w:w="236" w:type="dxa"/>
            <w:vAlign w:val="center"/>
          </w:tcPr>
          <w:p w14:paraId="4C98DF7F">
            <w:pPr>
              <w:widowControl/>
              <w:jc w:val="left"/>
              <w:rPr>
                <w:rFonts w:eastAsia="Times New Roman"/>
                <w:color w:val="auto"/>
                <w:kern w:val="0"/>
                <w:sz w:val="22"/>
                <w:szCs w:val="22"/>
              </w:rPr>
            </w:pPr>
          </w:p>
        </w:tc>
      </w:tr>
      <w:tr w14:paraId="09F73412">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33CEBE43">
            <w:pPr>
              <w:widowControl/>
              <w:jc w:val="center"/>
              <w:rPr>
                <w:rFonts w:ascii="宋体" w:hAnsi="宋体"/>
                <w:color w:val="auto"/>
                <w:kern w:val="0"/>
                <w:sz w:val="22"/>
                <w:szCs w:val="22"/>
              </w:rPr>
            </w:pPr>
            <w:r>
              <w:rPr>
                <w:rFonts w:hint="eastAsia" w:ascii="宋体" w:hAnsi="宋体"/>
                <w:color w:val="auto"/>
                <w:kern w:val="0"/>
                <w:sz w:val="22"/>
                <w:szCs w:val="22"/>
              </w:rPr>
              <w:t>71</w:t>
            </w:r>
          </w:p>
        </w:tc>
        <w:tc>
          <w:tcPr>
            <w:tcW w:w="1440" w:type="dxa"/>
            <w:tcBorders>
              <w:top w:val="nil"/>
              <w:left w:val="nil"/>
              <w:bottom w:val="single" w:color="auto" w:sz="4" w:space="0"/>
              <w:right w:val="single" w:color="auto" w:sz="4" w:space="0"/>
            </w:tcBorders>
            <w:vAlign w:val="center"/>
          </w:tcPr>
          <w:p w14:paraId="491D54AF">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中文信息处理功能</w:t>
            </w:r>
          </w:p>
        </w:tc>
        <w:tc>
          <w:tcPr>
            <w:tcW w:w="2627" w:type="dxa"/>
            <w:tcBorders>
              <w:top w:val="nil"/>
              <w:left w:val="nil"/>
              <w:bottom w:val="single" w:color="auto" w:sz="4" w:space="0"/>
              <w:right w:val="single" w:color="auto" w:sz="4" w:space="0"/>
            </w:tcBorders>
            <w:vAlign w:val="center"/>
          </w:tcPr>
          <w:p w14:paraId="14F63043">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中文信息处理</w:t>
            </w:r>
          </w:p>
        </w:tc>
        <w:tc>
          <w:tcPr>
            <w:tcW w:w="4252" w:type="dxa"/>
            <w:tcBorders>
              <w:top w:val="nil"/>
              <w:left w:val="nil"/>
              <w:bottom w:val="single" w:color="auto" w:sz="4" w:space="0"/>
              <w:right w:val="single" w:color="auto" w:sz="4" w:space="0"/>
            </w:tcBorders>
            <w:vAlign w:val="center"/>
          </w:tcPr>
          <w:p w14:paraId="2FD799B8">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7F15B09B">
            <w:pPr>
              <w:widowControl/>
              <w:jc w:val="left"/>
              <w:rPr>
                <w:rFonts w:eastAsia="Times New Roman"/>
                <w:color w:val="auto"/>
                <w:kern w:val="0"/>
                <w:sz w:val="22"/>
                <w:szCs w:val="22"/>
              </w:rPr>
            </w:pPr>
          </w:p>
        </w:tc>
      </w:tr>
      <w:tr w14:paraId="33F38599">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70B7A23E">
            <w:pPr>
              <w:widowControl/>
              <w:jc w:val="center"/>
              <w:rPr>
                <w:rFonts w:ascii="宋体" w:hAnsi="宋体"/>
                <w:color w:val="auto"/>
                <w:kern w:val="0"/>
                <w:sz w:val="22"/>
                <w:szCs w:val="22"/>
              </w:rPr>
            </w:pPr>
            <w:r>
              <w:rPr>
                <w:rFonts w:hint="eastAsia" w:ascii="宋体" w:hAnsi="宋体"/>
                <w:color w:val="auto"/>
                <w:kern w:val="0"/>
                <w:sz w:val="22"/>
                <w:szCs w:val="22"/>
              </w:rPr>
              <w:t>72</w:t>
            </w:r>
          </w:p>
        </w:tc>
        <w:tc>
          <w:tcPr>
            <w:tcW w:w="1440" w:type="dxa"/>
            <w:vMerge w:val="restart"/>
            <w:tcBorders>
              <w:top w:val="nil"/>
              <w:left w:val="nil"/>
              <w:bottom w:val="single" w:color="auto" w:sz="4" w:space="0"/>
              <w:right w:val="single" w:color="auto" w:sz="4" w:space="0"/>
            </w:tcBorders>
            <w:vAlign w:val="center"/>
          </w:tcPr>
          <w:p w14:paraId="5AE9F966">
            <w:pPr>
              <w:widowControl/>
              <w:jc w:val="center"/>
              <w:rPr>
                <w:rFonts w:ascii="宋体" w:hAnsi="宋体"/>
                <w:color w:val="auto"/>
                <w:kern w:val="0"/>
                <w:sz w:val="22"/>
                <w:szCs w:val="22"/>
              </w:rPr>
            </w:pPr>
            <w:r>
              <w:rPr>
                <w:rFonts w:hint="eastAsia" w:ascii="宋体" w:hAnsi="宋体"/>
                <w:color w:val="auto"/>
                <w:kern w:val="0"/>
                <w:sz w:val="22"/>
                <w:szCs w:val="22"/>
              </w:rPr>
              <w:t>机柜功能</w:t>
            </w:r>
          </w:p>
        </w:tc>
        <w:tc>
          <w:tcPr>
            <w:tcW w:w="2627" w:type="dxa"/>
            <w:tcBorders>
              <w:top w:val="nil"/>
              <w:left w:val="nil"/>
              <w:bottom w:val="single" w:color="auto" w:sz="4" w:space="0"/>
              <w:right w:val="single" w:color="auto" w:sz="4" w:space="0"/>
            </w:tcBorders>
            <w:vAlign w:val="center"/>
          </w:tcPr>
          <w:p w14:paraId="2E505333">
            <w:pPr>
              <w:widowControl/>
              <w:jc w:val="left"/>
              <w:rPr>
                <w:rFonts w:ascii="宋体" w:hAnsi="宋体"/>
                <w:color w:val="auto"/>
                <w:kern w:val="0"/>
                <w:sz w:val="22"/>
                <w:szCs w:val="22"/>
              </w:rPr>
            </w:pPr>
            <w:r>
              <w:rPr>
                <w:rFonts w:hint="eastAsia" w:ascii="宋体" w:hAnsi="宋体"/>
                <w:color w:val="auto"/>
                <w:kern w:val="0"/>
                <w:sz w:val="22"/>
                <w:szCs w:val="22"/>
              </w:rPr>
              <w:t>机柜管理功能</w:t>
            </w:r>
          </w:p>
        </w:tc>
        <w:tc>
          <w:tcPr>
            <w:tcW w:w="4252" w:type="dxa"/>
            <w:tcBorders>
              <w:top w:val="nil"/>
              <w:left w:val="nil"/>
              <w:bottom w:val="single" w:color="auto" w:sz="4" w:space="0"/>
              <w:right w:val="single" w:color="auto" w:sz="4" w:space="0"/>
            </w:tcBorders>
            <w:vAlign w:val="center"/>
          </w:tcPr>
          <w:p w14:paraId="106CB716">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7463AD24">
            <w:pPr>
              <w:widowControl/>
              <w:jc w:val="left"/>
              <w:rPr>
                <w:rFonts w:eastAsia="Times New Roman"/>
                <w:color w:val="auto"/>
                <w:kern w:val="0"/>
                <w:sz w:val="22"/>
                <w:szCs w:val="22"/>
              </w:rPr>
            </w:pPr>
          </w:p>
        </w:tc>
      </w:tr>
      <w:tr w14:paraId="3B6A3F63">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6ECEA3BF">
            <w:pPr>
              <w:widowControl/>
              <w:jc w:val="center"/>
              <w:rPr>
                <w:rFonts w:ascii="宋体" w:hAnsi="宋体"/>
                <w:color w:val="auto"/>
                <w:kern w:val="0"/>
                <w:sz w:val="22"/>
                <w:szCs w:val="22"/>
              </w:rPr>
            </w:pPr>
            <w:r>
              <w:rPr>
                <w:rFonts w:hint="eastAsia" w:ascii="宋体" w:hAnsi="宋体"/>
                <w:color w:val="auto"/>
                <w:kern w:val="0"/>
                <w:sz w:val="22"/>
                <w:szCs w:val="22"/>
              </w:rPr>
              <w:t>73</w:t>
            </w:r>
          </w:p>
        </w:tc>
        <w:tc>
          <w:tcPr>
            <w:tcW w:w="1440" w:type="dxa"/>
            <w:vMerge w:val="continue"/>
            <w:tcBorders>
              <w:top w:val="nil"/>
              <w:left w:val="nil"/>
              <w:bottom w:val="single" w:color="auto" w:sz="4" w:space="0"/>
              <w:right w:val="single" w:color="auto" w:sz="4" w:space="0"/>
            </w:tcBorders>
            <w:vAlign w:val="center"/>
          </w:tcPr>
          <w:p w14:paraId="634D390C">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5CE1E4FC">
            <w:pPr>
              <w:widowControl/>
              <w:jc w:val="left"/>
              <w:rPr>
                <w:rFonts w:ascii="宋体" w:hAnsi="宋体"/>
                <w:color w:val="auto"/>
                <w:kern w:val="0"/>
                <w:sz w:val="22"/>
                <w:szCs w:val="22"/>
              </w:rPr>
            </w:pPr>
            <w:r>
              <w:rPr>
                <w:rFonts w:hint="eastAsia" w:ascii="宋体" w:hAnsi="宋体"/>
                <w:color w:val="auto"/>
                <w:kern w:val="0"/>
                <w:sz w:val="22"/>
                <w:szCs w:val="22"/>
              </w:rPr>
              <w:t>机柜通信方式</w:t>
            </w:r>
          </w:p>
        </w:tc>
        <w:tc>
          <w:tcPr>
            <w:tcW w:w="4252" w:type="dxa"/>
            <w:tcBorders>
              <w:top w:val="nil"/>
              <w:left w:val="nil"/>
              <w:bottom w:val="single" w:color="auto" w:sz="4" w:space="0"/>
              <w:right w:val="single" w:color="auto" w:sz="4" w:space="0"/>
            </w:tcBorders>
            <w:vAlign w:val="center"/>
          </w:tcPr>
          <w:p w14:paraId="12E0B45B">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7C09E8A5">
            <w:pPr>
              <w:widowControl/>
              <w:jc w:val="left"/>
              <w:rPr>
                <w:rFonts w:eastAsia="Times New Roman"/>
                <w:color w:val="auto"/>
                <w:kern w:val="0"/>
                <w:sz w:val="22"/>
                <w:szCs w:val="22"/>
              </w:rPr>
            </w:pPr>
          </w:p>
        </w:tc>
      </w:tr>
      <w:tr w14:paraId="76426A03">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679707CA">
            <w:pPr>
              <w:widowControl/>
              <w:jc w:val="center"/>
              <w:rPr>
                <w:rFonts w:ascii="宋体" w:hAnsi="宋体"/>
                <w:color w:val="auto"/>
                <w:kern w:val="0"/>
                <w:sz w:val="22"/>
                <w:szCs w:val="22"/>
              </w:rPr>
            </w:pPr>
            <w:r>
              <w:rPr>
                <w:rFonts w:hint="eastAsia" w:ascii="宋体" w:hAnsi="宋体"/>
                <w:color w:val="auto"/>
                <w:kern w:val="0"/>
                <w:sz w:val="22"/>
                <w:szCs w:val="22"/>
              </w:rPr>
              <w:t>74</w:t>
            </w:r>
          </w:p>
        </w:tc>
        <w:tc>
          <w:tcPr>
            <w:tcW w:w="1440" w:type="dxa"/>
            <w:vMerge w:val="continue"/>
            <w:tcBorders>
              <w:top w:val="nil"/>
              <w:left w:val="nil"/>
              <w:bottom w:val="single" w:color="auto" w:sz="4" w:space="0"/>
              <w:right w:val="single" w:color="auto" w:sz="4" w:space="0"/>
            </w:tcBorders>
            <w:vAlign w:val="center"/>
          </w:tcPr>
          <w:p w14:paraId="40C8F89F">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3A099DAB">
            <w:pPr>
              <w:widowControl/>
              <w:jc w:val="left"/>
              <w:rPr>
                <w:rFonts w:ascii="宋体" w:hAnsi="宋体"/>
                <w:color w:val="auto"/>
                <w:kern w:val="0"/>
                <w:sz w:val="22"/>
                <w:szCs w:val="22"/>
              </w:rPr>
            </w:pPr>
            <w:r>
              <w:rPr>
                <w:rFonts w:hint="eastAsia" w:ascii="宋体" w:hAnsi="宋体"/>
                <w:color w:val="auto"/>
                <w:kern w:val="0"/>
                <w:sz w:val="22"/>
                <w:szCs w:val="22"/>
              </w:rPr>
              <w:t>多集群作业管理</w:t>
            </w:r>
          </w:p>
        </w:tc>
        <w:tc>
          <w:tcPr>
            <w:tcW w:w="4252" w:type="dxa"/>
            <w:tcBorders>
              <w:top w:val="nil"/>
              <w:left w:val="nil"/>
              <w:bottom w:val="single" w:color="auto" w:sz="4" w:space="0"/>
              <w:right w:val="single" w:color="auto" w:sz="4" w:space="0"/>
            </w:tcBorders>
            <w:vAlign w:val="center"/>
          </w:tcPr>
          <w:p w14:paraId="6F644064">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68F403EB">
            <w:pPr>
              <w:widowControl/>
              <w:jc w:val="left"/>
              <w:rPr>
                <w:rFonts w:eastAsia="Times New Roman"/>
                <w:color w:val="auto"/>
                <w:kern w:val="0"/>
                <w:sz w:val="22"/>
                <w:szCs w:val="22"/>
              </w:rPr>
            </w:pPr>
          </w:p>
        </w:tc>
      </w:tr>
      <w:tr w14:paraId="19F8450C">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1DD8DEDC">
            <w:pPr>
              <w:widowControl/>
              <w:jc w:val="center"/>
              <w:rPr>
                <w:rFonts w:ascii="宋体" w:hAnsi="宋体"/>
                <w:color w:val="auto"/>
                <w:kern w:val="0"/>
                <w:sz w:val="22"/>
                <w:szCs w:val="22"/>
              </w:rPr>
            </w:pPr>
            <w:r>
              <w:rPr>
                <w:rFonts w:hint="eastAsia" w:ascii="宋体" w:hAnsi="宋体"/>
                <w:color w:val="auto"/>
                <w:kern w:val="0"/>
                <w:sz w:val="22"/>
                <w:szCs w:val="22"/>
              </w:rPr>
              <w:t>75</w:t>
            </w:r>
          </w:p>
        </w:tc>
        <w:tc>
          <w:tcPr>
            <w:tcW w:w="1440" w:type="dxa"/>
            <w:tcBorders>
              <w:top w:val="nil"/>
              <w:left w:val="nil"/>
              <w:bottom w:val="single" w:color="auto" w:sz="4" w:space="0"/>
              <w:right w:val="single" w:color="auto" w:sz="4" w:space="0"/>
            </w:tcBorders>
            <w:vAlign w:val="center"/>
          </w:tcPr>
          <w:p w14:paraId="640138B1">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关键部件安全要求</w:t>
            </w:r>
          </w:p>
        </w:tc>
        <w:tc>
          <w:tcPr>
            <w:tcW w:w="2627" w:type="dxa"/>
            <w:tcBorders>
              <w:top w:val="nil"/>
              <w:left w:val="nil"/>
              <w:bottom w:val="single" w:color="auto" w:sz="4" w:space="0"/>
              <w:right w:val="single" w:color="auto" w:sz="4" w:space="0"/>
            </w:tcBorders>
            <w:vAlign w:val="center"/>
          </w:tcPr>
          <w:p w14:paraId="1CE82F6F">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关键部件安全要求3</w:t>
            </w:r>
          </w:p>
        </w:tc>
        <w:tc>
          <w:tcPr>
            <w:tcW w:w="4252" w:type="dxa"/>
            <w:tcBorders>
              <w:top w:val="nil"/>
              <w:left w:val="nil"/>
              <w:bottom w:val="single" w:color="auto" w:sz="4" w:space="0"/>
              <w:right w:val="single" w:color="auto" w:sz="4" w:space="0"/>
            </w:tcBorders>
            <w:vAlign w:val="center"/>
          </w:tcPr>
          <w:p w14:paraId="4A075EE6">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086C4777">
            <w:pPr>
              <w:widowControl/>
              <w:jc w:val="left"/>
              <w:rPr>
                <w:rFonts w:eastAsia="Times New Roman"/>
                <w:color w:val="auto"/>
                <w:kern w:val="0"/>
                <w:sz w:val="22"/>
                <w:szCs w:val="22"/>
              </w:rPr>
            </w:pPr>
          </w:p>
        </w:tc>
      </w:tr>
      <w:tr w14:paraId="6BD5F821">
        <w:tblPrEx>
          <w:tblCellMar>
            <w:top w:w="0" w:type="dxa"/>
            <w:left w:w="108" w:type="dxa"/>
            <w:bottom w:w="0" w:type="dxa"/>
            <w:right w:w="108" w:type="dxa"/>
          </w:tblCellMar>
        </w:tblPrEx>
        <w:trPr>
          <w:trHeight w:val="717" w:hRule="atLeast"/>
          <w:jc w:val="center"/>
        </w:trPr>
        <w:tc>
          <w:tcPr>
            <w:tcW w:w="779" w:type="dxa"/>
            <w:tcBorders>
              <w:top w:val="nil"/>
              <w:left w:val="single" w:color="auto" w:sz="4" w:space="0"/>
              <w:bottom w:val="single" w:color="auto" w:sz="4" w:space="0"/>
              <w:right w:val="single" w:color="auto" w:sz="4" w:space="0"/>
            </w:tcBorders>
            <w:vAlign w:val="center"/>
          </w:tcPr>
          <w:p w14:paraId="6AAD525B">
            <w:pPr>
              <w:widowControl/>
              <w:jc w:val="center"/>
              <w:rPr>
                <w:rFonts w:ascii="宋体" w:hAnsi="宋体"/>
                <w:color w:val="auto"/>
                <w:kern w:val="0"/>
                <w:sz w:val="22"/>
                <w:szCs w:val="22"/>
              </w:rPr>
            </w:pPr>
            <w:r>
              <w:rPr>
                <w:rFonts w:hint="eastAsia" w:ascii="宋体" w:hAnsi="宋体"/>
                <w:color w:val="auto"/>
                <w:kern w:val="0"/>
                <w:sz w:val="22"/>
                <w:szCs w:val="22"/>
              </w:rPr>
              <w:t>76</w:t>
            </w:r>
          </w:p>
        </w:tc>
        <w:tc>
          <w:tcPr>
            <w:tcW w:w="1440" w:type="dxa"/>
            <w:vMerge w:val="restart"/>
            <w:tcBorders>
              <w:top w:val="nil"/>
              <w:left w:val="nil"/>
              <w:bottom w:val="single" w:color="auto" w:sz="4" w:space="0"/>
              <w:right w:val="single" w:color="auto" w:sz="4" w:space="0"/>
            </w:tcBorders>
            <w:vAlign w:val="center"/>
          </w:tcPr>
          <w:p w14:paraId="66C2F0F2">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固件安全要求</w:t>
            </w:r>
          </w:p>
        </w:tc>
        <w:tc>
          <w:tcPr>
            <w:tcW w:w="2627" w:type="dxa"/>
            <w:tcBorders>
              <w:top w:val="nil"/>
              <w:left w:val="nil"/>
              <w:bottom w:val="single" w:color="auto" w:sz="4" w:space="0"/>
              <w:right w:val="single" w:color="auto" w:sz="4" w:space="0"/>
            </w:tcBorders>
            <w:vAlign w:val="center"/>
          </w:tcPr>
          <w:p w14:paraId="29F5A5C1">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故障检测</w:t>
            </w:r>
          </w:p>
        </w:tc>
        <w:tc>
          <w:tcPr>
            <w:tcW w:w="4252" w:type="dxa"/>
            <w:tcBorders>
              <w:top w:val="nil"/>
              <w:left w:val="nil"/>
              <w:bottom w:val="single" w:color="auto" w:sz="4" w:space="0"/>
              <w:right w:val="single" w:color="auto" w:sz="4" w:space="0"/>
            </w:tcBorders>
            <w:vAlign w:val="center"/>
          </w:tcPr>
          <w:p w14:paraId="2F2FD424">
            <w:pPr>
              <w:widowControl/>
              <w:jc w:val="left"/>
              <w:rPr>
                <w:rFonts w:ascii="宋体" w:hAnsi="宋体"/>
                <w:color w:val="auto"/>
                <w:kern w:val="0"/>
                <w:sz w:val="22"/>
                <w:szCs w:val="22"/>
              </w:rPr>
            </w:pPr>
            <w:r>
              <w:rPr>
                <w:rFonts w:hint="eastAsia" w:ascii="宋体" w:hAnsi="宋体"/>
                <w:color w:val="auto"/>
                <w:kern w:val="0"/>
                <w:sz w:val="22"/>
                <w:szCs w:val="22"/>
              </w:rPr>
              <w:t>支持故障检测功能，可以检测到具体的FRU（内存、硬盘等）的故障并发出告警</w:t>
            </w:r>
          </w:p>
        </w:tc>
        <w:tc>
          <w:tcPr>
            <w:tcW w:w="236" w:type="dxa"/>
            <w:vAlign w:val="center"/>
          </w:tcPr>
          <w:p w14:paraId="2F2A8DAF">
            <w:pPr>
              <w:widowControl/>
              <w:jc w:val="left"/>
              <w:rPr>
                <w:rFonts w:eastAsia="Times New Roman"/>
                <w:color w:val="auto"/>
                <w:kern w:val="0"/>
                <w:sz w:val="22"/>
                <w:szCs w:val="22"/>
              </w:rPr>
            </w:pPr>
          </w:p>
        </w:tc>
      </w:tr>
      <w:tr w14:paraId="0AA20029">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0BDBF49F">
            <w:pPr>
              <w:widowControl/>
              <w:jc w:val="center"/>
              <w:rPr>
                <w:rFonts w:ascii="宋体" w:hAnsi="宋体"/>
                <w:color w:val="auto"/>
                <w:kern w:val="0"/>
                <w:sz w:val="22"/>
                <w:szCs w:val="22"/>
              </w:rPr>
            </w:pPr>
            <w:r>
              <w:rPr>
                <w:rFonts w:hint="eastAsia" w:ascii="宋体" w:hAnsi="宋体"/>
                <w:color w:val="auto"/>
                <w:kern w:val="0"/>
                <w:sz w:val="22"/>
                <w:szCs w:val="22"/>
              </w:rPr>
              <w:t>77</w:t>
            </w:r>
          </w:p>
        </w:tc>
        <w:tc>
          <w:tcPr>
            <w:tcW w:w="1440" w:type="dxa"/>
            <w:vMerge w:val="continue"/>
            <w:tcBorders>
              <w:top w:val="nil"/>
              <w:left w:val="nil"/>
              <w:bottom w:val="single" w:color="auto" w:sz="4" w:space="0"/>
              <w:right w:val="single" w:color="auto" w:sz="4" w:space="0"/>
            </w:tcBorders>
            <w:vAlign w:val="center"/>
          </w:tcPr>
          <w:p w14:paraId="5C8F735E">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0E31B32A">
            <w:pPr>
              <w:widowControl/>
              <w:jc w:val="left"/>
              <w:rPr>
                <w:rFonts w:ascii="宋体" w:hAnsi="宋体"/>
                <w:color w:val="auto"/>
                <w:kern w:val="0"/>
                <w:sz w:val="22"/>
                <w:szCs w:val="22"/>
              </w:rPr>
            </w:pPr>
            <w:r>
              <w:rPr>
                <w:rFonts w:hint="eastAsia" w:ascii="宋体" w:hAnsi="宋体"/>
                <w:color w:val="auto"/>
                <w:kern w:val="0"/>
                <w:sz w:val="22"/>
                <w:szCs w:val="22"/>
              </w:rPr>
              <w:t>内存故障智能预测和自愈修复</w:t>
            </w:r>
          </w:p>
        </w:tc>
        <w:tc>
          <w:tcPr>
            <w:tcW w:w="4252" w:type="dxa"/>
            <w:tcBorders>
              <w:top w:val="nil"/>
              <w:left w:val="nil"/>
              <w:bottom w:val="single" w:color="auto" w:sz="4" w:space="0"/>
              <w:right w:val="single" w:color="auto" w:sz="4" w:space="0"/>
            </w:tcBorders>
            <w:vAlign w:val="center"/>
          </w:tcPr>
          <w:p w14:paraId="4C356F52">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54ADC265">
            <w:pPr>
              <w:widowControl/>
              <w:jc w:val="left"/>
              <w:rPr>
                <w:rFonts w:eastAsia="Times New Roman"/>
                <w:color w:val="auto"/>
                <w:kern w:val="0"/>
                <w:sz w:val="22"/>
                <w:szCs w:val="22"/>
              </w:rPr>
            </w:pPr>
          </w:p>
        </w:tc>
      </w:tr>
      <w:tr w14:paraId="6A054821">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6039E5BB">
            <w:pPr>
              <w:widowControl/>
              <w:jc w:val="center"/>
              <w:rPr>
                <w:rFonts w:ascii="宋体" w:hAnsi="宋体"/>
                <w:color w:val="auto"/>
                <w:kern w:val="0"/>
                <w:sz w:val="22"/>
                <w:szCs w:val="22"/>
              </w:rPr>
            </w:pPr>
            <w:r>
              <w:rPr>
                <w:rFonts w:hint="eastAsia" w:ascii="宋体" w:hAnsi="宋体"/>
                <w:color w:val="auto"/>
                <w:kern w:val="0"/>
                <w:sz w:val="22"/>
                <w:szCs w:val="22"/>
              </w:rPr>
              <w:t>78</w:t>
            </w:r>
          </w:p>
        </w:tc>
        <w:tc>
          <w:tcPr>
            <w:tcW w:w="1440" w:type="dxa"/>
            <w:vMerge w:val="continue"/>
            <w:tcBorders>
              <w:top w:val="nil"/>
              <w:left w:val="nil"/>
              <w:bottom w:val="single" w:color="auto" w:sz="4" w:space="0"/>
              <w:right w:val="single" w:color="auto" w:sz="4" w:space="0"/>
            </w:tcBorders>
            <w:vAlign w:val="center"/>
          </w:tcPr>
          <w:p w14:paraId="35F0B96A">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6A0BE20A">
            <w:pPr>
              <w:widowControl/>
              <w:jc w:val="left"/>
              <w:rPr>
                <w:rFonts w:ascii="宋体" w:hAnsi="宋体"/>
                <w:color w:val="auto"/>
                <w:kern w:val="0"/>
                <w:sz w:val="22"/>
                <w:szCs w:val="22"/>
              </w:rPr>
            </w:pPr>
            <w:r>
              <w:rPr>
                <w:rFonts w:hint="eastAsia" w:ascii="宋体" w:hAnsi="宋体"/>
                <w:color w:val="auto"/>
                <w:kern w:val="0"/>
                <w:sz w:val="22"/>
                <w:szCs w:val="22"/>
              </w:rPr>
              <w:t>硬盘故障智能预测</w:t>
            </w:r>
          </w:p>
        </w:tc>
        <w:tc>
          <w:tcPr>
            <w:tcW w:w="4252" w:type="dxa"/>
            <w:tcBorders>
              <w:top w:val="nil"/>
              <w:left w:val="nil"/>
              <w:bottom w:val="single" w:color="auto" w:sz="4" w:space="0"/>
              <w:right w:val="single" w:color="auto" w:sz="4" w:space="0"/>
            </w:tcBorders>
            <w:vAlign w:val="center"/>
          </w:tcPr>
          <w:p w14:paraId="32EF6A73">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0A258965">
            <w:pPr>
              <w:widowControl/>
              <w:jc w:val="left"/>
              <w:rPr>
                <w:rFonts w:eastAsia="Times New Roman"/>
                <w:color w:val="auto"/>
                <w:kern w:val="0"/>
                <w:sz w:val="22"/>
                <w:szCs w:val="22"/>
              </w:rPr>
            </w:pPr>
          </w:p>
        </w:tc>
      </w:tr>
      <w:tr w14:paraId="66D3AAE4">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06E189E4">
            <w:pPr>
              <w:widowControl/>
              <w:jc w:val="center"/>
              <w:rPr>
                <w:rFonts w:ascii="宋体" w:hAnsi="宋体"/>
                <w:color w:val="auto"/>
                <w:kern w:val="0"/>
                <w:sz w:val="22"/>
                <w:szCs w:val="22"/>
              </w:rPr>
            </w:pPr>
            <w:r>
              <w:rPr>
                <w:rFonts w:hint="eastAsia" w:ascii="宋体" w:hAnsi="宋体"/>
                <w:color w:val="auto"/>
                <w:kern w:val="0"/>
                <w:sz w:val="22"/>
                <w:szCs w:val="22"/>
              </w:rPr>
              <w:t>79</w:t>
            </w:r>
          </w:p>
        </w:tc>
        <w:tc>
          <w:tcPr>
            <w:tcW w:w="1440" w:type="dxa"/>
            <w:vMerge w:val="continue"/>
            <w:tcBorders>
              <w:top w:val="nil"/>
              <w:left w:val="nil"/>
              <w:bottom w:val="single" w:color="auto" w:sz="4" w:space="0"/>
              <w:right w:val="single" w:color="auto" w:sz="4" w:space="0"/>
            </w:tcBorders>
            <w:vAlign w:val="center"/>
          </w:tcPr>
          <w:p w14:paraId="300FCBB3">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2A72EF99">
            <w:pPr>
              <w:widowControl/>
              <w:jc w:val="left"/>
              <w:rPr>
                <w:rFonts w:ascii="宋体" w:hAnsi="宋体"/>
                <w:color w:val="auto"/>
                <w:kern w:val="0"/>
                <w:sz w:val="22"/>
                <w:szCs w:val="22"/>
              </w:rPr>
            </w:pPr>
            <w:r>
              <w:rPr>
                <w:rFonts w:hint="eastAsia" w:ascii="宋体" w:hAnsi="宋体"/>
                <w:color w:val="auto"/>
                <w:kern w:val="0"/>
                <w:sz w:val="22"/>
                <w:szCs w:val="22"/>
              </w:rPr>
              <w:t>PCIe链路故障智能诊断</w:t>
            </w:r>
          </w:p>
        </w:tc>
        <w:tc>
          <w:tcPr>
            <w:tcW w:w="4252" w:type="dxa"/>
            <w:tcBorders>
              <w:top w:val="nil"/>
              <w:left w:val="nil"/>
              <w:bottom w:val="single" w:color="auto" w:sz="4" w:space="0"/>
              <w:right w:val="single" w:color="auto" w:sz="4" w:space="0"/>
            </w:tcBorders>
            <w:vAlign w:val="center"/>
          </w:tcPr>
          <w:p w14:paraId="5F3E74AB">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013EA266">
            <w:pPr>
              <w:widowControl/>
              <w:jc w:val="left"/>
              <w:rPr>
                <w:rFonts w:eastAsia="Times New Roman"/>
                <w:color w:val="auto"/>
                <w:kern w:val="0"/>
                <w:sz w:val="22"/>
                <w:szCs w:val="22"/>
              </w:rPr>
            </w:pPr>
          </w:p>
        </w:tc>
      </w:tr>
      <w:tr w14:paraId="7F5FDBFB">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6F5FB535">
            <w:pPr>
              <w:widowControl/>
              <w:jc w:val="center"/>
              <w:rPr>
                <w:rFonts w:ascii="宋体" w:hAnsi="宋体"/>
                <w:color w:val="auto"/>
                <w:kern w:val="0"/>
                <w:sz w:val="22"/>
                <w:szCs w:val="22"/>
              </w:rPr>
            </w:pPr>
            <w:r>
              <w:rPr>
                <w:rFonts w:hint="eastAsia" w:ascii="宋体" w:hAnsi="宋体"/>
                <w:color w:val="auto"/>
                <w:kern w:val="0"/>
                <w:sz w:val="22"/>
                <w:szCs w:val="22"/>
              </w:rPr>
              <w:t>80</w:t>
            </w:r>
          </w:p>
        </w:tc>
        <w:tc>
          <w:tcPr>
            <w:tcW w:w="1440" w:type="dxa"/>
            <w:vMerge w:val="continue"/>
            <w:tcBorders>
              <w:top w:val="nil"/>
              <w:left w:val="nil"/>
              <w:bottom w:val="single" w:color="auto" w:sz="4" w:space="0"/>
              <w:right w:val="single" w:color="auto" w:sz="4" w:space="0"/>
            </w:tcBorders>
            <w:vAlign w:val="center"/>
          </w:tcPr>
          <w:p w14:paraId="36C851B7">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0B8326CF">
            <w:pPr>
              <w:widowControl/>
              <w:jc w:val="left"/>
              <w:rPr>
                <w:rFonts w:ascii="宋体" w:hAnsi="宋体"/>
                <w:color w:val="auto"/>
                <w:kern w:val="0"/>
                <w:sz w:val="22"/>
                <w:szCs w:val="22"/>
              </w:rPr>
            </w:pPr>
            <w:r>
              <w:rPr>
                <w:rFonts w:hint="eastAsia" w:ascii="宋体" w:hAnsi="宋体"/>
                <w:color w:val="auto"/>
                <w:kern w:val="0"/>
                <w:sz w:val="22"/>
                <w:szCs w:val="22"/>
              </w:rPr>
              <w:t>内存故障隔离</w:t>
            </w:r>
          </w:p>
        </w:tc>
        <w:tc>
          <w:tcPr>
            <w:tcW w:w="4252" w:type="dxa"/>
            <w:tcBorders>
              <w:top w:val="nil"/>
              <w:left w:val="nil"/>
              <w:bottom w:val="single" w:color="auto" w:sz="4" w:space="0"/>
              <w:right w:val="single" w:color="auto" w:sz="4" w:space="0"/>
            </w:tcBorders>
            <w:vAlign w:val="center"/>
          </w:tcPr>
          <w:p w14:paraId="1B5FC731">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2A28B0AD">
            <w:pPr>
              <w:widowControl/>
              <w:jc w:val="left"/>
              <w:rPr>
                <w:rFonts w:eastAsia="Times New Roman"/>
                <w:color w:val="auto"/>
                <w:kern w:val="0"/>
                <w:sz w:val="22"/>
                <w:szCs w:val="22"/>
              </w:rPr>
            </w:pPr>
          </w:p>
        </w:tc>
      </w:tr>
      <w:tr w14:paraId="418400E6">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49C04939">
            <w:pPr>
              <w:widowControl/>
              <w:jc w:val="center"/>
              <w:rPr>
                <w:rFonts w:ascii="宋体" w:hAnsi="宋体"/>
                <w:color w:val="auto"/>
                <w:kern w:val="0"/>
                <w:sz w:val="22"/>
                <w:szCs w:val="22"/>
              </w:rPr>
            </w:pPr>
            <w:r>
              <w:rPr>
                <w:rFonts w:hint="eastAsia" w:ascii="宋体" w:hAnsi="宋体"/>
                <w:color w:val="auto"/>
                <w:kern w:val="0"/>
                <w:sz w:val="22"/>
                <w:szCs w:val="22"/>
              </w:rPr>
              <w:t>81</w:t>
            </w:r>
          </w:p>
        </w:tc>
        <w:tc>
          <w:tcPr>
            <w:tcW w:w="1440" w:type="dxa"/>
            <w:vMerge w:val="continue"/>
            <w:tcBorders>
              <w:top w:val="nil"/>
              <w:left w:val="nil"/>
              <w:bottom w:val="single" w:color="auto" w:sz="4" w:space="0"/>
              <w:right w:val="single" w:color="auto" w:sz="4" w:space="0"/>
            </w:tcBorders>
            <w:vAlign w:val="center"/>
          </w:tcPr>
          <w:p w14:paraId="105D87D6">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0272DE41">
            <w:pPr>
              <w:widowControl/>
              <w:jc w:val="left"/>
              <w:rPr>
                <w:rFonts w:ascii="宋体" w:hAnsi="宋体"/>
                <w:color w:val="auto"/>
                <w:kern w:val="0"/>
                <w:sz w:val="22"/>
                <w:szCs w:val="22"/>
              </w:rPr>
            </w:pPr>
            <w:r>
              <w:rPr>
                <w:rFonts w:hint="eastAsia" w:ascii="宋体" w:hAnsi="宋体"/>
                <w:color w:val="auto"/>
                <w:kern w:val="0"/>
                <w:sz w:val="22"/>
                <w:szCs w:val="22"/>
              </w:rPr>
              <w:t>内存、PCIe卡的故障精准告警功能</w:t>
            </w:r>
          </w:p>
        </w:tc>
        <w:tc>
          <w:tcPr>
            <w:tcW w:w="4252" w:type="dxa"/>
            <w:tcBorders>
              <w:top w:val="nil"/>
              <w:left w:val="nil"/>
              <w:bottom w:val="single" w:color="auto" w:sz="4" w:space="0"/>
              <w:right w:val="single" w:color="auto" w:sz="4" w:space="0"/>
            </w:tcBorders>
            <w:vAlign w:val="center"/>
          </w:tcPr>
          <w:p w14:paraId="2395A4AB">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1374617D">
            <w:pPr>
              <w:widowControl/>
              <w:jc w:val="left"/>
              <w:rPr>
                <w:rFonts w:eastAsia="Times New Roman"/>
                <w:color w:val="auto"/>
                <w:kern w:val="0"/>
                <w:sz w:val="22"/>
                <w:szCs w:val="22"/>
              </w:rPr>
            </w:pPr>
          </w:p>
        </w:tc>
      </w:tr>
      <w:tr w14:paraId="2EE3DDAA">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6A01BEFE">
            <w:pPr>
              <w:widowControl/>
              <w:jc w:val="center"/>
              <w:rPr>
                <w:rFonts w:ascii="宋体" w:hAnsi="宋体"/>
                <w:color w:val="auto"/>
                <w:kern w:val="0"/>
                <w:sz w:val="22"/>
                <w:szCs w:val="22"/>
              </w:rPr>
            </w:pPr>
            <w:r>
              <w:rPr>
                <w:rFonts w:hint="eastAsia" w:ascii="宋体" w:hAnsi="宋体"/>
                <w:color w:val="auto"/>
                <w:kern w:val="0"/>
                <w:sz w:val="22"/>
                <w:szCs w:val="22"/>
              </w:rPr>
              <w:t>82</w:t>
            </w:r>
          </w:p>
        </w:tc>
        <w:tc>
          <w:tcPr>
            <w:tcW w:w="1440" w:type="dxa"/>
            <w:vMerge w:val="continue"/>
            <w:tcBorders>
              <w:top w:val="nil"/>
              <w:left w:val="nil"/>
              <w:bottom w:val="single" w:color="auto" w:sz="4" w:space="0"/>
              <w:right w:val="single" w:color="auto" w:sz="4" w:space="0"/>
            </w:tcBorders>
            <w:vAlign w:val="center"/>
          </w:tcPr>
          <w:p w14:paraId="3F5C77D0">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70102EEE">
            <w:pPr>
              <w:widowControl/>
              <w:jc w:val="left"/>
              <w:rPr>
                <w:rFonts w:ascii="宋体" w:hAnsi="宋体"/>
                <w:color w:val="auto"/>
                <w:kern w:val="0"/>
                <w:sz w:val="22"/>
                <w:szCs w:val="22"/>
              </w:rPr>
            </w:pPr>
            <w:r>
              <w:rPr>
                <w:rFonts w:hint="eastAsia" w:ascii="宋体" w:hAnsi="宋体"/>
                <w:color w:val="auto"/>
                <w:kern w:val="0"/>
                <w:sz w:val="22"/>
                <w:szCs w:val="22"/>
              </w:rPr>
              <w:t>异常下电关键数据保护</w:t>
            </w:r>
          </w:p>
        </w:tc>
        <w:tc>
          <w:tcPr>
            <w:tcW w:w="4252" w:type="dxa"/>
            <w:tcBorders>
              <w:top w:val="nil"/>
              <w:left w:val="nil"/>
              <w:bottom w:val="single" w:color="auto" w:sz="4" w:space="0"/>
              <w:right w:val="single" w:color="auto" w:sz="4" w:space="0"/>
            </w:tcBorders>
            <w:vAlign w:val="center"/>
          </w:tcPr>
          <w:p w14:paraId="693A732A">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5D4A3BB5">
            <w:pPr>
              <w:widowControl/>
              <w:jc w:val="left"/>
              <w:rPr>
                <w:rFonts w:eastAsia="Times New Roman"/>
                <w:color w:val="auto"/>
                <w:kern w:val="0"/>
                <w:sz w:val="22"/>
                <w:szCs w:val="22"/>
              </w:rPr>
            </w:pPr>
          </w:p>
        </w:tc>
      </w:tr>
      <w:tr w14:paraId="0E7D36BF">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1174CE40">
            <w:pPr>
              <w:widowControl/>
              <w:jc w:val="center"/>
              <w:rPr>
                <w:rFonts w:ascii="宋体" w:hAnsi="宋体"/>
                <w:color w:val="auto"/>
                <w:kern w:val="0"/>
                <w:sz w:val="22"/>
                <w:szCs w:val="22"/>
              </w:rPr>
            </w:pPr>
            <w:r>
              <w:rPr>
                <w:rFonts w:hint="eastAsia" w:ascii="宋体" w:hAnsi="宋体"/>
                <w:color w:val="auto"/>
                <w:kern w:val="0"/>
                <w:sz w:val="22"/>
                <w:szCs w:val="22"/>
              </w:rPr>
              <w:t>83</w:t>
            </w:r>
          </w:p>
        </w:tc>
        <w:tc>
          <w:tcPr>
            <w:tcW w:w="1440" w:type="dxa"/>
            <w:vMerge w:val="continue"/>
            <w:tcBorders>
              <w:top w:val="nil"/>
              <w:left w:val="nil"/>
              <w:bottom w:val="single" w:color="auto" w:sz="4" w:space="0"/>
              <w:right w:val="single" w:color="auto" w:sz="4" w:space="0"/>
            </w:tcBorders>
            <w:vAlign w:val="center"/>
          </w:tcPr>
          <w:p w14:paraId="5138632B">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21E85D30">
            <w:pPr>
              <w:widowControl/>
              <w:jc w:val="left"/>
              <w:rPr>
                <w:rFonts w:ascii="宋体" w:hAnsi="宋体"/>
                <w:color w:val="auto"/>
                <w:kern w:val="0"/>
                <w:sz w:val="22"/>
                <w:szCs w:val="22"/>
              </w:rPr>
            </w:pPr>
            <w:r>
              <w:rPr>
                <w:rFonts w:hint="eastAsia" w:ascii="宋体" w:hAnsi="宋体"/>
                <w:color w:val="auto"/>
                <w:kern w:val="0"/>
                <w:sz w:val="22"/>
                <w:szCs w:val="22"/>
              </w:rPr>
              <w:t>BMC/BIOS固件双镜像保护</w:t>
            </w:r>
          </w:p>
        </w:tc>
        <w:tc>
          <w:tcPr>
            <w:tcW w:w="4252" w:type="dxa"/>
            <w:tcBorders>
              <w:top w:val="nil"/>
              <w:left w:val="nil"/>
              <w:bottom w:val="single" w:color="auto" w:sz="4" w:space="0"/>
              <w:right w:val="single" w:color="auto" w:sz="4" w:space="0"/>
            </w:tcBorders>
            <w:vAlign w:val="center"/>
          </w:tcPr>
          <w:p w14:paraId="52C86F66">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0DF57C38">
            <w:pPr>
              <w:widowControl/>
              <w:jc w:val="left"/>
              <w:rPr>
                <w:rFonts w:eastAsia="Times New Roman"/>
                <w:color w:val="auto"/>
                <w:kern w:val="0"/>
                <w:sz w:val="22"/>
                <w:szCs w:val="22"/>
              </w:rPr>
            </w:pPr>
          </w:p>
        </w:tc>
      </w:tr>
      <w:tr w14:paraId="782E7C2A">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577C7466">
            <w:pPr>
              <w:widowControl/>
              <w:jc w:val="center"/>
              <w:rPr>
                <w:rFonts w:ascii="宋体" w:hAnsi="宋体"/>
                <w:color w:val="auto"/>
                <w:kern w:val="0"/>
                <w:sz w:val="22"/>
                <w:szCs w:val="22"/>
              </w:rPr>
            </w:pPr>
            <w:r>
              <w:rPr>
                <w:rFonts w:hint="eastAsia" w:ascii="宋体" w:hAnsi="宋体"/>
                <w:color w:val="auto"/>
                <w:kern w:val="0"/>
                <w:sz w:val="22"/>
                <w:szCs w:val="22"/>
              </w:rPr>
              <w:t>84</w:t>
            </w:r>
          </w:p>
        </w:tc>
        <w:tc>
          <w:tcPr>
            <w:tcW w:w="1440" w:type="dxa"/>
            <w:vMerge w:val="continue"/>
            <w:tcBorders>
              <w:top w:val="nil"/>
              <w:left w:val="nil"/>
              <w:bottom w:val="single" w:color="auto" w:sz="4" w:space="0"/>
              <w:right w:val="single" w:color="auto" w:sz="4" w:space="0"/>
            </w:tcBorders>
            <w:vAlign w:val="center"/>
          </w:tcPr>
          <w:p w14:paraId="67885057">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23D54B38">
            <w:pPr>
              <w:widowControl/>
              <w:jc w:val="left"/>
              <w:rPr>
                <w:rFonts w:ascii="宋体" w:hAnsi="宋体"/>
                <w:color w:val="auto"/>
                <w:kern w:val="0"/>
                <w:sz w:val="22"/>
                <w:szCs w:val="22"/>
              </w:rPr>
            </w:pPr>
            <w:r>
              <w:rPr>
                <w:rFonts w:hint="eastAsia" w:ascii="宋体" w:hAnsi="宋体"/>
                <w:color w:val="auto"/>
                <w:kern w:val="0"/>
                <w:sz w:val="22"/>
                <w:szCs w:val="22"/>
              </w:rPr>
              <w:t>CPU核重启隔离</w:t>
            </w:r>
          </w:p>
        </w:tc>
        <w:tc>
          <w:tcPr>
            <w:tcW w:w="4252" w:type="dxa"/>
            <w:tcBorders>
              <w:top w:val="nil"/>
              <w:left w:val="nil"/>
              <w:bottom w:val="single" w:color="auto" w:sz="4" w:space="0"/>
              <w:right w:val="single" w:color="auto" w:sz="4" w:space="0"/>
            </w:tcBorders>
            <w:vAlign w:val="center"/>
          </w:tcPr>
          <w:p w14:paraId="39A6B2BA">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79423535">
            <w:pPr>
              <w:widowControl/>
              <w:jc w:val="left"/>
              <w:rPr>
                <w:rFonts w:eastAsia="Times New Roman"/>
                <w:color w:val="auto"/>
                <w:kern w:val="0"/>
                <w:sz w:val="22"/>
                <w:szCs w:val="22"/>
              </w:rPr>
            </w:pPr>
          </w:p>
        </w:tc>
      </w:tr>
      <w:tr w14:paraId="318CE331">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2444D995">
            <w:pPr>
              <w:widowControl/>
              <w:jc w:val="center"/>
              <w:rPr>
                <w:rFonts w:ascii="宋体" w:hAnsi="宋体"/>
                <w:color w:val="auto"/>
                <w:kern w:val="0"/>
                <w:sz w:val="22"/>
                <w:szCs w:val="22"/>
              </w:rPr>
            </w:pPr>
            <w:r>
              <w:rPr>
                <w:rFonts w:hint="eastAsia" w:ascii="宋体" w:hAnsi="宋体"/>
                <w:color w:val="auto"/>
                <w:kern w:val="0"/>
                <w:sz w:val="22"/>
                <w:szCs w:val="22"/>
              </w:rPr>
              <w:t>85</w:t>
            </w:r>
          </w:p>
        </w:tc>
        <w:tc>
          <w:tcPr>
            <w:tcW w:w="1440" w:type="dxa"/>
            <w:vMerge w:val="continue"/>
            <w:tcBorders>
              <w:top w:val="nil"/>
              <w:left w:val="nil"/>
              <w:bottom w:val="single" w:color="auto" w:sz="4" w:space="0"/>
              <w:right w:val="single" w:color="auto" w:sz="4" w:space="0"/>
            </w:tcBorders>
            <w:vAlign w:val="center"/>
          </w:tcPr>
          <w:p w14:paraId="47D3D8FA">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4C294CD7">
            <w:pPr>
              <w:widowControl/>
              <w:jc w:val="left"/>
              <w:rPr>
                <w:rFonts w:ascii="宋体" w:hAnsi="宋体"/>
                <w:color w:val="auto"/>
                <w:kern w:val="0"/>
                <w:sz w:val="22"/>
                <w:szCs w:val="22"/>
              </w:rPr>
            </w:pPr>
            <w:r>
              <w:rPr>
                <w:rFonts w:hint="eastAsia" w:ascii="宋体" w:hAnsi="宋体"/>
                <w:color w:val="auto"/>
                <w:kern w:val="0"/>
                <w:sz w:val="22"/>
                <w:szCs w:val="22"/>
              </w:rPr>
              <w:t>内存地址隔离</w:t>
            </w:r>
          </w:p>
        </w:tc>
        <w:tc>
          <w:tcPr>
            <w:tcW w:w="4252" w:type="dxa"/>
            <w:tcBorders>
              <w:top w:val="nil"/>
              <w:left w:val="nil"/>
              <w:bottom w:val="single" w:color="auto" w:sz="4" w:space="0"/>
              <w:right w:val="single" w:color="auto" w:sz="4" w:space="0"/>
            </w:tcBorders>
            <w:vAlign w:val="center"/>
          </w:tcPr>
          <w:p w14:paraId="74AECC41">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2BA07B7F">
            <w:pPr>
              <w:widowControl/>
              <w:jc w:val="left"/>
              <w:rPr>
                <w:rFonts w:eastAsia="Times New Roman"/>
                <w:color w:val="auto"/>
                <w:kern w:val="0"/>
                <w:sz w:val="22"/>
                <w:szCs w:val="22"/>
              </w:rPr>
            </w:pPr>
          </w:p>
        </w:tc>
      </w:tr>
      <w:tr w14:paraId="5A7D3525">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1784C1DF">
            <w:pPr>
              <w:widowControl/>
              <w:jc w:val="center"/>
              <w:rPr>
                <w:rFonts w:ascii="宋体" w:hAnsi="宋体"/>
                <w:color w:val="auto"/>
                <w:kern w:val="0"/>
                <w:sz w:val="22"/>
                <w:szCs w:val="22"/>
              </w:rPr>
            </w:pPr>
            <w:r>
              <w:rPr>
                <w:rFonts w:hint="eastAsia" w:ascii="宋体" w:hAnsi="宋体"/>
                <w:color w:val="auto"/>
                <w:kern w:val="0"/>
                <w:sz w:val="22"/>
                <w:szCs w:val="22"/>
              </w:rPr>
              <w:t>86</w:t>
            </w:r>
          </w:p>
        </w:tc>
        <w:tc>
          <w:tcPr>
            <w:tcW w:w="1440" w:type="dxa"/>
            <w:vMerge w:val="continue"/>
            <w:tcBorders>
              <w:top w:val="nil"/>
              <w:left w:val="nil"/>
              <w:bottom w:val="single" w:color="auto" w:sz="4" w:space="0"/>
              <w:right w:val="single" w:color="auto" w:sz="4" w:space="0"/>
            </w:tcBorders>
            <w:vAlign w:val="center"/>
          </w:tcPr>
          <w:p w14:paraId="3D33C661">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069DCD76">
            <w:pPr>
              <w:widowControl/>
              <w:jc w:val="left"/>
              <w:rPr>
                <w:rFonts w:ascii="宋体" w:hAnsi="宋体"/>
                <w:color w:val="auto"/>
                <w:kern w:val="0"/>
                <w:sz w:val="22"/>
                <w:szCs w:val="22"/>
              </w:rPr>
            </w:pPr>
            <w:r>
              <w:rPr>
                <w:rFonts w:hint="eastAsia" w:ascii="宋体" w:hAnsi="宋体"/>
                <w:color w:val="auto"/>
                <w:kern w:val="0"/>
                <w:sz w:val="22"/>
                <w:szCs w:val="22"/>
              </w:rPr>
              <w:t>内存存储阵列替换</w:t>
            </w:r>
          </w:p>
        </w:tc>
        <w:tc>
          <w:tcPr>
            <w:tcW w:w="4252" w:type="dxa"/>
            <w:tcBorders>
              <w:top w:val="nil"/>
              <w:left w:val="nil"/>
              <w:bottom w:val="single" w:color="auto" w:sz="4" w:space="0"/>
              <w:right w:val="single" w:color="auto" w:sz="4" w:space="0"/>
            </w:tcBorders>
            <w:vAlign w:val="center"/>
          </w:tcPr>
          <w:p w14:paraId="383333D1">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01BF4F1A">
            <w:pPr>
              <w:widowControl/>
              <w:jc w:val="left"/>
              <w:rPr>
                <w:rFonts w:eastAsia="Times New Roman"/>
                <w:color w:val="auto"/>
                <w:kern w:val="0"/>
                <w:sz w:val="22"/>
                <w:szCs w:val="22"/>
              </w:rPr>
            </w:pPr>
          </w:p>
        </w:tc>
      </w:tr>
      <w:tr w14:paraId="2B634E8B">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5EC620D4">
            <w:pPr>
              <w:widowControl/>
              <w:jc w:val="center"/>
              <w:rPr>
                <w:rFonts w:ascii="宋体" w:hAnsi="宋体"/>
                <w:color w:val="auto"/>
                <w:kern w:val="0"/>
                <w:sz w:val="22"/>
                <w:szCs w:val="22"/>
              </w:rPr>
            </w:pPr>
            <w:r>
              <w:rPr>
                <w:rFonts w:hint="eastAsia" w:ascii="宋体" w:hAnsi="宋体"/>
                <w:color w:val="auto"/>
                <w:kern w:val="0"/>
                <w:sz w:val="22"/>
                <w:szCs w:val="22"/>
              </w:rPr>
              <w:t>87</w:t>
            </w:r>
          </w:p>
        </w:tc>
        <w:tc>
          <w:tcPr>
            <w:tcW w:w="1440" w:type="dxa"/>
            <w:vMerge w:val="continue"/>
            <w:tcBorders>
              <w:top w:val="nil"/>
              <w:left w:val="nil"/>
              <w:bottom w:val="single" w:color="auto" w:sz="4" w:space="0"/>
              <w:right w:val="single" w:color="auto" w:sz="4" w:space="0"/>
            </w:tcBorders>
            <w:vAlign w:val="center"/>
          </w:tcPr>
          <w:p w14:paraId="162B76BF">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4D446ACC">
            <w:pPr>
              <w:widowControl/>
              <w:jc w:val="left"/>
              <w:rPr>
                <w:rFonts w:ascii="宋体" w:hAnsi="宋体"/>
                <w:color w:val="auto"/>
                <w:kern w:val="0"/>
                <w:sz w:val="22"/>
                <w:szCs w:val="22"/>
              </w:rPr>
            </w:pPr>
            <w:r>
              <w:rPr>
                <w:rFonts w:hint="eastAsia" w:ascii="宋体" w:hAnsi="宋体"/>
                <w:color w:val="auto"/>
                <w:kern w:val="0"/>
                <w:sz w:val="22"/>
                <w:szCs w:val="22"/>
              </w:rPr>
              <w:t>安全启动</w:t>
            </w:r>
          </w:p>
        </w:tc>
        <w:tc>
          <w:tcPr>
            <w:tcW w:w="4252" w:type="dxa"/>
            <w:tcBorders>
              <w:top w:val="nil"/>
              <w:left w:val="nil"/>
              <w:bottom w:val="single" w:color="auto" w:sz="4" w:space="0"/>
              <w:right w:val="single" w:color="auto" w:sz="4" w:space="0"/>
            </w:tcBorders>
            <w:vAlign w:val="center"/>
          </w:tcPr>
          <w:p w14:paraId="4DAEE8C0">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33F3486B">
            <w:pPr>
              <w:widowControl/>
              <w:jc w:val="left"/>
              <w:rPr>
                <w:rFonts w:eastAsia="Times New Roman"/>
                <w:color w:val="auto"/>
                <w:kern w:val="0"/>
                <w:sz w:val="22"/>
                <w:szCs w:val="22"/>
              </w:rPr>
            </w:pPr>
          </w:p>
        </w:tc>
      </w:tr>
      <w:tr w14:paraId="111408E9">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24567B1A">
            <w:pPr>
              <w:widowControl/>
              <w:jc w:val="center"/>
              <w:rPr>
                <w:rFonts w:ascii="宋体" w:hAnsi="宋体"/>
                <w:color w:val="auto"/>
                <w:kern w:val="0"/>
                <w:sz w:val="22"/>
                <w:szCs w:val="22"/>
              </w:rPr>
            </w:pPr>
            <w:r>
              <w:rPr>
                <w:rFonts w:hint="eastAsia" w:ascii="宋体" w:hAnsi="宋体"/>
                <w:color w:val="auto"/>
                <w:kern w:val="0"/>
                <w:sz w:val="22"/>
                <w:szCs w:val="22"/>
              </w:rPr>
              <w:t>88</w:t>
            </w:r>
          </w:p>
        </w:tc>
        <w:tc>
          <w:tcPr>
            <w:tcW w:w="1440" w:type="dxa"/>
            <w:vMerge w:val="restart"/>
            <w:tcBorders>
              <w:top w:val="nil"/>
              <w:left w:val="nil"/>
              <w:bottom w:val="single" w:color="auto" w:sz="4" w:space="0"/>
              <w:right w:val="single" w:color="auto" w:sz="4" w:space="0"/>
            </w:tcBorders>
            <w:vAlign w:val="center"/>
          </w:tcPr>
          <w:p w14:paraId="074864BB">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系统安全要求</w:t>
            </w:r>
          </w:p>
        </w:tc>
        <w:tc>
          <w:tcPr>
            <w:tcW w:w="2627" w:type="dxa"/>
            <w:tcBorders>
              <w:top w:val="nil"/>
              <w:left w:val="nil"/>
              <w:bottom w:val="single" w:color="auto" w:sz="4" w:space="0"/>
              <w:right w:val="single" w:color="auto" w:sz="4" w:space="0"/>
            </w:tcBorders>
            <w:vAlign w:val="center"/>
          </w:tcPr>
          <w:p w14:paraId="7D0AF859">
            <w:pPr>
              <w:widowControl/>
              <w:jc w:val="left"/>
              <w:rPr>
                <w:rFonts w:ascii="宋体" w:hAnsi="宋体"/>
                <w:color w:val="auto"/>
                <w:kern w:val="0"/>
                <w:sz w:val="22"/>
                <w:szCs w:val="22"/>
              </w:rPr>
            </w:pPr>
            <w:r>
              <w:rPr>
                <w:rFonts w:hint="eastAsia" w:ascii="宋体" w:hAnsi="宋体"/>
                <w:color w:val="auto"/>
                <w:kern w:val="0"/>
                <w:sz w:val="22"/>
                <w:szCs w:val="22"/>
              </w:rPr>
              <w:t>syslog双向鉴别</w:t>
            </w:r>
          </w:p>
        </w:tc>
        <w:tc>
          <w:tcPr>
            <w:tcW w:w="4252" w:type="dxa"/>
            <w:tcBorders>
              <w:top w:val="nil"/>
              <w:left w:val="nil"/>
              <w:bottom w:val="single" w:color="auto" w:sz="4" w:space="0"/>
              <w:right w:val="single" w:color="auto" w:sz="4" w:space="0"/>
            </w:tcBorders>
            <w:vAlign w:val="center"/>
          </w:tcPr>
          <w:p w14:paraId="3D9D3AC8">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5C1503EF">
            <w:pPr>
              <w:widowControl/>
              <w:jc w:val="left"/>
              <w:rPr>
                <w:rFonts w:eastAsia="Times New Roman"/>
                <w:color w:val="auto"/>
                <w:kern w:val="0"/>
                <w:sz w:val="22"/>
                <w:szCs w:val="22"/>
              </w:rPr>
            </w:pPr>
          </w:p>
        </w:tc>
      </w:tr>
      <w:tr w14:paraId="08399AE3">
        <w:tblPrEx>
          <w:tblCellMar>
            <w:top w:w="0" w:type="dxa"/>
            <w:left w:w="108" w:type="dxa"/>
            <w:bottom w:w="0" w:type="dxa"/>
            <w:right w:w="108" w:type="dxa"/>
          </w:tblCellMar>
        </w:tblPrEx>
        <w:trPr>
          <w:trHeight w:val="952" w:hRule="atLeast"/>
          <w:jc w:val="center"/>
        </w:trPr>
        <w:tc>
          <w:tcPr>
            <w:tcW w:w="779" w:type="dxa"/>
            <w:tcBorders>
              <w:top w:val="nil"/>
              <w:left w:val="single" w:color="auto" w:sz="4" w:space="0"/>
              <w:bottom w:val="single" w:color="auto" w:sz="4" w:space="0"/>
              <w:right w:val="single" w:color="auto" w:sz="4" w:space="0"/>
            </w:tcBorders>
            <w:vAlign w:val="center"/>
          </w:tcPr>
          <w:p w14:paraId="5465EB34">
            <w:pPr>
              <w:widowControl/>
              <w:jc w:val="center"/>
              <w:rPr>
                <w:rFonts w:ascii="宋体" w:hAnsi="宋体"/>
                <w:color w:val="auto"/>
                <w:kern w:val="0"/>
                <w:sz w:val="22"/>
                <w:szCs w:val="22"/>
              </w:rPr>
            </w:pPr>
            <w:r>
              <w:rPr>
                <w:rFonts w:hint="eastAsia" w:ascii="宋体" w:hAnsi="宋体"/>
                <w:color w:val="auto"/>
                <w:kern w:val="0"/>
                <w:sz w:val="22"/>
                <w:szCs w:val="22"/>
              </w:rPr>
              <w:t>89</w:t>
            </w:r>
          </w:p>
        </w:tc>
        <w:tc>
          <w:tcPr>
            <w:tcW w:w="1440" w:type="dxa"/>
            <w:vMerge w:val="continue"/>
            <w:tcBorders>
              <w:top w:val="nil"/>
              <w:left w:val="nil"/>
              <w:bottom w:val="single" w:color="auto" w:sz="4" w:space="0"/>
              <w:right w:val="single" w:color="auto" w:sz="4" w:space="0"/>
            </w:tcBorders>
            <w:vAlign w:val="center"/>
          </w:tcPr>
          <w:p w14:paraId="02373FC1">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605B84AC">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弱口令字典检查</w:t>
            </w:r>
          </w:p>
        </w:tc>
        <w:tc>
          <w:tcPr>
            <w:tcW w:w="4252" w:type="dxa"/>
            <w:tcBorders>
              <w:top w:val="nil"/>
              <w:left w:val="nil"/>
              <w:bottom w:val="single" w:color="auto" w:sz="4" w:space="0"/>
              <w:right w:val="single" w:color="auto" w:sz="4" w:space="0"/>
            </w:tcBorders>
            <w:vAlign w:val="center"/>
          </w:tcPr>
          <w:p w14:paraId="758CCF32">
            <w:pPr>
              <w:widowControl/>
              <w:jc w:val="left"/>
              <w:rPr>
                <w:rFonts w:ascii="宋体" w:hAnsi="宋体"/>
                <w:color w:val="auto"/>
                <w:kern w:val="0"/>
                <w:sz w:val="22"/>
                <w:szCs w:val="22"/>
              </w:rPr>
            </w:pPr>
            <w:r>
              <w:rPr>
                <w:rFonts w:hint="eastAsia" w:ascii="宋体" w:hAnsi="宋体"/>
                <w:color w:val="auto"/>
                <w:kern w:val="0"/>
                <w:sz w:val="22"/>
                <w:szCs w:val="22"/>
              </w:rPr>
              <w:t>支持弱口令字典检查功能，出现在弱口令字典中的字符串不能被设置为用户口令</w:t>
            </w:r>
          </w:p>
        </w:tc>
        <w:tc>
          <w:tcPr>
            <w:tcW w:w="236" w:type="dxa"/>
            <w:vAlign w:val="center"/>
          </w:tcPr>
          <w:p w14:paraId="1EE05BBB">
            <w:pPr>
              <w:widowControl/>
              <w:jc w:val="left"/>
              <w:rPr>
                <w:rFonts w:eastAsia="Times New Roman"/>
                <w:color w:val="auto"/>
                <w:kern w:val="0"/>
                <w:sz w:val="22"/>
                <w:szCs w:val="22"/>
              </w:rPr>
            </w:pPr>
          </w:p>
        </w:tc>
      </w:tr>
      <w:tr w14:paraId="0BEC8621">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4634B553">
            <w:pPr>
              <w:widowControl/>
              <w:jc w:val="center"/>
              <w:rPr>
                <w:rFonts w:ascii="宋体" w:hAnsi="宋体"/>
                <w:color w:val="auto"/>
                <w:kern w:val="0"/>
                <w:sz w:val="22"/>
                <w:szCs w:val="22"/>
              </w:rPr>
            </w:pPr>
            <w:r>
              <w:rPr>
                <w:rFonts w:hint="eastAsia" w:ascii="宋体" w:hAnsi="宋体"/>
                <w:color w:val="auto"/>
                <w:kern w:val="0"/>
                <w:sz w:val="22"/>
                <w:szCs w:val="22"/>
              </w:rPr>
              <w:t>90</w:t>
            </w:r>
          </w:p>
        </w:tc>
        <w:tc>
          <w:tcPr>
            <w:tcW w:w="1440" w:type="dxa"/>
            <w:vMerge w:val="continue"/>
            <w:tcBorders>
              <w:top w:val="nil"/>
              <w:left w:val="nil"/>
              <w:bottom w:val="single" w:color="auto" w:sz="4" w:space="0"/>
              <w:right w:val="single" w:color="auto" w:sz="4" w:space="0"/>
            </w:tcBorders>
            <w:vAlign w:val="center"/>
          </w:tcPr>
          <w:p w14:paraId="4187E7C0">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0EC0EBCD">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白名单访问控制</w:t>
            </w:r>
          </w:p>
        </w:tc>
        <w:tc>
          <w:tcPr>
            <w:tcW w:w="4252" w:type="dxa"/>
            <w:tcBorders>
              <w:top w:val="nil"/>
              <w:left w:val="nil"/>
              <w:bottom w:val="single" w:color="auto" w:sz="4" w:space="0"/>
              <w:right w:val="single" w:color="auto" w:sz="4" w:space="0"/>
            </w:tcBorders>
            <w:vAlign w:val="center"/>
          </w:tcPr>
          <w:p w14:paraId="4D93A24B">
            <w:pPr>
              <w:widowControl/>
              <w:jc w:val="left"/>
              <w:rPr>
                <w:rFonts w:ascii="宋体" w:hAnsi="宋体"/>
                <w:color w:val="auto"/>
                <w:kern w:val="0"/>
                <w:sz w:val="22"/>
                <w:szCs w:val="22"/>
              </w:rPr>
            </w:pPr>
            <w:r>
              <w:rPr>
                <w:rFonts w:hint="eastAsia" w:ascii="宋体" w:hAnsi="宋体"/>
                <w:color w:val="auto"/>
                <w:kern w:val="0"/>
                <w:sz w:val="22"/>
                <w:szCs w:val="22"/>
              </w:rPr>
              <w:t>支持基于时间、IP或MAC白名单访问控制</w:t>
            </w:r>
          </w:p>
        </w:tc>
        <w:tc>
          <w:tcPr>
            <w:tcW w:w="236" w:type="dxa"/>
            <w:vAlign w:val="center"/>
          </w:tcPr>
          <w:p w14:paraId="106FB318">
            <w:pPr>
              <w:widowControl/>
              <w:jc w:val="left"/>
              <w:rPr>
                <w:rFonts w:eastAsia="Times New Roman"/>
                <w:color w:val="auto"/>
                <w:kern w:val="0"/>
                <w:sz w:val="22"/>
                <w:szCs w:val="22"/>
              </w:rPr>
            </w:pPr>
          </w:p>
        </w:tc>
      </w:tr>
      <w:tr w14:paraId="16C5064C">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4A99B161">
            <w:pPr>
              <w:widowControl/>
              <w:jc w:val="center"/>
              <w:rPr>
                <w:rFonts w:ascii="宋体" w:hAnsi="宋体"/>
                <w:color w:val="auto"/>
                <w:kern w:val="0"/>
                <w:sz w:val="22"/>
                <w:szCs w:val="22"/>
              </w:rPr>
            </w:pPr>
            <w:r>
              <w:rPr>
                <w:rFonts w:hint="eastAsia" w:ascii="宋体" w:hAnsi="宋体"/>
                <w:color w:val="auto"/>
                <w:kern w:val="0"/>
                <w:sz w:val="22"/>
                <w:szCs w:val="22"/>
              </w:rPr>
              <w:t>91</w:t>
            </w:r>
          </w:p>
        </w:tc>
        <w:tc>
          <w:tcPr>
            <w:tcW w:w="1440" w:type="dxa"/>
            <w:vMerge w:val="continue"/>
            <w:tcBorders>
              <w:top w:val="nil"/>
              <w:left w:val="nil"/>
              <w:bottom w:val="single" w:color="auto" w:sz="4" w:space="0"/>
              <w:right w:val="single" w:color="auto" w:sz="4" w:space="0"/>
            </w:tcBorders>
            <w:vAlign w:val="center"/>
          </w:tcPr>
          <w:p w14:paraId="7842AD4B">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3EB2019A">
            <w:pPr>
              <w:widowControl/>
              <w:jc w:val="left"/>
              <w:rPr>
                <w:rFonts w:ascii="宋体" w:hAnsi="宋体"/>
                <w:color w:val="auto"/>
                <w:kern w:val="0"/>
                <w:sz w:val="22"/>
                <w:szCs w:val="22"/>
              </w:rPr>
            </w:pPr>
            <w:r>
              <w:rPr>
                <w:rFonts w:hint="eastAsia" w:ascii="宋体" w:hAnsi="宋体"/>
                <w:color w:val="auto"/>
                <w:kern w:val="0"/>
                <w:sz w:val="22"/>
                <w:szCs w:val="22"/>
              </w:rPr>
              <w:t>双因素鉴别</w:t>
            </w:r>
          </w:p>
        </w:tc>
        <w:tc>
          <w:tcPr>
            <w:tcW w:w="4252" w:type="dxa"/>
            <w:tcBorders>
              <w:top w:val="nil"/>
              <w:left w:val="nil"/>
              <w:bottom w:val="single" w:color="auto" w:sz="4" w:space="0"/>
              <w:right w:val="single" w:color="auto" w:sz="4" w:space="0"/>
            </w:tcBorders>
            <w:vAlign w:val="center"/>
          </w:tcPr>
          <w:p w14:paraId="5A9F08E6">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164A5B80">
            <w:pPr>
              <w:widowControl/>
              <w:jc w:val="left"/>
              <w:rPr>
                <w:rFonts w:eastAsia="Times New Roman"/>
                <w:color w:val="auto"/>
                <w:kern w:val="0"/>
                <w:sz w:val="22"/>
                <w:szCs w:val="22"/>
              </w:rPr>
            </w:pPr>
          </w:p>
        </w:tc>
      </w:tr>
      <w:tr w14:paraId="08E9A05E">
        <w:tblPrEx>
          <w:tblCellMar>
            <w:top w:w="0" w:type="dxa"/>
            <w:left w:w="108" w:type="dxa"/>
            <w:bottom w:w="0" w:type="dxa"/>
            <w:right w:w="108" w:type="dxa"/>
          </w:tblCellMar>
        </w:tblPrEx>
        <w:trPr>
          <w:trHeight w:val="896" w:hRule="atLeast"/>
          <w:jc w:val="center"/>
        </w:trPr>
        <w:tc>
          <w:tcPr>
            <w:tcW w:w="779" w:type="dxa"/>
            <w:tcBorders>
              <w:top w:val="nil"/>
              <w:left w:val="single" w:color="auto" w:sz="4" w:space="0"/>
              <w:bottom w:val="single" w:color="auto" w:sz="4" w:space="0"/>
              <w:right w:val="single" w:color="auto" w:sz="4" w:space="0"/>
            </w:tcBorders>
            <w:vAlign w:val="center"/>
          </w:tcPr>
          <w:p w14:paraId="4DB4D16D">
            <w:pPr>
              <w:widowControl/>
              <w:jc w:val="center"/>
              <w:rPr>
                <w:rFonts w:ascii="宋体" w:hAnsi="宋体"/>
                <w:color w:val="auto"/>
                <w:kern w:val="0"/>
                <w:sz w:val="22"/>
                <w:szCs w:val="22"/>
              </w:rPr>
            </w:pPr>
            <w:r>
              <w:rPr>
                <w:rFonts w:hint="eastAsia" w:ascii="宋体" w:hAnsi="宋体"/>
                <w:color w:val="auto"/>
                <w:kern w:val="0"/>
                <w:sz w:val="22"/>
                <w:szCs w:val="22"/>
              </w:rPr>
              <w:t>92</w:t>
            </w:r>
          </w:p>
        </w:tc>
        <w:tc>
          <w:tcPr>
            <w:tcW w:w="1440" w:type="dxa"/>
            <w:vMerge w:val="continue"/>
            <w:tcBorders>
              <w:top w:val="nil"/>
              <w:left w:val="nil"/>
              <w:bottom w:val="single" w:color="auto" w:sz="4" w:space="0"/>
              <w:right w:val="single" w:color="auto" w:sz="4" w:space="0"/>
            </w:tcBorders>
            <w:vAlign w:val="center"/>
          </w:tcPr>
          <w:p w14:paraId="41706527">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398753F4">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二次鉴别</w:t>
            </w:r>
          </w:p>
        </w:tc>
        <w:tc>
          <w:tcPr>
            <w:tcW w:w="4252" w:type="dxa"/>
            <w:tcBorders>
              <w:top w:val="nil"/>
              <w:left w:val="nil"/>
              <w:bottom w:val="single" w:color="auto" w:sz="4" w:space="0"/>
              <w:right w:val="single" w:color="auto" w:sz="4" w:space="0"/>
            </w:tcBorders>
            <w:vAlign w:val="center"/>
          </w:tcPr>
          <w:p w14:paraId="02042EA3">
            <w:pPr>
              <w:widowControl/>
              <w:jc w:val="left"/>
              <w:rPr>
                <w:rFonts w:ascii="宋体" w:hAnsi="宋体"/>
                <w:color w:val="auto"/>
                <w:kern w:val="0"/>
                <w:sz w:val="22"/>
                <w:szCs w:val="22"/>
              </w:rPr>
            </w:pPr>
            <w:r>
              <w:rPr>
                <w:rFonts w:hint="eastAsia" w:ascii="宋体" w:hAnsi="宋体"/>
                <w:color w:val="auto"/>
                <w:kern w:val="0"/>
                <w:sz w:val="22"/>
                <w:szCs w:val="22"/>
              </w:rPr>
              <w:t>支持二次鉴别功能。对于用户配置、权限配置、公钥导入等重要的管理操作，已登录用户应通过二次鉴别后，才能执行操作</w:t>
            </w:r>
          </w:p>
        </w:tc>
        <w:tc>
          <w:tcPr>
            <w:tcW w:w="236" w:type="dxa"/>
            <w:vAlign w:val="center"/>
          </w:tcPr>
          <w:p w14:paraId="65522D65">
            <w:pPr>
              <w:widowControl/>
              <w:jc w:val="left"/>
              <w:rPr>
                <w:rFonts w:eastAsia="Times New Roman"/>
                <w:color w:val="auto"/>
                <w:kern w:val="0"/>
                <w:sz w:val="22"/>
                <w:szCs w:val="22"/>
              </w:rPr>
            </w:pPr>
          </w:p>
        </w:tc>
      </w:tr>
      <w:tr w14:paraId="378BCD13">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4D0CB10B">
            <w:pPr>
              <w:widowControl/>
              <w:jc w:val="center"/>
              <w:rPr>
                <w:rFonts w:ascii="宋体" w:hAnsi="宋体"/>
                <w:color w:val="auto"/>
                <w:kern w:val="0"/>
                <w:sz w:val="22"/>
                <w:szCs w:val="22"/>
              </w:rPr>
            </w:pPr>
            <w:r>
              <w:rPr>
                <w:rFonts w:hint="eastAsia" w:ascii="宋体" w:hAnsi="宋体"/>
                <w:color w:val="auto"/>
                <w:kern w:val="0"/>
                <w:sz w:val="22"/>
                <w:szCs w:val="22"/>
              </w:rPr>
              <w:t>93</w:t>
            </w:r>
          </w:p>
        </w:tc>
        <w:tc>
          <w:tcPr>
            <w:tcW w:w="1440" w:type="dxa"/>
            <w:vMerge w:val="continue"/>
            <w:tcBorders>
              <w:top w:val="nil"/>
              <w:left w:val="nil"/>
              <w:bottom w:val="single" w:color="auto" w:sz="4" w:space="0"/>
              <w:right w:val="single" w:color="auto" w:sz="4" w:space="0"/>
            </w:tcBorders>
            <w:vAlign w:val="center"/>
          </w:tcPr>
          <w:p w14:paraId="2CAD1D36">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01D16E82">
            <w:pPr>
              <w:widowControl/>
              <w:jc w:val="left"/>
              <w:rPr>
                <w:rFonts w:ascii="宋体" w:hAnsi="宋体"/>
                <w:color w:val="auto"/>
                <w:kern w:val="0"/>
                <w:sz w:val="22"/>
                <w:szCs w:val="22"/>
              </w:rPr>
            </w:pPr>
            <w:r>
              <w:rPr>
                <w:rFonts w:hint="eastAsia" w:ascii="宋体" w:hAnsi="宋体"/>
                <w:color w:val="auto"/>
                <w:kern w:val="0"/>
                <w:sz w:val="22"/>
                <w:szCs w:val="22"/>
              </w:rPr>
              <w:t>匿名化用户告警接收邮箱</w:t>
            </w:r>
          </w:p>
        </w:tc>
        <w:tc>
          <w:tcPr>
            <w:tcW w:w="4252" w:type="dxa"/>
            <w:tcBorders>
              <w:top w:val="nil"/>
              <w:left w:val="nil"/>
              <w:bottom w:val="single" w:color="auto" w:sz="4" w:space="0"/>
              <w:right w:val="single" w:color="auto" w:sz="4" w:space="0"/>
            </w:tcBorders>
            <w:vAlign w:val="center"/>
          </w:tcPr>
          <w:p w14:paraId="232F9638">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5323556F">
            <w:pPr>
              <w:widowControl/>
              <w:jc w:val="left"/>
              <w:rPr>
                <w:rFonts w:eastAsia="Times New Roman"/>
                <w:color w:val="auto"/>
                <w:kern w:val="0"/>
                <w:sz w:val="22"/>
                <w:szCs w:val="22"/>
              </w:rPr>
            </w:pPr>
          </w:p>
        </w:tc>
      </w:tr>
      <w:tr w14:paraId="23765BE8">
        <w:tblPrEx>
          <w:tblCellMar>
            <w:top w:w="0" w:type="dxa"/>
            <w:left w:w="108" w:type="dxa"/>
            <w:bottom w:w="0" w:type="dxa"/>
            <w:right w:w="108" w:type="dxa"/>
          </w:tblCellMar>
        </w:tblPrEx>
        <w:trPr>
          <w:trHeight w:val="775" w:hRule="atLeast"/>
          <w:jc w:val="center"/>
        </w:trPr>
        <w:tc>
          <w:tcPr>
            <w:tcW w:w="779" w:type="dxa"/>
            <w:tcBorders>
              <w:top w:val="nil"/>
              <w:left w:val="single" w:color="auto" w:sz="4" w:space="0"/>
              <w:bottom w:val="single" w:color="auto" w:sz="4" w:space="0"/>
              <w:right w:val="single" w:color="auto" w:sz="4" w:space="0"/>
            </w:tcBorders>
            <w:vAlign w:val="center"/>
          </w:tcPr>
          <w:p w14:paraId="7086B669">
            <w:pPr>
              <w:widowControl/>
              <w:jc w:val="center"/>
              <w:rPr>
                <w:rFonts w:ascii="宋体" w:hAnsi="宋体"/>
                <w:color w:val="auto"/>
                <w:kern w:val="0"/>
                <w:sz w:val="22"/>
                <w:szCs w:val="22"/>
              </w:rPr>
            </w:pPr>
            <w:r>
              <w:rPr>
                <w:rFonts w:hint="eastAsia" w:ascii="宋体" w:hAnsi="宋体"/>
                <w:color w:val="auto"/>
                <w:kern w:val="0"/>
                <w:sz w:val="22"/>
                <w:szCs w:val="22"/>
              </w:rPr>
              <w:t>94</w:t>
            </w:r>
          </w:p>
        </w:tc>
        <w:tc>
          <w:tcPr>
            <w:tcW w:w="1440" w:type="dxa"/>
            <w:vMerge w:val="continue"/>
            <w:tcBorders>
              <w:top w:val="nil"/>
              <w:left w:val="nil"/>
              <w:bottom w:val="single" w:color="auto" w:sz="4" w:space="0"/>
              <w:right w:val="single" w:color="auto" w:sz="4" w:space="0"/>
            </w:tcBorders>
            <w:vAlign w:val="center"/>
          </w:tcPr>
          <w:p w14:paraId="01871A94">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37DAD74F">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密码证书安全加密存储</w:t>
            </w:r>
          </w:p>
        </w:tc>
        <w:tc>
          <w:tcPr>
            <w:tcW w:w="4252" w:type="dxa"/>
            <w:tcBorders>
              <w:top w:val="nil"/>
              <w:left w:val="nil"/>
              <w:bottom w:val="single" w:color="auto" w:sz="4" w:space="0"/>
              <w:right w:val="single" w:color="auto" w:sz="4" w:space="0"/>
            </w:tcBorders>
            <w:vAlign w:val="center"/>
          </w:tcPr>
          <w:p w14:paraId="1858797B">
            <w:pPr>
              <w:widowControl/>
              <w:jc w:val="left"/>
              <w:rPr>
                <w:rFonts w:ascii="宋体" w:hAnsi="宋体"/>
                <w:color w:val="auto"/>
                <w:kern w:val="0"/>
                <w:sz w:val="22"/>
                <w:szCs w:val="22"/>
              </w:rPr>
            </w:pPr>
            <w:r>
              <w:rPr>
                <w:rFonts w:hint="eastAsia" w:ascii="宋体" w:hAnsi="宋体"/>
                <w:color w:val="auto"/>
                <w:kern w:val="0"/>
                <w:sz w:val="22"/>
                <w:szCs w:val="22"/>
              </w:rPr>
              <w:t>支持对带外管理系统中的用户口令和证书等敏感信息进行加密存储，禁止使用私有的和业界已知不安全的密码算法</w:t>
            </w:r>
          </w:p>
        </w:tc>
        <w:tc>
          <w:tcPr>
            <w:tcW w:w="236" w:type="dxa"/>
            <w:vAlign w:val="center"/>
          </w:tcPr>
          <w:p w14:paraId="7A82B57D">
            <w:pPr>
              <w:widowControl/>
              <w:jc w:val="left"/>
              <w:rPr>
                <w:rFonts w:eastAsia="Times New Roman"/>
                <w:color w:val="auto"/>
                <w:kern w:val="0"/>
                <w:sz w:val="22"/>
                <w:szCs w:val="22"/>
              </w:rPr>
            </w:pPr>
          </w:p>
        </w:tc>
      </w:tr>
      <w:tr w14:paraId="5916E3F8">
        <w:tblPrEx>
          <w:tblCellMar>
            <w:top w:w="0" w:type="dxa"/>
            <w:left w:w="108" w:type="dxa"/>
            <w:bottom w:w="0" w:type="dxa"/>
            <w:right w:w="108" w:type="dxa"/>
          </w:tblCellMar>
        </w:tblPrEx>
        <w:trPr>
          <w:trHeight w:val="717" w:hRule="atLeast"/>
          <w:jc w:val="center"/>
        </w:trPr>
        <w:tc>
          <w:tcPr>
            <w:tcW w:w="779" w:type="dxa"/>
            <w:tcBorders>
              <w:top w:val="nil"/>
              <w:left w:val="single" w:color="auto" w:sz="4" w:space="0"/>
              <w:bottom w:val="single" w:color="auto" w:sz="4" w:space="0"/>
              <w:right w:val="single" w:color="auto" w:sz="4" w:space="0"/>
            </w:tcBorders>
            <w:vAlign w:val="center"/>
          </w:tcPr>
          <w:p w14:paraId="338CC712">
            <w:pPr>
              <w:widowControl/>
              <w:jc w:val="center"/>
              <w:rPr>
                <w:rFonts w:ascii="宋体" w:hAnsi="宋体"/>
                <w:color w:val="auto"/>
                <w:kern w:val="0"/>
                <w:sz w:val="22"/>
                <w:szCs w:val="22"/>
              </w:rPr>
            </w:pPr>
            <w:r>
              <w:rPr>
                <w:rFonts w:hint="eastAsia" w:ascii="宋体" w:hAnsi="宋体"/>
                <w:color w:val="auto"/>
                <w:kern w:val="0"/>
                <w:sz w:val="22"/>
                <w:szCs w:val="22"/>
              </w:rPr>
              <w:t>95</w:t>
            </w:r>
          </w:p>
        </w:tc>
        <w:tc>
          <w:tcPr>
            <w:tcW w:w="1440" w:type="dxa"/>
            <w:vMerge w:val="continue"/>
            <w:tcBorders>
              <w:top w:val="nil"/>
              <w:left w:val="nil"/>
              <w:bottom w:val="single" w:color="auto" w:sz="4" w:space="0"/>
              <w:right w:val="single" w:color="auto" w:sz="4" w:space="0"/>
            </w:tcBorders>
            <w:vAlign w:val="center"/>
          </w:tcPr>
          <w:p w14:paraId="7B2E162F">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3797A224">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敏感信息安全加密传输</w:t>
            </w:r>
          </w:p>
        </w:tc>
        <w:tc>
          <w:tcPr>
            <w:tcW w:w="4252" w:type="dxa"/>
            <w:tcBorders>
              <w:top w:val="nil"/>
              <w:left w:val="nil"/>
              <w:bottom w:val="single" w:color="auto" w:sz="4" w:space="0"/>
              <w:right w:val="single" w:color="auto" w:sz="4" w:space="0"/>
            </w:tcBorders>
            <w:vAlign w:val="center"/>
          </w:tcPr>
          <w:p w14:paraId="385167DA">
            <w:pPr>
              <w:widowControl/>
              <w:jc w:val="left"/>
              <w:rPr>
                <w:rFonts w:ascii="宋体" w:hAnsi="宋体"/>
                <w:color w:val="auto"/>
                <w:kern w:val="0"/>
                <w:sz w:val="22"/>
                <w:szCs w:val="22"/>
              </w:rPr>
            </w:pPr>
            <w:r>
              <w:rPr>
                <w:rFonts w:hint="eastAsia" w:ascii="宋体" w:hAnsi="宋体"/>
                <w:color w:val="auto"/>
                <w:kern w:val="0"/>
                <w:sz w:val="22"/>
                <w:szCs w:val="22"/>
              </w:rPr>
              <w:t>支持使用安全的传输加密协议（如SSH或HTTPS等）传输用户的敏感信息</w:t>
            </w:r>
          </w:p>
        </w:tc>
        <w:tc>
          <w:tcPr>
            <w:tcW w:w="236" w:type="dxa"/>
            <w:vAlign w:val="center"/>
          </w:tcPr>
          <w:p w14:paraId="43126826">
            <w:pPr>
              <w:widowControl/>
              <w:jc w:val="left"/>
              <w:rPr>
                <w:rFonts w:eastAsia="Times New Roman"/>
                <w:color w:val="auto"/>
                <w:kern w:val="0"/>
                <w:sz w:val="22"/>
                <w:szCs w:val="22"/>
              </w:rPr>
            </w:pPr>
          </w:p>
        </w:tc>
      </w:tr>
      <w:tr w14:paraId="2B86A875">
        <w:tblPrEx>
          <w:tblCellMar>
            <w:top w:w="0" w:type="dxa"/>
            <w:left w:w="108" w:type="dxa"/>
            <w:bottom w:w="0" w:type="dxa"/>
            <w:right w:w="108" w:type="dxa"/>
          </w:tblCellMar>
        </w:tblPrEx>
        <w:trPr>
          <w:trHeight w:val="1377" w:hRule="atLeast"/>
          <w:jc w:val="center"/>
        </w:trPr>
        <w:tc>
          <w:tcPr>
            <w:tcW w:w="779" w:type="dxa"/>
            <w:tcBorders>
              <w:top w:val="nil"/>
              <w:left w:val="single" w:color="auto" w:sz="4" w:space="0"/>
              <w:bottom w:val="single" w:color="auto" w:sz="4" w:space="0"/>
              <w:right w:val="single" w:color="auto" w:sz="4" w:space="0"/>
            </w:tcBorders>
            <w:vAlign w:val="center"/>
          </w:tcPr>
          <w:p w14:paraId="6C7103FE">
            <w:pPr>
              <w:widowControl/>
              <w:jc w:val="center"/>
              <w:rPr>
                <w:rFonts w:ascii="宋体" w:hAnsi="宋体"/>
                <w:color w:val="auto"/>
                <w:kern w:val="0"/>
                <w:sz w:val="22"/>
                <w:szCs w:val="22"/>
              </w:rPr>
            </w:pPr>
            <w:r>
              <w:rPr>
                <w:rFonts w:hint="eastAsia" w:ascii="宋体" w:hAnsi="宋体"/>
                <w:color w:val="auto"/>
                <w:kern w:val="0"/>
                <w:sz w:val="22"/>
                <w:szCs w:val="22"/>
              </w:rPr>
              <w:t>96</w:t>
            </w:r>
          </w:p>
        </w:tc>
        <w:tc>
          <w:tcPr>
            <w:tcW w:w="1440" w:type="dxa"/>
            <w:vMerge w:val="restart"/>
            <w:tcBorders>
              <w:top w:val="nil"/>
              <w:left w:val="nil"/>
              <w:bottom w:val="single" w:color="auto" w:sz="4" w:space="0"/>
              <w:right w:val="single" w:color="auto" w:sz="4" w:space="0"/>
            </w:tcBorders>
            <w:vAlign w:val="center"/>
          </w:tcPr>
          <w:p w14:paraId="25CCF85F">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信息安全要求</w:t>
            </w:r>
          </w:p>
        </w:tc>
        <w:tc>
          <w:tcPr>
            <w:tcW w:w="2627" w:type="dxa"/>
            <w:tcBorders>
              <w:top w:val="nil"/>
              <w:left w:val="nil"/>
              <w:bottom w:val="single" w:color="auto" w:sz="4" w:space="0"/>
              <w:right w:val="single" w:color="auto" w:sz="4" w:space="0"/>
            </w:tcBorders>
            <w:vAlign w:val="center"/>
          </w:tcPr>
          <w:p w14:paraId="5D23BA53">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研发过程安全</w:t>
            </w:r>
          </w:p>
        </w:tc>
        <w:tc>
          <w:tcPr>
            <w:tcW w:w="4252" w:type="dxa"/>
            <w:tcBorders>
              <w:top w:val="nil"/>
              <w:left w:val="nil"/>
              <w:bottom w:val="single" w:color="auto" w:sz="4" w:space="0"/>
              <w:right w:val="single" w:color="auto" w:sz="4" w:space="0"/>
            </w:tcBorders>
            <w:vAlign w:val="center"/>
          </w:tcPr>
          <w:p w14:paraId="74967FC6">
            <w:pPr>
              <w:widowControl/>
              <w:jc w:val="left"/>
              <w:rPr>
                <w:rFonts w:ascii="宋体" w:hAnsi="宋体"/>
                <w:color w:val="auto"/>
                <w:kern w:val="0"/>
                <w:sz w:val="22"/>
                <w:szCs w:val="22"/>
              </w:rPr>
            </w:pPr>
            <w:r>
              <w:rPr>
                <w:rFonts w:hint="eastAsia" w:ascii="宋体" w:hAnsi="宋体"/>
                <w:color w:val="auto"/>
                <w:kern w:val="0"/>
                <w:sz w:val="22"/>
                <w:szCs w:val="22"/>
              </w:rPr>
              <w:t>供应商承诺，生产商已建立从需求、设计、开发、测试、维护端到端的开发流程管理机制，输出和保存开发流程中每个阶段的产品需求清单、设计文档、开发文档、测试记录等材料，保证各个流程可追溯</w:t>
            </w:r>
          </w:p>
        </w:tc>
        <w:tc>
          <w:tcPr>
            <w:tcW w:w="236" w:type="dxa"/>
            <w:vAlign w:val="center"/>
          </w:tcPr>
          <w:p w14:paraId="28852637">
            <w:pPr>
              <w:widowControl/>
              <w:jc w:val="left"/>
              <w:rPr>
                <w:rFonts w:eastAsia="Times New Roman"/>
                <w:color w:val="auto"/>
                <w:kern w:val="0"/>
                <w:sz w:val="22"/>
                <w:szCs w:val="22"/>
              </w:rPr>
            </w:pPr>
          </w:p>
        </w:tc>
      </w:tr>
      <w:tr w14:paraId="72DA4158">
        <w:tblPrEx>
          <w:tblCellMar>
            <w:top w:w="0" w:type="dxa"/>
            <w:left w:w="108" w:type="dxa"/>
            <w:bottom w:w="0" w:type="dxa"/>
            <w:right w:w="108" w:type="dxa"/>
          </w:tblCellMar>
        </w:tblPrEx>
        <w:trPr>
          <w:trHeight w:val="952" w:hRule="atLeast"/>
          <w:jc w:val="center"/>
        </w:trPr>
        <w:tc>
          <w:tcPr>
            <w:tcW w:w="779" w:type="dxa"/>
            <w:tcBorders>
              <w:top w:val="nil"/>
              <w:left w:val="single" w:color="auto" w:sz="4" w:space="0"/>
              <w:bottom w:val="single" w:color="auto" w:sz="4" w:space="0"/>
              <w:right w:val="single" w:color="auto" w:sz="4" w:space="0"/>
            </w:tcBorders>
            <w:vAlign w:val="center"/>
          </w:tcPr>
          <w:p w14:paraId="0C8BD257">
            <w:pPr>
              <w:widowControl/>
              <w:jc w:val="center"/>
              <w:rPr>
                <w:rFonts w:ascii="宋体" w:hAnsi="宋体"/>
                <w:color w:val="auto"/>
                <w:kern w:val="0"/>
                <w:sz w:val="22"/>
                <w:szCs w:val="22"/>
              </w:rPr>
            </w:pPr>
            <w:r>
              <w:rPr>
                <w:rFonts w:hint="eastAsia" w:ascii="宋体" w:hAnsi="宋体"/>
                <w:color w:val="auto"/>
                <w:kern w:val="0"/>
                <w:sz w:val="22"/>
                <w:szCs w:val="22"/>
              </w:rPr>
              <w:t>97</w:t>
            </w:r>
          </w:p>
        </w:tc>
        <w:tc>
          <w:tcPr>
            <w:tcW w:w="1440" w:type="dxa"/>
            <w:vMerge w:val="continue"/>
            <w:tcBorders>
              <w:top w:val="nil"/>
              <w:left w:val="nil"/>
              <w:bottom w:val="single" w:color="auto" w:sz="4" w:space="0"/>
              <w:right w:val="single" w:color="auto" w:sz="4" w:space="0"/>
            </w:tcBorders>
            <w:vAlign w:val="center"/>
          </w:tcPr>
          <w:p w14:paraId="08EBD7B0">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70C7A210">
            <w:pPr>
              <w:widowControl/>
              <w:jc w:val="left"/>
              <w:rPr>
                <w:rFonts w:ascii="宋体" w:hAnsi="宋体"/>
                <w:color w:val="auto"/>
                <w:kern w:val="0"/>
                <w:sz w:val="22"/>
                <w:szCs w:val="22"/>
              </w:rPr>
            </w:pPr>
            <w:r>
              <w:rPr>
                <w:rFonts w:hint="eastAsia" w:ascii="宋体" w:hAnsi="宋体"/>
                <w:color w:val="auto"/>
                <w:kern w:val="0"/>
                <w:sz w:val="22"/>
                <w:szCs w:val="22"/>
              </w:rPr>
              <w:t>漏洞管理</w:t>
            </w:r>
          </w:p>
        </w:tc>
        <w:tc>
          <w:tcPr>
            <w:tcW w:w="4252" w:type="dxa"/>
            <w:tcBorders>
              <w:top w:val="nil"/>
              <w:left w:val="nil"/>
              <w:bottom w:val="single" w:color="auto" w:sz="4" w:space="0"/>
              <w:right w:val="single" w:color="auto" w:sz="4" w:space="0"/>
            </w:tcBorders>
            <w:vAlign w:val="center"/>
          </w:tcPr>
          <w:p w14:paraId="28768AD2">
            <w:pPr>
              <w:widowControl/>
              <w:jc w:val="left"/>
              <w:rPr>
                <w:rFonts w:ascii="宋体" w:hAnsi="宋体"/>
                <w:color w:val="auto"/>
                <w:kern w:val="0"/>
                <w:sz w:val="22"/>
                <w:szCs w:val="22"/>
              </w:rPr>
            </w:pPr>
            <w:r>
              <w:rPr>
                <w:rFonts w:hint="eastAsia" w:ascii="宋体" w:hAnsi="宋体"/>
                <w:color w:val="auto"/>
                <w:kern w:val="0"/>
                <w:sz w:val="22"/>
                <w:szCs w:val="22"/>
              </w:rPr>
              <w:t>供应商承诺，生产商已建立漏洞全量视图，保证产品版本涉及到的所有漏洞(如驱动程序、BMC软件等)都可以查看</w:t>
            </w:r>
          </w:p>
        </w:tc>
        <w:tc>
          <w:tcPr>
            <w:tcW w:w="236" w:type="dxa"/>
            <w:vAlign w:val="center"/>
          </w:tcPr>
          <w:p w14:paraId="7928E68D">
            <w:pPr>
              <w:widowControl/>
              <w:jc w:val="left"/>
              <w:rPr>
                <w:rFonts w:eastAsia="Times New Roman"/>
                <w:color w:val="auto"/>
                <w:kern w:val="0"/>
                <w:sz w:val="22"/>
                <w:szCs w:val="22"/>
              </w:rPr>
            </w:pPr>
          </w:p>
        </w:tc>
      </w:tr>
      <w:tr w14:paraId="58AEB3F6">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7BB5DC03">
            <w:pPr>
              <w:widowControl/>
              <w:jc w:val="center"/>
              <w:rPr>
                <w:rFonts w:ascii="宋体" w:hAnsi="宋体"/>
                <w:color w:val="auto"/>
                <w:kern w:val="0"/>
                <w:sz w:val="22"/>
                <w:szCs w:val="22"/>
              </w:rPr>
            </w:pPr>
            <w:r>
              <w:rPr>
                <w:rFonts w:hint="eastAsia" w:ascii="宋体" w:hAnsi="宋体"/>
                <w:color w:val="auto"/>
                <w:kern w:val="0"/>
                <w:sz w:val="22"/>
                <w:szCs w:val="22"/>
              </w:rPr>
              <w:t>98</w:t>
            </w:r>
          </w:p>
        </w:tc>
        <w:tc>
          <w:tcPr>
            <w:tcW w:w="1440" w:type="dxa"/>
            <w:vMerge w:val="continue"/>
            <w:tcBorders>
              <w:top w:val="nil"/>
              <w:left w:val="nil"/>
              <w:bottom w:val="single" w:color="auto" w:sz="4" w:space="0"/>
              <w:right w:val="single" w:color="auto" w:sz="4" w:space="0"/>
            </w:tcBorders>
            <w:vAlign w:val="center"/>
          </w:tcPr>
          <w:p w14:paraId="2A363615">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0BBC4CA4">
            <w:pPr>
              <w:widowControl/>
              <w:jc w:val="left"/>
              <w:rPr>
                <w:rFonts w:ascii="宋体" w:hAnsi="宋体"/>
                <w:color w:val="auto"/>
                <w:kern w:val="0"/>
                <w:sz w:val="22"/>
                <w:szCs w:val="22"/>
              </w:rPr>
            </w:pPr>
            <w:r>
              <w:rPr>
                <w:rFonts w:hint="eastAsia" w:ascii="宋体" w:hAnsi="宋体"/>
                <w:color w:val="auto"/>
                <w:kern w:val="0"/>
                <w:sz w:val="22"/>
                <w:szCs w:val="22"/>
              </w:rPr>
              <w:t>网络关键设备服务器要求</w:t>
            </w:r>
          </w:p>
        </w:tc>
        <w:tc>
          <w:tcPr>
            <w:tcW w:w="4252" w:type="dxa"/>
            <w:tcBorders>
              <w:top w:val="nil"/>
              <w:left w:val="nil"/>
              <w:bottom w:val="single" w:color="auto" w:sz="4" w:space="0"/>
              <w:right w:val="single" w:color="auto" w:sz="4" w:space="0"/>
            </w:tcBorders>
            <w:vAlign w:val="center"/>
          </w:tcPr>
          <w:p w14:paraId="6F403EC4">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3EBB7E42">
            <w:pPr>
              <w:widowControl/>
              <w:jc w:val="left"/>
              <w:rPr>
                <w:rFonts w:eastAsia="Times New Roman"/>
                <w:color w:val="auto"/>
                <w:kern w:val="0"/>
                <w:sz w:val="22"/>
                <w:szCs w:val="22"/>
              </w:rPr>
            </w:pPr>
          </w:p>
        </w:tc>
      </w:tr>
      <w:tr w14:paraId="687BF46D">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02E0374B">
            <w:pPr>
              <w:widowControl/>
              <w:jc w:val="center"/>
              <w:rPr>
                <w:rFonts w:ascii="宋体" w:hAnsi="宋体"/>
                <w:color w:val="auto"/>
                <w:kern w:val="0"/>
                <w:sz w:val="22"/>
                <w:szCs w:val="22"/>
              </w:rPr>
            </w:pPr>
            <w:r>
              <w:rPr>
                <w:rFonts w:hint="eastAsia" w:ascii="宋体" w:hAnsi="宋体"/>
                <w:color w:val="auto"/>
                <w:kern w:val="0"/>
                <w:sz w:val="22"/>
                <w:szCs w:val="22"/>
              </w:rPr>
              <w:t>99</w:t>
            </w:r>
          </w:p>
        </w:tc>
        <w:tc>
          <w:tcPr>
            <w:tcW w:w="1440" w:type="dxa"/>
            <w:vMerge w:val="continue"/>
            <w:tcBorders>
              <w:top w:val="nil"/>
              <w:left w:val="nil"/>
              <w:bottom w:val="single" w:color="auto" w:sz="4" w:space="0"/>
              <w:right w:val="single" w:color="auto" w:sz="4" w:space="0"/>
            </w:tcBorders>
            <w:vAlign w:val="center"/>
          </w:tcPr>
          <w:p w14:paraId="285914AF">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27093123">
            <w:pPr>
              <w:widowControl/>
              <w:jc w:val="left"/>
              <w:rPr>
                <w:rFonts w:ascii="宋体" w:hAnsi="宋体"/>
                <w:color w:val="auto"/>
                <w:kern w:val="0"/>
                <w:sz w:val="22"/>
                <w:szCs w:val="22"/>
              </w:rPr>
            </w:pPr>
            <w:r>
              <w:rPr>
                <w:rFonts w:hint="eastAsia" w:ascii="宋体" w:hAnsi="宋体"/>
                <w:color w:val="auto"/>
                <w:kern w:val="0"/>
                <w:sz w:val="22"/>
                <w:szCs w:val="22"/>
              </w:rPr>
              <w:t>增强要求</w:t>
            </w:r>
          </w:p>
        </w:tc>
        <w:tc>
          <w:tcPr>
            <w:tcW w:w="4252" w:type="dxa"/>
            <w:tcBorders>
              <w:top w:val="nil"/>
              <w:left w:val="nil"/>
              <w:bottom w:val="single" w:color="auto" w:sz="4" w:space="0"/>
              <w:right w:val="single" w:color="auto" w:sz="4" w:space="0"/>
            </w:tcBorders>
            <w:vAlign w:val="center"/>
          </w:tcPr>
          <w:p w14:paraId="7469B600">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69965290">
            <w:pPr>
              <w:widowControl/>
              <w:jc w:val="left"/>
              <w:rPr>
                <w:rFonts w:eastAsia="Times New Roman"/>
                <w:color w:val="auto"/>
                <w:kern w:val="0"/>
                <w:sz w:val="22"/>
                <w:szCs w:val="22"/>
              </w:rPr>
            </w:pPr>
          </w:p>
        </w:tc>
      </w:tr>
      <w:tr w14:paraId="63C3C3A4">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28F0B450">
            <w:pPr>
              <w:widowControl/>
              <w:jc w:val="center"/>
              <w:rPr>
                <w:rFonts w:ascii="宋体" w:hAnsi="宋体"/>
                <w:color w:val="auto"/>
                <w:kern w:val="0"/>
                <w:sz w:val="22"/>
                <w:szCs w:val="22"/>
              </w:rPr>
            </w:pPr>
            <w:r>
              <w:rPr>
                <w:rFonts w:hint="eastAsia" w:ascii="宋体" w:hAnsi="宋体"/>
                <w:color w:val="auto"/>
                <w:kern w:val="0"/>
                <w:sz w:val="22"/>
                <w:szCs w:val="22"/>
              </w:rPr>
              <w:t>100</w:t>
            </w:r>
          </w:p>
        </w:tc>
        <w:tc>
          <w:tcPr>
            <w:tcW w:w="1440" w:type="dxa"/>
            <w:tcBorders>
              <w:top w:val="nil"/>
              <w:left w:val="nil"/>
              <w:bottom w:val="single" w:color="auto" w:sz="4" w:space="0"/>
              <w:right w:val="single" w:color="auto" w:sz="4" w:space="0"/>
            </w:tcBorders>
            <w:vAlign w:val="center"/>
          </w:tcPr>
          <w:p w14:paraId="209221E6">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物理安全</w:t>
            </w:r>
          </w:p>
        </w:tc>
        <w:tc>
          <w:tcPr>
            <w:tcW w:w="2627" w:type="dxa"/>
            <w:tcBorders>
              <w:top w:val="nil"/>
              <w:left w:val="nil"/>
              <w:bottom w:val="single" w:color="auto" w:sz="4" w:space="0"/>
              <w:right w:val="single" w:color="auto" w:sz="4" w:space="0"/>
            </w:tcBorders>
            <w:vAlign w:val="center"/>
          </w:tcPr>
          <w:p w14:paraId="4438EFDF">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物理安全</w:t>
            </w:r>
          </w:p>
        </w:tc>
        <w:tc>
          <w:tcPr>
            <w:tcW w:w="4252" w:type="dxa"/>
            <w:tcBorders>
              <w:top w:val="nil"/>
              <w:left w:val="nil"/>
              <w:bottom w:val="single" w:color="auto" w:sz="4" w:space="0"/>
              <w:right w:val="single" w:color="auto" w:sz="4" w:space="0"/>
            </w:tcBorders>
            <w:vAlign w:val="center"/>
          </w:tcPr>
          <w:p w14:paraId="46A093D0">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73BD9713">
            <w:pPr>
              <w:widowControl/>
              <w:jc w:val="left"/>
              <w:rPr>
                <w:rFonts w:eastAsia="Times New Roman"/>
                <w:color w:val="auto"/>
                <w:kern w:val="0"/>
                <w:sz w:val="22"/>
                <w:szCs w:val="22"/>
              </w:rPr>
            </w:pPr>
          </w:p>
        </w:tc>
      </w:tr>
      <w:tr w14:paraId="380F7F74">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51C07B8A">
            <w:pPr>
              <w:widowControl/>
              <w:jc w:val="center"/>
              <w:rPr>
                <w:rFonts w:ascii="宋体" w:hAnsi="宋体"/>
                <w:color w:val="auto"/>
                <w:kern w:val="0"/>
                <w:sz w:val="22"/>
                <w:szCs w:val="22"/>
              </w:rPr>
            </w:pPr>
            <w:r>
              <w:rPr>
                <w:rFonts w:hint="eastAsia" w:ascii="宋体" w:hAnsi="宋体"/>
                <w:color w:val="auto"/>
                <w:kern w:val="0"/>
                <w:sz w:val="22"/>
                <w:szCs w:val="22"/>
              </w:rPr>
              <w:t>101</w:t>
            </w:r>
          </w:p>
        </w:tc>
        <w:tc>
          <w:tcPr>
            <w:tcW w:w="1440" w:type="dxa"/>
            <w:tcBorders>
              <w:top w:val="nil"/>
              <w:left w:val="nil"/>
              <w:bottom w:val="single" w:color="auto" w:sz="4" w:space="0"/>
              <w:right w:val="single" w:color="auto" w:sz="4" w:space="0"/>
            </w:tcBorders>
            <w:vAlign w:val="center"/>
          </w:tcPr>
          <w:p w14:paraId="45054E96">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限用物质的限量要求</w:t>
            </w:r>
          </w:p>
        </w:tc>
        <w:tc>
          <w:tcPr>
            <w:tcW w:w="2627" w:type="dxa"/>
            <w:tcBorders>
              <w:top w:val="nil"/>
              <w:left w:val="nil"/>
              <w:bottom w:val="single" w:color="auto" w:sz="4" w:space="0"/>
              <w:right w:val="single" w:color="auto" w:sz="4" w:space="0"/>
            </w:tcBorders>
            <w:vAlign w:val="center"/>
          </w:tcPr>
          <w:p w14:paraId="31EE5234">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限用物质的限量要求</w:t>
            </w:r>
          </w:p>
        </w:tc>
        <w:tc>
          <w:tcPr>
            <w:tcW w:w="4252" w:type="dxa"/>
            <w:tcBorders>
              <w:top w:val="nil"/>
              <w:left w:val="nil"/>
              <w:bottom w:val="single" w:color="auto" w:sz="4" w:space="0"/>
              <w:right w:val="single" w:color="auto" w:sz="4" w:space="0"/>
            </w:tcBorders>
            <w:vAlign w:val="center"/>
          </w:tcPr>
          <w:p w14:paraId="1D2B5CEC">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40B05A9F">
            <w:pPr>
              <w:widowControl/>
              <w:jc w:val="left"/>
              <w:rPr>
                <w:rFonts w:eastAsia="Times New Roman"/>
                <w:color w:val="auto"/>
                <w:kern w:val="0"/>
                <w:sz w:val="22"/>
                <w:szCs w:val="22"/>
              </w:rPr>
            </w:pPr>
          </w:p>
        </w:tc>
      </w:tr>
      <w:tr w14:paraId="104A76BF">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7F16F970">
            <w:pPr>
              <w:widowControl/>
              <w:jc w:val="center"/>
              <w:rPr>
                <w:rFonts w:ascii="宋体" w:hAnsi="宋体"/>
                <w:color w:val="auto"/>
                <w:kern w:val="0"/>
                <w:sz w:val="22"/>
                <w:szCs w:val="22"/>
              </w:rPr>
            </w:pPr>
            <w:r>
              <w:rPr>
                <w:rFonts w:hint="eastAsia" w:ascii="宋体" w:hAnsi="宋体"/>
                <w:color w:val="auto"/>
                <w:kern w:val="0"/>
                <w:sz w:val="22"/>
                <w:szCs w:val="22"/>
              </w:rPr>
              <w:t>102</w:t>
            </w:r>
          </w:p>
        </w:tc>
        <w:tc>
          <w:tcPr>
            <w:tcW w:w="1440" w:type="dxa"/>
            <w:vMerge w:val="restart"/>
            <w:tcBorders>
              <w:top w:val="nil"/>
              <w:left w:val="nil"/>
              <w:bottom w:val="single" w:color="auto" w:sz="4" w:space="0"/>
              <w:right w:val="single" w:color="auto" w:sz="4" w:space="0"/>
            </w:tcBorders>
            <w:vAlign w:val="center"/>
          </w:tcPr>
          <w:p w14:paraId="13F175E3">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CPU性能</w:t>
            </w:r>
          </w:p>
        </w:tc>
        <w:tc>
          <w:tcPr>
            <w:tcW w:w="2627" w:type="dxa"/>
            <w:tcBorders>
              <w:top w:val="nil"/>
              <w:left w:val="nil"/>
              <w:bottom w:val="single" w:color="auto" w:sz="4" w:space="0"/>
              <w:right w:val="single" w:color="auto" w:sz="4" w:space="0"/>
            </w:tcBorders>
            <w:vAlign w:val="center"/>
          </w:tcPr>
          <w:p w14:paraId="1B8BDCF4">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CPU主频</w:t>
            </w:r>
          </w:p>
        </w:tc>
        <w:tc>
          <w:tcPr>
            <w:tcW w:w="4252" w:type="dxa"/>
            <w:tcBorders>
              <w:top w:val="nil"/>
              <w:left w:val="nil"/>
              <w:bottom w:val="single" w:color="auto" w:sz="4" w:space="0"/>
              <w:right w:val="single" w:color="auto" w:sz="4" w:space="0"/>
            </w:tcBorders>
            <w:vAlign w:val="center"/>
          </w:tcPr>
          <w:p w14:paraId="4D1700E0">
            <w:pPr>
              <w:widowControl/>
              <w:jc w:val="left"/>
              <w:rPr>
                <w:rFonts w:ascii="宋体" w:hAnsi="宋体"/>
                <w:color w:val="auto"/>
                <w:kern w:val="0"/>
                <w:sz w:val="22"/>
                <w:szCs w:val="22"/>
              </w:rPr>
            </w:pPr>
            <w:r>
              <w:rPr>
                <w:rFonts w:hint="eastAsia" w:ascii="宋体" w:hAnsi="宋体"/>
                <w:color w:val="auto"/>
                <w:kern w:val="0"/>
                <w:sz w:val="22"/>
                <w:szCs w:val="22"/>
              </w:rPr>
              <w:t>≥2.4GHz</w:t>
            </w:r>
          </w:p>
        </w:tc>
        <w:tc>
          <w:tcPr>
            <w:tcW w:w="236" w:type="dxa"/>
            <w:vAlign w:val="center"/>
          </w:tcPr>
          <w:p w14:paraId="42F517C2">
            <w:pPr>
              <w:widowControl/>
              <w:jc w:val="left"/>
              <w:rPr>
                <w:rFonts w:eastAsia="Times New Roman"/>
                <w:color w:val="auto"/>
                <w:kern w:val="0"/>
                <w:sz w:val="22"/>
                <w:szCs w:val="22"/>
              </w:rPr>
            </w:pPr>
          </w:p>
        </w:tc>
      </w:tr>
      <w:tr w14:paraId="630047FE">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51E54E43">
            <w:pPr>
              <w:widowControl/>
              <w:jc w:val="center"/>
              <w:rPr>
                <w:rFonts w:ascii="宋体" w:hAnsi="宋体"/>
                <w:color w:val="auto"/>
                <w:kern w:val="0"/>
                <w:sz w:val="22"/>
                <w:szCs w:val="22"/>
              </w:rPr>
            </w:pPr>
            <w:r>
              <w:rPr>
                <w:rFonts w:hint="eastAsia" w:ascii="宋体" w:hAnsi="宋体"/>
                <w:color w:val="auto"/>
                <w:kern w:val="0"/>
                <w:sz w:val="22"/>
                <w:szCs w:val="22"/>
              </w:rPr>
              <w:t>103</w:t>
            </w:r>
          </w:p>
        </w:tc>
        <w:tc>
          <w:tcPr>
            <w:tcW w:w="1440" w:type="dxa"/>
            <w:vMerge w:val="continue"/>
            <w:tcBorders>
              <w:top w:val="nil"/>
              <w:left w:val="nil"/>
              <w:bottom w:val="single" w:color="auto" w:sz="4" w:space="0"/>
              <w:right w:val="single" w:color="auto" w:sz="4" w:space="0"/>
            </w:tcBorders>
            <w:vAlign w:val="center"/>
          </w:tcPr>
          <w:p w14:paraId="3616E060">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233B6B2B">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单CPU核数</w:t>
            </w:r>
          </w:p>
        </w:tc>
        <w:tc>
          <w:tcPr>
            <w:tcW w:w="4252" w:type="dxa"/>
            <w:tcBorders>
              <w:top w:val="nil"/>
              <w:left w:val="nil"/>
              <w:bottom w:val="single" w:color="auto" w:sz="4" w:space="0"/>
              <w:right w:val="single" w:color="auto" w:sz="4" w:space="0"/>
            </w:tcBorders>
            <w:vAlign w:val="center"/>
          </w:tcPr>
          <w:p w14:paraId="4232349F">
            <w:pPr>
              <w:widowControl/>
              <w:jc w:val="left"/>
              <w:rPr>
                <w:rFonts w:ascii="宋体" w:hAnsi="宋体"/>
                <w:color w:val="auto"/>
                <w:kern w:val="0"/>
                <w:sz w:val="22"/>
                <w:szCs w:val="22"/>
              </w:rPr>
            </w:pPr>
            <w:r>
              <w:rPr>
                <w:rFonts w:hint="eastAsia" w:ascii="宋体" w:hAnsi="宋体"/>
                <w:color w:val="auto"/>
                <w:kern w:val="0"/>
                <w:sz w:val="22"/>
                <w:szCs w:val="22"/>
              </w:rPr>
              <w:t>≥10</w:t>
            </w:r>
          </w:p>
        </w:tc>
        <w:tc>
          <w:tcPr>
            <w:tcW w:w="236" w:type="dxa"/>
            <w:vAlign w:val="center"/>
          </w:tcPr>
          <w:p w14:paraId="0EC4F4A1">
            <w:pPr>
              <w:widowControl/>
              <w:jc w:val="left"/>
              <w:rPr>
                <w:rFonts w:eastAsia="Times New Roman"/>
                <w:color w:val="auto"/>
                <w:kern w:val="0"/>
                <w:sz w:val="22"/>
                <w:szCs w:val="22"/>
              </w:rPr>
            </w:pPr>
          </w:p>
        </w:tc>
      </w:tr>
      <w:tr w14:paraId="4273E7FA">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0F778D28">
            <w:pPr>
              <w:widowControl/>
              <w:jc w:val="center"/>
              <w:rPr>
                <w:rFonts w:ascii="宋体" w:hAnsi="宋体"/>
                <w:color w:val="auto"/>
                <w:kern w:val="0"/>
                <w:sz w:val="22"/>
                <w:szCs w:val="22"/>
              </w:rPr>
            </w:pPr>
            <w:r>
              <w:rPr>
                <w:rFonts w:hint="eastAsia" w:ascii="宋体" w:hAnsi="宋体"/>
                <w:color w:val="auto"/>
                <w:kern w:val="0"/>
                <w:sz w:val="22"/>
                <w:szCs w:val="22"/>
              </w:rPr>
              <w:t>104</w:t>
            </w:r>
          </w:p>
        </w:tc>
        <w:tc>
          <w:tcPr>
            <w:tcW w:w="1440" w:type="dxa"/>
            <w:vMerge w:val="continue"/>
            <w:tcBorders>
              <w:top w:val="nil"/>
              <w:left w:val="nil"/>
              <w:bottom w:val="single" w:color="auto" w:sz="4" w:space="0"/>
              <w:right w:val="single" w:color="auto" w:sz="4" w:space="0"/>
            </w:tcBorders>
            <w:vAlign w:val="center"/>
          </w:tcPr>
          <w:p w14:paraId="1760A807">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33143F1E">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单CPU末级缓存容量</w:t>
            </w:r>
          </w:p>
        </w:tc>
        <w:tc>
          <w:tcPr>
            <w:tcW w:w="4252" w:type="dxa"/>
            <w:tcBorders>
              <w:top w:val="nil"/>
              <w:left w:val="nil"/>
              <w:bottom w:val="single" w:color="auto" w:sz="4" w:space="0"/>
              <w:right w:val="single" w:color="auto" w:sz="4" w:space="0"/>
            </w:tcBorders>
            <w:vAlign w:val="center"/>
          </w:tcPr>
          <w:p w14:paraId="3C06AB88">
            <w:pPr>
              <w:widowControl/>
              <w:jc w:val="left"/>
              <w:rPr>
                <w:rFonts w:ascii="宋体" w:hAnsi="宋体"/>
                <w:color w:val="auto"/>
                <w:kern w:val="0"/>
                <w:sz w:val="22"/>
                <w:szCs w:val="22"/>
              </w:rPr>
            </w:pPr>
            <w:r>
              <w:rPr>
                <w:rFonts w:hint="eastAsia" w:ascii="宋体" w:hAnsi="宋体"/>
                <w:color w:val="auto"/>
                <w:kern w:val="0"/>
                <w:sz w:val="22"/>
                <w:szCs w:val="22"/>
              </w:rPr>
              <w:t>≥13MB</w:t>
            </w:r>
          </w:p>
        </w:tc>
        <w:tc>
          <w:tcPr>
            <w:tcW w:w="236" w:type="dxa"/>
            <w:vAlign w:val="center"/>
          </w:tcPr>
          <w:p w14:paraId="0F1B4236">
            <w:pPr>
              <w:widowControl/>
              <w:jc w:val="left"/>
              <w:rPr>
                <w:rFonts w:eastAsia="Times New Roman"/>
                <w:color w:val="auto"/>
                <w:kern w:val="0"/>
                <w:sz w:val="22"/>
                <w:szCs w:val="22"/>
              </w:rPr>
            </w:pPr>
          </w:p>
        </w:tc>
      </w:tr>
      <w:tr w14:paraId="2128A0A7">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7AD95B66">
            <w:pPr>
              <w:widowControl/>
              <w:jc w:val="center"/>
              <w:rPr>
                <w:rFonts w:ascii="宋体" w:hAnsi="宋体"/>
                <w:color w:val="auto"/>
                <w:kern w:val="0"/>
                <w:sz w:val="22"/>
                <w:szCs w:val="22"/>
              </w:rPr>
            </w:pPr>
            <w:r>
              <w:rPr>
                <w:rFonts w:hint="eastAsia" w:ascii="宋体" w:hAnsi="宋体"/>
                <w:color w:val="auto"/>
                <w:kern w:val="0"/>
                <w:sz w:val="22"/>
                <w:szCs w:val="22"/>
              </w:rPr>
              <w:t>105</w:t>
            </w:r>
          </w:p>
        </w:tc>
        <w:tc>
          <w:tcPr>
            <w:tcW w:w="1440" w:type="dxa"/>
            <w:vMerge w:val="restart"/>
            <w:tcBorders>
              <w:top w:val="nil"/>
              <w:left w:val="nil"/>
              <w:bottom w:val="single" w:color="auto" w:sz="4" w:space="0"/>
              <w:right w:val="single" w:color="auto" w:sz="4" w:space="0"/>
            </w:tcBorders>
            <w:vAlign w:val="center"/>
          </w:tcPr>
          <w:p w14:paraId="1AB852B5">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内存性能</w:t>
            </w:r>
          </w:p>
        </w:tc>
        <w:tc>
          <w:tcPr>
            <w:tcW w:w="2627" w:type="dxa"/>
            <w:tcBorders>
              <w:top w:val="nil"/>
              <w:left w:val="nil"/>
              <w:bottom w:val="single" w:color="auto" w:sz="4" w:space="0"/>
              <w:right w:val="single" w:color="auto" w:sz="4" w:space="0"/>
            </w:tcBorders>
            <w:vAlign w:val="center"/>
          </w:tcPr>
          <w:p w14:paraId="5ACABC5B">
            <w:pPr>
              <w:widowControl/>
              <w:jc w:val="left"/>
              <w:rPr>
                <w:rFonts w:ascii="宋体" w:hAnsi="宋体"/>
                <w:color w:val="auto"/>
                <w:kern w:val="0"/>
                <w:sz w:val="22"/>
                <w:szCs w:val="22"/>
              </w:rPr>
            </w:pPr>
            <w:r>
              <w:rPr>
                <w:rFonts w:hint="eastAsia" w:ascii="宋体" w:hAnsi="宋体"/>
                <w:color w:val="auto"/>
                <w:kern w:val="0"/>
                <w:sz w:val="22"/>
                <w:szCs w:val="22"/>
              </w:rPr>
              <w:t>单内存模块容量</w:t>
            </w:r>
          </w:p>
        </w:tc>
        <w:tc>
          <w:tcPr>
            <w:tcW w:w="4252" w:type="dxa"/>
            <w:tcBorders>
              <w:top w:val="nil"/>
              <w:left w:val="nil"/>
              <w:bottom w:val="single" w:color="auto" w:sz="4" w:space="0"/>
              <w:right w:val="single" w:color="auto" w:sz="4" w:space="0"/>
            </w:tcBorders>
            <w:vAlign w:val="center"/>
          </w:tcPr>
          <w:p w14:paraId="482D2586">
            <w:pPr>
              <w:widowControl/>
              <w:jc w:val="left"/>
              <w:rPr>
                <w:rFonts w:ascii="宋体" w:hAnsi="宋体"/>
                <w:color w:val="auto"/>
                <w:kern w:val="0"/>
                <w:sz w:val="22"/>
                <w:szCs w:val="22"/>
              </w:rPr>
            </w:pPr>
            <w:r>
              <w:rPr>
                <w:rFonts w:hint="eastAsia" w:ascii="宋体" w:hAnsi="宋体"/>
                <w:color w:val="auto"/>
                <w:kern w:val="0"/>
                <w:sz w:val="22"/>
                <w:szCs w:val="22"/>
              </w:rPr>
              <w:t>单条内存≥32GB，本次配置总容量≥32GB*4</w:t>
            </w:r>
          </w:p>
        </w:tc>
        <w:tc>
          <w:tcPr>
            <w:tcW w:w="236" w:type="dxa"/>
            <w:vAlign w:val="center"/>
          </w:tcPr>
          <w:p w14:paraId="08E57299">
            <w:pPr>
              <w:widowControl/>
              <w:jc w:val="left"/>
              <w:rPr>
                <w:rFonts w:eastAsia="Times New Roman"/>
                <w:color w:val="auto"/>
                <w:kern w:val="0"/>
                <w:sz w:val="22"/>
                <w:szCs w:val="22"/>
              </w:rPr>
            </w:pPr>
          </w:p>
        </w:tc>
      </w:tr>
      <w:tr w14:paraId="6D1A3280">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5162E0A4">
            <w:pPr>
              <w:widowControl/>
              <w:jc w:val="center"/>
              <w:rPr>
                <w:rFonts w:ascii="宋体" w:hAnsi="宋体"/>
                <w:color w:val="auto"/>
                <w:kern w:val="0"/>
                <w:sz w:val="22"/>
                <w:szCs w:val="22"/>
              </w:rPr>
            </w:pPr>
            <w:r>
              <w:rPr>
                <w:rFonts w:hint="eastAsia" w:ascii="宋体" w:hAnsi="宋体"/>
                <w:color w:val="auto"/>
                <w:kern w:val="0"/>
                <w:sz w:val="22"/>
                <w:szCs w:val="22"/>
              </w:rPr>
              <w:t>106</w:t>
            </w:r>
          </w:p>
        </w:tc>
        <w:tc>
          <w:tcPr>
            <w:tcW w:w="1440" w:type="dxa"/>
            <w:vMerge w:val="continue"/>
            <w:tcBorders>
              <w:top w:val="nil"/>
              <w:left w:val="nil"/>
              <w:bottom w:val="single" w:color="auto" w:sz="4" w:space="0"/>
              <w:right w:val="single" w:color="auto" w:sz="4" w:space="0"/>
            </w:tcBorders>
            <w:vAlign w:val="center"/>
          </w:tcPr>
          <w:p w14:paraId="358AA1C5">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1D6CE3D0">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内存速率</w:t>
            </w:r>
          </w:p>
        </w:tc>
        <w:tc>
          <w:tcPr>
            <w:tcW w:w="4252" w:type="dxa"/>
            <w:tcBorders>
              <w:top w:val="nil"/>
              <w:left w:val="nil"/>
              <w:bottom w:val="single" w:color="auto" w:sz="4" w:space="0"/>
              <w:right w:val="single" w:color="auto" w:sz="4" w:space="0"/>
            </w:tcBorders>
            <w:vAlign w:val="center"/>
          </w:tcPr>
          <w:p w14:paraId="45BF77C4">
            <w:pPr>
              <w:widowControl/>
              <w:jc w:val="left"/>
              <w:rPr>
                <w:rFonts w:ascii="宋体" w:hAnsi="宋体"/>
                <w:color w:val="auto"/>
                <w:kern w:val="0"/>
                <w:sz w:val="22"/>
                <w:szCs w:val="22"/>
              </w:rPr>
            </w:pPr>
            <w:r>
              <w:rPr>
                <w:rFonts w:hint="eastAsia" w:ascii="宋体" w:hAnsi="宋体"/>
                <w:color w:val="auto"/>
                <w:kern w:val="0"/>
                <w:sz w:val="22"/>
                <w:szCs w:val="22"/>
              </w:rPr>
              <w:t>≥2400MT/s</w:t>
            </w:r>
          </w:p>
        </w:tc>
        <w:tc>
          <w:tcPr>
            <w:tcW w:w="236" w:type="dxa"/>
            <w:vAlign w:val="center"/>
          </w:tcPr>
          <w:p w14:paraId="7AEB4322">
            <w:pPr>
              <w:widowControl/>
              <w:jc w:val="left"/>
              <w:rPr>
                <w:rFonts w:eastAsia="Times New Roman"/>
                <w:color w:val="auto"/>
                <w:kern w:val="0"/>
                <w:sz w:val="22"/>
                <w:szCs w:val="22"/>
              </w:rPr>
            </w:pPr>
          </w:p>
        </w:tc>
      </w:tr>
      <w:tr w14:paraId="219F6529">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0AD4C113">
            <w:pPr>
              <w:widowControl/>
              <w:jc w:val="center"/>
              <w:rPr>
                <w:rFonts w:ascii="宋体" w:hAnsi="宋体"/>
                <w:color w:val="auto"/>
                <w:kern w:val="0"/>
                <w:sz w:val="22"/>
                <w:szCs w:val="22"/>
              </w:rPr>
            </w:pPr>
            <w:r>
              <w:rPr>
                <w:rFonts w:hint="eastAsia" w:ascii="宋体" w:hAnsi="宋体"/>
                <w:color w:val="auto"/>
                <w:kern w:val="0"/>
                <w:sz w:val="22"/>
                <w:szCs w:val="22"/>
              </w:rPr>
              <w:t>107</w:t>
            </w:r>
          </w:p>
        </w:tc>
        <w:tc>
          <w:tcPr>
            <w:tcW w:w="1440" w:type="dxa"/>
            <w:tcBorders>
              <w:top w:val="nil"/>
              <w:left w:val="nil"/>
              <w:bottom w:val="single" w:color="auto" w:sz="4" w:space="0"/>
              <w:right w:val="single" w:color="auto" w:sz="4" w:space="0"/>
            </w:tcBorders>
            <w:vAlign w:val="center"/>
          </w:tcPr>
          <w:p w14:paraId="53A01173">
            <w:pPr>
              <w:widowControl/>
              <w:jc w:val="center"/>
              <w:rPr>
                <w:rFonts w:ascii="宋体" w:hAnsi="宋体"/>
                <w:color w:val="auto"/>
                <w:kern w:val="0"/>
                <w:sz w:val="22"/>
                <w:szCs w:val="22"/>
              </w:rPr>
            </w:pPr>
            <w:r>
              <w:rPr>
                <w:rFonts w:hint="eastAsia" w:ascii="宋体" w:hAnsi="宋体"/>
                <w:color w:val="auto"/>
                <w:kern w:val="0"/>
                <w:sz w:val="22"/>
                <w:szCs w:val="22"/>
              </w:rPr>
              <w:t>存储性能</w:t>
            </w:r>
          </w:p>
        </w:tc>
        <w:tc>
          <w:tcPr>
            <w:tcW w:w="2627" w:type="dxa"/>
            <w:tcBorders>
              <w:top w:val="nil"/>
              <w:left w:val="nil"/>
              <w:bottom w:val="single" w:color="auto" w:sz="4" w:space="0"/>
              <w:right w:val="single" w:color="auto" w:sz="4" w:space="0"/>
            </w:tcBorders>
            <w:vAlign w:val="center"/>
          </w:tcPr>
          <w:p w14:paraId="3E6D1AB6">
            <w:pPr>
              <w:widowControl/>
              <w:jc w:val="left"/>
              <w:rPr>
                <w:rFonts w:ascii="宋体" w:hAnsi="宋体"/>
                <w:color w:val="auto"/>
                <w:kern w:val="0"/>
                <w:sz w:val="22"/>
                <w:szCs w:val="22"/>
              </w:rPr>
            </w:pPr>
            <w:r>
              <w:rPr>
                <w:rFonts w:hint="eastAsia" w:ascii="宋体" w:hAnsi="宋体"/>
                <w:color w:val="auto"/>
                <w:kern w:val="0"/>
                <w:sz w:val="22"/>
                <w:szCs w:val="22"/>
              </w:rPr>
              <w:t>硬盘转速</w:t>
            </w:r>
          </w:p>
        </w:tc>
        <w:tc>
          <w:tcPr>
            <w:tcW w:w="4252" w:type="dxa"/>
            <w:tcBorders>
              <w:top w:val="nil"/>
              <w:left w:val="nil"/>
              <w:bottom w:val="single" w:color="auto" w:sz="4" w:space="0"/>
              <w:right w:val="single" w:color="auto" w:sz="4" w:space="0"/>
            </w:tcBorders>
            <w:vAlign w:val="center"/>
          </w:tcPr>
          <w:p w14:paraId="2EDEC3A5">
            <w:pPr>
              <w:widowControl/>
              <w:jc w:val="left"/>
              <w:rPr>
                <w:rFonts w:ascii="宋体" w:hAnsi="宋体"/>
                <w:color w:val="auto"/>
                <w:kern w:val="0"/>
                <w:sz w:val="22"/>
                <w:szCs w:val="22"/>
              </w:rPr>
            </w:pPr>
            <w:r>
              <w:rPr>
                <w:rFonts w:hint="eastAsia" w:ascii="宋体" w:hAnsi="宋体"/>
                <w:color w:val="auto"/>
                <w:kern w:val="0"/>
                <w:sz w:val="22"/>
                <w:szCs w:val="22"/>
              </w:rPr>
              <w:t>安装的硬磁盘转速不小于7200rpm</w:t>
            </w:r>
          </w:p>
        </w:tc>
        <w:tc>
          <w:tcPr>
            <w:tcW w:w="236" w:type="dxa"/>
            <w:vAlign w:val="center"/>
          </w:tcPr>
          <w:p w14:paraId="5DD95038">
            <w:pPr>
              <w:widowControl/>
              <w:jc w:val="left"/>
              <w:rPr>
                <w:rFonts w:eastAsia="Times New Roman"/>
                <w:color w:val="auto"/>
                <w:kern w:val="0"/>
                <w:sz w:val="22"/>
                <w:szCs w:val="22"/>
              </w:rPr>
            </w:pPr>
          </w:p>
        </w:tc>
      </w:tr>
      <w:tr w14:paraId="68C7CC87">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77497BAB">
            <w:pPr>
              <w:widowControl/>
              <w:jc w:val="center"/>
              <w:rPr>
                <w:rFonts w:ascii="宋体" w:hAnsi="宋体"/>
                <w:color w:val="auto"/>
                <w:kern w:val="0"/>
                <w:sz w:val="22"/>
                <w:szCs w:val="22"/>
              </w:rPr>
            </w:pPr>
            <w:r>
              <w:rPr>
                <w:rFonts w:hint="eastAsia" w:ascii="宋体" w:hAnsi="宋体"/>
                <w:color w:val="auto"/>
                <w:kern w:val="0"/>
                <w:sz w:val="22"/>
                <w:szCs w:val="22"/>
              </w:rPr>
              <w:t>108</w:t>
            </w:r>
          </w:p>
        </w:tc>
        <w:tc>
          <w:tcPr>
            <w:tcW w:w="1440" w:type="dxa"/>
            <w:tcBorders>
              <w:top w:val="nil"/>
              <w:left w:val="nil"/>
              <w:bottom w:val="single" w:color="auto" w:sz="4" w:space="0"/>
              <w:right w:val="single" w:color="auto" w:sz="4" w:space="0"/>
            </w:tcBorders>
            <w:vAlign w:val="center"/>
          </w:tcPr>
          <w:p w14:paraId="3BE9D79C">
            <w:pPr>
              <w:widowControl/>
              <w:jc w:val="center"/>
              <w:rPr>
                <w:rFonts w:ascii="宋体" w:hAnsi="宋体"/>
                <w:color w:val="auto"/>
                <w:kern w:val="0"/>
                <w:sz w:val="22"/>
                <w:szCs w:val="22"/>
              </w:rPr>
            </w:pPr>
            <w:r>
              <w:rPr>
                <w:rFonts w:hint="eastAsia" w:ascii="宋体" w:hAnsi="宋体"/>
                <w:color w:val="auto"/>
                <w:kern w:val="0"/>
                <w:sz w:val="22"/>
                <w:szCs w:val="22"/>
              </w:rPr>
              <w:t>RAID卡性能</w:t>
            </w:r>
          </w:p>
        </w:tc>
        <w:tc>
          <w:tcPr>
            <w:tcW w:w="2627" w:type="dxa"/>
            <w:tcBorders>
              <w:top w:val="nil"/>
              <w:left w:val="nil"/>
              <w:bottom w:val="single" w:color="auto" w:sz="4" w:space="0"/>
              <w:right w:val="single" w:color="auto" w:sz="4" w:space="0"/>
            </w:tcBorders>
            <w:vAlign w:val="center"/>
          </w:tcPr>
          <w:p w14:paraId="096D05A1">
            <w:pPr>
              <w:widowControl/>
              <w:jc w:val="left"/>
              <w:rPr>
                <w:rFonts w:ascii="宋体" w:hAnsi="宋体"/>
                <w:color w:val="auto"/>
                <w:kern w:val="0"/>
                <w:sz w:val="22"/>
                <w:szCs w:val="22"/>
              </w:rPr>
            </w:pPr>
            <w:r>
              <w:rPr>
                <w:rFonts w:hint="eastAsia" w:ascii="宋体" w:hAnsi="宋体"/>
                <w:color w:val="auto"/>
                <w:kern w:val="0"/>
                <w:sz w:val="22"/>
                <w:szCs w:val="22"/>
              </w:rPr>
              <w:t>RAID卡缓存容量大小</w:t>
            </w:r>
          </w:p>
        </w:tc>
        <w:tc>
          <w:tcPr>
            <w:tcW w:w="4252" w:type="dxa"/>
            <w:tcBorders>
              <w:top w:val="nil"/>
              <w:left w:val="nil"/>
              <w:bottom w:val="single" w:color="auto" w:sz="4" w:space="0"/>
              <w:right w:val="single" w:color="auto" w:sz="4" w:space="0"/>
            </w:tcBorders>
            <w:vAlign w:val="center"/>
          </w:tcPr>
          <w:p w14:paraId="6496DFC3">
            <w:pPr>
              <w:widowControl/>
              <w:jc w:val="left"/>
              <w:rPr>
                <w:rFonts w:ascii="宋体" w:hAnsi="宋体"/>
                <w:color w:val="auto"/>
                <w:kern w:val="0"/>
                <w:sz w:val="22"/>
                <w:szCs w:val="22"/>
              </w:rPr>
            </w:pPr>
            <w:r>
              <w:rPr>
                <w:rFonts w:hint="eastAsia" w:ascii="宋体" w:hAnsi="宋体"/>
                <w:color w:val="auto"/>
                <w:kern w:val="0"/>
                <w:sz w:val="22"/>
                <w:szCs w:val="22"/>
              </w:rPr>
              <w:t>若配备RAID卡且RAID卡有缓存容量，容量不少于2GB</w:t>
            </w:r>
          </w:p>
        </w:tc>
        <w:tc>
          <w:tcPr>
            <w:tcW w:w="236" w:type="dxa"/>
            <w:vAlign w:val="center"/>
          </w:tcPr>
          <w:p w14:paraId="58A746AF">
            <w:pPr>
              <w:widowControl/>
              <w:jc w:val="left"/>
              <w:rPr>
                <w:rFonts w:eastAsia="Times New Roman"/>
                <w:color w:val="auto"/>
                <w:kern w:val="0"/>
                <w:sz w:val="22"/>
                <w:szCs w:val="22"/>
              </w:rPr>
            </w:pPr>
          </w:p>
        </w:tc>
      </w:tr>
      <w:tr w14:paraId="3AA6DA8E">
        <w:tblPrEx>
          <w:tblCellMar>
            <w:top w:w="0" w:type="dxa"/>
            <w:left w:w="108" w:type="dxa"/>
            <w:bottom w:w="0" w:type="dxa"/>
            <w:right w:w="108" w:type="dxa"/>
          </w:tblCellMar>
        </w:tblPrEx>
        <w:trPr>
          <w:trHeight w:val="717" w:hRule="atLeast"/>
          <w:jc w:val="center"/>
        </w:trPr>
        <w:tc>
          <w:tcPr>
            <w:tcW w:w="779" w:type="dxa"/>
            <w:tcBorders>
              <w:top w:val="nil"/>
              <w:left w:val="single" w:color="auto" w:sz="4" w:space="0"/>
              <w:bottom w:val="single" w:color="auto" w:sz="4" w:space="0"/>
              <w:right w:val="single" w:color="auto" w:sz="4" w:space="0"/>
            </w:tcBorders>
            <w:vAlign w:val="center"/>
          </w:tcPr>
          <w:p w14:paraId="72CDD2D5">
            <w:pPr>
              <w:widowControl/>
              <w:jc w:val="center"/>
              <w:rPr>
                <w:rFonts w:ascii="宋体" w:hAnsi="宋体"/>
                <w:color w:val="auto"/>
                <w:kern w:val="0"/>
                <w:sz w:val="22"/>
                <w:szCs w:val="22"/>
              </w:rPr>
            </w:pPr>
            <w:r>
              <w:rPr>
                <w:rFonts w:hint="eastAsia" w:ascii="宋体" w:hAnsi="宋体"/>
                <w:color w:val="auto"/>
                <w:kern w:val="0"/>
                <w:sz w:val="22"/>
                <w:szCs w:val="22"/>
              </w:rPr>
              <w:t>109</w:t>
            </w:r>
          </w:p>
        </w:tc>
        <w:tc>
          <w:tcPr>
            <w:tcW w:w="1440" w:type="dxa"/>
            <w:tcBorders>
              <w:top w:val="nil"/>
              <w:left w:val="nil"/>
              <w:bottom w:val="single" w:color="auto" w:sz="4" w:space="0"/>
              <w:right w:val="single" w:color="auto" w:sz="4" w:space="0"/>
            </w:tcBorders>
            <w:vAlign w:val="center"/>
          </w:tcPr>
          <w:p w14:paraId="442A26AE">
            <w:pPr>
              <w:widowControl/>
              <w:jc w:val="center"/>
              <w:rPr>
                <w:rFonts w:ascii="宋体" w:hAnsi="宋体"/>
                <w:color w:val="auto"/>
                <w:kern w:val="0"/>
                <w:sz w:val="22"/>
                <w:szCs w:val="22"/>
              </w:rPr>
            </w:pPr>
            <w:r>
              <w:rPr>
                <w:rFonts w:hint="eastAsia" w:ascii="宋体" w:hAnsi="宋体"/>
                <w:color w:val="auto"/>
                <w:kern w:val="0"/>
                <w:sz w:val="22"/>
                <w:szCs w:val="22"/>
              </w:rPr>
              <w:t>FCHBA卡性能</w:t>
            </w:r>
          </w:p>
        </w:tc>
        <w:tc>
          <w:tcPr>
            <w:tcW w:w="2627" w:type="dxa"/>
            <w:tcBorders>
              <w:top w:val="nil"/>
              <w:left w:val="nil"/>
              <w:bottom w:val="single" w:color="auto" w:sz="4" w:space="0"/>
              <w:right w:val="single" w:color="auto" w:sz="4" w:space="0"/>
            </w:tcBorders>
            <w:vAlign w:val="center"/>
          </w:tcPr>
          <w:p w14:paraId="0DF9187C">
            <w:pPr>
              <w:widowControl/>
              <w:jc w:val="left"/>
              <w:rPr>
                <w:rFonts w:ascii="宋体" w:hAnsi="宋体"/>
                <w:color w:val="auto"/>
                <w:kern w:val="0"/>
                <w:sz w:val="22"/>
                <w:szCs w:val="22"/>
              </w:rPr>
            </w:pPr>
            <w:r>
              <w:rPr>
                <w:rFonts w:hint="eastAsia" w:ascii="宋体" w:hAnsi="宋体"/>
                <w:color w:val="auto"/>
                <w:kern w:val="0"/>
                <w:sz w:val="22"/>
                <w:szCs w:val="22"/>
              </w:rPr>
              <w:t>FCHBA卡速率</w:t>
            </w:r>
          </w:p>
        </w:tc>
        <w:tc>
          <w:tcPr>
            <w:tcW w:w="4252" w:type="dxa"/>
            <w:tcBorders>
              <w:top w:val="nil"/>
              <w:left w:val="nil"/>
              <w:bottom w:val="single" w:color="auto" w:sz="4" w:space="0"/>
              <w:right w:val="single" w:color="auto" w:sz="4" w:space="0"/>
            </w:tcBorders>
            <w:vAlign w:val="center"/>
          </w:tcPr>
          <w:p w14:paraId="49469DAA">
            <w:pPr>
              <w:widowControl/>
              <w:jc w:val="left"/>
              <w:rPr>
                <w:rFonts w:ascii="宋体" w:hAnsi="宋体"/>
                <w:color w:val="auto"/>
                <w:kern w:val="0"/>
                <w:sz w:val="22"/>
                <w:szCs w:val="22"/>
              </w:rPr>
            </w:pPr>
            <w:r>
              <w:rPr>
                <w:rFonts w:hint="eastAsia" w:ascii="宋体" w:hAnsi="宋体"/>
                <w:color w:val="auto"/>
                <w:kern w:val="0"/>
                <w:sz w:val="22"/>
                <w:szCs w:val="22"/>
              </w:rPr>
              <w:t>若配备FCHBA卡，单端口最大的连接速率不少于16Gb/s</w:t>
            </w:r>
          </w:p>
        </w:tc>
        <w:tc>
          <w:tcPr>
            <w:tcW w:w="236" w:type="dxa"/>
            <w:vAlign w:val="center"/>
          </w:tcPr>
          <w:p w14:paraId="16B18CD3">
            <w:pPr>
              <w:widowControl/>
              <w:jc w:val="left"/>
              <w:rPr>
                <w:rFonts w:eastAsia="Times New Roman"/>
                <w:color w:val="auto"/>
                <w:kern w:val="0"/>
                <w:sz w:val="22"/>
                <w:szCs w:val="22"/>
              </w:rPr>
            </w:pPr>
          </w:p>
        </w:tc>
      </w:tr>
      <w:tr w14:paraId="705A9062">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1141235C">
            <w:pPr>
              <w:widowControl/>
              <w:jc w:val="center"/>
              <w:rPr>
                <w:rFonts w:ascii="宋体" w:hAnsi="宋体"/>
                <w:color w:val="auto"/>
                <w:kern w:val="0"/>
                <w:sz w:val="22"/>
                <w:szCs w:val="22"/>
              </w:rPr>
            </w:pPr>
            <w:r>
              <w:rPr>
                <w:rFonts w:hint="eastAsia" w:ascii="宋体" w:hAnsi="宋体"/>
                <w:color w:val="auto"/>
                <w:kern w:val="0"/>
                <w:sz w:val="22"/>
                <w:szCs w:val="22"/>
              </w:rPr>
              <w:t>110</w:t>
            </w:r>
          </w:p>
        </w:tc>
        <w:tc>
          <w:tcPr>
            <w:tcW w:w="1440" w:type="dxa"/>
            <w:vMerge w:val="restart"/>
            <w:tcBorders>
              <w:top w:val="nil"/>
              <w:left w:val="nil"/>
              <w:bottom w:val="single" w:color="auto" w:sz="4" w:space="0"/>
              <w:right w:val="single" w:color="auto" w:sz="4" w:space="0"/>
            </w:tcBorders>
            <w:vAlign w:val="center"/>
          </w:tcPr>
          <w:p w14:paraId="293CD520">
            <w:pPr>
              <w:widowControl/>
              <w:jc w:val="center"/>
              <w:rPr>
                <w:rFonts w:ascii="宋体" w:hAnsi="宋体"/>
                <w:color w:val="auto"/>
                <w:kern w:val="0"/>
                <w:sz w:val="22"/>
                <w:szCs w:val="22"/>
              </w:rPr>
            </w:pPr>
            <w:r>
              <w:rPr>
                <w:rFonts w:hint="eastAsia" w:ascii="宋体" w:hAnsi="宋体"/>
                <w:color w:val="auto"/>
                <w:kern w:val="0"/>
                <w:sz w:val="22"/>
                <w:szCs w:val="22"/>
              </w:rPr>
              <w:t>网络性能</w:t>
            </w:r>
          </w:p>
        </w:tc>
        <w:tc>
          <w:tcPr>
            <w:tcW w:w="2627" w:type="dxa"/>
            <w:tcBorders>
              <w:top w:val="nil"/>
              <w:left w:val="nil"/>
              <w:bottom w:val="single" w:color="auto" w:sz="4" w:space="0"/>
              <w:right w:val="single" w:color="auto" w:sz="4" w:space="0"/>
            </w:tcBorders>
            <w:vAlign w:val="center"/>
          </w:tcPr>
          <w:p w14:paraId="41AA7845">
            <w:pPr>
              <w:widowControl/>
              <w:jc w:val="left"/>
              <w:rPr>
                <w:rFonts w:ascii="宋体" w:hAnsi="宋体"/>
                <w:color w:val="auto"/>
                <w:kern w:val="0"/>
                <w:sz w:val="22"/>
                <w:szCs w:val="22"/>
              </w:rPr>
            </w:pPr>
            <w:r>
              <w:rPr>
                <w:rFonts w:hint="eastAsia" w:ascii="宋体" w:hAnsi="宋体"/>
                <w:color w:val="auto"/>
                <w:kern w:val="0"/>
                <w:sz w:val="22"/>
                <w:szCs w:val="22"/>
              </w:rPr>
              <w:t>独立网卡速率</w:t>
            </w:r>
          </w:p>
        </w:tc>
        <w:tc>
          <w:tcPr>
            <w:tcW w:w="4252" w:type="dxa"/>
            <w:tcBorders>
              <w:top w:val="nil"/>
              <w:left w:val="nil"/>
              <w:bottom w:val="single" w:color="auto" w:sz="4" w:space="0"/>
              <w:right w:val="single" w:color="auto" w:sz="4" w:space="0"/>
            </w:tcBorders>
            <w:vAlign w:val="center"/>
          </w:tcPr>
          <w:p w14:paraId="526E5C0F">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13DE2A33">
            <w:pPr>
              <w:widowControl/>
              <w:jc w:val="left"/>
              <w:rPr>
                <w:rFonts w:eastAsia="Times New Roman"/>
                <w:color w:val="auto"/>
                <w:kern w:val="0"/>
                <w:sz w:val="22"/>
                <w:szCs w:val="22"/>
              </w:rPr>
            </w:pPr>
          </w:p>
        </w:tc>
      </w:tr>
      <w:tr w14:paraId="42A20F62">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2D240E60">
            <w:pPr>
              <w:widowControl/>
              <w:jc w:val="center"/>
              <w:rPr>
                <w:rFonts w:ascii="宋体" w:hAnsi="宋体"/>
                <w:color w:val="auto"/>
                <w:kern w:val="0"/>
                <w:sz w:val="22"/>
                <w:szCs w:val="22"/>
              </w:rPr>
            </w:pPr>
            <w:r>
              <w:rPr>
                <w:rFonts w:hint="eastAsia" w:ascii="宋体" w:hAnsi="宋体"/>
                <w:color w:val="auto"/>
                <w:kern w:val="0"/>
                <w:sz w:val="22"/>
                <w:szCs w:val="22"/>
              </w:rPr>
              <w:t>111</w:t>
            </w:r>
          </w:p>
        </w:tc>
        <w:tc>
          <w:tcPr>
            <w:tcW w:w="1440" w:type="dxa"/>
            <w:vMerge w:val="continue"/>
            <w:tcBorders>
              <w:top w:val="nil"/>
              <w:left w:val="nil"/>
              <w:bottom w:val="single" w:color="auto" w:sz="4" w:space="0"/>
              <w:right w:val="single" w:color="auto" w:sz="4" w:space="0"/>
            </w:tcBorders>
            <w:vAlign w:val="center"/>
          </w:tcPr>
          <w:p w14:paraId="5470487D">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36AA8C62">
            <w:pPr>
              <w:widowControl/>
              <w:jc w:val="left"/>
              <w:rPr>
                <w:rFonts w:ascii="宋体" w:hAnsi="宋体"/>
                <w:color w:val="auto"/>
                <w:kern w:val="0"/>
                <w:sz w:val="22"/>
                <w:szCs w:val="22"/>
              </w:rPr>
            </w:pPr>
            <w:r>
              <w:rPr>
                <w:rFonts w:hint="eastAsia" w:ascii="宋体" w:hAnsi="宋体"/>
                <w:color w:val="auto"/>
                <w:kern w:val="0"/>
                <w:sz w:val="22"/>
                <w:szCs w:val="22"/>
              </w:rPr>
              <w:t>板载网卡速率</w:t>
            </w:r>
          </w:p>
        </w:tc>
        <w:tc>
          <w:tcPr>
            <w:tcW w:w="4252" w:type="dxa"/>
            <w:tcBorders>
              <w:top w:val="nil"/>
              <w:left w:val="nil"/>
              <w:bottom w:val="single" w:color="auto" w:sz="4" w:space="0"/>
              <w:right w:val="single" w:color="auto" w:sz="4" w:space="0"/>
            </w:tcBorders>
            <w:vAlign w:val="center"/>
          </w:tcPr>
          <w:p w14:paraId="1E6BF1AC">
            <w:pPr>
              <w:widowControl/>
              <w:jc w:val="left"/>
              <w:rPr>
                <w:rFonts w:ascii="宋体" w:hAnsi="宋体"/>
                <w:color w:val="auto"/>
                <w:kern w:val="0"/>
                <w:sz w:val="22"/>
                <w:szCs w:val="22"/>
              </w:rPr>
            </w:pPr>
            <w:r>
              <w:rPr>
                <w:rFonts w:hint="eastAsia" w:ascii="宋体" w:hAnsi="宋体"/>
                <w:color w:val="auto"/>
                <w:kern w:val="0"/>
                <w:sz w:val="22"/>
                <w:szCs w:val="22"/>
              </w:rPr>
              <w:t>≥1GE</w:t>
            </w:r>
          </w:p>
        </w:tc>
        <w:tc>
          <w:tcPr>
            <w:tcW w:w="236" w:type="dxa"/>
            <w:vAlign w:val="center"/>
          </w:tcPr>
          <w:p w14:paraId="7A2DFF37">
            <w:pPr>
              <w:widowControl/>
              <w:jc w:val="left"/>
              <w:rPr>
                <w:rFonts w:eastAsia="Times New Roman"/>
                <w:color w:val="auto"/>
                <w:kern w:val="0"/>
                <w:sz w:val="22"/>
                <w:szCs w:val="22"/>
              </w:rPr>
            </w:pPr>
          </w:p>
        </w:tc>
      </w:tr>
      <w:tr w14:paraId="7D0DB3D4">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68A3FAD5">
            <w:pPr>
              <w:widowControl/>
              <w:jc w:val="center"/>
              <w:rPr>
                <w:rFonts w:ascii="宋体" w:hAnsi="宋体"/>
                <w:color w:val="auto"/>
                <w:kern w:val="0"/>
                <w:sz w:val="22"/>
                <w:szCs w:val="22"/>
              </w:rPr>
            </w:pPr>
            <w:r>
              <w:rPr>
                <w:rFonts w:hint="eastAsia" w:ascii="宋体" w:hAnsi="宋体"/>
                <w:color w:val="auto"/>
                <w:kern w:val="0"/>
                <w:sz w:val="22"/>
                <w:szCs w:val="22"/>
              </w:rPr>
              <w:t>112</w:t>
            </w:r>
          </w:p>
        </w:tc>
        <w:tc>
          <w:tcPr>
            <w:tcW w:w="1440" w:type="dxa"/>
            <w:tcBorders>
              <w:top w:val="nil"/>
              <w:left w:val="nil"/>
              <w:bottom w:val="single" w:color="auto" w:sz="4" w:space="0"/>
              <w:right w:val="single" w:color="auto" w:sz="4" w:space="0"/>
            </w:tcBorders>
            <w:vAlign w:val="center"/>
          </w:tcPr>
          <w:p w14:paraId="2706A64B">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电源能耗</w:t>
            </w:r>
          </w:p>
        </w:tc>
        <w:tc>
          <w:tcPr>
            <w:tcW w:w="2627" w:type="dxa"/>
            <w:tcBorders>
              <w:top w:val="nil"/>
              <w:left w:val="nil"/>
              <w:bottom w:val="single" w:color="auto" w:sz="4" w:space="0"/>
              <w:right w:val="single" w:color="auto" w:sz="4" w:space="0"/>
            </w:tcBorders>
            <w:vAlign w:val="center"/>
          </w:tcPr>
          <w:p w14:paraId="077B6703">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电源能耗</w:t>
            </w:r>
          </w:p>
        </w:tc>
        <w:tc>
          <w:tcPr>
            <w:tcW w:w="4252" w:type="dxa"/>
            <w:tcBorders>
              <w:top w:val="nil"/>
              <w:left w:val="nil"/>
              <w:bottom w:val="single" w:color="auto" w:sz="4" w:space="0"/>
              <w:right w:val="single" w:color="auto" w:sz="4" w:space="0"/>
            </w:tcBorders>
            <w:vAlign w:val="center"/>
          </w:tcPr>
          <w:p w14:paraId="2A550853">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76560298">
            <w:pPr>
              <w:widowControl/>
              <w:jc w:val="left"/>
              <w:rPr>
                <w:rFonts w:eastAsia="Times New Roman"/>
                <w:color w:val="auto"/>
                <w:kern w:val="0"/>
                <w:sz w:val="22"/>
                <w:szCs w:val="22"/>
              </w:rPr>
            </w:pPr>
          </w:p>
        </w:tc>
      </w:tr>
      <w:tr w14:paraId="12DECCFF">
        <w:tblPrEx>
          <w:tblCellMar>
            <w:top w:w="0" w:type="dxa"/>
            <w:left w:w="108" w:type="dxa"/>
            <w:bottom w:w="0" w:type="dxa"/>
            <w:right w:w="108" w:type="dxa"/>
          </w:tblCellMar>
        </w:tblPrEx>
        <w:trPr>
          <w:trHeight w:val="559" w:hRule="atLeast"/>
          <w:jc w:val="center"/>
        </w:trPr>
        <w:tc>
          <w:tcPr>
            <w:tcW w:w="779" w:type="dxa"/>
            <w:tcBorders>
              <w:top w:val="nil"/>
              <w:left w:val="single" w:color="auto" w:sz="4" w:space="0"/>
              <w:bottom w:val="single" w:color="auto" w:sz="4" w:space="0"/>
              <w:right w:val="single" w:color="auto" w:sz="4" w:space="0"/>
            </w:tcBorders>
            <w:vAlign w:val="center"/>
          </w:tcPr>
          <w:p w14:paraId="77F28DB1">
            <w:pPr>
              <w:widowControl/>
              <w:jc w:val="center"/>
              <w:rPr>
                <w:rFonts w:ascii="宋体" w:hAnsi="宋体"/>
                <w:color w:val="auto"/>
                <w:kern w:val="0"/>
                <w:sz w:val="22"/>
                <w:szCs w:val="22"/>
              </w:rPr>
            </w:pPr>
            <w:r>
              <w:rPr>
                <w:rFonts w:hint="eastAsia" w:ascii="宋体" w:hAnsi="宋体"/>
                <w:color w:val="auto"/>
                <w:kern w:val="0"/>
                <w:sz w:val="22"/>
                <w:szCs w:val="22"/>
              </w:rPr>
              <w:t>113</w:t>
            </w:r>
          </w:p>
        </w:tc>
        <w:tc>
          <w:tcPr>
            <w:tcW w:w="1440" w:type="dxa"/>
            <w:vMerge w:val="restart"/>
            <w:tcBorders>
              <w:top w:val="nil"/>
              <w:left w:val="nil"/>
              <w:bottom w:val="single" w:color="auto" w:sz="4" w:space="0"/>
              <w:right w:val="single" w:color="auto" w:sz="4" w:space="0"/>
            </w:tcBorders>
            <w:vAlign w:val="center"/>
          </w:tcPr>
          <w:p w14:paraId="6EA5D2A8">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部件兼容性要求</w:t>
            </w:r>
          </w:p>
        </w:tc>
        <w:tc>
          <w:tcPr>
            <w:tcW w:w="2627" w:type="dxa"/>
            <w:tcBorders>
              <w:top w:val="nil"/>
              <w:left w:val="nil"/>
              <w:bottom w:val="single" w:color="auto" w:sz="4" w:space="0"/>
              <w:right w:val="single" w:color="auto" w:sz="4" w:space="0"/>
            </w:tcBorders>
            <w:vAlign w:val="center"/>
          </w:tcPr>
          <w:p w14:paraId="6CEABE26">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内存兼容性</w:t>
            </w:r>
          </w:p>
        </w:tc>
        <w:tc>
          <w:tcPr>
            <w:tcW w:w="4252" w:type="dxa"/>
            <w:tcBorders>
              <w:top w:val="nil"/>
              <w:left w:val="nil"/>
              <w:bottom w:val="single" w:color="auto" w:sz="4" w:space="0"/>
              <w:right w:val="single" w:color="auto" w:sz="4" w:space="0"/>
            </w:tcBorders>
            <w:vAlign w:val="center"/>
          </w:tcPr>
          <w:p w14:paraId="6F8653CE">
            <w:pPr>
              <w:widowControl/>
              <w:jc w:val="left"/>
              <w:rPr>
                <w:rFonts w:ascii="宋体" w:hAnsi="宋体"/>
                <w:color w:val="auto"/>
                <w:kern w:val="0"/>
                <w:sz w:val="22"/>
                <w:szCs w:val="22"/>
              </w:rPr>
            </w:pPr>
            <w:r>
              <w:rPr>
                <w:rFonts w:hint="eastAsia" w:ascii="宋体" w:hAnsi="宋体"/>
                <w:color w:val="auto"/>
                <w:kern w:val="0"/>
                <w:sz w:val="22"/>
                <w:szCs w:val="22"/>
              </w:rPr>
              <w:t>适配3种及以上厂商的内存产品，且均不低于产品支持的内存规格</w:t>
            </w:r>
          </w:p>
        </w:tc>
        <w:tc>
          <w:tcPr>
            <w:tcW w:w="236" w:type="dxa"/>
            <w:vAlign w:val="center"/>
          </w:tcPr>
          <w:p w14:paraId="553ABC10">
            <w:pPr>
              <w:widowControl/>
              <w:jc w:val="left"/>
              <w:rPr>
                <w:rFonts w:eastAsia="Times New Roman"/>
                <w:color w:val="auto"/>
                <w:kern w:val="0"/>
                <w:sz w:val="22"/>
                <w:szCs w:val="22"/>
              </w:rPr>
            </w:pPr>
          </w:p>
        </w:tc>
      </w:tr>
      <w:tr w14:paraId="297A709A">
        <w:tblPrEx>
          <w:tblCellMar>
            <w:top w:w="0" w:type="dxa"/>
            <w:left w:w="108" w:type="dxa"/>
            <w:bottom w:w="0" w:type="dxa"/>
            <w:right w:w="108" w:type="dxa"/>
          </w:tblCellMar>
        </w:tblPrEx>
        <w:trPr>
          <w:trHeight w:val="553" w:hRule="atLeast"/>
          <w:jc w:val="center"/>
        </w:trPr>
        <w:tc>
          <w:tcPr>
            <w:tcW w:w="779" w:type="dxa"/>
            <w:tcBorders>
              <w:top w:val="nil"/>
              <w:left w:val="single" w:color="auto" w:sz="4" w:space="0"/>
              <w:bottom w:val="single" w:color="auto" w:sz="4" w:space="0"/>
              <w:right w:val="single" w:color="auto" w:sz="4" w:space="0"/>
            </w:tcBorders>
            <w:vAlign w:val="center"/>
          </w:tcPr>
          <w:p w14:paraId="1ACD4A5A">
            <w:pPr>
              <w:widowControl/>
              <w:jc w:val="center"/>
              <w:rPr>
                <w:rFonts w:ascii="宋体" w:hAnsi="宋体"/>
                <w:color w:val="auto"/>
                <w:kern w:val="0"/>
                <w:sz w:val="22"/>
                <w:szCs w:val="22"/>
              </w:rPr>
            </w:pPr>
            <w:r>
              <w:rPr>
                <w:rFonts w:hint="eastAsia" w:ascii="宋体" w:hAnsi="宋体"/>
                <w:color w:val="auto"/>
                <w:kern w:val="0"/>
                <w:sz w:val="22"/>
                <w:szCs w:val="22"/>
              </w:rPr>
              <w:t>114</w:t>
            </w:r>
          </w:p>
        </w:tc>
        <w:tc>
          <w:tcPr>
            <w:tcW w:w="1440" w:type="dxa"/>
            <w:vMerge w:val="continue"/>
            <w:tcBorders>
              <w:top w:val="nil"/>
              <w:left w:val="nil"/>
              <w:bottom w:val="single" w:color="auto" w:sz="4" w:space="0"/>
              <w:right w:val="single" w:color="auto" w:sz="4" w:space="0"/>
            </w:tcBorders>
            <w:vAlign w:val="center"/>
          </w:tcPr>
          <w:p w14:paraId="3F20963A">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404C5F17">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固态存储兼容性</w:t>
            </w:r>
          </w:p>
        </w:tc>
        <w:tc>
          <w:tcPr>
            <w:tcW w:w="4252" w:type="dxa"/>
            <w:tcBorders>
              <w:top w:val="nil"/>
              <w:left w:val="nil"/>
              <w:bottom w:val="single" w:color="auto" w:sz="4" w:space="0"/>
              <w:right w:val="single" w:color="auto" w:sz="4" w:space="0"/>
            </w:tcBorders>
            <w:vAlign w:val="center"/>
          </w:tcPr>
          <w:p w14:paraId="3678047E">
            <w:pPr>
              <w:widowControl/>
              <w:jc w:val="left"/>
              <w:rPr>
                <w:rFonts w:ascii="宋体" w:hAnsi="宋体"/>
                <w:color w:val="auto"/>
                <w:kern w:val="0"/>
                <w:sz w:val="22"/>
                <w:szCs w:val="22"/>
              </w:rPr>
            </w:pPr>
            <w:r>
              <w:rPr>
                <w:rFonts w:hint="eastAsia" w:ascii="宋体" w:hAnsi="宋体"/>
                <w:color w:val="auto"/>
                <w:kern w:val="0"/>
                <w:sz w:val="22"/>
                <w:szCs w:val="22"/>
              </w:rPr>
              <w:t>适配3种或以上厂商的固态存储产品，且均不低于产品支持的固态存储设备规格</w:t>
            </w:r>
          </w:p>
        </w:tc>
        <w:tc>
          <w:tcPr>
            <w:tcW w:w="236" w:type="dxa"/>
            <w:vAlign w:val="center"/>
          </w:tcPr>
          <w:p w14:paraId="0CB72B15">
            <w:pPr>
              <w:widowControl/>
              <w:jc w:val="left"/>
              <w:rPr>
                <w:rFonts w:eastAsia="Times New Roman"/>
                <w:color w:val="auto"/>
                <w:kern w:val="0"/>
                <w:sz w:val="22"/>
                <w:szCs w:val="22"/>
              </w:rPr>
            </w:pPr>
          </w:p>
        </w:tc>
      </w:tr>
      <w:tr w14:paraId="1CB452A5">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4D5B65F5">
            <w:pPr>
              <w:widowControl/>
              <w:jc w:val="center"/>
              <w:rPr>
                <w:rFonts w:ascii="宋体" w:hAnsi="宋体"/>
                <w:color w:val="auto"/>
                <w:kern w:val="0"/>
                <w:sz w:val="22"/>
                <w:szCs w:val="22"/>
              </w:rPr>
            </w:pPr>
            <w:r>
              <w:rPr>
                <w:rFonts w:hint="eastAsia" w:ascii="宋体" w:hAnsi="宋体"/>
                <w:color w:val="auto"/>
                <w:kern w:val="0"/>
                <w:sz w:val="22"/>
                <w:szCs w:val="22"/>
              </w:rPr>
              <w:t>115</w:t>
            </w:r>
          </w:p>
        </w:tc>
        <w:tc>
          <w:tcPr>
            <w:tcW w:w="1440" w:type="dxa"/>
            <w:vMerge w:val="continue"/>
            <w:tcBorders>
              <w:top w:val="nil"/>
              <w:left w:val="nil"/>
              <w:bottom w:val="single" w:color="auto" w:sz="4" w:space="0"/>
              <w:right w:val="single" w:color="auto" w:sz="4" w:space="0"/>
            </w:tcBorders>
            <w:vAlign w:val="center"/>
          </w:tcPr>
          <w:p w14:paraId="0FD22CD3">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4957FE80">
            <w:pPr>
              <w:widowControl/>
              <w:jc w:val="left"/>
              <w:rPr>
                <w:rFonts w:ascii="宋体" w:hAnsi="宋体"/>
                <w:color w:val="auto"/>
                <w:kern w:val="0"/>
                <w:sz w:val="22"/>
                <w:szCs w:val="22"/>
              </w:rPr>
            </w:pPr>
            <w:r>
              <w:rPr>
                <w:rFonts w:hint="eastAsia" w:ascii="宋体" w:hAnsi="宋体"/>
                <w:color w:val="auto"/>
                <w:kern w:val="0"/>
                <w:sz w:val="22"/>
                <w:szCs w:val="22"/>
              </w:rPr>
              <w:t>FCHBA卡兼容性</w:t>
            </w:r>
          </w:p>
        </w:tc>
        <w:tc>
          <w:tcPr>
            <w:tcW w:w="4252" w:type="dxa"/>
            <w:tcBorders>
              <w:top w:val="nil"/>
              <w:left w:val="nil"/>
              <w:bottom w:val="single" w:color="auto" w:sz="4" w:space="0"/>
              <w:right w:val="single" w:color="auto" w:sz="4" w:space="0"/>
            </w:tcBorders>
            <w:vAlign w:val="center"/>
          </w:tcPr>
          <w:p w14:paraId="6EF12F7A">
            <w:pPr>
              <w:widowControl/>
              <w:jc w:val="left"/>
              <w:rPr>
                <w:rFonts w:ascii="宋体" w:hAnsi="宋体"/>
                <w:color w:val="auto"/>
                <w:kern w:val="0"/>
                <w:sz w:val="22"/>
                <w:szCs w:val="22"/>
              </w:rPr>
            </w:pPr>
            <w:r>
              <w:rPr>
                <w:rFonts w:hint="eastAsia" w:ascii="宋体" w:hAnsi="宋体"/>
                <w:color w:val="auto"/>
                <w:kern w:val="0"/>
                <w:sz w:val="22"/>
                <w:szCs w:val="22"/>
              </w:rPr>
              <w:t>FCHBA应适配两种或以上厂商产品</w:t>
            </w:r>
          </w:p>
        </w:tc>
        <w:tc>
          <w:tcPr>
            <w:tcW w:w="236" w:type="dxa"/>
            <w:vAlign w:val="center"/>
          </w:tcPr>
          <w:p w14:paraId="1EB80353">
            <w:pPr>
              <w:widowControl/>
              <w:jc w:val="left"/>
              <w:rPr>
                <w:rFonts w:eastAsia="Times New Roman"/>
                <w:color w:val="auto"/>
                <w:kern w:val="0"/>
                <w:sz w:val="22"/>
                <w:szCs w:val="22"/>
              </w:rPr>
            </w:pPr>
          </w:p>
        </w:tc>
      </w:tr>
      <w:tr w14:paraId="2E428C05">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17B43D9D">
            <w:pPr>
              <w:widowControl/>
              <w:jc w:val="center"/>
              <w:rPr>
                <w:rFonts w:ascii="宋体" w:hAnsi="宋体"/>
                <w:color w:val="auto"/>
                <w:kern w:val="0"/>
                <w:sz w:val="22"/>
                <w:szCs w:val="22"/>
              </w:rPr>
            </w:pPr>
            <w:r>
              <w:rPr>
                <w:rFonts w:hint="eastAsia" w:ascii="宋体" w:hAnsi="宋体"/>
                <w:color w:val="auto"/>
                <w:kern w:val="0"/>
                <w:sz w:val="22"/>
                <w:szCs w:val="22"/>
              </w:rPr>
              <w:t>116</w:t>
            </w:r>
          </w:p>
        </w:tc>
        <w:tc>
          <w:tcPr>
            <w:tcW w:w="1440" w:type="dxa"/>
            <w:vMerge w:val="continue"/>
            <w:tcBorders>
              <w:top w:val="nil"/>
              <w:left w:val="nil"/>
              <w:bottom w:val="single" w:color="auto" w:sz="4" w:space="0"/>
              <w:right w:val="single" w:color="auto" w:sz="4" w:space="0"/>
            </w:tcBorders>
            <w:vAlign w:val="center"/>
          </w:tcPr>
          <w:p w14:paraId="13DAE9A1">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0C7BBF5D">
            <w:pPr>
              <w:widowControl/>
              <w:jc w:val="left"/>
              <w:rPr>
                <w:rFonts w:ascii="宋体" w:hAnsi="宋体"/>
                <w:color w:val="auto"/>
                <w:kern w:val="0"/>
                <w:sz w:val="22"/>
                <w:szCs w:val="22"/>
              </w:rPr>
            </w:pPr>
            <w:r>
              <w:rPr>
                <w:rFonts w:hint="eastAsia" w:ascii="宋体" w:hAnsi="宋体"/>
                <w:color w:val="auto"/>
                <w:kern w:val="0"/>
                <w:sz w:val="22"/>
                <w:szCs w:val="22"/>
              </w:rPr>
              <w:t>RAID卡兼容性</w:t>
            </w:r>
          </w:p>
        </w:tc>
        <w:tc>
          <w:tcPr>
            <w:tcW w:w="4252" w:type="dxa"/>
            <w:tcBorders>
              <w:top w:val="nil"/>
              <w:left w:val="nil"/>
              <w:bottom w:val="single" w:color="auto" w:sz="4" w:space="0"/>
              <w:right w:val="single" w:color="auto" w:sz="4" w:space="0"/>
            </w:tcBorders>
            <w:vAlign w:val="center"/>
          </w:tcPr>
          <w:p w14:paraId="4B27961C">
            <w:pPr>
              <w:widowControl/>
              <w:jc w:val="left"/>
              <w:rPr>
                <w:rFonts w:ascii="宋体" w:hAnsi="宋体"/>
                <w:color w:val="auto"/>
                <w:kern w:val="0"/>
                <w:sz w:val="22"/>
                <w:szCs w:val="22"/>
              </w:rPr>
            </w:pPr>
            <w:r>
              <w:rPr>
                <w:rFonts w:hint="eastAsia" w:ascii="宋体" w:hAnsi="宋体"/>
                <w:color w:val="auto"/>
                <w:kern w:val="0"/>
                <w:sz w:val="22"/>
                <w:szCs w:val="22"/>
              </w:rPr>
              <w:t>RAID卡应适配两种或以上厂商产品</w:t>
            </w:r>
          </w:p>
        </w:tc>
        <w:tc>
          <w:tcPr>
            <w:tcW w:w="236" w:type="dxa"/>
            <w:vAlign w:val="center"/>
          </w:tcPr>
          <w:p w14:paraId="22764EC4">
            <w:pPr>
              <w:widowControl/>
              <w:jc w:val="left"/>
              <w:rPr>
                <w:rFonts w:eastAsia="Times New Roman"/>
                <w:color w:val="auto"/>
                <w:kern w:val="0"/>
                <w:sz w:val="22"/>
                <w:szCs w:val="22"/>
              </w:rPr>
            </w:pPr>
          </w:p>
        </w:tc>
      </w:tr>
      <w:tr w14:paraId="2D6CB1B9">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03399D3F">
            <w:pPr>
              <w:widowControl/>
              <w:jc w:val="center"/>
              <w:rPr>
                <w:rFonts w:ascii="宋体" w:hAnsi="宋体"/>
                <w:color w:val="auto"/>
                <w:kern w:val="0"/>
                <w:sz w:val="22"/>
                <w:szCs w:val="22"/>
              </w:rPr>
            </w:pPr>
            <w:r>
              <w:rPr>
                <w:rFonts w:hint="eastAsia" w:ascii="宋体" w:hAnsi="宋体"/>
                <w:color w:val="auto"/>
                <w:kern w:val="0"/>
                <w:sz w:val="22"/>
                <w:szCs w:val="22"/>
              </w:rPr>
              <w:t>117</w:t>
            </w:r>
          </w:p>
        </w:tc>
        <w:tc>
          <w:tcPr>
            <w:tcW w:w="1440" w:type="dxa"/>
            <w:vMerge w:val="continue"/>
            <w:tcBorders>
              <w:top w:val="nil"/>
              <w:left w:val="nil"/>
              <w:bottom w:val="single" w:color="auto" w:sz="4" w:space="0"/>
              <w:right w:val="single" w:color="auto" w:sz="4" w:space="0"/>
            </w:tcBorders>
            <w:vAlign w:val="center"/>
          </w:tcPr>
          <w:p w14:paraId="06A2D744">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73DCE804">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网卡兼容性</w:t>
            </w:r>
          </w:p>
        </w:tc>
        <w:tc>
          <w:tcPr>
            <w:tcW w:w="4252" w:type="dxa"/>
            <w:tcBorders>
              <w:top w:val="nil"/>
              <w:left w:val="nil"/>
              <w:bottom w:val="single" w:color="auto" w:sz="4" w:space="0"/>
              <w:right w:val="single" w:color="auto" w:sz="4" w:space="0"/>
            </w:tcBorders>
            <w:vAlign w:val="center"/>
          </w:tcPr>
          <w:p w14:paraId="77C2EFAA">
            <w:pPr>
              <w:widowControl/>
              <w:jc w:val="left"/>
              <w:rPr>
                <w:rFonts w:ascii="宋体" w:hAnsi="宋体"/>
                <w:color w:val="auto"/>
                <w:kern w:val="0"/>
                <w:sz w:val="22"/>
                <w:szCs w:val="22"/>
              </w:rPr>
            </w:pPr>
            <w:r>
              <w:rPr>
                <w:rFonts w:hint="eastAsia" w:ascii="宋体" w:hAnsi="宋体"/>
                <w:color w:val="auto"/>
                <w:kern w:val="0"/>
                <w:sz w:val="22"/>
                <w:szCs w:val="22"/>
              </w:rPr>
              <w:t>网卡应适配两种或以上厂商产品</w:t>
            </w:r>
          </w:p>
        </w:tc>
        <w:tc>
          <w:tcPr>
            <w:tcW w:w="236" w:type="dxa"/>
            <w:vAlign w:val="center"/>
          </w:tcPr>
          <w:p w14:paraId="41A0E304">
            <w:pPr>
              <w:widowControl/>
              <w:jc w:val="left"/>
              <w:rPr>
                <w:rFonts w:eastAsia="Times New Roman"/>
                <w:color w:val="auto"/>
                <w:kern w:val="0"/>
                <w:sz w:val="22"/>
                <w:szCs w:val="22"/>
              </w:rPr>
            </w:pPr>
          </w:p>
        </w:tc>
      </w:tr>
      <w:tr w14:paraId="2C79FD5B">
        <w:tblPrEx>
          <w:tblCellMar>
            <w:top w:w="0" w:type="dxa"/>
            <w:left w:w="108" w:type="dxa"/>
            <w:bottom w:w="0" w:type="dxa"/>
            <w:right w:w="108" w:type="dxa"/>
          </w:tblCellMar>
        </w:tblPrEx>
        <w:trPr>
          <w:trHeight w:val="503" w:hRule="atLeast"/>
          <w:jc w:val="center"/>
        </w:trPr>
        <w:tc>
          <w:tcPr>
            <w:tcW w:w="779" w:type="dxa"/>
            <w:tcBorders>
              <w:top w:val="nil"/>
              <w:left w:val="single" w:color="auto" w:sz="4" w:space="0"/>
              <w:bottom w:val="single" w:color="auto" w:sz="4" w:space="0"/>
              <w:right w:val="single" w:color="auto" w:sz="4" w:space="0"/>
            </w:tcBorders>
            <w:vAlign w:val="center"/>
          </w:tcPr>
          <w:p w14:paraId="5D0D9DCE">
            <w:pPr>
              <w:widowControl/>
              <w:jc w:val="center"/>
              <w:rPr>
                <w:rFonts w:ascii="宋体" w:hAnsi="宋体"/>
                <w:color w:val="auto"/>
                <w:kern w:val="0"/>
                <w:sz w:val="22"/>
                <w:szCs w:val="22"/>
              </w:rPr>
            </w:pPr>
            <w:r>
              <w:rPr>
                <w:rFonts w:hint="eastAsia" w:ascii="宋体" w:hAnsi="宋体"/>
                <w:color w:val="auto"/>
                <w:kern w:val="0"/>
                <w:sz w:val="22"/>
                <w:szCs w:val="22"/>
              </w:rPr>
              <w:t>118</w:t>
            </w:r>
          </w:p>
        </w:tc>
        <w:tc>
          <w:tcPr>
            <w:tcW w:w="1440" w:type="dxa"/>
            <w:vMerge w:val="continue"/>
            <w:tcBorders>
              <w:top w:val="nil"/>
              <w:left w:val="nil"/>
              <w:bottom w:val="single" w:color="auto" w:sz="4" w:space="0"/>
              <w:right w:val="single" w:color="auto" w:sz="4" w:space="0"/>
            </w:tcBorders>
            <w:vAlign w:val="center"/>
          </w:tcPr>
          <w:p w14:paraId="5C1B608A">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37212091">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功能卡兼容性</w:t>
            </w:r>
          </w:p>
        </w:tc>
        <w:tc>
          <w:tcPr>
            <w:tcW w:w="4252" w:type="dxa"/>
            <w:tcBorders>
              <w:top w:val="nil"/>
              <w:left w:val="nil"/>
              <w:bottom w:val="single" w:color="auto" w:sz="4" w:space="0"/>
              <w:right w:val="single" w:color="auto" w:sz="4" w:space="0"/>
            </w:tcBorders>
            <w:vAlign w:val="center"/>
          </w:tcPr>
          <w:p w14:paraId="1579215B">
            <w:pPr>
              <w:widowControl/>
              <w:jc w:val="left"/>
              <w:rPr>
                <w:rFonts w:ascii="宋体" w:hAnsi="宋体"/>
                <w:color w:val="auto"/>
                <w:kern w:val="0"/>
                <w:sz w:val="22"/>
                <w:szCs w:val="22"/>
              </w:rPr>
            </w:pPr>
            <w:r>
              <w:rPr>
                <w:rFonts w:hint="eastAsia" w:ascii="宋体" w:hAnsi="宋体"/>
                <w:color w:val="auto"/>
                <w:kern w:val="0"/>
                <w:sz w:val="22"/>
                <w:szCs w:val="22"/>
              </w:rPr>
              <w:t>内置或适配符合PCIe的功能卡，如：网络功能卡、存储功能卡及图形显示功能卡</w:t>
            </w:r>
          </w:p>
        </w:tc>
        <w:tc>
          <w:tcPr>
            <w:tcW w:w="236" w:type="dxa"/>
            <w:vAlign w:val="center"/>
          </w:tcPr>
          <w:p w14:paraId="77A2903F">
            <w:pPr>
              <w:widowControl/>
              <w:jc w:val="left"/>
              <w:rPr>
                <w:rFonts w:eastAsia="Times New Roman"/>
                <w:color w:val="auto"/>
                <w:kern w:val="0"/>
                <w:sz w:val="22"/>
                <w:szCs w:val="22"/>
              </w:rPr>
            </w:pPr>
          </w:p>
        </w:tc>
      </w:tr>
      <w:tr w14:paraId="59179DCA">
        <w:tblPrEx>
          <w:tblCellMar>
            <w:top w:w="0" w:type="dxa"/>
            <w:left w:w="108" w:type="dxa"/>
            <w:bottom w:w="0" w:type="dxa"/>
            <w:right w:w="108" w:type="dxa"/>
          </w:tblCellMar>
        </w:tblPrEx>
        <w:trPr>
          <w:trHeight w:val="1120" w:hRule="atLeast"/>
          <w:jc w:val="center"/>
        </w:trPr>
        <w:tc>
          <w:tcPr>
            <w:tcW w:w="779" w:type="dxa"/>
            <w:tcBorders>
              <w:top w:val="nil"/>
              <w:left w:val="single" w:color="auto" w:sz="4" w:space="0"/>
              <w:bottom w:val="single" w:color="auto" w:sz="4" w:space="0"/>
              <w:right w:val="single" w:color="auto" w:sz="4" w:space="0"/>
            </w:tcBorders>
            <w:vAlign w:val="center"/>
          </w:tcPr>
          <w:p w14:paraId="79D80FE2">
            <w:pPr>
              <w:widowControl/>
              <w:jc w:val="center"/>
              <w:rPr>
                <w:rFonts w:ascii="宋体" w:hAnsi="宋体"/>
                <w:color w:val="auto"/>
                <w:kern w:val="0"/>
                <w:sz w:val="22"/>
                <w:szCs w:val="22"/>
              </w:rPr>
            </w:pPr>
            <w:r>
              <w:rPr>
                <w:rFonts w:hint="eastAsia" w:ascii="宋体" w:hAnsi="宋体"/>
                <w:color w:val="auto"/>
                <w:kern w:val="0"/>
                <w:sz w:val="22"/>
                <w:szCs w:val="22"/>
              </w:rPr>
              <w:t>119</w:t>
            </w:r>
          </w:p>
        </w:tc>
        <w:tc>
          <w:tcPr>
            <w:tcW w:w="1440" w:type="dxa"/>
            <w:tcBorders>
              <w:top w:val="nil"/>
              <w:left w:val="nil"/>
              <w:bottom w:val="single" w:color="auto" w:sz="4" w:space="0"/>
              <w:right w:val="single" w:color="auto" w:sz="4" w:space="0"/>
            </w:tcBorders>
            <w:vAlign w:val="center"/>
          </w:tcPr>
          <w:p w14:paraId="58A99EFF">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外设兼容性</w:t>
            </w:r>
          </w:p>
        </w:tc>
        <w:tc>
          <w:tcPr>
            <w:tcW w:w="2627" w:type="dxa"/>
            <w:tcBorders>
              <w:top w:val="nil"/>
              <w:left w:val="nil"/>
              <w:bottom w:val="single" w:color="auto" w:sz="4" w:space="0"/>
              <w:right w:val="single" w:color="auto" w:sz="4" w:space="0"/>
            </w:tcBorders>
            <w:vAlign w:val="center"/>
          </w:tcPr>
          <w:p w14:paraId="194C81A0">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外设兼容性</w:t>
            </w:r>
          </w:p>
        </w:tc>
        <w:tc>
          <w:tcPr>
            <w:tcW w:w="4252" w:type="dxa"/>
            <w:tcBorders>
              <w:top w:val="nil"/>
              <w:left w:val="nil"/>
              <w:bottom w:val="single" w:color="auto" w:sz="4" w:space="0"/>
              <w:right w:val="single" w:color="auto" w:sz="4" w:space="0"/>
            </w:tcBorders>
            <w:vAlign w:val="center"/>
          </w:tcPr>
          <w:p w14:paraId="23DED477">
            <w:pPr>
              <w:widowControl/>
              <w:jc w:val="left"/>
              <w:rPr>
                <w:rFonts w:ascii="宋体" w:hAnsi="宋体"/>
                <w:color w:val="auto"/>
                <w:kern w:val="0"/>
                <w:sz w:val="22"/>
                <w:szCs w:val="22"/>
              </w:rPr>
            </w:pPr>
            <w:r>
              <w:rPr>
                <w:rFonts w:hint="eastAsia" w:ascii="宋体" w:hAnsi="宋体"/>
                <w:color w:val="auto"/>
                <w:kern w:val="0"/>
                <w:sz w:val="22"/>
                <w:szCs w:val="22"/>
              </w:rPr>
              <w:t>兼容多种主流生产商的外部设备，包括显示器、键盘、鼠标、闪存盘、移动硬盘、USB光驱及KVM等，要求使用不同厂商的外部设备时，系统均能正常识别和安装驱动</w:t>
            </w:r>
          </w:p>
        </w:tc>
        <w:tc>
          <w:tcPr>
            <w:tcW w:w="236" w:type="dxa"/>
            <w:vAlign w:val="center"/>
          </w:tcPr>
          <w:p w14:paraId="3FC29763">
            <w:pPr>
              <w:widowControl/>
              <w:jc w:val="left"/>
              <w:rPr>
                <w:rFonts w:eastAsia="Times New Roman"/>
                <w:color w:val="auto"/>
                <w:kern w:val="0"/>
                <w:sz w:val="22"/>
                <w:szCs w:val="22"/>
              </w:rPr>
            </w:pPr>
          </w:p>
        </w:tc>
      </w:tr>
      <w:tr w14:paraId="08237336">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6119DA0B">
            <w:pPr>
              <w:widowControl/>
              <w:jc w:val="center"/>
              <w:rPr>
                <w:rFonts w:ascii="宋体" w:hAnsi="宋体"/>
                <w:color w:val="auto"/>
                <w:kern w:val="0"/>
                <w:sz w:val="22"/>
                <w:szCs w:val="22"/>
              </w:rPr>
            </w:pPr>
            <w:r>
              <w:rPr>
                <w:rFonts w:hint="eastAsia" w:ascii="宋体" w:hAnsi="宋体"/>
                <w:color w:val="auto"/>
                <w:kern w:val="0"/>
                <w:sz w:val="22"/>
                <w:szCs w:val="22"/>
              </w:rPr>
              <w:t>120</w:t>
            </w:r>
          </w:p>
        </w:tc>
        <w:tc>
          <w:tcPr>
            <w:tcW w:w="1440" w:type="dxa"/>
            <w:vMerge w:val="restart"/>
            <w:tcBorders>
              <w:top w:val="nil"/>
              <w:left w:val="nil"/>
              <w:bottom w:val="single" w:color="auto" w:sz="4" w:space="0"/>
              <w:right w:val="single" w:color="auto" w:sz="4" w:space="0"/>
            </w:tcBorders>
            <w:vAlign w:val="center"/>
          </w:tcPr>
          <w:p w14:paraId="4B3F81AC">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软件兼容性</w:t>
            </w:r>
          </w:p>
        </w:tc>
        <w:tc>
          <w:tcPr>
            <w:tcW w:w="2627" w:type="dxa"/>
            <w:tcBorders>
              <w:top w:val="nil"/>
              <w:left w:val="nil"/>
              <w:bottom w:val="single" w:color="auto" w:sz="4" w:space="0"/>
              <w:right w:val="single" w:color="auto" w:sz="4" w:space="0"/>
            </w:tcBorders>
            <w:vAlign w:val="center"/>
          </w:tcPr>
          <w:p w14:paraId="44737F44">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数据库兼容</w:t>
            </w:r>
          </w:p>
        </w:tc>
        <w:tc>
          <w:tcPr>
            <w:tcW w:w="4252" w:type="dxa"/>
            <w:tcBorders>
              <w:top w:val="nil"/>
              <w:left w:val="nil"/>
              <w:bottom w:val="single" w:color="auto" w:sz="4" w:space="0"/>
              <w:right w:val="single" w:color="auto" w:sz="4" w:space="0"/>
            </w:tcBorders>
            <w:vAlign w:val="center"/>
          </w:tcPr>
          <w:p w14:paraId="794E95D2">
            <w:pPr>
              <w:widowControl/>
              <w:jc w:val="left"/>
              <w:rPr>
                <w:rFonts w:ascii="宋体" w:hAnsi="宋体"/>
                <w:color w:val="auto"/>
                <w:kern w:val="0"/>
                <w:sz w:val="22"/>
                <w:szCs w:val="22"/>
              </w:rPr>
            </w:pPr>
            <w:r>
              <w:rPr>
                <w:rFonts w:hint="eastAsia" w:ascii="宋体" w:hAnsi="宋体"/>
                <w:color w:val="auto"/>
                <w:kern w:val="0"/>
                <w:sz w:val="22"/>
                <w:szCs w:val="22"/>
              </w:rPr>
              <w:t>兼容3个及以上厂商的数据库产品</w:t>
            </w:r>
          </w:p>
        </w:tc>
        <w:tc>
          <w:tcPr>
            <w:tcW w:w="236" w:type="dxa"/>
            <w:vAlign w:val="center"/>
          </w:tcPr>
          <w:p w14:paraId="3E47FA1A">
            <w:pPr>
              <w:widowControl/>
              <w:jc w:val="left"/>
              <w:rPr>
                <w:rFonts w:eastAsia="Times New Roman"/>
                <w:color w:val="auto"/>
                <w:kern w:val="0"/>
                <w:sz w:val="22"/>
                <w:szCs w:val="22"/>
              </w:rPr>
            </w:pPr>
          </w:p>
        </w:tc>
      </w:tr>
      <w:tr w14:paraId="40523051">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2AC4F806">
            <w:pPr>
              <w:widowControl/>
              <w:jc w:val="center"/>
              <w:rPr>
                <w:rFonts w:ascii="宋体" w:hAnsi="宋体"/>
                <w:color w:val="auto"/>
                <w:kern w:val="0"/>
                <w:sz w:val="22"/>
                <w:szCs w:val="22"/>
              </w:rPr>
            </w:pPr>
            <w:r>
              <w:rPr>
                <w:rFonts w:hint="eastAsia" w:ascii="宋体" w:hAnsi="宋体"/>
                <w:color w:val="auto"/>
                <w:kern w:val="0"/>
                <w:sz w:val="22"/>
                <w:szCs w:val="22"/>
              </w:rPr>
              <w:t>121</w:t>
            </w:r>
          </w:p>
        </w:tc>
        <w:tc>
          <w:tcPr>
            <w:tcW w:w="1440" w:type="dxa"/>
            <w:vMerge w:val="continue"/>
            <w:tcBorders>
              <w:top w:val="nil"/>
              <w:left w:val="nil"/>
              <w:bottom w:val="single" w:color="auto" w:sz="4" w:space="0"/>
              <w:right w:val="single" w:color="auto" w:sz="4" w:space="0"/>
            </w:tcBorders>
            <w:vAlign w:val="center"/>
          </w:tcPr>
          <w:p w14:paraId="616995FB">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64A9DE5B">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中间件兼容</w:t>
            </w:r>
          </w:p>
        </w:tc>
        <w:tc>
          <w:tcPr>
            <w:tcW w:w="4252" w:type="dxa"/>
            <w:tcBorders>
              <w:top w:val="nil"/>
              <w:left w:val="nil"/>
              <w:bottom w:val="single" w:color="auto" w:sz="4" w:space="0"/>
              <w:right w:val="single" w:color="auto" w:sz="4" w:space="0"/>
            </w:tcBorders>
            <w:vAlign w:val="center"/>
          </w:tcPr>
          <w:p w14:paraId="35C5A78A">
            <w:pPr>
              <w:widowControl/>
              <w:jc w:val="left"/>
              <w:rPr>
                <w:rFonts w:ascii="宋体" w:hAnsi="宋体"/>
                <w:color w:val="auto"/>
                <w:kern w:val="0"/>
                <w:sz w:val="22"/>
                <w:szCs w:val="22"/>
              </w:rPr>
            </w:pPr>
            <w:r>
              <w:rPr>
                <w:rFonts w:hint="eastAsia" w:ascii="宋体" w:hAnsi="宋体"/>
                <w:color w:val="auto"/>
                <w:kern w:val="0"/>
                <w:sz w:val="22"/>
                <w:szCs w:val="22"/>
              </w:rPr>
              <w:t>兼容3个及以上厂商的中间件产品</w:t>
            </w:r>
          </w:p>
        </w:tc>
        <w:tc>
          <w:tcPr>
            <w:tcW w:w="236" w:type="dxa"/>
            <w:vAlign w:val="center"/>
          </w:tcPr>
          <w:p w14:paraId="069630F2">
            <w:pPr>
              <w:widowControl/>
              <w:jc w:val="left"/>
              <w:rPr>
                <w:rFonts w:eastAsia="Times New Roman"/>
                <w:color w:val="auto"/>
                <w:kern w:val="0"/>
                <w:sz w:val="22"/>
                <w:szCs w:val="22"/>
              </w:rPr>
            </w:pPr>
          </w:p>
        </w:tc>
      </w:tr>
      <w:tr w14:paraId="27A7E175">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4FF2825A">
            <w:pPr>
              <w:widowControl/>
              <w:jc w:val="center"/>
              <w:rPr>
                <w:rFonts w:ascii="宋体" w:hAnsi="宋体"/>
                <w:color w:val="auto"/>
                <w:kern w:val="0"/>
                <w:sz w:val="22"/>
                <w:szCs w:val="22"/>
              </w:rPr>
            </w:pPr>
            <w:r>
              <w:rPr>
                <w:rFonts w:hint="eastAsia" w:ascii="宋体" w:hAnsi="宋体"/>
                <w:color w:val="auto"/>
                <w:kern w:val="0"/>
                <w:sz w:val="22"/>
                <w:szCs w:val="22"/>
              </w:rPr>
              <w:t>122</w:t>
            </w:r>
          </w:p>
        </w:tc>
        <w:tc>
          <w:tcPr>
            <w:tcW w:w="1440" w:type="dxa"/>
            <w:vMerge w:val="continue"/>
            <w:tcBorders>
              <w:top w:val="nil"/>
              <w:left w:val="nil"/>
              <w:bottom w:val="single" w:color="auto" w:sz="4" w:space="0"/>
              <w:right w:val="single" w:color="auto" w:sz="4" w:space="0"/>
            </w:tcBorders>
            <w:vAlign w:val="center"/>
          </w:tcPr>
          <w:p w14:paraId="45004CE8">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7B068544">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平台软件兼容</w:t>
            </w:r>
          </w:p>
        </w:tc>
        <w:tc>
          <w:tcPr>
            <w:tcW w:w="4252" w:type="dxa"/>
            <w:tcBorders>
              <w:top w:val="nil"/>
              <w:left w:val="nil"/>
              <w:bottom w:val="single" w:color="auto" w:sz="4" w:space="0"/>
              <w:right w:val="single" w:color="auto" w:sz="4" w:space="0"/>
            </w:tcBorders>
            <w:vAlign w:val="center"/>
          </w:tcPr>
          <w:p w14:paraId="1C59C8F3">
            <w:pPr>
              <w:widowControl/>
              <w:jc w:val="left"/>
              <w:rPr>
                <w:rFonts w:ascii="宋体" w:hAnsi="宋体"/>
                <w:color w:val="auto"/>
                <w:kern w:val="0"/>
                <w:sz w:val="22"/>
                <w:szCs w:val="22"/>
              </w:rPr>
            </w:pPr>
            <w:r>
              <w:rPr>
                <w:rFonts w:hint="eastAsia" w:ascii="宋体" w:hAnsi="宋体"/>
                <w:color w:val="auto"/>
                <w:kern w:val="0"/>
                <w:sz w:val="22"/>
                <w:szCs w:val="22"/>
              </w:rPr>
              <w:t>兼容3个及以上厂商的大数据平台</w:t>
            </w:r>
          </w:p>
        </w:tc>
        <w:tc>
          <w:tcPr>
            <w:tcW w:w="236" w:type="dxa"/>
            <w:vAlign w:val="center"/>
          </w:tcPr>
          <w:p w14:paraId="079FEC50">
            <w:pPr>
              <w:widowControl/>
              <w:jc w:val="left"/>
              <w:rPr>
                <w:rFonts w:eastAsia="Times New Roman"/>
                <w:color w:val="auto"/>
                <w:kern w:val="0"/>
                <w:sz w:val="22"/>
                <w:szCs w:val="22"/>
              </w:rPr>
            </w:pPr>
          </w:p>
        </w:tc>
      </w:tr>
      <w:tr w14:paraId="0B86E57F">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6A7DC214">
            <w:pPr>
              <w:widowControl/>
              <w:jc w:val="center"/>
              <w:rPr>
                <w:rFonts w:ascii="宋体" w:hAnsi="宋体"/>
                <w:color w:val="auto"/>
                <w:kern w:val="0"/>
                <w:sz w:val="22"/>
                <w:szCs w:val="22"/>
              </w:rPr>
            </w:pPr>
            <w:r>
              <w:rPr>
                <w:rFonts w:hint="eastAsia" w:ascii="宋体" w:hAnsi="宋体"/>
                <w:color w:val="auto"/>
                <w:kern w:val="0"/>
                <w:sz w:val="22"/>
                <w:szCs w:val="22"/>
              </w:rPr>
              <w:t>123</w:t>
            </w:r>
          </w:p>
        </w:tc>
        <w:tc>
          <w:tcPr>
            <w:tcW w:w="1440" w:type="dxa"/>
            <w:vMerge w:val="continue"/>
            <w:tcBorders>
              <w:top w:val="nil"/>
              <w:left w:val="nil"/>
              <w:bottom w:val="single" w:color="auto" w:sz="4" w:space="0"/>
              <w:right w:val="single" w:color="auto" w:sz="4" w:space="0"/>
            </w:tcBorders>
            <w:vAlign w:val="center"/>
          </w:tcPr>
          <w:p w14:paraId="67E60BEA">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27CB7F4B">
            <w:pPr>
              <w:widowControl/>
              <w:jc w:val="left"/>
              <w:rPr>
                <w:rFonts w:ascii="宋体" w:hAnsi="宋体"/>
                <w:color w:val="auto"/>
                <w:kern w:val="0"/>
                <w:sz w:val="22"/>
                <w:szCs w:val="22"/>
              </w:rPr>
            </w:pPr>
            <w:r>
              <w:rPr>
                <w:rFonts w:hint="eastAsia" w:ascii="宋体" w:hAnsi="宋体"/>
                <w:color w:val="auto"/>
                <w:kern w:val="0"/>
                <w:sz w:val="22"/>
                <w:szCs w:val="22"/>
              </w:rPr>
              <w:t>虚拟化软件兼容</w:t>
            </w:r>
          </w:p>
        </w:tc>
        <w:tc>
          <w:tcPr>
            <w:tcW w:w="4252" w:type="dxa"/>
            <w:tcBorders>
              <w:top w:val="nil"/>
              <w:left w:val="nil"/>
              <w:bottom w:val="single" w:color="auto" w:sz="4" w:space="0"/>
              <w:right w:val="single" w:color="auto" w:sz="4" w:space="0"/>
            </w:tcBorders>
            <w:vAlign w:val="center"/>
          </w:tcPr>
          <w:p w14:paraId="60DBA7E8">
            <w:pPr>
              <w:widowControl/>
              <w:jc w:val="left"/>
              <w:rPr>
                <w:rFonts w:ascii="宋体" w:hAnsi="宋体"/>
                <w:color w:val="auto"/>
                <w:kern w:val="0"/>
                <w:sz w:val="22"/>
                <w:szCs w:val="22"/>
              </w:rPr>
            </w:pPr>
            <w:r>
              <w:rPr>
                <w:rFonts w:hint="eastAsia" w:ascii="宋体" w:hAnsi="宋体"/>
                <w:color w:val="auto"/>
                <w:kern w:val="0"/>
                <w:sz w:val="22"/>
                <w:szCs w:val="22"/>
              </w:rPr>
              <w:t>兼容2款及以上虚拟化软件</w:t>
            </w:r>
          </w:p>
        </w:tc>
        <w:tc>
          <w:tcPr>
            <w:tcW w:w="236" w:type="dxa"/>
            <w:vAlign w:val="center"/>
          </w:tcPr>
          <w:p w14:paraId="10DB1440">
            <w:pPr>
              <w:widowControl/>
              <w:jc w:val="left"/>
              <w:rPr>
                <w:rFonts w:eastAsia="Times New Roman"/>
                <w:color w:val="auto"/>
                <w:kern w:val="0"/>
                <w:sz w:val="22"/>
                <w:szCs w:val="22"/>
              </w:rPr>
            </w:pPr>
          </w:p>
        </w:tc>
      </w:tr>
      <w:tr w14:paraId="02FA9975">
        <w:tblPrEx>
          <w:tblCellMar>
            <w:top w:w="0" w:type="dxa"/>
            <w:left w:w="108" w:type="dxa"/>
            <w:bottom w:w="0" w:type="dxa"/>
            <w:right w:w="108" w:type="dxa"/>
          </w:tblCellMar>
        </w:tblPrEx>
        <w:trPr>
          <w:trHeight w:val="421" w:hRule="atLeast"/>
          <w:jc w:val="center"/>
        </w:trPr>
        <w:tc>
          <w:tcPr>
            <w:tcW w:w="779" w:type="dxa"/>
            <w:tcBorders>
              <w:top w:val="nil"/>
              <w:left w:val="single" w:color="auto" w:sz="4" w:space="0"/>
              <w:bottom w:val="single" w:color="auto" w:sz="4" w:space="0"/>
              <w:right w:val="single" w:color="auto" w:sz="4" w:space="0"/>
            </w:tcBorders>
            <w:vAlign w:val="center"/>
          </w:tcPr>
          <w:p w14:paraId="6581F9FA">
            <w:pPr>
              <w:widowControl/>
              <w:jc w:val="center"/>
              <w:rPr>
                <w:rFonts w:ascii="宋体" w:hAnsi="宋体"/>
                <w:color w:val="auto"/>
                <w:kern w:val="0"/>
                <w:sz w:val="22"/>
                <w:szCs w:val="22"/>
              </w:rPr>
            </w:pPr>
            <w:r>
              <w:rPr>
                <w:rFonts w:hint="eastAsia" w:ascii="宋体" w:hAnsi="宋体"/>
                <w:color w:val="auto"/>
                <w:kern w:val="0"/>
                <w:sz w:val="22"/>
                <w:szCs w:val="22"/>
              </w:rPr>
              <w:t>124</w:t>
            </w:r>
          </w:p>
        </w:tc>
        <w:tc>
          <w:tcPr>
            <w:tcW w:w="1440" w:type="dxa"/>
            <w:tcBorders>
              <w:top w:val="nil"/>
              <w:left w:val="nil"/>
              <w:bottom w:val="single" w:color="auto" w:sz="4" w:space="0"/>
              <w:right w:val="single" w:color="auto" w:sz="4" w:space="0"/>
            </w:tcBorders>
            <w:vAlign w:val="center"/>
          </w:tcPr>
          <w:p w14:paraId="5BD1F2B7">
            <w:pPr>
              <w:widowControl/>
              <w:jc w:val="center"/>
              <w:rPr>
                <w:rFonts w:ascii="宋体" w:hAnsi="宋体"/>
                <w:color w:val="auto"/>
                <w:kern w:val="0"/>
                <w:sz w:val="22"/>
                <w:szCs w:val="22"/>
              </w:rPr>
            </w:pPr>
            <w:r>
              <w:rPr>
                <w:rFonts w:hint="eastAsia" w:ascii="宋体" w:hAnsi="宋体"/>
                <w:color w:val="auto"/>
                <w:kern w:val="0"/>
                <w:sz w:val="22"/>
                <w:szCs w:val="22"/>
              </w:rPr>
              <w:t>存储可靠性要求</w:t>
            </w:r>
          </w:p>
        </w:tc>
        <w:tc>
          <w:tcPr>
            <w:tcW w:w="2627" w:type="dxa"/>
            <w:tcBorders>
              <w:top w:val="nil"/>
              <w:left w:val="nil"/>
              <w:bottom w:val="single" w:color="auto" w:sz="4" w:space="0"/>
              <w:right w:val="single" w:color="auto" w:sz="4" w:space="0"/>
            </w:tcBorders>
            <w:vAlign w:val="center"/>
          </w:tcPr>
          <w:p w14:paraId="53F0999E">
            <w:pPr>
              <w:widowControl/>
              <w:jc w:val="left"/>
              <w:rPr>
                <w:rFonts w:ascii="宋体" w:hAnsi="宋体"/>
                <w:color w:val="auto"/>
                <w:kern w:val="0"/>
                <w:sz w:val="22"/>
                <w:szCs w:val="22"/>
              </w:rPr>
            </w:pPr>
            <w:r>
              <w:rPr>
                <w:rFonts w:hint="eastAsia" w:ascii="宋体" w:hAnsi="宋体"/>
                <w:color w:val="auto"/>
                <w:kern w:val="0"/>
                <w:sz w:val="22"/>
                <w:szCs w:val="22"/>
              </w:rPr>
              <w:t>SATASSD可靠性</w:t>
            </w:r>
          </w:p>
        </w:tc>
        <w:tc>
          <w:tcPr>
            <w:tcW w:w="4252" w:type="dxa"/>
            <w:tcBorders>
              <w:top w:val="nil"/>
              <w:left w:val="nil"/>
              <w:bottom w:val="single" w:color="auto" w:sz="4" w:space="0"/>
              <w:right w:val="single" w:color="auto" w:sz="4" w:space="0"/>
            </w:tcBorders>
            <w:vAlign w:val="center"/>
          </w:tcPr>
          <w:p w14:paraId="1987527B">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5A08B4CD">
            <w:pPr>
              <w:widowControl/>
              <w:jc w:val="left"/>
              <w:rPr>
                <w:rFonts w:eastAsia="Times New Roman"/>
                <w:color w:val="auto"/>
                <w:kern w:val="0"/>
                <w:sz w:val="22"/>
                <w:szCs w:val="22"/>
              </w:rPr>
            </w:pPr>
          </w:p>
        </w:tc>
      </w:tr>
      <w:tr w14:paraId="73D7A11D">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121EF8BD">
            <w:pPr>
              <w:widowControl/>
              <w:jc w:val="center"/>
              <w:rPr>
                <w:rFonts w:ascii="宋体" w:hAnsi="宋体"/>
                <w:color w:val="auto"/>
                <w:kern w:val="0"/>
                <w:sz w:val="22"/>
                <w:szCs w:val="22"/>
              </w:rPr>
            </w:pPr>
            <w:r>
              <w:rPr>
                <w:rFonts w:hint="eastAsia" w:ascii="宋体" w:hAnsi="宋体"/>
                <w:color w:val="auto"/>
                <w:kern w:val="0"/>
                <w:sz w:val="22"/>
                <w:szCs w:val="22"/>
              </w:rPr>
              <w:t>125</w:t>
            </w:r>
          </w:p>
        </w:tc>
        <w:tc>
          <w:tcPr>
            <w:tcW w:w="1440" w:type="dxa"/>
            <w:vMerge w:val="restart"/>
            <w:tcBorders>
              <w:top w:val="nil"/>
              <w:left w:val="nil"/>
              <w:bottom w:val="single" w:color="auto" w:sz="4" w:space="0"/>
              <w:right w:val="single" w:color="auto" w:sz="4" w:space="0"/>
            </w:tcBorders>
            <w:vAlign w:val="center"/>
          </w:tcPr>
          <w:p w14:paraId="4B545D37">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整机可靠性要求</w:t>
            </w:r>
          </w:p>
        </w:tc>
        <w:tc>
          <w:tcPr>
            <w:tcW w:w="2627" w:type="dxa"/>
            <w:tcBorders>
              <w:top w:val="nil"/>
              <w:left w:val="nil"/>
              <w:bottom w:val="single" w:color="auto" w:sz="4" w:space="0"/>
              <w:right w:val="single" w:color="auto" w:sz="4" w:space="0"/>
            </w:tcBorders>
            <w:vAlign w:val="center"/>
          </w:tcPr>
          <w:p w14:paraId="7679B4FF">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整机可靠性</w:t>
            </w:r>
          </w:p>
        </w:tc>
        <w:tc>
          <w:tcPr>
            <w:tcW w:w="4252" w:type="dxa"/>
            <w:tcBorders>
              <w:top w:val="nil"/>
              <w:left w:val="nil"/>
              <w:bottom w:val="single" w:color="auto" w:sz="4" w:space="0"/>
              <w:right w:val="single" w:color="auto" w:sz="4" w:space="0"/>
            </w:tcBorders>
            <w:vAlign w:val="center"/>
          </w:tcPr>
          <w:p w14:paraId="743C8412">
            <w:pPr>
              <w:widowControl/>
              <w:jc w:val="left"/>
              <w:rPr>
                <w:rFonts w:ascii="宋体" w:hAnsi="宋体"/>
                <w:color w:val="auto"/>
                <w:kern w:val="0"/>
                <w:sz w:val="22"/>
                <w:szCs w:val="22"/>
              </w:rPr>
            </w:pPr>
            <w:r>
              <w:rPr>
                <w:rFonts w:hint="eastAsia" w:ascii="宋体" w:hAnsi="宋体"/>
                <w:color w:val="auto"/>
                <w:kern w:val="0"/>
                <w:sz w:val="22"/>
                <w:szCs w:val="22"/>
              </w:rPr>
              <w:t>m1值（MTBF的不可接受值）不得低于30000h</w:t>
            </w:r>
          </w:p>
        </w:tc>
        <w:tc>
          <w:tcPr>
            <w:tcW w:w="236" w:type="dxa"/>
            <w:vAlign w:val="center"/>
          </w:tcPr>
          <w:p w14:paraId="228AA91C">
            <w:pPr>
              <w:widowControl/>
              <w:jc w:val="left"/>
              <w:rPr>
                <w:rFonts w:eastAsia="Times New Roman"/>
                <w:color w:val="auto"/>
                <w:kern w:val="0"/>
                <w:sz w:val="22"/>
                <w:szCs w:val="22"/>
              </w:rPr>
            </w:pPr>
          </w:p>
        </w:tc>
      </w:tr>
      <w:tr w14:paraId="5449C7F5">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6AB1328B">
            <w:pPr>
              <w:widowControl/>
              <w:jc w:val="center"/>
              <w:rPr>
                <w:rFonts w:ascii="宋体" w:hAnsi="宋体"/>
                <w:color w:val="auto"/>
                <w:kern w:val="0"/>
                <w:sz w:val="22"/>
                <w:szCs w:val="22"/>
              </w:rPr>
            </w:pPr>
            <w:r>
              <w:rPr>
                <w:rFonts w:hint="eastAsia" w:ascii="宋体" w:hAnsi="宋体"/>
                <w:color w:val="auto"/>
                <w:kern w:val="0"/>
                <w:sz w:val="22"/>
                <w:szCs w:val="22"/>
              </w:rPr>
              <w:t>126</w:t>
            </w:r>
          </w:p>
        </w:tc>
        <w:tc>
          <w:tcPr>
            <w:tcW w:w="1440" w:type="dxa"/>
            <w:vMerge w:val="continue"/>
            <w:tcBorders>
              <w:top w:val="nil"/>
              <w:left w:val="nil"/>
              <w:bottom w:val="single" w:color="auto" w:sz="4" w:space="0"/>
              <w:right w:val="single" w:color="auto" w:sz="4" w:space="0"/>
            </w:tcBorders>
            <w:vAlign w:val="center"/>
          </w:tcPr>
          <w:p w14:paraId="7EEC9F85">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638B785D">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风扇可靠性</w:t>
            </w:r>
          </w:p>
        </w:tc>
        <w:tc>
          <w:tcPr>
            <w:tcW w:w="4252" w:type="dxa"/>
            <w:tcBorders>
              <w:top w:val="nil"/>
              <w:left w:val="nil"/>
              <w:bottom w:val="single" w:color="auto" w:sz="4" w:space="0"/>
              <w:right w:val="single" w:color="auto" w:sz="4" w:space="0"/>
            </w:tcBorders>
            <w:vAlign w:val="center"/>
          </w:tcPr>
          <w:p w14:paraId="139950EB">
            <w:pPr>
              <w:widowControl/>
              <w:jc w:val="left"/>
              <w:rPr>
                <w:rFonts w:ascii="宋体" w:hAnsi="宋体"/>
                <w:color w:val="auto"/>
                <w:kern w:val="0"/>
                <w:sz w:val="22"/>
                <w:szCs w:val="22"/>
              </w:rPr>
            </w:pPr>
            <w:r>
              <w:rPr>
                <w:rFonts w:hint="eastAsia" w:ascii="宋体" w:hAnsi="宋体"/>
                <w:color w:val="auto"/>
                <w:kern w:val="0"/>
                <w:sz w:val="22"/>
                <w:szCs w:val="22"/>
              </w:rPr>
              <w:t>风扇寿命应不低于40000h</w:t>
            </w:r>
          </w:p>
        </w:tc>
        <w:tc>
          <w:tcPr>
            <w:tcW w:w="236" w:type="dxa"/>
            <w:vAlign w:val="center"/>
          </w:tcPr>
          <w:p w14:paraId="67A6B056">
            <w:pPr>
              <w:widowControl/>
              <w:jc w:val="left"/>
              <w:rPr>
                <w:rFonts w:eastAsia="Times New Roman"/>
                <w:color w:val="auto"/>
                <w:kern w:val="0"/>
                <w:sz w:val="22"/>
                <w:szCs w:val="22"/>
              </w:rPr>
            </w:pPr>
          </w:p>
        </w:tc>
      </w:tr>
      <w:tr w14:paraId="3CF85C29">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0C04F27A">
            <w:pPr>
              <w:widowControl/>
              <w:jc w:val="center"/>
              <w:rPr>
                <w:rFonts w:ascii="宋体" w:hAnsi="宋体"/>
                <w:color w:val="auto"/>
                <w:kern w:val="0"/>
                <w:sz w:val="22"/>
                <w:szCs w:val="22"/>
              </w:rPr>
            </w:pPr>
            <w:r>
              <w:rPr>
                <w:rFonts w:hint="eastAsia" w:ascii="宋体" w:hAnsi="宋体"/>
                <w:color w:val="auto"/>
                <w:kern w:val="0"/>
                <w:sz w:val="22"/>
                <w:szCs w:val="22"/>
              </w:rPr>
              <w:t>127</w:t>
            </w:r>
          </w:p>
        </w:tc>
        <w:tc>
          <w:tcPr>
            <w:tcW w:w="1440" w:type="dxa"/>
            <w:vMerge w:val="continue"/>
            <w:tcBorders>
              <w:top w:val="nil"/>
              <w:left w:val="nil"/>
              <w:bottom w:val="single" w:color="auto" w:sz="4" w:space="0"/>
              <w:right w:val="single" w:color="auto" w:sz="4" w:space="0"/>
            </w:tcBorders>
            <w:vAlign w:val="center"/>
          </w:tcPr>
          <w:p w14:paraId="706CD524">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3338EFC2">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部件可靠性</w:t>
            </w:r>
          </w:p>
        </w:tc>
        <w:tc>
          <w:tcPr>
            <w:tcW w:w="4252" w:type="dxa"/>
            <w:tcBorders>
              <w:top w:val="nil"/>
              <w:left w:val="nil"/>
              <w:bottom w:val="single" w:color="auto" w:sz="4" w:space="0"/>
              <w:right w:val="single" w:color="auto" w:sz="4" w:space="0"/>
            </w:tcBorders>
            <w:vAlign w:val="center"/>
          </w:tcPr>
          <w:p w14:paraId="6AA45922">
            <w:pPr>
              <w:widowControl/>
              <w:jc w:val="left"/>
              <w:rPr>
                <w:rFonts w:ascii="宋体" w:hAnsi="宋体"/>
                <w:color w:val="auto"/>
                <w:kern w:val="0"/>
                <w:sz w:val="22"/>
                <w:szCs w:val="22"/>
              </w:rPr>
            </w:pPr>
            <w:r>
              <w:rPr>
                <w:rFonts w:hint="eastAsia" w:ascii="宋体" w:hAnsi="宋体"/>
                <w:color w:val="auto"/>
                <w:kern w:val="0"/>
                <w:sz w:val="22"/>
                <w:szCs w:val="22"/>
              </w:rPr>
              <w:t>支持硬盘、电源、风扇热插拔(内置风扇除外)</w:t>
            </w:r>
          </w:p>
        </w:tc>
        <w:tc>
          <w:tcPr>
            <w:tcW w:w="236" w:type="dxa"/>
            <w:vAlign w:val="center"/>
          </w:tcPr>
          <w:p w14:paraId="2C2F89DE">
            <w:pPr>
              <w:widowControl/>
              <w:jc w:val="left"/>
              <w:rPr>
                <w:rFonts w:eastAsia="Times New Roman"/>
                <w:color w:val="auto"/>
                <w:kern w:val="0"/>
                <w:sz w:val="22"/>
                <w:szCs w:val="22"/>
              </w:rPr>
            </w:pPr>
          </w:p>
        </w:tc>
      </w:tr>
      <w:tr w14:paraId="5A897201">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15C0F1E3">
            <w:pPr>
              <w:widowControl/>
              <w:jc w:val="center"/>
              <w:rPr>
                <w:rFonts w:ascii="宋体" w:hAnsi="宋体"/>
                <w:color w:val="auto"/>
                <w:kern w:val="0"/>
                <w:sz w:val="22"/>
                <w:szCs w:val="22"/>
              </w:rPr>
            </w:pPr>
            <w:r>
              <w:rPr>
                <w:rFonts w:hint="eastAsia" w:ascii="宋体" w:hAnsi="宋体"/>
                <w:color w:val="auto"/>
                <w:kern w:val="0"/>
                <w:sz w:val="22"/>
                <w:szCs w:val="22"/>
              </w:rPr>
              <w:t>128</w:t>
            </w:r>
          </w:p>
        </w:tc>
        <w:tc>
          <w:tcPr>
            <w:tcW w:w="1440" w:type="dxa"/>
            <w:tcBorders>
              <w:top w:val="nil"/>
              <w:left w:val="nil"/>
              <w:bottom w:val="single" w:color="auto" w:sz="4" w:space="0"/>
              <w:right w:val="single" w:color="auto" w:sz="4" w:space="0"/>
            </w:tcBorders>
            <w:vAlign w:val="center"/>
          </w:tcPr>
          <w:p w14:paraId="398AD319">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包装及运输要求</w:t>
            </w:r>
          </w:p>
        </w:tc>
        <w:tc>
          <w:tcPr>
            <w:tcW w:w="2627" w:type="dxa"/>
            <w:tcBorders>
              <w:top w:val="nil"/>
              <w:left w:val="nil"/>
              <w:bottom w:val="single" w:color="auto" w:sz="4" w:space="0"/>
              <w:right w:val="single" w:color="auto" w:sz="4" w:space="0"/>
            </w:tcBorders>
            <w:vAlign w:val="center"/>
          </w:tcPr>
          <w:p w14:paraId="45267E37">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标志、包装、运输和贮存</w:t>
            </w:r>
          </w:p>
        </w:tc>
        <w:tc>
          <w:tcPr>
            <w:tcW w:w="4252" w:type="dxa"/>
            <w:tcBorders>
              <w:top w:val="nil"/>
              <w:left w:val="nil"/>
              <w:bottom w:val="single" w:color="auto" w:sz="4" w:space="0"/>
              <w:right w:val="single" w:color="auto" w:sz="4" w:space="0"/>
            </w:tcBorders>
            <w:vAlign w:val="center"/>
          </w:tcPr>
          <w:p w14:paraId="7EB89FB8">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67B603E1">
            <w:pPr>
              <w:widowControl/>
              <w:jc w:val="left"/>
              <w:rPr>
                <w:rFonts w:eastAsia="Times New Roman"/>
                <w:color w:val="auto"/>
                <w:kern w:val="0"/>
                <w:sz w:val="22"/>
                <w:szCs w:val="22"/>
              </w:rPr>
            </w:pPr>
          </w:p>
        </w:tc>
      </w:tr>
      <w:tr w14:paraId="394D2F93">
        <w:tblPrEx>
          <w:tblCellMar>
            <w:top w:w="0" w:type="dxa"/>
            <w:left w:w="108" w:type="dxa"/>
            <w:bottom w:w="0" w:type="dxa"/>
            <w:right w:w="108" w:type="dxa"/>
          </w:tblCellMar>
        </w:tblPrEx>
        <w:trPr>
          <w:trHeight w:val="1815" w:hRule="atLeast"/>
          <w:jc w:val="center"/>
        </w:trPr>
        <w:tc>
          <w:tcPr>
            <w:tcW w:w="779" w:type="dxa"/>
            <w:tcBorders>
              <w:top w:val="nil"/>
              <w:left w:val="single" w:color="auto" w:sz="4" w:space="0"/>
              <w:bottom w:val="single" w:color="auto" w:sz="4" w:space="0"/>
              <w:right w:val="single" w:color="auto" w:sz="4" w:space="0"/>
            </w:tcBorders>
            <w:vAlign w:val="center"/>
          </w:tcPr>
          <w:p w14:paraId="642A6B7F">
            <w:pPr>
              <w:widowControl/>
              <w:jc w:val="center"/>
              <w:rPr>
                <w:rFonts w:ascii="宋体" w:hAnsi="宋体"/>
                <w:color w:val="auto"/>
                <w:kern w:val="0"/>
                <w:sz w:val="22"/>
                <w:szCs w:val="22"/>
              </w:rPr>
            </w:pPr>
            <w:r>
              <w:rPr>
                <w:rFonts w:hint="eastAsia" w:ascii="宋体" w:hAnsi="宋体"/>
                <w:color w:val="auto"/>
                <w:kern w:val="0"/>
                <w:sz w:val="22"/>
                <w:szCs w:val="22"/>
              </w:rPr>
              <w:t>129</w:t>
            </w:r>
          </w:p>
        </w:tc>
        <w:tc>
          <w:tcPr>
            <w:tcW w:w="1440" w:type="dxa"/>
            <w:vMerge w:val="restart"/>
            <w:tcBorders>
              <w:top w:val="nil"/>
              <w:left w:val="nil"/>
              <w:bottom w:val="single" w:color="auto" w:sz="4" w:space="0"/>
              <w:right w:val="single" w:color="auto" w:sz="4" w:space="0"/>
            </w:tcBorders>
            <w:vAlign w:val="center"/>
          </w:tcPr>
          <w:p w14:paraId="15516BA6">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服务响应</w:t>
            </w:r>
          </w:p>
        </w:tc>
        <w:tc>
          <w:tcPr>
            <w:tcW w:w="2627" w:type="dxa"/>
            <w:tcBorders>
              <w:top w:val="nil"/>
              <w:left w:val="nil"/>
              <w:bottom w:val="single" w:color="auto" w:sz="4" w:space="0"/>
              <w:right w:val="single" w:color="auto" w:sz="4" w:space="0"/>
            </w:tcBorders>
            <w:vAlign w:val="center"/>
          </w:tcPr>
          <w:p w14:paraId="63175412">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服务响应</w:t>
            </w:r>
          </w:p>
        </w:tc>
        <w:tc>
          <w:tcPr>
            <w:tcW w:w="4252" w:type="dxa"/>
            <w:tcBorders>
              <w:top w:val="nil"/>
              <w:left w:val="nil"/>
              <w:bottom w:val="single" w:color="auto" w:sz="4" w:space="0"/>
              <w:right w:val="single" w:color="auto" w:sz="4" w:space="0"/>
            </w:tcBorders>
            <w:vAlign w:val="center"/>
          </w:tcPr>
          <w:p w14:paraId="5E790BB7">
            <w:pPr>
              <w:widowControl/>
              <w:jc w:val="left"/>
              <w:rPr>
                <w:rFonts w:ascii="宋体" w:hAnsi="宋体"/>
                <w:color w:val="auto"/>
                <w:kern w:val="0"/>
                <w:sz w:val="22"/>
                <w:szCs w:val="22"/>
              </w:rPr>
            </w:pPr>
            <w:r>
              <w:rPr>
                <w:rFonts w:hint="eastAsia" w:ascii="宋体" w:hAnsi="宋体"/>
                <w:color w:val="auto"/>
                <w:kern w:val="0"/>
                <w:sz w:val="22"/>
                <w:szCs w:val="22"/>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c>
          <w:tcPr>
            <w:tcW w:w="236" w:type="dxa"/>
            <w:vAlign w:val="center"/>
          </w:tcPr>
          <w:p w14:paraId="344BC280">
            <w:pPr>
              <w:widowControl/>
              <w:jc w:val="left"/>
              <w:rPr>
                <w:rFonts w:eastAsia="Times New Roman"/>
                <w:color w:val="auto"/>
                <w:kern w:val="0"/>
                <w:sz w:val="22"/>
                <w:szCs w:val="22"/>
              </w:rPr>
            </w:pPr>
          </w:p>
        </w:tc>
      </w:tr>
      <w:tr w14:paraId="52E6887B">
        <w:tblPrEx>
          <w:tblCellMar>
            <w:top w:w="0" w:type="dxa"/>
            <w:left w:w="108" w:type="dxa"/>
            <w:bottom w:w="0" w:type="dxa"/>
            <w:right w:w="108" w:type="dxa"/>
          </w:tblCellMar>
        </w:tblPrEx>
        <w:trPr>
          <w:trHeight w:val="717" w:hRule="atLeast"/>
          <w:jc w:val="center"/>
        </w:trPr>
        <w:tc>
          <w:tcPr>
            <w:tcW w:w="779" w:type="dxa"/>
            <w:tcBorders>
              <w:top w:val="nil"/>
              <w:left w:val="single" w:color="auto" w:sz="4" w:space="0"/>
              <w:bottom w:val="single" w:color="auto" w:sz="4" w:space="0"/>
              <w:right w:val="single" w:color="auto" w:sz="4" w:space="0"/>
            </w:tcBorders>
            <w:vAlign w:val="center"/>
          </w:tcPr>
          <w:p w14:paraId="22D057B2">
            <w:pPr>
              <w:widowControl/>
              <w:jc w:val="center"/>
              <w:rPr>
                <w:rFonts w:ascii="宋体" w:hAnsi="宋体"/>
                <w:color w:val="auto"/>
                <w:kern w:val="0"/>
                <w:sz w:val="22"/>
                <w:szCs w:val="22"/>
              </w:rPr>
            </w:pPr>
            <w:r>
              <w:rPr>
                <w:rFonts w:hint="eastAsia" w:ascii="宋体" w:hAnsi="宋体"/>
                <w:color w:val="auto"/>
                <w:kern w:val="0"/>
                <w:sz w:val="22"/>
                <w:szCs w:val="22"/>
              </w:rPr>
              <w:t>130</w:t>
            </w:r>
          </w:p>
        </w:tc>
        <w:tc>
          <w:tcPr>
            <w:tcW w:w="1440" w:type="dxa"/>
            <w:vMerge w:val="continue"/>
            <w:tcBorders>
              <w:top w:val="nil"/>
              <w:left w:val="nil"/>
              <w:bottom w:val="single" w:color="auto" w:sz="4" w:space="0"/>
              <w:right w:val="single" w:color="auto" w:sz="4" w:space="0"/>
            </w:tcBorders>
            <w:vAlign w:val="center"/>
          </w:tcPr>
          <w:p w14:paraId="5A209C6E">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11EE1B08">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培训服务</w:t>
            </w:r>
          </w:p>
        </w:tc>
        <w:tc>
          <w:tcPr>
            <w:tcW w:w="4252" w:type="dxa"/>
            <w:tcBorders>
              <w:top w:val="nil"/>
              <w:left w:val="nil"/>
              <w:bottom w:val="single" w:color="auto" w:sz="4" w:space="0"/>
              <w:right w:val="single" w:color="auto" w:sz="4" w:space="0"/>
            </w:tcBorders>
            <w:vAlign w:val="center"/>
          </w:tcPr>
          <w:p w14:paraId="44C49B76">
            <w:pPr>
              <w:widowControl/>
              <w:jc w:val="left"/>
              <w:rPr>
                <w:rFonts w:ascii="宋体" w:hAnsi="宋体"/>
                <w:color w:val="auto"/>
                <w:kern w:val="0"/>
                <w:sz w:val="22"/>
                <w:szCs w:val="22"/>
              </w:rPr>
            </w:pPr>
            <w:r>
              <w:rPr>
                <w:rFonts w:hint="eastAsia" w:ascii="宋体" w:hAnsi="宋体"/>
                <w:color w:val="auto"/>
                <w:kern w:val="0"/>
                <w:sz w:val="22"/>
                <w:szCs w:val="22"/>
              </w:rPr>
              <w:t>供应商提供培训材料、产品手册、培训视频等培训相关内容</w:t>
            </w:r>
          </w:p>
        </w:tc>
        <w:tc>
          <w:tcPr>
            <w:tcW w:w="236" w:type="dxa"/>
            <w:vAlign w:val="center"/>
          </w:tcPr>
          <w:p w14:paraId="0EB6C088">
            <w:pPr>
              <w:widowControl/>
              <w:jc w:val="left"/>
              <w:rPr>
                <w:rFonts w:eastAsia="Times New Roman"/>
                <w:color w:val="auto"/>
                <w:kern w:val="0"/>
                <w:sz w:val="22"/>
                <w:szCs w:val="22"/>
              </w:rPr>
            </w:pPr>
          </w:p>
        </w:tc>
      </w:tr>
      <w:tr w14:paraId="24F8DCC6">
        <w:tblPrEx>
          <w:tblCellMar>
            <w:top w:w="0" w:type="dxa"/>
            <w:left w:w="108" w:type="dxa"/>
            <w:bottom w:w="0" w:type="dxa"/>
            <w:right w:w="108" w:type="dxa"/>
          </w:tblCellMar>
        </w:tblPrEx>
        <w:trPr>
          <w:trHeight w:val="1054" w:hRule="atLeast"/>
          <w:jc w:val="center"/>
        </w:trPr>
        <w:tc>
          <w:tcPr>
            <w:tcW w:w="779" w:type="dxa"/>
            <w:tcBorders>
              <w:top w:val="nil"/>
              <w:left w:val="single" w:color="auto" w:sz="4" w:space="0"/>
              <w:bottom w:val="single" w:color="auto" w:sz="4" w:space="0"/>
              <w:right w:val="single" w:color="auto" w:sz="4" w:space="0"/>
            </w:tcBorders>
            <w:vAlign w:val="center"/>
          </w:tcPr>
          <w:p w14:paraId="5FF4EF76">
            <w:pPr>
              <w:widowControl/>
              <w:jc w:val="center"/>
              <w:rPr>
                <w:rFonts w:ascii="宋体" w:hAnsi="宋体"/>
                <w:color w:val="auto"/>
                <w:kern w:val="0"/>
                <w:sz w:val="22"/>
                <w:szCs w:val="22"/>
              </w:rPr>
            </w:pPr>
            <w:r>
              <w:rPr>
                <w:rFonts w:hint="eastAsia" w:ascii="宋体" w:hAnsi="宋体"/>
                <w:color w:val="auto"/>
                <w:kern w:val="0"/>
                <w:sz w:val="22"/>
                <w:szCs w:val="22"/>
              </w:rPr>
              <w:t>131</w:t>
            </w:r>
          </w:p>
        </w:tc>
        <w:tc>
          <w:tcPr>
            <w:tcW w:w="1440" w:type="dxa"/>
            <w:tcBorders>
              <w:top w:val="nil"/>
              <w:left w:val="nil"/>
              <w:bottom w:val="single" w:color="auto" w:sz="4" w:space="0"/>
              <w:right w:val="single" w:color="auto" w:sz="4" w:space="0"/>
            </w:tcBorders>
            <w:vAlign w:val="center"/>
          </w:tcPr>
          <w:p w14:paraId="38E1C1E8">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服务周期</w:t>
            </w:r>
          </w:p>
        </w:tc>
        <w:tc>
          <w:tcPr>
            <w:tcW w:w="2627" w:type="dxa"/>
            <w:tcBorders>
              <w:top w:val="nil"/>
              <w:left w:val="nil"/>
              <w:bottom w:val="single" w:color="auto" w:sz="4" w:space="0"/>
              <w:right w:val="single" w:color="auto" w:sz="4" w:space="0"/>
            </w:tcBorders>
            <w:vAlign w:val="center"/>
          </w:tcPr>
          <w:p w14:paraId="0C2FA222">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服务周期</w:t>
            </w:r>
          </w:p>
        </w:tc>
        <w:tc>
          <w:tcPr>
            <w:tcW w:w="4252" w:type="dxa"/>
            <w:tcBorders>
              <w:top w:val="nil"/>
              <w:left w:val="nil"/>
              <w:bottom w:val="single" w:color="auto" w:sz="4" w:space="0"/>
              <w:right w:val="single" w:color="auto" w:sz="4" w:space="0"/>
            </w:tcBorders>
            <w:vAlign w:val="center"/>
          </w:tcPr>
          <w:p w14:paraId="6534CEB9">
            <w:pPr>
              <w:widowControl/>
              <w:jc w:val="left"/>
              <w:rPr>
                <w:rFonts w:ascii="宋体" w:hAnsi="宋体"/>
                <w:color w:val="auto"/>
                <w:kern w:val="0"/>
                <w:sz w:val="22"/>
                <w:szCs w:val="22"/>
              </w:rPr>
            </w:pPr>
            <w:r>
              <w:rPr>
                <w:rFonts w:hint="eastAsia" w:ascii="宋体" w:hAnsi="宋体"/>
                <w:color w:val="auto"/>
                <w:kern w:val="0"/>
                <w:sz w:val="22"/>
                <w:szCs w:val="22"/>
              </w:rPr>
              <w:t>a)产品免费服务周期（含换件和维修）应不小于5年；b)设备停产后继续提供质量保障服务（含备品备件），服务终止时间与最后一批设备交付时间间隔不低于</w:t>
            </w:r>
            <w:r>
              <w:rPr>
                <w:rFonts w:hint="eastAsia" w:ascii="宋体" w:hAnsi="宋体"/>
                <w:color w:val="auto"/>
                <w:kern w:val="0"/>
                <w:sz w:val="22"/>
                <w:szCs w:val="22"/>
                <w:lang w:val="en-US" w:eastAsia="zh-CN"/>
              </w:rPr>
              <w:t>5</w:t>
            </w:r>
            <w:r>
              <w:rPr>
                <w:rFonts w:hint="eastAsia" w:ascii="宋体" w:hAnsi="宋体"/>
                <w:color w:val="auto"/>
                <w:kern w:val="0"/>
                <w:sz w:val="22"/>
                <w:szCs w:val="22"/>
              </w:rPr>
              <w:t>年；c)产品停止服务时间应提前1年告知客户；d)产品发布日期需在随机文件中明确</w:t>
            </w:r>
          </w:p>
        </w:tc>
        <w:tc>
          <w:tcPr>
            <w:tcW w:w="236" w:type="dxa"/>
            <w:vAlign w:val="center"/>
          </w:tcPr>
          <w:p w14:paraId="0B2F5202">
            <w:pPr>
              <w:widowControl/>
              <w:jc w:val="left"/>
              <w:rPr>
                <w:rFonts w:eastAsia="Times New Roman"/>
                <w:color w:val="auto"/>
                <w:kern w:val="0"/>
                <w:sz w:val="22"/>
                <w:szCs w:val="22"/>
              </w:rPr>
            </w:pPr>
          </w:p>
        </w:tc>
      </w:tr>
      <w:tr w14:paraId="639297A6">
        <w:tblPrEx>
          <w:tblCellMar>
            <w:top w:w="0" w:type="dxa"/>
            <w:left w:w="108" w:type="dxa"/>
            <w:bottom w:w="0" w:type="dxa"/>
            <w:right w:w="108" w:type="dxa"/>
          </w:tblCellMar>
        </w:tblPrEx>
        <w:trPr>
          <w:trHeight w:val="1188" w:hRule="atLeast"/>
          <w:jc w:val="center"/>
        </w:trPr>
        <w:tc>
          <w:tcPr>
            <w:tcW w:w="779" w:type="dxa"/>
            <w:tcBorders>
              <w:top w:val="nil"/>
              <w:left w:val="single" w:color="auto" w:sz="4" w:space="0"/>
              <w:bottom w:val="single" w:color="auto" w:sz="4" w:space="0"/>
              <w:right w:val="single" w:color="auto" w:sz="4" w:space="0"/>
            </w:tcBorders>
            <w:vAlign w:val="center"/>
          </w:tcPr>
          <w:p w14:paraId="3A9B7910">
            <w:pPr>
              <w:widowControl/>
              <w:jc w:val="center"/>
              <w:rPr>
                <w:rFonts w:ascii="宋体" w:hAnsi="宋体"/>
                <w:color w:val="auto"/>
                <w:kern w:val="0"/>
                <w:sz w:val="22"/>
                <w:szCs w:val="22"/>
              </w:rPr>
            </w:pPr>
            <w:r>
              <w:rPr>
                <w:rFonts w:hint="eastAsia" w:ascii="宋体" w:hAnsi="宋体"/>
                <w:color w:val="auto"/>
                <w:kern w:val="0"/>
                <w:sz w:val="22"/>
                <w:szCs w:val="22"/>
              </w:rPr>
              <w:t>132</w:t>
            </w:r>
          </w:p>
        </w:tc>
        <w:tc>
          <w:tcPr>
            <w:tcW w:w="1440" w:type="dxa"/>
            <w:vMerge w:val="restart"/>
            <w:tcBorders>
              <w:top w:val="nil"/>
              <w:left w:val="nil"/>
              <w:bottom w:val="single" w:color="auto" w:sz="4" w:space="0"/>
              <w:right w:val="single" w:color="auto" w:sz="4" w:space="0"/>
            </w:tcBorders>
            <w:vAlign w:val="center"/>
          </w:tcPr>
          <w:p w14:paraId="7FCCDD6B">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服务工具要求</w:t>
            </w:r>
          </w:p>
        </w:tc>
        <w:tc>
          <w:tcPr>
            <w:tcW w:w="2627" w:type="dxa"/>
            <w:tcBorders>
              <w:top w:val="nil"/>
              <w:left w:val="nil"/>
              <w:bottom w:val="single" w:color="auto" w:sz="4" w:space="0"/>
              <w:right w:val="single" w:color="auto" w:sz="4" w:space="0"/>
            </w:tcBorders>
            <w:vAlign w:val="center"/>
          </w:tcPr>
          <w:p w14:paraId="05598949">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工具要求</w:t>
            </w:r>
          </w:p>
        </w:tc>
        <w:tc>
          <w:tcPr>
            <w:tcW w:w="4252" w:type="dxa"/>
            <w:tcBorders>
              <w:top w:val="nil"/>
              <w:left w:val="nil"/>
              <w:bottom w:val="single" w:color="auto" w:sz="4" w:space="0"/>
              <w:right w:val="single" w:color="auto" w:sz="4" w:space="0"/>
            </w:tcBorders>
            <w:vAlign w:val="center"/>
          </w:tcPr>
          <w:p w14:paraId="6EECE836">
            <w:pPr>
              <w:widowControl/>
              <w:jc w:val="left"/>
              <w:rPr>
                <w:rFonts w:ascii="宋体" w:hAnsi="宋体"/>
                <w:color w:val="auto"/>
                <w:kern w:val="0"/>
                <w:sz w:val="22"/>
                <w:szCs w:val="22"/>
              </w:rPr>
            </w:pPr>
            <w:r>
              <w:rPr>
                <w:rFonts w:hint="eastAsia" w:ascii="宋体" w:hAnsi="宋体"/>
                <w:color w:val="auto"/>
                <w:kern w:val="0"/>
                <w:sz w:val="22"/>
                <w:szCs w:val="22"/>
              </w:rPr>
              <w:t>供应商提供设置服务器硬件、辅助操作系统安装等功能的辅助工具和管理软件。且随附软件应具有合法授权或版权</w:t>
            </w:r>
          </w:p>
        </w:tc>
        <w:tc>
          <w:tcPr>
            <w:tcW w:w="236" w:type="dxa"/>
            <w:vAlign w:val="center"/>
          </w:tcPr>
          <w:p w14:paraId="1BBD5049">
            <w:pPr>
              <w:widowControl/>
              <w:jc w:val="left"/>
              <w:rPr>
                <w:rFonts w:eastAsia="Times New Roman"/>
                <w:color w:val="auto"/>
                <w:kern w:val="0"/>
                <w:sz w:val="22"/>
                <w:szCs w:val="22"/>
              </w:rPr>
            </w:pPr>
          </w:p>
        </w:tc>
      </w:tr>
      <w:tr w14:paraId="16FAC43A">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4FF06181">
            <w:pPr>
              <w:widowControl/>
              <w:jc w:val="center"/>
              <w:rPr>
                <w:rFonts w:ascii="宋体" w:hAnsi="宋体"/>
                <w:color w:val="auto"/>
                <w:kern w:val="0"/>
                <w:sz w:val="22"/>
                <w:szCs w:val="22"/>
              </w:rPr>
            </w:pPr>
            <w:r>
              <w:rPr>
                <w:rFonts w:hint="eastAsia" w:ascii="宋体" w:hAnsi="宋体"/>
                <w:color w:val="auto"/>
                <w:kern w:val="0"/>
                <w:sz w:val="22"/>
                <w:szCs w:val="22"/>
              </w:rPr>
              <w:t>133</w:t>
            </w:r>
          </w:p>
        </w:tc>
        <w:tc>
          <w:tcPr>
            <w:tcW w:w="1440" w:type="dxa"/>
            <w:vMerge w:val="continue"/>
            <w:tcBorders>
              <w:top w:val="nil"/>
              <w:left w:val="nil"/>
              <w:bottom w:val="single" w:color="auto" w:sz="4" w:space="0"/>
              <w:right w:val="single" w:color="auto" w:sz="4" w:space="0"/>
            </w:tcBorders>
            <w:vAlign w:val="center"/>
          </w:tcPr>
          <w:p w14:paraId="39A7065E">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51C77AFC">
            <w:pPr>
              <w:widowControl/>
              <w:jc w:val="left"/>
              <w:rPr>
                <w:rFonts w:ascii="宋体" w:hAnsi="宋体"/>
                <w:color w:val="auto"/>
                <w:kern w:val="0"/>
                <w:sz w:val="22"/>
                <w:szCs w:val="22"/>
              </w:rPr>
            </w:pPr>
            <w:r>
              <w:rPr>
                <w:rFonts w:hint="eastAsia" w:ascii="宋体" w:hAnsi="宋体"/>
                <w:color w:val="auto"/>
                <w:kern w:val="0"/>
                <w:sz w:val="22"/>
                <w:szCs w:val="22"/>
              </w:rPr>
              <w:t>辅助工具</w:t>
            </w:r>
          </w:p>
        </w:tc>
        <w:tc>
          <w:tcPr>
            <w:tcW w:w="4252" w:type="dxa"/>
            <w:tcBorders>
              <w:top w:val="nil"/>
              <w:left w:val="nil"/>
              <w:bottom w:val="single" w:color="auto" w:sz="4" w:space="0"/>
              <w:right w:val="single" w:color="auto" w:sz="4" w:space="0"/>
            </w:tcBorders>
            <w:vAlign w:val="center"/>
          </w:tcPr>
          <w:p w14:paraId="7D0E2E6C">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36CAFB99">
            <w:pPr>
              <w:widowControl/>
              <w:jc w:val="left"/>
              <w:rPr>
                <w:rFonts w:eastAsia="Times New Roman"/>
                <w:color w:val="auto"/>
                <w:kern w:val="0"/>
                <w:sz w:val="22"/>
                <w:szCs w:val="22"/>
              </w:rPr>
            </w:pPr>
          </w:p>
        </w:tc>
      </w:tr>
      <w:tr w14:paraId="11B57624">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32413659">
            <w:pPr>
              <w:widowControl/>
              <w:jc w:val="center"/>
              <w:rPr>
                <w:rFonts w:ascii="宋体" w:hAnsi="宋体"/>
                <w:color w:val="auto"/>
                <w:kern w:val="0"/>
                <w:sz w:val="22"/>
                <w:szCs w:val="22"/>
              </w:rPr>
            </w:pPr>
            <w:r>
              <w:rPr>
                <w:rFonts w:hint="eastAsia" w:ascii="宋体" w:hAnsi="宋体"/>
                <w:color w:val="auto"/>
                <w:kern w:val="0"/>
                <w:sz w:val="22"/>
                <w:szCs w:val="22"/>
              </w:rPr>
              <w:t>134</w:t>
            </w:r>
          </w:p>
        </w:tc>
        <w:tc>
          <w:tcPr>
            <w:tcW w:w="1440" w:type="dxa"/>
            <w:vMerge w:val="continue"/>
            <w:tcBorders>
              <w:top w:val="nil"/>
              <w:left w:val="nil"/>
              <w:bottom w:val="single" w:color="auto" w:sz="4" w:space="0"/>
              <w:right w:val="single" w:color="auto" w:sz="4" w:space="0"/>
            </w:tcBorders>
            <w:vAlign w:val="center"/>
          </w:tcPr>
          <w:p w14:paraId="7B68CB52">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36F0D972">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驱动安装升级指引</w:t>
            </w:r>
          </w:p>
        </w:tc>
        <w:tc>
          <w:tcPr>
            <w:tcW w:w="4252" w:type="dxa"/>
            <w:tcBorders>
              <w:top w:val="nil"/>
              <w:left w:val="nil"/>
              <w:bottom w:val="single" w:color="auto" w:sz="4" w:space="0"/>
              <w:right w:val="single" w:color="auto" w:sz="4" w:space="0"/>
            </w:tcBorders>
            <w:vAlign w:val="center"/>
          </w:tcPr>
          <w:p w14:paraId="4DA55213">
            <w:pPr>
              <w:widowControl/>
              <w:jc w:val="left"/>
              <w:rPr>
                <w:rFonts w:ascii="宋体" w:hAnsi="宋体"/>
                <w:color w:val="auto"/>
                <w:kern w:val="0"/>
                <w:sz w:val="22"/>
                <w:szCs w:val="22"/>
              </w:rPr>
            </w:pPr>
            <w:r>
              <w:rPr>
                <w:rFonts w:hint="eastAsia" w:ascii="宋体" w:hAnsi="宋体"/>
                <w:color w:val="auto"/>
                <w:kern w:val="0"/>
                <w:sz w:val="22"/>
                <w:szCs w:val="22"/>
              </w:rPr>
              <w:t>供应商提供出厂安装的配件所需的驱动程序，形式包括但不限于驱动光盘、驱动下载链接等。其他配件应提供指引</w:t>
            </w:r>
          </w:p>
        </w:tc>
        <w:tc>
          <w:tcPr>
            <w:tcW w:w="236" w:type="dxa"/>
            <w:vAlign w:val="center"/>
          </w:tcPr>
          <w:p w14:paraId="4E563148">
            <w:pPr>
              <w:widowControl/>
              <w:jc w:val="left"/>
              <w:rPr>
                <w:rFonts w:eastAsia="Times New Roman"/>
                <w:color w:val="auto"/>
                <w:kern w:val="0"/>
                <w:sz w:val="22"/>
                <w:szCs w:val="22"/>
              </w:rPr>
            </w:pPr>
          </w:p>
        </w:tc>
      </w:tr>
      <w:tr w14:paraId="691262D6">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12A294A8">
            <w:pPr>
              <w:widowControl/>
              <w:jc w:val="center"/>
              <w:rPr>
                <w:rFonts w:ascii="宋体" w:hAnsi="宋体"/>
                <w:color w:val="auto"/>
                <w:kern w:val="0"/>
                <w:sz w:val="22"/>
                <w:szCs w:val="22"/>
              </w:rPr>
            </w:pPr>
            <w:r>
              <w:rPr>
                <w:rFonts w:hint="eastAsia" w:ascii="宋体" w:hAnsi="宋体"/>
                <w:color w:val="auto"/>
                <w:kern w:val="0"/>
                <w:sz w:val="22"/>
                <w:szCs w:val="22"/>
              </w:rPr>
              <w:t>135</w:t>
            </w:r>
          </w:p>
        </w:tc>
        <w:tc>
          <w:tcPr>
            <w:tcW w:w="1440" w:type="dxa"/>
            <w:vMerge w:val="continue"/>
            <w:tcBorders>
              <w:top w:val="nil"/>
              <w:left w:val="nil"/>
              <w:bottom w:val="single" w:color="auto" w:sz="4" w:space="0"/>
              <w:right w:val="single" w:color="auto" w:sz="4" w:space="0"/>
            </w:tcBorders>
            <w:vAlign w:val="center"/>
          </w:tcPr>
          <w:p w14:paraId="6695BFB8">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566DA3EA">
            <w:pPr>
              <w:widowControl/>
              <w:jc w:val="left"/>
              <w:rPr>
                <w:rFonts w:ascii="宋体" w:hAnsi="宋体"/>
                <w:color w:val="auto"/>
                <w:kern w:val="0"/>
                <w:sz w:val="22"/>
                <w:szCs w:val="22"/>
              </w:rPr>
            </w:pPr>
            <w:r>
              <w:rPr>
                <w:rFonts w:hint="eastAsia" w:ascii="宋体" w:hAnsi="宋体"/>
                <w:color w:val="auto"/>
                <w:kern w:val="0"/>
                <w:sz w:val="22"/>
                <w:szCs w:val="22"/>
              </w:rPr>
              <w:t>随机附开盖工具</w:t>
            </w:r>
          </w:p>
        </w:tc>
        <w:tc>
          <w:tcPr>
            <w:tcW w:w="4252" w:type="dxa"/>
            <w:tcBorders>
              <w:top w:val="nil"/>
              <w:left w:val="nil"/>
              <w:bottom w:val="single" w:color="auto" w:sz="4" w:space="0"/>
              <w:right w:val="single" w:color="auto" w:sz="4" w:space="0"/>
            </w:tcBorders>
            <w:vAlign w:val="center"/>
          </w:tcPr>
          <w:p w14:paraId="1612C5BD">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66F7A97F">
            <w:pPr>
              <w:widowControl/>
              <w:jc w:val="left"/>
              <w:rPr>
                <w:rFonts w:eastAsia="Times New Roman"/>
                <w:color w:val="auto"/>
                <w:kern w:val="0"/>
                <w:sz w:val="22"/>
                <w:szCs w:val="22"/>
              </w:rPr>
            </w:pPr>
          </w:p>
        </w:tc>
      </w:tr>
      <w:tr w14:paraId="27E3265F">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087C9C42">
            <w:pPr>
              <w:widowControl/>
              <w:jc w:val="center"/>
              <w:rPr>
                <w:rFonts w:ascii="宋体" w:hAnsi="宋体"/>
                <w:color w:val="auto"/>
                <w:kern w:val="0"/>
                <w:sz w:val="22"/>
                <w:szCs w:val="22"/>
              </w:rPr>
            </w:pPr>
            <w:r>
              <w:rPr>
                <w:rFonts w:hint="eastAsia" w:ascii="宋体" w:hAnsi="宋体"/>
                <w:color w:val="auto"/>
                <w:kern w:val="0"/>
                <w:sz w:val="22"/>
                <w:szCs w:val="22"/>
              </w:rPr>
              <w:t>136</w:t>
            </w:r>
          </w:p>
        </w:tc>
        <w:tc>
          <w:tcPr>
            <w:tcW w:w="1440" w:type="dxa"/>
            <w:vMerge w:val="continue"/>
            <w:tcBorders>
              <w:top w:val="nil"/>
              <w:left w:val="nil"/>
              <w:bottom w:val="single" w:color="auto" w:sz="4" w:space="0"/>
              <w:right w:val="single" w:color="auto" w:sz="4" w:space="0"/>
            </w:tcBorders>
            <w:vAlign w:val="center"/>
          </w:tcPr>
          <w:p w14:paraId="62C13E3F">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2269B8EA">
            <w:pPr>
              <w:widowControl/>
              <w:jc w:val="left"/>
              <w:rPr>
                <w:rFonts w:ascii="宋体" w:hAnsi="宋体"/>
                <w:color w:val="auto"/>
                <w:kern w:val="0"/>
                <w:sz w:val="22"/>
                <w:szCs w:val="22"/>
              </w:rPr>
            </w:pPr>
            <w:r>
              <w:rPr>
                <w:rFonts w:hint="eastAsia" w:ascii="宋体" w:hAnsi="宋体"/>
                <w:color w:val="auto"/>
                <w:kern w:val="0"/>
                <w:sz w:val="22"/>
                <w:szCs w:val="22"/>
              </w:rPr>
              <w:t>代码迁移工具</w:t>
            </w:r>
          </w:p>
        </w:tc>
        <w:tc>
          <w:tcPr>
            <w:tcW w:w="4252" w:type="dxa"/>
            <w:tcBorders>
              <w:top w:val="nil"/>
              <w:left w:val="nil"/>
              <w:bottom w:val="single" w:color="auto" w:sz="4" w:space="0"/>
              <w:right w:val="single" w:color="auto" w:sz="4" w:space="0"/>
            </w:tcBorders>
            <w:vAlign w:val="center"/>
          </w:tcPr>
          <w:p w14:paraId="2849CF3B">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19DFE25B">
            <w:pPr>
              <w:widowControl/>
              <w:jc w:val="left"/>
              <w:rPr>
                <w:rFonts w:eastAsia="Times New Roman"/>
                <w:color w:val="auto"/>
                <w:kern w:val="0"/>
                <w:sz w:val="22"/>
                <w:szCs w:val="22"/>
              </w:rPr>
            </w:pPr>
          </w:p>
        </w:tc>
      </w:tr>
      <w:tr w14:paraId="12C68076">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567E2BBE">
            <w:pPr>
              <w:widowControl/>
              <w:jc w:val="center"/>
              <w:rPr>
                <w:rFonts w:ascii="宋体" w:hAnsi="宋体"/>
                <w:color w:val="auto"/>
                <w:kern w:val="0"/>
                <w:sz w:val="22"/>
                <w:szCs w:val="22"/>
              </w:rPr>
            </w:pPr>
            <w:r>
              <w:rPr>
                <w:rFonts w:hint="eastAsia" w:ascii="宋体" w:hAnsi="宋体"/>
                <w:color w:val="auto"/>
                <w:kern w:val="0"/>
                <w:sz w:val="22"/>
                <w:szCs w:val="22"/>
              </w:rPr>
              <w:t>137</w:t>
            </w:r>
          </w:p>
        </w:tc>
        <w:tc>
          <w:tcPr>
            <w:tcW w:w="1440" w:type="dxa"/>
            <w:vMerge w:val="continue"/>
            <w:tcBorders>
              <w:top w:val="nil"/>
              <w:left w:val="nil"/>
              <w:bottom w:val="single" w:color="auto" w:sz="4" w:space="0"/>
              <w:right w:val="single" w:color="auto" w:sz="4" w:space="0"/>
            </w:tcBorders>
            <w:vAlign w:val="center"/>
          </w:tcPr>
          <w:p w14:paraId="4EF534BA">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6DF2D3DA">
            <w:pPr>
              <w:widowControl/>
              <w:jc w:val="left"/>
              <w:rPr>
                <w:rFonts w:ascii="宋体" w:hAnsi="宋体"/>
                <w:color w:val="auto"/>
                <w:kern w:val="0"/>
                <w:sz w:val="22"/>
                <w:szCs w:val="22"/>
              </w:rPr>
            </w:pPr>
            <w:r>
              <w:rPr>
                <w:rFonts w:hint="eastAsia" w:ascii="宋体" w:hAnsi="宋体"/>
                <w:color w:val="auto"/>
                <w:kern w:val="0"/>
                <w:sz w:val="22"/>
                <w:szCs w:val="22"/>
              </w:rPr>
              <w:t>性能分析工具</w:t>
            </w:r>
          </w:p>
        </w:tc>
        <w:tc>
          <w:tcPr>
            <w:tcW w:w="4252" w:type="dxa"/>
            <w:tcBorders>
              <w:top w:val="nil"/>
              <w:left w:val="nil"/>
              <w:bottom w:val="single" w:color="auto" w:sz="4" w:space="0"/>
              <w:right w:val="single" w:color="auto" w:sz="4" w:space="0"/>
            </w:tcBorders>
            <w:vAlign w:val="center"/>
          </w:tcPr>
          <w:p w14:paraId="768BBB06">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6DD51D8F">
            <w:pPr>
              <w:widowControl/>
              <w:jc w:val="left"/>
              <w:rPr>
                <w:rFonts w:eastAsia="Times New Roman"/>
                <w:color w:val="auto"/>
                <w:kern w:val="0"/>
                <w:sz w:val="22"/>
                <w:szCs w:val="22"/>
              </w:rPr>
            </w:pPr>
          </w:p>
        </w:tc>
      </w:tr>
      <w:tr w14:paraId="6ACF3808">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270BBA2E">
            <w:pPr>
              <w:widowControl/>
              <w:jc w:val="center"/>
              <w:rPr>
                <w:rFonts w:ascii="宋体" w:hAnsi="宋体"/>
                <w:color w:val="auto"/>
                <w:kern w:val="0"/>
                <w:sz w:val="22"/>
                <w:szCs w:val="22"/>
              </w:rPr>
            </w:pPr>
            <w:r>
              <w:rPr>
                <w:rFonts w:hint="eastAsia" w:ascii="宋体" w:hAnsi="宋体"/>
                <w:color w:val="auto"/>
                <w:kern w:val="0"/>
                <w:sz w:val="22"/>
                <w:szCs w:val="22"/>
              </w:rPr>
              <w:t>138</w:t>
            </w:r>
          </w:p>
        </w:tc>
        <w:tc>
          <w:tcPr>
            <w:tcW w:w="1440" w:type="dxa"/>
            <w:vMerge w:val="continue"/>
            <w:tcBorders>
              <w:top w:val="nil"/>
              <w:left w:val="nil"/>
              <w:bottom w:val="single" w:color="auto" w:sz="4" w:space="0"/>
              <w:right w:val="single" w:color="auto" w:sz="4" w:space="0"/>
            </w:tcBorders>
            <w:vAlign w:val="center"/>
          </w:tcPr>
          <w:p w14:paraId="0FD9777C">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6ACCFAF0">
            <w:pPr>
              <w:widowControl/>
              <w:jc w:val="left"/>
              <w:rPr>
                <w:rFonts w:ascii="宋体" w:hAnsi="宋体"/>
                <w:color w:val="auto"/>
                <w:kern w:val="0"/>
                <w:sz w:val="22"/>
                <w:szCs w:val="22"/>
              </w:rPr>
            </w:pPr>
            <w:r>
              <w:rPr>
                <w:rFonts w:hint="eastAsia" w:ascii="宋体" w:hAnsi="宋体"/>
                <w:color w:val="auto"/>
                <w:kern w:val="0"/>
                <w:sz w:val="22"/>
                <w:szCs w:val="22"/>
              </w:rPr>
              <w:t>跨架构平台应用兼容</w:t>
            </w:r>
          </w:p>
        </w:tc>
        <w:tc>
          <w:tcPr>
            <w:tcW w:w="4252" w:type="dxa"/>
            <w:tcBorders>
              <w:top w:val="nil"/>
              <w:left w:val="nil"/>
              <w:bottom w:val="single" w:color="auto" w:sz="4" w:space="0"/>
              <w:right w:val="single" w:color="auto" w:sz="4" w:space="0"/>
            </w:tcBorders>
            <w:vAlign w:val="center"/>
          </w:tcPr>
          <w:p w14:paraId="506D4D2D">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16E85C4F">
            <w:pPr>
              <w:widowControl/>
              <w:jc w:val="left"/>
              <w:rPr>
                <w:rFonts w:eastAsia="Times New Roman"/>
                <w:color w:val="auto"/>
                <w:kern w:val="0"/>
                <w:sz w:val="22"/>
                <w:szCs w:val="22"/>
              </w:rPr>
            </w:pPr>
          </w:p>
        </w:tc>
      </w:tr>
      <w:tr w14:paraId="6A3F893D">
        <w:tblPrEx>
          <w:tblCellMar>
            <w:top w:w="0" w:type="dxa"/>
            <w:left w:w="108" w:type="dxa"/>
            <w:bottom w:w="0" w:type="dxa"/>
            <w:right w:w="108" w:type="dxa"/>
          </w:tblCellMar>
        </w:tblPrEx>
        <w:trPr>
          <w:trHeight w:val="717" w:hRule="atLeast"/>
          <w:jc w:val="center"/>
        </w:trPr>
        <w:tc>
          <w:tcPr>
            <w:tcW w:w="779" w:type="dxa"/>
            <w:tcBorders>
              <w:top w:val="nil"/>
              <w:left w:val="single" w:color="auto" w:sz="4" w:space="0"/>
              <w:bottom w:val="single" w:color="auto" w:sz="4" w:space="0"/>
              <w:right w:val="single" w:color="auto" w:sz="4" w:space="0"/>
            </w:tcBorders>
            <w:vAlign w:val="center"/>
          </w:tcPr>
          <w:p w14:paraId="6DB78BCD">
            <w:pPr>
              <w:widowControl/>
              <w:jc w:val="center"/>
              <w:rPr>
                <w:rFonts w:ascii="宋体" w:hAnsi="宋体"/>
                <w:color w:val="auto"/>
                <w:kern w:val="0"/>
                <w:sz w:val="22"/>
                <w:szCs w:val="22"/>
              </w:rPr>
            </w:pPr>
            <w:r>
              <w:rPr>
                <w:rFonts w:hint="eastAsia" w:ascii="宋体" w:hAnsi="宋体"/>
                <w:color w:val="auto"/>
                <w:kern w:val="0"/>
                <w:sz w:val="22"/>
                <w:szCs w:val="22"/>
              </w:rPr>
              <w:t>139</w:t>
            </w:r>
          </w:p>
        </w:tc>
        <w:tc>
          <w:tcPr>
            <w:tcW w:w="1440" w:type="dxa"/>
            <w:vMerge w:val="continue"/>
            <w:tcBorders>
              <w:top w:val="nil"/>
              <w:left w:val="nil"/>
              <w:bottom w:val="single" w:color="auto" w:sz="4" w:space="0"/>
              <w:right w:val="single" w:color="auto" w:sz="4" w:space="0"/>
            </w:tcBorders>
            <w:vAlign w:val="center"/>
          </w:tcPr>
          <w:p w14:paraId="6704B508">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4D469F82">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管理软件</w:t>
            </w:r>
          </w:p>
        </w:tc>
        <w:tc>
          <w:tcPr>
            <w:tcW w:w="4252" w:type="dxa"/>
            <w:tcBorders>
              <w:top w:val="nil"/>
              <w:left w:val="nil"/>
              <w:bottom w:val="single" w:color="auto" w:sz="4" w:space="0"/>
              <w:right w:val="single" w:color="auto" w:sz="4" w:space="0"/>
            </w:tcBorders>
            <w:vAlign w:val="center"/>
          </w:tcPr>
          <w:p w14:paraId="56FC673F">
            <w:pPr>
              <w:widowControl/>
              <w:jc w:val="left"/>
              <w:rPr>
                <w:rFonts w:ascii="宋体" w:hAnsi="宋体"/>
                <w:color w:val="auto"/>
                <w:kern w:val="0"/>
                <w:sz w:val="22"/>
                <w:szCs w:val="22"/>
              </w:rPr>
            </w:pPr>
            <w:r>
              <w:rPr>
                <w:rFonts w:hint="eastAsia" w:ascii="宋体" w:hAnsi="宋体"/>
                <w:color w:val="auto"/>
                <w:kern w:val="0"/>
                <w:sz w:val="22"/>
                <w:szCs w:val="22"/>
              </w:rPr>
              <w:t>具备资源管理、系统管理、性能监控、健康监控、基于网络控制、报警设置功能</w:t>
            </w:r>
          </w:p>
        </w:tc>
        <w:tc>
          <w:tcPr>
            <w:tcW w:w="236" w:type="dxa"/>
            <w:vAlign w:val="center"/>
          </w:tcPr>
          <w:p w14:paraId="6047F273">
            <w:pPr>
              <w:widowControl/>
              <w:jc w:val="left"/>
              <w:rPr>
                <w:rFonts w:eastAsia="Times New Roman"/>
                <w:color w:val="auto"/>
                <w:kern w:val="0"/>
                <w:sz w:val="22"/>
                <w:szCs w:val="22"/>
              </w:rPr>
            </w:pPr>
          </w:p>
        </w:tc>
      </w:tr>
      <w:tr w14:paraId="3B408DB0">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46C76150">
            <w:pPr>
              <w:widowControl/>
              <w:jc w:val="center"/>
              <w:rPr>
                <w:rFonts w:ascii="宋体" w:hAnsi="宋体"/>
                <w:color w:val="auto"/>
                <w:kern w:val="0"/>
                <w:sz w:val="22"/>
                <w:szCs w:val="22"/>
              </w:rPr>
            </w:pPr>
            <w:r>
              <w:rPr>
                <w:rFonts w:hint="eastAsia" w:ascii="宋体" w:hAnsi="宋体"/>
                <w:color w:val="auto"/>
                <w:kern w:val="0"/>
                <w:sz w:val="22"/>
                <w:szCs w:val="22"/>
              </w:rPr>
              <w:t>140</w:t>
            </w:r>
          </w:p>
        </w:tc>
        <w:tc>
          <w:tcPr>
            <w:tcW w:w="1440" w:type="dxa"/>
            <w:vMerge w:val="restart"/>
            <w:tcBorders>
              <w:top w:val="nil"/>
              <w:left w:val="nil"/>
              <w:bottom w:val="single" w:color="auto" w:sz="4" w:space="0"/>
              <w:right w:val="single" w:color="auto" w:sz="4" w:space="0"/>
            </w:tcBorders>
            <w:vAlign w:val="center"/>
          </w:tcPr>
          <w:p w14:paraId="4F31E8C5">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增值服务</w:t>
            </w:r>
          </w:p>
        </w:tc>
        <w:tc>
          <w:tcPr>
            <w:tcW w:w="2627" w:type="dxa"/>
            <w:tcBorders>
              <w:top w:val="nil"/>
              <w:left w:val="nil"/>
              <w:bottom w:val="single" w:color="auto" w:sz="4" w:space="0"/>
              <w:right w:val="single" w:color="auto" w:sz="4" w:space="0"/>
            </w:tcBorders>
            <w:vAlign w:val="center"/>
          </w:tcPr>
          <w:p w14:paraId="19834308">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厂家升级产品软件与扩容服务</w:t>
            </w:r>
          </w:p>
        </w:tc>
        <w:tc>
          <w:tcPr>
            <w:tcW w:w="4252" w:type="dxa"/>
            <w:tcBorders>
              <w:top w:val="nil"/>
              <w:left w:val="nil"/>
              <w:bottom w:val="single" w:color="auto" w:sz="4" w:space="0"/>
              <w:right w:val="single" w:color="auto" w:sz="4" w:space="0"/>
            </w:tcBorders>
            <w:vAlign w:val="center"/>
          </w:tcPr>
          <w:p w14:paraId="050C9BAA">
            <w:pPr>
              <w:widowControl/>
              <w:jc w:val="left"/>
              <w:rPr>
                <w:rFonts w:ascii="宋体" w:hAnsi="宋体"/>
                <w:color w:val="auto"/>
                <w:kern w:val="0"/>
                <w:sz w:val="22"/>
                <w:szCs w:val="22"/>
              </w:rPr>
            </w:pPr>
            <w:r>
              <w:rPr>
                <w:rFonts w:hint="eastAsia" w:ascii="宋体" w:hAnsi="宋体"/>
                <w:color w:val="auto"/>
                <w:kern w:val="0"/>
                <w:sz w:val="22"/>
                <w:szCs w:val="22"/>
              </w:rPr>
              <w:t>供应商提供原厂级的部件/软件产品升级和扩容能力</w:t>
            </w:r>
          </w:p>
        </w:tc>
        <w:tc>
          <w:tcPr>
            <w:tcW w:w="236" w:type="dxa"/>
            <w:vAlign w:val="center"/>
          </w:tcPr>
          <w:p w14:paraId="613C7829">
            <w:pPr>
              <w:widowControl/>
              <w:jc w:val="left"/>
              <w:rPr>
                <w:rFonts w:eastAsia="Times New Roman"/>
                <w:color w:val="auto"/>
                <w:kern w:val="0"/>
                <w:sz w:val="22"/>
                <w:szCs w:val="22"/>
              </w:rPr>
            </w:pPr>
          </w:p>
        </w:tc>
      </w:tr>
      <w:tr w14:paraId="6B05E35A">
        <w:tblPrEx>
          <w:tblCellMar>
            <w:top w:w="0" w:type="dxa"/>
            <w:left w:w="108" w:type="dxa"/>
            <w:bottom w:w="0" w:type="dxa"/>
            <w:right w:w="108" w:type="dxa"/>
          </w:tblCellMar>
        </w:tblPrEx>
        <w:trPr>
          <w:trHeight w:val="245" w:hRule="atLeast"/>
          <w:jc w:val="center"/>
        </w:trPr>
        <w:tc>
          <w:tcPr>
            <w:tcW w:w="779" w:type="dxa"/>
            <w:tcBorders>
              <w:top w:val="nil"/>
              <w:left w:val="single" w:color="auto" w:sz="4" w:space="0"/>
              <w:bottom w:val="single" w:color="auto" w:sz="4" w:space="0"/>
              <w:right w:val="single" w:color="auto" w:sz="4" w:space="0"/>
            </w:tcBorders>
            <w:vAlign w:val="center"/>
          </w:tcPr>
          <w:p w14:paraId="662E52FD">
            <w:pPr>
              <w:widowControl/>
              <w:jc w:val="center"/>
              <w:rPr>
                <w:rFonts w:ascii="宋体" w:hAnsi="宋体"/>
                <w:color w:val="auto"/>
                <w:kern w:val="0"/>
                <w:sz w:val="22"/>
                <w:szCs w:val="22"/>
              </w:rPr>
            </w:pPr>
            <w:r>
              <w:rPr>
                <w:rFonts w:hint="eastAsia" w:ascii="宋体" w:hAnsi="宋体"/>
                <w:color w:val="auto"/>
                <w:kern w:val="0"/>
                <w:sz w:val="22"/>
                <w:szCs w:val="22"/>
              </w:rPr>
              <w:t>141</w:t>
            </w:r>
          </w:p>
        </w:tc>
        <w:tc>
          <w:tcPr>
            <w:tcW w:w="1440" w:type="dxa"/>
            <w:vMerge w:val="continue"/>
            <w:tcBorders>
              <w:top w:val="nil"/>
              <w:left w:val="nil"/>
              <w:bottom w:val="single" w:color="auto" w:sz="4" w:space="0"/>
              <w:right w:val="single" w:color="auto" w:sz="4" w:space="0"/>
            </w:tcBorders>
            <w:vAlign w:val="center"/>
          </w:tcPr>
          <w:p w14:paraId="3B4BD981">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2817B2D4">
            <w:pPr>
              <w:widowControl/>
              <w:jc w:val="left"/>
              <w:rPr>
                <w:rFonts w:ascii="宋体" w:hAnsi="宋体"/>
                <w:color w:val="auto"/>
                <w:kern w:val="0"/>
                <w:sz w:val="22"/>
                <w:szCs w:val="22"/>
              </w:rPr>
            </w:pPr>
            <w:r>
              <w:rPr>
                <w:rFonts w:hint="eastAsia" w:ascii="宋体" w:hAnsi="宋体"/>
                <w:color w:val="auto"/>
                <w:kern w:val="0"/>
                <w:sz w:val="22"/>
                <w:szCs w:val="22"/>
              </w:rPr>
              <w:t>服务保障升级</w:t>
            </w:r>
          </w:p>
        </w:tc>
        <w:tc>
          <w:tcPr>
            <w:tcW w:w="4252" w:type="dxa"/>
            <w:tcBorders>
              <w:top w:val="nil"/>
              <w:left w:val="nil"/>
              <w:bottom w:val="single" w:color="auto" w:sz="4" w:space="0"/>
              <w:right w:val="single" w:color="auto" w:sz="4" w:space="0"/>
            </w:tcBorders>
            <w:vAlign w:val="center"/>
          </w:tcPr>
          <w:p w14:paraId="72198ED9">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1DE0013A">
            <w:pPr>
              <w:widowControl/>
              <w:jc w:val="left"/>
              <w:rPr>
                <w:rFonts w:eastAsia="Times New Roman"/>
                <w:color w:val="auto"/>
                <w:kern w:val="0"/>
                <w:sz w:val="22"/>
                <w:szCs w:val="22"/>
              </w:rPr>
            </w:pPr>
          </w:p>
        </w:tc>
      </w:tr>
      <w:tr w14:paraId="73722982">
        <w:tblPrEx>
          <w:tblCellMar>
            <w:top w:w="0" w:type="dxa"/>
            <w:left w:w="108" w:type="dxa"/>
            <w:bottom w:w="0" w:type="dxa"/>
            <w:right w:w="108" w:type="dxa"/>
          </w:tblCellMar>
        </w:tblPrEx>
        <w:trPr>
          <w:trHeight w:val="480" w:hRule="atLeast"/>
          <w:jc w:val="center"/>
        </w:trPr>
        <w:tc>
          <w:tcPr>
            <w:tcW w:w="779" w:type="dxa"/>
            <w:tcBorders>
              <w:top w:val="nil"/>
              <w:left w:val="single" w:color="auto" w:sz="4" w:space="0"/>
              <w:bottom w:val="single" w:color="auto" w:sz="4" w:space="0"/>
              <w:right w:val="single" w:color="auto" w:sz="4" w:space="0"/>
            </w:tcBorders>
            <w:vAlign w:val="center"/>
          </w:tcPr>
          <w:p w14:paraId="270A08F8">
            <w:pPr>
              <w:widowControl/>
              <w:jc w:val="center"/>
              <w:rPr>
                <w:rFonts w:ascii="宋体" w:hAnsi="宋体"/>
                <w:color w:val="auto"/>
                <w:kern w:val="0"/>
                <w:sz w:val="22"/>
                <w:szCs w:val="22"/>
              </w:rPr>
            </w:pPr>
            <w:r>
              <w:rPr>
                <w:rFonts w:hint="eastAsia" w:ascii="宋体" w:hAnsi="宋体"/>
                <w:color w:val="auto"/>
                <w:kern w:val="0"/>
                <w:sz w:val="22"/>
                <w:szCs w:val="22"/>
              </w:rPr>
              <w:t>142</w:t>
            </w:r>
          </w:p>
        </w:tc>
        <w:tc>
          <w:tcPr>
            <w:tcW w:w="1440" w:type="dxa"/>
            <w:vMerge w:val="continue"/>
            <w:tcBorders>
              <w:top w:val="nil"/>
              <w:left w:val="nil"/>
              <w:bottom w:val="single" w:color="auto" w:sz="4" w:space="0"/>
              <w:right w:val="single" w:color="auto" w:sz="4" w:space="0"/>
            </w:tcBorders>
            <w:vAlign w:val="center"/>
          </w:tcPr>
          <w:p w14:paraId="2C5FD38A">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67023BDC">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提供上门服务</w:t>
            </w:r>
          </w:p>
        </w:tc>
        <w:tc>
          <w:tcPr>
            <w:tcW w:w="4252" w:type="dxa"/>
            <w:tcBorders>
              <w:top w:val="nil"/>
              <w:left w:val="nil"/>
              <w:bottom w:val="single" w:color="auto" w:sz="4" w:space="0"/>
              <w:right w:val="single" w:color="auto" w:sz="4" w:space="0"/>
            </w:tcBorders>
            <w:vAlign w:val="center"/>
          </w:tcPr>
          <w:p w14:paraId="0987AA53">
            <w:pPr>
              <w:widowControl/>
              <w:jc w:val="left"/>
              <w:rPr>
                <w:rFonts w:ascii="宋体" w:hAnsi="宋体"/>
                <w:color w:val="auto"/>
                <w:kern w:val="0"/>
                <w:sz w:val="22"/>
                <w:szCs w:val="22"/>
              </w:rPr>
            </w:pPr>
            <w:r>
              <w:rPr>
                <w:rFonts w:hint="eastAsia" w:ascii="宋体" w:hAnsi="宋体"/>
                <w:color w:val="auto"/>
                <w:kern w:val="0"/>
                <w:sz w:val="22"/>
                <w:szCs w:val="22"/>
              </w:rPr>
              <w:t>供应商具备提供上门服务的能力(可收费)</w:t>
            </w:r>
          </w:p>
        </w:tc>
        <w:tc>
          <w:tcPr>
            <w:tcW w:w="236" w:type="dxa"/>
            <w:vAlign w:val="center"/>
          </w:tcPr>
          <w:p w14:paraId="4380E2C8">
            <w:pPr>
              <w:widowControl/>
              <w:jc w:val="left"/>
              <w:rPr>
                <w:rFonts w:eastAsia="Times New Roman"/>
                <w:color w:val="auto"/>
                <w:kern w:val="0"/>
                <w:sz w:val="22"/>
                <w:szCs w:val="22"/>
              </w:rPr>
            </w:pPr>
          </w:p>
        </w:tc>
      </w:tr>
      <w:tr w14:paraId="542C7DD5">
        <w:tblPrEx>
          <w:tblCellMar>
            <w:top w:w="0" w:type="dxa"/>
            <w:left w:w="108" w:type="dxa"/>
            <w:bottom w:w="0" w:type="dxa"/>
            <w:right w:w="108" w:type="dxa"/>
          </w:tblCellMar>
        </w:tblPrEx>
        <w:trPr>
          <w:trHeight w:val="529" w:hRule="atLeast"/>
          <w:jc w:val="center"/>
        </w:trPr>
        <w:tc>
          <w:tcPr>
            <w:tcW w:w="779" w:type="dxa"/>
            <w:tcBorders>
              <w:top w:val="nil"/>
              <w:left w:val="single" w:color="auto" w:sz="4" w:space="0"/>
              <w:bottom w:val="single" w:color="auto" w:sz="4" w:space="0"/>
              <w:right w:val="single" w:color="auto" w:sz="4" w:space="0"/>
            </w:tcBorders>
            <w:vAlign w:val="center"/>
          </w:tcPr>
          <w:p w14:paraId="3E6F2C5F">
            <w:pPr>
              <w:widowControl/>
              <w:jc w:val="center"/>
              <w:rPr>
                <w:rFonts w:ascii="宋体" w:hAnsi="宋体"/>
                <w:color w:val="auto"/>
                <w:kern w:val="0"/>
                <w:sz w:val="22"/>
                <w:szCs w:val="22"/>
              </w:rPr>
            </w:pPr>
            <w:r>
              <w:rPr>
                <w:rFonts w:hint="eastAsia" w:ascii="宋体" w:hAnsi="宋体"/>
                <w:color w:val="auto"/>
                <w:kern w:val="0"/>
                <w:sz w:val="22"/>
                <w:szCs w:val="22"/>
              </w:rPr>
              <w:t>143</w:t>
            </w:r>
          </w:p>
        </w:tc>
        <w:tc>
          <w:tcPr>
            <w:tcW w:w="1440" w:type="dxa"/>
            <w:vMerge w:val="continue"/>
            <w:tcBorders>
              <w:top w:val="nil"/>
              <w:left w:val="nil"/>
              <w:bottom w:val="single" w:color="auto" w:sz="4" w:space="0"/>
              <w:right w:val="single" w:color="auto" w:sz="4" w:space="0"/>
            </w:tcBorders>
            <w:vAlign w:val="center"/>
          </w:tcPr>
          <w:p w14:paraId="038FC70C">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1E7175F4">
            <w:pPr>
              <w:widowControl/>
              <w:jc w:val="left"/>
              <w:rPr>
                <w:rFonts w:ascii="宋体" w:hAnsi="宋体"/>
                <w:color w:val="auto"/>
                <w:kern w:val="0"/>
                <w:sz w:val="22"/>
                <w:szCs w:val="22"/>
              </w:rPr>
            </w:pPr>
            <w:r>
              <w:rPr>
                <w:rFonts w:hint="eastAsia" w:ascii="宋体" w:hAnsi="宋体"/>
                <w:color w:val="auto"/>
                <w:kern w:val="0"/>
                <w:sz w:val="22"/>
                <w:szCs w:val="22"/>
              </w:rPr>
              <w:t>业务场景性能优化服务及整体架构升级服务</w:t>
            </w:r>
          </w:p>
        </w:tc>
        <w:tc>
          <w:tcPr>
            <w:tcW w:w="4252" w:type="dxa"/>
            <w:tcBorders>
              <w:top w:val="nil"/>
              <w:left w:val="nil"/>
              <w:bottom w:val="single" w:color="auto" w:sz="4" w:space="0"/>
              <w:right w:val="single" w:color="auto" w:sz="4" w:space="0"/>
            </w:tcBorders>
            <w:vAlign w:val="center"/>
          </w:tcPr>
          <w:p w14:paraId="6893AA8A">
            <w:pPr>
              <w:widowControl/>
              <w:jc w:val="left"/>
              <w:rPr>
                <w:rFonts w:ascii="宋体" w:hAnsi="宋体"/>
                <w:color w:val="auto"/>
                <w:kern w:val="0"/>
                <w:sz w:val="22"/>
                <w:szCs w:val="22"/>
              </w:rPr>
            </w:pPr>
            <w:r>
              <w:rPr>
                <w:rFonts w:hint="eastAsia" w:ascii="宋体" w:hAnsi="宋体"/>
                <w:color w:val="auto"/>
                <w:kern w:val="0"/>
                <w:sz w:val="22"/>
                <w:szCs w:val="22"/>
              </w:rPr>
              <w:t>不涉及</w:t>
            </w:r>
          </w:p>
        </w:tc>
        <w:tc>
          <w:tcPr>
            <w:tcW w:w="236" w:type="dxa"/>
            <w:vAlign w:val="center"/>
          </w:tcPr>
          <w:p w14:paraId="0B7308D8">
            <w:pPr>
              <w:widowControl/>
              <w:jc w:val="left"/>
              <w:rPr>
                <w:rFonts w:eastAsia="Times New Roman"/>
                <w:color w:val="auto"/>
                <w:kern w:val="0"/>
                <w:sz w:val="22"/>
                <w:szCs w:val="22"/>
              </w:rPr>
            </w:pPr>
          </w:p>
        </w:tc>
      </w:tr>
      <w:tr w14:paraId="4CCFA74A">
        <w:tblPrEx>
          <w:tblCellMar>
            <w:top w:w="0" w:type="dxa"/>
            <w:left w:w="108" w:type="dxa"/>
            <w:bottom w:w="0" w:type="dxa"/>
            <w:right w:w="108" w:type="dxa"/>
          </w:tblCellMar>
        </w:tblPrEx>
        <w:trPr>
          <w:trHeight w:val="639" w:hRule="atLeast"/>
          <w:jc w:val="center"/>
        </w:trPr>
        <w:tc>
          <w:tcPr>
            <w:tcW w:w="779" w:type="dxa"/>
            <w:tcBorders>
              <w:top w:val="nil"/>
              <w:left w:val="single" w:color="auto" w:sz="4" w:space="0"/>
              <w:bottom w:val="single" w:color="auto" w:sz="4" w:space="0"/>
              <w:right w:val="single" w:color="auto" w:sz="4" w:space="0"/>
            </w:tcBorders>
            <w:vAlign w:val="center"/>
          </w:tcPr>
          <w:p w14:paraId="57AB6EAD">
            <w:pPr>
              <w:widowControl/>
              <w:jc w:val="center"/>
              <w:rPr>
                <w:rFonts w:ascii="宋体" w:hAnsi="宋体"/>
                <w:color w:val="auto"/>
                <w:kern w:val="0"/>
                <w:sz w:val="22"/>
                <w:szCs w:val="22"/>
              </w:rPr>
            </w:pPr>
            <w:r>
              <w:rPr>
                <w:rFonts w:hint="eastAsia" w:ascii="宋体" w:hAnsi="宋体"/>
                <w:color w:val="auto"/>
                <w:kern w:val="0"/>
                <w:sz w:val="22"/>
                <w:szCs w:val="22"/>
              </w:rPr>
              <w:t>144</w:t>
            </w:r>
          </w:p>
        </w:tc>
        <w:tc>
          <w:tcPr>
            <w:tcW w:w="1440" w:type="dxa"/>
            <w:vMerge w:val="restart"/>
            <w:tcBorders>
              <w:top w:val="nil"/>
              <w:left w:val="nil"/>
              <w:bottom w:val="single" w:color="auto" w:sz="4" w:space="0"/>
              <w:right w:val="single" w:color="auto" w:sz="4" w:space="0"/>
            </w:tcBorders>
            <w:vAlign w:val="center"/>
          </w:tcPr>
          <w:p w14:paraId="6EFA2CCC">
            <w:pPr>
              <w:widowControl/>
              <w:jc w:val="center"/>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供应链质量</w:t>
            </w:r>
          </w:p>
        </w:tc>
        <w:tc>
          <w:tcPr>
            <w:tcW w:w="2627" w:type="dxa"/>
            <w:tcBorders>
              <w:top w:val="nil"/>
              <w:left w:val="nil"/>
              <w:bottom w:val="single" w:color="auto" w:sz="4" w:space="0"/>
              <w:right w:val="single" w:color="auto" w:sz="4" w:space="0"/>
            </w:tcBorders>
            <w:vAlign w:val="center"/>
          </w:tcPr>
          <w:p w14:paraId="0E74198B">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抗干扰性</w:t>
            </w:r>
          </w:p>
        </w:tc>
        <w:tc>
          <w:tcPr>
            <w:tcW w:w="4252" w:type="dxa"/>
            <w:tcBorders>
              <w:top w:val="nil"/>
              <w:left w:val="nil"/>
              <w:bottom w:val="single" w:color="auto" w:sz="4" w:space="0"/>
              <w:right w:val="single" w:color="auto" w:sz="4" w:space="0"/>
            </w:tcBorders>
            <w:vAlign w:val="center"/>
          </w:tcPr>
          <w:p w14:paraId="58CA893D">
            <w:pPr>
              <w:widowControl/>
              <w:jc w:val="left"/>
              <w:rPr>
                <w:rFonts w:ascii="宋体" w:hAnsi="宋体"/>
                <w:color w:val="auto"/>
                <w:kern w:val="0"/>
                <w:sz w:val="22"/>
                <w:szCs w:val="22"/>
              </w:rPr>
            </w:pPr>
            <w:r>
              <w:rPr>
                <w:rFonts w:hint="eastAsia" w:ascii="宋体" w:hAnsi="宋体"/>
                <w:color w:val="auto"/>
                <w:kern w:val="0"/>
                <w:sz w:val="22"/>
                <w:szCs w:val="22"/>
              </w:rPr>
              <w:t>当产品部件出现供应风险时，应通知客户并提供风险应对方案确保产品的服务保障，必要时应停止相关受影响产品的销售</w:t>
            </w:r>
          </w:p>
        </w:tc>
        <w:tc>
          <w:tcPr>
            <w:tcW w:w="236" w:type="dxa"/>
            <w:vAlign w:val="center"/>
          </w:tcPr>
          <w:p w14:paraId="25EBA2F0">
            <w:pPr>
              <w:widowControl/>
              <w:jc w:val="left"/>
              <w:rPr>
                <w:rFonts w:eastAsia="Times New Roman"/>
                <w:color w:val="auto"/>
                <w:kern w:val="0"/>
                <w:sz w:val="22"/>
                <w:szCs w:val="22"/>
              </w:rPr>
            </w:pPr>
          </w:p>
        </w:tc>
      </w:tr>
      <w:tr w14:paraId="3DF4DB63">
        <w:tblPrEx>
          <w:tblCellMar>
            <w:top w:w="0" w:type="dxa"/>
            <w:left w:w="108" w:type="dxa"/>
            <w:bottom w:w="0" w:type="dxa"/>
            <w:right w:w="108" w:type="dxa"/>
          </w:tblCellMar>
        </w:tblPrEx>
        <w:trPr>
          <w:trHeight w:val="725" w:hRule="atLeast"/>
          <w:jc w:val="center"/>
        </w:trPr>
        <w:tc>
          <w:tcPr>
            <w:tcW w:w="779" w:type="dxa"/>
            <w:tcBorders>
              <w:top w:val="nil"/>
              <w:left w:val="single" w:color="auto" w:sz="4" w:space="0"/>
              <w:bottom w:val="single" w:color="auto" w:sz="4" w:space="0"/>
              <w:right w:val="single" w:color="auto" w:sz="4" w:space="0"/>
            </w:tcBorders>
            <w:vAlign w:val="center"/>
          </w:tcPr>
          <w:p w14:paraId="5011ADCB">
            <w:pPr>
              <w:widowControl/>
              <w:jc w:val="center"/>
              <w:rPr>
                <w:rFonts w:ascii="宋体" w:hAnsi="宋体"/>
                <w:color w:val="auto"/>
                <w:kern w:val="0"/>
                <w:sz w:val="22"/>
                <w:szCs w:val="22"/>
              </w:rPr>
            </w:pPr>
            <w:r>
              <w:rPr>
                <w:rFonts w:hint="eastAsia" w:ascii="宋体" w:hAnsi="宋体"/>
                <w:color w:val="auto"/>
                <w:kern w:val="0"/>
                <w:sz w:val="22"/>
                <w:szCs w:val="22"/>
              </w:rPr>
              <w:t>145</w:t>
            </w:r>
          </w:p>
        </w:tc>
        <w:tc>
          <w:tcPr>
            <w:tcW w:w="1440" w:type="dxa"/>
            <w:vMerge w:val="continue"/>
            <w:tcBorders>
              <w:top w:val="nil"/>
              <w:left w:val="nil"/>
              <w:bottom w:val="single" w:color="auto" w:sz="4" w:space="0"/>
              <w:right w:val="single" w:color="auto" w:sz="4" w:space="0"/>
            </w:tcBorders>
            <w:vAlign w:val="center"/>
          </w:tcPr>
          <w:p w14:paraId="6C825F42">
            <w:pPr>
              <w:widowControl/>
              <w:jc w:val="left"/>
              <w:rPr>
                <w:rFonts w:ascii="宋体" w:hAnsi="宋体"/>
                <w:color w:val="auto"/>
                <w:kern w:val="0"/>
                <w:sz w:val="22"/>
                <w:szCs w:val="22"/>
              </w:rPr>
            </w:pPr>
          </w:p>
        </w:tc>
        <w:tc>
          <w:tcPr>
            <w:tcW w:w="2627" w:type="dxa"/>
            <w:tcBorders>
              <w:top w:val="nil"/>
              <w:left w:val="nil"/>
              <w:bottom w:val="single" w:color="auto" w:sz="4" w:space="0"/>
              <w:right w:val="single" w:color="auto" w:sz="4" w:space="0"/>
            </w:tcBorders>
            <w:vAlign w:val="center"/>
          </w:tcPr>
          <w:p w14:paraId="62881BD9">
            <w:pPr>
              <w:widowControl/>
              <w:jc w:val="left"/>
              <w:rPr>
                <w:rFonts w:ascii="宋体" w:hAnsi="宋体"/>
                <w:color w:val="auto"/>
                <w:kern w:val="0"/>
                <w:sz w:val="22"/>
                <w:szCs w:val="22"/>
              </w:rPr>
            </w:pPr>
            <w:r>
              <w:rPr>
                <w:rFonts w:hint="eastAsia" w:ascii="宋体" w:hAnsi="宋体"/>
                <w:color w:val="auto"/>
                <w:sz w:val="22"/>
                <w:szCs w:val="22"/>
              </w:rPr>
              <w:t>▲</w:t>
            </w:r>
            <w:r>
              <w:rPr>
                <w:rFonts w:hint="eastAsia" w:ascii="宋体" w:hAnsi="宋体"/>
                <w:color w:val="auto"/>
                <w:kern w:val="0"/>
                <w:sz w:val="22"/>
                <w:szCs w:val="22"/>
              </w:rPr>
              <w:t>供应能力证明</w:t>
            </w:r>
          </w:p>
        </w:tc>
        <w:tc>
          <w:tcPr>
            <w:tcW w:w="4252" w:type="dxa"/>
            <w:tcBorders>
              <w:top w:val="nil"/>
              <w:left w:val="nil"/>
              <w:bottom w:val="single" w:color="auto" w:sz="4" w:space="0"/>
              <w:right w:val="single" w:color="auto" w:sz="4" w:space="0"/>
            </w:tcBorders>
            <w:vAlign w:val="center"/>
          </w:tcPr>
          <w:p w14:paraId="2AA644B6">
            <w:pPr>
              <w:widowControl/>
              <w:jc w:val="left"/>
              <w:rPr>
                <w:rFonts w:ascii="宋体" w:hAnsi="宋体"/>
                <w:color w:val="auto"/>
                <w:kern w:val="0"/>
                <w:sz w:val="22"/>
                <w:szCs w:val="22"/>
              </w:rPr>
            </w:pPr>
            <w:r>
              <w:rPr>
                <w:rFonts w:hint="eastAsia" w:ascii="宋体" w:hAnsi="宋体"/>
                <w:color w:val="auto"/>
                <w:kern w:val="0"/>
                <w:sz w:val="22"/>
                <w:szCs w:val="22"/>
              </w:rPr>
              <w:t>供应商提供供应链稳定承诺书，确保产品的部件在产品服务周期内稳定供货</w:t>
            </w:r>
          </w:p>
        </w:tc>
        <w:tc>
          <w:tcPr>
            <w:tcW w:w="236" w:type="dxa"/>
            <w:vAlign w:val="center"/>
          </w:tcPr>
          <w:p w14:paraId="753750A1">
            <w:pPr>
              <w:widowControl/>
              <w:jc w:val="left"/>
              <w:rPr>
                <w:rFonts w:eastAsia="Times New Roman"/>
                <w:color w:val="auto"/>
                <w:kern w:val="0"/>
                <w:sz w:val="22"/>
                <w:szCs w:val="22"/>
              </w:rPr>
            </w:pPr>
          </w:p>
        </w:tc>
      </w:tr>
    </w:tbl>
    <w:p w14:paraId="65CD84D6">
      <w:pPr>
        <w:ind w:firstLine="182" w:firstLineChars="83"/>
        <w:rPr>
          <w:color w:val="auto"/>
          <w:sz w:val="22"/>
          <w:szCs w:val="22"/>
        </w:rPr>
      </w:pPr>
    </w:p>
    <w:p w14:paraId="0AC43935">
      <w:pPr>
        <w:rPr>
          <w:b/>
          <w:bCs/>
          <w:color w:val="auto"/>
          <w:sz w:val="22"/>
          <w:szCs w:val="22"/>
        </w:rPr>
      </w:pPr>
      <w:r>
        <w:rPr>
          <w:rFonts w:hint="eastAsia"/>
          <w:b/>
          <w:bCs/>
          <w:color w:val="auto"/>
          <w:sz w:val="22"/>
          <w:szCs w:val="22"/>
        </w:rPr>
        <w:t>（6）其他设备参数：</w:t>
      </w:r>
    </w:p>
    <w:p w14:paraId="276AD9ED">
      <w:pPr>
        <w:rPr>
          <w:color w:val="auto"/>
          <w:sz w:val="22"/>
          <w:szCs w:val="22"/>
        </w:rPr>
      </w:pPr>
    </w:p>
    <w:tbl>
      <w:tblPr>
        <w:tblStyle w:val="64"/>
        <w:tblW w:w="5270"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10"/>
        <w:gridCol w:w="7688"/>
      </w:tblGrid>
      <w:tr w14:paraId="1529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254" w:type="pct"/>
            <w:noWrap/>
            <w:vAlign w:val="center"/>
          </w:tcPr>
          <w:p w14:paraId="49D4D8E0">
            <w:pPr>
              <w:jc w:val="center"/>
              <w:rPr>
                <w:rFonts w:ascii="宋体" w:hAnsi="宋体" w:eastAsia="宋体" w:cs="宋体"/>
                <w:b/>
                <w:bCs/>
                <w:color w:val="auto"/>
                <w:sz w:val="22"/>
                <w:szCs w:val="22"/>
              </w:rPr>
            </w:pPr>
            <w:r>
              <w:rPr>
                <w:rFonts w:hint="eastAsia" w:ascii="宋体" w:hAnsi="宋体" w:eastAsia="宋体" w:cs="宋体"/>
                <w:b/>
                <w:bCs/>
                <w:color w:val="auto"/>
                <w:sz w:val="22"/>
                <w:szCs w:val="22"/>
              </w:rPr>
              <w:t>序号</w:t>
            </w:r>
          </w:p>
        </w:tc>
        <w:tc>
          <w:tcPr>
            <w:tcW w:w="452" w:type="pct"/>
            <w:noWrap/>
            <w:vAlign w:val="center"/>
          </w:tcPr>
          <w:p w14:paraId="61776440">
            <w:pPr>
              <w:jc w:val="center"/>
              <w:rPr>
                <w:rFonts w:ascii="宋体" w:hAnsi="宋体" w:eastAsia="宋体" w:cs="宋体"/>
                <w:b/>
                <w:bCs/>
                <w:color w:val="auto"/>
                <w:sz w:val="22"/>
                <w:szCs w:val="22"/>
              </w:rPr>
            </w:pPr>
            <w:r>
              <w:rPr>
                <w:rFonts w:hint="eastAsia" w:ascii="宋体" w:hAnsi="宋体" w:eastAsia="宋体" w:cs="宋体"/>
                <w:b/>
                <w:bCs/>
                <w:color w:val="auto"/>
                <w:sz w:val="22"/>
                <w:szCs w:val="22"/>
              </w:rPr>
              <w:t>设备/服务名称</w:t>
            </w:r>
          </w:p>
        </w:tc>
        <w:tc>
          <w:tcPr>
            <w:tcW w:w="4293" w:type="pct"/>
            <w:noWrap/>
            <w:vAlign w:val="center"/>
          </w:tcPr>
          <w:p w14:paraId="395F321B">
            <w:pPr>
              <w:jc w:val="center"/>
              <w:rPr>
                <w:rFonts w:ascii="宋体" w:hAnsi="宋体" w:eastAsia="宋体" w:cs="宋体"/>
                <w:b/>
                <w:bCs/>
                <w:color w:val="auto"/>
                <w:sz w:val="22"/>
                <w:szCs w:val="22"/>
              </w:rPr>
            </w:pPr>
            <w:r>
              <w:rPr>
                <w:rFonts w:hint="eastAsia" w:ascii="宋体" w:hAnsi="宋体" w:eastAsia="宋体" w:cs="宋体"/>
                <w:b/>
                <w:bCs/>
                <w:color w:val="auto"/>
                <w:sz w:val="22"/>
                <w:szCs w:val="22"/>
              </w:rPr>
              <w:t>参数</w:t>
            </w:r>
          </w:p>
        </w:tc>
      </w:tr>
      <w:tr w14:paraId="7D83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54" w:type="pct"/>
            <w:noWrap/>
            <w:vAlign w:val="center"/>
          </w:tcPr>
          <w:p w14:paraId="152D4A55">
            <w:pPr>
              <w:jc w:val="center"/>
              <w:textAlignment w:val="center"/>
              <w:rPr>
                <w:rFonts w:ascii="宋体" w:hAnsi="宋体" w:eastAsia="宋体" w:cs="宋体"/>
                <w:color w:val="auto"/>
                <w:sz w:val="22"/>
                <w:szCs w:val="22"/>
              </w:rPr>
            </w:pPr>
            <w:bookmarkStart w:id="38" w:name="_Hlk227684222"/>
            <w:r>
              <w:rPr>
                <w:rFonts w:ascii="宋体" w:hAnsi="宋体" w:eastAsia="宋体" w:cs="宋体"/>
                <w:color w:val="auto"/>
                <w:sz w:val="22"/>
                <w:szCs w:val="22"/>
              </w:rPr>
              <w:t>6</w:t>
            </w:r>
          </w:p>
        </w:tc>
        <w:tc>
          <w:tcPr>
            <w:tcW w:w="452" w:type="pct"/>
            <w:noWrap/>
            <w:vAlign w:val="center"/>
          </w:tcPr>
          <w:p w14:paraId="23D29BA2">
            <w:pPr>
              <w:jc w:val="center"/>
              <w:textAlignment w:val="center"/>
              <w:rPr>
                <w:rFonts w:ascii="宋体" w:hAnsi="宋体" w:eastAsia="宋体" w:cs="宋体"/>
                <w:b/>
                <w:color w:val="auto"/>
                <w:sz w:val="22"/>
                <w:szCs w:val="22"/>
              </w:rPr>
            </w:pPr>
            <w:r>
              <w:rPr>
                <w:rFonts w:hint="eastAsia" w:ascii="宋体" w:hAnsi="宋体" w:eastAsia="宋体" w:cs="宋体"/>
                <w:color w:val="auto"/>
                <w:sz w:val="22"/>
                <w:szCs w:val="22"/>
              </w:rPr>
              <w:t>计算机实训室数据决策分析平台</w:t>
            </w:r>
          </w:p>
        </w:tc>
        <w:tc>
          <w:tcPr>
            <w:tcW w:w="4293" w:type="pct"/>
            <w:noWrap/>
            <w:vAlign w:val="center"/>
          </w:tcPr>
          <w:p w14:paraId="428D9E6A">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1.平台采用B/S架构，支持通过浏览器访问服务平台，对机房实验室的PC桌面，VDI架构云桌面，VOI架构云桌面进行统一管理，包括上机管理，运维管理，资产管理，安全管理等；</w:t>
            </w:r>
          </w:p>
          <w:p w14:paraId="4E7C6197">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2.支持展示实验室资源数据使用，包括实验室在线/总数、终端在线/总数、桌面在线/总数；展示实验室资产状态，包括终端的风险预警次数、待处理变更数、待处理报修数;展示服务器资源实时使用情况，包括 CPU 使用、内存使用信息、存储使用信息;展示桌面今日并发趋势。</w:t>
            </w:r>
          </w:p>
          <w:p w14:paraId="3883C5BF">
            <w:pPr>
              <w:numPr>
                <w:ilvl w:val="0"/>
                <w:numId w:val="0"/>
              </w:numPr>
              <w:ind w:firstLine="0" w:firstLineChars="0"/>
              <w:jc w:val="both"/>
              <w:textAlignment w:val="center"/>
              <w:rPr>
                <w:rFonts w:ascii="宋体" w:hAnsi="宋体" w:eastAsia="宋体" w:cs="宋体"/>
                <w:color w:val="auto"/>
                <w:sz w:val="22"/>
                <w:szCs w:val="22"/>
              </w:rPr>
            </w:pPr>
            <w:r>
              <w:rPr>
                <w:rFonts w:hint="eastAsia" w:ascii="宋体" w:hAnsi="宋体" w:eastAsia="宋体" w:cs="宋体"/>
                <w:color w:val="auto"/>
                <w:sz w:val="22"/>
                <w:szCs w:val="22"/>
              </w:rPr>
              <w:t>3.系统平台支持启用微信公众号，进入公众号可以查看实验室排课内容和自己的课表、支持上机预约申请、支持查看预约申请记录、显示个人账号信息；</w:t>
            </w:r>
            <w:r>
              <w:rPr>
                <w:rFonts w:hint="eastAsia"/>
                <w:color w:val="auto"/>
              </w:rPr>
              <w:t>:主要功能通过H5方式对接统一身份认证后接入学校移动端门户。</w:t>
            </w:r>
          </w:p>
          <w:p w14:paraId="098E2A85">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4.支持设置实验室所在的校区和楼栋信息、实验室编号，支持设置实验室终端采购日期、终端平均功率等信息，便于后期信息的统计查询；</w:t>
            </w:r>
          </w:p>
          <w:p w14:paraId="313FA6FF">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5.支持设置实验室电脑终端的上机登录方式，可设置登录和免登录方式；选择登录时，则必须使用账号密码或扫码登录，登录成功后，进入桌面；选择“免登录”，则无须登录，直接进入桌面；登录模式可以选择上机对象，包括全校全体师生、指定院系师生；</w:t>
            </w:r>
            <w:r>
              <w:rPr>
                <w:rFonts w:hint="eastAsia"/>
                <w:color w:val="auto"/>
              </w:rPr>
              <w:t>新建业务系统必须对接学校统一身份认证平台，完成系统首页及有关审批、查询类等次级页面的单点登录改造和适配:</w:t>
            </w:r>
            <w:r>
              <w:rPr>
                <w:rFonts w:hint="eastAsia" w:ascii="宋体" w:hAnsi="宋体" w:eastAsia="宋体" w:cs="宋体"/>
                <w:b/>
                <w:bCs/>
                <w:color w:val="auto"/>
                <w:sz w:val="22"/>
                <w:szCs w:val="22"/>
              </w:rPr>
              <w:t>（提供操作功能截图）</w:t>
            </w:r>
          </w:p>
          <w:p w14:paraId="706721DC">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★6.可将上机违规学生手动方式拉入黑名单，拉入黑名单的学生不能进行登录上机；黑名单可以设置天数自动移除以及手动移除；</w:t>
            </w:r>
            <w:r>
              <w:rPr>
                <w:rFonts w:hint="eastAsia" w:ascii="宋体" w:hAnsi="宋体" w:eastAsia="宋体" w:cs="宋体"/>
                <w:b/>
                <w:bCs/>
                <w:color w:val="auto"/>
                <w:sz w:val="22"/>
                <w:szCs w:val="22"/>
              </w:rPr>
              <w:t>（提供操作功能截图）</w:t>
            </w:r>
          </w:p>
          <w:p w14:paraId="3C06DB6D">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7.可以统计每个学生上机过程中的上网记录，包括网址、访问时间，并可将记录以电子表格形式进行导出；可以统计师生上下机记录，包括总体使用时长、上机时间、下机时间，并可将记录以电子表格形式进行导出；可以统计终端的运行记录，包括终端开始运行时间、结束运行时间、终端使用时长，并可将记录以电子表格形式进行导出；</w:t>
            </w:r>
          </w:p>
          <w:p w14:paraId="48A1997C">
            <w:pPr>
              <w:numPr>
                <w:ilvl w:val="0"/>
                <w:numId w:val="0"/>
              </w:numPr>
              <w:ind w:firstLine="0" w:firstLineChars="0"/>
              <w:jc w:val="both"/>
              <w:textAlignment w:val="auto"/>
              <w:rPr>
                <w:rFonts w:ascii="宋体" w:hAnsi="宋体" w:eastAsia="宋体" w:cs="宋体"/>
                <w:b/>
                <w:bCs/>
                <w:color w:val="auto"/>
                <w:sz w:val="22"/>
                <w:szCs w:val="22"/>
              </w:rPr>
            </w:pPr>
            <w:r>
              <w:rPr>
                <w:rFonts w:hint="eastAsia" w:ascii="宋体" w:hAnsi="宋体" w:eastAsia="宋体" w:cs="宋体"/>
                <w:color w:val="auto"/>
                <w:sz w:val="22"/>
                <w:szCs w:val="22"/>
              </w:rPr>
              <w:t>★8.支持对实验室的终端桌面进行督导抽查，可批量地对多个桌面进行监看:支持四屏、九屏、十六屏的方式同时监看，可对任意桌面进行远程协助、远程锁定、远程重启和发送消息的管理操作；可记录监看过程中的学生机自主安装软件记录，若教学环境采用分屏教学，则可在监看界面切换视图查看学生分屏操作画面。</w:t>
            </w:r>
            <w:r>
              <w:rPr>
                <w:rFonts w:ascii="宋体" w:hAnsi="宋体" w:eastAsia="宋体" w:cs="宋体"/>
                <w:b/>
                <w:bCs/>
                <w:color w:val="auto"/>
                <w:sz w:val="22"/>
                <w:szCs w:val="22"/>
              </w:rPr>
              <w:t>（</w:t>
            </w:r>
            <w:r>
              <w:rPr>
                <w:rFonts w:hint="eastAsia" w:ascii="宋体" w:hAnsi="宋体" w:eastAsia="宋体" w:cs="宋体"/>
                <w:b/>
                <w:bCs/>
                <w:color w:val="auto"/>
                <w:sz w:val="22"/>
                <w:szCs w:val="22"/>
              </w:rPr>
              <w:t>提供完整功能</w:t>
            </w:r>
            <w:r>
              <w:rPr>
                <w:rFonts w:ascii="宋体" w:hAnsi="宋体" w:eastAsia="宋体" w:cs="宋体"/>
                <w:b/>
                <w:bCs/>
                <w:color w:val="auto"/>
                <w:sz w:val="22"/>
                <w:szCs w:val="22"/>
              </w:rPr>
              <w:t>截图</w:t>
            </w:r>
            <w:r>
              <w:rPr>
                <w:rFonts w:hint="eastAsia" w:ascii="宋体" w:hAnsi="宋体" w:eastAsia="宋体" w:cs="宋体"/>
                <w:b/>
                <w:bCs/>
                <w:color w:val="auto"/>
                <w:sz w:val="22"/>
                <w:szCs w:val="22"/>
              </w:rPr>
              <w:t>）</w:t>
            </w:r>
          </w:p>
          <w:p w14:paraId="2E84D1D8">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9.对于安装有大屏一体机的实验室，可查看大屏一体机上的摄像头画面，对实验室的现场环境进行巡查；</w:t>
            </w:r>
          </w:p>
          <w:p w14:paraId="5CA5E539">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10.支持对用户账号进行管控，可依据姓名、账号、院系、班级、专业、联系方式等维度进行用户的筛选，支持查看账号的上机状态、是否在黑名单、课外预约失约次数等信息，支持特殊情况下一键强制账号下机；</w:t>
            </w:r>
          </w:p>
          <w:p w14:paraId="6D9762C1">
            <w:pPr>
              <w:numPr>
                <w:ilvl w:val="0"/>
                <w:numId w:val="0"/>
              </w:numPr>
              <w:ind w:firstLine="0" w:firstLineChars="0"/>
              <w:jc w:val="both"/>
              <w:textAlignment w:val="auto"/>
              <w:rPr>
                <w:rFonts w:ascii="宋体" w:hAnsi="宋体" w:eastAsia="宋体" w:cs="宋体"/>
                <w:b/>
                <w:bCs/>
                <w:color w:val="auto"/>
                <w:sz w:val="22"/>
                <w:szCs w:val="22"/>
              </w:rPr>
            </w:pPr>
            <w:r>
              <w:rPr>
                <w:rFonts w:hint="eastAsia" w:ascii="宋体" w:hAnsi="宋体" w:eastAsia="宋体" w:cs="宋体"/>
                <w:color w:val="auto"/>
                <w:sz w:val="22"/>
                <w:szCs w:val="22"/>
              </w:rPr>
              <w:t>★11.可统计每间实验室终端电脑数量、实验室占有率、上机人次、终端利用率；可以智能监测捕获风险项，包括CPU高负载预警、内存高负载预警、磁盘IO高负载预警、系统盘空间不足预警、CPU 高温预警、独立显卡高温预警、异常断电/蓝屏死机预警、终端网卡连接低速预警；</w:t>
            </w:r>
            <w:r>
              <w:rPr>
                <w:rFonts w:hint="eastAsia" w:ascii="宋体" w:hAnsi="宋体" w:eastAsia="宋体" w:cs="宋体"/>
                <w:b/>
                <w:bCs/>
                <w:color w:val="auto"/>
                <w:sz w:val="22"/>
                <w:szCs w:val="22"/>
              </w:rPr>
              <w:t>（提供完整功能截图）</w:t>
            </w:r>
          </w:p>
          <w:p w14:paraId="644EB9D5">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 xml:space="preserve">12.当终端出现故障时，可直接在平台提交报修信息，报修类型包括但不限于键鼠使用不灵敏、蓝屏、死机、无声音等；下次终端开机后即锁屏，并提示报修信息； </w:t>
            </w:r>
          </w:p>
          <w:p w14:paraId="6BEB329B">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13.支持给终端电脑发送图文消息，可编辑图文消息的字体、文字颜色、背景色以及插入链接；</w:t>
            </w:r>
            <w:r>
              <w:rPr>
                <w:rFonts w:hint="eastAsia" w:ascii="宋体" w:hAnsi="宋体" w:eastAsia="宋体" w:cs="宋体"/>
                <w:b/>
                <w:bCs/>
                <w:color w:val="auto"/>
                <w:sz w:val="22"/>
                <w:szCs w:val="22"/>
              </w:rPr>
              <w:t>（提供操作功能截图）</w:t>
            </w:r>
          </w:p>
          <w:p w14:paraId="59801D58">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14.可对平台上终端设置程序限制策略，支持黑名单、白名单两种模式，支持从样机、文件的方式导入黑白名单；可设置流量限制策略，能够设定上行流量、下行流量，并可快速设置教师机例外；可设置网络限制策略，能够设定禁用外网、禁用全部网络及黑名单，黑名单可基于域名、IP和端口进行设置，可设定禁用外网或全部网络时的白名单规则表；可设置设备限制策略，至少包含内置光驱、移动光驱、U盘、移动硬盘、USB外接设备类别，可设定只读模式、禁止读写模式和允许读写模式；</w:t>
            </w:r>
            <w:r>
              <w:rPr>
                <w:rFonts w:hint="eastAsia" w:ascii="宋体" w:hAnsi="宋体" w:eastAsia="宋体" w:cs="宋体"/>
                <w:b/>
                <w:bCs/>
                <w:color w:val="auto"/>
                <w:sz w:val="22"/>
                <w:szCs w:val="22"/>
              </w:rPr>
              <w:t>（提供操作功能截图）</w:t>
            </w:r>
          </w:p>
          <w:p w14:paraId="27A1F5D4">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15.系统可检索搜索引擎和浏览器地址栏搜索的内容，与敏感词库进行匹配并记录，当搜索内容包含敏感词时，可设置在客户端桌面发出提醒警告；</w:t>
            </w:r>
          </w:p>
          <w:p w14:paraId="5ACA05B8">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★16.可按时间段统计实验室占用率，终端利用率，终端能耗，硬件风险、硬件变更、院系专业分布，登录上机时间分布等信息；</w:t>
            </w:r>
            <w:r>
              <w:rPr>
                <w:rFonts w:hint="eastAsia" w:ascii="宋体" w:hAnsi="宋体" w:eastAsia="宋体" w:cs="宋体"/>
                <w:b/>
                <w:bCs/>
                <w:color w:val="auto"/>
                <w:sz w:val="22"/>
                <w:szCs w:val="22"/>
              </w:rPr>
              <w:t>（提供完整功能截图）</w:t>
            </w:r>
          </w:p>
          <w:p w14:paraId="3AC3A492">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17.可通过图形化的方式生成实验室使用报告，并导出报告图片，使用报告包括实验室总数、终端总数、终端使用时长、服务师生人数、服务人次、实验室占有率、终端利用率、终端能耗统计、硬件风险趋势以及风险类型占比；</w:t>
            </w:r>
            <w:r>
              <w:rPr>
                <w:rFonts w:hint="eastAsia" w:ascii="宋体" w:hAnsi="宋体" w:eastAsia="宋体" w:cs="宋体"/>
                <w:b/>
                <w:bCs/>
                <w:color w:val="auto"/>
                <w:sz w:val="22"/>
                <w:szCs w:val="22"/>
              </w:rPr>
              <w:t>(</w:t>
            </w:r>
            <w:r>
              <w:rPr>
                <w:rFonts w:hint="eastAsia" w:ascii="宋体" w:hAnsi="宋体" w:eastAsia="宋体" w:cs="宋体"/>
                <w:b/>
                <w:bCs/>
                <w:color w:val="auto"/>
                <w:sz w:val="22"/>
                <w:szCs w:val="22"/>
                <w:lang w:eastAsia="zh-CN"/>
              </w:rPr>
              <w:t>提供第三方权威机构出具CMA产品功能测试报告复印件或扫描件</w:t>
            </w:r>
            <w:r>
              <w:rPr>
                <w:rFonts w:hint="eastAsia" w:ascii="宋体" w:hAnsi="宋体" w:eastAsia="宋体" w:cs="宋体"/>
                <w:b/>
                <w:bCs/>
                <w:color w:val="auto"/>
                <w:sz w:val="22"/>
                <w:szCs w:val="22"/>
              </w:rPr>
              <w:t>)</w:t>
            </w:r>
          </w:p>
          <w:p w14:paraId="47CE89E1">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18.支持通过座位视图、实时状态、终端使用、软件使用、资源访问、报修记录等多维度可视化展示实验室使用情况。</w:t>
            </w:r>
          </w:p>
          <w:p w14:paraId="45C9D3D2">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★19.支持学生画像对比信息展示，可按日期、院系/专业、年级、班级等维度筛选对比组，展示每组对比信息，信息包括但不限于上机时长、上机时间、学生到课分析、软件使用TOP20、教学网站访问TOP20等信息；</w:t>
            </w:r>
            <w:r>
              <w:rPr>
                <w:rFonts w:hint="eastAsia" w:ascii="宋体" w:hAnsi="宋体" w:eastAsia="宋体" w:cs="宋体"/>
                <w:b/>
                <w:bCs/>
                <w:color w:val="auto"/>
                <w:sz w:val="22"/>
                <w:szCs w:val="22"/>
              </w:rPr>
              <w:t>（提供完整功能截图）</w:t>
            </w:r>
          </w:p>
          <w:p w14:paraId="289ED177">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20.支持以数据大屏形式轮循切换展示各个实验室的座位视图信息，包括当前学生登录情况(包括姓名、专业、班级)、终端在线情况以及实验室内的座位分布示意图；支持自定义选择展示座位视图的实验室；</w:t>
            </w:r>
            <w:r>
              <w:rPr>
                <w:rFonts w:hint="eastAsia" w:ascii="宋体" w:hAnsi="宋体" w:eastAsia="宋体" w:cs="宋体"/>
                <w:b/>
                <w:bCs/>
                <w:color w:val="auto"/>
                <w:sz w:val="22"/>
                <w:szCs w:val="22"/>
              </w:rPr>
              <w:t>(</w:t>
            </w:r>
            <w:r>
              <w:rPr>
                <w:rFonts w:hint="eastAsia" w:ascii="宋体" w:hAnsi="宋体" w:eastAsia="宋体" w:cs="宋体"/>
                <w:b/>
                <w:bCs/>
                <w:color w:val="auto"/>
                <w:sz w:val="22"/>
                <w:szCs w:val="22"/>
                <w:lang w:eastAsia="zh-CN"/>
              </w:rPr>
              <w:t>提供第三方权威机构出具CMA产品功能测试报告复印件或扫描件</w:t>
            </w:r>
            <w:r>
              <w:rPr>
                <w:rFonts w:hint="eastAsia" w:ascii="宋体" w:hAnsi="宋体" w:eastAsia="宋体" w:cs="宋体"/>
                <w:b/>
                <w:bCs/>
                <w:color w:val="auto"/>
                <w:sz w:val="22"/>
                <w:szCs w:val="22"/>
              </w:rPr>
              <w:t>)</w:t>
            </w:r>
          </w:p>
          <w:p w14:paraId="410A3FD3">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21.支持与实验室物联设备进行对接，可实验室物联设备（包括电源控制、门禁控制、班牌、灯、空调控制）在平台上的状态展示，可展示单个和多个教室物联设备的实时状态；</w:t>
            </w:r>
            <w:r>
              <w:rPr>
                <w:rFonts w:hint="eastAsia" w:ascii="宋体" w:hAnsi="宋体" w:eastAsia="宋体" w:cs="宋体"/>
                <w:b/>
                <w:bCs/>
                <w:color w:val="auto"/>
                <w:sz w:val="22"/>
                <w:szCs w:val="22"/>
              </w:rPr>
              <w:t>（提供操作功能截图）</w:t>
            </w:r>
          </w:p>
          <w:p w14:paraId="71049C6D">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★22.支持以数据大屏形式呈现实验室实时状态，包括正在使用中的实验室数量、终端在线数、登录上机人数、桌面在线数、桌面今日并发趋势，师生上机记录(实验室、终端IP、姓名、上机时间)，近 30 天终端 CPU、内存、显卡等风险感知情况、安全上机策略应用情况等；</w:t>
            </w:r>
            <w:r>
              <w:rPr>
                <w:rFonts w:hint="eastAsia" w:ascii="宋体" w:hAnsi="宋体" w:eastAsia="宋体" w:cs="宋体"/>
                <w:b/>
                <w:bCs/>
                <w:color w:val="auto"/>
                <w:sz w:val="22"/>
                <w:szCs w:val="22"/>
              </w:rPr>
              <w:t>(</w:t>
            </w:r>
            <w:r>
              <w:rPr>
                <w:rFonts w:hint="eastAsia" w:ascii="宋体" w:hAnsi="宋体" w:eastAsia="宋体" w:cs="宋体"/>
                <w:b/>
                <w:bCs/>
                <w:color w:val="auto"/>
                <w:sz w:val="22"/>
                <w:szCs w:val="22"/>
                <w:lang w:eastAsia="zh-CN"/>
              </w:rPr>
              <w:t>提供第三方权威机构出具CMA产品功能测试报告复印件或扫描件</w:t>
            </w:r>
            <w:r>
              <w:rPr>
                <w:rFonts w:hint="eastAsia" w:ascii="宋体" w:hAnsi="宋体" w:eastAsia="宋体" w:cs="宋体"/>
                <w:b/>
                <w:bCs/>
                <w:color w:val="auto"/>
                <w:sz w:val="22"/>
                <w:szCs w:val="22"/>
              </w:rPr>
              <w:t>)</w:t>
            </w:r>
          </w:p>
          <w:p w14:paraId="38CF269D">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23.支持以数据大屏形式呈现实验室终端使用信息，包括实验室数量、终端台数、终端完好率、服务人次、终端有效使用时长、终端利用率排名前5的实验室、终端使用趋势图、终端报修不同故障的数量统计以及各专业使用终端时长；</w:t>
            </w:r>
          </w:p>
          <w:p w14:paraId="50C1E2E7">
            <w:pPr>
              <w:numPr>
                <w:ilvl w:val="0"/>
                <w:numId w:val="0"/>
              </w:numPr>
              <w:ind w:firstLine="0" w:firstLineChars="0"/>
              <w:jc w:val="both"/>
              <w:textAlignment w:val="auto"/>
              <w:rPr>
                <w:rFonts w:ascii="宋体" w:hAnsi="宋体" w:eastAsia="宋体" w:cs="宋体"/>
                <w:color w:val="auto"/>
                <w:sz w:val="22"/>
                <w:szCs w:val="22"/>
              </w:rPr>
            </w:pPr>
            <w:r>
              <w:rPr>
                <w:rFonts w:hint="eastAsia" w:ascii="宋体" w:hAnsi="宋体" w:eastAsia="宋体" w:cs="宋体"/>
                <w:color w:val="auto"/>
                <w:sz w:val="22"/>
                <w:szCs w:val="22"/>
              </w:rPr>
              <w:t>★24.学校本次建设数据决策分析平台必须做到通过一个平台对两校区实训场地、课程安排、教学过程、资源配置、师生行为等全域数据进行整合统计与深度分析。钱塘校区已建一批数据决策分析平台并且投入日常使用，所以本次建设平台需要与钱塘校区平台进行对接；本项目中新建的智慧物联设备也要求与数据决策分析平台做到无缝对接，其中所产生的费用由中标供应商承担。</w:t>
            </w:r>
          </w:p>
          <w:p w14:paraId="411116D6">
            <w:pPr>
              <w:numPr>
                <w:ilvl w:val="0"/>
                <w:numId w:val="0"/>
              </w:numPr>
              <w:ind w:firstLine="0" w:firstLineChars="0"/>
              <w:jc w:val="both"/>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25.</w:t>
            </w:r>
            <w:r>
              <w:rPr>
                <w:rFonts w:hint="eastAsia" w:ascii="宋体" w:hAnsi="宋体" w:eastAsia="宋体" w:cs="宋体"/>
                <w:color w:val="auto"/>
                <w:sz w:val="22"/>
                <w:szCs w:val="22"/>
              </w:rPr>
              <w:t>中标后供应商应提供以上材料原件备查。</w:t>
            </w:r>
          </w:p>
          <w:p w14:paraId="703C4180">
            <w:pPr>
              <w:numPr>
                <w:ilvl w:val="0"/>
                <w:numId w:val="0"/>
              </w:numPr>
              <w:ind w:firstLine="0" w:firstLineChars="0"/>
              <w:jc w:val="both"/>
              <w:textAlignment w:val="auto"/>
              <w:rPr>
                <w:rFonts w:hint="eastAsia" w:ascii="宋体" w:hAnsi="宋体" w:eastAsia="宋体" w:cs="宋体"/>
                <w:color w:val="auto"/>
                <w:sz w:val="22"/>
                <w:szCs w:val="22"/>
              </w:rPr>
            </w:pPr>
            <w:r>
              <w:rPr>
                <w:rFonts w:hint="eastAsia"/>
                <w:sz w:val="21"/>
                <w:szCs w:val="24"/>
                <w:lang w:val="en-US" w:eastAsia="zh-CN"/>
              </w:rPr>
              <w:t>注：CMA产品功能测试报告测试依据：</w:t>
            </w:r>
            <w:r>
              <w:rPr>
                <w:rFonts w:hint="eastAsia"/>
                <w:sz w:val="22"/>
                <w:szCs w:val="28"/>
                <w:lang w:val="en-US" w:eastAsia="zh-CN"/>
              </w:rPr>
              <w:t>GB/T25000.51-2016:《系统与软件工程系统与软件质量要求和评价(SQuaRE)第51部分:就绪可用软件产品(RUSP)的质量要求和测试细则》</w:t>
            </w:r>
          </w:p>
        </w:tc>
      </w:tr>
      <w:bookmarkEnd w:id="38"/>
      <w:tr w14:paraId="70B6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noWrap/>
            <w:vAlign w:val="center"/>
          </w:tcPr>
          <w:p w14:paraId="58704E5C">
            <w:pPr>
              <w:jc w:val="center"/>
              <w:textAlignment w:val="center"/>
              <w:rPr>
                <w:rFonts w:ascii="宋体" w:hAnsi="宋体" w:eastAsia="宋体" w:cs="宋体"/>
                <w:color w:val="auto"/>
                <w:sz w:val="22"/>
                <w:szCs w:val="22"/>
              </w:rPr>
            </w:pPr>
            <w:bookmarkStart w:id="39" w:name="_Hlk227684255"/>
            <w:r>
              <w:rPr>
                <w:rFonts w:ascii="宋体" w:hAnsi="宋体" w:eastAsia="宋体" w:cs="宋体"/>
                <w:color w:val="auto"/>
                <w:sz w:val="22"/>
                <w:szCs w:val="22"/>
              </w:rPr>
              <w:t>7</w:t>
            </w:r>
          </w:p>
        </w:tc>
        <w:tc>
          <w:tcPr>
            <w:tcW w:w="452" w:type="pct"/>
            <w:noWrap/>
            <w:vAlign w:val="center"/>
          </w:tcPr>
          <w:p w14:paraId="4ED78DF0">
            <w:pPr>
              <w:jc w:val="center"/>
              <w:textAlignment w:val="center"/>
              <w:rPr>
                <w:rFonts w:ascii="宋体" w:hAnsi="宋体" w:eastAsia="宋体" w:cs="宋体"/>
                <w:b/>
                <w:color w:val="auto"/>
                <w:sz w:val="22"/>
                <w:szCs w:val="22"/>
              </w:rPr>
            </w:pPr>
            <w:r>
              <w:rPr>
                <w:rFonts w:hint="eastAsia" w:ascii="宋体" w:hAnsi="宋体" w:eastAsia="宋体" w:cs="宋体"/>
                <w:color w:val="auto"/>
                <w:sz w:val="22"/>
                <w:szCs w:val="22"/>
              </w:rPr>
              <w:t>融合桌面云平台</w:t>
            </w:r>
          </w:p>
        </w:tc>
        <w:tc>
          <w:tcPr>
            <w:tcW w:w="4293" w:type="pct"/>
            <w:noWrap/>
            <w:vAlign w:val="center"/>
          </w:tcPr>
          <w:p w14:paraId="6494F2E4">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平台采用混合集群架构，支持对异构硬件的物理服务器统一纳管并资源池化，支持多种微处理器指令集架构的物理服务器芯片，涵盖Intle、AMD、海光、飞腾、鲲鹏，可自由指定集群内的任意服务器成为主控节点或计算节点；</w:t>
            </w:r>
          </w:p>
          <w:p w14:paraId="0FA78889">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2.平台虚拟化软件可直接安装于裸金属服务器上，无需部署其他组件，通过一个安装包即可实现对VDI/VOI/IDV/TCI四种架构桌面云服务端的统一安装，安装成功后立即生效使用，安装完成后管理员通过账号密码及微信扫码验证身份登录B/S架构管理平台使用；</w:t>
            </w:r>
          </w:p>
          <w:p w14:paraId="4994CB6C">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3.管理平台支持通过单一IP地址可访问Web管理平台并管理区域对象，多区域之间可以进行切换;在系统设置页面，可设定默认访问的主区域;在区域管理页面，可新增、修改、删除子区域，新增区域时验证对应平台的账号和密码；</w:t>
            </w:r>
          </w:p>
          <w:p w14:paraId="497980E7">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4.支持控制节点HA策略，可配置两台控制节点并采用主备模式部署，可设定主控节点与备控节点定时同步数据，当主控节点故障导致平台在所设的阈值时间内无法与主控节点进行通信时，备控节点自动完成平台的接管，且不中断上课师生的虚拟桌面使用，管理员也可自主手动进行主备控的切换；</w:t>
            </w:r>
            <w:r>
              <w:rPr>
                <w:rFonts w:hint="eastAsia" w:ascii="宋体" w:hAnsi="宋体" w:eastAsia="宋体" w:cs="宋体"/>
                <w:b/>
                <w:bCs/>
                <w:color w:val="auto"/>
                <w:sz w:val="22"/>
                <w:szCs w:val="22"/>
              </w:rPr>
              <w:t>（提供操作功能截图）</w:t>
            </w:r>
          </w:p>
          <w:p w14:paraId="4435F825">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5.支持管理平台的暴力破解防护，管理员可设置一定时间内用户连续密码校验错误的次数，当输入账号密码错误时会提示剩余错误次数，密码错误数达到管理员设置的阈值时对应账号变为禁用状态即刻强制冻结，管理员可设定强制冻结后自动解禁的时间阈值，当自动解禁后对应账号状态变为正常方可正常登录，也可由管理员将对应冻结账号一键解锁；</w:t>
            </w:r>
            <w:r>
              <w:rPr>
                <w:rFonts w:hint="eastAsia" w:ascii="宋体" w:hAnsi="宋体" w:eastAsia="宋体" w:cs="宋体"/>
                <w:b/>
                <w:bCs/>
                <w:color w:val="auto"/>
                <w:sz w:val="22"/>
                <w:szCs w:val="22"/>
              </w:rPr>
              <w:t>（提供操作功能截图）</w:t>
            </w:r>
          </w:p>
          <w:p w14:paraId="435EE007">
            <w:pPr>
              <w:jc w:val="left"/>
              <w:textAlignment w:val="center"/>
              <w:rPr>
                <w:rFonts w:ascii="宋体" w:hAnsi="宋体" w:eastAsia="宋体" w:cs="宋体"/>
                <w:b/>
                <w:bCs/>
                <w:color w:val="auto"/>
                <w:sz w:val="22"/>
                <w:szCs w:val="22"/>
              </w:rPr>
            </w:pPr>
            <w:r>
              <w:rPr>
                <w:rStyle w:val="321"/>
                <w:rFonts w:hint="default" w:ascii="宋体" w:hAnsi="宋体" w:eastAsia="宋体" w:cs="宋体"/>
                <w:color w:val="auto"/>
                <w:sz w:val="22"/>
                <w:szCs w:val="22"/>
              </w:rPr>
              <w:t>★</w:t>
            </w:r>
            <w:r>
              <w:rPr>
                <w:rFonts w:hint="eastAsia" w:ascii="宋体" w:hAnsi="宋体" w:eastAsia="宋体" w:cs="宋体"/>
                <w:color w:val="auto"/>
                <w:sz w:val="22"/>
                <w:szCs w:val="22"/>
              </w:rPr>
              <w:t>6.对多区域资源进行汇总分析，可统计所有区域的桌面云部署信息，包括：服务器数量、CPU核数和使用率、内存容量和使用率、存储容量和使用率、教室数量、场景数量、终端数量、桌面数量、区域内每月桌面使用次数、每月桌面场景使用时长和排行，每月机房日均使用时长和排行；</w:t>
            </w:r>
            <w:r>
              <w:rPr>
                <w:rFonts w:hint="eastAsia" w:ascii="宋体" w:hAnsi="宋体" w:eastAsia="宋体" w:cs="宋体"/>
                <w:b/>
                <w:bCs/>
                <w:color w:val="auto"/>
                <w:sz w:val="22"/>
                <w:szCs w:val="22"/>
              </w:rPr>
              <w:t>(</w:t>
            </w:r>
            <w:r>
              <w:rPr>
                <w:rFonts w:hint="eastAsia" w:ascii="宋体" w:hAnsi="宋体" w:eastAsia="宋体" w:cs="宋体"/>
                <w:b/>
                <w:bCs/>
                <w:color w:val="auto"/>
                <w:sz w:val="22"/>
                <w:szCs w:val="22"/>
                <w:lang w:eastAsia="zh-CN"/>
              </w:rPr>
              <w:t>提供第三方权威机构出具CMA产品功能测试报告复印件或扫描件</w:t>
            </w:r>
            <w:r>
              <w:rPr>
                <w:rFonts w:hint="eastAsia" w:ascii="宋体" w:hAnsi="宋体" w:eastAsia="宋体" w:cs="宋体"/>
                <w:b/>
                <w:bCs/>
                <w:color w:val="auto"/>
                <w:sz w:val="22"/>
                <w:szCs w:val="22"/>
              </w:rPr>
              <w:t>)</w:t>
            </w:r>
          </w:p>
          <w:p w14:paraId="7182986B">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7.桌面云支持多种操作系统的教学使用需求，涵盖Windows系统的Win7/Win8/Win10/Win11等，包含Linux系统的Ubuntu/Centos等，支持国产操作系统如中科方德/统信UOS/银河麒麟等，囊括服务器操作系统如Windows Server 2012/2016等服务器系统的发布；</w:t>
            </w:r>
          </w:p>
          <w:p w14:paraId="635D1411">
            <w:pPr>
              <w:jc w:val="left"/>
              <w:textAlignment w:val="center"/>
              <w:rPr>
                <w:rFonts w:ascii="宋体" w:hAnsi="宋体" w:eastAsia="宋体" w:cs="宋体"/>
                <w:b/>
                <w:bCs/>
                <w:color w:val="auto"/>
                <w:sz w:val="22"/>
                <w:szCs w:val="22"/>
              </w:rPr>
            </w:pPr>
            <w:r>
              <w:rPr>
                <w:rStyle w:val="321"/>
                <w:rFonts w:hint="default" w:ascii="宋体" w:hAnsi="宋体" w:eastAsia="宋体" w:cs="宋体"/>
                <w:color w:val="auto"/>
                <w:sz w:val="22"/>
                <w:szCs w:val="22"/>
              </w:rPr>
              <w:t>★</w:t>
            </w:r>
            <w:r>
              <w:rPr>
                <w:rFonts w:hint="eastAsia" w:ascii="宋体" w:hAnsi="宋体" w:eastAsia="宋体" w:cs="宋体"/>
                <w:color w:val="auto"/>
                <w:sz w:val="22"/>
                <w:szCs w:val="22"/>
              </w:rPr>
              <w:t>8.支持分散部署的多校区集群统一管理，单一IP地址可访问和管理所有区域对象，多区域之间可以进行切换，可设定默认访问的主区域，可新增/修改/删除子区域，新增区域时验证对应平台的账号和密码，可从UAA平台一键同步账号，可设置管理账号及普通账号的区域管理范围和功能权限；</w:t>
            </w:r>
            <w:r>
              <w:rPr>
                <w:rFonts w:hint="eastAsia" w:ascii="宋体" w:hAnsi="宋体" w:eastAsia="宋体" w:cs="宋体"/>
                <w:b/>
                <w:bCs/>
                <w:color w:val="auto"/>
                <w:sz w:val="22"/>
                <w:szCs w:val="22"/>
              </w:rPr>
              <w:t>(</w:t>
            </w:r>
            <w:r>
              <w:rPr>
                <w:rFonts w:hint="eastAsia" w:ascii="宋体" w:hAnsi="宋体" w:eastAsia="宋体" w:cs="宋体"/>
                <w:b/>
                <w:bCs/>
                <w:color w:val="auto"/>
                <w:sz w:val="22"/>
                <w:szCs w:val="22"/>
                <w:lang w:eastAsia="zh-CN"/>
              </w:rPr>
              <w:t>提供第三方权威机构出具CMA产品功能测试报告复印件或扫描件</w:t>
            </w:r>
            <w:r>
              <w:rPr>
                <w:rFonts w:hint="eastAsia" w:ascii="宋体" w:hAnsi="宋体" w:eastAsia="宋体" w:cs="宋体"/>
                <w:b/>
                <w:bCs/>
                <w:color w:val="auto"/>
                <w:sz w:val="22"/>
                <w:szCs w:val="22"/>
              </w:rPr>
              <w:t>)</w:t>
            </w:r>
          </w:p>
          <w:p w14:paraId="36805696">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9.在管理平台上支持对不同的功能模块和教室范围进行权限角色的划分;支持三权分立的账号权限，可授权管理员能操作的管理平台权限，可授权管理员管理的教室范围;在管理账号页面，可冻结用户账号，被冻结账号禁止登录管理平台且无法用账号登录个人桌面;</w:t>
            </w:r>
          </w:p>
          <w:p w14:paraId="68B1DFF3">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10.支持批量为桌面挂载共享磁盘，其它用户具备资料共享区的读写权限，桌面上传区可查看个人上传的资料;在系统设置页面，管理员可手动立即清除共享磁盘空间，也可设定每周、每月指定日期和时间点自动清理共享磁盘空间;</w:t>
            </w:r>
          </w:p>
          <w:p w14:paraId="660FD1C1">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11.普通管理员可查看平台模板，仅对所属权限模板及被共享模板进行管理，可一键隐藏无权限模板;管理用户可将所属权限下的模板共享给其他普通管理员，被共享管理员拥有对模板的编辑和管理权，不能对模板进行删除、转让及共享权限操作;管理用户可查看模板所共享的账号范围并批量移除共享账号</w:t>
            </w:r>
            <w:r>
              <w:rPr>
                <w:rFonts w:hint="eastAsia" w:ascii="宋体" w:hAnsi="宋体" w:eastAsia="宋体" w:cs="宋体"/>
                <w:b/>
                <w:bCs/>
                <w:color w:val="auto"/>
                <w:sz w:val="22"/>
                <w:szCs w:val="22"/>
              </w:rPr>
              <w:t>。（提供操作功能截图）</w:t>
            </w:r>
          </w:p>
          <w:p w14:paraId="4BDA6446">
            <w:pPr>
              <w:jc w:val="left"/>
              <w:textAlignment w:val="center"/>
              <w:rPr>
                <w:rFonts w:ascii="宋体" w:hAnsi="宋体" w:eastAsia="宋体"/>
                <w:b/>
                <w:bCs/>
                <w:color w:val="auto"/>
                <w:sz w:val="22"/>
                <w:szCs w:val="22"/>
              </w:rPr>
            </w:pPr>
            <w:r>
              <w:rPr>
                <w:rFonts w:hint="eastAsia" w:ascii="宋体" w:hAnsi="宋体" w:eastAsia="宋体" w:cs="宋体"/>
                <w:color w:val="auto"/>
                <w:sz w:val="22"/>
                <w:szCs w:val="22"/>
              </w:rPr>
              <w:t>12.终端模板制作支持样机制作上传及远端Web制作两种方式，针对教学外设复杂场景可采用样机上传模式，在本地样机系统制作完成后安装桌面云客户端，重启电脑后通过快捷键将样机系统上传至平台生成新的模板；针对教学外设简单场景可采用远端Web制作模式，仅需基于平台即可在线生成模板；</w:t>
            </w:r>
          </w:p>
          <w:p w14:paraId="1DED6515">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13.当模板的磁盘空间因不断增加软件及资料而不足时，可基于模板现有的系统盘和数据盘分别扩容，单次扩容至少可达450GB，也可直接挂载新的磁盘给对应模板进行分区新增，新增磁盘至少可达1000GB；</w:t>
            </w:r>
          </w:p>
          <w:p w14:paraId="56445896">
            <w:pPr>
              <w:jc w:val="left"/>
              <w:textAlignment w:val="center"/>
              <w:rPr>
                <w:rFonts w:ascii="宋体" w:hAnsi="宋体" w:eastAsia="宋体" w:cs="宋体"/>
                <w:color w:val="auto"/>
                <w:sz w:val="22"/>
                <w:szCs w:val="22"/>
              </w:rPr>
            </w:pPr>
            <w:r>
              <w:rPr>
                <w:rStyle w:val="321"/>
                <w:rFonts w:hint="default" w:ascii="宋体" w:hAnsi="宋体" w:eastAsia="宋体" w:cs="宋体"/>
                <w:color w:val="auto"/>
                <w:sz w:val="22"/>
                <w:szCs w:val="22"/>
              </w:rPr>
              <w:t>★</w:t>
            </w:r>
            <w:r>
              <w:rPr>
                <w:rFonts w:hint="eastAsia" w:ascii="宋体" w:hAnsi="宋体" w:eastAsia="宋体" w:cs="宋体"/>
                <w:color w:val="auto"/>
                <w:sz w:val="22"/>
                <w:szCs w:val="22"/>
              </w:rPr>
              <w:t>14.单台终端可同时支持教学桌面和个人桌面两种桌面登录模式，教学桌面开机无需账号自动进入桌面，个人桌面开机须输入账号密码进入桌面，管理台可控制允许终端进入的桌面类型，包括：仅使用教学桌面、仅使用个人桌面、混合登录三种方式，管理台可排列终端多个桌面的展示顺序，支持指定某个桌面让终端开机后自动进入，可设置自动进入桌面的倒计时阈值，可设定桌面长期处于系统选单界面后令终端自动关机的倒计时阈值；</w:t>
            </w:r>
            <w:r>
              <w:rPr>
                <w:rFonts w:hint="eastAsia" w:ascii="宋体" w:hAnsi="宋体" w:eastAsia="宋体" w:cs="宋体"/>
                <w:b/>
                <w:bCs/>
                <w:color w:val="auto"/>
                <w:sz w:val="22"/>
                <w:szCs w:val="22"/>
              </w:rPr>
              <w:t>(</w:t>
            </w:r>
            <w:r>
              <w:rPr>
                <w:rFonts w:hint="eastAsia" w:ascii="宋体" w:hAnsi="宋体" w:eastAsia="宋体" w:cs="宋体"/>
                <w:b/>
                <w:bCs/>
                <w:color w:val="auto"/>
                <w:sz w:val="22"/>
                <w:szCs w:val="22"/>
                <w:lang w:eastAsia="zh-CN"/>
              </w:rPr>
              <w:t>提供第三方权威机构出具CMA产品功能测试报告复印件或扫描件</w:t>
            </w:r>
            <w:r>
              <w:rPr>
                <w:rFonts w:hint="eastAsia" w:ascii="宋体" w:hAnsi="宋体" w:eastAsia="宋体" w:cs="宋体"/>
                <w:b/>
                <w:bCs/>
                <w:color w:val="auto"/>
                <w:sz w:val="22"/>
                <w:szCs w:val="22"/>
              </w:rPr>
              <w:t>)</w:t>
            </w:r>
          </w:p>
          <w:p w14:paraId="37F47EA1">
            <w:pPr>
              <w:jc w:val="left"/>
              <w:textAlignment w:val="center"/>
              <w:rPr>
                <w:rFonts w:ascii="宋体" w:hAnsi="宋体" w:eastAsia="宋体" w:cs="宋体"/>
                <w:b/>
                <w:bCs/>
                <w:color w:val="auto"/>
                <w:sz w:val="22"/>
                <w:szCs w:val="22"/>
              </w:rPr>
            </w:pPr>
            <w:r>
              <w:rPr>
                <w:rFonts w:hint="eastAsia" w:ascii="宋体" w:hAnsi="宋体" w:eastAsia="宋体" w:cs="宋体"/>
                <w:color w:val="auto"/>
                <w:sz w:val="22"/>
                <w:szCs w:val="22"/>
              </w:rPr>
              <w:t>15.支持客户端设置桌面更新模式，包括自动更新、手动更新、静默更新方式，可设置桌面下发方式，包括BT下发、广播下发、跨VLAN广播下发</w:t>
            </w:r>
            <w:r>
              <w:rPr>
                <w:rFonts w:hint="eastAsia" w:ascii="宋体" w:hAnsi="宋体" w:eastAsia="宋体" w:cs="宋体"/>
                <w:b/>
                <w:bCs/>
                <w:color w:val="auto"/>
                <w:sz w:val="22"/>
                <w:szCs w:val="22"/>
              </w:rPr>
              <w:t>；（提供操作功能截图）</w:t>
            </w:r>
          </w:p>
          <w:p w14:paraId="759B4A7E">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16.支持桌面还原属性修改，桌面创建完成后，可随时在管理平台根据教学需求修改教学桌面还原属性，可单独分别为系统盘和数据盘设置每次还原，每天还原，每周还原、每月还原或不还原，也可对场景中的任意数量的桌面实现还原，满足教学桌面还原和考试环境数据保存等需求；</w:t>
            </w:r>
            <w:r>
              <w:rPr>
                <w:rFonts w:hint="eastAsia" w:ascii="宋体" w:hAnsi="宋体" w:eastAsia="宋体" w:cs="宋体"/>
                <w:b/>
                <w:bCs/>
                <w:color w:val="auto"/>
                <w:sz w:val="22"/>
                <w:szCs w:val="22"/>
              </w:rPr>
              <w:t>(</w:t>
            </w:r>
            <w:r>
              <w:rPr>
                <w:rFonts w:hint="eastAsia" w:ascii="宋体" w:hAnsi="宋体" w:eastAsia="宋体" w:cs="宋体"/>
                <w:b/>
                <w:bCs/>
                <w:color w:val="auto"/>
                <w:sz w:val="22"/>
                <w:szCs w:val="22"/>
                <w:lang w:eastAsia="zh-CN"/>
              </w:rPr>
              <w:t>提供第三方权威机构出具CMA产品功能测试报告复印件或扫描件</w:t>
            </w:r>
            <w:r>
              <w:rPr>
                <w:rFonts w:hint="eastAsia" w:ascii="宋体" w:hAnsi="宋体" w:eastAsia="宋体" w:cs="宋体"/>
                <w:b/>
                <w:bCs/>
                <w:color w:val="auto"/>
                <w:sz w:val="22"/>
                <w:szCs w:val="22"/>
              </w:rPr>
              <w:t>)</w:t>
            </w:r>
          </w:p>
          <w:p w14:paraId="3F22440E">
            <w:pPr>
              <w:jc w:val="left"/>
              <w:textAlignment w:val="center"/>
              <w:rPr>
                <w:rFonts w:ascii="宋体" w:hAnsi="宋体" w:eastAsia="宋体"/>
                <w:b/>
                <w:bCs/>
                <w:color w:val="auto"/>
                <w:sz w:val="22"/>
                <w:szCs w:val="22"/>
              </w:rPr>
            </w:pPr>
            <w:r>
              <w:rPr>
                <w:rStyle w:val="321"/>
                <w:rFonts w:hint="default" w:ascii="宋体" w:hAnsi="宋体" w:eastAsia="宋体" w:cs="宋体"/>
                <w:color w:val="auto"/>
                <w:sz w:val="22"/>
                <w:szCs w:val="22"/>
              </w:rPr>
              <w:t>★</w:t>
            </w:r>
            <w:r>
              <w:rPr>
                <w:rFonts w:hint="eastAsia" w:ascii="宋体" w:hAnsi="宋体" w:eastAsia="宋体" w:cs="宋体"/>
                <w:color w:val="auto"/>
                <w:sz w:val="22"/>
                <w:szCs w:val="22"/>
              </w:rPr>
              <w:t>17.可通过单双号方式筛选对应序号类型的终端，可通过Winodws系统在线、Linux系统在线、底层选单在线、维护模式在线、部署模式在线、离线这六种终端运行状态筛选定位所要查看的终端；</w:t>
            </w:r>
            <w:r>
              <w:rPr>
                <w:rFonts w:hint="eastAsia" w:ascii="宋体" w:hAnsi="宋体" w:eastAsia="宋体" w:cs="宋体"/>
                <w:b/>
                <w:bCs/>
                <w:color w:val="auto"/>
                <w:sz w:val="22"/>
                <w:szCs w:val="22"/>
              </w:rPr>
              <w:t>(</w:t>
            </w:r>
            <w:r>
              <w:rPr>
                <w:rFonts w:hint="eastAsia" w:ascii="宋体" w:hAnsi="宋体" w:eastAsia="宋体" w:cs="宋体"/>
                <w:b/>
                <w:bCs/>
                <w:color w:val="auto"/>
                <w:sz w:val="22"/>
                <w:szCs w:val="22"/>
                <w:lang w:eastAsia="zh-CN"/>
              </w:rPr>
              <w:t>提供第三方权威机构出具CMA产品功能测试报告复印件或扫描件</w:t>
            </w:r>
            <w:r>
              <w:rPr>
                <w:rFonts w:hint="eastAsia" w:ascii="宋体" w:hAnsi="宋体" w:eastAsia="宋体" w:cs="宋体"/>
                <w:b/>
                <w:bCs/>
                <w:color w:val="auto"/>
                <w:sz w:val="22"/>
                <w:szCs w:val="22"/>
              </w:rPr>
              <w:t>)</w:t>
            </w:r>
          </w:p>
          <w:p w14:paraId="2473AF74">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18.支持硬件虚拟化功能，当模板开启策略开关后会针对硬件识别码的绿色软件可实现软件统一注册，大幅度降低激活软件带来的工作量；</w:t>
            </w:r>
            <w:r>
              <w:rPr>
                <w:rFonts w:hint="eastAsia" w:ascii="宋体" w:hAnsi="宋体" w:eastAsia="宋体" w:cs="宋体"/>
                <w:b/>
                <w:bCs/>
                <w:color w:val="auto"/>
                <w:sz w:val="22"/>
                <w:szCs w:val="22"/>
              </w:rPr>
              <w:t>（提供操作功能截图）</w:t>
            </w:r>
          </w:p>
          <w:p w14:paraId="436AD620">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19.针对桌面可设置定时开关机计划，计划执行范围支持以终端为对象和以教学桌面为对象进行选择，可设定在计划的具体执行周期内唤醒和关闭对应的教学桌面终端，日期精确到天、时间精确到分钟，可设置自动关机的文字提醒及关机前提醒的倒计时阈值；</w:t>
            </w:r>
            <w:r>
              <w:rPr>
                <w:rFonts w:hint="eastAsia" w:ascii="宋体" w:hAnsi="宋体" w:eastAsia="宋体" w:cs="宋体"/>
                <w:b/>
                <w:bCs/>
                <w:color w:val="auto"/>
                <w:sz w:val="22"/>
                <w:szCs w:val="22"/>
              </w:rPr>
              <w:t>（提供操作功能截图）</w:t>
            </w:r>
          </w:p>
          <w:p w14:paraId="0F638526">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20.支持平台系统数据库的备份，可执行立即备份和自动备份，自动备份可设置备份周期、备份时间（精确到分钟）、备份文件保留数量及备份位置，可对必要备份文件进行下载，对无用备份文件可进行删除，支持联动主控节点每次开机自动进行备份；</w:t>
            </w:r>
            <w:r>
              <w:rPr>
                <w:rFonts w:hint="eastAsia" w:ascii="宋体" w:hAnsi="宋体" w:eastAsia="宋体" w:cs="宋体"/>
                <w:b/>
                <w:bCs/>
                <w:color w:val="auto"/>
                <w:sz w:val="22"/>
                <w:szCs w:val="22"/>
              </w:rPr>
              <w:t>（提供操作功能截图）</w:t>
            </w:r>
          </w:p>
          <w:p w14:paraId="7E60F025">
            <w:pPr>
              <w:jc w:val="left"/>
              <w:textAlignment w:val="center"/>
              <w:rPr>
                <w:rFonts w:ascii="宋体" w:hAnsi="宋体" w:eastAsia="宋体" w:cs="宋体"/>
                <w:color w:val="auto"/>
                <w:sz w:val="22"/>
                <w:szCs w:val="22"/>
              </w:rPr>
            </w:pPr>
            <w:r>
              <w:rPr>
                <w:rStyle w:val="321"/>
                <w:rFonts w:hint="default" w:ascii="宋体" w:hAnsi="宋体" w:eastAsia="宋体" w:cs="宋体"/>
                <w:color w:val="auto"/>
                <w:sz w:val="22"/>
                <w:szCs w:val="22"/>
              </w:rPr>
              <w:t>★</w:t>
            </w:r>
            <w:r>
              <w:rPr>
                <w:rFonts w:hint="eastAsia" w:ascii="宋体" w:hAnsi="宋体" w:eastAsia="宋体" w:cs="宋体"/>
                <w:color w:val="auto"/>
                <w:sz w:val="22"/>
                <w:szCs w:val="22"/>
              </w:rPr>
              <w:t>21.支持windows系统下的屏幕水印功能，可设置水印显示位置、字体大小、颜色、透明度，可设置显示内容，包括桌面计算机名，终端序号，桌面IP地址，MAC地址，还原方式等信息，支持预览设置内容及效果，还可自定义显示内容，进入系统后，桌面右上角可置顶显示设置的信息水印。</w:t>
            </w:r>
            <w:r>
              <w:rPr>
                <w:rFonts w:hint="eastAsia" w:ascii="宋体" w:hAnsi="宋体" w:eastAsia="宋体" w:cs="宋体"/>
                <w:b/>
                <w:bCs/>
                <w:color w:val="auto"/>
                <w:sz w:val="22"/>
                <w:szCs w:val="22"/>
              </w:rPr>
              <w:t>（提供完整功能截图）</w:t>
            </w:r>
          </w:p>
          <w:p w14:paraId="72187BAB">
            <w:pPr>
              <w:jc w:val="left"/>
              <w:textAlignment w:val="center"/>
              <w:rPr>
                <w:rFonts w:ascii="宋体" w:hAnsi="宋体" w:eastAsia="宋体" w:cs="宋体"/>
                <w:color w:val="auto"/>
                <w:sz w:val="22"/>
                <w:szCs w:val="22"/>
              </w:rPr>
            </w:pPr>
            <w:r>
              <w:rPr>
                <w:rStyle w:val="321"/>
                <w:rFonts w:hint="default" w:ascii="宋体" w:hAnsi="宋体" w:eastAsia="宋体" w:cs="宋体"/>
                <w:color w:val="auto"/>
                <w:sz w:val="22"/>
                <w:szCs w:val="22"/>
              </w:rPr>
              <w:t>★</w:t>
            </w:r>
            <w:r>
              <w:rPr>
                <w:rFonts w:hint="eastAsia" w:ascii="宋体" w:hAnsi="宋体" w:eastAsia="宋体" w:cs="宋体"/>
                <w:color w:val="auto"/>
                <w:sz w:val="22"/>
                <w:szCs w:val="22"/>
              </w:rPr>
              <w:t>22.提供C/S架构的桌面云平台检测工具，通过管理员账号密码验证身份后，点击开始检测则自动检测服务器连接状态、终端连接状态、集群网络状态、数据库状态、文件系统状态、脏数据状态、授权激活状态、主控HA状态、Guesttools状态、模板状态、桌面状态，并展示此次体检分数和检测结果详情，针对检测异常项会进行提示并给出解决建议，也可点击修复体检异常项进行自动修复，可将此次检测生成检测报告文件下载至电脑本地。</w:t>
            </w:r>
            <w:r>
              <w:rPr>
                <w:rFonts w:hint="eastAsia" w:ascii="宋体" w:hAnsi="宋体" w:eastAsia="宋体" w:cs="宋体"/>
                <w:b/>
                <w:bCs/>
                <w:color w:val="auto"/>
                <w:sz w:val="22"/>
                <w:szCs w:val="22"/>
              </w:rPr>
              <w:t>（提供完整功能截图）</w:t>
            </w:r>
          </w:p>
          <w:p w14:paraId="54D9BEC5">
            <w:pPr>
              <w:jc w:val="left"/>
              <w:textAlignment w:val="center"/>
              <w:rPr>
                <w:rFonts w:ascii="宋体" w:hAnsi="宋体" w:eastAsia="宋体" w:cs="宋体"/>
                <w:color w:val="auto"/>
                <w:sz w:val="22"/>
                <w:szCs w:val="22"/>
              </w:rPr>
            </w:pPr>
            <w:r>
              <w:rPr>
                <w:rStyle w:val="321"/>
                <w:rFonts w:hint="default" w:ascii="宋体" w:hAnsi="宋体" w:eastAsia="宋体" w:cs="宋体"/>
                <w:color w:val="auto"/>
                <w:sz w:val="22"/>
                <w:szCs w:val="22"/>
              </w:rPr>
              <w:t>★</w:t>
            </w:r>
            <w:r>
              <w:rPr>
                <w:rFonts w:hint="eastAsia" w:ascii="宋体" w:hAnsi="宋体" w:eastAsia="宋体" w:cs="宋体"/>
                <w:color w:val="auto"/>
                <w:sz w:val="22"/>
                <w:szCs w:val="22"/>
              </w:rPr>
              <w:t>27.钱塘校区已部署一批桌面云设备，为保护已有投资且简化管理，要求新校区所投桌面云系统能与钱塘校区现有的桌面云系统无缝对接，中标供应商承担对接费用，实现在同一集群同一平台下统一管理，实现同一平台下两校区桌面教学资源共享。</w:t>
            </w:r>
          </w:p>
          <w:p w14:paraId="0EC5E7A4">
            <w:pPr>
              <w:numPr>
                <w:ilvl w:val="0"/>
                <w:numId w:val="4"/>
              </w:numPr>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中标后供应商应提供以上材料原件备查。</w:t>
            </w:r>
          </w:p>
          <w:p w14:paraId="08DC775B">
            <w:pPr>
              <w:numPr>
                <w:ilvl w:val="-1"/>
                <w:numId w:val="0"/>
              </w:numPr>
              <w:jc w:val="left"/>
              <w:textAlignment w:val="center"/>
              <w:rPr>
                <w:rFonts w:hint="eastAsia" w:ascii="宋体" w:hAnsi="宋体" w:eastAsia="宋体" w:cs="宋体"/>
                <w:color w:val="auto"/>
                <w:sz w:val="22"/>
                <w:szCs w:val="22"/>
              </w:rPr>
            </w:pPr>
            <w:r>
              <w:rPr>
                <w:rFonts w:hint="eastAsia"/>
                <w:sz w:val="22"/>
                <w:szCs w:val="28"/>
                <w:lang w:val="en-US" w:eastAsia="zh-CN"/>
              </w:rPr>
              <w:t>注：CMA产品功能测试报告测试依据：GB/T25000.51-2016:《系统与软件工程系统与软件质量要求和评价(SQuaRE》第51部分:就绪可用软件产品(RUSP)的质量要求和测试细则》</w:t>
            </w:r>
          </w:p>
        </w:tc>
      </w:tr>
      <w:bookmarkEnd w:id="39"/>
      <w:tr w14:paraId="11F5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noWrap/>
            <w:vAlign w:val="center"/>
          </w:tcPr>
          <w:p w14:paraId="232537E2">
            <w:pPr>
              <w:jc w:val="center"/>
              <w:textAlignment w:val="center"/>
              <w:rPr>
                <w:rFonts w:ascii="宋体" w:hAnsi="宋体" w:eastAsia="宋体" w:cs="宋体"/>
                <w:color w:val="auto"/>
                <w:sz w:val="22"/>
                <w:szCs w:val="22"/>
              </w:rPr>
            </w:pPr>
            <w:bookmarkStart w:id="40" w:name="_Hlk227684442"/>
            <w:r>
              <w:rPr>
                <w:rFonts w:ascii="宋体" w:hAnsi="宋体" w:eastAsia="宋体" w:cs="宋体"/>
                <w:color w:val="auto"/>
                <w:sz w:val="22"/>
                <w:szCs w:val="22"/>
              </w:rPr>
              <w:t>8</w:t>
            </w:r>
          </w:p>
        </w:tc>
        <w:tc>
          <w:tcPr>
            <w:tcW w:w="452" w:type="pct"/>
            <w:noWrap/>
            <w:vAlign w:val="center"/>
          </w:tcPr>
          <w:p w14:paraId="208168BD">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智慧物联设备</w:t>
            </w:r>
          </w:p>
        </w:tc>
        <w:tc>
          <w:tcPr>
            <w:tcW w:w="4293" w:type="pct"/>
            <w:noWrap/>
            <w:vAlign w:val="center"/>
          </w:tcPr>
          <w:p w14:paraId="73F58A2B">
            <w:pPr>
              <w:jc w:val="left"/>
              <w:textAlignment w:val="center"/>
              <w:rPr>
                <w:rFonts w:ascii="宋体" w:hAnsi="宋体" w:eastAsia="宋体"/>
                <w:b/>
                <w:bCs/>
                <w:color w:val="auto"/>
                <w:sz w:val="22"/>
                <w:szCs w:val="22"/>
              </w:rPr>
            </w:pPr>
            <w:r>
              <w:rPr>
                <w:rFonts w:hint="eastAsia" w:ascii="宋体" w:hAnsi="宋体" w:eastAsia="宋体" w:cs="宋体"/>
                <w:b/>
                <w:bCs/>
                <w:color w:val="auto"/>
                <w:sz w:val="22"/>
                <w:szCs w:val="22"/>
              </w:rPr>
              <w:t>这是一套集智能断路器、通讯网关、触控屏于一体的智慧能源管理与安全配电控制设备，支持有线/无线多模通信、远程监控与联动控制，具备电能计量、电气安全防护及可视化运维等功能。</w:t>
            </w:r>
          </w:p>
          <w:p w14:paraId="1B847963">
            <w:pPr>
              <w:jc w:val="left"/>
              <w:textAlignment w:val="center"/>
              <w:rPr>
                <w:rFonts w:ascii="宋体" w:hAnsi="宋体" w:eastAsia="宋体" w:cs="宋体"/>
                <w:b/>
                <w:bCs/>
                <w:color w:val="auto"/>
                <w:sz w:val="22"/>
                <w:szCs w:val="22"/>
              </w:rPr>
            </w:pPr>
            <w:r>
              <w:rPr>
                <w:rFonts w:hint="eastAsia" w:ascii="宋体" w:hAnsi="宋体" w:eastAsia="宋体" w:cs="宋体"/>
                <w:b/>
                <w:bCs/>
                <w:color w:val="auto"/>
                <w:sz w:val="22"/>
                <w:szCs w:val="22"/>
              </w:rPr>
              <w:t xml:space="preserve">一、智能断路器通讯模块： </w:t>
            </w:r>
          </w:p>
          <w:p w14:paraId="370FD594">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1.通讯方式：RJ45网络接口通讯和NB-I0T无线通讯；</w:t>
            </w:r>
          </w:p>
          <w:p w14:paraId="0AFA4316">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2.不少于1个RJ45网络端口、不少于1个RS485通信接口；</w:t>
            </w:r>
          </w:p>
          <w:p w14:paraId="08C9DAEA">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3.最大可接入不少于36个智能微型断路器。RS485接口最大可接入不少于12路塑壳断路器；</w:t>
            </w:r>
          </w:p>
          <w:p w14:paraId="776C2CB2">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4.可在客户端软件显示用电回路的电压值、电流值、功率值、电量、温度值、剩余电流值等数据；可在客户端软件显示报警信息；</w:t>
            </w:r>
          </w:p>
          <w:p w14:paraId="1C236D16">
            <w:pPr>
              <w:jc w:val="left"/>
              <w:textAlignment w:val="center"/>
              <w:rPr>
                <w:rFonts w:ascii="宋体" w:hAnsi="宋体" w:eastAsia="宋体"/>
                <w:b/>
                <w:bCs/>
                <w:color w:val="auto"/>
                <w:sz w:val="22"/>
                <w:szCs w:val="22"/>
              </w:rPr>
            </w:pPr>
            <w:r>
              <w:rPr>
                <w:rFonts w:hint="eastAsia" w:ascii="宋体" w:hAnsi="宋体" w:eastAsia="宋体" w:cs="宋体"/>
                <w:color w:val="auto"/>
                <w:sz w:val="22"/>
                <w:szCs w:val="22"/>
              </w:rPr>
              <w:t>5.具备液晶显示屏，循环显示设备运行时间、设备编码、本机MAC地址、IP地址、子网掩码、网关、服务器地址、服务器端口、接入设备状态等信息；</w:t>
            </w:r>
          </w:p>
          <w:p w14:paraId="150BA1B2">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6.具有全开、全关按钮，可一键控制全部智能断路器合闸、分闸；</w:t>
            </w:r>
          </w:p>
          <w:p w14:paraId="65B3FD55">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7.具有系统运行状态指示灯、网络状态指示灯、总线状态指示灯；</w:t>
            </w:r>
          </w:p>
          <w:p w14:paraId="030AD8B7">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8.可在客户端软件设置密码，密码至少包括数字、大写字母、小写字母、符号中的两种，密码长度不小于8位；设备初次使用或恢复出厂设置时需强制设置密码；</w:t>
            </w:r>
          </w:p>
          <w:p w14:paraId="25CFE3E5">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9.可在客户端软件远程修改样机登录密码；可在客户端软件批量固件升级；</w:t>
            </w:r>
          </w:p>
          <w:p w14:paraId="2B9CA7B4">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10.客户端软件时钟可与电脑系统时钟同步；</w:t>
            </w:r>
          </w:p>
          <w:p w14:paraId="207EADEF">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11.支持配置两台服务器，并向两个服务器发送数据；</w:t>
            </w:r>
          </w:p>
          <w:p w14:paraId="459E2D74">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12.可在客户端软件或定制平板电脑端对接入设备进行修改报警阈值、设置地址、编辑名称、固件升级等操作；断网后重新联网，接入设备的数据信息可继续上传平台软件；</w:t>
            </w:r>
          </w:p>
          <w:p w14:paraId="5BC87798">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13.支持推针和软线接入方式，</w:t>
            </w:r>
          </w:p>
          <w:p w14:paraId="01F2C21E">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14.提供产品责任险。</w:t>
            </w:r>
          </w:p>
          <w:p w14:paraId="79CC2D44">
            <w:pPr>
              <w:jc w:val="left"/>
              <w:textAlignment w:val="center"/>
              <w:rPr>
                <w:rFonts w:ascii="宋体" w:hAnsi="宋体" w:eastAsia="宋体" w:cs="宋体"/>
                <w:color w:val="auto"/>
                <w:sz w:val="22"/>
                <w:szCs w:val="22"/>
              </w:rPr>
            </w:pPr>
            <w:r>
              <w:rPr>
                <w:rFonts w:hint="eastAsia" w:ascii="宋体" w:hAnsi="宋体" w:eastAsia="宋体" w:cs="宋体"/>
                <w:b/>
                <w:bCs/>
                <w:color w:val="auto"/>
                <w:sz w:val="22"/>
                <w:szCs w:val="22"/>
              </w:rPr>
              <w:t>二、智能断路器电源模块：</w:t>
            </w:r>
            <w:r>
              <w:rPr>
                <w:rFonts w:hint="eastAsia" w:ascii="宋体" w:hAnsi="宋体" w:eastAsia="宋体" w:cs="宋体"/>
                <w:color w:val="auto"/>
                <w:sz w:val="22"/>
                <w:szCs w:val="22"/>
              </w:rPr>
              <w:t xml:space="preserve"> </w:t>
            </w:r>
          </w:p>
          <w:p w14:paraId="3CD61C5C">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1.2P宽度标准导轨式安装；</w:t>
            </w:r>
          </w:p>
          <w:p w14:paraId="2D430271">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2.额定输入电压：50Hz/AC220V；</w:t>
            </w:r>
          </w:p>
          <w:p w14:paraId="3A80A08E">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3.具有LED指示灯指示当前工作状态；</w:t>
            </w:r>
          </w:p>
          <w:p w14:paraId="5AF06EC2">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4.稳定的直流输出，最大输出功率不小于30W；</w:t>
            </w:r>
          </w:p>
          <w:p w14:paraId="2F5BACAA">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5.具有防雷击浪涌保护，最大泄放电流15KA；</w:t>
            </w:r>
          </w:p>
          <w:p w14:paraId="08AFC9BB">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6.提供产品责任险。</w:t>
            </w:r>
          </w:p>
          <w:p w14:paraId="6C5A563B">
            <w:pPr>
              <w:jc w:val="left"/>
              <w:textAlignment w:val="center"/>
              <w:rPr>
                <w:rFonts w:ascii="宋体" w:hAnsi="宋体" w:eastAsia="宋体" w:cs="宋体"/>
                <w:color w:val="auto"/>
                <w:sz w:val="22"/>
                <w:szCs w:val="22"/>
              </w:rPr>
            </w:pPr>
            <w:r>
              <w:rPr>
                <w:rFonts w:hint="eastAsia" w:ascii="宋体" w:hAnsi="宋体" w:eastAsia="宋体" w:cs="宋体"/>
                <w:b/>
                <w:bCs/>
                <w:color w:val="auto"/>
                <w:sz w:val="22"/>
                <w:szCs w:val="22"/>
              </w:rPr>
              <w:t>三、三相智能断路器(带漏电监测）：</w:t>
            </w:r>
            <w:r>
              <w:rPr>
                <w:rFonts w:hint="eastAsia" w:ascii="宋体" w:hAnsi="宋体" w:eastAsia="宋体" w:cs="宋体"/>
                <w:color w:val="auto"/>
                <w:sz w:val="22"/>
                <w:szCs w:val="22"/>
              </w:rPr>
              <w:t xml:space="preserve"> </w:t>
            </w:r>
          </w:p>
          <w:p w14:paraId="2E7F7937">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1.额定电流63A；</w:t>
            </w:r>
          </w:p>
          <w:p w14:paraId="193D62CA">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2.额定电压400V；</w:t>
            </w:r>
          </w:p>
          <w:p w14:paraId="15AE7446">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3.极数4P；</w:t>
            </w:r>
          </w:p>
          <w:p w14:paraId="75D3FFAE">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4.额定绝缘电压Ui：500V；</w:t>
            </w:r>
          </w:p>
          <w:p w14:paraId="551EB786">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5.额定冲击耐受电压Uimp：4kV；</w:t>
            </w:r>
          </w:p>
          <w:p w14:paraId="34C8384E">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6.额定短路分断能力Icn：6kA；</w:t>
            </w:r>
          </w:p>
          <w:p w14:paraId="71E5CC66">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7.额定运行短路能力Ics：6kA；</w:t>
            </w:r>
          </w:p>
          <w:p w14:paraId="0173D351">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8.瞬时脱扣类型：C型；</w:t>
            </w:r>
          </w:p>
          <w:p w14:paraId="4AA32008">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9.额定短路接通能力l△m：2000A；</w:t>
            </w:r>
          </w:p>
          <w:p w14:paraId="13AFF5A3">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10.额定剩余动作电流l△n：30mA/AC型/电子式；</w:t>
            </w:r>
          </w:p>
          <w:p w14:paraId="33E24C65">
            <w:pPr>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11.电气寿命不少于25000次，机械寿命不少于25000次；</w:t>
            </w:r>
          </w:p>
          <w:p w14:paraId="0ED9352A">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12.具有标准RJ45网口、4G、WIFI、RS485、433M等多种通讯方式；</w:t>
            </w:r>
          </w:p>
          <w:p w14:paraId="51CDC536">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13.可在客户端软件显示电压值、电流值、温度值、功率值、用电回路电压频率、电量值、三相不平衡度；</w:t>
            </w:r>
          </w:p>
          <w:p w14:paraId="064CB01B">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14.可在本地通过拨码开关设置开启/关闭远程分闸/合闸功能；开启状态下，可在本地和远程客户端执行分闸/合闸操作；</w:t>
            </w:r>
          </w:p>
          <w:p w14:paraId="67AF6665">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15.具有3级过压（欠压）报警功能（预警、报警、报警联动分闸），可设置预警、报警阀值，当用电回路电压值超过设定阈值时，可在客户端给出预警/报警提示；设置报警联动分闸后，在触发报警同时可自动进行分闸操作。</w:t>
            </w:r>
          </w:p>
          <w:p w14:paraId="5BE2420C">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16.具有3级过流报警功能（预警、报警、报警联动分闸），可设置预警报警阈值，当用电回路电流值超过设定阈值时，可在客户端给出预警/报警提示；设置报警联动分闸后，在触发报警同时可自动进行分闸操作。</w:t>
            </w:r>
          </w:p>
          <w:p w14:paraId="0EA8F78B">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17.当设备接线端子处温度值超过设定的阈值时，可自动分闸并将报警信息上传客户端软件；可在平台软件设置过温报警阈值。</w:t>
            </w:r>
          </w:p>
          <w:p w14:paraId="038F2555">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18.具有3级剩余电流报警功能（预警报警、报警联动分闸），可设置预警、报警阈值，当用电回路出现剩余电流并超过设定阈值时，可在客户端给出预警/报警提示；设置报警联动分闸后，在触发报警同时可自动进行分闸操作。</w:t>
            </w:r>
          </w:p>
          <w:p w14:paraId="7AF70564">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19.用电回路发生过流、过压、欠压、过载（过功率）等事件时，可在客户端软件发出预警（报警）信息，并对用电回路分闸；</w:t>
            </w:r>
          </w:p>
          <w:p w14:paraId="640CF7C8">
            <w:pPr>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20.当用电回路出现线路虚接打火事件时，可在客户端软件显示报警信息；</w:t>
            </w:r>
          </w:p>
          <w:p w14:paraId="6A6AFB64">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21.可在客户端显示用电回路三相电压和三相电流的平衡度，当超过设定的电压或电流平衡度阈值时，可在客户端给出报警提示并可设置报警联动分闸操作；</w:t>
            </w:r>
          </w:p>
          <w:p w14:paraId="2BDC93AA">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22.当用电回路三相电中任意一相出现电压跌落时，可在客户端给出报警提示并可设置报警联动分闸操作；</w:t>
            </w:r>
          </w:p>
          <w:p w14:paraId="1EAB8B53">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23.不少于1个RS485接口，不少于1个状态指示灯。</w:t>
            </w:r>
          </w:p>
          <w:p w14:paraId="6E658392">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24.提供产品责任险。</w:t>
            </w:r>
          </w:p>
          <w:p w14:paraId="056E3428">
            <w:pPr>
              <w:jc w:val="left"/>
              <w:textAlignment w:val="center"/>
              <w:rPr>
                <w:rFonts w:ascii="宋体" w:hAnsi="宋体" w:eastAsia="宋体" w:cs="宋体"/>
                <w:b/>
                <w:bCs/>
                <w:color w:val="auto"/>
                <w:sz w:val="22"/>
                <w:szCs w:val="22"/>
              </w:rPr>
            </w:pPr>
            <w:r>
              <w:rPr>
                <w:rFonts w:hint="eastAsia" w:ascii="宋体" w:hAnsi="宋体" w:eastAsia="宋体" w:cs="宋体"/>
                <w:b/>
                <w:bCs/>
                <w:color w:val="auto"/>
                <w:sz w:val="22"/>
                <w:szCs w:val="22"/>
              </w:rPr>
              <w:t xml:space="preserve">四、单相智能断路器： </w:t>
            </w:r>
          </w:p>
          <w:p w14:paraId="579A6D26">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1.额定电流25A；</w:t>
            </w:r>
          </w:p>
          <w:p w14:paraId="08BBD067">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2.额定电压230V；</w:t>
            </w:r>
          </w:p>
          <w:p w14:paraId="60642B48">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3.极数1P；</w:t>
            </w:r>
          </w:p>
          <w:p w14:paraId="665BFCE0">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4.额定绝缘电压Ui：500V；</w:t>
            </w:r>
          </w:p>
          <w:p w14:paraId="5156D14B">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5.额定冲击耐受电压Uimp：4kV；</w:t>
            </w:r>
          </w:p>
          <w:p w14:paraId="770CC8A2">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6.额定短路分断能力Icn：6kA；</w:t>
            </w:r>
          </w:p>
          <w:p w14:paraId="79F4AC22">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7.额定运行短路能力Ics：6kA；</w:t>
            </w:r>
          </w:p>
          <w:p w14:paraId="22B440ED">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8.瞬时脱扣类型：C型；</w:t>
            </w:r>
          </w:p>
          <w:p w14:paraId="3FF35839">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9.电气寿命20000次，机械寿命20000次；</w:t>
            </w:r>
          </w:p>
          <w:p w14:paraId="46367278">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10.具有标准RJ45网口、4G、WIFI、RS485、433M等多种通讯方式；</w:t>
            </w:r>
          </w:p>
          <w:p w14:paraId="234872AD">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11.可在客户端软件显示电压值、电流值、温度值、功率值、用电回路电压频率、电量值；</w:t>
            </w:r>
          </w:p>
          <w:p w14:paraId="7A90D175">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12.可在本地通过拨码开关设置开启/关闭远程分闸/合闸功能；开启状态下，可在本地和远程客户端执行分闸/合闸操作；</w:t>
            </w:r>
          </w:p>
          <w:p w14:paraId="081C3861">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13.当用电回路电压值超过（或低于）设定阈值时，可在客户端给出报警提示：设置报警联动分闸后，在触发报警同时可自动进行分闸操作；可在客户端设置过压报警阈值，采集范围：AC160-AC280V；</w:t>
            </w:r>
          </w:p>
          <w:p w14:paraId="3FBB84B7">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14.当用电回路电流值超过设定阈值时，可在客户端给出报警提示；设置报警联动分闸后，在触发报警同时可自动进行分闸操作，采集范围：电流AC0A-AC80A；</w:t>
            </w:r>
          </w:p>
          <w:p w14:paraId="3C416A32">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15.当设备接线端子处温度值超过设定阈值时，可在客户端给出报警提示；设置报警联动分闸后，在触发报警同时可自动进行分闸操作，采集范围：0-100℃；</w:t>
            </w:r>
          </w:p>
          <w:p w14:paraId="3D4D41F4">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16.当用电回路发生过流、过压、欠压、过温、过载现象时，可在客户端给出预警（报警）提示；可在客户端设置预警阈值。</w:t>
            </w:r>
          </w:p>
          <w:p w14:paraId="0853DE95">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17.可通过客户端设置打火次数、电流阈值，当用电回路打火次数和电流值超过设定阈值时，可在客户端给出报警提示；设置报警联动分闸后，在触发报警同时可自动进行分闸操作。</w:t>
            </w:r>
          </w:p>
          <w:p w14:paraId="30D1C5B8">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18.不少于1个RS485接口，不少于1个状态指示灯。</w:t>
            </w:r>
          </w:p>
          <w:p w14:paraId="3623861D">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19.提供产品责任险。</w:t>
            </w:r>
          </w:p>
          <w:p w14:paraId="20EE0504">
            <w:pPr>
              <w:jc w:val="left"/>
              <w:textAlignment w:val="center"/>
              <w:rPr>
                <w:rFonts w:ascii="宋体" w:hAnsi="宋体" w:eastAsia="宋体" w:cs="宋体"/>
                <w:b/>
                <w:bCs/>
                <w:color w:val="auto"/>
                <w:sz w:val="22"/>
                <w:szCs w:val="22"/>
              </w:rPr>
            </w:pPr>
            <w:r>
              <w:rPr>
                <w:rFonts w:hint="eastAsia" w:ascii="宋体" w:hAnsi="宋体" w:eastAsia="宋体" w:cs="宋体"/>
                <w:b/>
                <w:bCs/>
                <w:color w:val="auto"/>
                <w:sz w:val="22"/>
                <w:szCs w:val="22"/>
              </w:rPr>
              <w:t xml:space="preserve">五、10寸分体式触摸屏： </w:t>
            </w:r>
          </w:p>
          <w:p w14:paraId="217C8284">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1.屏幕像素不低于1280*800，屏幕尺寸不小于10.1寸；</w:t>
            </w:r>
          </w:p>
          <w:p w14:paraId="4684CE90">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2.具有不少于4个USB接口、不少于1个RJ45网络接口、不少于1个HDMI接口。RJ45网络接口为10M/100M自适应网口；</w:t>
            </w:r>
          </w:p>
          <w:p w14:paraId="7D3EFDCC">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3.可接入10个智能断路器通讯网关并在读取其状态信息；可扩容至20个智能断路器通讯网关并在读取其状态信息；</w:t>
            </w:r>
          </w:p>
          <w:p w14:paraId="7641DAAB">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4.可设置智能断路器上班/下班分区点击上班可联动对应分区内的智能断路器合闸上电，点击下班可联动对应分区内的智能断路器分闸下电；</w:t>
            </w:r>
          </w:p>
          <w:p w14:paraId="304BD2A4">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5.可采集并显示智能断路器每条用电回路中的电流、电压、漏电流、功率、电量、温度等数据；</w:t>
            </w:r>
          </w:p>
          <w:p w14:paraId="4088F9B7">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6.可显示智能断路器通讯网关的工作状态，包括正常状态、报警状态、故障状态、通信异常状态；</w:t>
            </w:r>
          </w:p>
          <w:p w14:paraId="6890557E">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7.可控制智能断路器自动分/合闸时间，并可自定义设置自动分/合闸时间组合；</w:t>
            </w:r>
          </w:p>
          <w:p w14:paraId="69ED8CDF">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8.可将接入的智能断路器进行分组可对同一组内的智能断路器进行一键分/合闸操作；</w:t>
            </w:r>
          </w:p>
          <w:p w14:paraId="789567BD">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9.可通过网线与智能断路器通讯网关直连，并可接收预/报警信息、下发分组/定时策略、记录操作日志等</w:t>
            </w:r>
          </w:p>
          <w:p w14:paraId="4E98B19A">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10.具备设备同步功能，可与代理服务器同步设备信息和设备参数；</w:t>
            </w:r>
          </w:p>
          <w:p w14:paraId="0CC8DE5B">
            <w:pPr>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11.支持嵌入式安装。</w:t>
            </w:r>
          </w:p>
        </w:tc>
      </w:tr>
      <w:tr w14:paraId="103D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4" w:hRule="atLeast"/>
        </w:trPr>
        <w:tc>
          <w:tcPr>
            <w:tcW w:w="254" w:type="pct"/>
            <w:noWrap/>
            <w:vAlign w:val="center"/>
          </w:tcPr>
          <w:p w14:paraId="6DEB65BE">
            <w:pPr>
              <w:jc w:val="center"/>
              <w:textAlignment w:val="center"/>
              <w:rPr>
                <w:rFonts w:ascii="宋体" w:hAnsi="宋体" w:eastAsia="宋体" w:cs="宋体"/>
                <w:color w:val="auto"/>
                <w:sz w:val="22"/>
                <w:szCs w:val="22"/>
              </w:rPr>
            </w:pPr>
            <w:r>
              <w:rPr>
                <w:rFonts w:ascii="宋体" w:hAnsi="宋体" w:eastAsia="宋体" w:cs="宋体"/>
                <w:color w:val="auto"/>
                <w:sz w:val="22"/>
                <w:szCs w:val="22"/>
              </w:rPr>
              <w:t>9</w:t>
            </w:r>
          </w:p>
        </w:tc>
        <w:tc>
          <w:tcPr>
            <w:tcW w:w="452" w:type="pct"/>
            <w:noWrap/>
            <w:vAlign w:val="center"/>
          </w:tcPr>
          <w:p w14:paraId="62CE41A4">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电子教室软件</w:t>
            </w:r>
          </w:p>
        </w:tc>
        <w:tc>
          <w:tcPr>
            <w:tcW w:w="4293" w:type="pct"/>
            <w:noWrap/>
            <w:vAlign w:val="center"/>
          </w:tcPr>
          <w:p w14:paraId="3927672B">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1.支持屏幕广播功能，能够实现两种接收模式，包括学生全屏/窗口模式接收教师机广播的画面，全屏状态锁定学生鼠标和键盘；</w:t>
            </w:r>
          </w:p>
          <w:p w14:paraId="1CA7322F">
            <w:pPr>
              <w:jc w:val="left"/>
              <w:textAlignment w:val="center"/>
              <w:rPr>
                <w:rFonts w:ascii="宋体" w:hAnsi="宋体" w:eastAsia="宋体" w:cs="宋体"/>
                <w:color w:val="auto"/>
                <w:sz w:val="22"/>
                <w:szCs w:val="22"/>
              </w:rPr>
            </w:pPr>
            <w:r>
              <w:rPr>
                <w:rStyle w:val="321"/>
                <w:rFonts w:hint="default" w:ascii="宋体" w:hAnsi="宋体" w:eastAsia="宋体" w:cs="宋体"/>
                <w:color w:val="auto"/>
                <w:sz w:val="22"/>
                <w:szCs w:val="22"/>
              </w:rPr>
              <w:t>★</w:t>
            </w:r>
            <w:r>
              <w:rPr>
                <w:rFonts w:hint="eastAsia" w:ascii="宋体" w:hAnsi="宋体" w:eastAsia="宋体" w:cs="宋体"/>
                <w:color w:val="auto"/>
                <w:sz w:val="22"/>
                <w:szCs w:val="22"/>
              </w:rPr>
              <w:t>2.屏幕广播支持区域广播方式，教师端可选取一块区域广播给学生机；</w:t>
            </w:r>
            <w:r>
              <w:rPr>
                <w:rFonts w:hint="eastAsia" w:ascii="宋体" w:hAnsi="宋体" w:eastAsia="宋体" w:cs="宋体"/>
                <w:b/>
                <w:bCs/>
                <w:color w:val="auto"/>
                <w:sz w:val="22"/>
                <w:szCs w:val="22"/>
              </w:rPr>
              <w:t>(</w:t>
            </w:r>
            <w:r>
              <w:rPr>
                <w:rFonts w:hint="eastAsia" w:ascii="宋体" w:hAnsi="宋体" w:eastAsia="宋体" w:cs="宋体"/>
                <w:b/>
                <w:bCs/>
                <w:color w:val="auto"/>
                <w:sz w:val="22"/>
                <w:szCs w:val="22"/>
                <w:lang w:eastAsia="zh-CN"/>
              </w:rPr>
              <w:t>提供第三方权威机构出具CMA产品功能测试报告复印件或扫描件</w:t>
            </w:r>
            <w:r>
              <w:rPr>
                <w:rFonts w:hint="eastAsia" w:ascii="宋体" w:hAnsi="宋体" w:eastAsia="宋体" w:cs="宋体"/>
                <w:b/>
                <w:bCs/>
                <w:color w:val="auto"/>
                <w:sz w:val="22"/>
                <w:szCs w:val="22"/>
              </w:rPr>
              <w:t>)</w:t>
            </w:r>
          </w:p>
          <w:p w14:paraId="0AE4F260">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3.为便于教学互动，支持多人语音连麦，在屏幕广播状态下教师可自定义选择多个学生开启多人语音连麦。可按照开麦、闭麦、正在讲话三种状态来清晰显示所有语音连麦学生的麦克风状态。教师可对语音连麦学生进行批量管理，如开启/解除全体静音，也可批量设置学生机全体接入及全体断开；退出屏幕广播后，教师及学生也可进行语音互动及关闭语音连麦；</w:t>
            </w:r>
          </w:p>
          <w:p w14:paraId="7BE6ADDB">
            <w:pPr>
              <w:jc w:val="left"/>
              <w:textAlignment w:val="center"/>
              <w:rPr>
                <w:rFonts w:ascii="宋体" w:hAnsi="宋体" w:eastAsia="宋体"/>
                <w:color w:val="auto"/>
                <w:sz w:val="22"/>
                <w:szCs w:val="22"/>
              </w:rPr>
            </w:pPr>
            <w:r>
              <w:rPr>
                <w:rStyle w:val="321"/>
                <w:rFonts w:hint="default" w:ascii="宋体" w:hAnsi="宋体" w:eastAsia="宋体" w:cs="宋体"/>
                <w:color w:val="auto"/>
                <w:sz w:val="22"/>
                <w:szCs w:val="22"/>
              </w:rPr>
              <w:t>★</w:t>
            </w:r>
            <w:r>
              <w:rPr>
                <w:rFonts w:hint="eastAsia" w:ascii="宋体" w:hAnsi="宋体" w:eastAsia="宋体" w:cs="宋体"/>
                <w:color w:val="auto"/>
                <w:sz w:val="22"/>
                <w:szCs w:val="22"/>
              </w:rPr>
              <w:t>4.支持师生在屏幕广播期间发送弹幕进行双向互动，教师可将学生发送的弹幕进行置顶和引用，针对恶意弹幕教师可进行删除，在弹幕成员管理中可查看当前接入的所有学生以及发言状态，教师可将学生进行弹幕禁言及解禁操作，师生双方可发送指定表情进行更便捷的信息互动。退出屏幕广播后，教师可查看当前课程的所有弹幕记录；</w:t>
            </w:r>
            <w:r>
              <w:rPr>
                <w:rFonts w:hint="eastAsia" w:ascii="宋体" w:hAnsi="宋体" w:eastAsia="宋体"/>
                <w:b/>
                <w:bCs/>
                <w:color w:val="auto"/>
                <w:sz w:val="22"/>
                <w:szCs w:val="22"/>
              </w:rPr>
              <w:t>（提供操作功能截图）</w:t>
            </w:r>
          </w:p>
          <w:p w14:paraId="1F3215DB">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5.在屏幕广播之后连接上来的终端可直接接收屏幕广播内容，用户终端关闭虚拟桌面仍可同步广播教师机屏幕和视频，不会中断教学；</w:t>
            </w:r>
          </w:p>
          <w:p w14:paraId="260DF20B">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6.支持遥控转播，教师端可对单个学生机进行遥控并转播到其它学生机桌面；</w:t>
            </w:r>
          </w:p>
          <w:p w14:paraId="6343240A">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7.支持遥控监看，教师可选定个别学生或所有学生进行屏幕监控，控制时可锁定学生机，也可不锁定学生机；</w:t>
            </w:r>
          </w:p>
          <w:p w14:paraId="2393C82F">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8.教师机可以连续监看所选学生机屏幕，每屏可监视多个学生,可设置每屏学生机的数量以及学生机屏幕轮循的时间间隔；</w:t>
            </w:r>
          </w:p>
          <w:p w14:paraId="63611AA3">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9.上课过程中，老师可对学生奖励小红花，教师机可显示小红花奖励排行榜，显示每个学生的奖励数量，并可向学生发布奖励排行榜，提升学生参与感和学习兴趣；</w:t>
            </w:r>
          </w:p>
          <w:p w14:paraId="2745DB94">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10.教师机可控制学生机是否可开启麦克风进行对话，开启语音连麦后，教师和学生可通过麦克风对话，语音交流可被班级其它所有学生听到，便于课堂语音互动；</w:t>
            </w:r>
          </w:p>
          <w:p w14:paraId="397F9A5B">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11.教师可对学生进行电子点名，可以自定义院系、专业、班级等单位类别，可导入导出学生信息，可设置迟到时间，可显示签到人数；</w:t>
            </w:r>
          </w:p>
          <w:p w14:paraId="5C1CE84B">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12.支持保存电子点名信息为班级座位信息，老师可导入班级座位信息，将机房上机机位与学生信息进行绑定，便于学生来机房后使用固定位置上机；</w:t>
            </w:r>
          </w:p>
          <w:p w14:paraId="0E7FF493">
            <w:pPr>
              <w:jc w:val="left"/>
              <w:textAlignment w:val="center"/>
              <w:rPr>
                <w:rFonts w:ascii="宋体" w:hAnsi="宋体" w:eastAsia="宋体" w:cs="宋体"/>
                <w:color w:val="auto"/>
                <w:sz w:val="22"/>
                <w:szCs w:val="22"/>
              </w:rPr>
            </w:pPr>
            <w:r>
              <w:rPr>
                <w:rStyle w:val="321"/>
                <w:rFonts w:hint="default" w:ascii="宋体" w:hAnsi="宋体" w:eastAsia="宋体" w:cs="宋体"/>
                <w:color w:val="auto"/>
                <w:sz w:val="22"/>
                <w:szCs w:val="22"/>
              </w:rPr>
              <w:t>★</w:t>
            </w:r>
            <w:r>
              <w:rPr>
                <w:rFonts w:hint="eastAsia" w:ascii="宋体" w:hAnsi="宋体" w:eastAsia="宋体" w:cs="宋体"/>
                <w:color w:val="auto"/>
                <w:sz w:val="22"/>
                <w:szCs w:val="22"/>
              </w:rPr>
              <w:t>13.支持黑屏肃静，教师可对学生执行黑屏肃静操作，能够自定义黑屏肃静的提示信息，支持手动解锁、按时解锁、按时长解锁；</w:t>
            </w:r>
            <w:r>
              <w:rPr>
                <w:rFonts w:hint="eastAsia" w:ascii="宋体" w:hAnsi="宋体" w:eastAsia="宋体" w:cs="宋体"/>
                <w:b/>
                <w:bCs/>
                <w:color w:val="auto"/>
                <w:sz w:val="22"/>
                <w:szCs w:val="22"/>
              </w:rPr>
              <w:t>(</w:t>
            </w:r>
            <w:r>
              <w:rPr>
                <w:rFonts w:hint="eastAsia" w:ascii="宋体" w:hAnsi="宋体" w:eastAsia="宋体" w:cs="宋体"/>
                <w:b/>
                <w:bCs/>
                <w:color w:val="auto"/>
                <w:sz w:val="22"/>
                <w:szCs w:val="22"/>
                <w:lang w:eastAsia="zh-CN"/>
              </w:rPr>
              <w:t>提供第三方权威机构出具CMA产品功能测试报告复印件或扫描件</w:t>
            </w:r>
            <w:r>
              <w:rPr>
                <w:rFonts w:hint="eastAsia" w:ascii="宋体" w:hAnsi="宋体" w:eastAsia="宋体" w:cs="宋体"/>
                <w:b/>
                <w:bCs/>
                <w:color w:val="auto"/>
                <w:sz w:val="22"/>
                <w:szCs w:val="22"/>
              </w:rPr>
              <w:t>)</w:t>
            </w:r>
          </w:p>
          <w:p w14:paraId="1516CFB3">
            <w:pPr>
              <w:numPr>
                <w:ilvl w:val="0"/>
                <w:numId w:val="0"/>
              </w:numPr>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支持电子白板功能，可用电子白版进行绘制演示，并可共享到学生机，支持教师和学生协作共同通过电子白版进行知识总结、画面制作等；</w:t>
            </w:r>
          </w:p>
          <w:p w14:paraId="628662ED">
            <w:pPr>
              <w:numPr>
                <w:ilvl w:val="0"/>
                <w:numId w:val="0"/>
              </w:numPr>
              <w:jc w:val="left"/>
              <w:textAlignment w:val="center"/>
              <w:rPr>
                <w:rFonts w:hint="eastAsia" w:ascii="宋体" w:hAnsi="宋体" w:cs="宋体"/>
                <w:color w:val="auto"/>
                <w:sz w:val="22"/>
                <w:szCs w:val="22"/>
              </w:rPr>
            </w:pPr>
            <w:r>
              <w:rPr>
                <w:rFonts w:hint="eastAsia" w:ascii="宋体" w:hAnsi="宋体" w:cs="宋体"/>
                <w:color w:val="auto"/>
                <w:sz w:val="22"/>
                <w:szCs w:val="22"/>
                <w:lang w:val="en-US" w:eastAsia="zh-CN"/>
              </w:rPr>
              <w:t>注：</w:t>
            </w:r>
            <w:r>
              <w:rPr>
                <w:rFonts w:hint="eastAsia" w:ascii="宋体" w:hAnsi="宋体" w:cs="宋体"/>
                <w:color w:val="auto"/>
                <w:sz w:val="22"/>
                <w:szCs w:val="22"/>
              </w:rPr>
              <w:t>CMA产品功能测试报告测试依据</w:t>
            </w:r>
            <w:r>
              <w:rPr>
                <w:rFonts w:hint="eastAsia" w:ascii="宋体" w:hAnsi="宋体" w:cs="宋体"/>
                <w:color w:val="auto"/>
                <w:sz w:val="22"/>
                <w:szCs w:val="22"/>
                <w:lang w:eastAsia="zh-CN"/>
              </w:rPr>
              <w:t>：</w:t>
            </w:r>
            <w:r>
              <w:rPr>
                <w:rFonts w:hint="eastAsia" w:ascii="宋体" w:hAnsi="宋体" w:cs="宋体"/>
                <w:color w:val="auto"/>
                <w:sz w:val="22"/>
                <w:szCs w:val="22"/>
              </w:rPr>
              <w:t>GB/T25000.51-2016:《系统与软件工程系统与软件质量要求和评价(SQuaRE) 第51部分:就绪可用软件产品RUSP)的质量要求和测试细则》</w:t>
            </w:r>
            <w:r>
              <w:rPr>
                <w:rFonts w:hint="eastAsia" w:ascii="宋体" w:hAnsi="宋体" w:cs="宋体"/>
                <w:color w:val="auto"/>
                <w:sz w:val="22"/>
                <w:szCs w:val="22"/>
                <w:lang w:eastAsia="zh-CN"/>
              </w:rPr>
              <w:t>；</w:t>
            </w:r>
          </w:p>
          <w:p w14:paraId="326D9678">
            <w:pPr>
              <w:numPr>
                <w:ilvl w:val="0"/>
                <w:numId w:val="0"/>
              </w:numPr>
              <w:jc w:val="left"/>
              <w:textAlignment w:val="center"/>
              <w:rPr>
                <w:rFonts w:hint="eastAsia" w:ascii="宋体" w:hAnsi="宋体" w:eastAsia="宋体" w:cs="宋体"/>
                <w:color w:val="auto"/>
                <w:sz w:val="22"/>
                <w:szCs w:val="22"/>
                <w:lang w:val="en-US" w:eastAsia="zh-CN"/>
              </w:rPr>
            </w:pPr>
            <w:r>
              <w:rPr>
                <w:rFonts w:hint="eastAsia" w:ascii="宋体" w:hAnsi="宋体" w:cs="宋体"/>
                <w:color w:val="auto"/>
                <w:sz w:val="22"/>
                <w:szCs w:val="22"/>
              </w:rPr>
              <w:t>GB/T25000.10-2016:《系统与软件工程系统与软件质量要求和评价(SQuaRE) 第10部分:系统与软件质量模型》</w:t>
            </w:r>
          </w:p>
        </w:tc>
      </w:tr>
      <w:bookmarkEnd w:id="40"/>
      <w:tr w14:paraId="36E0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noWrap/>
            <w:vAlign w:val="center"/>
          </w:tcPr>
          <w:p w14:paraId="74B6A0A0">
            <w:pPr>
              <w:jc w:val="center"/>
              <w:textAlignment w:val="center"/>
              <w:rPr>
                <w:rFonts w:ascii="宋体" w:hAnsi="宋体" w:eastAsia="宋体" w:cs="宋体"/>
                <w:color w:val="auto"/>
                <w:sz w:val="22"/>
                <w:szCs w:val="22"/>
              </w:rPr>
            </w:pPr>
            <w:r>
              <w:rPr>
                <w:rFonts w:ascii="宋体" w:hAnsi="宋体" w:eastAsia="宋体" w:cs="宋体"/>
                <w:color w:val="auto"/>
                <w:sz w:val="22"/>
                <w:szCs w:val="22"/>
              </w:rPr>
              <w:t>10</w:t>
            </w:r>
          </w:p>
        </w:tc>
        <w:tc>
          <w:tcPr>
            <w:tcW w:w="452" w:type="pct"/>
            <w:noWrap/>
            <w:vAlign w:val="center"/>
          </w:tcPr>
          <w:p w14:paraId="56DEB2E8">
            <w:pPr>
              <w:jc w:val="center"/>
              <w:textAlignment w:val="center"/>
              <w:rPr>
                <w:rFonts w:ascii="宋体" w:hAnsi="宋体" w:eastAsia="宋体" w:cs="宋体"/>
                <w:b/>
                <w:color w:val="auto"/>
                <w:sz w:val="22"/>
                <w:szCs w:val="22"/>
              </w:rPr>
            </w:pPr>
            <w:r>
              <w:rPr>
                <w:rFonts w:hint="eastAsia" w:ascii="宋体" w:hAnsi="宋体" w:eastAsia="宋体" w:cs="宋体"/>
                <w:color w:val="auto"/>
                <w:sz w:val="22"/>
                <w:szCs w:val="22"/>
              </w:rPr>
              <w:t>交换机</w:t>
            </w:r>
          </w:p>
        </w:tc>
        <w:tc>
          <w:tcPr>
            <w:tcW w:w="4293" w:type="pct"/>
            <w:noWrap/>
            <w:vAlign w:val="center"/>
          </w:tcPr>
          <w:p w14:paraId="2E37C33E">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1.传输速率:不低于10/100/1000Mbps，10000Mbps</w:t>
            </w:r>
          </w:p>
          <w:p w14:paraId="2A87D0BE">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2.交换方式:存储-转发</w:t>
            </w:r>
          </w:p>
          <w:p w14:paraId="4FBDAAC0">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3背板带宽:不低于336Gbps</w:t>
            </w:r>
          </w:p>
          <w:p w14:paraId="1BF448C6">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4包转发率:不低于132Mpps</w:t>
            </w:r>
          </w:p>
          <w:p w14:paraId="2932F142">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5端口参数</w:t>
            </w:r>
          </w:p>
          <w:p w14:paraId="2AE2CC31">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（1）端口结构:非模块化</w:t>
            </w:r>
          </w:p>
          <w:p w14:paraId="1AAC6C7F">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（2）端口数量:不少于52个，满足多设备接入需求；</w:t>
            </w:r>
          </w:p>
          <w:p w14:paraId="0EA06DA5">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（3）端口描述:包含48个10/100/1000TX以太网端口+4个SFP+端口</w:t>
            </w:r>
          </w:p>
          <w:p w14:paraId="19008129">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（4）传输模式:支持全双工/半双工自适应</w:t>
            </w:r>
          </w:p>
          <w:p w14:paraId="6D68D60D">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（5）网络标准:IEEE 802.3，IEEE 802.3u，IEEE 802.3ab，IEEE 802.3z，IEEE 802.3x</w:t>
            </w:r>
          </w:p>
        </w:tc>
      </w:tr>
      <w:tr w14:paraId="50E2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noWrap/>
            <w:vAlign w:val="center"/>
          </w:tcPr>
          <w:p w14:paraId="72E29CF1">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1</w:t>
            </w:r>
            <w:r>
              <w:rPr>
                <w:rFonts w:ascii="宋体" w:hAnsi="宋体" w:eastAsia="宋体" w:cs="宋体"/>
                <w:color w:val="auto"/>
                <w:sz w:val="22"/>
                <w:szCs w:val="22"/>
              </w:rPr>
              <w:t>1</w:t>
            </w:r>
          </w:p>
        </w:tc>
        <w:tc>
          <w:tcPr>
            <w:tcW w:w="452" w:type="pct"/>
            <w:noWrap/>
            <w:vAlign w:val="center"/>
          </w:tcPr>
          <w:p w14:paraId="1F6757A5">
            <w:pPr>
              <w:jc w:val="center"/>
              <w:textAlignment w:val="center"/>
              <w:rPr>
                <w:rFonts w:ascii="宋体" w:hAnsi="宋体" w:eastAsia="宋体" w:cs="宋体"/>
                <w:b/>
                <w:color w:val="auto"/>
                <w:sz w:val="22"/>
                <w:szCs w:val="22"/>
              </w:rPr>
            </w:pPr>
            <w:r>
              <w:rPr>
                <w:rFonts w:hint="eastAsia" w:ascii="宋体" w:hAnsi="宋体" w:eastAsia="宋体" w:cs="宋体"/>
                <w:color w:val="auto"/>
                <w:sz w:val="22"/>
                <w:szCs w:val="22"/>
              </w:rPr>
              <w:t>实训桌1</w:t>
            </w:r>
          </w:p>
        </w:tc>
        <w:tc>
          <w:tcPr>
            <w:tcW w:w="4293" w:type="pct"/>
            <w:noWrap/>
            <w:vAlign w:val="center"/>
          </w:tcPr>
          <w:p w14:paraId="175EAE5A">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钢木结构，桌子要求实现内部隐藏走线</w:t>
            </w:r>
          </w:p>
          <w:p w14:paraId="7204C3CD">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b/>
                <w:bCs/>
                <w:color w:val="auto"/>
                <w:sz w:val="22"/>
                <w:szCs w:val="22"/>
              </w:rPr>
              <w:t>．</w:t>
            </w:r>
            <w:r>
              <w:rPr>
                <w:rFonts w:hint="eastAsia" w:ascii="宋体" w:hAnsi="宋体" w:eastAsia="宋体" w:cs="宋体"/>
                <w:color w:val="auto"/>
                <w:sz w:val="22"/>
                <w:szCs w:val="22"/>
              </w:rPr>
              <w:t>尺寸规格（长×宽×高）：四人位尺寸1600mm×1400mm×750mm（±5mm)（单人位尺寸800mm×700mm×750mm（±5mm)、双人位1600mm×700mm×750mm（±5mm)、三人位2400mm×700mm×750mm（±5mm)、六人位2400mm×1400mm×750mm（±5mm)，按照采购人现场实际需求定制）</w:t>
            </w:r>
          </w:p>
          <w:p w14:paraId="67829A66">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2． 桌面：采用≥25mm 厚的E0级刨花板，甲醛释放量≤0.05mg/m³，表面浸渍胶膜纸饰面，封边条采用 PVC 封边，厚度≥1.5mm，胶水采用热熔胶，敞开式和隐蔽式的截面均应做到处理颜色多色可选或提供样品色定制；</w:t>
            </w:r>
          </w:p>
          <w:p w14:paraId="02E6FFDE">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3．桌面挡板：尺寸≥700mm*40mm*280mm（±5mm),中间钢管材料制作，内部空心，可以穿线，外部采用免漆板装饰，挡板上配备≥2个五孔电源插座；</w:t>
            </w:r>
          </w:p>
          <w:p w14:paraId="7B5288B3">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4．显示器支架：安装与桌面挡板上，可以万向调节角度；</w:t>
            </w:r>
          </w:p>
          <w:p w14:paraId="123D5E65">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5．桌腿：采用≥60*30mm壁厚≥1.0mm椭圆管加工而成，离地300mm处向下斜边收窄，桌架框架采用≥50*25mm壁厚≥1.0mm的方管材料，底部具有走线槽，走线槽采用冷轧钢、焊接、打磨而成，表面高温静电喷涂；</w:t>
            </w:r>
          </w:p>
          <w:p w14:paraId="4AF6FF99">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6．桌面显示器下方具有键盘收纳槽，可以用于收纳键盘和鼠标；</w:t>
            </w:r>
          </w:p>
          <w:p w14:paraId="6ADF53B5">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7．桌子的下方具有主机托，可容纳1个主机放置，材料采用≥1.0mm 厚的冷轧钢，经折边焊接打磨而成，表面高温静电喷涂，机箱两侧配有散热孔；</w:t>
            </w:r>
          </w:p>
          <w:p w14:paraId="60164B23">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8．地面进线口位于主机托正下方，可以遮挡地面进行插座；</w:t>
            </w:r>
          </w:p>
          <w:p w14:paraId="793EA360">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9. 脚垫：采用软胶脚垫，装饰脚管的同时实现防滑，保护地面的作用。</w:t>
            </w:r>
          </w:p>
          <w:p w14:paraId="11278746">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10.支持不同颜色定制，按照最终需求提供产品。</w:t>
            </w:r>
          </w:p>
          <w:p w14:paraId="14056AF8">
            <w:pPr>
              <w:pStyle w:val="59"/>
              <w:rPr>
                <w:rFonts w:ascii="宋体" w:hAnsi="宋体" w:eastAsia="宋体" w:cs="宋体"/>
                <w:color w:val="auto"/>
                <w:sz w:val="22"/>
                <w:szCs w:val="22"/>
                <w:lang w:val="en-US"/>
              </w:rPr>
            </w:pPr>
            <w:r>
              <w:rPr>
                <w:rFonts w:hint="eastAsia" w:ascii="宋体" w:hAnsi="宋体" w:eastAsia="宋体" w:cs="宋体"/>
                <w:color w:val="auto"/>
                <w:sz w:val="22"/>
                <w:szCs w:val="22"/>
                <w:lang w:val="en-US"/>
              </w:rPr>
              <w:t>四人位参考图如下：</w:t>
            </w:r>
          </w:p>
          <w:p w14:paraId="4E6E7FD7">
            <w:pPr>
              <w:rPr>
                <w:rFonts w:ascii="宋体" w:hAnsi="宋体" w:eastAsia="宋体"/>
                <w:color w:val="auto"/>
                <w:sz w:val="22"/>
                <w:szCs w:val="22"/>
              </w:rPr>
            </w:pPr>
            <w:r>
              <w:rPr>
                <w:rFonts w:hint="eastAsia" w:ascii="宋体" w:hAnsi="宋体" w:eastAsia="宋体" w:cs="宋体"/>
                <w:color w:val="auto"/>
                <w:sz w:val="22"/>
                <w:szCs w:val="22"/>
              </w:rPr>
              <w:drawing>
                <wp:inline distT="0" distB="0" distL="0" distR="0">
                  <wp:extent cx="4220845" cy="2375535"/>
                  <wp:effectExtent l="0" t="0" r="8255" b="5715"/>
                  <wp:docPr id="1026" name="图片 9" descr="dd596b7eee61088fac656ff753ba2a57"/>
                  <wp:cNvGraphicFramePr/>
                  <a:graphic xmlns:a="http://schemas.openxmlformats.org/drawingml/2006/main">
                    <a:graphicData uri="http://schemas.openxmlformats.org/drawingml/2006/picture">
                      <pic:pic xmlns:pic="http://schemas.openxmlformats.org/drawingml/2006/picture">
                        <pic:nvPicPr>
                          <pic:cNvPr id="1026" name="图片 9" descr="dd596b7eee61088fac656ff753ba2a57"/>
                          <pic:cNvPicPr/>
                        </pic:nvPicPr>
                        <pic:blipFill>
                          <a:blip r:embed="rId26" cstate="print"/>
                          <a:srcRect/>
                          <a:stretch>
                            <a:fillRect/>
                          </a:stretch>
                        </pic:blipFill>
                        <pic:spPr>
                          <a:xfrm>
                            <a:off x="0" y="0"/>
                            <a:ext cx="4220845" cy="2375535"/>
                          </a:xfrm>
                          <a:prstGeom prst="rect">
                            <a:avLst/>
                          </a:prstGeom>
                        </pic:spPr>
                      </pic:pic>
                    </a:graphicData>
                  </a:graphic>
                </wp:inline>
              </w:drawing>
            </w:r>
          </w:p>
        </w:tc>
      </w:tr>
      <w:tr w14:paraId="01D5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noWrap/>
            <w:vAlign w:val="center"/>
          </w:tcPr>
          <w:p w14:paraId="01307AE6">
            <w:pPr>
              <w:jc w:val="center"/>
              <w:textAlignment w:val="center"/>
              <w:rPr>
                <w:rFonts w:hint="eastAsia" w:ascii="宋体" w:hAnsi="宋体" w:eastAsia="宋体" w:cs="宋体"/>
                <w:color w:val="auto"/>
                <w:sz w:val="22"/>
                <w:szCs w:val="22"/>
                <w:lang w:eastAsia="zh-CN"/>
              </w:rPr>
            </w:pPr>
            <w:r>
              <w:rPr>
                <w:rFonts w:ascii="宋体" w:hAnsi="宋体" w:eastAsia="宋体" w:cs="宋体"/>
                <w:color w:val="auto"/>
                <w:sz w:val="22"/>
                <w:szCs w:val="22"/>
              </w:rPr>
              <w:t>1</w:t>
            </w:r>
            <w:r>
              <w:rPr>
                <w:rFonts w:hint="eastAsia" w:ascii="宋体" w:hAnsi="宋体" w:cs="宋体"/>
                <w:color w:val="auto"/>
                <w:sz w:val="22"/>
                <w:szCs w:val="22"/>
                <w:lang w:val="en-US" w:eastAsia="zh-CN"/>
              </w:rPr>
              <w:t>2</w:t>
            </w:r>
          </w:p>
        </w:tc>
        <w:tc>
          <w:tcPr>
            <w:tcW w:w="452" w:type="pct"/>
            <w:noWrap/>
            <w:vAlign w:val="center"/>
          </w:tcPr>
          <w:p w14:paraId="08973BAC">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实训桌2</w:t>
            </w:r>
          </w:p>
        </w:tc>
        <w:tc>
          <w:tcPr>
            <w:tcW w:w="4293" w:type="pct"/>
            <w:noWrap/>
            <w:vAlign w:val="center"/>
          </w:tcPr>
          <w:p w14:paraId="4436871A">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钢木结构，桌子要求实现内部隐藏走线</w:t>
            </w:r>
          </w:p>
          <w:p w14:paraId="0D590DA6">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▲1．尺寸规格（长×宽×高）：双人位尺寸1600mm×700mm×750mm（±5mm)（单人位尺寸800mm×700mm×750mm（±5mm)，按照采购人现场实际需求定制）</w:t>
            </w:r>
          </w:p>
          <w:p w14:paraId="225A32BB">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2．桌板：采用≥25mm 厚的E0级刨花板，甲醛释放量≤0.05mg/m³，表面浸渍胶膜纸饰面，封边条采用厚度≥1.5mm PVC 封边，有效防止碰撞及长时间使用后的脱落问题，封边胶水采用热熔胶，敞开式和隐蔽式的截面均做到处理；</w:t>
            </w:r>
          </w:p>
          <w:p w14:paraId="3AAD54CF">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3. 桌面前方以及左右两侧有一圈≥150mm的围挡，防止电脑跌落；围挡上配备≥2个五孔电源插座</w:t>
            </w:r>
          </w:p>
          <w:p w14:paraId="766661A4">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4．桌架两侧：采用≥50*20mm壁厚≥1.0mm冷轧钢材料，经切割、打磨、焊接而成，桌架半边通透设计，其余采用≥1.0mm冷轧钢板固定并打孔,表面脱脂、水洗、酸洗、水洗中和、表调、磷化、干燥等处理；</w:t>
            </w:r>
          </w:p>
          <w:p w14:paraId="1E69AE9B">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5．前挡：采用≥1.0mm厚冷轧钢板，中间配置≥50mm*20mm方形钢管，以防前挡板变形，下方打孔洞散热；</w:t>
            </w:r>
          </w:p>
          <w:p w14:paraId="2AB992DC">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6．主机箱：采用厚度≥1.0mm 厚冷轧钢材料，经折边成“L”型与两侧桌架固定相连，内部尺寸≥220mm*500mm*400mm，可配置一台电脑主机；</w:t>
            </w:r>
          </w:p>
          <w:p w14:paraId="7B1F7755">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7．脚垫采用软胶脚垫，装饰脚管的同时实现防滑、调节水平、 保护地面的作用。</w:t>
            </w:r>
          </w:p>
          <w:p w14:paraId="56E22FC2">
            <w:pPr>
              <w:pStyle w:val="59"/>
              <w:rPr>
                <w:rFonts w:ascii="宋体" w:hAnsi="宋体" w:eastAsia="宋体"/>
                <w:color w:val="auto"/>
                <w:sz w:val="22"/>
                <w:szCs w:val="22"/>
                <w:lang w:val="en-US"/>
              </w:rPr>
            </w:pPr>
            <w:r>
              <w:rPr>
                <w:rFonts w:hint="eastAsia" w:ascii="宋体" w:hAnsi="宋体" w:eastAsia="宋体" w:cs="宋体"/>
                <w:color w:val="auto"/>
                <w:sz w:val="22"/>
                <w:szCs w:val="22"/>
                <w:lang w:val="en-US"/>
              </w:rPr>
              <w:t>双人位参考图如下：</w:t>
            </w:r>
          </w:p>
          <w:p w14:paraId="1A130678">
            <w:pPr>
              <w:pStyle w:val="59"/>
              <w:rPr>
                <w:rFonts w:ascii="宋体" w:hAnsi="宋体" w:eastAsia="宋体"/>
                <w:color w:val="auto"/>
                <w:sz w:val="22"/>
                <w:szCs w:val="22"/>
              </w:rPr>
            </w:pPr>
            <w:r>
              <w:rPr>
                <w:rFonts w:hint="eastAsia" w:ascii="宋体" w:hAnsi="宋体" w:eastAsia="宋体" w:cs="宋体"/>
                <w:color w:val="auto"/>
                <w:sz w:val="22"/>
                <w:szCs w:val="22"/>
                <w:lang w:val="en-US"/>
              </w:rPr>
              <w:drawing>
                <wp:inline distT="0" distB="0" distL="0" distR="0">
                  <wp:extent cx="4173855" cy="2365375"/>
                  <wp:effectExtent l="0" t="0" r="16510" b="15875"/>
                  <wp:docPr id="1027" name="图片 10" descr="80818aa6b345e186bfa649217ab91b73"/>
                  <wp:cNvGraphicFramePr/>
                  <a:graphic xmlns:a="http://schemas.openxmlformats.org/drawingml/2006/main">
                    <a:graphicData uri="http://schemas.openxmlformats.org/drawingml/2006/picture">
                      <pic:pic xmlns:pic="http://schemas.openxmlformats.org/drawingml/2006/picture">
                        <pic:nvPicPr>
                          <pic:cNvPr id="1027" name="图片 10" descr="80818aa6b345e186bfa649217ab91b73"/>
                          <pic:cNvPicPr/>
                        </pic:nvPicPr>
                        <pic:blipFill>
                          <a:blip r:embed="rId27" cstate="print"/>
                          <a:srcRect/>
                          <a:stretch>
                            <a:fillRect/>
                          </a:stretch>
                        </pic:blipFill>
                        <pic:spPr>
                          <a:xfrm>
                            <a:off x="0" y="0"/>
                            <a:ext cx="4173855" cy="2365375"/>
                          </a:xfrm>
                          <a:prstGeom prst="rect">
                            <a:avLst/>
                          </a:prstGeom>
                        </pic:spPr>
                      </pic:pic>
                    </a:graphicData>
                  </a:graphic>
                </wp:inline>
              </w:drawing>
            </w:r>
          </w:p>
        </w:tc>
      </w:tr>
      <w:tr w14:paraId="031C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noWrap/>
            <w:vAlign w:val="center"/>
          </w:tcPr>
          <w:p w14:paraId="7BD167DE">
            <w:pPr>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rPr>
              <w:t>1</w:t>
            </w:r>
            <w:r>
              <w:rPr>
                <w:rFonts w:hint="eastAsia" w:ascii="宋体" w:hAnsi="宋体" w:cs="宋体"/>
                <w:color w:val="auto"/>
                <w:sz w:val="22"/>
                <w:szCs w:val="22"/>
                <w:lang w:val="en-US" w:eastAsia="zh-CN"/>
              </w:rPr>
              <w:t>3</w:t>
            </w:r>
          </w:p>
        </w:tc>
        <w:tc>
          <w:tcPr>
            <w:tcW w:w="452" w:type="pct"/>
            <w:noWrap/>
            <w:vAlign w:val="center"/>
          </w:tcPr>
          <w:p w14:paraId="007331E1">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教师椅</w:t>
            </w:r>
          </w:p>
        </w:tc>
        <w:tc>
          <w:tcPr>
            <w:tcW w:w="4293" w:type="pct"/>
            <w:noWrap/>
            <w:vAlign w:val="center"/>
          </w:tcPr>
          <w:p w14:paraId="4DCE2072">
            <w:pPr>
              <w:numPr>
                <w:ilvl w:val="0"/>
                <w:numId w:val="5"/>
              </w:numPr>
              <w:ind w:firstLine="0"/>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功能：G弧设计，工学椅背。</w:t>
            </w:r>
          </w:p>
          <w:p w14:paraId="6CF2D3FA">
            <w:pPr>
              <w:numPr>
                <w:ilvl w:val="0"/>
                <w:numId w:val="5"/>
              </w:numPr>
              <w:ind w:firstLine="0"/>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坐垫：加厚海绵坐垫，强面支撑，坐感受力均匀。</w:t>
            </w:r>
          </w:p>
          <w:p w14:paraId="06FF3EBC">
            <w:pPr>
              <w:numPr>
                <w:ilvl w:val="0"/>
                <w:numId w:val="5"/>
              </w:numPr>
              <w:ind w:firstLine="0"/>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椅背：椅背采用包裹式设计。</w:t>
            </w:r>
          </w:p>
          <w:p w14:paraId="1106171F">
            <w:pPr>
              <w:numPr>
                <w:ilvl w:val="0"/>
                <w:numId w:val="5"/>
              </w:numPr>
              <w:ind w:firstLine="0"/>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扶手：固定扶手，采用pp材质，流线型坚固承重连体扶手。</w:t>
            </w:r>
          </w:p>
          <w:p w14:paraId="6799BE1A">
            <w:pPr>
              <w:numPr>
                <w:ilvl w:val="0"/>
                <w:numId w:val="5"/>
              </w:numPr>
              <w:ind w:firstLine="0"/>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气杆：采用三级气杆。</w:t>
            </w:r>
          </w:p>
          <w:p w14:paraId="0601BB73">
            <w:pPr>
              <w:numPr>
                <w:ilvl w:val="0"/>
                <w:numId w:val="5"/>
              </w:numPr>
              <w:ind w:firstLine="0"/>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底盘：加厚防暴底盘，支持一键升降。</w:t>
            </w:r>
          </w:p>
          <w:p w14:paraId="65FD02BF">
            <w:pPr>
              <w:numPr>
                <w:ilvl w:val="0"/>
                <w:numId w:val="5"/>
              </w:numPr>
              <w:ind w:firstLine="0"/>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椅脚：黑色喷塑弧形脚（承重≥100kg）。</w:t>
            </w:r>
          </w:p>
          <w:p w14:paraId="0A8F5A28">
            <w:pPr>
              <w:numPr>
                <w:ilvl w:val="0"/>
                <w:numId w:val="5"/>
              </w:numPr>
              <w:ind w:firstLine="0"/>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轮子：万向静音椅轮，支持360度旋转，不伤地板。</w:t>
            </w:r>
          </w:p>
          <w:p w14:paraId="2FCFB2E6">
            <w:pPr>
              <w:numPr>
                <w:ilvl w:val="0"/>
                <w:numId w:val="5"/>
              </w:numPr>
              <w:ind w:firstLine="0"/>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支持不同颜色定制，按照最终需求提供产品。</w:t>
            </w:r>
          </w:p>
          <w:p w14:paraId="7DD8D933">
            <w:pPr>
              <w:pStyle w:val="59"/>
              <w:rPr>
                <w:rFonts w:ascii="宋体" w:hAnsi="宋体" w:eastAsia="宋体"/>
                <w:color w:val="auto"/>
                <w:sz w:val="22"/>
                <w:szCs w:val="22"/>
                <w:lang w:val="en-US"/>
              </w:rPr>
            </w:pPr>
            <w:r>
              <w:rPr>
                <w:rFonts w:hint="eastAsia" w:ascii="宋体" w:hAnsi="宋体" w:eastAsia="宋体"/>
                <w:color w:val="auto"/>
                <w:sz w:val="22"/>
                <w:szCs w:val="22"/>
                <w:lang w:val="en-US"/>
              </w:rPr>
              <w:t>参考图如下：</w:t>
            </w:r>
          </w:p>
          <w:p w14:paraId="3AE34FE2">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drawing>
                <wp:inline distT="0" distB="0" distL="0" distR="0">
                  <wp:extent cx="1183005" cy="1565275"/>
                  <wp:effectExtent l="0" t="0" r="17145" b="15875"/>
                  <wp:docPr id="1028" name="图片 8" descr="66bfe4a772fdda798041f91cbac97c81"/>
                  <wp:cNvGraphicFramePr/>
                  <a:graphic xmlns:a="http://schemas.openxmlformats.org/drawingml/2006/main">
                    <a:graphicData uri="http://schemas.openxmlformats.org/drawingml/2006/picture">
                      <pic:pic xmlns:pic="http://schemas.openxmlformats.org/drawingml/2006/picture">
                        <pic:nvPicPr>
                          <pic:cNvPr id="1028" name="图片 8" descr="66bfe4a772fdda798041f91cbac97c81"/>
                          <pic:cNvPicPr/>
                        </pic:nvPicPr>
                        <pic:blipFill>
                          <a:blip r:embed="rId28" cstate="print"/>
                          <a:srcRect/>
                          <a:stretch>
                            <a:fillRect/>
                          </a:stretch>
                        </pic:blipFill>
                        <pic:spPr>
                          <a:xfrm>
                            <a:off x="0" y="0"/>
                            <a:ext cx="1183005" cy="1565275"/>
                          </a:xfrm>
                          <a:prstGeom prst="rect">
                            <a:avLst/>
                          </a:prstGeom>
                        </pic:spPr>
                      </pic:pic>
                    </a:graphicData>
                  </a:graphic>
                </wp:inline>
              </w:drawing>
            </w:r>
          </w:p>
        </w:tc>
      </w:tr>
      <w:tr w14:paraId="0C82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noWrap/>
            <w:vAlign w:val="center"/>
          </w:tcPr>
          <w:p w14:paraId="023EEBEC">
            <w:pPr>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rPr>
              <w:t>1</w:t>
            </w:r>
            <w:r>
              <w:rPr>
                <w:rFonts w:hint="eastAsia" w:ascii="宋体" w:hAnsi="宋体" w:cs="宋体"/>
                <w:color w:val="auto"/>
                <w:sz w:val="22"/>
                <w:szCs w:val="22"/>
                <w:lang w:val="en-US" w:eastAsia="zh-CN"/>
              </w:rPr>
              <w:t>4</w:t>
            </w:r>
          </w:p>
        </w:tc>
        <w:tc>
          <w:tcPr>
            <w:tcW w:w="452" w:type="pct"/>
            <w:noWrap/>
            <w:vAlign w:val="center"/>
          </w:tcPr>
          <w:p w14:paraId="3E477575">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实训椅</w:t>
            </w:r>
          </w:p>
        </w:tc>
        <w:tc>
          <w:tcPr>
            <w:tcW w:w="4293" w:type="pct"/>
            <w:noWrap/>
            <w:vAlign w:val="center"/>
          </w:tcPr>
          <w:p w14:paraId="100CF0A4">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1.椅身：采用聚丙烯加玻璃纤维,三部分组成（座面、椅背、装饰盖），具有拆卸功能；</w:t>
            </w:r>
          </w:p>
          <w:p w14:paraId="03B7DF92">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2.座面：宽≥440mm,背宽≥400mm，座深≥430mm，背高≥470mm；</w:t>
            </w:r>
          </w:p>
          <w:p w14:paraId="61AAF450">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3.装饰盖：装饰壳上端≥350mm,下端≥270mm,高度≥200mm,卡扣式安装加隐藏式螺丝固定；</w:t>
            </w:r>
          </w:p>
          <w:p w14:paraId="75B3AA18">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4.椅背：靠背整体高≥390mm，弧长≥420mm,贴合人体坐感舒适；</w:t>
            </w:r>
          </w:p>
          <w:p w14:paraId="0A07C007">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5.挂钩：拆卸式挂钩，可以承重≥5公斤；</w:t>
            </w:r>
          </w:p>
          <w:p w14:paraId="22AC9B65">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6.椅脚：钢架采用φ19mm壁厚≥1.5mm的电镀脚架，表面静电喷涂，具有耐磨，防腐，抗老化等性能；固定脚垫采用PE制作；</w:t>
            </w:r>
          </w:p>
          <w:p w14:paraId="04F14BA6">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7.功能：整椅可以堆叠，符合国家标准GB/T10357.1-2013（稳定性）和GB/T10357.3-2025（椅凳类强度和耐久性）要求；</w:t>
            </w:r>
          </w:p>
          <w:p w14:paraId="6F972440">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8.支持不同颜色定制，按照最终需求提供产品。</w:t>
            </w:r>
          </w:p>
          <w:p w14:paraId="0AC53932">
            <w:pPr>
              <w:jc w:val="center"/>
              <w:textAlignment w:val="center"/>
              <w:rPr>
                <w:rFonts w:ascii="宋体" w:hAnsi="宋体" w:eastAsia="宋体" w:cs="宋体"/>
                <w:b/>
                <w:bCs/>
                <w:color w:val="auto"/>
                <w:sz w:val="22"/>
                <w:szCs w:val="22"/>
              </w:rPr>
            </w:pPr>
            <w:r>
              <w:rPr>
                <w:rFonts w:hint="eastAsia" w:ascii="宋体" w:hAnsi="宋体" w:eastAsia="宋体" w:cs="宋体"/>
                <w:b/>
                <w:bCs/>
                <w:color w:val="auto"/>
                <w:sz w:val="22"/>
                <w:szCs w:val="22"/>
              </w:rPr>
              <w:t>参考图如下：</w:t>
            </w:r>
          </w:p>
          <w:p w14:paraId="519937EF">
            <w:pPr>
              <w:jc w:val="center"/>
              <w:textAlignment w:val="center"/>
              <w:rPr>
                <w:rFonts w:ascii="宋体" w:hAnsi="宋体" w:eastAsia="宋体"/>
                <w:color w:val="auto"/>
                <w:sz w:val="22"/>
                <w:szCs w:val="22"/>
              </w:rPr>
            </w:pPr>
            <w:r>
              <w:rPr>
                <w:rFonts w:hint="eastAsia" w:ascii="宋体" w:hAnsi="宋体" w:eastAsia="宋体" w:cs="宋体"/>
                <w:color w:val="auto"/>
                <w:sz w:val="22"/>
                <w:szCs w:val="22"/>
              </w:rPr>
              <w:drawing>
                <wp:inline distT="0" distB="0" distL="0" distR="0">
                  <wp:extent cx="1052195" cy="1538605"/>
                  <wp:effectExtent l="0" t="0" r="14605" b="4445"/>
                  <wp:docPr id="1029" name="图片 11" descr="6bf9c368fd24224bae00a78d56f81186"/>
                  <wp:cNvGraphicFramePr/>
                  <a:graphic xmlns:a="http://schemas.openxmlformats.org/drawingml/2006/main">
                    <a:graphicData uri="http://schemas.openxmlformats.org/drawingml/2006/picture">
                      <pic:pic xmlns:pic="http://schemas.openxmlformats.org/drawingml/2006/picture">
                        <pic:nvPicPr>
                          <pic:cNvPr id="1029" name="图片 11" descr="6bf9c368fd24224bae00a78d56f81186"/>
                          <pic:cNvPicPr/>
                        </pic:nvPicPr>
                        <pic:blipFill>
                          <a:blip r:embed="rId29" cstate="print"/>
                          <a:srcRect/>
                          <a:stretch>
                            <a:fillRect/>
                          </a:stretch>
                        </pic:blipFill>
                        <pic:spPr>
                          <a:xfrm>
                            <a:off x="0" y="0"/>
                            <a:ext cx="1052195" cy="1538605"/>
                          </a:xfrm>
                          <a:prstGeom prst="rect">
                            <a:avLst/>
                          </a:prstGeom>
                        </pic:spPr>
                      </pic:pic>
                    </a:graphicData>
                  </a:graphic>
                </wp:inline>
              </w:drawing>
            </w:r>
          </w:p>
        </w:tc>
      </w:tr>
      <w:tr w14:paraId="3032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noWrap/>
            <w:vAlign w:val="center"/>
          </w:tcPr>
          <w:p w14:paraId="72F66ADF">
            <w:pPr>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rPr>
              <w:t>1</w:t>
            </w:r>
            <w:r>
              <w:rPr>
                <w:rFonts w:hint="eastAsia" w:ascii="宋体" w:hAnsi="宋体" w:cs="宋体"/>
                <w:color w:val="auto"/>
                <w:sz w:val="22"/>
                <w:szCs w:val="22"/>
                <w:lang w:val="en-US" w:eastAsia="zh-CN"/>
              </w:rPr>
              <w:t>5</w:t>
            </w:r>
          </w:p>
        </w:tc>
        <w:tc>
          <w:tcPr>
            <w:tcW w:w="452" w:type="pct"/>
            <w:noWrap/>
            <w:vAlign w:val="center"/>
          </w:tcPr>
          <w:p w14:paraId="52B26D7E">
            <w:pPr>
              <w:jc w:val="center"/>
              <w:textAlignment w:val="center"/>
              <w:rPr>
                <w:rFonts w:ascii="宋体" w:hAnsi="宋体" w:eastAsia="宋体" w:cs="宋体"/>
                <w:b/>
                <w:color w:val="auto"/>
                <w:sz w:val="22"/>
                <w:szCs w:val="22"/>
              </w:rPr>
            </w:pPr>
            <w:r>
              <w:rPr>
                <w:rFonts w:hint="eastAsia" w:ascii="宋体" w:hAnsi="宋体" w:eastAsia="宋体" w:cs="宋体"/>
                <w:color w:val="auto"/>
                <w:sz w:val="22"/>
                <w:szCs w:val="22"/>
              </w:rPr>
              <w:t>耳麦</w:t>
            </w:r>
          </w:p>
        </w:tc>
        <w:tc>
          <w:tcPr>
            <w:tcW w:w="4293" w:type="pct"/>
            <w:noWrap/>
            <w:vAlign w:val="center"/>
          </w:tcPr>
          <w:p w14:paraId="6ACF15DF">
            <w:pPr>
              <w:adjustRightInd/>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 考试专用头戴式耳麦；</w:t>
            </w:r>
          </w:p>
          <w:p w14:paraId="7C78795B">
            <w:pPr>
              <w:adjustRightInd/>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2. 产品用途：适用于中考、高考、普通话测试、英语听说人机对话、标准化考场、机房考试等场景；</w:t>
            </w:r>
          </w:p>
          <w:p w14:paraId="1463DC6B">
            <w:pPr>
              <w:adjustRightInd/>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3. 连接方式：USB 2.0 有线连接，内置声卡，免驱即插即用；</w:t>
            </w:r>
          </w:p>
          <w:p w14:paraId="710C9606">
            <w:pPr>
              <w:adjustRightInd/>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4. 发声单元：40mm 高保真驱动单元；</w:t>
            </w:r>
          </w:p>
          <w:p w14:paraId="1CD6E35C">
            <w:pPr>
              <w:adjustRightInd/>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5. 频响范围：100Hz–16kHz；</w:t>
            </w:r>
          </w:p>
          <w:p w14:paraId="08F1BE8C">
            <w:pPr>
              <w:adjustRightInd/>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6. 阻抗：17Ω-47Ω；</w:t>
            </w:r>
          </w:p>
          <w:p w14:paraId="65D28908">
            <w:pPr>
              <w:adjustRightInd/>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7. 耳机灵敏度：≥101dB(1mW)；</w:t>
            </w:r>
          </w:p>
          <w:p w14:paraId="5534B081">
            <w:pPr>
              <w:adjustRightInd/>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8. 麦克风类型：单指向降噪麦克风，定向拾音，抑制环境噪音，防止考生间串音干扰</w:t>
            </w:r>
          </w:p>
          <w:p w14:paraId="0B7CDBD7">
            <w:pPr>
              <w:adjustRightInd/>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9. 麦克风频响：100Hz–16kHz</w:t>
            </w:r>
          </w:p>
          <w:p w14:paraId="2EC57844">
            <w:pPr>
              <w:adjustRightInd/>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10. 麦克风灵敏度：-46dB±3dB</w:t>
            </w:r>
          </w:p>
          <w:p w14:paraId="2AC9D3C0">
            <w:pPr>
              <w:adjustRightInd/>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11. 佩戴结构：全包耳式耳罩，隔音效果良好；头梁可伸缩调节，麦克风支臂可弯折定位；</w:t>
            </w:r>
          </w:p>
          <w:p w14:paraId="5F679EE8">
            <w:pPr>
              <w:adjustRightInd/>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12. 线材要求：线长≥2.8米，线材抗拉扯，带抗干扰磁环；</w:t>
            </w:r>
          </w:p>
          <w:p w14:paraId="2F8F52ED">
            <w:pPr>
              <w:adjustRightInd/>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13. 防作弊设计：无外置线控、无独立音量调节按键；</w:t>
            </w:r>
          </w:p>
          <w:p w14:paraId="2DAC18E5">
            <w:pPr>
              <w:adjustRightInd/>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14. 稳定性：数字音频传输，无杂音、无断连、无电流声；</w:t>
            </w:r>
          </w:p>
          <w:p w14:paraId="2F2FB63A">
            <w:pPr>
              <w:adjustRightInd/>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15. 兼容性：适配 Windows 及主流考试系统、英语听说考试平台；</w:t>
            </w:r>
          </w:p>
          <w:p w14:paraId="4FC76AD0">
            <w:pPr>
              <w:adjustRightInd/>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16. 外观颜色：黑色；</w:t>
            </w:r>
          </w:p>
          <w:p w14:paraId="5A096544">
            <w:pPr>
              <w:jc w:val="left"/>
              <w:textAlignment w:val="center"/>
              <w:rPr>
                <w:rFonts w:ascii="宋体" w:hAnsi="宋体" w:eastAsia="宋体" w:cs="宋体"/>
                <w:b/>
                <w:color w:val="auto"/>
                <w:sz w:val="22"/>
                <w:szCs w:val="22"/>
              </w:rPr>
            </w:pPr>
            <w:r>
              <w:rPr>
                <w:rFonts w:hint="eastAsia" w:ascii="宋体" w:hAnsi="宋体" w:eastAsia="宋体" w:cs="宋体"/>
                <w:color w:val="auto"/>
                <w:sz w:val="22"/>
                <w:szCs w:val="22"/>
              </w:rPr>
              <w:t>17. 可靠性：满足考场高频使用，抗弯折、抗跌落，结构牢固耐用；</w:t>
            </w:r>
          </w:p>
        </w:tc>
      </w:tr>
      <w:tr w14:paraId="3839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noWrap/>
            <w:vAlign w:val="center"/>
          </w:tcPr>
          <w:p w14:paraId="45846D23">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cs="宋体"/>
                <w:color w:val="auto"/>
                <w:sz w:val="22"/>
                <w:szCs w:val="22"/>
                <w:lang w:val="en-US" w:eastAsia="zh-CN"/>
              </w:rPr>
              <w:t>6</w:t>
            </w:r>
          </w:p>
        </w:tc>
        <w:tc>
          <w:tcPr>
            <w:tcW w:w="452" w:type="pct"/>
            <w:noWrap/>
            <w:vAlign w:val="center"/>
          </w:tcPr>
          <w:p w14:paraId="1E07539F">
            <w:pPr>
              <w:jc w:val="center"/>
              <w:textAlignment w:val="center"/>
              <w:rPr>
                <w:rFonts w:ascii="宋体" w:hAnsi="宋体" w:eastAsia="宋体" w:cs="宋体"/>
                <w:b/>
                <w:color w:val="auto"/>
                <w:sz w:val="22"/>
                <w:szCs w:val="22"/>
              </w:rPr>
            </w:pPr>
            <w:r>
              <w:rPr>
                <w:rFonts w:hint="eastAsia" w:ascii="宋体" w:hAnsi="宋体" w:eastAsia="宋体" w:cs="宋体"/>
                <w:color w:val="auto"/>
                <w:sz w:val="22"/>
                <w:szCs w:val="22"/>
              </w:rPr>
              <w:t>移动隔板</w:t>
            </w:r>
          </w:p>
        </w:tc>
        <w:tc>
          <w:tcPr>
            <w:tcW w:w="4293" w:type="pct"/>
            <w:noWrap/>
            <w:vAlign w:val="center"/>
          </w:tcPr>
          <w:p w14:paraId="21B4ED05">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1.考试专用移动隔板亚克力课桌挡板</w:t>
            </w:r>
          </w:p>
          <w:p w14:paraId="52236BC5">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2.尺寸：不小于50cm×60cm×0.5cm；</w:t>
            </w:r>
          </w:p>
          <w:p w14:paraId="4D9A0F36">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3.材质：亚克力板；</w:t>
            </w:r>
          </w:p>
          <w:p w14:paraId="1F3E7EEF">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4.工艺：边缘精磨抛光，防刮易擦拭；</w:t>
            </w:r>
          </w:p>
          <w:p w14:paraId="5DFA64DC">
            <w:pPr>
              <w:jc w:val="left"/>
              <w:textAlignment w:val="center"/>
              <w:rPr>
                <w:rFonts w:ascii="宋体" w:hAnsi="宋体" w:eastAsia="宋体" w:cs="宋体"/>
                <w:color w:val="auto"/>
                <w:sz w:val="22"/>
                <w:szCs w:val="22"/>
              </w:rPr>
            </w:pPr>
            <w:r>
              <w:rPr>
                <w:rFonts w:hint="eastAsia" w:ascii="宋体" w:hAnsi="宋体" w:eastAsia="宋体" w:cs="宋体"/>
                <w:color w:val="auto"/>
                <w:sz w:val="22"/>
                <w:szCs w:val="22"/>
              </w:rPr>
              <w:t>5.配置：配套移动支架，可夹装于课桌 / 实训桌；</w:t>
            </w:r>
          </w:p>
          <w:p w14:paraId="4B676EEF">
            <w:pPr>
              <w:jc w:val="left"/>
              <w:textAlignment w:val="center"/>
              <w:rPr>
                <w:rFonts w:ascii="宋体" w:hAnsi="宋体" w:eastAsia="宋体" w:cs="宋体"/>
                <w:b/>
                <w:color w:val="auto"/>
                <w:sz w:val="22"/>
                <w:szCs w:val="22"/>
              </w:rPr>
            </w:pPr>
            <w:r>
              <w:rPr>
                <w:rFonts w:hint="eastAsia" w:ascii="宋体" w:hAnsi="宋体" w:eastAsia="宋体" w:cs="宋体"/>
                <w:color w:val="auto"/>
                <w:sz w:val="22"/>
                <w:szCs w:val="22"/>
              </w:rPr>
              <w:t>6.功能：满足实训桌 1 隔位独立分隔，防风稳固、可随意移动。</w:t>
            </w:r>
          </w:p>
        </w:tc>
      </w:tr>
      <w:tr w14:paraId="0770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4" w:type="pct"/>
            <w:noWrap/>
            <w:vAlign w:val="center"/>
          </w:tcPr>
          <w:p w14:paraId="034C6187">
            <w:pPr>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rPr>
              <w:t>1</w:t>
            </w:r>
            <w:r>
              <w:rPr>
                <w:rFonts w:hint="eastAsia" w:ascii="宋体" w:hAnsi="宋体" w:cs="宋体"/>
                <w:color w:val="auto"/>
                <w:sz w:val="22"/>
                <w:szCs w:val="22"/>
                <w:lang w:val="en-US" w:eastAsia="zh-CN"/>
              </w:rPr>
              <w:t>7</w:t>
            </w:r>
          </w:p>
        </w:tc>
        <w:tc>
          <w:tcPr>
            <w:tcW w:w="452" w:type="pct"/>
            <w:noWrap/>
            <w:vAlign w:val="center"/>
          </w:tcPr>
          <w:p w14:paraId="25C186F3">
            <w:pPr>
              <w:jc w:val="center"/>
              <w:textAlignment w:val="center"/>
              <w:rPr>
                <w:rFonts w:ascii="宋体" w:hAnsi="宋体" w:eastAsia="宋体" w:cs="宋体"/>
                <w:b/>
                <w:color w:val="auto"/>
                <w:sz w:val="22"/>
                <w:szCs w:val="22"/>
              </w:rPr>
            </w:pPr>
            <w:r>
              <w:rPr>
                <w:rFonts w:hint="eastAsia" w:ascii="宋体" w:hAnsi="宋体" w:eastAsia="宋体" w:cs="宋体"/>
                <w:color w:val="auto"/>
                <w:sz w:val="22"/>
                <w:szCs w:val="22"/>
              </w:rPr>
              <w:t>实训室布线</w:t>
            </w:r>
          </w:p>
        </w:tc>
        <w:tc>
          <w:tcPr>
            <w:tcW w:w="4293" w:type="pct"/>
            <w:noWrap/>
            <w:vAlign w:val="center"/>
          </w:tcPr>
          <w:p w14:paraId="62D6401B">
            <w:pPr>
              <w:jc w:val="left"/>
              <w:textAlignment w:val="center"/>
              <w:rPr>
                <w:rFonts w:ascii="宋体" w:hAnsi="宋体" w:eastAsia="宋体" w:cs="宋体"/>
                <w:b/>
                <w:color w:val="auto"/>
                <w:sz w:val="22"/>
                <w:szCs w:val="22"/>
              </w:rPr>
            </w:pPr>
            <w:r>
              <w:rPr>
                <w:rFonts w:hint="eastAsia" w:ascii="宋体" w:hAnsi="宋体" w:eastAsia="宋体" w:cs="宋体"/>
                <w:color w:val="auto"/>
                <w:sz w:val="22"/>
                <w:szCs w:val="22"/>
              </w:rPr>
              <w:t>整体为交钥匙工程：计算机的安装调试、网线电源线点位结合实际要求调整，静电地砖开槽等。</w:t>
            </w:r>
          </w:p>
        </w:tc>
      </w:tr>
    </w:tbl>
    <w:p w14:paraId="32C426EC">
      <w:pPr>
        <w:rPr>
          <w:color w:val="auto"/>
          <w:sz w:val="22"/>
          <w:szCs w:val="22"/>
        </w:rPr>
      </w:pPr>
    </w:p>
    <w:p w14:paraId="166C4D2C">
      <w:pPr>
        <w:wordWrap w:val="0"/>
        <w:ind w:firstLine="442" w:firstLineChars="200"/>
        <w:rPr>
          <w:rFonts w:ascii="宋体" w:hAnsi="宋体" w:cs="宋体"/>
          <w:color w:val="auto"/>
          <w:sz w:val="22"/>
          <w:szCs w:val="22"/>
          <w:lang w:val="zh-CN"/>
        </w:rPr>
      </w:pPr>
      <w:r>
        <w:rPr>
          <w:rFonts w:hint="eastAsia" w:ascii="宋体" w:hAnsi="宋体" w:cs="宋体"/>
          <w:b/>
          <w:bCs/>
          <w:color w:val="auto"/>
          <w:kern w:val="0"/>
          <w:sz w:val="22"/>
          <w:szCs w:val="22"/>
        </w:rPr>
        <w:t>3.▲</w:t>
      </w:r>
      <w:r>
        <w:rPr>
          <w:rFonts w:hint="eastAsia" w:ascii="宋体" w:hAnsi="宋体" w:cs="宋体"/>
          <w:color w:val="auto"/>
          <w:sz w:val="22"/>
          <w:szCs w:val="22"/>
          <w:lang w:val="zh-CN"/>
        </w:rPr>
        <w:t>投标人须在投标文件中提供投标产品有效</w:t>
      </w:r>
      <w:r>
        <w:rPr>
          <w:rFonts w:hint="eastAsia" w:ascii="宋体" w:hAnsi="宋体" w:cs="宋体"/>
          <w:color w:val="auto"/>
          <w:sz w:val="22"/>
          <w:szCs w:val="22"/>
        </w:rPr>
        <w:t>期内</w:t>
      </w:r>
      <w:r>
        <w:rPr>
          <w:rFonts w:hint="eastAsia" w:ascii="宋体" w:hAnsi="宋体" w:cs="宋体"/>
          <w:color w:val="auto"/>
          <w:sz w:val="22"/>
          <w:szCs w:val="22"/>
          <w:lang w:val="zh-CN"/>
        </w:rPr>
        <w:t>的</w:t>
      </w:r>
      <w:r>
        <w:rPr>
          <w:rFonts w:hint="eastAsia" w:ascii="宋体" w:hAnsi="宋体" w:cs="宋体"/>
          <w:color w:val="auto"/>
          <w:sz w:val="22"/>
          <w:szCs w:val="22"/>
        </w:rPr>
        <w:t>节能产品认证证书扫描件</w:t>
      </w:r>
      <w:r>
        <w:rPr>
          <w:rFonts w:hint="eastAsia" w:ascii="宋体" w:hAnsi="宋体" w:cs="宋体"/>
          <w:color w:val="auto"/>
          <w:sz w:val="22"/>
          <w:szCs w:val="22"/>
          <w:lang w:val="zh-CN"/>
        </w:rPr>
        <w:t>，施行强制采购的产品如无证明材料，投标无效。</w:t>
      </w:r>
    </w:p>
    <w:p w14:paraId="1B58C475">
      <w:pPr>
        <w:pStyle w:val="59"/>
        <w:rPr>
          <w:color w:val="auto"/>
          <w:sz w:val="22"/>
          <w:szCs w:val="22"/>
          <w:highlight w:val="yellow"/>
          <w:lang w:val="en-US"/>
        </w:rPr>
      </w:pPr>
    </w:p>
    <w:p w14:paraId="111159E6">
      <w:pPr>
        <w:pStyle w:val="3"/>
        <w:numPr>
          <w:ilvl w:val="0"/>
          <w:numId w:val="6"/>
        </w:numPr>
        <w:adjustRightInd w:val="0"/>
        <w:snapToGrid w:val="0"/>
        <w:rPr>
          <w:rFonts w:ascii="宋体" w:hAnsi="宋体" w:eastAsia="宋体" w:cs="宋体"/>
          <w:color w:val="auto"/>
          <w:sz w:val="22"/>
          <w:szCs w:val="22"/>
        </w:rPr>
      </w:pPr>
      <w:r>
        <w:rPr>
          <w:rFonts w:hint="eastAsia" w:ascii="宋体" w:hAnsi="宋体" w:eastAsia="宋体" w:cs="宋体"/>
          <w:color w:val="auto"/>
          <w:sz w:val="22"/>
          <w:szCs w:val="22"/>
          <w:lang w:val="en-US"/>
        </w:rPr>
        <w:t>服务</w:t>
      </w:r>
      <w:r>
        <w:rPr>
          <w:rFonts w:hint="eastAsia" w:ascii="宋体" w:hAnsi="宋体" w:eastAsia="宋体" w:cs="宋体"/>
          <w:color w:val="auto"/>
          <w:sz w:val="22"/>
          <w:szCs w:val="22"/>
        </w:rPr>
        <w:t>要求（技术要求里另有注明的以技术要求为准）</w:t>
      </w:r>
    </w:p>
    <w:p w14:paraId="2F50A4E9">
      <w:pPr>
        <w:wordWrap w:val="0"/>
        <w:adjustRightInd/>
        <w:ind w:firstLine="440" w:firstLineChars="200"/>
        <w:jc w:val="left"/>
        <w:rPr>
          <w:color w:val="auto"/>
          <w:sz w:val="22"/>
          <w:szCs w:val="22"/>
        </w:rPr>
      </w:pPr>
      <w:r>
        <w:rPr>
          <w:rFonts w:hint="eastAsia"/>
          <w:color w:val="auto"/>
          <w:sz w:val="22"/>
          <w:szCs w:val="22"/>
        </w:rPr>
        <w:t>1</w:t>
      </w:r>
      <w:bookmarkStart w:id="41" w:name="OLE_LINK19"/>
      <w:bookmarkStart w:id="42" w:name="OLE_LINK20"/>
      <w:bookmarkStart w:id="43" w:name="OLE_LINK21"/>
      <w:bookmarkStart w:id="44" w:name="OLE_LINK17"/>
      <w:bookmarkStart w:id="45" w:name="OLE_LINK18"/>
      <w:r>
        <w:rPr>
          <w:rFonts w:hint="eastAsia"/>
          <w:color w:val="auto"/>
          <w:sz w:val="22"/>
          <w:szCs w:val="22"/>
        </w:rPr>
        <w:t>教学用台式计算机1、教学用台式计算机2、教学用笔记本电脑、移动图形工作站、服务器、交换机、实训桌1、实训桌2、教师椅、实训椅、智慧物联设备、耳麦、实训室布线、移动隔板等硬件设备服务要求。</w:t>
      </w:r>
      <w:bookmarkEnd w:id="41"/>
      <w:bookmarkEnd w:id="42"/>
      <w:bookmarkEnd w:id="43"/>
    </w:p>
    <w:bookmarkEnd w:id="44"/>
    <w:bookmarkEnd w:id="45"/>
    <w:tbl>
      <w:tblPr>
        <w:tblStyle w:val="63"/>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64"/>
        <w:gridCol w:w="7929"/>
      </w:tblGrid>
      <w:tr w14:paraId="4CD9C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2" w:type="pct"/>
            <w:tcBorders>
              <w:top w:val="single" w:color="auto" w:sz="4" w:space="0"/>
              <w:bottom w:val="single" w:color="auto" w:sz="4" w:space="0"/>
              <w:right w:val="single" w:color="auto" w:sz="4" w:space="0"/>
            </w:tcBorders>
            <w:vAlign w:val="center"/>
          </w:tcPr>
          <w:p w14:paraId="646742A0">
            <w:pPr>
              <w:snapToGrid w:val="0"/>
              <w:spacing w:line="360" w:lineRule="auto"/>
              <w:jc w:val="center"/>
              <w:rPr>
                <w:rFonts w:ascii="宋体" w:hAnsi="宋体" w:cs="宋体"/>
                <w:color w:val="auto"/>
                <w:spacing w:val="-6"/>
                <w:sz w:val="22"/>
                <w:szCs w:val="22"/>
              </w:rPr>
            </w:pPr>
            <w:r>
              <w:rPr>
                <w:rFonts w:hint="eastAsia" w:ascii="宋体" w:hAnsi="宋体" w:cs="宋体"/>
                <w:color w:val="auto"/>
                <w:sz w:val="22"/>
                <w:szCs w:val="22"/>
              </w:rPr>
              <w:t>安装要求</w:t>
            </w:r>
          </w:p>
        </w:tc>
        <w:tc>
          <w:tcPr>
            <w:tcW w:w="4667" w:type="pct"/>
            <w:tcBorders>
              <w:top w:val="single" w:color="auto" w:sz="4" w:space="0"/>
              <w:left w:val="single" w:color="auto" w:sz="4" w:space="0"/>
              <w:bottom w:val="single" w:color="auto" w:sz="4" w:space="0"/>
            </w:tcBorders>
            <w:vAlign w:val="center"/>
          </w:tcPr>
          <w:p w14:paraId="7C58BF6F">
            <w:pPr>
              <w:ind w:firstLine="440" w:firstLineChars="200"/>
              <w:rPr>
                <w:rFonts w:ascii="宋体" w:hAnsi="宋体" w:cs="宋体"/>
                <w:snapToGrid w:val="0"/>
                <w:color w:val="auto"/>
                <w:kern w:val="0"/>
                <w:sz w:val="22"/>
                <w:szCs w:val="22"/>
              </w:rPr>
            </w:pPr>
            <w:r>
              <w:rPr>
                <w:rFonts w:hint="eastAsia" w:ascii="宋体" w:hAnsi="宋体" w:cs="宋体"/>
                <w:snapToGrid w:val="0"/>
                <w:color w:val="auto"/>
                <w:kern w:val="0"/>
                <w:sz w:val="22"/>
                <w:szCs w:val="22"/>
              </w:rPr>
              <w:t>1.本项目为</w:t>
            </w:r>
            <w:r>
              <w:rPr>
                <w:rFonts w:hint="eastAsia" w:ascii="宋体" w:hAnsi="宋体" w:cs="宋体"/>
                <w:b/>
                <w:bCs/>
                <w:snapToGrid w:val="0"/>
                <w:color w:val="auto"/>
                <w:kern w:val="0"/>
                <w:sz w:val="22"/>
                <w:szCs w:val="22"/>
              </w:rPr>
              <w:t>交钥匙</w:t>
            </w:r>
            <w:r>
              <w:rPr>
                <w:rFonts w:hint="eastAsia" w:ascii="宋体" w:hAnsi="宋体" w:cs="宋体"/>
                <w:b/>
                <w:bCs/>
                <w:snapToGrid w:val="0"/>
                <w:color w:val="auto"/>
                <w:kern w:val="0"/>
                <w:sz w:val="22"/>
                <w:szCs w:val="22"/>
                <w:lang w:val="en-US" w:eastAsia="zh-CN"/>
              </w:rPr>
              <w:t>项目</w:t>
            </w:r>
            <w:r>
              <w:rPr>
                <w:rFonts w:hint="eastAsia" w:ascii="宋体" w:hAnsi="宋体" w:cs="宋体"/>
                <w:snapToGrid w:val="0"/>
                <w:color w:val="auto"/>
                <w:kern w:val="0"/>
                <w:sz w:val="22"/>
                <w:szCs w:val="22"/>
              </w:rPr>
              <w:t>，所有机房安装涉及的所有工作均由中标供应商负责，费用计入投标总价。</w:t>
            </w:r>
          </w:p>
          <w:p w14:paraId="73B0535B">
            <w:pPr>
              <w:ind w:firstLine="440" w:firstLineChars="200"/>
              <w:rPr>
                <w:rFonts w:ascii="宋体" w:hAnsi="宋体" w:cs="宋体"/>
                <w:snapToGrid w:val="0"/>
                <w:color w:val="auto"/>
                <w:kern w:val="0"/>
                <w:sz w:val="22"/>
                <w:szCs w:val="22"/>
              </w:rPr>
            </w:pPr>
            <w:r>
              <w:rPr>
                <w:rFonts w:hint="eastAsia" w:ascii="宋体" w:hAnsi="宋体" w:cs="宋体"/>
                <w:snapToGrid w:val="0"/>
                <w:color w:val="auto"/>
                <w:kern w:val="0"/>
                <w:sz w:val="22"/>
                <w:szCs w:val="22"/>
              </w:rPr>
              <w:t>2.安装人员要求:</w:t>
            </w:r>
          </w:p>
          <w:p w14:paraId="1C3C1764">
            <w:pPr>
              <w:wordWrap w:val="0"/>
              <w:ind w:firstLine="440" w:firstLineChars="200"/>
              <w:rPr>
                <w:rFonts w:ascii="宋体" w:hAnsi="宋体" w:cs="宋体"/>
                <w:color w:val="auto"/>
                <w:sz w:val="22"/>
                <w:szCs w:val="22"/>
                <w:lang w:val="zh-CN"/>
              </w:rPr>
            </w:pPr>
            <w:r>
              <w:rPr>
                <w:rFonts w:hint="eastAsia" w:ascii="宋体" w:hAnsi="宋体" w:cs="宋体"/>
                <w:color w:val="auto"/>
                <w:sz w:val="22"/>
                <w:szCs w:val="22"/>
                <w:lang w:val="zh-CN"/>
              </w:rPr>
              <w:t>（1）项目负责人：需提供项目负责人1名。项目负责人要求具备相关项目组织经验案例，项目经理要求具备人社部门颁发的信息系统项目管理师证书，需提供身份证及单位社保缴纳证明。负责对团队人员的管理及与采购人的日常联络工作，并要求保证工作相对稳定。负责组织交付及日常维护工作，确保产品按时按点到达采购人指定地点。为采购人提供计算机方面的技术支持，对采购人所提出问题指派服务人员进行解答并提供相关建议。</w:t>
            </w:r>
          </w:p>
          <w:p w14:paraId="631DC526">
            <w:pPr>
              <w:wordWrap w:val="0"/>
              <w:ind w:firstLine="440" w:firstLineChars="200"/>
              <w:rPr>
                <w:rFonts w:ascii="宋体" w:hAnsi="宋体" w:cs="宋体"/>
                <w:color w:val="auto"/>
                <w:sz w:val="22"/>
                <w:szCs w:val="22"/>
              </w:rPr>
            </w:pPr>
            <w:r>
              <w:rPr>
                <w:rFonts w:hint="eastAsia" w:ascii="宋体" w:hAnsi="宋体" w:cs="宋体"/>
                <w:color w:val="auto"/>
                <w:sz w:val="22"/>
                <w:szCs w:val="22"/>
              </w:rPr>
              <w:t>（2）团队人员：</w:t>
            </w:r>
            <w:r>
              <w:rPr>
                <w:rFonts w:hint="eastAsia" w:ascii="宋体" w:hAnsi="宋体" w:cs="宋体"/>
                <w:color w:val="auto"/>
                <w:sz w:val="22"/>
                <w:szCs w:val="22"/>
                <w:lang w:val="zh-CN"/>
              </w:rPr>
              <w:t>由投标人自行确定，</w:t>
            </w:r>
            <w:r>
              <w:rPr>
                <w:rFonts w:hint="eastAsia" w:ascii="宋体" w:hAnsi="宋体" w:cs="宋体"/>
                <w:color w:val="auto"/>
                <w:sz w:val="22"/>
                <w:szCs w:val="22"/>
              </w:rPr>
              <w:t>人员配置需要严格</w:t>
            </w:r>
            <w:r>
              <w:rPr>
                <w:rFonts w:hint="eastAsia" w:ascii="宋体" w:hAnsi="宋体" w:cs="宋体"/>
                <w:color w:val="auto"/>
                <w:sz w:val="22"/>
                <w:szCs w:val="22"/>
                <w:lang w:val="zh-CN"/>
              </w:rPr>
              <w:t>保证项目完成，须提供</w:t>
            </w:r>
            <w:r>
              <w:rPr>
                <w:rFonts w:hint="eastAsia" w:ascii="宋体" w:hAnsi="宋体" w:cs="宋体"/>
                <w:color w:val="auto"/>
                <w:sz w:val="22"/>
                <w:szCs w:val="22"/>
              </w:rPr>
              <w:t>团队</w:t>
            </w:r>
            <w:r>
              <w:rPr>
                <w:rFonts w:hint="eastAsia" w:ascii="宋体" w:hAnsi="宋体" w:cs="宋体"/>
                <w:color w:val="auto"/>
                <w:sz w:val="22"/>
                <w:szCs w:val="22"/>
                <w:lang w:val="zh-CN"/>
              </w:rPr>
              <w:t>人员社保缴纳证明材料。</w:t>
            </w:r>
            <w:r>
              <w:rPr>
                <w:rFonts w:hint="eastAsia" w:ascii="宋体" w:hAnsi="宋体" w:cs="宋体"/>
                <w:color w:val="auto"/>
                <w:sz w:val="22"/>
                <w:szCs w:val="22"/>
              </w:rPr>
              <w:t>中标后，按采购人要求负责做好系统安装、调试及旧电脑数据迁移工作，质保期内做好技术支持和日常服务工作，并承诺提供上门服务。</w:t>
            </w:r>
          </w:p>
          <w:p w14:paraId="2A7A80AD">
            <w:pPr>
              <w:ind w:firstLine="440" w:firstLineChars="200"/>
              <w:rPr>
                <w:color w:val="auto"/>
                <w:sz w:val="22"/>
                <w:szCs w:val="22"/>
              </w:rPr>
            </w:pPr>
            <w:r>
              <w:rPr>
                <w:rFonts w:hint="eastAsia" w:ascii="宋体" w:hAnsi="宋体" w:cs="宋体"/>
                <w:snapToGrid w:val="0"/>
                <w:color w:val="auto"/>
                <w:kern w:val="0"/>
                <w:sz w:val="22"/>
                <w:szCs w:val="22"/>
              </w:rPr>
              <w:t>3.安装标准：符合国家安全技术标准。</w:t>
            </w:r>
          </w:p>
        </w:tc>
      </w:tr>
      <w:tr w14:paraId="24494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32" w:type="pct"/>
            <w:tcBorders>
              <w:top w:val="single" w:color="auto" w:sz="4" w:space="0"/>
              <w:bottom w:val="single" w:color="auto" w:sz="4" w:space="0"/>
              <w:right w:val="single" w:color="auto" w:sz="4" w:space="0"/>
            </w:tcBorders>
            <w:vAlign w:val="center"/>
          </w:tcPr>
          <w:p w14:paraId="6845C511">
            <w:pPr>
              <w:snapToGrid w:val="0"/>
              <w:spacing w:line="360" w:lineRule="auto"/>
              <w:jc w:val="center"/>
              <w:rPr>
                <w:rFonts w:ascii="宋体" w:hAnsi="宋体" w:cs="宋体"/>
                <w:color w:val="auto"/>
                <w:sz w:val="22"/>
                <w:szCs w:val="22"/>
              </w:rPr>
            </w:pPr>
            <w:r>
              <w:rPr>
                <w:rFonts w:hint="eastAsia" w:ascii="宋体" w:hAnsi="宋体" w:cs="宋体"/>
                <w:color w:val="auto"/>
                <w:sz w:val="22"/>
                <w:szCs w:val="22"/>
              </w:rPr>
              <w:t xml:space="preserve"> 售后服务及效率</w:t>
            </w:r>
          </w:p>
        </w:tc>
        <w:tc>
          <w:tcPr>
            <w:tcW w:w="4667" w:type="pct"/>
            <w:tcBorders>
              <w:top w:val="single" w:color="auto" w:sz="4" w:space="0"/>
              <w:left w:val="single" w:color="auto" w:sz="4" w:space="0"/>
              <w:bottom w:val="single" w:color="auto" w:sz="4" w:space="0"/>
            </w:tcBorders>
            <w:vAlign w:val="center"/>
          </w:tcPr>
          <w:p w14:paraId="124145D9">
            <w:pPr>
              <w:ind w:firstLine="440" w:firstLineChars="200"/>
              <w:rPr>
                <w:rFonts w:ascii="宋体" w:hAnsi="宋体" w:cs="宋体"/>
                <w:color w:val="auto"/>
                <w:sz w:val="22"/>
                <w:szCs w:val="22"/>
                <w:lang w:val="zh-CN"/>
              </w:rPr>
            </w:pPr>
            <w:r>
              <w:rPr>
                <w:rFonts w:hint="eastAsia" w:ascii="宋体" w:hAnsi="宋体" w:cs="宋体"/>
                <w:color w:val="auto"/>
                <w:sz w:val="22"/>
                <w:szCs w:val="22"/>
                <w:lang w:val="zh-CN"/>
              </w:rPr>
              <w:t>1.</w:t>
            </w:r>
            <w:r>
              <w:rPr>
                <w:rFonts w:hint="eastAsia" w:ascii="宋体" w:hAnsi="宋体" w:cs="宋体"/>
                <w:b/>
                <w:bCs/>
                <w:color w:val="auto"/>
                <w:sz w:val="22"/>
                <w:szCs w:val="22"/>
              </w:rPr>
              <w:t>质保期及质保服务（</w:t>
            </w:r>
            <w:r>
              <w:rPr>
                <w:rFonts w:hint="eastAsia" w:ascii="宋体" w:hAnsi="宋体" w:cs="宋体"/>
                <w:b/>
                <w:bCs/>
                <w:snapToGrid w:val="0"/>
                <w:color w:val="auto"/>
                <w:kern w:val="0"/>
                <w:sz w:val="22"/>
                <w:szCs w:val="22"/>
                <w:u w:val="single"/>
              </w:rPr>
              <w:t>投标时供应商对以下内容提供书面承诺</w:t>
            </w:r>
            <w:r>
              <w:rPr>
                <w:rFonts w:hint="eastAsia" w:ascii="宋体" w:hAnsi="宋体" w:cs="宋体"/>
                <w:b/>
                <w:bCs/>
                <w:color w:val="auto"/>
                <w:sz w:val="22"/>
                <w:szCs w:val="22"/>
              </w:rPr>
              <w:t>）：</w:t>
            </w:r>
            <w:r>
              <w:rPr>
                <w:rFonts w:hint="eastAsia" w:ascii="宋体" w:hAnsi="宋体" w:cs="宋体"/>
                <w:snapToGrid w:val="0"/>
                <w:color w:val="auto"/>
                <w:kern w:val="0"/>
                <w:sz w:val="22"/>
                <w:szCs w:val="22"/>
              </w:rPr>
              <w:t>投标人提供的产品应自验收合格之日起不少于上述清单所要求提供质保，质保期自验收合格之日起计算。</w:t>
            </w:r>
            <w:r>
              <w:rPr>
                <w:rFonts w:hint="eastAsia" w:ascii="宋体" w:hAnsi="宋体" w:cs="宋体"/>
                <w:color w:val="auto"/>
                <w:sz w:val="22"/>
                <w:szCs w:val="22"/>
              </w:rPr>
              <w:t>投标人</w:t>
            </w:r>
            <w:r>
              <w:rPr>
                <w:rFonts w:hint="eastAsia" w:ascii="宋体" w:hAnsi="宋体" w:cs="宋体"/>
                <w:snapToGrid w:val="0"/>
                <w:color w:val="auto"/>
                <w:kern w:val="0"/>
                <w:sz w:val="22"/>
                <w:szCs w:val="22"/>
              </w:rPr>
              <w:t>按</w:t>
            </w:r>
            <w:r>
              <w:rPr>
                <w:rFonts w:hint="eastAsia" w:ascii="宋体" w:hAnsi="宋体" w:cs="宋体"/>
                <w:color w:val="auto"/>
                <w:sz w:val="22"/>
                <w:szCs w:val="22"/>
              </w:rPr>
              <w:t>要求提供质保服务，并在验收时提供质保承诺函。</w:t>
            </w:r>
          </w:p>
          <w:p w14:paraId="34B9B8E7">
            <w:pPr>
              <w:ind w:firstLine="440" w:firstLineChars="200"/>
              <w:rPr>
                <w:rFonts w:ascii="宋体" w:hAnsi="宋体" w:cs="宋体"/>
                <w:color w:val="auto"/>
                <w:sz w:val="22"/>
                <w:szCs w:val="22"/>
                <w:lang w:val="zh-CN"/>
              </w:rPr>
            </w:pPr>
            <w:r>
              <w:rPr>
                <w:rFonts w:hint="eastAsia" w:ascii="宋体" w:hAnsi="宋体" w:cs="宋体"/>
                <w:color w:val="auto"/>
                <w:sz w:val="22"/>
                <w:szCs w:val="22"/>
              </w:rPr>
              <w:t>2.质保期内服务响应：质保期内，中标供应商须提供 7×24小时售后服务，并应在采购人所在地设立常驻或可快速响应的本地化应急维修小组。具体响应时限如下：</w:t>
            </w:r>
          </w:p>
          <w:p w14:paraId="1B940EB1">
            <w:pPr>
              <w:snapToGrid w:val="0"/>
              <w:ind w:firstLine="440" w:firstLineChars="200"/>
              <w:rPr>
                <w:rFonts w:ascii="宋体" w:hAnsi="宋体" w:cs="宋体"/>
                <w:color w:val="auto"/>
                <w:sz w:val="22"/>
                <w:szCs w:val="22"/>
              </w:rPr>
            </w:pPr>
            <w:r>
              <w:rPr>
                <w:rFonts w:hint="eastAsia" w:ascii="宋体" w:hAnsi="宋体" w:cs="宋体"/>
                <w:color w:val="auto"/>
                <w:sz w:val="22"/>
                <w:szCs w:val="22"/>
              </w:rPr>
              <w:t>故障响应：接到报修通知后</w:t>
            </w:r>
            <w:r>
              <w:rPr>
                <w:rFonts w:hint="eastAsia" w:ascii="宋体" w:hAnsi="宋体" w:cs="宋体"/>
                <w:color w:val="auto"/>
                <w:sz w:val="22"/>
                <w:szCs w:val="22"/>
                <w:lang w:val="en-US" w:eastAsia="zh-CN"/>
              </w:rPr>
              <w:t>同城4小时，异地12小时内主动响应</w:t>
            </w:r>
          </w:p>
          <w:p w14:paraId="5E87AF97">
            <w:pPr>
              <w:snapToGrid w:val="0"/>
              <w:ind w:firstLine="440" w:firstLineChars="200"/>
              <w:rPr>
                <w:rFonts w:ascii="宋体" w:hAnsi="宋体" w:cs="宋体"/>
                <w:color w:val="auto"/>
                <w:sz w:val="22"/>
                <w:szCs w:val="22"/>
              </w:rPr>
            </w:pPr>
            <w:r>
              <w:rPr>
                <w:rFonts w:hint="eastAsia" w:ascii="宋体" w:hAnsi="宋体" w:cs="宋体"/>
                <w:color w:val="auto"/>
                <w:sz w:val="22"/>
                <w:szCs w:val="22"/>
              </w:rPr>
              <w:t>电话支持：1小时内提供首次电话技术支持。</w:t>
            </w:r>
          </w:p>
          <w:p w14:paraId="291750E3">
            <w:pPr>
              <w:snapToGrid w:val="0"/>
              <w:ind w:firstLine="440" w:firstLineChars="200"/>
              <w:rPr>
                <w:rFonts w:ascii="宋体" w:hAnsi="宋体" w:cs="宋体"/>
                <w:color w:val="auto"/>
                <w:sz w:val="22"/>
                <w:szCs w:val="22"/>
              </w:rPr>
            </w:pPr>
            <w:r>
              <w:rPr>
                <w:rFonts w:hint="eastAsia" w:ascii="宋体" w:hAnsi="宋体" w:cs="宋体"/>
                <w:color w:val="auto"/>
                <w:sz w:val="22"/>
                <w:szCs w:val="22"/>
              </w:rPr>
              <w:t>现场服务：如需现场处理，维修人员应在24小时内抵达现场并开始维修。</w:t>
            </w:r>
          </w:p>
          <w:p w14:paraId="235E041C">
            <w:pPr>
              <w:ind w:firstLine="440" w:firstLineChars="200"/>
              <w:rPr>
                <w:rFonts w:ascii="宋体" w:hAnsi="宋体" w:cs="宋体"/>
                <w:color w:val="auto"/>
                <w:sz w:val="22"/>
                <w:szCs w:val="22"/>
                <w:lang w:val="zh-CN"/>
              </w:rPr>
            </w:pPr>
            <w:r>
              <w:rPr>
                <w:rFonts w:hint="eastAsia" w:ascii="宋体" w:hAnsi="宋体" w:cs="宋体"/>
                <w:color w:val="auto"/>
                <w:sz w:val="22"/>
                <w:szCs w:val="22"/>
              </w:rPr>
              <w:t>3.质保期内，所有因产品自身原因导致的非人为损坏质量问题，中标供应商须免费提供维修、更换部件或零件服务，并承担由此产生的一切费用（包括材料、人工、运输等）。若产品出现无法修复的严重故障，中标供应商须无条件更换同型号新产品，所有费用由中标供应商承担。</w:t>
            </w:r>
          </w:p>
          <w:p w14:paraId="2D9F83FB">
            <w:pPr>
              <w:ind w:firstLine="440" w:firstLineChars="200"/>
              <w:rPr>
                <w:rFonts w:ascii="宋体" w:hAnsi="宋体" w:cs="宋体"/>
                <w:color w:val="auto"/>
                <w:sz w:val="22"/>
                <w:szCs w:val="22"/>
                <w:lang w:val="zh-CN"/>
              </w:rPr>
            </w:pPr>
            <w:r>
              <w:rPr>
                <w:rFonts w:hint="eastAsia" w:ascii="宋体" w:hAnsi="宋体" w:cs="宋体"/>
                <w:color w:val="auto"/>
                <w:sz w:val="22"/>
                <w:szCs w:val="22"/>
              </w:rPr>
              <w:t>4.质保期内，中标供应商须</w:t>
            </w:r>
            <w:r>
              <w:rPr>
                <w:rFonts w:hint="eastAsia" w:ascii="宋体" w:hAnsi="宋体" w:cs="宋体"/>
                <w:color w:val="auto"/>
                <w:sz w:val="22"/>
                <w:szCs w:val="22"/>
                <w:u w:val="single"/>
              </w:rPr>
              <w:t>在每年寒假、暑假期间各提供一次免费上门全面巡检及预防性维护服务，</w:t>
            </w:r>
            <w:r>
              <w:rPr>
                <w:rFonts w:hint="eastAsia" w:ascii="宋体" w:hAnsi="宋体" w:cs="宋体"/>
                <w:color w:val="auto"/>
                <w:sz w:val="22"/>
                <w:szCs w:val="22"/>
              </w:rPr>
              <w:t>并向采购人提交巡检报告。</w:t>
            </w:r>
          </w:p>
          <w:p w14:paraId="7FA3BDD2">
            <w:pPr>
              <w:ind w:firstLine="440" w:firstLineChars="200"/>
              <w:rPr>
                <w:rFonts w:ascii="宋体" w:hAnsi="宋体" w:cs="宋体"/>
                <w:color w:val="auto"/>
                <w:sz w:val="22"/>
                <w:szCs w:val="22"/>
              </w:rPr>
            </w:pPr>
            <w:r>
              <w:rPr>
                <w:rFonts w:hint="eastAsia" w:ascii="宋体" w:hAnsi="宋体" w:cs="宋体"/>
                <w:color w:val="auto"/>
                <w:sz w:val="22"/>
                <w:szCs w:val="22"/>
                <w:lang w:val="zh-CN"/>
              </w:rPr>
              <w:t>5.所有产品须为</w:t>
            </w:r>
            <w:r>
              <w:rPr>
                <w:rFonts w:hint="eastAsia" w:ascii="宋体" w:hAnsi="宋体" w:cs="宋体"/>
                <w:color w:val="auto"/>
                <w:sz w:val="22"/>
                <w:szCs w:val="22"/>
              </w:rPr>
              <w:t>开标前半年月内</w:t>
            </w:r>
            <w:r>
              <w:rPr>
                <w:rFonts w:hint="eastAsia" w:ascii="宋体" w:hAnsi="宋体" w:cs="宋体"/>
                <w:color w:val="auto"/>
                <w:sz w:val="22"/>
                <w:szCs w:val="22"/>
                <w:lang w:val="zh-CN"/>
              </w:rPr>
              <w:t>生产，且均为</w:t>
            </w:r>
            <w:r>
              <w:rPr>
                <w:rFonts w:hint="eastAsia" w:ascii="宋体" w:hAnsi="宋体" w:cs="宋体"/>
                <w:color w:val="auto"/>
                <w:sz w:val="22"/>
                <w:szCs w:val="22"/>
              </w:rPr>
              <w:t>原厂</w:t>
            </w:r>
            <w:r>
              <w:rPr>
                <w:rFonts w:hint="eastAsia" w:ascii="宋体" w:hAnsi="宋体" w:cs="宋体"/>
                <w:color w:val="auto"/>
                <w:sz w:val="22"/>
                <w:szCs w:val="22"/>
                <w:lang w:val="zh-CN"/>
              </w:rPr>
              <w:t>原装产品，</w:t>
            </w:r>
            <w:r>
              <w:rPr>
                <w:rFonts w:hint="eastAsia" w:ascii="宋体" w:hAnsi="宋体" w:cs="宋体"/>
                <w:color w:val="auto"/>
                <w:sz w:val="22"/>
                <w:szCs w:val="22"/>
              </w:rPr>
              <w:t>承诺工厂直发学校，</w:t>
            </w:r>
            <w:r>
              <w:rPr>
                <w:rFonts w:hint="eastAsia" w:ascii="宋体" w:hAnsi="宋体" w:cs="宋体"/>
                <w:color w:val="auto"/>
                <w:sz w:val="22"/>
                <w:szCs w:val="22"/>
                <w:lang w:val="zh-CN"/>
              </w:rPr>
              <w:t>保质保量，有正规的产品合格证、质量保证书，不得使用“三无”产品，不得以次充好，以旧代新，质价不符。如因投标人技术力量原因，给采购人造成损失的，除重新修理好以外，采购人有权提出赔偿，赔偿额不限于合同总价。</w:t>
            </w:r>
          </w:p>
          <w:p w14:paraId="56A719FB">
            <w:pPr>
              <w:snapToGrid w:val="0"/>
              <w:ind w:firstLine="440" w:firstLineChars="200"/>
              <w:rPr>
                <w:rFonts w:ascii="宋体" w:hAnsi="宋体" w:cs="宋体"/>
                <w:color w:val="auto"/>
                <w:sz w:val="22"/>
                <w:szCs w:val="22"/>
              </w:rPr>
            </w:pPr>
            <w:r>
              <w:rPr>
                <w:rFonts w:hint="eastAsia" w:ascii="宋体" w:hAnsi="宋体" w:cs="宋体"/>
                <w:color w:val="auto"/>
                <w:sz w:val="22"/>
                <w:szCs w:val="22"/>
              </w:rPr>
              <w:t>6.项目安装调试完毕并验收合格后，中标供应商应统一组织采购人相关人员，提供全面的产品使用及日常维护培训。所有派驻现场的服务与维修人员，均须经过严格的技术培训，具备相应的专业资质和丰富的现场实践经验。</w:t>
            </w:r>
          </w:p>
          <w:p w14:paraId="217D1B4A">
            <w:pPr>
              <w:snapToGrid w:val="0"/>
              <w:ind w:firstLine="440" w:firstLineChars="200"/>
              <w:rPr>
                <w:rFonts w:ascii="宋体" w:hAnsi="宋体" w:cs="宋体"/>
                <w:color w:val="auto"/>
                <w:sz w:val="22"/>
                <w:szCs w:val="22"/>
                <w:u w:val="single"/>
              </w:rPr>
            </w:pPr>
            <w:r>
              <w:rPr>
                <w:rFonts w:hint="eastAsia" w:ascii="宋体" w:hAnsi="宋体" w:cs="宋体"/>
                <w:color w:val="auto"/>
                <w:sz w:val="22"/>
                <w:szCs w:val="22"/>
              </w:rPr>
              <w:t>7.质保期满后，中标供应商应承诺</w:t>
            </w:r>
            <w:r>
              <w:rPr>
                <w:rFonts w:hint="eastAsia" w:ascii="宋体" w:hAnsi="宋体" w:cs="宋体"/>
                <w:color w:val="auto"/>
                <w:sz w:val="22"/>
                <w:szCs w:val="22"/>
                <w:u w:val="single"/>
              </w:rPr>
              <w:t>提供终身维护服务。在此期间，仅可收取更换零配件的成本费用</w:t>
            </w:r>
            <w:r>
              <w:rPr>
                <w:rFonts w:hint="eastAsia" w:ascii="宋体" w:hAnsi="宋体" w:cs="宋体"/>
                <w:color w:val="auto"/>
                <w:sz w:val="22"/>
                <w:szCs w:val="22"/>
              </w:rPr>
              <w:t>（</w:t>
            </w:r>
            <w:r>
              <w:rPr>
                <w:rFonts w:hint="eastAsia" w:ascii="宋体" w:hAnsi="宋体" w:cs="宋体"/>
                <w:color w:val="auto"/>
                <w:sz w:val="22"/>
                <w:szCs w:val="22"/>
                <w:u w:val="single"/>
              </w:rPr>
              <w:t>投标时需明确注明配件优惠折扣率，且免收人工费、差旅费等其他费用）</w:t>
            </w:r>
          </w:p>
          <w:p w14:paraId="09619D6A">
            <w:pPr>
              <w:snapToGrid w:val="0"/>
              <w:rPr>
                <w:rFonts w:ascii="宋体" w:hAnsi="宋体" w:cs="宋体"/>
                <w:color w:val="auto"/>
                <w:sz w:val="22"/>
                <w:szCs w:val="22"/>
              </w:rPr>
            </w:pPr>
          </w:p>
          <w:p w14:paraId="798F7537">
            <w:pPr>
              <w:snapToGrid w:val="0"/>
              <w:rPr>
                <w:rFonts w:ascii="宋体" w:hAnsi="宋体" w:cs="宋体"/>
                <w:color w:val="auto"/>
                <w:sz w:val="22"/>
                <w:szCs w:val="22"/>
              </w:rPr>
            </w:pPr>
            <w:r>
              <w:rPr>
                <w:rFonts w:hint="eastAsia" w:ascii="宋体" w:hAnsi="宋体" w:cs="宋体"/>
                <w:b/>
                <w:bCs/>
                <w:color w:val="auto"/>
                <w:sz w:val="22"/>
                <w:szCs w:val="22"/>
              </w:rPr>
              <w:t>其他商务要求（包装和运输、保险等）</w:t>
            </w:r>
          </w:p>
          <w:p w14:paraId="2884E604">
            <w:pPr>
              <w:snapToGrid w:val="0"/>
              <w:ind w:firstLine="440" w:firstLineChars="200"/>
              <w:rPr>
                <w:rFonts w:ascii="宋体" w:hAnsi="宋体" w:cs="宋体"/>
                <w:color w:val="auto"/>
                <w:sz w:val="22"/>
                <w:szCs w:val="22"/>
              </w:rPr>
            </w:pPr>
            <w:r>
              <w:rPr>
                <w:rFonts w:hint="eastAsia" w:ascii="宋体" w:hAnsi="宋体" w:cs="宋体"/>
                <w:color w:val="auto"/>
                <w:sz w:val="22"/>
                <w:szCs w:val="22"/>
              </w:rPr>
              <w:t>1.中标供应商负责将货物</w:t>
            </w:r>
            <w:r>
              <w:rPr>
                <w:rFonts w:hint="eastAsia" w:ascii="宋体" w:hAnsi="宋体" w:cs="宋体"/>
                <w:color w:val="auto"/>
                <w:sz w:val="22"/>
                <w:szCs w:val="22"/>
                <w:u w:val="single"/>
              </w:rPr>
              <w:t>安全运抵采购人指定位置，并承担由此产生的全部费用，包括但不限于运输费、装卸费、保险费、垃圾清运费等。</w:t>
            </w:r>
          </w:p>
          <w:p w14:paraId="424C2BD6">
            <w:pPr>
              <w:snapToGrid w:val="0"/>
              <w:ind w:firstLine="440" w:firstLineChars="200"/>
              <w:rPr>
                <w:rFonts w:ascii="宋体" w:hAnsi="宋体" w:cs="宋体"/>
                <w:color w:val="auto"/>
                <w:sz w:val="22"/>
                <w:szCs w:val="22"/>
              </w:rPr>
            </w:pPr>
            <w:r>
              <w:rPr>
                <w:rFonts w:hint="eastAsia" w:ascii="宋体" w:hAnsi="宋体" w:cs="宋体"/>
                <w:color w:val="auto"/>
                <w:sz w:val="22"/>
                <w:szCs w:val="22"/>
              </w:rPr>
              <w:t>（2）包装。中标供应商提供货物运至合同规定的最终目的地所需要的包装，应符合国家或专业（部）标准规定。这类包装应采取防潮、防晒、防锈防腐蚀、防震动及防止其它损坏的必要保护措施，从而保护货物能够经受多次搬运、装卸和内陆的长途运输。</w:t>
            </w:r>
          </w:p>
          <w:p w14:paraId="42EDEE63">
            <w:pPr>
              <w:snapToGrid w:val="0"/>
              <w:ind w:firstLine="440" w:firstLineChars="200"/>
              <w:rPr>
                <w:rFonts w:ascii="宋体" w:hAnsi="宋体" w:cs="宋体"/>
                <w:color w:val="auto"/>
                <w:sz w:val="22"/>
                <w:szCs w:val="22"/>
              </w:rPr>
            </w:pPr>
            <w:r>
              <w:rPr>
                <w:rFonts w:hint="eastAsia" w:ascii="宋体" w:hAnsi="宋体" w:cs="宋体"/>
                <w:color w:val="auto"/>
                <w:sz w:val="22"/>
                <w:szCs w:val="22"/>
              </w:rPr>
              <w:t>（3）中标供应商承担由于其包装或其防护措施不妥而引起货物锈蚀、损坏和丢失的任何损失的责任或费用。商品若有破损情况，由中标供应商于发现破损后3天内补足。</w:t>
            </w:r>
          </w:p>
          <w:p w14:paraId="576C40B3">
            <w:pPr>
              <w:snapToGrid w:val="0"/>
              <w:ind w:firstLine="440" w:firstLineChars="200"/>
              <w:rPr>
                <w:rFonts w:ascii="宋体" w:hAnsi="宋体" w:cs="宋体"/>
                <w:color w:val="auto"/>
                <w:sz w:val="22"/>
                <w:szCs w:val="22"/>
              </w:rPr>
            </w:pPr>
            <w:r>
              <w:rPr>
                <w:rFonts w:hint="eastAsia" w:ascii="宋体" w:hAnsi="宋体" w:cs="宋体"/>
                <w:color w:val="auto"/>
                <w:sz w:val="22"/>
                <w:szCs w:val="22"/>
              </w:rPr>
              <w:t>（4）在合同约定的装运日期之前，中标供应商应以书面形式将合同号、货物名称、数量、箱数、总毛重、总体积、运输工具等详细信息通知采购人。具体安装时间以采购人的书面通知为准。</w:t>
            </w:r>
          </w:p>
          <w:p w14:paraId="11968E01">
            <w:pPr>
              <w:snapToGrid w:val="0"/>
              <w:ind w:firstLine="440" w:firstLineChars="200"/>
              <w:rPr>
                <w:rFonts w:ascii="宋体" w:hAnsi="宋体" w:cs="宋体"/>
                <w:color w:val="auto"/>
                <w:sz w:val="22"/>
                <w:szCs w:val="22"/>
              </w:rPr>
            </w:pPr>
            <w:r>
              <w:rPr>
                <w:rFonts w:hint="eastAsia" w:ascii="宋体" w:hAnsi="宋体" w:cs="宋体"/>
                <w:color w:val="auto"/>
                <w:sz w:val="22"/>
                <w:szCs w:val="22"/>
              </w:rPr>
              <w:t>（5）中标人在运输及安装家具过程中，</w:t>
            </w:r>
            <w:r>
              <w:rPr>
                <w:rFonts w:hint="eastAsia" w:ascii="宋体" w:hAnsi="宋体" w:cs="宋体"/>
                <w:color w:val="auto"/>
                <w:sz w:val="22"/>
                <w:szCs w:val="22"/>
                <w:u w:val="single"/>
              </w:rPr>
              <w:t>须负责对楼内现有设施设备（包括但不限于墙面、地面、门窗、管线及其他固定设施）实施有效的成品保护。</w:t>
            </w:r>
            <w:r>
              <w:rPr>
                <w:rFonts w:hint="eastAsia" w:ascii="宋体" w:hAnsi="宋体" w:cs="宋体"/>
                <w:color w:val="auto"/>
                <w:sz w:val="22"/>
                <w:szCs w:val="22"/>
              </w:rPr>
              <w:t>如因中标人工作人员的操作不当，在运输、安装等环节造成校内设施设备损坏的，中标人应承担全部修复责任，并赔偿由此造成的相关损失。</w:t>
            </w:r>
          </w:p>
          <w:p w14:paraId="65DE9B98">
            <w:pPr>
              <w:snapToGrid w:val="0"/>
              <w:ind w:firstLine="440" w:firstLineChars="200"/>
              <w:rPr>
                <w:rFonts w:ascii="宋体" w:hAnsi="宋体" w:cs="宋体"/>
                <w:color w:val="auto"/>
                <w:sz w:val="22"/>
                <w:szCs w:val="22"/>
              </w:rPr>
            </w:pPr>
            <w:r>
              <w:rPr>
                <w:rFonts w:hint="eastAsia" w:ascii="宋体" w:hAnsi="宋体" w:cs="宋体"/>
                <w:color w:val="auto"/>
                <w:sz w:val="22"/>
                <w:szCs w:val="22"/>
              </w:rPr>
              <w:t>（6）货物在安装、调试、验收合格前的现场保管责任由中标供应商独立承担。</w:t>
            </w:r>
          </w:p>
          <w:p w14:paraId="1CEC282F">
            <w:pPr>
              <w:snapToGrid w:val="0"/>
              <w:ind w:firstLine="440" w:firstLineChars="200"/>
              <w:rPr>
                <w:rFonts w:ascii="宋体" w:hAnsi="宋体" w:cs="宋体"/>
                <w:color w:val="auto"/>
                <w:sz w:val="22"/>
                <w:szCs w:val="22"/>
              </w:rPr>
            </w:pPr>
            <w:r>
              <w:rPr>
                <w:rFonts w:hint="eastAsia" w:ascii="宋体" w:hAnsi="宋体" w:cs="宋体"/>
                <w:color w:val="auto"/>
                <w:sz w:val="22"/>
                <w:szCs w:val="22"/>
              </w:rPr>
              <w:t>（7）货物在安装、调试并验收合格前的</w:t>
            </w:r>
            <w:r>
              <w:rPr>
                <w:rFonts w:hint="eastAsia" w:ascii="宋体" w:hAnsi="宋体" w:cs="宋体"/>
                <w:color w:val="auto"/>
                <w:sz w:val="22"/>
                <w:szCs w:val="22"/>
                <w:u w:val="single"/>
              </w:rPr>
              <w:t>一切保险事宜（含货物运输险及现场工作人员人身意外险等）均由中标供应商负责办理并承担费用。项</w:t>
            </w:r>
            <w:r>
              <w:rPr>
                <w:rFonts w:hint="eastAsia" w:ascii="宋体" w:hAnsi="宋体" w:cs="宋体"/>
                <w:color w:val="auto"/>
                <w:sz w:val="22"/>
                <w:szCs w:val="22"/>
              </w:rPr>
              <w:t xml:space="preserve">目实施过程中，中标供应商须采取充分的安全防护措施，若因操作不当或现场防护不足导致人员伤亡、实施现场防范措施设置不明造成人员伤害事故，中标供应商应承担全部修复及赔偿责任，中标人应承担项目实施过程中的所有安全责任及各类损失赔偿。 </w:t>
            </w:r>
          </w:p>
        </w:tc>
      </w:tr>
      <w:tr w14:paraId="431CC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2" w:type="pct"/>
            <w:tcBorders>
              <w:top w:val="single" w:color="auto" w:sz="4" w:space="0"/>
              <w:bottom w:val="single" w:color="auto" w:sz="4" w:space="0"/>
              <w:right w:val="single" w:color="auto" w:sz="4" w:space="0"/>
            </w:tcBorders>
            <w:vAlign w:val="center"/>
          </w:tcPr>
          <w:p w14:paraId="09A0A804">
            <w:pPr>
              <w:snapToGrid w:val="0"/>
              <w:spacing w:line="360" w:lineRule="auto"/>
              <w:jc w:val="center"/>
              <w:rPr>
                <w:rFonts w:ascii="宋体" w:hAnsi="宋体" w:cs="宋体"/>
                <w:color w:val="auto"/>
                <w:spacing w:val="-6"/>
                <w:sz w:val="22"/>
                <w:szCs w:val="22"/>
              </w:rPr>
            </w:pPr>
            <w:r>
              <w:rPr>
                <w:rFonts w:hint="eastAsia" w:ascii="宋体" w:hAnsi="宋体" w:cs="宋体"/>
                <w:color w:val="auto"/>
                <w:spacing w:val="-6"/>
                <w:sz w:val="22"/>
                <w:szCs w:val="22"/>
              </w:rPr>
              <w:t>验收标准</w:t>
            </w:r>
          </w:p>
        </w:tc>
        <w:tc>
          <w:tcPr>
            <w:tcW w:w="4667" w:type="pct"/>
            <w:tcBorders>
              <w:top w:val="single" w:color="auto" w:sz="4" w:space="0"/>
              <w:left w:val="single" w:color="auto" w:sz="4" w:space="0"/>
              <w:bottom w:val="single" w:color="auto" w:sz="4" w:space="0"/>
            </w:tcBorders>
            <w:vAlign w:val="center"/>
          </w:tcPr>
          <w:p w14:paraId="57455AEA">
            <w:pPr>
              <w:pStyle w:val="32"/>
              <w:ind w:firstLine="440" w:firstLineChars="200"/>
              <w:rPr>
                <w:rFonts w:cs="宋体"/>
                <w:color w:val="auto"/>
                <w:sz w:val="22"/>
                <w:szCs w:val="22"/>
              </w:rPr>
            </w:pPr>
            <w:r>
              <w:rPr>
                <w:rFonts w:hint="eastAsia" w:cs="宋体"/>
                <w:color w:val="auto"/>
                <w:sz w:val="22"/>
                <w:szCs w:val="22"/>
              </w:rPr>
              <w:t>1.本合同交付验收由采购人组织实施，中标供应商应派专业的技术人员协助进行验收。</w:t>
            </w:r>
          </w:p>
          <w:p w14:paraId="381289F2">
            <w:pPr>
              <w:numPr>
                <w:ilvl w:val="255"/>
                <w:numId w:val="0"/>
              </w:numPr>
              <w:ind w:firstLine="440" w:firstLineChars="200"/>
              <w:jc w:val="left"/>
              <w:rPr>
                <w:rFonts w:ascii="宋体" w:hAnsi="宋体" w:cs="宋体"/>
                <w:color w:val="auto"/>
                <w:sz w:val="22"/>
                <w:szCs w:val="22"/>
              </w:rPr>
            </w:pPr>
            <w:r>
              <w:rPr>
                <w:rFonts w:hint="eastAsia"/>
                <w:color w:val="auto"/>
                <w:sz w:val="22"/>
                <w:szCs w:val="22"/>
              </w:rPr>
              <w:t>2.履约验收时间：</w:t>
            </w:r>
            <w:r>
              <w:rPr>
                <w:rFonts w:hint="eastAsia" w:ascii="宋体" w:hAnsi="宋体" w:cs="宋体"/>
                <w:color w:val="auto"/>
                <w:sz w:val="22"/>
                <w:szCs w:val="22"/>
              </w:rPr>
              <w:t>完成全部产品供货、安装调试并验收合格后</w:t>
            </w:r>
            <w:r>
              <w:rPr>
                <w:rFonts w:hint="eastAsia" w:ascii="宋体" w:hAnsi="宋体" w:cs="宋体"/>
                <w:bCs/>
                <w:color w:val="auto"/>
                <w:sz w:val="22"/>
                <w:szCs w:val="22"/>
              </w:rPr>
              <w:t>。</w:t>
            </w:r>
          </w:p>
          <w:p w14:paraId="090175B5">
            <w:pPr>
              <w:numPr>
                <w:ilvl w:val="255"/>
                <w:numId w:val="0"/>
              </w:numPr>
              <w:ind w:firstLine="440" w:firstLineChars="200"/>
              <w:jc w:val="left"/>
              <w:rPr>
                <w:rFonts w:ascii="宋体" w:hAnsi="宋体" w:cs="宋体"/>
                <w:color w:val="auto"/>
                <w:sz w:val="22"/>
                <w:szCs w:val="22"/>
              </w:rPr>
            </w:pPr>
            <w:r>
              <w:rPr>
                <w:rFonts w:hint="eastAsia" w:cs="宋体"/>
                <w:color w:val="auto"/>
                <w:sz w:val="22"/>
                <w:szCs w:val="22"/>
              </w:rPr>
              <w:t>3.交付验收标准：</w:t>
            </w:r>
            <w:r>
              <w:rPr>
                <w:rFonts w:hint="eastAsia" w:ascii="宋体" w:hAnsi="宋体" w:cs="宋体"/>
                <w:color w:val="auto"/>
                <w:sz w:val="22"/>
                <w:szCs w:val="22"/>
              </w:rPr>
              <w:t>根据合同、招标文件、投标文件确定的技术指标或者服务要求确定验收指标和标准。未进行相应约定的，应当符合国家强制性规定、政策要求、安全标准、行业或企业有关标准等。</w:t>
            </w:r>
          </w:p>
          <w:p w14:paraId="38264781">
            <w:pPr>
              <w:pStyle w:val="59"/>
              <w:ind w:firstLine="440" w:firstLineChars="200"/>
              <w:jc w:val="left"/>
              <w:rPr>
                <w:b w:val="0"/>
                <w:bCs/>
                <w:color w:val="auto"/>
                <w:sz w:val="22"/>
                <w:szCs w:val="22"/>
                <w:lang w:val="en-US"/>
              </w:rPr>
            </w:pPr>
            <w:r>
              <w:rPr>
                <w:rFonts w:hint="eastAsia"/>
                <w:b w:val="0"/>
                <w:bCs/>
                <w:color w:val="auto"/>
                <w:sz w:val="22"/>
                <w:szCs w:val="22"/>
                <w:lang w:val="en-US"/>
              </w:rPr>
              <w:t>4.验收内容：</w:t>
            </w:r>
          </w:p>
          <w:tbl>
            <w:tblPr>
              <w:tblStyle w:val="64"/>
              <w:tblW w:w="7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182"/>
              <w:gridCol w:w="5434"/>
            </w:tblGrid>
            <w:tr w14:paraId="5394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3" w:type="dxa"/>
                  <w:vAlign w:val="center"/>
                </w:tcPr>
                <w:p w14:paraId="1D26F9E6">
                  <w:pPr>
                    <w:pStyle w:val="864"/>
                    <w:widowControl/>
                    <w:snapToGrid w:val="0"/>
                    <w:ind w:right="0" w:firstLine="0"/>
                    <w:rPr>
                      <w:rFonts w:ascii="宋体" w:hAnsi="宋体" w:cs="宋体"/>
                      <w:color w:val="auto"/>
                      <w:sz w:val="22"/>
                      <w:szCs w:val="22"/>
                    </w:rPr>
                  </w:pPr>
                  <w:r>
                    <w:rPr>
                      <w:rFonts w:hint="eastAsia" w:ascii="宋体" w:hAnsi="宋体" w:cs="宋体"/>
                      <w:color w:val="auto"/>
                      <w:sz w:val="22"/>
                      <w:szCs w:val="22"/>
                    </w:rPr>
                    <w:t>序号</w:t>
                  </w:r>
                </w:p>
              </w:tc>
              <w:tc>
                <w:tcPr>
                  <w:tcW w:w="1182" w:type="dxa"/>
                  <w:vAlign w:val="center"/>
                </w:tcPr>
                <w:p w14:paraId="3302E45B">
                  <w:pPr>
                    <w:pStyle w:val="864"/>
                    <w:widowControl/>
                    <w:snapToGrid w:val="0"/>
                    <w:ind w:right="0" w:firstLine="0"/>
                    <w:rPr>
                      <w:rFonts w:ascii="宋体" w:hAnsi="宋体" w:cs="宋体"/>
                      <w:color w:val="auto"/>
                      <w:sz w:val="22"/>
                      <w:szCs w:val="22"/>
                    </w:rPr>
                  </w:pPr>
                  <w:r>
                    <w:rPr>
                      <w:rFonts w:hint="eastAsia" w:ascii="宋体" w:hAnsi="宋体" w:cs="宋体"/>
                      <w:color w:val="auto"/>
                      <w:sz w:val="22"/>
                      <w:szCs w:val="22"/>
                    </w:rPr>
                    <w:t>验收内容</w:t>
                  </w:r>
                </w:p>
              </w:tc>
              <w:tc>
                <w:tcPr>
                  <w:tcW w:w="5434" w:type="dxa"/>
                  <w:vAlign w:val="center"/>
                </w:tcPr>
                <w:p w14:paraId="5F656E86">
                  <w:pPr>
                    <w:pStyle w:val="864"/>
                    <w:widowControl/>
                    <w:snapToGrid w:val="0"/>
                    <w:ind w:right="0" w:firstLine="360"/>
                    <w:jc w:val="center"/>
                    <w:rPr>
                      <w:rFonts w:ascii="宋体" w:hAnsi="宋体" w:cs="宋体"/>
                      <w:color w:val="auto"/>
                      <w:sz w:val="22"/>
                      <w:szCs w:val="22"/>
                    </w:rPr>
                  </w:pPr>
                  <w:r>
                    <w:rPr>
                      <w:rFonts w:hint="eastAsia" w:ascii="宋体" w:hAnsi="宋体" w:cs="宋体"/>
                      <w:color w:val="auto"/>
                      <w:sz w:val="22"/>
                      <w:szCs w:val="22"/>
                    </w:rPr>
                    <w:t>验收标准</w:t>
                  </w:r>
                </w:p>
              </w:tc>
            </w:tr>
            <w:tr w14:paraId="3D54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843" w:type="dxa"/>
                  <w:vAlign w:val="center"/>
                </w:tcPr>
                <w:p w14:paraId="4DE8F47C">
                  <w:pPr>
                    <w:pStyle w:val="864"/>
                    <w:widowControl/>
                    <w:snapToGrid w:val="0"/>
                    <w:ind w:right="0" w:firstLine="360"/>
                    <w:jc w:val="left"/>
                    <w:rPr>
                      <w:rFonts w:ascii="宋体" w:hAnsi="宋体" w:cs="宋体"/>
                      <w:color w:val="auto"/>
                      <w:sz w:val="22"/>
                      <w:szCs w:val="22"/>
                    </w:rPr>
                  </w:pPr>
                  <w:r>
                    <w:rPr>
                      <w:rFonts w:hint="eastAsia" w:ascii="宋体" w:hAnsi="宋体" w:cs="宋体"/>
                      <w:color w:val="auto"/>
                      <w:sz w:val="22"/>
                      <w:szCs w:val="22"/>
                    </w:rPr>
                    <w:t>1</w:t>
                  </w:r>
                </w:p>
              </w:tc>
              <w:tc>
                <w:tcPr>
                  <w:tcW w:w="1182" w:type="dxa"/>
                  <w:vAlign w:val="center"/>
                </w:tcPr>
                <w:p w14:paraId="1BCCD44D">
                  <w:pPr>
                    <w:widowControl/>
                    <w:jc w:val="left"/>
                    <w:rPr>
                      <w:rFonts w:ascii="宋体" w:hAnsi="宋体" w:cs="宋体"/>
                      <w:color w:val="auto"/>
                      <w:sz w:val="22"/>
                      <w:szCs w:val="22"/>
                    </w:rPr>
                  </w:pPr>
                  <w:r>
                    <w:rPr>
                      <w:rFonts w:hint="eastAsia" w:ascii="宋体" w:hAnsi="宋体" w:cs="宋体"/>
                      <w:color w:val="auto"/>
                      <w:sz w:val="22"/>
                      <w:szCs w:val="22"/>
                    </w:rPr>
                    <w:t>质量</w:t>
                  </w:r>
                </w:p>
              </w:tc>
              <w:tc>
                <w:tcPr>
                  <w:tcW w:w="5434" w:type="dxa"/>
                  <w:vAlign w:val="center"/>
                </w:tcPr>
                <w:p w14:paraId="55D77B5A">
                  <w:pPr>
                    <w:widowControl/>
                    <w:rPr>
                      <w:rFonts w:ascii="宋体" w:hAnsi="宋体" w:cs="宋体"/>
                      <w:color w:val="auto"/>
                      <w:sz w:val="22"/>
                      <w:szCs w:val="22"/>
                    </w:rPr>
                  </w:pPr>
                  <w:r>
                    <w:rPr>
                      <w:rFonts w:hint="eastAsia" w:ascii="宋体" w:hAnsi="宋体" w:cs="宋体"/>
                      <w:color w:val="auto"/>
                      <w:sz w:val="22"/>
                      <w:szCs w:val="22"/>
                    </w:rPr>
                    <w:t>核对产品的品牌、型号、参数、数量、材质、颜色、保修期等是否与合同及投标文件承诺相符，检查资料是否提供了所有产品到货核验单（需采购人经办人、复核人及投标人供货人三方签字盖章）、拍照图片、</w:t>
                  </w:r>
                  <w:r>
                    <w:rPr>
                      <w:rFonts w:hint="eastAsia" w:ascii="宋体" w:hAnsi="宋体" w:cs="宋体"/>
                      <w:color w:val="auto"/>
                      <w:kern w:val="0"/>
                      <w:sz w:val="22"/>
                      <w:szCs w:val="22"/>
                    </w:rPr>
                    <w:t>产品手册</w:t>
                  </w:r>
                  <w:r>
                    <w:rPr>
                      <w:rFonts w:hint="eastAsia" w:ascii="宋体" w:hAnsi="宋体" w:cs="宋体"/>
                      <w:color w:val="auto"/>
                      <w:sz w:val="22"/>
                      <w:szCs w:val="22"/>
                    </w:rPr>
                    <w:t>、产品合格证原件、质保承诺函、生产日期凭证、</w:t>
                  </w:r>
                  <w:r>
                    <w:rPr>
                      <w:rFonts w:hint="eastAsia" w:ascii="宋体" w:hAnsi="宋体" w:cs="宋体"/>
                      <w:color w:val="auto"/>
                      <w:kern w:val="0"/>
                      <w:sz w:val="22"/>
                      <w:szCs w:val="22"/>
                    </w:rPr>
                    <w:t>培训材料</w:t>
                  </w:r>
                  <w:r>
                    <w:rPr>
                      <w:rFonts w:hint="eastAsia" w:ascii="宋体" w:hAnsi="宋体" w:cs="宋体"/>
                      <w:color w:val="auto"/>
                      <w:sz w:val="22"/>
                      <w:szCs w:val="22"/>
                    </w:rPr>
                    <w:t>、</w:t>
                  </w:r>
                  <w:r>
                    <w:rPr>
                      <w:rFonts w:hint="eastAsia" w:ascii="宋体" w:hAnsi="宋体" w:cs="宋体"/>
                      <w:color w:val="auto"/>
                      <w:kern w:val="0"/>
                      <w:sz w:val="22"/>
                      <w:szCs w:val="22"/>
                    </w:rPr>
                    <w:t>培训视频</w:t>
                  </w:r>
                  <w:r>
                    <w:rPr>
                      <w:rFonts w:hint="eastAsia" w:ascii="宋体" w:hAnsi="宋体" w:cs="宋体"/>
                      <w:color w:val="auto"/>
                      <w:sz w:val="22"/>
                      <w:szCs w:val="22"/>
                    </w:rPr>
                    <w:t>、三包凭证、</w:t>
                  </w:r>
                  <w:r>
                    <w:rPr>
                      <w:rFonts w:hint="eastAsia" w:ascii="宋体" w:hAnsi="宋体" w:cs="宋体"/>
                      <w:color w:val="auto"/>
                      <w:kern w:val="0"/>
                      <w:sz w:val="22"/>
                      <w:szCs w:val="22"/>
                    </w:rPr>
                    <w:t>典型问题解决说明文档或视频、开箱组装/使用指导、驱动光盘或下载方式、供应能力证明</w:t>
                  </w:r>
                  <w:r>
                    <w:rPr>
                      <w:rFonts w:hint="eastAsia" w:ascii="宋体" w:hAnsi="宋体" w:cs="宋体"/>
                      <w:color w:val="auto"/>
                      <w:sz w:val="22"/>
                      <w:szCs w:val="22"/>
                    </w:rPr>
                    <w:t>等。</w:t>
                  </w:r>
                </w:p>
              </w:tc>
            </w:tr>
            <w:tr w14:paraId="4FE6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3" w:type="dxa"/>
                  <w:vAlign w:val="center"/>
                </w:tcPr>
                <w:p w14:paraId="64C8F425">
                  <w:pPr>
                    <w:pStyle w:val="864"/>
                    <w:widowControl/>
                    <w:snapToGrid w:val="0"/>
                    <w:ind w:right="0" w:firstLine="360"/>
                    <w:jc w:val="left"/>
                    <w:rPr>
                      <w:rFonts w:ascii="宋体" w:hAnsi="宋体" w:cs="宋体"/>
                      <w:color w:val="auto"/>
                      <w:sz w:val="22"/>
                      <w:szCs w:val="22"/>
                    </w:rPr>
                  </w:pPr>
                  <w:r>
                    <w:rPr>
                      <w:rFonts w:hint="eastAsia" w:ascii="宋体" w:hAnsi="宋体" w:cs="宋体"/>
                      <w:color w:val="auto"/>
                      <w:sz w:val="22"/>
                      <w:szCs w:val="22"/>
                    </w:rPr>
                    <w:t>2</w:t>
                  </w:r>
                </w:p>
              </w:tc>
              <w:tc>
                <w:tcPr>
                  <w:tcW w:w="1182" w:type="dxa"/>
                  <w:vAlign w:val="center"/>
                </w:tcPr>
                <w:p w14:paraId="7CC692CF">
                  <w:pPr>
                    <w:widowControl/>
                    <w:jc w:val="left"/>
                    <w:rPr>
                      <w:rFonts w:ascii="宋体" w:hAnsi="宋体" w:cs="宋体"/>
                      <w:color w:val="auto"/>
                      <w:sz w:val="22"/>
                      <w:szCs w:val="22"/>
                    </w:rPr>
                  </w:pPr>
                  <w:r>
                    <w:rPr>
                      <w:rFonts w:hint="eastAsia" w:ascii="宋体" w:hAnsi="宋体" w:cs="宋体"/>
                      <w:color w:val="auto"/>
                      <w:sz w:val="22"/>
                      <w:szCs w:val="22"/>
                    </w:rPr>
                    <w:t>交货</w:t>
                  </w:r>
                </w:p>
              </w:tc>
              <w:tc>
                <w:tcPr>
                  <w:tcW w:w="5434" w:type="dxa"/>
                  <w:vAlign w:val="center"/>
                </w:tcPr>
                <w:p w14:paraId="4FDAF4CE">
                  <w:pPr>
                    <w:widowControl/>
                    <w:rPr>
                      <w:rFonts w:ascii="宋体" w:hAnsi="宋体" w:cs="宋体"/>
                      <w:color w:val="auto"/>
                      <w:sz w:val="22"/>
                      <w:szCs w:val="22"/>
                    </w:rPr>
                  </w:pPr>
                  <w:r>
                    <w:rPr>
                      <w:rFonts w:hint="eastAsia" w:ascii="宋体" w:hAnsi="宋体" w:cs="宋体"/>
                      <w:color w:val="auto"/>
                      <w:sz w:val="22"/>
                      <w:szCs w:val="22"/>
                    </w:rPr>
                    <w:t>项目按送货要求完成供货、安装、调试、并在规定的时间内送达。</w:t>
                  </w:r>
                </w:p>
              </w:tc>
            </w:tr>
            <w:tr w14:paraId="028F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3" w:type="dxa"/>
                  <w:vAlign w:val="center"/>
                </w:tcPr>
                <w:p w14:paraId="78F0E69B">
                  <w:pPr>
                    <w:pStyle w:val="864"/>
                    <w:widowControl/>
                    <w:snapToGrid w:val="0"/>
                    <w:ind w:right="0" w:firstLine="360"/>
                    <w:jc w:val="left"/>
                    <w:rPr>
                      <w:rFonts w:ascii="宋体" w:hAnsi="宋体" w:cs="宋体"/>
                      <w:color w:val="auto"/>
                      <w:sz w:val="22"/>
                      <w:szCs w:val="22"/>
                    </w:rPr>
                  </w:pPr>
                  <w:r>
                    <w:rPr>
                      <w:rFonts w:hint="eastAsia" w:ascii="宋体" w:hAnsi="宋体" w:cs="宋体"/>
                      <w:color w:val="auto"/>
                      <w:sz w:val="22"/>
                      <w:szCs w:val="22"/>
                    </w:rPr>
                    <w:t>3</w:t>
                  </w:r>
                </w:p>
              </w:tc>
              <w:tc>
                <w:tcPr>
                  <w:tcW w:w="1182" w:type="dxa"/>
                  <w:vAlign w:val="center"/>
                </w:tcPr>
                <w:p w14:paraId="18863676">
                  <w:pPr>
                    <w:widowControl/>
                    <w:jc w:val="left"/>
                    <w:rPr>
                      <w:rFonts w:ascii="宋体" w:hAnsi="宋体" w:cs="宋体"/>
                      <w:color w:val="auto"/>
                      <w:sz w:val="22"/>
                      <w:szCs w:val="22"/>
                    </w:rPr>
                  </w:pPr>
                  <w:r>
                    <w:rPr>
                      <w:rFonts w:hint="eastAsia" w:ascii="宋体" w:hAnsi="宋体" w:cs="宋体"/>
                      <w:color w:val="auto"/>
                      <w:sz w:val="22"/>
                      <w:szCs w:val="22"/>
                    </w:rPr>
                    <w:t>人员要求</w:t>
                  </w:r>
                </w:p>
              </w:tc>
              <w:tc>
                <w:tcPr>
                  <w:tcW w:w="5434" w:type="dxa"/>
                  <w:vAlign w:val="center"/>
                </w:tcPr>
                <w:p w14:paraId="419E66B3">
                  <w:pPr>
                    <w:widowControl/>
                    <w:rPr>
                      <w:rFonts w:ascii="宋体" w:hAnsi="宋体" w:cs="宋体"/>
                      <w:color w:val="auto"/>
                      <w:sz w:val="22"/>
                      <w:szCs w:val="22"/>
                    </w:rPr>
                  </w:pPr>
                  <w:r>
                    <w:rPr>
                      <w:rFonts w:hint="eastAsia" w:ascii="宋体" w:hAnsi="宋体" w:cs="宋体"/>
                      <w:color w:val="auto"/>
                      <w:sz w:val="22"/>
                      <w:szCs w:val="22"/>
                    </w:rPr>
                    <w:t>按合同及投标文件承诺提供服务人员。</w:t>
                  </w:r>
                </w:p>
              </w:tc>
            </w:tr>
            <w:tr w14:paraId="6868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43" w:type="dxa"/>
                  <w:vAlign w:val="center"/>
                </w:tcPr>
                <w:p w14:paraId="5C01B237">
                  <w:pPr>
                    <w:pStyle w:val="864"/>
                    <w:widowControl/>
                    <w:snapToGrid w:val="0"/>
                    <w:ind w:right="0" w:firstLine="360"/>
                    <w:jc w:val="left"/>
                    <w:rPr>
                      <w:rFonts w:ascii="宋体" w:hAnsi="宋体" w:cs="宋体"/>
                      <w:color w:val="auto"/>
                      <w:sz w:val="22"/>
                      <w:szCs w:val="22"/>
                    </w:rPr>
                  </w:pPr>
                  <w:r>
                    <w:rPr>
                      <w:rFonts w:hint="eastAsia" w:ascii="宋体" w:hAnsi="宋体" w:cs="宋体"/>
                      <w:color w:val="auto"/>
                      <w:sz w:val="22"/>
                      <w:szCs w:val="22"/>
                    </w:rPr>
                    <w:t>4</w:t>
                  </w:r>
                </w:p>
              </w:tc>
              <w:tc>
                <w:tcPr>
                  <w:tcW w:w="1182" w:type="dxa"/>
                  <w:vAlign w:val="center"/>
                </w:tcPr>
                <w:p w14:paraId="43B791C5">
                  <w:pPr>
                    <w:widowControl/>
                    <w:jc w:val="left"/>
                    <w:rPr>
                      <w:rFonts w:ascii="宋体" w:hAnsi="宋体" w:cs="宋体"/>
                      <w:color w:val="auto"/>
                      <w:sz w:val="22"/>
                      <w:szCs w:val="22"/>
                    </w:rPr>
                  </w:pPr>
                  <w:r>
                    <w:rPr>
                      <w:rFonts w:hint="eastAsia" w:ascii="宋体" w:hAnsi="宋体" w:cs="宋体"/>
                      <w:color w:val="auto"/>
                      <w:sz w:val="22"/>
                      <w:szCs w:val="22"/>
                    </w:rPr>
                    <w:t>其他工作</w:t>
                  </w:r>
                </w:p>
              </w:tc>
              <w:tc>
                <w:tcPr>
                  <w:tcW w:w="5434" w:type="dxa"/>
                  <w:vAlign w:val="center"/>
                </w:tcPr>
                <w:p w14:paraId="1CA6BD77">
                  <w:pPr>
                    <w:widowControl/>
                    <w:rPr>
                      <w:rFonts w:ascii="宋体" w:hAnsi="宋体" w:cs="宋体"/>
                      <w:color w:val="auto"/>
                      <w:sz w:val="22"/>
                      <w:szCs w:val="22"/>
                    </w:rPr>
                  </w:pPr>
                  <w:r>
                    <w:rPr>
                      <w:rFonts w:hint="eastAsia" w:ascii="宋体" w:hAnsi="宋体" w:cs="宋体"/>
                      <w:color w:val="auto"/>
                      <w:sz w:val="22"/>
                      <w:szCs w:val="22"/>
                    </w:rPr>
                    <w:t>履行项目采购文件、投标文件、合同条款中涉及的其他承诺的情况。</w:t>
                  </w:r>
                </w:p>
              </w:tc>
            </w:tr>
          </w:tbl>
          <w:p w14:paraId="65A3E712">
            <w:pPr>
              <w:pStyle w:val="59"/>
              <w:rPr>
                <w:color w:val="auto"/>
                <w:sz w:val="22"/>
                <w:szCs w:val="22"/>
                <w:lang w:val="en-US"/>
              </w:rPr>
            </w:pPr>
          </w:p>
          <w:p w14:paraId="18AAB825">
            <w:pPr>
              <w:pStyle w:val="32"/>
              <w:ind w:firstLine="440" w:firstLineChars="200"/>
              <w:rPr>
                <w:rFonts w:cs="宋体"/>
                <w:color w:val="auto"/>
                <w:sz w:val="22"/>
                <w:szCs w:val="22"/>
              </w:rPr>
            </w:pPr>
            <w:r>
              <w:rPr>
                <w:rFonts w:hint="eastAsia" w:cs="宋体"/>
                <w:color w:val="auto"/>
                <w:sz w:val="22"/>
                <w:szCs w:val="22"/>
              </w:rPr>
              <w:t>5.验收合格条件：</w:t>
            </w:r>
          </w:p>
          <w:p w14:paraId="0AD4275D">
            <w:pPr>
              <w:pStyle w:val="32"/>
              <w:ind w:firstLine="440" w:firstLineChars="200"/>
              <w:rPr>
                <w:rFonts w:cs="宋体"/>
                <w:color w:val="auto"/>
                <w:sz w:val="22"/>
                <w:szCs w:val="22"/>
              </w:rPr>
            </w:pPr>
            <w:r>
              <w:rPr>
                <w:rFonts w:hint="eastAsia" w:cs="宋体"/>
                <w:color w:val="auto"/>
                <w:sz w:val="22"/>
                <w:szCs w:val="22"/>
              </w:rPr>
              <w:t>（1）所供产品的品牌、型号、参数、数量、材质、颜色、保修期等符合招标文件、供应商投标承诺及采购合同约定的要求。</w:t>
            </w:r>
          </w:p>
          <w:p w14:paraId="5187581D">
            <w:pPr>
              <w:pStyle w:val="32"/>
              <w:ind w:firstLine="440" w:firstLineChars="200"/>
              <w:rPr>
                <w:rFonts w:cs="宋体"/>
                <w:color w:val="auto"/>
                <w:sz w:val="22"/>
                <w:szCs w:val="22"/>
              </w:rPr>
            </w:pPr>
            <w:r>
              <w:rPr>
                <w:rFonts w:hint="eastAsia" w:cs="宋体"/>
                <w:color w:val="auto"/>
                <w:sz w:val="22"/>
                <w:szCs w:val="22"/>
              </w:rPr>
              <w:t>（2）合同中规定的所有货物均已运输至指定地点，并安装调试完毕。</w:t>
            </w:r>
          </w:p>
          <w:p w14:paraId="5EEFD23E">
            <w:pPr>
              <w:pStyle w:val="32"/>
              <w:ind w:firstLine="440" w:firstLineChars="200"/>
              <w:rPr>
                <w:rFonts w:cs="宋体"/>
                <w:color w:val="auto"/>
                <w:sz w:val="22"/>
                <w:szCs w:val="22"/>
              </w:rPr>
            </w:pPr>
            <w:r>
              <w:rPr>
                <w:rFonts w:hint="eastAsia" w:cs="宋体"/>
                <w:color w:val="auto"/>
                <w:sz w:val="22"/>
                <w:szCs w:val="22"/>
              </w:rPr>
              <w:t>（3）设备类产品外观完好，家具类产品无严重碰撞、表皮脱落、五金件生锈等明显瑕疵，所供产品结构牢固，无安全隐患。</w:t>
            </w:r>
          </w:p>
          <w:p w14:paraId="0F71751B">
            <w:pPr>
              <w:pStyle w:val="32"/>
              <w:ind w:firstLine="440" w:firstLineChars="200"/>
              <w:rPr>
                <w:rFonts w:hAnsi="宋体" w:cs="宋体"/>
                <w:color w:val="auto"/>
                <w:sz w:val="22"/>
                <w:szCs w:val="22"/>
              </w:rPr>
            </w:pPr>
            <w:r>
              <w:rPr>
                <w:rFonts w:hint="eastAsia" w:cs="宋体"/>
                <w:color w:val="auto"/>
                <w:sz w:val="22"/>
                <w:szCs w:val="22"/>
              </w:rPr>
              <w:t>（4）</w:t>
            </w:r>
            <w:r>
              <w:rPr>
                <w:rFonts w:hint="eastAsia" w:hAnsi="宋体" w:cs="宋体"/>
                <w:color w:val="auto"/>
                <w:sz w:val="22"/>
                <w:szCs w:val="22"/>
              </w:rPr>
              <w:t>在进行测试和验收过程中发现的问题已被解决并得到采购人的认可.</w:t>
            </w:r>
          </w:p>
          <w:p w14:paraId="12EF8AC0">
            <w:pPr>
              <w:pStyle w:val="32"/>
              <w:ind w:firstLine="440" w:firstLineChars="200"/>
              <w:rPr>
                <w:rFonts w:cs="宋体"/>
                <w:color w:val="auto"/>
                <w:sz w:val="22"/>
                <w:szCs w:val="22"/>
              </w:rPr>
            </w:pPr>
            <w:r>
              <w:rPr>
                <w:rFonts w:hint="eastAsia" w:cs="宋体"/>
                <w:color w:val="auto"/>
                <w:sz w:val="22"/>
                <w:szCs w:val="22"/>
              </w:rPr>
              <w:t>（5）如有抽检要求的，检测结果符合招标文件、供应商投标承诺及采购合同约定的要求。</w:t>
            </w:r>
          </w:p>
          <w:p w14:paraId="5AB2A92B">
            <w:pPr>
              <w:pStyle w:val="32"/>
              <w:ind w:firstLine="440" w:firstLineChars="200"/>
              <w:rPr>
                <w:rFonts w:cs="宋体"/>
                <w:color w:val="auto"/>
                <w:sz w:val="22"/>
                <w:szCs w:val="22"/>
              </w:rPr>
            </w:pPr>
            <w:r>
              <w:rPr>
                <w:rFonts w:hint="eastAsia" w:cs="宋体"/>
                <w:color w:val="auto"/>
                <w:sz w:val="22"/>
                <w:szCs w:val="22"/>
              </w:rPr>
              <w:t>（6）供应商投标承诺及采购文件、投标文件、合同条款中约定的其他附件、工具、技术资料等齐全。</w:t>
            </w:r>
          </w:p>
          <w:p w14:paraId="78851735">
            <w:pPr>
              <w:pStyle w:val="32"/>
              <w:ind w:firstLine="440" w:firstLineChars="200"/>
              <w:rPr>
                <w:rFonts w:hAnsi="宋体" w:cs="宋体"/>
                <w:color w:val="auto"/>
                <w:sz w:val="22"/>
                <w:szCs w:val="22"/>
              </w:rPr>
            </w:pPr>
            <w:r>
              <w:rPr>
                <w:rFonts w:hint="eastAsia" w:hAnsi="宋体" w:cs="宋体"/>
                <w:color w:val="auto"/>
                <w:sz w:val="22"/>
                <w:szCs w:val="22"/>
              </w:rPr>
              <w:t>（7）供应商应在所供货物到采购人处时进行到货验收，有需要时能联系产品制造商到场共同验收，若发现任何损坏及质量问题，供应商负责妥善处理直至采购人满意，由此产生的费用由供应商承担。</w:t>
            </w:r>
          </w:p>
        </w:tc>
      </w:tr>
    </w:tbl>
    <w:p w14:paraId="32B66ECA">
      <w:pPr>
        <w:snapToGrid w:val="0"/>
        <w:spacing w:line="360" w:lineRule="auto"/>
        <w:rPr>
          <w:rFonts w:ascii="宋体" w:hAnsi="宋体" w:cs="宋体"/>
          <w:color w:val="auto"/>
          <w:sz w:val="22"/>
          <w:szCs w:val="22"/>
          <w:highlight w:val="yellow"/>
        </w:rPr>
      </w:pPr>
    </w:p>
    <w:p w14:paraId="1683C2F2">
      <w:pPr>
        <w:rPr>
          <w:b/>
          <w:bCs/>
          <w:color w:val="auto"/>
          <w:sz w:val="22"/>
          <w:szCs w:val="22"/>
        </w:rPr>
      </w:pPr>
      <w:r>
        <w:rPr>
          <w:rFonts w:hint="eastAsia"/>
          <w:b/>
          <w:bCs/>
          <w:color w:val="auto"/>
          <w:sz w:val="22"/>
          <w:szCs w:val="22"/>
        </w:rPr>
        <w:t>2.</w:t>
      </w:r>
      <w:r>
        <w:rPr>
          <w:rFonts w:hint="eastAsia" w:ascii="宋体" w:hAnsi="宋体" w:cs="宋体"/>
          <w:b/>
          <w:bCs/>
          <w:color w:val="auto"/>
          <w:sz w:val="22"/>
          <w:szCs w:val="22"/>
        </w:rPr>
        <w:t>计算机实训室数据决策分析平台、融合桌面云平台、电子教室软件等软件服务要求</w:t>
      </w:r>
    </w:p>
    <w:tbl>
      <w:tblPr>
        <w:tblStyle w:val="63"/>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67"/>
        <w:gridCol w:w="7126"/>
      </w:tblGrid>
      <w:tr w14:paraId="48895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5" w:type="pct"/>
            <w:tcBorders>
              <w:top w:val="single" w:color="auto" w:sz="4" w:space="0"/>
              <w:left w:val="single" w:color="auto" w:sz="4" w:space="0"/>
              <w:bottom w:val="single" w:color="auto" w:sz="4" w:space="0"/>
              <w:right w:val="single" w:color="auto" w:sz="4" w:space="0"/>
            </w:tcBorders>
            <w:vAlign w:val="center"/>
          </w:tcPr>
          <w:p w14:paraId="0E3939A8">
            <w:pPr>
              <w:snapToGrid w:val="0"/>
              <w:spacing w:line="360" w:lineRule="auto"/>
              <w:jc w:val="center"/>
              <w:rPr>
                <w:rFonts w:ascii="宋体" w:hAnsi="宋体" w:cs="宋体"/>
                <w:b/>
                <w:bCs/>
                <w:color w:val="auto"/>
                <w:sz w:val="22"/>
                <w:szCs w:val="22"/>
              </w:rPr>
            </w:pPr>
            <w:r>
              <w:rPr>
                <w:rFonts w:hint="eastAsia" w:ascii="宋体" w:hAnsi="宋体" w:cs="宋体"/>
                <w:b/>
                <w:bCs/>
                <w:color w:val="auto"/>
                <w:sz w:val="22"/>
                <w:szCs w:val="22"/>
              </w:rPr>
              <w:t>服务标准、期限、效率</w:t>
            </w:r>
          </w:p>
        </w:tc>
        <w:tc>
          <w:tcPr>
            <w:tcW w:w="4194" w:type="pct"/>
            <w:tcBorders>
              <w:top w:val="single" w:color="auto" w:sz="4" w:space="0"/>
              <w:left w:val="single" w:color="auto" w:sz="4" w:space="0"/>
              <w:bottom w:val="single" w:color="auto" w:sz="4" w:space="0"/>
              <w:right w:val="single" w:color="auto" w:sz="4" w:space="0"/>
            </w:tcBorders>
            <w:vAlign w:val="center"/>
          </w:tcPr>
          <w:p w14:paraId="7E4D7CD9">
            <w:pPr>
              <w:snapToGrid w:val="0"/>
              <w:rPr>
                <w:rFonts w:ascii="宋体" w:hAnsi="宋体" w:cs="宋体"/>
                <w:color w:val="auto"/>
                <w:sz w:val="22"/>
                <w:szCs w:val="22"/>
              </w:rPr>
            </w:pPr>
            <w:r>
              <w:rPr>
                <w:rFonts w:hint="eastAsia" w:ascii="宋体" w:hAnsi="宋体" w:cs="宋体"/>
                <w:color w:val="auto"/>
                <w:sz w:val="22"/>
                <w:szCs w:val="22"/>
              </w:rPr>
              <w:t>1.在质保期内，供应商应对货物出现的质量及安全问题负责处理解决并承担一切费用。</w:t>
            </w:r>
          </w:p>
          <w:p w14:paraId="58BF0A16">
            <w:pPr>
              <w:snapToGrid w:val="0"/>
              <w:rPr>
                <w:rFonts w:ascii="宋体" w:hAnsi="宋体" w:cs="宋体"/>
                <w:color w:val="auto"/>
                <w:sz w:val="22"/>
                <w:szCs w:val="22"/>
              </w:rPr>
            </w:pPr>
            <w:r>
              <w:rPr>
                <w:rFonts w:hint="eastAsia" w:ascii="宋体" w:hAnsi="宋体" w:cs="宋体"/>
                <w:color w:val="auto"/>
                <w:sz w:val="22"/>
                <w:szCs w:val="22"/>
              </w:rPr>
              <w:t>2.在质保期内，供应商应及时免费提供合同货物软件的升级，免费提供合同货物新功能和应用的资料。</w:t>
            </w:r>
          </w:p>
          <w:p w14:paraId="0D3FD850">
            <w:pPr>
              <w:snapToGrid w:val="0"/>
              <w:rPr>
                <w:rFonts w:ascii="宋体" w:hAnsi="宋体" w:cs="宋体"/>
                <w:color w:val="auto"/>
                <w:sz w:val="22"/>
                <w:szCs w:val="22"/>
              </w:rPr>
            </w:pPr>
            <w:r>
              <w:rPr>
                <w:rFonts w:hint="eastAsia" w:ascii="宋体" w:hAnsi="宋体" w:cs="宋体"/>
                <w:color w:val="auto"/>
                <w:sz w:val="22"/>
                <w:szCs w:val="22"/>
              </w:rPr>
              <w:t>3.质保期满后，供应商继续为采购人服务，仅收取成本费。</w:t>
            </w:r>
          </w:p>
          <w:p w14:paraId="0B060199">
            <w:pPr>
              <w:snapToGrid w:val="0"/>
              <w:rPr>
                <w:rFonts w:ascii="宋体" w:hAnsi="宋体" w:cs="宋体"/>
                <w:color w:val="auto"/>
                <w:sz w:val="22"/>
                <w:szCs w:val="22"/>
              </w:rPr>
            </w:pPr>
            <w:r>
              <w:rPr>
                <w:rFonts w:hint="eastAsia" w:ascii="宋体" w:hAnsi="宋体" w:cs="宋体"/>
                <w:color w:val="auto"/>
                <w:sz w:val="22"/>
                <w:szCs w:val="22"/>
              </w:rPr>
              <w:t>4.因人为因素出现的故障不在免费保修范围内。</w:t>
            </w:r>
          </w:p>
          <w:p w14:paraId="276452A6">
            <w:pPr>
              <w:snapToGrid w:val="0"/>
              <w:rPr>
                <w:rFonts w:ascii="宋体" w:hAnsi="宋体" w:cs="宋体"/>
                <w:color w:val="auto"/>
                <w:sz w:val="22"/>
                <w:szCs w:val="22"/>
              </w:rPr>
            </w:pPr>
            <w:r>
              <w:rPr>
                <w:rFonts w:hint="eastAsia" w:ascii="宋体" w:hAnsi="宋体" w:cs="宋体"/>
                <w:color w:val="auto"/>
                <w:sz w:val="22"/>
                <w:szCs w:val="22"/>
              </w:rPr>
              <w:t>5.如在使用过程中发生质量问题，供应商维修响应时间：接到报修通知后 2小时内主动响应，1小时内提供首次电话技术支持，如需现场处理，维修人员应在 24小时内抵达现场并开始维修。现场解决不了的，必须采取提供备份措施，以保证采购人的正常使用。</w:t>
            </w:r>
          </w:p>
        </w:tc>
      </w:tr>
      <w:tr w14:paraId="58154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5" w:type="pct"/>
            <w:tcBorders>
              <w:top w:val="single" w:color="auto" w:sz="4" w:space="0"/>
              <w:left w:val="single" w:color="auto" w:sz="4" w:space="0"/>
              <w:bottom w:val="single" w:color="auto" w:sz="4" w:space="0"/>
              <w:right w:val="single" w:color="auto" w:sz="4" w:space="0"/>
            </w:tcBorders>
            <w:vAlign w:val="center"/>
          </w:tcPr>
          <w:p w14:paraId="13E2FF23">
            <w:pPr>
              <w:snapToGrid w:val="0"/>
              <w:spacing w:line="360" w:lineRule="auto"/>
              <w:jc w:val="center"/>
              <w:rPr>
                <w:rFonts w:ascii="宋体" w:hAnsi="宋体" w:cs="宋体"/>
                <w:b/>
                <w:bCs/>
                <w:color w:val="auto"/>
                <w:sz w:val="22"/>
                <w:szCs w:val="22"/>
              </w:rPr>
            </w:pPr>
            <w:r>
              <w:rPr>
                <w:rFonts w:hint="eastAsia" w:ascii="宋体" w:hAnsi="宋体" w:cs="宋体"/>
                <w:b/>
                <w:bCs/>
                <w:color w:val="auto"/>
                <w:sz w:val="22"/>
                <w:szCs w:val="22"/>
              </w:rPr>
              <w:t>验收标准</w:t>
            </w:r>
          </w:p>
        </w:tc>
        <w:tc>
          <w:tcPr>
            <w:tcW w:w="4194" w:type="pct"/>
            <w:tcBorders>
              <w:top w:val="single" w:color="auto" w:sz="4" w:space="0"/>
              <w:left w:val="single" w:color="auto" w:sz="4" w:space="0"/>
              <w:bottom w:val="single" w:color="auto" w:sz="4" w:space="0"/>
              <w:right w:val="single" w:color="auto" w:sz="4" w:space="0"/>
            </w:tcBorders>
            <w:vAlign w:val="center"/>
          </w:tcPr>
          <w:p w14:paraId="5406D537">
            <w:pPr>
              <w:snapToGrid w:val="0"/>
              <w:rPr>
                <w:rFonts w:ascii="宋体" w:hAnsi="宋体" w:cs="宋体"/>
                <w:color w:val="auto"/>
                <w:sz w:val="22"/>
                <w:szCs w:val="22"/>
              </w:rPr>
            </w:pPr>
            <w:r>
              <w:rPr>
                <w:rFonts w:hint="eastAsia" w:ascii="宋体" w:hAnsi="宋体" w:cs="宋体"/>
                <w:color w:val="auto"/>
                <w:sz w:val="22"/>
                <w:szCs w:val="22"/>
              </w:rPr>
              <w:t>1.验收由采购人负责实施；</w:t>
            </w:r>
          </w:p>
          <w:p w14:paraId="33918CD6">
            <w:pPr>
              <w:snapToGrid w:val="0"/>
              <w:rPr>
                <w:rFonts w:ascii="宋体" w:hAnsi="宋体" w:cs="宋体"/>
                <w:color w:val="auto"/>
                <w:sz w:val="22"/>
                <w:szCs w:val="22"/>
              </w:rPr>
            </w:pPr>
            <w:r>
              <w:rPr>
                <w:rFonts w:hint="eastAsia" w:ascii="宋体" w:hAnsi="宋体" w:cs="宋体"/>
                <w:color w:val="auto"/>
                <w:sz w:val="22"/>
                <w:szCs w:val="22"/>
              </w:rPr>
              <w:t>2.验收依据：</w:t>
            </w:r>
          </w:p>
          <w:p w14:paraId="3D8B8660">
            <w:pPr>
              <w:snapToGrid w:val="0"/>
              <w:rPr>
                <w:rFonts w:ascii="宋体" w:hAnsi="宋体" w:cs="宋体"/>
                <w:color w:val="auto"/>
                <w:sz w:val="22"/>
                <w:szCs w:val="22"/>
              </w:rPr>
            </w:pPr>
            <w:r>
              <w:rPr>
                <w:rFonts w:hint="eastAsia" w:ascii="宋体" w:hAnsi="宋体" w:cs="宋体"/>
                <w:color w:val="auto"/>
                <w:sz w:val="22"/>
                <w:szCs w:val="22"/>
              </w:rPr>
              <w:t>（1）根据合同、招标文件、投标文件确定的技术指标或者服务要求确定验收指标和标准。未进行相应约定的，应当符合国家强制性规定、政策要求、安全标准、行业或企业有关标准等。</w:t>
            </w:r>
          </w:p>
          <w:p w14:paraId="2C38FB44">
            <w:pPr>
              <w:snapToGrid w:val="0"/>
              <w:rPr>
                <w:rFonts w:ascii="宋体" w:hAnsi="宋体" w:cs="宋体"/>
                <w:color w:val="auto"/>
                <w:sz w:val="22"/>
                <w:szCs w:val="22"/>
              </w:rPr>
            </w:pPr>
            <w:r>
              <w:rPr>
                <w:rFonts w:hint="eastAsia" w:ascii="宋体" w:hAnsi="宋体" w:cs="宋体"/>
                <w:color w:val="auto"/>
                <w:sz w:val="22"/>
                <w:szCs w:val="22"/>
              </w:rPr>
              <w:t>（2）供应商提供的技术规格、经采购人认可的合同货物的有效检验文件；</w:t>
            </w:r>
          </w:p>
          <w:p w14:paraId="6FFCF31D">
            <w:pPr>
              <w:snapToGrid w:val="0"/>
              <w:rPr>
                <w:rFonts w:ascii="宋体" w:hAnsi="宋体" w:cs="宋体"/>
                <w:color w:val="auto"/>
                <w:sz w:val="22"/>
                <w:szCs w:val="22"/>
              </w:rPr>
            </w:pPr>
            <w:r>
              <w:rPr>
                <w:rFonts w:hint="eastAsia" w:ascii="宋体" w:hAnsi="宋体" w:cs="宋体"/>
                <w:color w:val="auto"/>
                <w:sz w:val="22"/>
                <w:szCs w:val="22"/>
              </w:rPr>
              <w:t>（3）供应商投标文件中提供的经采购人认可的合同货物的验收标准（符合中国有关的国家、地方、行业标准）和检测办法及相应检测手段。</w:t>
            </w:r>
          </w:p>
          <w:p w14:paraId="786B4114">
            <w:pPr>
              <w:snapToGrid w:val="0"/>
              <w:rPr>
                <w:rFonts w:ascii="宋体" w:hAnsi="宋体" w:cs="宋体"/>
                <w:color w:val="auto"/>
                <w:sz w:val="22"/>
                <w:szCs w:val="22"/>
              </w:rPr>
            </w:pPr>
            <w:r>
              <w:rPr>
                <w:rFonts w:hint="eastAsia" w:ascii="宋体" w:hAnsi="宋体" w:cs="宋体"/>
                <w:color w:val="auto"/>
                <w:sz w:val="22"/>
                <w:szCs w:val="22"/>
              </w:rPr>
              <w:t>3.供应商应派员在所供货物到采购人处时进行到货验收，有需要时能联系产品制造商到场共同验收，若发现任何质量问题，供应商负责妥善处理直至采购人满意，由此产生的费用由供应商承担。</w:t>
            </w:r>
          </w:p>
          <w:p w14:paraId="0B4AE3B3">
            <w:pPr>
              <w:snapToGrid w:val="0"/>
              <w:rPr>
                <w:rFonts w:ascii="宋体" w:hAnsi="宋体" w:cs="宋体"/>
                <w:color w:val="auto"/>
                <w:sz w:val="22"/>
                <w:szCs w:val="22"/>
              </w:rPr>
            </w:pPr>
            <w:r>
              <w:rPr>
                <w:rFonts w:hint="eastAsia" w:ascii="宋体" w:hAnsi="宋体" w:cs="宋体"/>
                <w:color w:val="auto"/>
                <w:sz w:val="22"/>
                <w:szCs w:val="22"/>
              </w:rPr>
              <w:t>4.验收合格的条件：</w:t>
            </w:r>
          </w:p>
          <w:p w14:paraId="3B7CABF0">
            <w:pPr>
              <w:snapToGrid w:val="0"/>
              <w:rPr>
                <w:rFonts w:ascii="宋体" w:hAnsi="宋体" w:cs="宋体"/>
                <w:color w:val="auto"/>
                <w:sz w:val="22"/>
                <w:szCs w:val="22"/>
              </w:rPr>
            </w:pPr>
            <w:r>
              <w:rPr>
                <w:rFonts w:hint="eastAsia" w:ascii="宋体" w:hAnsi="宋体" w:cs="宋体"/>
                <w:color w:val="auto"/>
                <w:sz w:val="22"/>
                <w:szCs w:val="22"/>
              </w:rPr>
              <w:t>（1）所供货物符合产品标准和合同的要求；</w:t>
            </w:r>
          </w:p>
          <w:p w14:paraId="5F612CC1">
            <w:pPr>
              <w:snapToGrid w:val="0"/>
              <w:rPr>
                <w:rFonts w:ascii="宋体" w:hAnsi="宋体" w:cs="宋体"/>
                <w:color w:val="auto"/>
                <w:sz w:val="22"/>
                <w:szCs w:val="22"/>
              </w:rPr>
            </w:pPr>
            <w:r>
              <w:rPr>
                <w:rFonts w:hint="eastAsia" w:ascii="宋体" w:hAnsi="宋体" w:cs="宋体"/>
                <w:color w:val="auto"/>
                <w:sz w:val="22"/>
                <w:szCs w:val="22"/>
              </w:rPr>
              <w:t>（2）在进行测试和验收过程中发现的问题已被解决并得到采购人的认可；</w:t>
            </w:r>
          </w:p>
          <w:p w14:paraId="54816F08">
            <w:pPr>
              <w:snapToGrid w:val="0"/>
              <w:rPr>
                <w:rFonts w:ascii="宋体" w:hAnsi="宋体" w:cs="宋体"/>
                <w:color w:val="auto"/>
                <w:sz w:val="22"/>
                <w:szCs w:val="22"/>
              </w:rPr>
            </w:pPr>
            <w:r>
              <w:rPr>
                <w:rFonts w:hint="eastAsia" w:ascii="宋体" w:hAnsi="宋体" w:cs="宋体"/>
                <w:color w:val="auto"/>
                <w:sz w:val="22"/>
                <w:szCs w:val="22"/>
              </w:rPr>
              <w:t>（3）合同中规定的所有货物和材料均已交付；</w:t>
            </w:r>
          </w:p>
          <w:p w14:paraId="38275C2E">
            <w:pPr>
              <w:snapToGrid w:val="0"/>
              <w:rPr>
                <w:rFonts w:ascii="宋体" w:hAnsi="宋体" w:cs="宋体"/>
                <w:color w:val="auto"/>
                <w:sz w:val="22"/>
                <w:szCs w:val="22"/>
              </w:rPr>
            </w:pPr>
            <w:r>
              <w:rPr>
                <w:rFonts w:hint="eastAsia" w:ascii="宋体" w:hAnsi="宋体" w:cs="宋体"/>
                <w:color w:val="auto"/>
                <w:sz w:val="22"/>
                <w:szCs w:val="22"/>
              </w:rPr>
              <w:t>（4）所供货物已通过使用单位组织的验收；</w:t>
            </w:r>
          </w:p>
          <w:p w14:paraId="2879D2BE">
            <w:pPr>
              <w:snapToGrid w:val="0"/>
              <w:rPr>
                <w:rFonts w:ascii="宋体" w:hAnsi="宋体" w:cs="宋体"/>
                <w:color w:val="auto"/>
                <w:sz w:val="22"/>
                <w:szCs w:val="22"/>
              </w:rPr>
            </w:pPr>
            <w:r>
              <w:rPr>
                <w:rFonts w:hint="eastAsia" w:ascii="宋体" w:hAnsi="宋体" w:cs="宋体"/>
                <w:color w:val="auto"/>
                <w:sz w:val="22"/>
                <w:szCs w:val="22"/>
              </w:rPr>
              <w:t>（5）所有相关的技术文件及资料均已提交并得到接受。</w:t>
            </w:r>
          </w:p>
        </w:tc>
      </w:tr>
      <w:tr w14:paraId="00286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5" w:type="pct"/>
            <w:tcBorders>
              <w:top w:val="single" w:color="auto" w:sz="4" w:space="0"/>
              <w:left w:val="single" w:color="auto" w:sz="4" w:space="0"/>
              <w:bottom w:val="single" w:color="auto" w:sz="4" w:space="0"/>
              <w:right w:val="single" w:color="auto" w:sz="4" w:space="0"/>
            </w:tcBorders>
            <w:vAlign w:val="center"/>
          </w:tcPr>
          <w:p w14:paraId="6C88F2C5">
            <w:pPr>
              <w:snapToGrid w:val="0"/>
              <w:spacing w:line="360" w:lineRule="auto"/>
              <w:jc w:val="center"/>
              <w:rPr>
                <w:rFonts w:ascii="宋体" w:hAnsi="宋体" w:cs="宋体"/>
                <w:b/>
                <w:bCs/>
                <w:color w:val="auto"/>
                <w:sz w:val="22"/>
                <w:szCs w:val="22"/>
              </w:rPr>
            </w:pPr>
            <w:r>
              <w:rPr>
                <w:rFonts w:hint="eastAsia" w:ascii="宋体" w:hAnsi="宋体" w:cs="宋体"/>
                <w:b/>
                <w:bCs/>
                <w:color w:val="auto"/>
                <w:sz w:val="22"/>
                <w:szCs w:val="22"/>
              </w:rPr>
              <w:t>其他技术、服务要求</w:t>
            </w:r>
          </w:p>
        </w:tc>
        <w:tc>
          <w:tcPr>
            <w:tcW w:w="4194" w:type="pct"/>
            <w:tcBorders>
              <w:top w:val="single" w:color="auto" w:sz="4" w:space="0"/>
              <w:left w:val="single" w:color="auto" w:sz="4" w:space="0"/>
              <w:bottom w:val="single" w:color="auto" w:sz="4" w:space="0"/>
              <w:right w:val="single" w:color="auto" w:sz="4" w:space="0"/>
            </w:tcBorders>
            <w:vAlign w:val="center"/>
          </w:tcPr>
          <w:p w14:paraId="69895FE3">
            <w:pPr>
              <w:snapToGrid w:val="0"/>
              <w:rPr>
                <w:rFonts w:ascii="宋体" w:hAnsi="宋体" w:cs="宋体"/>
                <w:color w:val="auto"/>
                <w:sz w:val="22"/>
                <w:szCs w:val="22"/>
              </w:rPr>
            </w:pPr>
            <w:r>
              <w:rPr>
                <w:rFonts w:hint="eastAsia" w:ascii="宋体" w:hAnsi="宋体" w:cs="宋体"/>
                <w:color w:val="auto"/>
                <w:sz w:val="22"/>
                <w:szCs w:val="22"/>
              </w:rPr>
              <w:t>1.安装调试：</w:t>
            </w:r>
          </w:p>
          <w:p w14:paraId="0EA088C1">
            <w:pPr>
              <w:snapToGrid w:val="0"/>
              <w:rPr>
                <w:rFonts w:ascii="宋体" w:hAnsi="宋体" w:cs="宋体"/>
                <w:color w:val="auto"/>
                <w:sz w:val="22"/>
                <w:szCs w:val="22"/>
              </w:rPr>
            </w:pPr>
            <w:r>
              <w:rPr>
                <w:rFonts w:hint="eastAsia" w:ascii="宋体" w:hAnsi="宋体" w:cs="宋体"/>
                <w:color w:val="auto"/>
                <w:sz w:val="22"/>
                <w:szCs w:val="22"/>
              </w:rPr>
              <w:t>（1）安装地点：采购人指定地点；</w:t>
            </w:r>
          </w:p>
          <w:p w14:paraId="0B2F1CF6">
            <w:pPr>
              <w:snapToGrid w:val="0"/>
              <w:rPr>
                <w:rFonts w:ascii="宋体" w:hAnsi="宋体" w:cs="宋体"/>
                <w:color w:val="auto"/>
                <w:sz w:val="22"/>
                <w:szCs w:val="22"/>
              </w:rPr>
            </w:pPr>
            <w:r>
              <w:rPr>
                <w:rFonts w:hint="eastAsia" w:ascii="宋体" w:hAnsi="宋体" w:cs="宋体"/>
                <w:color w:val="auto"/>
                <w:sz w:val="22"/>
                <w:szCs w:val="22"/>
              </w:rPr>
              <w:t>（2）安装完成时间：接到采购人通知后在规定时间内完成安装和调试，如在规定的时间内由于供应商的原因不能完成安装和调试，供应商应承担由此给采购人造成的损失；</w:t>
            </w:r>
          </w:p>
          <w:p w14:paraId="799154F3">
            <w:pPr>
              <w:snapToGrid w:val="0"/>
              <w:rPr>
                <w:rFonts w:ascii="宋体" w:hAnsi="宋体" w:cs="宋体"/>
                <w:color w:val="auto"/>
                <w:sz w:val="22"/>
                <w:szCs w:val="22"/>
              </w:rPr>
            </w:pPr>
            <w:r>
              <w:rPr>
                <w:rFonts w:hint="eastAsia" w:ascii="宋体" w:hAnsi="宋体" w:cs="宋体"/>
                <w:color w:val="auto"/>
                <w:sz w:val="22"/>
                <w:szCs w:val="22"/>
              </w:rPr>
              <w:t>（3）如供应商委托国内代理（或其他机构）负责安装或配合安装应在签约时指明，但供应商仍要对合同货物及其安装质量负全部责任；</w:t>
            </w:r>
          </w:p>
          <w:p w14:paraId="0664762A">
            <w:pPr>
              <w:snapToGrid w:val="0"/>
              <w:rPr>
                <w:rFonts w:ascii="宋体" w:hAnsi="宋体" w:cs="宋体"/>
                <w:color w:val="auto"/>
                <w:sz w:val="22"/>
                <w:szCs w:val="22"/>
              </w:rPr>
            </w:pPr>
            <w:r>
              <w:rPr>
                <w:rFonts w:hint="eastAsia" w:ascii="宋体" w:hAnsi="宋体" w:cs="宋体"/>
                <w:color w:val="auto"/>
                <w:sz w:val="22"/>
                <w:szCs w:val="22"/>
              </w:rPr>
              <w:t>（4）安装标准：符合我国国家有关技术规范要求和技术标准，所有的软件必须保证同时安装到位；</w:t>
            </w:r>
          </w:p>
          <w:p w14:paraId="28D7D790">
            <w:pPr>
              <w:snapToGrid w:val="0"/>
              <w:rPr>
                <w:rFonts w:ascii="宋体" w:hAnsi="宋体" w:cs="宋体"/>
                <w:color w:val="auto"/>
                <w:sz w:val="22"/>
                <w:szCs w:val="22"/>
              </w:rPr>
            </w:pPr>
            <w:r>
              <w:rPr>
                <w:rFonts w:hint="eastAsia" w:ascii="宋体" w:hAnsi="宋体" w:cs="宋体"/>
                <w:color w:val="auto"/>
                <w:sz w:val="22"/>
                <w:szCs w:val="22"/>
              </w:rPr>
              <w:t>（5）供应商免费提供合同货物的安装服务；</w:t>
            </w:r>
          </w:p>
          <w:p w14:paraId="19E09A74">
            <w:pPr>
              <w:snapToGrid w:val="0"/>
              <w:rPr>
                <w:rFonts w:ascii="宋体" w:hAnsi="宋体" w:cs="宋体"/>
                <w:color w:val="auto"/>
                <w:sz w:val="22"/>
                <w:szCs w:val="22"/>
              </w:rPr>
            </w:pPr>
            <w:r>
              <w:rPr>
                <w:rFonts w:hint="eastAsia" w:ascii="宋体" w:hAnsi="宋体" w:cs="宋体"/>
                <w:color w:val="auto"/>
                <w:sz w:val="22"/>
                <w:szCs w:val="22"/>
              </w:rPr>
              <w:t>（6）供应商在投标文件中应提供安装调试计划、对安装场地和环境的要求。</w:t>
            </w:r>
          </w:p>
          <w:p w14:paraId="0FA4A969">
            <w:pPr>
              <w:snapToGrid w:val="0"/>
              <w:rPr>
                <w:rFonts w:ascii="宋体" w:hAnsi="宋体" w:cs="宋体"/>
                <w:color w:val="auto"/>
                <w:sz w:val="22"/>
                <w:szCs w:val="22"/>
              </w:rPr>
            </w:pPr>
            <w:r>
              <w:rPr>
                <w:rFonts w:hint="eastAsia" w:ascii="宋体" w:hAnsi="宋体" w:cs="宋体"/>
                <w:color w:val="auto"/>
                <w:sz w:val="22"/>
                <w:szCs w:val="22"/>
              </w:rPr>
              <w:t>2.供应商应提供维保期满后维护费、软件升级及其相关服务内容；</w:t>
            </w:r>
          </w:p>
          <w:p w14:paraId="08EE9EA9">
            <w:pPr>
              <w:snapToGrid w:val="0"/>
              <w:rPr>
                <w:rFonts w:ascii="宋体" w:hAnsi="宋体" w:cs="宋体"/>
                <w:color w:val="auto"/>
                <w:sz w:val="22"/>
                <w:szCs w:val="22"/>
              </w:rPr>
            </w:pPr>
            <w:r>
              <w:rPr>
                <w:rFonts w:hint="eastAsia" w:ascii="宋体" w:hAnsi="宋体" w:cs="宋体"/>
                <w:color w:val="auto"/>
                <w:sz w:val="22"/>
                <w:szCs w:val="22"/>
              </w:rPr>
              <w:t>3.供货时提供有关的全套技术文件。</w:t>
            </w:r>
          </w:p>
          <w:p w14:paraId="09AD66AE">
            <w:pPr>
              <w:snapToGrid w:val="0"/>
              <w:rPr>
                <w:rFonts w:ascii="宋体" w:hAnsi="宋体" w:cs="宋体"/>
                <w:color w:val="auto"/>
                <w:spacing w:val="-6"/>
                <w:sz w:val="22"/>
                <w:szCs w:val="22"/>
              </w:rPr>
            </w:pPr>
            <w:r>
              <w:rPr>
                <w:rFonts w:hint="eastAsia" w:ascii="宋体" w:hAnsi="宋体" w:cs="宋体"/>
                <w:color w:val="auto"/>
                <w:sz w:val="22"/>
                <w:szCs w:val="22"/>
              </w:rPr>
              <w:t>4.</w:t>
            </w:r>
            <w:r>
              <w:rPr>
                <w:rFonts w:hint="eastAsia" w:ascii="宋体" w:hAnsi="宋体" w:cs="宋体"/>
                <w:color w:val="auto"/>
                <w:spacing w:val="-6"/>
                <w:sz w:val="22"/>
                <w:szCs w:val="22"/>
              </w:rPr>
              <w:t>供应商应保证所提供的货物或其中任何一部分均不会侵犯第三方的知识产权。</w:t>
            </w:r>
          </w:p>
          <w:p w14:paraId="3E32EB29">
            <w:pPr>
              <w:pStyle w:val="59"/>
              <w:jc w:val="both"/>
              <w:rPr>
                <w:rFonts w:ascii="宋体" w:hAnsi="宋体" w:cs="宋体"/>
                <w:b w:val="0"/>
                <w:color w:val="auto"/>
                <w:spacing w:val="-6"/>
                <w:kern w:val="2"/>
                <w:sz w:val="22"/>
                <w:szCs w:val="22"/>
                <w:lang w:val="en-US"/>
              </w:rPr>
            </w:pPr>
            <w:r>
              <w:rPr>
                <w:rFonts w:hint="eastAsia" w:ascii="宋体" w:hAnsi="宋体" w:cs="宋体"/>
                <w:b w:val="0"/>
                <w:color w:val="auto"/>
                <w:spacing w:val="-6"/>
                <w:kern w:val="2"/>
                <w:sz w:val="22"/>
                <w:szCs w:val="22"/>
                <w:lang w:val="en-US"/>
              </w:rPr>
              <w:t>5.供应商须制定详细的软件使用培训方案并组织实施。确保采购相关人员能够独立、熟练的操作和使用本次采购的教学软件及相关系统功能。</w:t>
            </w:r>
          </w:p>
          <w:p w14:paraId="006B79CC">
            <w:pPr>
              <w:pStyle w:val="59"/>
              <w:jc w:val="left"/>
              <w:rPr>
                <w:rFonts w:hint="eastAsia" w:ascii="宋体" w:hAnsi="宋体" w:eastAsia="宋体" w:cs="宋体"/>
                <w:b w:val="0"/>
                <w:color w:val="auto"/>
                <w:spacing w:val="-6"/>
                <w:kern w:val="2"/>
                <w:sz w:val="22"/>
                <w:szCs w:val="22"/>
                <w:lang w:val="en-US"/>
              </w:rPr>
            </w:pPr>
            <w:r>
              <w:rPr>
                <w:rFonts w:hint="eastAsia" w:ascii="宋体" w:hAnsi="宋体" w:eastAsia="宋体" w:cs="宋体"/>
                <w:b w:val="0"/>
                <w:color w:val="auto"/>
                <w:spacing w:val="-6"/>
                <w:kern w:val="2"/>
                <w:sz w:val="22"/>
                <w:szCs w:val="22"/>
                <w:lang w:val="en-US"/>
              </w:rPr>
              <w:t>以及相关流程和表单配置；配置完成后需要配合采购人开展平台使用培训。</w:t>
            </w:r>
          </w:p>
          <w:p w14:paraId="3217623E">
            <w:pPr>
              <w:pStyle w:val="59"/>
              <w:jc w:val="left"/>
              <w:rPr>
                <w:rFonts w:hint="eastAsia" w:ascii="宋体" w:hAnsi="宋体" w:eastAsia="宋体" w:cs="宋体"/>
                <w:b w:val="0"/>
                <w:color w:val="auto"/>
                <w:spacing w:val="-6"/>
                <w:kern w:val="2"/>
                <w:sz w:val="22"/>
                <w:szCs w:val="22"/>
                <w:lang w:val="en-US"/>
              </w:rPr>
            </w:pPr>
            <w:r>
              <w:rPr>
                <w:rFonts w:hint="eastAsia" w:ascii="宋体" w:hAnsi="宋体" w:cs="宋体"/>
                <w:b w:val="0"/>
                <w:color w:val="auto"/>
                <w:spacing w:val="-6"/>
                <w:kern w:val="2"/>
                <w:sz w:val="22"/>
                <w:szCs w:val="22"/>
                <w:lang w:val="en-US" w:eastAsia="zh-CN"/>
              </w:rPr>
              <w:t>6</w:t>
            </w:r>
            <w:r>
              <w:rPr>
                <w:rFonts w:hint="eastAsia" w:ascii="宋体" w:hAnsi="宋体" w:eastAsia="宋体" w:cs="宋体"/>
                <w:b w:val="0"/>
                <w:color w:val="auto"/>
                <w:spacing w:val="-6"/>
                <w:kern w:val="2"/>
                <w:sz w:val="22"/>
                <w:szCs w:val="22"/>
                <w:lang w:val="en-US" w:eastAsia="zh-CN"/>
              </w:rPr>
              <w:t>.</w:t>
            </w:r>
            <w:r>
              <w:rPr>
                <w:rFonts w:hint="eastAsia" w:ascii="宋体" w:hAnsi="宋体" w:eastAsia="宋体" w:cs="宋体"/>
                <w:b w:val="0"/>
                <w:color w:val="auto"/>
                <w:spacing w:val="-6"/>
                <w:kern w:val="2"/>
                <w:position w:val="0"/>
                <w:sz w:val="22"/>
                <w:szCs w:val="22"/>
                <w:shd w:val="clear" w:color="auto" w:fill="auto"/>
                <w:lang w:val="en-US" w:eastAsia="zh-CN"/>
              </w:rPr>
              <w:t>项目实施以施工图纸及现场实际为准。</w:t>
            </w:r>
            <w:r>
              <w:rPr>
                <w:rFonts w:hint="eastAsia" w:ascii="宋体" w:hAnsi="宋体" w:eastAsia="宋体" w:cs="宋体"/>
                <w:b w:val="0"/>
                <w:color w:val="auto"/>
                <w:spacing w:val="-6"/>
                <w:kern w:val="2"/>
                <w:sz w:val="22"/>
                <w:szCs w:val="22"/>
                <w:lang w:val="en-US" w:eastAsia="zh-CN"/>
              </w:rPr>
              <w:t xml:space="preserve"> </w:t>
            </w:r>
          </w:p>
          <w:p w14:paraId="2091DFCB">
            <w:pPr>
              <w:pStyle w:val="59"/>
              <w:jc w:val="left"/>
              <w:rPr>
                <w:rFonts w:hint="eastAsia" w:ascii="宋体" w:hAnsi="宋体" w:eastAsia="宋体" w:cs="宋体"/>
                <w:b w:val="0"/>
                <w:color w:val="auto"/>
                <w:spacing w:val="-6"/>
                <w:kern w:val="2"/>
                <w:sz w:val="22"/>
                <w:szCs w:val="22"/>
                <w:u w:val="single"/>
                <w:lang w:val="en-US" w:eastAsia="zh-CN"/>
              </w:rPr>
            </w:pPr>
            <w:r>
              <w:rPr>
                <w:rFonts w:hint="eastAsia" w:ascii="宋体" w:hAnsi="宋体" w:cs="宋体"/>
                <w:b w:val="0"/>
                <w:color w:val="auto"/>
                <w:spacing w:val="-6"/>
                <w:kern w:val="2"/>
                <w:sz w:val="22"/>
                <w:szCs w:val="22"/>
                <w:lang w:val="en-US" w:eastAsia="zh-CN"/>
              </w:rPr>
              <w:t>7</w:t>
            </w:r>
            <w:r>
              <w:rPr>
                <w:rFonts w:hint="eastAsia" w:ascii="宋体" w:hAnsi="宋体" w:eastAsia="宋体" w:cs="宋体"/>
                <w:b w:val="0"/>
                <w:color w:val="auto"/>
                <w:spacing w:val="-6"/>
                <w:kern w:val="2"/>
                <w:sz w:val="22"/>
                <w:szCs w:val="22"/>
                <w:lang w:val="en-US" w:eastAsia="zh-CN"/>
              </w:rPr>
              <w:t>.本项目用于新安江新校区，</w:t>
            </w:r>
            <w:r>
              <w:rPr>
                <w:rFonts w:hint="eastAsia" w:ascii="宋体" w:hAnsi="宋体" w:eastAsia="宋体" w:cs="宋体"/>
                <w:b w:val="0"/>
                <w:color w:val="auto"/>
                <w:spacing w:val="-6"/>
                <w:kern w:val="2"/>
                <w:sz w:val="22"/>
                <w:szCs w:val="22"/>
                <w:u w:val="single"/>
                <w:lang w:val="en-US" w:eastAsia="zh-CN"/>
              </w:rPr>
              <w:t>同时要满足与老校区已建机房设备无缝对接，做好同步升级。</w:t>
            </w:r>
          </w:p>
          <w:p w14:paraId="535863E8">
            <w:pPr>
              <w:pStyle w:val="59"/>
              <w:jc w:val="left"/>
              <w:rPr>
                <w:rFonts w:hint="eastAsia" w:ascii="宋体" w:hAnsi="宋体" w:eastAsia="宋体" w:cs="宋体"/>
                <w:b w:val="0"/>
                <w:color w:val="auto"/>
                <w:spacing w:val="-6"/>
                <w:kern w:val="2"/>
                <w:sz w:val="22"/>
                <w:szCs w:val="22"/>
                <w:lang w:val="en-US" w:eastAsia="zh-CN"/>
              </w:rPr>
            </w:pPr>
            <w:r>
              <w:rPr>
                <w:rFonts w:hint="eastAsia" w:ascii="宋体" w:hAnsi="宋体" w:cs="宋体"/>
                <w:b w:val="0"/>
                <w:color w:val="auto"/>
                <w:spacing w:val="-6"/>
                <w:kern w:val="2"/>
                <w:sz w:val="22"/>
                <w:szCs w:val="22"/>
                <w:lang w:val="en-US" w:eastAsia="zh-CN"/>
              </w:rPr>
              <w:t>8</w:t>
            </w:r>
            <w:r>
              <w:rPr>
                <w:rFonts w:hint="eastAsia" w:ascii="宋体" w:hAnsi="宋体" w:eastAsia="宋体" w:cs="宋体"/>
                <w:b w:val="0"/>
                <w:color w:val="auto"/>
                <w:spacing w:val="-6"/>
                <w:kern w:val="2"/>
                <w:sz w:val="22"/>
                <w:szCs w:val="22"/>
                <w:lang w:val="en-US" w:eastAsia="zh-CN"/>
              </w:rPr>
              <w:t>.充分利用现场已施工完成的强弱电预留点位，所购设备尺寸须与现场安装、运输条件匹配。涉及改移及修复费用，由中标单位承担；</w:t>
            </w:r>
          </w:p>
          <w:p w14:paraId="0C645D4A">
            <w:pPr>
              <w:pStyle w:val="59"/>
              <w:jc w:val="left"/>
              <w:rPr>
                <w:rFonts w:hint="eastAsia" w:ascii="宋体" w:hAnsi="宋体" w:eastAsia="宋体" w:cs="宋体"/>
                <w:b w:val="0"/>
                <w:color w:val="auto"/>
                <w:spacing w:val="-6"/>
                <w:kern w:val="2"/>
                <w:sz w:val="22"/>
                <w:szCs w:val="22"/>
                <w:lang w:val="en-US" w:eastAsia="zh-CN"/>
              </w:rPr>
            </w:pPr>
            <w:r>
              <w:rPr>
                <w:rFonts w:hint="eastAsia" w:ascii="宋体" w:hAnsi="宋体" w:cs="宋体"/>
                <w:b w:val="0"/>
                <w:color w:val="auto"/>
                <w:spacing w:val="-6"/>
                <w:kern w:val="2"/>
                <w:sz w:val="22"/>
                <w:szCs w:val="22"/>
                <w:lang w:val="en-US" w:eastAsia="zh-CN"/>
              </w:rPr>
              <w:t>9</w:t>
            </w:r>
            <w:r>
              <w:rPr>
                <w:rFonts w:hint="eastAsia" w:ascii="宋体" w:hAnsi="宋体" w:eastAsia="宋体" w:cs="宋体"/>
                <w:b w:val="0"/>
                <w:color w:val="auto"/>
                <w:spacing w:val="-6"/>
                <w:kern w:val="2"/>
                <w:sz w:val="22"/>
                <w:szCs w:val="22"/>
                <w:lang w:val="en-US" w:eastAsia="zh-CN"/>
              </w:rPr>
              <w:t>.施工中所产生的水电费用由</w:t>
            </w:r>
            <w:r>
              <w:rPr>
                <w:rFonts w:hint="eastAsia" w:ascii="宋体" w:hAnsi="宋体" w:eastAsia="宋体" w:cs="宋体"/>
                <w:b w:val="0"/>
                <w:color w:val="auto"/>
                <w:spacing w:val="-6"/>
                <w:kern w:val="2"/>
                <w:sz w:val="22"/>
                <w:szCs w:val="22"/>
                <w:lang w:val="en-US"/>
              </w:rPr>
              <w:t>供应商</w:t>
            </w:r>
            <w:r>
              <w:rPr>
                <w:rFonts w:hint="eastAsia" w:ascii="宋体" w:hAnsi="宋体" w:eastAsia="宋体" w:cs="宋体"/>
                <w:b w:val="0"/>
                <w:color w:val="auto"/>
                <w:spacing w:val="-6"/>
                <w:kern w:val="2"/>
                <w:sz w:val="22"/>
                <w:szCs w:val="22"/>
                <w:lang w:val="en-US" w:eastAsia="zh-CN"/>
              </w:rPr>
              <w:t>自行向施工总承包单位结算支付。</w:t>
            </w:r>
          </w:p>
          <w:p w14:paraId="2BA43EFD">
            <w:pPr>
              <w:pStyle w:val="59"/>
              <w:jc w:val="left"/>
              <w:rPr>
                <w:rFonts w:hint="eastAsia" w:ascii="宋体" w:hAnsi="宋体" w:eastAsia="宋体" w:cs="宋体"/>
                <w:b w:val="0"/>
                <w:color w:val="auto"/>
                <w:spacing w:val="-6"/>
                <w:kern w:val="2"/>
                <w:sz w:val="22"/>
                <w:szCs w:val="22"/>
                <w:lang w:val="en-US" w:eastAsia="zh-CN"/>
              </w:rPr>
            </w:pPr>
            <w:r>
              <w:rPr>
                <w:rFonts w:hint="eastAsia" w:ascii="宋体" w:hAnsi="宋体" w:eastAsia="宋体" w:cs="宋体"/>
                <w:b w:val="0"/>
                <w:color w:val="auto"/>
                <w:spacing w:val="-6"/>
                <w:kern w:val="2"/>
                <w:sz w:val="22"/>
                <w:szCs w:val="22"/>
                <w:lang w:val="en-US" w:eastAsia="zh-CN"/>
              </w:rPr>
              <w:t>1</w:t>
            </w:r>
            <w:r>
              <w:rPr>
                <w:rFonts w:hint="eastAsia" w:ascii="宋体" w:hAnsi="宋体" w:cs="宋体"/>
                <w:b w:val="0"/>
                <w:color w:val="auto"/>
                <w:spacing w:val="-6"/>
                <w:kern w:val="2"/>
                <w:sz w:val="22"/>
                <w:szCs w:val="22"/>
                <w:lang w:val="en-US" w:eastAsia="zh-CN"/>
              </w:rPr>
              <w:t>0</w:t>
            </w:r>
            <w:r>
              <w:rPr>
                <w:rFonts w:hint="eastAsia" w:ascii="宋体" w:hAnsi="宋体" w:eastAsia="宋体" w:cs="宋体"/>
                <w:b w:val="0"/>
                <w:color w:val="auto"/>
                <w:spacing w:val="-6"/>
                <w:kern w:val="2"/>
                <w:sz w:val="22"/>
                <w:szCs w:val="22"/>
                <w:lang w:val="en-US" w:eastAsia="zh-CN"/>
              </w:rPr>
              <w:t>.</w:t>
            </w:r>
            <w:r>
              <w:rPr>
                <w:rFonts w:hint="eastAsia" w:ascii="宋体" w:hAnsi="宋体" w:eastAsia="宋体" w:cs="宋体"/>
                <w:b w:val="0"/>
                <w:color w:val="auto"/>
                <w:spacing w:val="-6"/>
                <w:kern w:val="2"/>
                <w:sz w:val="22"/>
                <w:szCs w:val="22"/>
                <w:lang w:val="en-US"/>
              </w:rPr>
              <w:t>供应商</w:t>
            </w:r>
            <w:r>
              <w:rPr>
                <w:rFonts w:hint="eastAsia" w:ascii="宋体" w:hAnsi="宋体" w:eastAsia="宋体" w:cs="宋体"/>
                <w:b w:val="0"/>
                <w:color w:val="auto"/>
                <w:spacing w:val="-6"/>
                <w:kern w:val="2"/>
                <w:sz w:val="22"/>
                <w:szCs w:val="22"/>
                <w:lang w:val="en-US" w:eastAsia="zh-CN"/>
              </w:rPr>
              <w:t>在施工全过程须严格落实成品保护措施，施工完毕后须立即恢复原状。</w:t>
            </w:r>
          </w:p>
          <w:p w14:paraId="6DA5B3B1">
            <w:pPr>
              <w:pStyle w:val="59"/>
              <w:jc w:val="left"/>
              <w:rPr>
                <w:rFonts w:hint="eastAsia" w:ascii="宋体" w:hAnsi="宋体" w:eastAsia="宋体" w:cs="宋体"/>
                <w:b w:val="0"/>
                <w:color w:val="auto"/>
                <w:spacing w:val="-6"/>
                <w:kern w:val="2"/>
                <w:sz w:val="22"/>
                <w:szCs w:val="22"/>
                <w:lang w:val="en-US"/>
              </w:rPr>
            </w:pPr>
            <w:r>
              <w:rPr>
                <w:rFonts w:hint="eastAsia" w:ascii="宋体" w:hAnsi="宋体" w:eastAsia="宋体" w:cs="宋体"/>
                <w:b w:val="0"/>
                <w:color w:val="auto"/>
                <w:spacing w:val="-6"/>
                <w:kern w:val="2"/>
                <w:sz w:val="22"/>
                <w:szCs w:val="22"/>
                <w:lang w:val="en-US" w:eastAsia="zh-CN"/>
              </w:rPr>
              <w:t>1</w:t>
            </w:r>
            <w:r>
              <w:rPr>
                <w:rFonts w:hint="eastAsia" w:ascii="宋体" w:hAnsi="宋体" w:cs="宋体"/>
                <w:b w:val="0"/>
                <w:color w:val="auto"/>
                <w:spacing w:val="-6"/>
                <w:kern w:val="2"/>
                <w:sz w:val="22"/>
                <w:szCs w:val="22"/>
                <w:lang w:val="en-US" w:eastAsia="zh-CN"/>
              </w:rPr>
              <w:t>1</w:t>
            </w:r>
            <w:r>
              <w:rPr>
                <w:rFonts w:hint="eastAsia" w:ascii="宋体" w:hAnsi="宋体" w:eastAsia="宋体" w:cs="宋体"/>
                <w:b w:val="0"/>
                <w:color w:val="auto"/>
                <w:spacing w:val="-6"/>
                <w:kern w:val="2"/>
                <w:sz w:val="22"/>
                <w:szCs w:val="22"/>
                <w:lang w:val="en-US" w:eastAsia="zh-CN"/>
              </w:rPr>
              <w:t>.本项目施工不得影响施工总承包单位正常竣工验收工作</w:t>
            </w:r>
          </w:p>
          <w:p w14:paraId="42BB5668">
            <w:pPr>
              <w:snapToGrid w:val="0"/>
              <w:rPr>
                <w:rFonts w:hint="eastAsia" w:ascii="宋体" w:hAnsi="宋体" w:cs="宋体"/>
                <w:color w:val="auto"/>
                <w:spacing w:val="-6"/>
                <w:sz w:val="22"/>
                <w:szCs w:val="22"/>
                <w:lang w:val="en-US" w:eastAsia="zh-CN"/>
              </w:rPr>
            </w:pPr>
            <w:r>
              <w:rPr>
                <w:rFonts w:hint="eastAsia" w:ascii="宋体" w:hAnsi="宋体" w:cs="宋体"/>
                <w:color w:val="auto"/>
                <w:spacing w:val="-6"/>
                <w:sz w:val="22"/>
                <w:szCs w:val="22"/>
                <w:lang w:val="en-US" w:eastAsia="zh-CN"/>
              </w:rPr>
              <w:t>12.数据对接要求</w:t>
            </w:r>
          </w:p>
          <w:p w14:paraId="3A51853E">
            <w:pPr>
              <w:adjustRightInd w:val="0"/>
              <w:snapToGrid w:val="0"/>
              <w:spacing w:line="240" w:lineRule="auto"/>
              <w:ind w:firstLine="0" w:firstLineChars="0"/>
              <w:rPr>
                <w:rFonts w:hint="eastAsia" w:ascii="宋体" w:hAnsi="宋体" w:eastAsia="宋体" w:cs="宋体"/>
                <w:color w:val="auto"/>
                <w:sz w:val="22"/>
                <w:szCs w:val="22"/>
              </w:rPr>
            </w:pPr>
            <w:r>
              <w:rPr>
                <w:rFonts w:hint="eastAsia" w:ascii="宋体" w:hAnsi="宋体" w:cs="宋体"/>
                <w:color w:val="auto"/>
                <w:sz w:val="22"/>
                <w:szCs w:val="22"/>
                <w:lang w:val="en-US" w:eastAsia="zh-CN"/>
              </w:rPr>
              <w:t>（1）</w:t>
            </w:r>
            <w:r>
              <w:rPr>
                <w:rFonts w:hint="eastAsia" w:ascii="宋体" w:hAnsi="宋体" w:eastAsia="宋体" w:cs="宋体"/>
                <w:color w:val="auto"/>
                <w:sz w:val="22"/>
                <w:szCs w:val="22"/>
              </w:rPr>
              <w:t>数据互联互通要求</w:t>
            </w:r>
          </w:p>
          <w:p w14:paraId="647160E8">
            <w:pPr>
              <w:adjustRightInd w:val="0"/>
              <w:snapToGrid w:val="0"/>
              <w:spacing w:line="240" w:lineRule="auto"/>
              <w:ind w:firstLine="0" w:firstLineChars="0"/>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上行数据：新建业务系统数据需无条件且以完全免费的形式全量同步至校级数据中心，提供相对应的文档资料（包括但不限于数据字典、业务数据表结构以及每个字段的详细解释，每个数据表之间的关联关系说明等，确保对接技术人员能够清晰、准确地理解数据结构和内容）；可根据学校数据采集需、校内其它系统的协同调用等需求，免费支持后期接口扩展与需求，建立相应的表或视图，配合校方技术人员完成数据采集或调用工作；</w:t>
            </w:r>
          </w:p>
          <w:p w14:paraId="29E9FDD6">
            <w:pPr>
              <w:adjustRightInd w:val="0"/>
              <w:snapToGrid w:val="0"/>
              <w:spacing w:line="240" w:lineRule="auto"/>
              <w:ind w:firstLine="0" w:firstLineChars="0"/>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下行数据：新建业务系统通过数据中台获取权威的结构化数据，并自动定期更新到所建业务信息系统中（如人员信息、组织架构、人脸信息等）。凡是学校数据中台已有的数据不允许在业务系统中再产生或维护，需全部来源于数据中台。</w:t>
            </w:r>
          </w:p>
          <w:p w14:paraId="64410AC1">
            <w:pPr>
              <w:adjustRightInd w:val="0"/>
              <w:snapToGrid w:val="0"/>
              <w:spacing w:line="240" w:lineRule="auto"/>
              <w:ind w:firstLine="0" w:firstLineChars="0"/>
              <w:rPr>
                <w:rFonts w:hint="eastAsia" w:ascii="宋体" w:hAnsi="宋体" w:eastAsia="宋体" w:cs="宋体"/>
                <w:color w:val="auto"/>
                <w:sz w:val="22"/>
                <w:szCs w:val="22"/>
              </w:rPr>
            </w:pPr>
            <w:r>
              <w:rPr>
                <w:rFonts w:hint="eastAsia" w:ascii="宋体" w:hAnsi="宋体" w:cs="宋体"/>
                <w:color w:val="auto"/>
                <w:sz w:val="22"/>
                <w:szCs w:val="22"/>
                <w:lang w:val="en-US" w:eastAsia="zh-CN"/>
              </w:rPr>
              <w:t>（2）</w:t>
            </w:r>
            <w:r>
              <w:rPr>
                <w:rFonts w:hint="eastAsia" w:ascii="宋体" w:hAnsi="宋体" w:eastAsia="宋体" w:cs="宋体"/>
                <w:color w:val="auto"/>
                <w:sz w:val="22"/>
                <w:szCs w:val="22"/>
              </w:rPr>
              <w:t>业务功能对接要求</w:t>
            </w:r>
          </w:p>
          <w:p w14:paraId="70A11339">
            <w:pPr>
              <w:adjustRightInd w:val="0"/>
              <w:snapToGrid w:val="0"/>
              <w:spacing w:line="240" w:lineRule="auto"/>
              <w:ind w:firstLine="0" w:firstLineChars="0"/>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‌统一身份认证集成‌</w:t>
            </w:r>
            <w:r>
              <w:rPr>
                <w:rFonts w:hint="eastAsia" w:ascii="宋体" w:hAnsi="宋体" w:cs="宋体"/>
                <w:color w:val="auto"/>
                <w:sz w:val="22"/>
                <w:szCs w:val="22"/>
              </w:rPr>
              <w:t>：</w:t>
            </w:r>
            <w:r>
              <w:rPr>
                <w:rFonts w:hint="eastAsia" w:ascii="宋体" w:hAnsi="宋体" w:eastAsia="宋体" w:cs="宋体"/>
                <w:color w:val="auto"/>
                <w:sz w:val="22"/>
                <w:szCs w:val="22"/>
              </w:rPr>
              <w:t>新建业务系统必须对接学校统一身份认证平台，完成系统首页及有关审批、查询类等次级页面的单点登录改造和适配；</w:t>
            </w:r>
          </w:p>
          <w:p w14:paraId="3EDB6FBE">
            <w:pPr>
              <w:adjustRightInd w:val="0"/>
              <w:snapToGrid w:val="0"/>
              <w:spacing w:line="240" w:lineRule="auto"/>
              <w:ind w:firstLine="0" w:firstLineChars="0"/>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‌待办任务与消息集成‌：新建业务系统中涉及师生常用的审批类流程、查询类功能，需完成与学校信息门户待办中心与移动端消息中心的对接，统一上架到学校网上办事大厅；</w:t>
            </w:r>
          </w:p>
          <w:p w14:paraId="59BE8EA5">
            <w:pPr>
              <w:adjustRightInd w:val="0"/>
              <w:snapToGrid w:val="0"/>
              <w:spacing w:line="240" w:lineRule="auto"/>
              <w:ind w:firstLine="0" w:firstLineChars="0"/>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‌移动端适配和集成‌</w:t>
            </w:r>
            <w:r>
              <w:rPr>
                <w:rFonts w:hint="eastAsia" w:ascii="宋体" w:hAnsi="宋体" w:cs="宋体"/>
                <w:color w:val="auto"/>
                <w:sz w:val="22"/>
                <w:szCs w:val="22"/>
              </w:rPr>
              <w:t>：</w:t>
            </w:r>
            <w:r>
              <w:rPr>
                <w:rFonts w:hint="eastAsia" w:ascii="宋体" w:hAnsi="宋体" w:eastAsia="宋体" w:cs="宋体"/>
                <w:color w:val="auto"/>
                <w:sz w:val="22"/>
                <w:szCs w:val="22"/>
              </w:rPr>
              <w:t>主要功能需支持移动端（H5）访问并完成和学校统一身份认证、消息中心及待办中心的对接，并上架到学校的统一移动端信息门户中。</w:t>
            </w:r>
          </w:p>
          <w:p w14:paraId="688AAF56">
            <w:pPr>
              <w:adjustRightInd w:val="0"/>
              <w:snapToGrid w:val="0"/>
              <w:spacing w:line="240" w:lineRule="auto"/>
              <w:ind w:firstLine="0" w:firstLineChars="0"/>
              <w:rPr>
                <w:rFonts w:hint="eastAsia" w:ascii="宋体" w:hAnsi="宋体" w:eastAsia="宋体" w:cs="宋体"/>
                <w:color w:val="auto"/>
                <w:sz w:val="22"/>
                <w:szCs w:val="22"/>
              </w:rPr>
            </w:pPr>
            <w:r>
              <w:rPr>
                <w:rFonts w:hint="eastAsia" w:ascii="宋体" w:hAnsi="宋体" w:cs="宋体"/>
                <w:color w:val="auto"/>
                <w:sz w:val="22"/>
                <w:szCs w:val="22"/>
                <w:lang w:val="en-US" w:eastAsia="zh-CN"/>
              </w:rPr>
              <w:t>(</w:t>
            </w:r>
            <w:r>
              <w:rPr>
                <w:rFonts w:hint="eastAsia" w:ascii="宋体" w:hAnsi="宋体" w:eastAsia="宋体" w:cs="宋体"/>
                <w:color w:val="auto"/>
                <w:sz w:val="22"/>
                <w:szCs w:val="22"/>
                <w:lang w:val="en-US" w:eastAsia="zh-CN"/>
              </w:rPr>
              <w:t>3</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其他要求</w:t>
            </w:r>
          </w:p>
          <w:p w14:paraId="53B86DC8">
            <w:pPr>
              <w:adjustRightInd w:val="0"/>
              <w:snapToGrid w:val="0"/>
              <w:spacing w:line="240" w:lineRule="auto"/>
              <w:ind w:firstLine="0" w:firstLineChars="0"/>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新建业务系统需支持模块化扩展，适应未来业务变化；系统须支持信创环境部署（如暂时不具备条件，须承诺后续免费完成信创适配改造）；</w:t>
            </w:r>
          </w:p>
          <w:p w14:paraId="79ED57DE">
            <w:pPr>
              <w:adjustRightInd w:val="0"/>
              <w:snapToGrid w:val="0"/>
              <w:spacing w:line="240" w:lineRule="auto"/>
              <w:ind w:firstLine="0" w:firstLineChars="0"/>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中标供应商负责完成所建业务系统的深度渗透测试，完成系统（含系统运行所需的全部软件环境）的测评整改。如有产生费用，由中标供应商负责。</w:t>
            </w:r>
          </w:p>
          <w:p w14:paraId="45ACFBF7">
            <w:pPr>
              <w:widowControl/>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lang w:eastAsia="zh-CN"/>
              </w:rPr>
              <w:t>）</w:t>
            </w:r>
            <w:r>
              <w:rPr>
                <w:rFonts w:hint="eastAsia" w:ascii="宋体" w:hAnsi="宋体" w:cs="宋体"/>
                <w:color w:val="auto"/>
                <w:szCs w:val="21"/>
              </w:rPr>
              <w:t>根据《职业院校数字基座高职数据标准及接口规范(试行)V3.0》要求，同步</w:t>
            </w:r>
            <w:r>
              <w:rPr>
                <w:rFonts w:hint="eastAsia" w:ascii="宋体" w:hAnsi="宋体" w:cs="宋体"/>
                <w:color w:val="auto"/>
                <w:szCs w:val="21"/>
                <w:lang w:val="en-US" w:eastAsia="zh-CN"/>
              </w:rPr>
              <w:t>机房</w:t>
            </w:r>
            <w:r>
              <w:rPr>
                <w:rFonts w:hint="eastAsia" w:ascii="宋体" w:hAnsi="宋体" w:cs="宋体"/>
                <w:color w:val="auto"/>
                <w:szCs w:val="21"/>
              </w:rPr>
              <w:t>设备运行（包括设备编码、设备名称、教室号、开始运行时间、结束运行时间等）相关数据到学校数据中心。</w:t>
            </w:r>
          </w:p>
          <w:p w14:paraId="0523A60B">
            <w:pPr>
              <w:adjustRightInd w:val="0"/>
              <w:snapToGrid w:val="0"/>
              <w:spacing w:line="240" w:lineRule="auto"/>
              <w:ind w:firstLine="0" w:firstLineChars="0"/>
              <w:rPr>
                <w:rFonts w:hint="eastAsia" w:ascii="宋体" w:hAnsi="宋体" w:eastAsia="宋体" w:cs="宋体"/>
                <w:color w:val="auto"/>
                <w:sz w:val="22"/>
                <w:szCs w:val="22"/>
              </w:rPr>
            </w:pP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rPr>
              <w:t>合同期内，中标单位免费提供接口，以保障与学校第三方应用系统和数字化校园数据中心平台的无缝衔接，涉及到的对接费用均已包含在内，不得再单独收费。</w:t>
            </w:r>
          </w:p>
          <w:p w14:paraId="7433A0C6">
            <w:pPr>
              <w:snapToGrid w:val="0"/>
              <w:rPr>
                <w:rFonts w:hint="eastAsia" w:ascii="宋体" w:hAnsi="宋体" w:cs="宋体"/>
                <w:color w:val="auto"/>
                <w:spacing w:val="-6"/>
                <w:sz w:val="22"/>
                <w:szCs w:val="22"/>
              </w:rPr>
            </w:pPr>
          </w:p>
        </w:tc>
      </w:tr>
    </w:tbl>
    <w:p w14:paraId="4843270A">
      <w:pPr>
        <w:pStyle w:val="3"/>
        <w:wordWrap w:val="0"/>
        <w:ind w:left="0" w:firstLine="0"/>
        <w:rPr>
          <w:rFonts w:ascii="宋体" w:hAnsi="宋体" w:eastAsia="宋体" w:cs="宋体"/>
          <w:color w:val="auto"/>
          <w:sz w:val="22"/>
          <w:szCs w:val="22"/>
          <w:lang w:val="en-US"/>
        </w:rPr>
      </w:pPr>
      <w:r>
        <w:rPr>
          <w:rFonts w:hint="eastAsia" w:ascii="宋体" w:hAnsi="宋体" w:eastAsia="宋体" w:cs="宋体"/>
          <w:color w:val="auto"/>
          <w:sz w:val="22"/>
          <w:szCs w:val="22"/>
          <w:lang w:val="en-US"/>
        </w:rPr>
        <w:t>五、报价要求</w:t>
      </w:r>
    </w:p>
    <w:p w14:paraId="2188FA08">
      <w:pPr>
        <w:pStyle w:val="795"/>
        <w:tabs>
          <w:tab w:val="left" w:pos="-105"/>
          <w:tab w:val="left" w:pos="567"/>
        </w:tabs>
        <w:wordWrap w:val="0"/>
        <w:ind w:firstLine="440"/>
        <w:rPr>
          <w:color w:val="auto"/>
          <w:sz w:val="22"/>
        </w:rPr>
      </w:pPr>
      <w:r>
        <w:rPr>
          <w:rFonts w:hint="eastAsia"/>
          <w:color w:val="auto"/>
          <w:sz w:val="22"/>
        </w:rPr>
        <w:t>（一）投标报价</w:t>
      </w:r>
    </w:p>
    <w:p w14:paraId="6CE430B1">
      <w:pPr>
        <w:pStyle w:val="795"/>
        <w:tabs>
          <w:tab w:val="left" w:pos="-105"/>
          <w:tab w:val="left" w:pos="567"/>
        </w:tabs>
        <w:wordWrap w:val="0"/>
        <w:ind w:firstLine="440"/>
        <w:rPr>
          <w:color w:val="auto"/>
          <w:sz w:val="22"/>
        </w:rPr>
      </w:pPr>
      <w:r>
        <w:rPr>
          <w:rFonts w:hint="eastAsia"/>
          <w:color w:val="auto"/>
          <w:sz w:val="22"/>
        </w:rPr>
        <w:t>1、本次报价方式为总价包干，全部采用人民币报价。</w:t>
      </w:r>
    </w:p>
    <w:p w14:paraId="16C63CFA">
      <w:pPr>
        <w:pStyle w:val="795"/>
        <w:tabs>
          <w:tab w:val="left" w:pos="-105"/>
          <w:tab w:val="left" w:pos="567"/>
        </w:tabs>
        <w:wordWrap w:val="0"/>
        <w:ind w:firstLine="440"/>
        <w:rPr>
          <w:color w:val="auto"/>
          <w:sz w:val="22"/>
        </w:rPr>
      </w:pPr>
      <w:r>
        <w:rPr>
          <w:rFonts w:hint="eastAsia"/>
          <w:color w:val="auto"/>
          <w:sz w:val="22"/>
        </w:rPr>
        <w:t>此报价应包括完成合同所涉及的全部内容，包含但不仅限于所有产品的设计、制造、包装、运输与装卸、临时仓储、安装（含辅材辅料等）、调试、验收配合、技术培训、售后服务以及伴随的其他一切服务，以及中标后中标供应商因本项目合同履行产生的税金、人工、管理、合理利润等一切成本及费用（以上所有费用包含在综合单价中，不另列）。</w:t>
      </w:r>
    </w:p>
    <w:p w14:paraId="7D5AA34E">
      <w:pPr>
        <w:pStyle w:val="795"/>
        <w:tabs>
          <w:tab w:val="left" w:pos="-105"/>
          <w:tab w:val="left" w:pos="567"/>
        </w:tabs>
        <w:wordWrap w:val="0"/>
        <w:ind w:firstLine="440"/>
        <w:rPr>
          <w:color w:val="auto"/>
          <w:sz w:val="22"/>
        </w:rPr>
      </w:pPr>
      <w:r>
        <w:rPr>
          <w:rFonts w:hint="eastAsia"/>
          <w:color w:val="auto"/>
          <w:sz w:val="22"/>
        </w:rPr>
        <w:t>完成本项目服务所涉及的一切费用由供应商承担。费用清单需详细列明，不详细的部分采购人有权按最好效果、最高标准执行。</w:t>
      </w:r>
    </w:p>
    <w:p w14:paraId="754E274B">
      <w:pPr>
        <w:pStyle w:val="795"/>
        <w:tabs>
          <w:tab w:val="left" w:pos="-105"/>
          <w:tab w:val="left" w:pos="567"/>
        </w:tabs>
        <w:wordWrap w:val="0"/>
        <w:ind w:firstLine="440"/>
        <w:rPr>
          <w:color w:val="auto"/>
          <w:sz w:val="22"/>
        </w:rPr>
      </w:pPr>
      <w:r>
        <w:rPr>
          <w:rFonts w:hint="eastAsia"/>
          <w:color w:val="auto"/>
          <w:sz w:val="22"/>
        </w:rPr>
        <w:t>2、投标人应认真计算可能发生的各相关费用并计入报价内，在项目实施过程中不得藉此要求增加任何费用，并不得出现选择性的报价。</w:t>
      </w:r>
    </w:p>
    <w:p w14:paraId="37485D27">
      <w:pPr>
        <w:pStyle w:val="795"/>
        <w:tabs>
          <w:tab w:val="left" w:pos="-105"/>
          <w:tab w:val="left" w:pos="567"/>
        </w:tabs>
        <w:wordWrap w:val="0"/>
        <w:ind w:firstLine="440"/>
        <w:rPr>
          <w:color w:val="auto"/>
          <w:sz w:val="22"/>
        </w:rPr>
      </w:pPr>
      <w:r>
        <w:rPr>
          <w:rFonts w:hint="eastAsia"/>
          <w:color w:val="auto"/>
          <w:sz w:val="22"/>
        </w:rPr>
        <w:t>3、相关成本支出由各投标人自行考虑。</w:t>
      </w:r>
    </w:p>
    <w:p w14:paraId="0D24F137">
      <w:pPr>
        <w:pStyle w:val="3"/>
        <w:numPr>
          <w:ilvl w:val="0"/>
          <w:numId w:val="7"/>
        </w:numPr>
        <w:wordWrap w:val="0"/>
        <w:ind w:left="0" w:firstLine="0"/>
        <w:rPr>
          <w:rFonts w:ascii="宋体" w:hAnsi="宋体" w:eastAsia="宋体" w:cs="宋体"/>
          <w:color w:val="auto"/>
          <w:sz w:val="22"/>
          <w:szCs w:val="22"/>
          <w:lang w:val="en-US"/>
        </w:rPr>
      </w:pPr>
      <w:bookmarkStart w:id="46" w:name="_Toc16233"/>
      <w:r>
        <w:rPr>
          <w:rFonts w:hint="eastAsia" w:ascii="宋体" w:hAnsi="宋体" w:eastAsia="宋体" w:cs="宋体"/>
          <w:color w:val="auto"/>
          <w:sz w:val="22"/>
          <w:szCs w:val="22"/>
          <w:lang w:val="en-US"/>
        </w:rPr>
        <w:t>样品要求</w:t>
      </w:r>
      <w:bookmarkEnd w:id="46"/>
    </w:p>
    <w:p w14:paraId="01DC3EE5">
      <w:pPr>
        <w:pStyle w:val="795"/>
        <w:tabs>
          <w:tab w:val="left" w:pos="-105"/>
          <w:tab w:val="left" w:pos="567"/>
        </w:tabs>
        <w:wordWrap w:val="0"/>
        <w:ind w:firstLine="440"/>
        <w:rPr>
          <w:color w:val="auto"/>
          <w:sz w:val="22"/>
        </w:rPr>
      </w:pPr>
      <w:r>
        <w:rPr>
          <w:rFonts w:hint="eastAsia"/>
          <w:color w:val="auto"/>
          <w:sz w:val="22"/>
        </w:rPr>
        <w:t>1.为了更加直观、准确的评价各供应商所投产品与采购需求的符合性，以及评价各供应商所投产品的材质、制造工艺等，本项目要求投标供应商按要求递交投标样品。</w:t>
      </w:r>
    </w:p>
    <w:p w14:paraId="2B271DD3">
      <w:pPr>
        <w:pStyle w:val="795"/>
        <w:tabs>
          <w:tab w:val="left" w:pos="-105"/>
          <w:tab w:val="left" w:pos="567"/>
        </w:tabs>
        <w:wordWrap w:val="0"/>
        <w:ind w:firstLine="220" w:firstLineChars="100"/>
        <w:rPr>
          <w:color w:val="auto"/>
          <w:sz w:val="22"/>
        </w:rPr>
      </w:pPr>
      <w:r>
        <w:rPr>
          <w:rFonts w:hint="eastAsia"/>
          <w:color w:val="auto"/>
          <w:sz w:val="22"/>
        </w:rPr>
        <w:t>▲2.本次招标要求携带样品参加投标，对未提供样品（包括样品数量不全、样品未在规定时间内送达）或提供样品不满足采购需求实质性条件的，作无效标处理。</w:t>
      </w:r>
    </w:p>
    <w:tbl>
      <w:tblPr>
        <w:tblStyle w:val="63"/>
        <w:tblW w:w="5161"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422"/>
        <w:gridCol w:w="4912"/>
        <w:gridCol w:w="772"/>
        <w:gridCol w:w="784"/>
      </w:tblGrid>
      <w:tr w14:paraId="4A04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1" w:type="pct"/>
            <w:shd w:val="clear" w:color="auto" w:fill="BFBFBF"/>
            <w:vAlign w:val="center"/>
          </w:tcPr>
          <w:p w14:paraId="4256EAB5">
            <w:pPr>
              <w:wordWrap w:val="0"/>
              <w:adjustRightInd/>
              <w:spacing w:line="360" w:lineRule="auto"/>
              <w:jc w:val="center"/>
              <w:rPr>
                <w:rFonts w:ascii="宋体" w:hAnsi="宋体" w:cs="宋体"/>
                <w:b/>
                <w:color w:val="auto"/>
                <w:kern w:val="0"/>
                <w:sz w:val="22"/>
                <w:szCs w:val="22"/>
              </w:rPr>
            </w:pPr>
            <w:r>
              <w:rPr>
                <w:rFonts w:hint="eastAsia" w:ascii="宋体" w:hAnsi="宋体" w:cs="宋体"/>
                <w:b/>
                <w:color w:val="auto"/>
                <w:kern w:val="0"/>
                <w:sz w:val="22"/>
                <w:szCs w:val="22"/>
              </w:rPr>
              <w:t>序号</w:t>
            </w:r>
          </w:p>
        </w:tc>
        <w:tc>
          <w:tcPr>
            <w:tcW w:w="811" w:type="pct"/>
            <w:shd w:val="clear" w:color="auto" w:fill="BFBFBF"/>
            <w:vAlign w:val="center"/>
          </w:tcPr>
          <w:p w14:paraId="5B94A8A6">
            <w:pPr>
              <w:wordWrap w:val="0"/>
              <w:adjustRightInd/>
              <w:spacing w:line="360" w:lineRule="auto"/>
              <w:jc w:val="center"/>
              <w:rPr>
                <w:rFonts w:ascii="宋体" w:hAnsi="宋体" w:cs="宋体"/>
                <w:b/>
                <w:color w:val="auto"/>
                <w:sz w:val="22"/>
                <w:szCs w:val="22"/>
              </w:rPr>
            </w:pPr>
            <w:r>
              <w:rPr>
                <w:rFonts w:hint="eastAsia" w:ascii="宋体" w:hAnsi="宋体" w:cs="宋体"/>
                <w:b/>
                <w:color w:val="auto"/>
                <w:sz w:val="22"/>
                <w:szCs w:val="22"/>
              </w:rPr>
              <w:t>名称</w:t>
            </w:r>
          </w:p>
        </w:tc>
        <w:tc>
          <w:tcPr>
            <w:tcW w:w="2801" w:type="pct"/>
            <w:shd w:val="clear" w:color="auto" w:fill="BFBFBF"/>
            <w:vAlign w:val="center"/>
          </w:tcPr>
          <w:p w14:paraId="3383FBF0">
            <w:pPr>
              <w:wordWrap w:val="0"/>
              <w:adjustRightInd/>
              <w:spacing w:line="360" w:lineRule="auto"/>
              <w:jc w:val="center"/>
              <w:rPr>
                <w:rFonts w:ascii="宋体" w:hAnsi="宋体" w:cs="宋体"/>
                <w:b/>
                <w:color w:val="auto"/>
                <w:sz w:val="22"/>
                <w:szCs w:val="22"/>
              </w:rPr>
            </w:pPr>
            <w:r>
              <w:rPr>
                <w:rFonts w:hint="eastAsia" w:ascii="宋体" w:hAnsi="宋体" w:cs="宋体"/>
                <w:b/>
                <w:bCs/>
                <w:color w:val="auto"/>
                <w:sz w:val="22"/>
                <w:szCs w:val="22"/>
              </w:rPr>
              <w:t>材质工艺要求</w:t>
            </w:r>
          </w:p>
        </w:tc>
        <w:tc>
          <w:tcPr>
            <w:tcW w:w="440" w:type="pct"/>
            <w:shd w:val="clear" w:color="auto" w:fill="BFBFBF"/>
            <w:vAlign w:val="center"/>
          </w:tcPr>
          <w:p w14:paraId="43F730DF">
            <w:pPr>
              <w:wordWrap w:val="0"/>
              <w:adjustRightInd/>
              <w:spacing w:line="360" w:lineRule="auto"/>
              <w:jc w:val="center"/>
              <w:rPr>
                <w:rFonts w:ascii="宋体" w:hAnsi="宋体" w:cs="宋体"/>
                <w:b/>
                <w:color w:val="auto"/>
                <w:sz w:val="22"/>
                <w:szCs w:val="22"/>
              </w:rPr>
            </w:pPr>
            <w:r>
              <w:rPr>
                <w:rFonts w:hint="eastAsia" w:ascii="宋体" w:hAnsi="宋体" w:cs="宋体"/>
                <w:b/>
                <w:color w:val="auto"/>
                <w:sz w:val="22"/>
                <w:szCs w:val="22"/>
              </w:rPr>
              <w:t>单位</w:t>
            </w:r>
          </w:p>
        </w:tc>
        <w:tc>
          <w:tcPr>
            <w:tcW w:w="447" w:type="pct"/>
            <w:shd w:val="clear" w:color="auto" w:fill="BFBFBF"/>
            <w:vAlign w:val="center"/>
          </w:tcPr>
          <w:p w14:paraId="2799490B">
            <w:pPr>
              <w:wordWrap w:val="0"/>
              <w:adjustRightInd/>
              <w:spacing w:line="360" w:lineRule="auto"/>
              <w:jc w:val="center"/>
              <w:rPr>
                <w:rFonts w:ascii="宋体" w:hAnsi="宋体" w:cs="宋体"/>
                <w:b/>
                <w:color w:val="auto"/>
                <w:sz w:val="22"/>
                <w:szCs w:val="22"/>
              </w:rPr>
            </w:pPr>
            <w:r>
              <w:rPr>
                <w:rFonts w:hint="eastAsia" w:ascii="宋体" w:hAnsi="宋体" w:cs="宋体"/>
                <w:b/>
                <w:color w:val="auto"/>
                <w:sz w:val="22"/>
                <w:szCs w:val="22"/>
              </w:rPr>
              <w:t>数量</w:t>
            </w:r>
          </w:p>
        </w:tc>
      </w:tr>
      <w:tr w14:paraId="5AE8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501" w:type="pct"/>
            <w:vAlign w:val="center"/>
          </w:tcPr>
          <w:p w14:paraId="58B984DA">
            <w:pPr>
              <w:widowControl/>
              <w:wordWrap w:val="0"/>
              <w:adjustRightInd/>
              <w:spacing w:line="360" w:lineRule="auto"/>
              <w:jc w:val="center"/>
              <w:rPr>
                <w:rFonts w:ascii="宋体" w:hAnsi="宋体" w:cs="宋体"/>
                <w:bCs/>
                <w:color w:val="auto"/>
                <w:kern w:val="0"/>
                <w:sz w:val="22"/>
                <w:szCs w:val="22"/>
              </w:rPr>
            </w:pPr>
            <w:r>
              <w:rPr>
                <w:rFonts w:ascii="宋体" w:hAnsi="宋体" w:cs="宋体"/>
                <w:color w:val="auto"/>
                <w:kern w:val="0"/>
                <w:sz w:val="22"/>
                <w:szCs w:val="22"/>
              </w:rPr>
              <w:t>1</w:t>
            </w:r>
          </w:p>
        </w:tc>
        <w:tc>
          <w:tcPr>
            <w:tcW w:w="811" w:type="pct"/>
            <w:vAlign w:val="center"/>
          </w:tcPr>
          <w:p w14:paraId="4AEA50E4">
            <w:pPr>
              <w:wordWrap w:val="0"/>
              <w:adjustRightInd/>
              <w:spacing w:line="360" w:lineRule="auto"/>
              <w:jc w:val="center"/>
              <w:textAlignment w:val="center"/>
              <w:rPr>
                <w:rFonts w:ascii="宋体" w:hAnsi="宋体" w:cs="宋体"/>
                <w:bCs/>
                <w:color w:val="auto"/>
                <w:kern w:val="0"/>
                <w:sz w:val="22"/>
                <w:szCs w:val="22"/>
              </w:rPr>
            </w:pPr>
            <w:r>
              <w:rPr>
                <w:rFonts w:hint="eastAsia" w:ascii="宋体" w:hAnsi="宋体" w:cs="宋体"/>
                <w:color w:val="auto"/>
                <w:sz w:val="22"/>
                <w:szCs w:val="22"/>
              </w:rPr>
              <w:t>实训桌</w:t>
            </w:r>
            <w:r>
              <w:rPr>
                <w:rFonts w:ascii="宋体" w:hAnsi="宋体" w:cs="宋体"/>
                <w:color w:val="auto"/>
                <w:sz w:val="22"/>
                <w:szCs w:val="22"/>
              </w:rPr>
              <w:t>1</w:t>
            </w:r>
          </w:p>
        </w:tc>
        <w:tc>
          <w:tcPr>
            <w:tcW w:w="2801" w:type="pct"/>
            <w:vAlign w:val="center"/>
          </w:tcPr>
          <w:p w14:paraId="7B91D3DD">
            <w:pPr>
              <w:widowControl/>
              <w:wordWrap w:val="0"/>
              <w:adjustRightInd/>
              <w:spacing w:line="360" w:lineRule="auto"/>
              <w:jc w:val="left"/>
              <w:textAlignment w:val="center"/>
              <w:rPr>
                <w:rFonts w:ascii="宋体" w:hAnsi="宋体" w:cs="宋体"/>
                <w:bCs/>
                <w:color w:val="auto"/>
                <w:sz w:val="22"/>
                <w:szCs w:val="22"/>
              </w:rPr>
            </w:pPr>
            <w:r>
              <w:rPr>
                <w:rFonts w:hint="eastAsia" w:ascii="宋体" w:hAnsi="宋体" w:cs="宋体"/>
                <w:bCs/>
                <w:color w:val="auto"/>
                <w:sz w:val="22"/>
                <w:szCs w:val="22"/>
              </w:rPr>
              <w:t>符合本招标文件第三部分“采购清单及要求”对应参数要求</w:t>
            </w:r>
            <w:r>
              <w:rPr>
                <w:rFonts w:ascii="宋体" w:hAnsi="宋体" w:cs="宋体"/>
                <w:bCs/>
                <w:color w:val="auto"/>
                <w:sz w:val="22"/>
                <w:szCs w:val="22"/>
              </w:rPr>
              <w:t>(</w:t>
            </w:r>
            <w:r>
              <w:rPr>
                <w:rFonts w:hint="eastAsia" w:ascii="宋体" w:hAnsi="宋体" w:cs="宋体"/>
                <w:bCs/>
                <w:color w:val="auto"/>
                <w:sz w:val="22"/>
                <w:szCs w:val="22"/>
              </w:rPr>
              <w:t>四人位</w:t>
            </w:r>
            <w:r>
              <w:rPr>
                <w:rFonts w:ascii="宋体" w:hAnsi="宋体" w:cs="宋体"/>
                <w:bCs/>
                <w:color w:val="auto"/>
                <w:sz w:val="22"/>
                <w:szCs w:val="22"/>
              </w:rPr>
              <w:t>)</w:t>
            </w:r>
          </w:p>
        </w:tc>
        <w:tc>
          <w:tcPr>
            <w:tcW w:w="440" w:type="pct"/>
            <w:vAlign w:val="center"/>
          </w:tcPr>
          <w:p w14:paraId="0FF5EAFD">
            <w:pPr>
              <w:widowControl/>
              <w:wordWrap w:val="0"/>
              <w:adjustRightInd/>
              <w:spacing w:line="360" w:lineRule="auto"/>
              <w:jc w:val="center"/>
              <w:textAlignment w:val="center"/>
              <w:rPr>
                <w:rFonts w:ascii="宋体" w:hAnsi="宋体" w:cs="宋体"/>
                <w:bCs/>
                <w:color w:val="auto"/>
                <w:sz w:val="22"/>
                <w:szCs w:val="22"/>
              </w:rPr>
            </w:pPr>
            <w:r>
              <w:rPr>
                <w:rFonts w:hint="eastAsia" w:ascii="宋体" w:hAnsi="宋体" w:cs="宋体"/>
                <w:bCs/>
                <w:color w:val="auto"/>
                <w:sz w:val="22"/>
                <w:szCs w:val="22"/>
              </w:rPr>
              <w:t>张</w:t>
            </w:r>
          </w:p>
        </w:tc>
        <w:tc>
          <w:tcPr>
            <w:tcW w:w="447" w:type="pct"/>
            <w:vAlign w:val="center"/>
          </w:tcPr>
          <w:p w14:paraId="081A97DE">
            <w:pPr>
              <w:widowControl/>
              <w:wordWrap w:val="0"/>
              <w:adjustRightInd/>
              <w:spacing w:line="360" w:lineRule="auto"/>
              <w:jc w:val="center"/>
              <w:textAlignment w:val="center"/>
              <w:rPr>
                <w:rFonts w:ascii="宋体" w:hAnsi="宋体" w:cs="宋体"/>
                <w:bCs/>
                <w:color w:val="auto"/>
                <w:sz w:val="22"/>
                <w:szCs w:val="22"/>
              </w:rPr>
            </w:pPr>
            <w:r>
              <w:rPr>
                <w:rFonts w:ascii="宋体" w:hAnsi="宋体" w:cs="宋体"/>
                <w:bCs/>
                <w:color w:val="auto"/>
                <w:sz w:val="22"/>
                <w:szCs w:val="22"/>
              </w:rPr>
              <w:t>1</w:t>
            </w:r>
          </w:p>
        </w:tc>
      </w:tr>
    </w:tbl>
    <w:p w14:paraId="3C978474">
      <w:pPr>
        <w:pStyle w:val="795"/>
        <w:tabs>
          <w:tab w:val="left" w:pos="-105"/>
          <w:tab w:val="left" w:pos="567"/>
        </w:tabs>
        <w:wordWrap w:val="0"/>
        <w:ind w:firstLine="440"/>
        <w:rPr>
          <w:color w:val="auto"/>
          <w:sz w:val="22"/>
        </w:rPr>
      </w:pPr>
      <w:r>
        <w:rPr>
          <w:rFonts w:hint="eastAsia"/>
          <w:color w:val="auto"/>
          <w:sz w:val="22"/>
        </w:rPr>
        <w:t>备注：样品评分时评标委员可以对样品进行破坏性实验，投标人自行考虑投标风险，家具因破坏实验而导致的损失由投标人自行承担。</w:t>
      </w:r>
    </w:p>
    <w:p w14:paraId="52F52F07">
      <w:pPr>
        <w:wordWrap w:val="0"/>
        <w:adjustRightInd/>
        <w:spacing w:line="360" w:lineRule="auto"/>
        <w:ind w:firstLine="442" w:firstLineChars="200"/>
        <w:jc w:val="left"/>
        <w:rPr>
          <w:rFonts w:ascii="宋体" w:hAnsi="宋体"/>
          <w:b/>
          <w:bCs/>
          <w:color w:val="auto"/>
          <w:sz w:val="22"/>
          <w:szCs w:val="22"/>
        </w:rPr>
      </w:pPr>
      <w:r>
        <w:rPr>
          <w:rFonts w:hint="eastAsia" w:ascii="宋体" w:hAnsi="宋体"/>
          <w:b/>
          <w:bCs/>
          <w:color w:val="auto"/>
          <w:sz w:val="22"/>
          <w:szCs w:val="22"/>
        </w:rPr>
        <w:t>验收时如果供应商提供的产品质量低于样品质量，采购人将不予接受，其造成的一切损失和后果由中标人承担。</w:t>
      </w:r>
    </w:p>
    <w:p w14:paraId="1E768509">
      <w:pPr>
        <w:tabs>
          <w:tab w:val="left" w:pos="0"/>
        </w:tabs>
        <w:wordWrap w:val="0"/>
        <w:adjustRightInd/>
        <w:spacing w:line="360" w:lineRule="auto"/>
        <w:ind w:firstLine="480"/>
        <w:rPr>
          <w:rFonts w:ascii="宋体" w:hAnsi="宋体" w:cs="宋体"/>
          <w:color w:val="auto"/>
          <w:kern w:val="0"/>
          <w:sz w:val="22"/>
          <w:szCs w:val="22"/>
        </w:rPr>
      </w:pPr>
      <w:r>
        <w:rPr>
          <w:rFonts w:hint="eastAsia" w:ascii="宋体" w:hAnsi="宋体" w:cs="宋体"/>
          <w:color w:val="auto"/>
          <w:kern w:val="0"/>
          <w:sz w:val="22"/>
          <w:szCs w:val="22"/>
        </w:rPr>
        <w:t>其它：招标文件第四部分评分办法中评审因素相应的其它要求及第五部分采购合同中相应的其他要求。</w:t>
      </w:r>
    </w:p>
    <w:p w14:paraId="7F859072">
      <w:pPr>
        <w:spacing w:line="480" w:lineRule="auto"/>
        <w:jc w:val="center"/>
        <w:rPr>
          <w:rFonts w:ascii="宋体" w:hAnsi="宋体" w:cs="宋体"/>
          <w:b/>
          <w:sz w:val="36"/>
          <w:szCs w:val="36"/>
        </w:rPr>
      </w:pPr>
      <w:r>
        <w:rPr>
          <w:rFonts w:hint="eastAsia"/>
          <w:sz w:val="22"/>
        </w:rPr>
        <w:br w:type="page"/>
      </w:r>
      <w:r>
        <w:rPr>
          <w:rFonts w:hint="eastAsia" w:ascii="宋体" w:hAnsi="宋体" w:cs="宋体"/>
          <w:b/>
          <w:sz w:val="36"/>
          <w:szCs w:val="36"/>
        </w:rPr>
        <w:t xml:space="preserve">第四部分   </w:t>
      </w:r>
      <w:bookmarkStart w:id="47" w:name="_Toc184308105"/>
      <w:bookmarkEnd w:id="47"/>
      <w:bookmarkStart w:id="48" w:name="_Toc184313270"/>
      <w:bookmarkEnd w:id="48"/>
      <w:bookmarkStart w:id="49" w:name="_Toc184312091"/>
      <w:bookmarkEnd w:id="49"/>
      <w:bookmarkStart w:id="50" w:name="_Toc184308086"/>
      <w:bookmarkEnd w:id="50"/>
      <w:bookmarkStart w:id="51" w:name="_Toc184314412"/>
      <w:bookmarkEnd w:id="51"/>
      <w:bookmarkStart w:id="52" w:name="_Toc184308053"/>
      <w:bookmarkEnd w:id="52"/>
      <w:bookmarkStart w:id="53" w:name="_Toc184314417"/>
      <w:bookmarkEnd w:id="53"/>
      <w:bookmarkStart w:id="54" w:name="_Toc184310288"/>
      <w:bookmarkEnd w:id="54"/>
      <w:bookmarkStart w:id="55" w:name="_Toc184312087"/>
      <w:bookmarkEnd w:id="55"/>
      <w:bookmarkStart w:id="56" w:name="_Toc184314456"/>
      <w:bookmarkEnd w:id="56"/>
      <w:bookmarkStart w:id="57" w:name="_Toc184310282"/>
      <w:bookmarkEnd w:id="57"/>
      <w:bookmarkStart w:id="58" w:name="_Toc184310274"/>
      <w:bookmarkEnd w:id="58"/>
      <w:bookmarkStart w:id="59" w:name="_Toc184310316"/>
      <w:bookmarkEnd w:id="59"/>
      <w:bookmarkStart w:id="60" w:name="_Toc184312107"/>
      <w:bookmarkEnd w:id="60"/>
      <w:bookmarkStart w:id="61" w:name="_Toc184314415"/>
      <w:bookmarkEnd w:id="61"/>
      <w:bookmarkStart w:id="62" w:name="_Toc184310331"/>
      <w:bookmarkEnd w:id="62"/>
      <w:bookmarkStart w:id="63" w:name="_Toc184313264"/>
      <w:bookmarkEnd w:id="63"/>
      <w:bookmarkStart w:id="64" w:name="_Toc184312137"/>
      <w:bookmarkEnd w:id="64"/>
      <w:bookmarkStart w:id="65" w:name="_Toc184314439"/>
      <w:bookmarkEnd w:id="65"/>
      <w:bookmarkStart w:id="66" w:name="_Toc184314478"/>
      <w:bookmarkEnd w:id="66"/>
      <w:bookmarkStart w:id="67" w:name="_Toc184310296"/>
      <w:bookmarkEnd w:id="67"/>
      <w:bookmarkStart w:id="68" w:name="_Toc184308087"/>
      <w:bookmarkEnd w:id="68"/>
      <w:bookmarkStart w:id="69" w:name="_Toc184314474"/>
      <w:bookmarkEnd w:id="69"/>
      <w:bookmarkStart w:id="70" w:name="_Toc184314442"/>
      <w:bookmarkEnd w:id="70"/>
      <w:bookmarkStart w:id="71" w:name="_Toc184313309"/>
      <w:bookmarkEnd w:id="71"/>
      <w:bookmarkStart w:id="72" w:name="_Toc184312112"/>
      <w:bookmarkEnd w:id="72"/>
      <w:bookmarkStart w:id="73" w:name="_Toc184312075"/>
      <w:bookmarkEnd w:id="73"/>
      <w:bookmarkStart w:id="74" w:name="_Toc184314460"/>
      <w:bookmarkEnd w:id="74"/>
      <w:bookmarkStart w:id="75" w:name="_Toc184310293"/>
      <w:bookmarkEnd w:id="75"/>
      <w:bookmarkStart w:id="76" w:name="_Toc184312080"/>
      <w:bookmarkEnd w:id="76"/>
      <w:bookmarkStart w:id="77" w:name="_Toc184313243"/>
      <w:bookmarkEnd w:id="77"/>
      <w:bookmarkStart w:id="78" w:name="_Toc184308090"/>
      <w:bookmarkEnd w:id="78"/>
      <w:bookmarkStart w:id="79" w:name="_Toc184308039"/>
      <w:bookmarkEnd w:id="79"/>
      <w:bookmarkStart w:id="80" w:name="_Toc184313268"/>
      <w:bookmarkEnd w:id="80"/>
      <w:bookmarkStart w:id="81" w:name="_Toc184310299"/>
      <w:bookmarkEnd w:id="81"/>
      <w:bookmarkStart w:id="82" w:name="_Toc184310328"/>
      <w:bookmarkEnd w:id="82"/>
      <w:bookmarkStart w:id="83" w:name="_Toc184308088"/>
      <w:bookmarkEnd w:id="83"/>
      <w:bookmarkStart w:id="84" w:name="_Toc184314481"/>
      <w:bookmarkEnd w:id="84"/>
      <w:bookmarkStart w:id="85" w:name="_Toc184314475"/>
      <w:bookmarkEnd w:id="85"/>
      <w:bookmarkStart w:id="86" w:name="_Toc184314467"/>
      <w:bookmarkEnd w:id="86"/>
      <w:bookmarkStart w:id="87" w:name="_Toc184312114"/>
      <w:bookmarkEnd w:id="87"/>
      <w:bookmarkStart w:id="88" w:name="_Toc184312097"/>
      <w:bookmarkEnd w:id="88"/>
      <w:bookmarkStart w:id="89" w:name="_Toc184313285"/>
      <w:bookmarkEnd w:id="89"/>
      <w:bookmarkStart w:id="90" w:name="_Toc184308043"/>
      <w:bookmarkEnd w:id="90"/>
      <w:bookmarkStart w:id="91" w:name="_Toc184313265"/>
      <w:bookmarkEnd w:id="91"/>
      <w:bookmarkStart w:id="92" w:name="_Toc184314421"/>
      <w:bookmarkEnd w:id="92"/>
      <w:bookmarkStart w:id="93" w:name="_Toc184313277"/>
      <w:bookmarkEnd w:id="93"/>
      <w:bookmarkStart w:id="94" w:name="_Toc184312088"/>
      <w:bookmarkEnd w:id="94"/>
      <w:bookmarkStart w:id="95" w:name="_Toc184313248"/>
      <w:bookmarkEnd w:id="95"/>
      <w:bookmarkStart w:id="96" w:name="_Toc184310335"/>
      <w:bookmarkEnd w:id="96"/>
      <w:bookmarkStart w:id="97" w:name="_Toc184313273"/>
      <w:bookmarkEnd w:id="97"/>
      <w:bookmarkStart w:id="98" w:name="_Toc184313305"/>
      <w:bookmarkEnd w:id="98"/>
      <w:bookmarkStart w:id="99" w:name="_Toc184314458"/>
      <w:bookmarkEnd w:id="99"/>
      <w:bookmarkStart w:id="100" w:name="_Toc184314424"/>
      <w:bookmarkEnd w:id="100"/>
      <w:bookmarkStart w:id="101" w:name="_Toc184314453"/>
      <w:bookmarkEnd w:id="101"/>
      <w:bookmarkStart w:id="102" w:name="_Toc184313303"/>
      <w:bookmarkEnd w:id="102"/>
      <w:bookmarkStart w:id="103" w:name="_Toc184312092"/>
      <w:bookmarkEnd w:id="103"/>
      <w:bookmarkStart w:id="104" w:name="_Toc184312073"/>
      <w:bookmarkEnd w:id="104"/>
      <w:bookmarkStart w:id="105" w:name="_Toc184310312"/>
      <w:bookmarkEnd w:id="105"/>
      <w:bookmarkStart w:id="106" w:name="_Toc184312083"/>
      <w:bookmarkEnd w:id="106"/>
      <w:bookmarkStart w:id="107" w:name="_Toc184312134"/>
      <w:bookmarkEnd w:id="107"/>
      <w:bookmarkStart w:id="108" w:name="_Toc184308096"/>
      <w:bookmarkEnd w:id="108"/>
      <w:bookmarkStart w:id="109" w:name="_Toc184310308"/>
      <w:bookmarkEnd w:id="109"/>
      <w:bookmarkStart w:id="110" w:name="_Toc184313266"/>
      <w:bookmarkEnd w:id="110"/>
      <w:bookmarkStart w:id="111" w:name="_Toc184310317"/>
      <w:bookmarkEnd w:id="111"/>
      <w:bookmarkStart w:id="112" w:name="_Toc184314411"/>
      <w:bookmarkEnd w:id="112"/>
      <w:bookmarkStart w:id="113" w:name="_Toc184314427"/>
      <w:bookmarkEnd w:id="113"/>
      <w:bookmarkStart w:id="114" w:name="_Toc184312127"/>
      <w:bookmarkEnd w:id="114"/>
      <w:bookmarkStart w:id="115" w:name="_Toc184313244"/>
      <w:bookmarkEnd w:id="115"/>
      <w:bookmarkStart w:id="116" w:name="_Toc184314432"/>
      <w:bookmarkEnd w:id="116"/>
      <w:bookmarkStart w:id="117" w:name="_Toc184310320"/>
      <w:bookmarkEnd w:id="117"/>
      <w:bookmarkStart w:id="118" w:name="_Toc184310339"/>
      <w:bookmarkEnd w:id="118"/>
      <w:bookmarkStart w:id="119" w:name="_Toc184314441"/>
      <w:bookmarkEnd w:id="119"/>
      <w:bookmarkStart w:id="120" w:name="_Toc184310285"/>
      <w:bookmarkEnd w:id="120"/>
      <w:bookmarkStart w:id="121" w:name="_Toc184314422"/>
      <w:bookmarkEnd w:id="121"/>
      <w:bookmarkStart w:id="122" w:name="_Toc184313292"/>
      <w:bookmarkEnd w:id="122"/>
      <w:bookmarkStart w:id="123" w:name="_Toc184312117"/>
      <w:bookmarkEnd w:id="123"/>
      <w:bookmarkStart w:id="124" w:name="_Toc184312071"/>
      <w:bookmarkEnd w:id="124"/>
      <w:bookmarkStart w:id="125" w:name="_Toc184313251"/>
      <w:bookmarkEnd w:id="125"/>
      <w:bookmarkStart w:id="126" w:name="_Toc184312081"/>
      <w:bookmarkEnd w:id="126"/>
      <w:bookmarkStart w:id="127" w:name="_Toc184312089"/>
      <w:bookmarkEnd w:id="127"/>
      <w:bookmarkStart w:id="128" w:name="_Toc184312082"/>
      <w:bookmarkEnd w:id="128"/>
      <w:bookmarkStart w:id="129" w:name="_Toc184308051"/>
      <w:bookmarkEnd w:id="129"/>
      <w:bookmarkStart w:id="130" w:name="_Toc184313271"/>
      <w:bookmarkEnd w:id="130"/>
      <w:bookmarkStart w:id="131" w:name="_Toc184314426"/>
      <w:bookmarkEnd w:id="131"/>
      <w:bookmarkStart w:id="132" w:name="_Toc184314433"/>
      <w:bookmarkEnd w:id="132"/>
      <w:bookmarkStart w:id="133" w:name="_Toc184313286"/>
      <w:bookmarkEnd w:id="133"/>
      <w:bookmarkStart w:id="134" w:name="_Toc184308036"/>
      <w:bookmarkEnd w:id="134"/>
      <w:bookmarkStart w:id="135" w:name="_Toc184310343"/>
      <w:bookmarkEnd w:id="135"/>
      <w:bookmarkStart w:id="136" w:name="_Toc184312133"/>
      <w:bookmarkEnd w:id="136"/>
      <w:bookmarkStart w:id="137" w:name="_Toc184314434"/>
      <w:bookmarkEnd w:id="137"/>
      <w:bookmarkStart w:id="138" w:name="_Toc184308099"/>
      <w:bookmarkEnd w:id="138"/>
      <w:bookmarkStart w:id="139" w:name="_Toc184308040"/>
      <w:bookmarkEnd w:id="139"/>
      <w:bookmarkStart w:id="140" w:name="_Toc184313280"/>
      <w:bookmarkEnd w:id="140"/>
      <w:bookmarkStart w:id="141" w:name="_Toc184310344"/>
      <w:bookmarkEnd w:id="141"/>
      <w:bookmarkStart w:id="142" w:name="_Toc184313307"/>
      <w:bookmarkEnd w:id="142"/>
      <w:bookmarkStart w:id="143" w:name="_Toc184313241"/>
      <w:bookmarkEnd w:id="143"/>
      <w:bookmarkStart w:id="144" w:name="_Toc184308082"/>
      <w:bookmarkEnd w:id="144"/>
      <w:bookmarkStart w:id="145" w:name="_Toc184308052"/>
      <w:bookmarkEnd w:id="145"/>
      <w:bookmarkStart w:id="146" w:name="_Toc184310329"/>
      <w:bookmarkEnd w:id="146"/>
      <w:bookmarkStart w:id="147" w:name="_Toc184314425"/>
      <w:bookmarkEnd w:id="147"/>
      <w:bookmarkStart w:id="148" w:name="_Toc184312111"/>
      <w:bookmarkEnd w:id="148"/>
      <w:bookmarkStart w:id="149" w:name="_Toc184314480"/>
      <w:bookmarkEnd w:id="149"/>
      <w:bookmarkStart w:id="150" w:name="_Toc184308065"/>
      <w:bookmarkEnd w:id="150"/>
      <w:bookmarkStart w:id="151" w:name="_Toc184312132"/>
      <w:bookmarkEnd w:id="151"/>
      <w:bookmarkStart w:id="152" w:name="_Toc184308075"/>
      <w:bookmarkEnd w:id="152"/>
      <w:bookmarkStart w:id="153" w:name="_Toc184310326"/>
      <w:bookmarkEnd w:id="153"/>
      <w:bookmarkStart w:id="154" w:name="_Toc184308084"/>
      <w:bookmarkEnd w:id="154"/>
      <w:bookmarkStart w:id="155" w:name="_Toc184314416"/>
      <w:bookmarkEnd w:id="155"/>
      <w:bookmarkStart w:id="156" w:name="_Toc184313291"/>
      <w:bookmarkEnd w:id="156"/>
      <w:bookmarkStart w:id="157" w:name="_Toc184308077"/>
      <w:bookmarkEnd w:id="157"/>
      <w:bookmarkStart w:id="158" w:name="_Toc184312094"/>
      <w:bookmarkEnd w:id="158"/>
      <w:bookmarkStart w:id="159" w:name="_Toc184310275"/>
      <w:bookmarkEnd w:id="159"/>
      <w:bookmarkStart w:id="160" w:name="_Toc184313301"/>
      <w:bookmarkEnd w:id="160"/>
      <w:bookmarkStart w:id="161" w:name="_Toc184314413"/>
      <w:bookmarkEnd w:id="161"/>
      <w:bookmarkStart w:id="162" w:name="_Toc184313290"/>
      <w:bookmarkEnd w:id="162"/>
      <w:bookmarkStart w:id="163" w:name="_Toc184308048"/>
      <w:bookmarkEnd w:id="163"/>
      <w:bookmarkStart w:id="164" w:name="_Toc184310309"/>
      <w:bookmarkEnd w:id="164"/>
      <w:bookmarkStart w:id="165" w:name="_Toc184312108"/>
      <w:bookmarkEnd w:id="165"/>
      <w:bookmarkStart w:id="166" w:name="_Toc184308076"/>
      <w:bookmarkEnd w:id="166"/>
      <w:bookmarkStart w:id="167" w:name="_Toc184312104"/>
      <w:bookmarkEnd w:id="167"/>
      <w:bookmarkStart w:id="168" w:name="_Toc184314465"/>
      <w:bookmarkEnd w:id="168"/>
      <w:bookmarkStart w:id="169" w:name="_Toc184313287"/>
      <w:bookmarkEnd w:id="169"/>
      <w:bookmarkStart w:id="170" w:name="_Toc184310337"/>
      <w:bookmarkEnd w:id="170"/>
      <w:bookmarkStart w:id="171" w:name="_Toc184308094"/>
      <w:bookmarkEnd w:id="171"/>
      <w:bookmarkStart w:id="172" w:name="_Toc184308038"/>
      <w:bookmarkEnd w:id="172"/>
      <w:bookmarkStart w:id="173" w:name="_Toc184312070"/>
      <w:bookmarkEnd w:id="173"/>
      <w:bookmarkStart w:id="174" w:name="_Toc184312124"/>
      <w:bookmarkEnd w:id="174"/>
      <w:bookmarkStart w:id="175" w:name="_Toc184313278"/>
      <w:bookmarkEnd w:id="175"/>
      <w:bookmarkStart w:id="176" w:name="_Toc184310342"/>
      <w:bookmarkEnd w:id="176"/>
      <w:bookmarkStart w:id="177" w:name="_Toc184310306"/>
      <w:bookmarkEnd w:id="177"/>
      <w:bookmarkStart w:id="178" w:name="_Toc184314440"/>
      <w:bookmarkEnd w:id="178"/>
      <w:bookmarkStart w:id="179" w:name="_Toc184312136"/>
      <w:bookmarkEnd w:id="179"/>
      <w:bookmarkStart w:id="180" w:name="_Toc184308104"/>
      <w:bookmarkEnd w:id="180"/>
      <w:bookmarkStart w:id="181" w:name="_Toc184312106"/>
      <w:bookmarkEnd w:id="181"/>
      <w:bookmarkStart w:id="182" w:name="_Toc184308059"/>
      <w:bookmarkEnd w:id="182"/>
      <w:bookmarkStart w:id="183" w:name="_Toc184312131"/>
      <w:bookmarkEnd w:id="183"/>
      <w:bookmarkStart w:id="184" w:name="_Toc184308041"/>
      <w:bookmarkEnd w:id="184"/>
      <w:bookmarkStart w:id="185" w:name="_Toc184314471"/>
      <w:bookmarkEnd w:id="185"/>
      <w:bookmarkStart w:id="186" w:name="_Toc184313254"/>
      <w:bookmarkEnd w:id="186"/>
      <w:bookmarkStart w:id="187" w:name="_Toc184310298"/>
      <w:bookmarkEnd w:id="187"/>
      <w:bookmarkStart w:id="188" w:name="_Toc184314414"/>
      <w:bookmarkEnd w:id="188"/>
      <w:bookmarkStart w:id="189" w:name="_Toc184310321"/>
      <w:bookmarkEnd w:id="189"/>
      <w:bookmarkStart w:id="190" w:name="_Toc184312110"/>
      <w:bookmarkEnd w:id="190"/>
      <w:bookmarkStart w:id="191" w:name="_Toc184313257"/>
      <w:bookmarkEnd w:id="191"/>
      <w:bookmarkStart w:id="192" w:name="_Toc184314447"/>
      <w:bookmarkEnd w:id="192"/>
      <w:bookmarkStart w:id="193" w:name="_Toc184314430"/>
      <w:bookmarkEnd w:id="193"/>
      <w:bookmarkStart w:id="194" w:name="_Toc184308092"/>
      <w:bookmarkEnd w:id="194"/>
      <w:bookmarkStart w:id="195" w:name="_Toc184313302"/>
      <w:bookmarkEnd w:id="195"/>
      <w:bookmarkStart w:id="196" w:name="_Toc184312102"/>
      <w:bookmarkEnd w:id="196"/>
      <w:bookmarkStart w:id="197" w:name="_Toc184310283"/>
      <w:bookmarkEnd w:id="197"/>
      <w:bookmarkStart w:id="198" w:name="_Toc184310286"/>
      <w:bookmarkEnd w:id="198"/>
      <w:bookmarkStart w:id="199" w:name="_Toc184310336"/>
      <w:bookmarkEnd w:id="199"/>
      <w:bookmarkStart w:id="200" w:name="_Toc184312121"/>
      <w:bookmarkEnd w:id="200"/>
      <w:bookmarkStart w:id="201" w:name="_Toc184310314"/>
      <w:bookmarkEnd w:id="201"/>
      <w:bookmarkStart w:id="202" w:name="_Toc184313245"/>
      <w:bookmarkEnd w:id="202"/>
      <w:bookmarkStart w:id="203" w:name="_Toc184312072"/>
      <w:bookmarkEnd w:id="203"/>
      <w:bookmarkStart w:id="204" w:name="_Toc184312069"/>
      <w:bookmarkEnd w:id="204"/>
      <w:bookmarkStart w:id="205" w:name="_Toc184310315"/>
      <w:bookmarkEnd w:id="205"/>
      <w:bookmarkStart w:id="206" w:name="_Toc184310290"/>
      <w:bookmarkEnd w:id="206"/>
      <w:bookmarkStart w:id="207" w:name="_Toc184313289"/>
      <w:bookmarkEnd w:id="207"/>
      <w:bookmarkStart w:id="208" w:name="_Toc184313276"/>
      <w:bookmarkEnd w:id="208"/>
      <w:bookmarkStart w:id="209" w:name="_Toc184310303"/>
      <w:bookmarkEnd w:id="209"/>
      <w:bookmarkStart w:id="210" w:name="_Toc184313310"/>
      <w:bookmarkEnd w:id="210"/>
      <w:bookmarkStart w:id="211" w:name="_Toc184312130"/>
      <w:bookmarkEnd w:id="211"/>
      <w:bookmarkStart w:id="212" w:name="_Toc184310287"/>
      <w:bookmarkEnd w:id="212"/>
      <w:bookmarkStart w:id="213" w:name="_Toc184310323"/>
      <w:bookmarkEnd w:id="213"/>
      <w:bookmarkStart w:id="214" w:name="_Toc184313259"/>
      <w:bookmarkEnd w:id="214"/>
      <w:bookmarkStart w:id="215" w:name="_Toc184310311"/>
      <w:bookmarkEnd w:id="215"/>
      <w:bookmarkStart w:id="216" w:name="_Toc184312139"/>
      <w:bookmarkEnd w:id="216"/>
      <w:bookmarkStart w:id="217" w:name="_Toc184312078"/>
      <w:bookmarkEnd w:id="217"/>
      <w:bookmarkStart w:id="218" w:name="_Toc184310276"/>
      <w:bookmarkEnd w:id="218"/>
      <w:bookmarkStart w:id="219" w:name="_Toc184308064"/>
      <w:bookmarkEnd w:id="219"/>
      <w:bookmarkStart w:id="220" w:name="_Toc184313274"/>
      <w:bookmarkEnd w:id="220"/>
      <w:bookmarkStart w:id="221" w:name="_Toc184312109"/>
      <w:bookmarkEnd w:id="221"/>
      <w:bookmarkStart w:id="222" w:name="_Toc184312105"/>
      <w:bookmarkEnd w:id="222"/>
      <w:bookmarkStart w:id="223" w:name="_Toc184308079"/>
      <w:bookmarkEnd w:id="223"/>
      <w:bookmarkStart w:id="224" w:name="_Toc184312122"/>
      <w:bookmarkEnd w:id="224"/>
      <w:bookmarkStart w:id="225" w:name="_Toc184314445"/>
      <w:bookmarkEnd w:id="225"/>
      <w:bookmarkStart w:id="226" w:name="_Toc184310305"/>
      <w:bookmarkEnd w:id="226"/>
      <w:bookmarkStart w:id="227" w:name="_Toc184312120"/>
      <w:bookmarkEnd w:id="227"/>
      <w:bookmarkStart w:id="228" w:name="_Toc184308107"/>
      <w:bookmarkEnd w:id="228"/>
      <w:bookmarkStart w:id="229" w:name="_Toc184313267"/>
      <w:bookmarkEnd w:id="229"/>
      <w:bookmarkStart w:id="230" w:name="_Toc184310327"/>
      <w:bookmarkEnd w:id="230"/>
      <w:bookmarkStart w:id="231" w:name="_Toc184308074"/>
      <w:bookmarkEnd w:id="231"/>
      <w:bookmarkStart w:id="232" w:name="_Toc184308078"/>
      <w:bookmarkEnd w:id="232"/>
      <w:bookmarkStart w:id="233" w:name="_Toc184312125"/>
      <w:bookmarkEnd w:id="233"/>
      <w:bookmarkStart w:id="234" w:name="_Toc184313246"/>
      <w:bookmarkEnd w:id="234"/>
      <w:bookmarkStart w:id="235" w:name="_Toc184308057"/>
      <w:bookmarkEnd w:id="235"/>
      <w:bookmarkStart w:id="236" w:name="_Toc184314473"/>
      <w:bookmarkEnd w:id="236"/>
      <w:bookmarkStart w:id="237" w:name="_Toc184314438"/>
      <w:bookmarkEnd w:id="237"/>
      <w:bookmarkStart w:id="238" w:name="_Toc184310325"/>
      <w:bookmarkEnd w:id="238"/>
      <w:bookmarkStart w:id="239" w:name="_Toc184310289"/>
      <w:bookmarkEnd w:id="239"/>
      <w:bookmarkStart w:id="240" w:name="_Toc184312090"/>
      <w:bookmarkEnd w:id="240"/>
      <w:bookmarkStart w:id="241" w:name="_Toc184312113"/>
      <w:bookmarkEnd w:id="241"/>
      <w:bookmarkStart w:id="242" w:name="_Toc184308044"/>
      <w:bookmarkEnd w:id="242"/>
      <w:bookmarkStart w:id="243" w:name="_Toc184313263"/>
      <w:bookmarkEnd w:id="243"/>
      <w:bookmarkStart w:id="244" w:name="_Toc184312119"/>
      <w:bookmarkEnd w:id="244"/>
      <w:bookmarkStart w:id="245" w:name="_Toc184314477"/>
      <w:bookmarkEnd w:id="245"/>
      <w:bookmarkStart w:id="246" w:name="_Toc184308085"/>
      <w:bookmarkEnd w:id="246"/>
      <w:bookmarkStart w:id="247" w:name="_Toc184313253"/>
      <w:bookmarkEnd w:id="247"/>
      <w:bookmarkStart w:id="248" w:name="_Toc184310334"/>
      <w:bookmarkEnd w:id="248"/>
      <w:bookmarkStart w:id="249" w:name="_Toc184314464"/>
      <w:bookmarkEnd w:id="249"/>
      <w:bookmarkStart w:id="250" w:name="_Toc184313282"/>
      <w:bookmarkEnd w:id="250"/>
      <w:bookmarkStart w:id="251" w:name="_Toc184314454"/>
      <w:bookmarkEnd w:id="251"/>
      <w:bookmarkStart w:id="252" w:name="_Toc184314457"/>
      <w:bookmarkEnd w:id="252"/>
      <w:bookmarkStart w:id="253" w:name="_Toc184310281"/>
      <w:bookmarkEnd w:id="253"/>
      <w:bookmarkStart w:id="254" w:name="_Toc184312101"/>
      <w:bookmarkEnd w:id="254"/>
      <w:bookmarkStart w:id="255" w:name="_Toc184313272"/>
      <w:bookmarkEnd w:id="255"/>
      <w:bookmarkStart w:id="256" w:name="_Toc184308071"/>
      <w:bookmarkEnd w:id="256"/>
      <w:bookmarkStart w:id="257" w:name="_Toc184310307"/>
      <w:bookmarkEnd w:id="257"/>
      <w:bookmarkStart w:id="258" w:name="_Toc184314463"/>
      <w:bookmarkEnd w:id="258"/>
      <w:bookmarkStart w:id="259" w:name="_Toc184312115"/>
      <w:bookmarkEnd w:id="259"/>
      <w:bookmarkStart w:id="260" w:name="_Toc184314419"/>
      <w:bookmarkEnd w:id="260"/>
      <w:bookmarkStart w:id="261" w:name="_Toc184313247"/>
      <w:bookmarkEnd w:id="261"/>
      <w:bookmarkStart w:id="262" w:name="_Toc184308045"/>
      <w:bookmarkEnd w:id="262"/>
      <w:bookmarkStart w:id="263" w:name="_Toc184308047"/>
      <w:bookmarkEnd w:id="263"/>
      <w:bookmarkStart w:id="264" w:name="_Toc184313304"/>
      <w:bookmarkEnd w:id="264"/>
      <w:bookmarkStart w:id="265" w:name="_Toc184314451"/>
      <w:bookmarkEnd w:id="265"/>
      <w:bookmarkStart w:id="266" w:name="_Toc184310332"/>
      <w:bookmarkEnd w:id="266"/>
      <w:bookmarkStart w:id="267" w:name="_Toc184308061"/>
      <w:bookmarkEnd w:id="267"/>
      <w:bookmarkStart w:id="268" w:name="_Toc184312100"/>
      <w:bookmarkEnd w:id="268"/>
      <w:bookmarkStart w:id="269" w:name="_Toc184308080"/>
      <w:bookmarkEnd w:id="269"/>
      <w:bookmarkStart w:id="270" w:name="_Toc184314462"/>
      <w:bookmarkEnd w:id="270"/>
      <w:bookmarkStart w:id="271" w:name="_Toc184310340"/>
      <w:bookmarkEnd w:id="271"/>
      <w:bookmarkStart w:id="272" w:name="_Toc184313275"/>
      <w:bookmarkEnd w:id="272"/>
      <w:bookmarkStart w:id="273" w:name="_Toc184310338"/>
      <w:bookmarkEnd w:id="273"/>
      <w:bookmarkStart w:id="274" w:name="_Toc184308100"/>
      <w:bookmarkEnd w:id="274"/>
      <w:bookmarkStart w:id="275" w:name="_Toc184313239"/>
      <w:bookmarkEnd w:id="275"/>
      <w:bookmarkStart w:id="276" w:name="_Toc184308069"/>
      <w:bookmarkEnd w:id="276"/>
      <w:bookmarkStart w:id="277" w:name="_Toc184313293"/>
      <w:bookmarkEnd w:id="277"/>
      <w:bookmarkStart w:id="278" w:name="_Toc184310313"/>
      <w:bookmarkEnd w:id="278"/>
      <w:bookmarkStart w:id="279" w:name="_Toc184313297"/>
      <w:bookmarkEnd w:id="279"/>
      <w:bookmarkStart w:id="280" w:name="_Toc184313283"/>
      <w:bookmarkEnd w:id="280"/>
      <w:bookmarkStart w:id="281" w:name="_Toc184312098"/>
      <w:bookmarkEnd w:id="281"/>
      <w:bookmarkStart w:id="282" w:name="_Toc184313299"/>
      <w:bookmarkEnd w:id="282"/>
      <w:bookmarkStart w:id="283" w:name="_Toc184314482"/>
      <w:bookmarkEnd w:id="283"/>
      <w:bookmarkStart w:id="284" w:name="_Toc184313255"/>
      <w:bookmarkEnd w:id="284"/>
      <w:bookmarkStart w:id="285" w:name="_Toc184308055"/>
      <w:bookmarkEnd w:id="285"/>
      <w:bookmarkStart w:id="286" w:name="_Toc184313256"/>
      <w:bookmarkEnd w:id="286"/>
      <w:bookmarkStart w:id="287" w:name="_Toc184308067"/>
      <w:bookmarkEnd w:id="287"/>
      <w:bookmarkStart w:id="288" w:name="_Toc184313300"/>
      <w:bookmarkEnd w:id="288"/>
      <w:bookmarkStart w:id="289" w:name="_Toc184314449"/>
      <w:bookmarkEnd w:id="289"/>
      <w:bookmarkStart w:id="290" w:name="_Toc184314448"/>
      <w:bookmarkEnd w:id="290"/>
      <w:bookmarkStart w:id="291" w:name="_Toc184310278"/>
      <w:bookmarkEnd w:id="291"/>
      <w:bookmarkStart w:id="292" w:name="_Toc184312084"/>
      <w:bookmarkEnd w:id="292"/>
      <w:bookmarkStart w:id="293" w:name="_Toc184308042"/>
      <w:bookmarkEnd w:id="293"/>
      <w:bookmarkStart w:id="294" w:name="_Toc184310322"/>
      <w:bookmarkEnd w:id="294"/>
      <w:bookmarkStart w:id="295" w:name="_Toc184308062"/>
      <w:bookmarkEnd w:id="295"/>
      <w:bookmarkStart w:id="296" w:name="_Toc184308068"/>
      <w:bookmarkEnd w:id="296"/>
      <w:bookmarkStart w:id="297" w:name="_Toc184313262"/>
      <w:bookmarkEnd w:id="297"/>
      <w:bookmarkStart w:id="298" w:name="_Toc184308095"/>
      <w:bookmarkEnd w:id="298"/>
      <w:bookmarkStart w:id="299" w:name="_Toc184310297"/>
      <w:bookmarkEnd w:id="299"/>
      <w:bookmarkStart w:id="300" w:name="_Toc184313288"/>
      <w:bookmarkEnd w:id="300"/>
      <w:bookmarkStart w:id="301" w:name="_Toc184310273"/>
      <w:bookmarkEnd w:id="301"/>
      <w:bookmarkStart w:id="302" w:name="_Toc184310284"/>
      <w:bookmarkEnd w:id="302"/>
      <w:bookmarkStart w:id="303" w:name="_Toc184314476"/>
      <w:bookmarkEnd w:id="303"/>
      <w:bookmarkStart w:id="304" w:name="_Toc184310277"/>
      <w:bookmarkEnd w:id="304"/>
      <w:bookmarkStart w:id="305" w:name="_Toc184314461"/>
      <w:bookmarkEnd w:id="305"/>
      <w:bookmarkStart w:id="306" w:name="_Toc184314435"/>
      <w:bookmarkEnd w:id="306"/>
      <w:bookmarkStart w:id="307" w:name="_Toc184314436"/>
      <w:bookmarkEnd w:id="307"/>
      <w:bookmarkStart w:id="308" w:name="_Toc184308049"/>
      <w:bookmarkEnd w:id="308"/>
      <w:bookmarkStart w:id="309" w:name="_Toc184308056"/>
      <w:bookmarkEnd w:id="309"/>
      <w:bookmarkStart w:id="310" w:name="_Toc184308098"/>
      <w:bookmarkEnd w:id="310"/>
      <w:bookmarkStart w:id="311" w:name="_Toc184308108"/>
      <w:bookmarkEnd w:id="311"/>
      <w:bookmarkStart w:id="312" w:name="_Toc184310330"/>
      <w:bookmarkEnd w:id="312"/>
      <w:bookmarkStart w:id="313" w:name="_Toc184314470"/>
      <w:bookmarkEnd w:id="313"/>
      <w:bookmarkStart w:id="314" w:name="_Toc184314418"/>
      <w:bookmarkEnd w:id="314"/>
      <w:bookmarkStart w:id="315" w:name="_Toc184308073"/>
      <w:bookmarkEnd w:id="315"/>
      <w:bookmarkStart w:id="316" w:name="_Toc184308101"/>
      <w:bookmarkEnd w:id="316"/>
      <w:bookmarkStart w:id="317" w:name="_Toc184310318"/>
      <w:bookmarkEnd w:id="317"/>
      <w:bookmarkStart w:id="318" w:name="_Toc184313296"/>
      <w:bookmarkEnd w:id="318"/>
      <w:bookmarkStart w:id="319" w:name="_Toc184314431"/>
      <w:bookmarkEnd w:id="319"/>
      <w:bookmarkStart w:id="320" w:name="_Toc184308037"/>
      <w:bookmarkEnd w:id="320"/>
      <w:bookmarkStart w:id="321" w:name="_Toc184313260"/>
      <w:bookmarkEnd w:id="321"/>
      <w:bookmarkStart w:id="322" w:name="_Toc184310304"/>
      <w:bookmarkEnd w:id="322"/>
      <w:bookmarkStart w:id="323" w:name="_Toc184314423"/>
      <w:bookmarkEnd w:id="323"/>
      <w:bookmarkStart w:id="324" w:name="_Toc184312068"/>
      <w:bookmarkEnd w:id="324"/>
      <w:bookmarkStart w:id="325" w:name="_Toc184313238"/>
      <w:bookmarkEnd w:id="325"/>
      <w:bookmarkStart w:id="326" w:name="_Toc184313298"/>
      <w:bookmarkEnd w:id="326"/>
      <w:bookmarkStart w:id="327" w:name="_Toc184314459"/>
      <w:bookmarkEnd w:id="327"/>
      <w:bookmarkStart w:id="328" w:name="_Toc184313242"/>
      <w:bookmarkEnd w:id="328"/>
      <w:bookmarkStart w:id="329" w:name="_Toc184314429"/>
      <w:bookmarkEnd w:id="329"/>
      <w:bookmarkStart w:id="330" w:name="_Toc184310301"/>
      <w:bookmarkEnd w:id="330"/>
      <w:bookmarkStart w:id="331" w:name="_Toc184308091"/>
      <w:bookmarkEnd w:id="331"/>
      <w:bookmarkStart w:id="332" w:name="_Toc184312096"/>
      <w:bookmarkEnd w:id="332"/>
      <w:bookmarkStart w:id="333" w:name="_Toc184314479"/>
      <w:bookmarkEnd w:id="333"/>
      <w:bookmarkStart w:id="334" w:name="_Toc184308106"/>
      <w:bookmarkEnd w:id="334"/>
      <w:bookmarkStart w:id="335" w:name="_Toc184308054"/>
      <w:bookmarkEnd w:id="335"/>
      <w:bookmarkStart w:id="336" w:name="_Toc184314450"/>
      <w:bookmarkEnd w:id="336"/>
      <w:bookmarkStart w:id="337" w:name="_Toc184312099"/>
      <w:bookmarkEnd w:id="337"/>
      <w:bookmarkStart w:id="338" w:name="_Toc184312103"/>
      <w:bookmarkEnd w:id="338"/>
      <w:bookmarkStart w:id="339" w:name="_Toc184313306"/>
      <w:bookmarkEnd w:id="339"/>
      <w:bookmarkStart w:id="340" w:name="_Toc184314466"/>
      <w:bookmarkEnd w:id="340"/>
      <w:bookmarkStart w:id="341" w:name="_Toc184313252"/>
      <w:bookmarkEnd w:id="341"/>
      <w:bookmarkStart w:id="342" w:name="_Toc184314443"/>
      <w:bookmarkEnd w:id="342"/>
      <w:bookmarkStart w:id="343" w:name="_Toc184310324"/>
      <w:bookmarkEnd w:id="343"/>
      <w:bookmarkStart w:id="344" w:name="_Toc184312086"/>
      <w:bookmarkEnd w:id="344"/>
      <w:bookmarkStart w:id="345" w:name="_Toc184308070"/>
      <w:bookmarkEnd w:id="345"/>
      <w:bookmarkStart w:id="346" w:name="_Toc184313240"/>
      <w:bookmarkEnd w:id="346"/>
      <w:bookmarkStart w:id="347" w:name="_Toc184308046"/>
      <w:bookmarkEnd w:id="347"/>
      <w:bookmarkStart w:id="348" w:name="_Toc184308058"/>
      <w:bookmarkEnd w:id="348"/>
      <w:bookmarkStart w:id="349" w:name="_Toc184308060"/>
      <w:bookmarkEnd w:id="349"/>
      <w:bookmarkStart w:id="350" w:name="_Toc184308072"/>
      <w:bookmarkEnd w:id="350"/>
      <w:bookmarkStart w:id="351" w:name="_Toc184314444"/>
      <w:bookmarkEnd w:id="351"/>
      <w:bookmarkStart w:id="352" w:name="_Toc184312118"/>
      <w:bookmarkEnd w:id="352"/>
      <w:bookmarkStart w:id="353" w:name="_Toc184313281"/>
      <w:bookmarkEnd w:id="353"/>
      <w:bookmarkStart w:id="354" w:name="_Toc184314428"/>
      <w:bookmarkEnd w:id="354"/>
      <w:bookmarkStart w:id="355" w:name="_Toc184310341"/>
      <w:bookmarkEnd w:id="355"/>
      <w:bookmarkStart w:id="356" w:name="_Toc184312077"/>
      <w:bookmarkEnd w:id="356"/>
      <w:bookmarkStart w:id="357" w:name="_Toc184312123"/>
      <w:bookmarkEnd w:id="357"/>
      <w:bookmarkStart w:id="358" w:name="_Toc184314437"/>
      <w:bookmarkEnd w:id="358"/>
      <w:bookmarkStart w:id="359" w:name="_Toc184310310"/>
      <w:bookmarkEnd w:id="359"/>
      <w:bookmarkStart w:id="360" w:name="_Toc184308089"/>
      <w:bookmarkEnd w:id="360"/>
      <w:bookmarkStart w:id="361" w:name="_Toc184313295"/>
      <w:bookmarkEnd w:id="361"/>
      <w:bookmarkStart w:id="362" w:name="_Toc184313258"/>
      <w:bookmarkEnd w:id="362"/>
      <w:bookmarkStart w:id="363" w:name="_Toc184313250"/>
      <w:bookmarkEnd w:id="363"/>
      <w:bookmarkStart w:id="364" w:name="_Toc184312126"/>
      <w:bookmarkEnd w:id="364"/>
      <w:bookmarkStart w:id="365" w:name="_Toc184312095"/>
      <w:bookmarkEnd w:id="365"/>
      <w:bookmarkStart w:id="366" w:name="_Toc184314410"/>
      <w:bookmarkEnd w:id="366"/>
      <w:bookmarkStart w:id="367" w:name="_Toc184310280"/>
      <w:bookmarkEnd w:id="367"/>
      <w:bookmarkStart w:id="368" w:name="_Toc184308066"/>
      <w:bookmarkEnd w:id="368"/>
      <w:bookmarkStart w:id="369" w:name="_Toc184308050"/>
      <w:bookmarkEnd w:id="369"/>
      <w:bookmarkStart w:id="370" w:name="_Toc184310291"/>
      <w:bookmarkEnd w:id="370"/>
      <w:bookmarkStart w:id="371" w:name="_Toc184310279"/>
      <w:bookmarkEnd w:id="371"/>
      <w:bookmarkStart w:id="372" w:name="_Toc184314469"/>
      <w:bookmarkEnd w:id="372"/>
      <w:bookmarkStart w:id="373" w:name="_Toc184308093"/>
      <w:bookmarkEnd w:id="373"/>
      <w:bookmarkStart w:id="374" w:name="_Toc184314472"/>
      <w:bookmarkEnd w:id="374"/>
      <w:bookmarkStart w:id="375" w:name="_Toc184310295"/>
      <w:bookmarkEnd w:id="375"/>
      <w:bookmarkStart w:id="376" w:name="_Toc184312079"/>
      <w:bookmarkEnd w:id="376"/>
      <w:bookmarkStart w:id="377" w:name="_Toc184314446"/>
      <w:bookmarkEnd w:id="377"/>
      <w:bookmarkStart w:id="378" w:name="_Toc184314420"/>
      <w:bookmarkEnd w:id="378"/>
      <w:bookmarkStart w:id="379" w:name="_Toc184308081"/>
      <w:bookmarkEnd w:id="379"/>
      <w:bookmarkStart w:id="380" w:name="_Toc184312138"/>
      <w:bookmarkEnd w:id="380"/>
      <w:bookmarkStart w:id="381" w:name="_Toc184310272"/>
      <w:bookmarkEnd w:id="381"/>
      <w:bookmarkStart w:id="382" w:name="_Toc184314455"/>
      <w:bookmarkEnd w:id="382"/>
      <w:bookmarkStart w:id="383" w:name="_Toc184310294"/>
      <w:bookmarkEnd w:id="383"/>
      <w:bookmarkStart w:id="384" w:name="_Toc184313249"/>
      <w:bookmarkEnd w:id="384"/>
      <w:bookmarkStart w:id="385" w:name="_Toc184308103"/>
      <w:bookmarkEnd w:id="385"/>
      <w:bookmarkStart w:id="386" w:name="_Toc184312085"/>
      <w:bookmarkEnd w:id="386"/>
      <w:bookmarkStart w:id="387" w:name="_Toc184310319"/>
      <w:bookmarkEnd w:id="387"/>
      <w:bookmarkStart w:id="388" w:name="_Toc184313279"/>
      <w:bookmarkEnd w:id="388"/>
      <w:bookmarkStart w:id="389" w:name="_Toc184314468"/>
      <w:bookmarkEnd w:id="389"/>
      <w:bookmarkStart w:id="390" w:name="_Toc184313261"/>
      <w:bookmarkEnd w:id="390"/>
      <w:bookmarkStart w:id="391" w:name="_Toc184312116"/>
      <w:bookmarkEnd w:id="391"/>
      <w:bookmarkStart w:id="392" w:name="_Toc184310302"/>
      <w:bookmarkEnd w:id="392"/>
      <w:bookmarkStart w:id="393" w:name="_Toc184308097"/>
      <w:bookmarkEnd w:id="393"/>
      <w:bookmarkStart w:id="394" w:name="_Toc184310292"/>
      <w:bookmarkEnd w:id="394"/>
      <w:bookmarkStart w:id="395" w:name="_Toc184312093"/>
      <w:bookmarkEnd w:id="395"/>
      <w:bookmarkStart w:id="396" w:name="_Toc184312074"/>
      <w:bookmarkEnd w:id="396"/>
      <w:bookmarkStart w:id="397" w:name="_Toc184313308"/>
      <w:bookmarkEnd w:id="397"/>
      <w:bookmarkStart w:id="398" w:name="_Toc184313269"/>
      <w:bookmarkEnd w:id="398"/>
      <w:bookmarkStart w:id="399" w:name="_Toc184310300"/>
      <w:bookmarkEnd w:id="399"/>
      <w:bookmarkStart w:id="400" w:name="_Toc184310333"/>
      <w:bookmarkEnd w:id="400"/>
      <w:bookmarkStart w:id="401" w:name="_Toc184314452"/>
      <w:bookmarkEnd w:id="401"/>
      <w:bookmarkStart w:id="402" w:name="_Toc184312128"/>
      <w:bookmarkEnd w:id="402"/>
      <w:bookmarkStart w:id="403" w:name="_Toc184308083"/>
      <w:bookmarkEnd w:id="403"/>
      <w:bookmarkStart w:id="404" w:name="_Toc184312135"/>
      <w:bookmarkEnd w:id="404"/>
      <w:bookmarkStart w:id="405" w:name="_Toc184312129"/>
      <w:bookmarkEnd w:id="405"/>
      <w:bookmarkStart w:id="406" w:name="_Toc184313284"/>
      <w:bookmarkEnd w:id="406"/>
      <w:bookmarkStart w:id="407" w:name="_Toc184308102"/>
      <w:bookmarkEnd w:id="407"/>
      <w:bookmarkStart w:id="408" w:name="_Toc184313294"/>
      <w:bookmarkEnd w:id="408"/>
      <w:bookmarkStart w:id="409" w:name="_Toc184312067"/>
      <w:bookmarkEnd w:id="409"/>
      <w:bookmarkStart w:id="410" w:name="_Toc184308063"/>
      <w:bookmarkEnd w:id="410"/>
      <w:bookmarkStart w:id="411" w:name="_Toc184312076"/>
      <w:bookmarkEnd w:id="411"/>
      <w:r>
        <w:rPr>
          <w:rFonts w:hint="eastAsia" w:ascii="宋体" w:hAnsi="宋体" w:cs="宋体"/>
          <w:b/>
          <w:sz w:val="36"/>
          <w:szCs w:val="36"/>
        </w:rPr>
        <w:t>评标办法</w:t>
      </w:r>
    </w:p>
    <w:p w14:paraId="7F1FD80E">
      <w:pPr>
        <w:snapToGrid w:val="0"/>
        <w:spacing w:line="360" w:lineRule="auto"/>
        <w:jc w:val="center"/>
        <w:rPr>
          <w:rFonts w:ascii="宋体" w:hAnsi="宋体" w:cs="宋体"/>
          <w:b/>
          <w:sz w:val="32"/>
          <w:szCs w:val="20"/>
        </w:rPr>
      </w:pPr>
      <w:r>
        <w:rPr>
          <w:rFonts w:hint="eastAsia" w:ascii="宋体" w:hAnsi="宋体" w:cs="宋体"/>
          <w:b/>
          <w:sz w:val="32"/>
          <w:szCs w:val="20"/>
        </w:rPr>
        <w:t>评标办法前附表</w:t>
      </w:r>
    </w:p>
    <w:tbl>
      <w:tblPr>
        <w:tblStyle w:val="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4393"/>
        <w:gridCol w:w="734"/>
        <w:gridCol w:w="1105"/>
        <w:gridCol w:w="1376"/>
      </w:tblGrid>
      <w:tr w14:paraId="2D9F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22" w:type="pct"/>
          </w:tcPr>
          <w:p w14:paraId="06ECFDC0">
            <w:pPr>
              <w:jc w:val="left"/>
              <w:rPr>
                <w:b/>
                <w:bCs/>
                <w:szCs w:val="21"/>
              </w:rPr>
            </w:pPr>
            <w:r>
              <w:rPr>
                <w:rFonts w:hint="eastAsia"/>
                <w:b/>
                <w:bCs/>
                <w:szCs w:val="21"/>
              </w:rPr>
              <w:t>序号</w:t>
            </w:r>
          </w:p>
        </w:tc>
        <w:tc>
          <w:tcPr>
            <w:tcW w:w="2584" w:type="pct"/>
          </w:tcPr>
          <w:p w14:paraId="54C73C4A">
            <w:pPr>
              <w:jc w:val="left"/>
              <w:rPr>
                <w:b/>
                <w:bCs/>
                <w:szCs w:val="21"/>
              </w:rPr>
            </w:pPr>
            <w:r>
              <w:rPr>
                <w:rFonts w:hint="eastAsia"/>
                <w:b/>
                <w:bCs/>
                <w:szCs w:val="21"/>
              </w:rPr>
              <w:t>评标标准</w:t>
            </w:r>
          </w:p>
        </w:tc>
        <w:tc>
          <w:tcPr>
            <w:tcW w:w="432" w:type="pct"/>
          </w:tcPr>
          <w:p w14:paraId="5FE04826">
            <w:pPr>
              <w:jc w:val="left"/>
              <w:rPr>
                <w:b/>
                <w:bCs/>
                <w:szCs w:val="21"/>
              </w:rPr>
            </w:pPr>
            <w:r>
              <w:rPr>
                <w:rFonts w:hint="eastAsia"/>
                <w:b/>
                <w:bCs/>
                <w:szCs w:val="21"/>
              </w:rPr>
              <w:t>最高分值</w:t>
            </w:r>
          </w:p>
        </w:tc>
        <w:tc>
          <w:tcPr>
            <w:tcW w:w="650" w:type="pct"/>
          </w:tcPr>
          <w:p w14:paraId="32E1865A">
            <w:pPr>
              <w:jc w:val="left"/>
              <w:rPr>
                <w:b/>
                <w:bCs/>
                <w:szCs w:val="21"/>
              </w:rPr>
            </w:pPr>
            <w:r>
              <w:rPr>
                <w:rFonts w:hint="eastAsia"/>
                <w:b/>
                <w:bCs/>
                <w:szCs w:val="21"/>
              </w:rPr>
              <w:t>主观分/客观分属性</w:t>
            </w:r>
          </w:p>
        </w:tc>
        <w:tc>
          <w:tcPr>
            <w:tcW w:w="809" w:type="pct"/>
          </w:tcPr>
          <w:p w14:paraId="37BC075E">
            <w:pPr>
              <w:jc w:val="left"/>
              <w:rPr>
                <w:b/>
                <w:bCs/>
                <w:szCs w:val="21"/>
              </w:rPr>
            </w:pPr>
            <w:r>
              <w:rPr>
                <w:rFonts w:hint="eastAsia"/>
                <w:b/>
                <w:bCs/>
                <w:szCs w:val="21"/>
              </w:rPr>
              <w:t>投标文件中评标标准相应的商务技术资料目录*</w:t>
            </w:r>
          </w:p>
        </w:tc>
      </w:tr>
      <w:tr w14:paraId="5820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5B68B03F">
            <w:pPr>
              <w:jc w:val="left"/>
              <w:rPr>
                <w:szCs w:val="21"/>
              </w:rPr>
            </w:pPr>
            <w:r>
              <w:rPr>
                <w:rFonts w:hint="eastAsia"/>
                <w:szCs w:val="21"/>
              </w:rPr>
              <w:t>1</w:t>
            </w:r>
          </w:p>
        </w:tc>
        <w:tc>
          <w:tcPr>
            <w:tcW w:w="2584" w:type="pct"/>
          </w:tcPr>
          <w:p w14:paraId="01DF8409">
            <w:pPr>
              <w:jc w:val="left"/>
              <w:rPr>
                <w:b/>
                <w:bCs/>
                <w:szCs w:val="21"/>
              </w:rPr>
            </w:pPr>
            <w:r>
              <w:rPr>
                <w:rFonts w:hint="eastAsia"/>
                <w:b/>
                <w:bCs/>
                <w:szCs w:val="21"/>
              </w:rPr>
              <w:t>环境标志产品认证：</w:t>
            </w:r>
          </w:p>
          <w:p w14:paraId="27B5DC10">
            <w:pPr>
              <w:jc w:val="left"/>
              <w:rPr>
                <w:szCs w:val="21"/>
              </w:rPr>
            </w:pPr>
            <w:r>
              <w:rPr>
                <w:rFonts w:hint="eastAsia"/>
                <w:szCs w:val="21"/>
              </w:rPr>
              <w:t>该标项投标产品（</w:t>
            </w:r>
            <w:r>
              <w:rPr>
                <w:rFonts w:hint="eastAsia" w:ascii="宋体" w:hAnsi="宋体" w:cs="宋体"/>
                <w:sz w:val="24"/>
                <w:u w:val="single"/>
              </w:rPr>
              <w:t>教师椅、实训桌1、实训桌2、实训椅</w:t>
            </w:r>
            <w:r>
              <w:rPr>
                <w:rFonts w:hint="eastAsia"/>
                <w:szCs w:val="21"/>
              </w:rPr>
              <w:t>）属于品目清单范围且提供国家确定的认证机构出具的有效的环境标志产品认证证书网页截图证明材料，每项产品得0.5分，最高得1分。</w:t>
            </w:r>
          </w:p>
          <w:p w14:paraId="3B96B2C3">
            <w:pPr>
              <w:jc w:val="left"/>
              <w:rPr>
                <w:szCs w:val="21"/>
              </w:rPr>
            </w:pPr>
          </w:p>
          <w:p w14:paraId="117A5B8C">
            <w:pPr>
              <w:jc w:val="left"/>
              <w:rPr>
                <w:szCs w:val="21"/>
              </w:rPr>
            </w:pPr>
            <w:r>
              <w:rPr>
                <w:rFonts w:hint="eastAsia"/>
                <w:szCs w:val="21"/>
              </w:rPr>
              <w:t>提供：投标产品处于有效期之内的环境标志产品认证证书扫描件或者提供通过国家确定的认证机构（市场监管总局关于发布参与实施政府采购环境标志产品认证机构名录的公告（2019第16号））认证的环境标志产品查询结果的网页截图的证明材料。</w:t>
            </w:r>
          </w:p>
          <w:p w14:paraId="519C0C6A">
            <w:pPr>
              <w:jc w:val="left"/>
              <w:rPr>
                <w:b/>
                <w:szCs w:val="21"/>
              </w:rPr>
            </w:pPr>
            <w:r>
              <w:rPr>
                <w:rFonts w:hint="eastAsia"/>
                <w:szCs w:val="21"/>
              </w:rPr>
              <w:t>认证证书所列产品型号与所投产品不一致的不予认可。</w:t>
            </w:r>
          </w:p>
        </w:tc>
        <w:tc>
          <w:tcPr>
            <w:tcW w:w="432" w:type="pct"/>
            <w:vAlign w:val="center"/>
          </w:tcPr>
          <w:p w14:paraId="6CA78261">
            <w:pPr>
              <w:jc w:val="center"/>
              <w:rPr>
                <w:bCs/>
                <w:szCs w:val="21"/>
              </w:rPr>
            </w:pPr>
            <w:r>
              <w:rPr>
                <w:rFonts w:hint="eastAsia"/>
                <w:szCs w:val="21"/>
              </w:rPr>
              <w:t>1</w:t>
            </w:r>
          </w:p>
        </w:tc>
        <w:tc>
          <w:tcPr>
            <w:tcW w:w="650" w:type="pct"/>
            <w:vAlign w:val="center"/>
          </w:tcPr>
          <w:p w14:paraId="5549A3DE">
            <w:pPr>
              <w:jc w:val="center"/>
              <w:rPr>
                <w:b/>
                <w:bCs/>
                <w:szCs w:val="21"/>
              </w:rPr>
            </w:pPr>
            <w:r>
              <w:rPr>
                <w:rFonts w:hint="eastAsia"/>
                <w:b/>
                <w:bCs/>
                <w:szCs w:val="21"/>
              </w:rPr>
              <w:t>客观分</w:t>
            </w:r>
          </w:p>
        </w:tc>
        <w:tc>
          <w:tcPr>
            <w:tcW w:w="809" w:type="pct"/>
            <w:vAlign w:val="center"/>
          </w:tcPr>
          <w:p w14:paraId="474EEF5B">
            <w:pPr>
              <w:jc w:val="center"/>
              <w:rPr>
                <w:b/>
                <w:bCs/>
                <w:szCs w:val="21"/>
              </w:rPr>
            </w:pPr>
            <w:r>
              <w:rPr>
                <w:rFonts w:hint="eastAsia"/>
                <w:b/>
                <w:bCs/>
                <w:szCs w:val="21"/>
              </w:rPr>
              <w:t>环境标志产品认证</w:t>
            </w:r>
          </w:p>
          <w:p w14:paraId="4956CB60">
            <w:pPr>
              <w:jc w:val="center"/>
              <w:rPr>
                <w:szCs w:val="21"/>
              </w:rPr>
            </w:pPr>
          </w:p>
        </w:tc>
      </w:tr>
      <w:tr w14:paraId="6DDF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420E5171">
            <w:pPr>
              <w:jc w:val="left"/>
              <w:rPr>
                <w:szCs w:val="21"/>
              </w:rPr>
            </w:pPr>
            <w:r>
              <w:rPr>
                <w:rFonts w:hint="eastAsia"/>
                <w:szCs w:val="21"/>
              </w:rPr>
              <w:t>2</w:t>
            </w:r>
          </w:p>
        </w:tc>
        <w:tc>
          <w:tcPr>
            <w:tcW w:w="2584" w:type="pct"/>
          </w:tcPr>
          <w:p w14:paraId="310CE947">
            <w:pPr>
              <w:jc w:val="left"/>
              <w:rPr>
                <w:b/>
                <w:bCs/>
                <w:szCs w:val="21"/>
              </w:rPr>
            </w:pPr>
            <w:r>
              <w:rPr>
                <w:rFonts w:hint="eastAsia"/>
                <w:b/>
                <w:bCs/>
                <w:szCs w:val="21"/>
              </w:rPr>
              <w:t>软件著作权证书：</w:t>
            </w:r>
          </w:p>
          <w:p w14:paraId="482D532B">
            <w:pPr>
              <w:jc w:val="left"/>
              <w:rPr>
                <w:b/>
                <w:bCs/>
                <w:szCs w:val="21"/>
              </w:rPr>
            </w:pPr>
            <w:r>
              <w:rPr>
                <w:rFonts w:hint="eastAsia"/>
                <w:szCs w:val="21"/>
              </w:rPr>
              <w:t>投标人具有投标相关系统功能的软件著作权证书的得1分，否则不得分（提供软件著作权证书证明材料扫描件，未提供不得分）</w:t>
            </w:r>
          </w:p>
        </w:tc>
        <w:tc>
          <w:tcPr>
            <w:tcW w:w="432" w:type="pct"/>
            <w:vAlign w:val="center"/>
          </w:tcPr>
          <w:p w14:paraId="775DD748">
            <w:pPr>
              <w:jc w:val="center"/>
              <w:rPr>
                <w:szCs w:val="21"/>
              </w:rPr>
            </w:pPr>
            <w:r>
              <w:rPr>
                <w:rFonts w:hint="eastAsia"/>
                <w:szCs w:val="21"/>
              </w:rPr>
              <w:t>1</w:t>
            </w:r>
          </w:p>
        </w:tc>
        <w:tc>
          <w:tcPr>
            <w:tcW w:w="650" w:type="pct"/>
            <w:vAlign w:val="center"/>
          </w:tcPr>
          <w:p w14:paraId="63BA5338">
            <w:pPr>
              <w:jc w:val="center"/>
              <w:rPr>
                <w:b/>
                <w:bCs/>
                <w:szCs w:val="21"/>
              </w:rPr>
            </w:pPr>
            <w:r>
              <w:rPr>
                <w:rFonts w:hint="eastAsia"/>
                <w:b/>
                <w:bCs/>
                <w:szCs w:val="21"/>
              </w:rPr>
              <w:t>客观分</w:t>
            </w:r>
          </w:p>
        </w:tc>
        <w:tc>
          <w:tcPr>
            <w:tcW w:w="809" w:type="pct"/>
            <w:vAlign w:val="center"/>
          </w:tcPr>
          <w:p w14:paraId="0A01279C">
            <w:pPr>
              <w:jc w:val="center"/>
              <w:rPr>
                <w:szCs w:val="21"/>
              </w:rPr>
            </w:pPr>
            <w:r>
              <w:rPr>
                <w:rFonts w:hint="eastAsia"/>
                <w:b/>
                <w:bCs/>
                <w:szCs w:val="21"/>
              </w:rPr>
              <w:t>软件著作权证书</w:t>
            </w:r>
          </w:p>
        </w:tc>
      </w:tr>
      <w:tr w14:paraId="3023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0049553D">
            <w:pPr>
              <w:jc w:val="left"/>
              <w:rPr>
                <w:szCs w:val="21"/>
              </w:rPr>
            </w:pPr>
            <w:r>
              <w:rPr>
                <w:rFonts w:hint="eastAsia"/>
                <w:szCs w:val="21"/>
              </w:rPr>
              <w:t>3</w:t>
            </w:r>
          </w:p>
        </w:tc>
        <w:tc>
          <w:tcPr>
            <w:tcW w:w="2584" w:type="pct"/>
          </w:tcPr>
          <w:p w14:paraId="16FACC4B">
            <w:pPr>
              <w:jc w:val="left"/>
              <w:rPr>
                <w:b/>
                <w:bCs/>
                <w:szCs w:val="21"/>
              </w:rPr>
            </w:pPr>
            <w:r>
              <w:rPr>
                <w:rFonts w:hint="eastAsia"/>
                <w:b/>
                <w:bCs/>
                <w:szCs w:val="21"/>
              </w:rPr>
              <w:t>业绩：</w:t>
            </w:r>
          </w:p>
          <w:p w14:paraId="5E77BD3B">
            <w:pPr>
              <w:jc w:val="left"/>
              <w:rPr>
                <w:szCs w:val="21"/>
              </w:rPr>
            </w:pPr>
            <w:r>
              <w:rPr>
                <w:rFonts w:hint="eastAsia"/>
                <w:szCs w:val="21"/>
              </w:rPr>
              <w:t>投标供应商自2023年1月1日以来（以合同签订时间为准），具有类似的项目业绩（以提供的完整合同复印件为准）：每提供1份合同业绩得0.5分，最高得2分。</w:t>
            </w:r>
          </w:p>
          <w:p w14:paraId="0FBD6AC7">
            <w:pPr>
              <w:jc w:val="left"/>
              <w:rPr>
                <w:szCs w:val="21"/>
              </w:rPr>
            </w:pPr>
            <w:r>
              <w:rPr>
                <w:rFonts w:hint="eastAsia"/>
                <w:szCs w:val="21"/>
              </w:rPr>
              <w:t>注：本项目要求的业绩须为已供货安装完成并验收合格的业绩。投标文件中须同时提供业绩合同、验收证明（如验收报告等）。不提供或提供不全不得分。</w:t>
            </w:r>
          </w:p>
        </w:tc>
        <w:tc>
          <w:tcPr>
            <w:tcW w:w="432" w:type="pct"/>
            <w:vAlign w:val="center"/>
          </w:tcPr>
          <w:p w14:paraId="4199B210">
            <w:pPr>
              <w:jc w:val="center"/>
              <w:rPr>
                <w:szCs w:val="21"/>
              </w:rPr>
            </w:pPr>
            <w:r>
              <w:rPr>
                <w:rFonts w:hint="eastAsia"/>
                <w:szCs w:val="21"/>
              </w:rPr>
              <w:t>2</w:t>
            </w:r>
          </w:p>
        </w:tc>
        <w:tc>
          <w:tcPr>
            <w:tcW w:w="650" w:type="pct"/>
            <w:vAlign w:val="center"/>
          </w:tcPr>
          <w:p w14:paraId="2AA08B02">
            <w:pPr>
              <w:jc w:val="center"/>
              <w:rPr>
                <w:b/>
                <w:bCs/>
                <w:szCs w:val="21"/>
              </w:rPr>
            </w:pPr>
            <w:r>
              <w:rPr>
                <w:rFonts w:hint="eastAsia"/>
                <w:b/>
                <w:bCs/>
                <w:szCs w:val="21"/>
              </w:rPr>
              <w:t>客观分</w:t>
            </w:r>
          </w:p>
        </w:tc>
        <w:tc>
          <w:tcPr>
            <w:tcW w:w="809" w:type="pct"/>
            <w:vAlign w:val="center"/>
          </w:tcPr>
          <w:p w14:paraId="63F3AFA5">
            <w:pPr>
              <w:jc w:val="center"/>
              <w:rPr>
                <w:szCs w:val="21"/>
              </w:rPr>
            </w:pPr>
            <w:r>
              <w:rPr>
                <w:rFonts w:hint="eastAsia"/>
                <w:b/>
                <w:bCs/>
                <w:szCs w:val="21"/>
              </w:rPr>
              <w:t>业绩</w:t>
            </w:r>
          </w:p>
        </w:tc>
      </w:tr>
      <w:tr w14:paraId="7F1C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6DA1F7A6">
            <w:pPr>
              <w:jc w:val="left"/>
              <w:rPr>
                <w:szCs w:val="21"/>
              </w:rPr>
            </w:pPr>
            <w:r>
              <w:rPr>
                <w:rFonts w:hint="eastAsia"/>
                <w:szCs w:val="21"/>
              </w:rPr>
              <w:t>4</w:t>
            </w:r>
          </w:p>
        </w:tc>
        <w:tc>
          <w:tcPr>
            <w:tcW w:w="2584" w:type="pct"/>
          </w:tcPr>
          <w:p w14:paraId="12715653">
            <w:pPr>
              <w:jc w:val="left"/>
              <w:rPr>
                <w:b/>
                <w:bCs/>
                <w:szCs w:val="21"/>
              </w:rPr>
            </w:pPr>
            <w:r>
              <w:rPr>
                <w:rFonts w:hint="eastAsia"/>
                <w:b/>
                <w:bCs/>
                <w:szCs w:val="21"/>
              </w:rPr>
              <w:t>质保期：</w:t>
            </w:r>
          </w:p>
          <w:p w14:paraId="72F1FE23">
            <w:pPr>
              <w:jc w:val="left"/>
              <w:rPr>
                <w:szCs w:val="21"/>
              </w:rPr>
            </w:pPr>
            <w:r>
              <w:rPr>
                <w:rFonts w:hint="eastAsia"/>
                <w:szCs w:val="21"/>
              </w:rPr>
              <w:t>满足招标文件要求的质保期基础上，所有货物每延长一年加0.5分，最多加1分，延长时间不足一年的不计入加分。</w:t>
            </w:r>
          </w:p>
          <w:p w14:paraId="3A7126AD">
            <w:pPr>
              <w:jc w:val="left"/>
              <w:rPr>
                <w:b/>
                <w:bCs/>
                <w:szCs w:val="21"/>
              </w:rPr>
            </w:pPr>
            <w:r>
              <w:rPr>
                <w:rFonts w:hint="eastAsia"/>
                <w:szCs w:val="21"/>
              </w:rPr>
              <w:t>证明材料：提供加盖公章的承诺书，未提供或不符合要求的均不得分。</w:t>
            </w:r>
          </w:p>
        </w:tc>
        <w:tc>
          <w:tcPr>
            <w:tcW w:w="432" w:type="pct"/>
            <w:vAlign w:val="center"/>
          </w:tcPr>
          <w:p w14:paraId="2FB84C08">
            <w:pPr>
              <w:jc w:val="center"/>
              <w:rPr>
                <w:szCs w:val="21"/>
              </w:rPr>
            </w:pPr>
            <w:r>
              <w:rPr>
                <w:rFonts w:hint="eastAsia"/>
                <w:szCs w:val="21"/>
              </w:rPr>
              <w:t>1</w:t>
            </w:r>
          </w:p>
        </w:tc>
        <w:tc>
          <w:tcPr>
            <w:tcW w:w="650" w:type="pct"/>
            <w:vAlign w:val="center"/>
          </w:tcPr>
          <w:p w14:paraId="3E177A34">
            <w:pPr>
              <w:jc w:val="center"/>
              <w:rPr>
                <w:b/>
                <w:bCs/>
                <w:szCs w:val="21"/>
              </w:rPr>
            </w:pPr>
            <w:r>
              <w:rPr>
                <w:rFonts w:hint="eastAsia"/>
                <w:b/>
                <w:bCs/>
                <w:szCs w:val="21"/>
              </w:rPr>
              <w:t>客观分</w:t>
            </w:r>
          </w:p>
        </w:tc>
        <w:tc>
          <w:tcPr>
            <w:tcW w:w="809" w:type="pct"/>
            <w:vAlign w:val="center"/>
          </w:tcPr>
          <w:p w14:paraId="7BB93BD0">
            <w:pPr>
              <w:jc w:val="center"/>
              <w:rPr>
                <w:szCs w:val="21"/>
              </w:rPr>
            </w:pPr>
            <w:r>
              <w:rPr>
                <w:rFonts w:hint="eastAsia"/>
                <w:b/>
                <w:bCs/>
                <w:szCs w:val="21"/>
              </w:rPr>
              <w:t>质保期</w:t>
            </w:r>
          </w:p>
        </w:tc>
      </w:tr>
      <w:tr w14:paraId="2717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7C002099">
            <w:pPr>
              <w:jc w:val="left"/>
              <w:rPr>
                <w:szCs w:val="21"/>
              </w:rPr>
            </w:pPr>
            <w:r>
              <w:rPr>
                <w:rFonts w:hint="eastAsia"/>
                <w:szCs w:val="21"/>
              </w:rPr>
              <w:t>5</w:t>
            </w:r>
          </w:p>
        </w:tc>
        <w:tc>
          <w:tcPr>
            <w:tcW w:w="2584" w:type="pct"/>
          </w:tcPr>
          <w:p w14:paraId="7A6876A3">
            <w:pPr>
              <w:jc w:val="left"/>
              <w:rPr>
                <w:b/>
                <w:bCs/>
                <w:szCs w:val="21"/>
              </w:rPr>
            </w:pPr>
            <w:r>
              <w:rPr>
                <w:rFonts w:hint="eastAsia"/>
                <w:b/>
                <w:bCs/>
                <w:szCs w:val="21"/>
              </w:rPr>
              <w:t>技术响应程度</w:t>
            </w:r>
          </w:p>
        </w:tc>
        <w:tc>
          <w:tcPr>
            <w:tcW w:w="432" w:type="pct"/>
            <w:vAlign w:val="center"/>
          </w:tcPr>
          <w:p w14:paraId="1167657F">
            <w:pPr>
              <w:jc w:val="center"/>
              <w:rPr>
                <w:szCs w:val="21"/>
              </w:rPr>
            </w:pPr>
          </w:p>
        </w:tc>
        <w:tc>
          <w:tcPr>
            <w:tcW w:w="650" w:type="pct"/>
            <w:vAlign w:val="center"/>
          </w:tcPr>
          <w:p w14:paraId="6AA3B1CF">
            <w:pPr>
              <w:jc w:val="center"/>
              <w:rPr>
                <w:b/>
                <w:bCs/>
                <w:szCs w:val="21"/>
              </w:rPr>
            </w:pPr>
          </w:p>
        </w:tc>
        <w:tc>
          <w:tcPr>
            <w:tcW w:w="809" w:type="pct"/>
            <w:vAlign w:val="center"/>
          </w:tcPr>
          <w:p w14:paraId="389CED96">
            <w:pPr>
              <w:jc w:val="center"/>
              <w:rPr>
                <w:szCs w:val="21"/>
              </w:rPr>
            </w:pPr>
          </w:p>
        </w:tc>
      </w:tr>
      <w:tr w14:paraId="27EA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6" w:hRule="atLeast"/>
        </w:trPr>
        <w:tc>
          <w:tcPr>
            <w:tcW w:w="522" w:type="pct"/>
          </w:tcPr>
          <w:p w14:paraId="7AAE5CD6">
            <w:pPr>
              <w:jc w:val="left"/>
              <w:rPr>
                <w:color w:val="auto"/>
                <w:szCs w:val="21"/>
              </w:rPr>
            </w:pPr>
            <w:r>
              <w:rPr>
                <w:rFonts w:hint="eastAsia"/>
                <w:color w:val="auto"/>
                <w:szCs w:val="21"/>
              </w:rPr>
              <w:t>5.1</w:t>
            </w:r>
          </w:p>
        </w:tc>
        <w:tc>
          <w:tcPr>
            <w:tcW w:w="2584" w:type="pct"/>
          </w:tcPr>
          <w:p w14:paraId="4BF6ACF6">
            <w:pPr>
              <w:jc w:val="left"/>
              <w:rPr>
                <w:color w:val="auto"/>
                <w:szCs w:val="21"/>
              </w:rPr>
            </w:pPr>
            <w:r>
              <w:rPr>
                <w:rFonts w:hint="eastAsia"/>
                <w:color w:val="auto"/>
                <w:szCs w:val="21"/>
              </w:rPr>
              <w:t>采购文件第三部分“</w:t>
            </w:r>
            <w:r>
              <w:rPr>
                <w:rFonts w:hint="eastAsia"/>
                <w:b/>
                <w:bCs/>
                <w:color w:val="auto"/>
                <w:szCs w:val="21"/>
              </w:rPr>
              <w:t>四、采购清单及要求</w:t>
            </w:r>
            <w:r>
              <w:rPr>
                <w:rFonts w:hint="eastAsia"/>
                <w:color w:val="auto"/>
                <w:szCs w:val="21"/>
              </w:rPr>
              <w:t>”中所有指标均满足得24分，关键性指标（标注▲条款）不满足的投标无效。</w:t>
            </w:r>
          </w:p>
          <w:p w14:paraId="7483B36F">
            <w:pPr>
              <w:jc w:val="left"/>
              <w:rPr>
                <w:color w:val="auto"/>
                <w:szCs w:val="21"/>
              </w:rPr>
            </w:pPr>
            <w:r>
              <w:rPr>
                <w:color w:val="auto"/>
                <w:szCs w:val="21"/>
              </w:rPr>
              <w:t>标注</w:t>
            </w:r>
            <w:r>
              <w:rPr>
                <w:rFonts w:ascii="Segoe UI Symbol" w:hAnsi="Segoe UI Symbol" w:cs="Segoe UI Symbol"/>
                <w:color w:val="auto"/>
                <w:szCs w:val="21"/>
              </w:rPr>
              <w:t>★</w:t>
            </w:r>
            <w:r>
              <w:rPr>
                <w:color w:val="auto"/>
                <w:szCs w:val="21"/>
              </w:rPr>
              <w:t>不满足的每项扣2分。</w:t>
            </w:r>
            <w:r>
              <w:rPr>
                <w:rFonts w:hint="eastAsia"/>
                <w:color w:val="auto"/>
                <w:szCs w:val="21"/>
              </w:rPr>
              <w:t>每一项（凡标有最低一级序号的指标项即为一项）不满足的扣</w:t>
            </w:r>
            <w:r>
              <w:rPr>
                <w:color w:val="auto"/>
                <w:szCs w:val="21"/>
              </w:rPr>
              <w:t>0.5</w:t>
            </w:r>
            <w:r>
              <w:rPr>
                <w:rFonts w:hint="eastAsia"/>
                <w:color w:val="auto"/>
                <w:szCs w:val="21"/>
              </w:rPr>
              <w:t>分，扣完为止。</w:t>
            </w:r>
          </w:p>
          <w:p w14:paraId="15BF97FA">
            <w:pPr>
              <w:jc w:val="left"/>
              <w:rPr>
                <w:b/>
                <w:bCs/>
                <w:color w:val="auto"/>
                <w:szCs w:val="21"/>
              </w:rPr>
            </w:pPr>
            <w:r>
              <w:rPr>
                <w:rFonts w:hint="eastAsia"/>
                <w:b/>
                <w:bCs/>
                <w:color w:val="auto"/>
                <w:szCs w:val="21"/>
              </w:rPr>
              <w:t>备注：①招标文件第三部分 采购需求“四、采购清单及要求”所列的技术要求，投标人在投标时应当在《商务技术偏离表》中注意对照采购需求进行投标响应，并按照规定提供相关证明材料（如有），要求提供证明材料而未提供有效证明材料的，视为未响应，按负偏离处理；②投标文件《商务技术偏离表》响应情况与投标文件中所提供的产品技术材料不一致是投标人的责任，由此引发的任何后果由投标人自行承担。</w:t>
            </w:r>
          </w:p>
          <w:p w14:paraId="5CF811C8">
            <w:pPr>
              <w:pStyle w:val="3"/>
              <w:spacing w:line="240" w:lineRule="auto"/>
              <w:ind w:left="0" w:firstLine="0"/>
              <w:outlineLvl w:val="1"/>
              <w:rPr>
                <w:rFonts w:ascii="Times New Roman" w:hAnsi="Times New Roman" w:eastAsia="宋体"/>
                <w:color w:val="auto"/>
                <w:sz w:val="21"/>
                <w:szCs w:val="21"/>
                <w:lang w:val="en-US"/>
              </w:rPr>
            </w:pPr>
            <w:r>
              <w:rPr>
                <w:rFonts w:ascii="Cambria Math" w:hAnsi="Cambria Math" w:eastAsia="宋体" w:cs="Cambria Math"/>
                <w:color w:val="auto"/>
                <w:sz w:val="21"/>
                <w:szCs w:val="21"/>
                <w:lang w:val="en-US"/>
              </w:rPr>
              <w:t>③</w:t>
            </w:r>
            <w:r>
              <w:rPr>
                <w:rFonts w:ascii="Times New Roman" w:hAnsi="Times New Roman" w:eastAsia="宋体"/>
                <w:color w:val="auto"/>
                <w:sz w:val="21"/>
                <w:szCs w:val="21"/>
                <w:lang w:val="en-US"/>
              </w:rPr>
              <w:t xml:space="preserve"> 上述评分规则（即关键指标否决、</w:t>
            </w:r>
            <w:r>
              <w:rPr>
                <w:rFonts w:ascii="Segoe UI Symbol" w:hAnsi="Segoe UI Symbol" w:eastAsia="宋体" w:cs="Segoe UI Symbol"/>
                <w:color w:val="auto"/>
                <w:sz w:val="21"/>
                <w:szCs w:val="21"/>
                <w:lang w:val="en-US"/>
              </w:rPr>
              <w:t>★</w:t>
            </w:r>
            <w:r>
              <w:rPr>
                <w:rFonts w:ascii="Times New Roman" w:hAnsi="Times New Roman" w:eastAsia="宋体"/>
                <w:color w:val="auto"/>
                <w:sz w:val="21"/>
                <w:szCs w:val="21"/>
                <w:lang w:val="en-US"/>
              </w:rPr>
              <w:t>条款扣分及其他指标扣分）仅针对“采购清单及要求”中的技术参数进行评审，不重复扣分。</w:t>
            </w:r>
          </w:p>
        </w:tc>
        <w:tc>
          <w:tcPr>
            <w:tcW w:w="432" w:type="pct"/>
            <w:vAlign w:val="center"/>
          </w:tcPr>
          <w:p w14:paraId="7D394EA9">
            <w:pPr>
              <w:jc w:val="center"/>
              <w:rPr>
                <w:color w:val="auto"/>
                <w:szCs w:val="21"/>
              </w:rPr>
            </w:pPr>
            <w:r>
              <w:rPr>
                <w:rFonts w:hint="eastAsia"/>
                <w:color w:val="auto"/>
                <w:szCs w:val="21"/>
              </w:rPr>
              <w:t>24</w:t>
            </w:r>
          </w:p>
        </w:tc>
        <w:tc>
          <w:tcPr>
            <w:tcW w:w="650" w:type="pct"/>
            <w:vAlign w:val="center"/>
          </w:tcPr>
          <w:p w14:paraId="34E84C6A">
            <w:pPr>
              <w:jc w:val="center"/>
              <w:rPr>
                <w:b/>
                <w:bCs/>
                <w:color w:val="auto"/>
                <w:szCs w:val="21"/>
              </w:rPr>
            </w:pPr>
            <w:r>
              <w:rPr>
                <w:rFonts w:hint="eastAsia"/>
                <w:b/>
                <w:bCs/>
                <w:color w:val="auto"/>
                <w:szCs w:val="21"/>
              </w:rPr>
              <w:t>客观分</w:t>
            </w:r>
          </w:p>
        </w:tc>
        <w:tc>
          <w:tcPr>
            <w:tcW w:w="809" w:type="pct"/>
            <w:vAlign w:val="center"/>
          </w:tcPr>
          <w:p w14:paraId="613D73B5">
            <w:pPr>
              <w:jc w:val="center"/>
              <w:rPr>
                <w:color w:val="auto"/>
                <w:szCs w:val="21"/>
              </w:rPr>
            </w:pPr>
            <w:r>
              <w:rPr>
                <w:rFonts w:hint="eastAsia"/>
                <w:b/>
                <w:bCs/>
                <w:szCs w:val="21"/>
              </w:rPr>
              <w:t>技术响应程度</w:t>
            </w:r>
          </w:p>
        </w:tc>
      </w:tr>
      <w:tr w14:paraId="48A6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7C4569CF">
            <w:pPr>
              <w:jc w:val="left"/>
              <w:rPr>
                <w:color w:val="auto"/>
                <w:szCs w:val="21"/>
              </w:rPr>
            </w:pPr>
            <w:r>
              <w:rPr>
                <w:rFonts w:hint="eastAsia"/>
                <w:color w:val="auto"/>
                <w:szCs w:val="21"/>
              </w:rPr>
              <w:t>6</w:t>
            </w:r>
          </w:p>
        </w:tc>
        <w:tc>
          <w:tcPr>
            <w:tcW w:w="2584" w:type="pct"/>
          </w:tcPr>
          <w:p w14:paraId="242BEC8A">
            <w:pPr>
              <w:jc w:val="left"/>
              <w:rPr>
                <w:b/>
                <w:bCs/>
                <w:color w:val="auto"/>
                <w:szCs w:val="21"/>
              </w:rPr>
            </w:pPr>
            <w:r>
              <w:rPr>
                <w:rFonts w:hint="eastAsia"/>
                <w:b/>
                <w:bCs/>
                <w:color w:val="auto"/>
                <w:szCs w:val="21"/>
              </w:rPr>
              <w:t>项目整体实施方案</w:t>
            </w:r>
          </w:p>
          <w:p w14:paraId="08302307">
            <w:pPr>
              <w:jc w:val="left"/>
              <w:rPr>
                <w:color w:val="auto"/>
                <w:szCs w:val="21"/>
              </w:rPr>
            </w:pPr>
            <w:r>
              <w:rPr>
                <w:rFonts w:hint="eastAsia"/>
                <w:color w:val="auto"/>
                <w:szCs w:val="21"/>
              </w:rPr>
              <w:t>包括但不限于：</w:t>
            </w:r>
          </w:p>
          <w:p w14:paraId="1E60E69A">
            <w:pPr>
              <w:jc w:val="left"/>
              <w:rPr>
                <w:color w:val="auto"/>
                <w:szCs w:val="21"/>
              </w:rPr>
            </w:pPr>
            <w:r>
              <w:rPr>
                <w:rFonts w:hint="eastAsia"/>
                <w:color w:val="auto"/>
                <w:szCs w:val="21"/>
              </w:rPr>
              <w:t>1.项目实施计划进度：核心实施环节的规划完整性、资源的科学分配方案、潜在风险的预判及应对策略等内容。</w:t>
            </w:r>
          </w:p>
          <w:p w14:paraId="5F92D3E2">
            <w:pPr>
              <w:jc w:val="left"/>
              <w:rPr>
                <w:color w:val="auto"/>
                <w:szCs w:val="21"/>
              </w:rPr>
            </w:pPr>
            <w:r>
              <w:rPr>
                <w:rFonts w:hint="eastAsia"/>
                <w:color w:val="auto"/>
                <w:szCs w:val="21"/>
              </w:rPr>
              <w:t>（评审范围：2,1.5，1,0.5,0）</w:t>
            </w:r>
          </w:p>
          <w:p w14:paraId="4852FA2A">
            <w:pPr>
              <w:jc w:val="left"/>
              <w:rPr>
                <w:color w:val="auto"/>
                <w:szCs w:val="21"/>
              </w:rPr>
            </w:pPr>
            <w:r>
              <w:rPr>
                <w:rFonts w:hint="eastAsia"/>
                <w:color w:val="auto"/>
                <w:szCs w:val="21"/>
              </w:rPr>
              <w:t>2.提供项目进度计划表：明确项目分解节点的明确性与可行性，方案需体现各节点时间规划的合理性与可操作性等内容。</w:t>
            </w:r>
          </w:p>
          <w:p w14:paraId="7616E293">
            <w:pPr>
              <w:jc w:val="left"/>
              <w:rPr>
                <w:color w:val="auto"/>
                <w:szCs w:val="21"/>
              </w:rPr>
            </w:pPr>
            <w:r>
              <w:rPr>
                <w:rFonts w:hint="eastAsia"/>
                <w:color w:val="auto"/>
                <w:szCs w:val="21"/>
              </w:rPr>
              <w:t>（评审范围：2,1.5，1,0.5,0）</w:t>
            </w:r>
          </w:p>
          <w:p w14:paraId="76B1A8C0">
            <w:pPr>
              <w:jc w:val="left"/>
              <w:rPr>
                <w:color w:val="auto"/>
                <w:szCs w:val="21"/>
              </w:rPr>
            </w:pPr>
            <w:r>
              <w:rPr>
                <w:rFonts w:hint="eastAsia"/>
                <w:color w:val="auto"/>
                <w:szCs w:val="21"/>
                <w:lang w:val="en-US" w:eastAsia="zh-CN"/>
              </w:rPr>
              <w:t>3.</w:t>
            </w:r>
            <w:r>
              <w:rPr>
                <w:rFonts w:hint="eastAsia"/>
                <w:color w:val="auto"/>
                <w:szCs w:val="21"/>
              </w:rPr>
              <w:t>建立与采购人沟通机制，建立及时响应采购人沟通渠道；规划与采购人共同协调解决可能出现问题的具体方案，确保沟通机制具备可执行性等内容。</w:t>
            </w:r>
          </w:p>
          <w:p w14:paraId="33E82F47">
            <w:pPr>
              <w:jc w:val="left"/>
              <w:rPr>
                <w:color w:val="auto"/>
                <w:szCs w:val="21"/>
              </w:rPr>
            </w:pPr>
            <w:r>
              <w:rPr>
                <w:rFonts w:hint="eastAsia"/>
                <w:color w:val="auto"/>
                <w:szCs w:val="21"/>
              </w:rPr>
              <w:t>（评审范围：1,0.5,0）</w:t>
            </w:r>
          </w:p>
          <w:p w14:paraId="271DDB02">
            <w:pPr>
              <w:numPr>
                <w:ilvl w:val="0"/>
                <w:numId w:val="8"/>
              </w:numPr>
              <w:jc w:val="left"/>
              <w:rPr>
                <w:color w:val="auto"/>
                <w:szCs w:val="21"/>
              </w:rPr>
            </w:pPr>
            <w:r>
              <w:rPr>
                <w:rFonts w:hint="eastAsia"/>
                <w:color w:val="auto"/>
                <w:szCs w:val="21"/>
              </w:rPr>
              <w:t>各产品软硬件功能安装、调试、验收方案包括安排安装、调试工作的时间进度及措施、与货物需方单位的配合有效、合理、科学，且有针对性解释说明。</w:t>
            </w:r>
          </w:p>
          <w:p w14:paraId="77E338C9">
            <w:pPr>
              <w:jc w:val="left"/>
              <w:rPr>
                <w:color w:val="auto"/>
                <w:szCs w:val="21"/>
              </w:rPr>
            </w:pPr>
            <w:r>
              <w:rPr>
                <w:rFonts w:hint="eastAsia"/>
                <w:color w:val="auto"/>
                <w:szCs w:val="21"/>
              </w:rPr>
              <w:t>（评审范围：2,1.5，1,0.5,0）</w:t>
            </w:r>
          </w:p>
          <w:p w14:paraId="09BE7C9E">
            <w:pPr>
              <w:jc w:val="left"/>
              <w:rPr>
                <w:color w:val="auto"/>
                <w:szCs w:val="21"/>
              </w:rPr>
            </w:pPr>
          </w:p>
        </w:tc>
        <w:tc>
          <w:tcPr>
            <w:tcW w:w="432" w:type="pct"/>
            <w:vAlign w:val="center"/>
          </w:tcPr>
          <w:p w14:paraId="7A619431">
            <w:pPr>
              <w:jc w:val="center"/>
              <w:rPr>
                <w:color w:val="auto"/>
                <w:szCs w:val="21"/>
              </w:rPr>
            </w:pPr>
            <w:r>
              <w:rPr>
                <w:rFonts w:hint="eastAsia"/>
                <w:color w:val="auto"/>
                <w:szCs w:val="21"/>
              </w:rPr>
              <w:t>7</w:t>
            </w:r>
          </w:p>
        </w:tc>
        <w:tc>
          <w:tcPr>
            <w:tcW w:w="650" w:type="pct"/>
            <w:vAlign w:val="center"/>
          </w:tcPr>
          <w:p w14:paraId="26EA3F3F">
            <w:pPr>
              <w:jc w:val="center"/>
              <w:rPr>
                <w:b/>
                <w:bCs/>
                <w:color w:val="auto"/>
                <w:szCs w:val="21"/>
              </w:rPr>
            </w:pPr>
            <w:r>
              <w:rPr>
                <w:rFonts w:hint="eastAsia"/>
                <w:b/>
                <w:bCs/>
                <w:color w:val="auto"/>
                <w:szCs w:val="21"/>
              </w:rPr>
              <w:t>主观分</w:t>
            </w:r>
          </w:p>
        </w:tc>
        <w:tc>
          <w:tcPr>
            <w:tcW w:w="809" w:type="pct"/>
            <w:vAlign w:val="center"/>
          </w:tcPr>
          <w:p w14:paraId="35A9781C">
            <w:pPr>
              <w:jc w:val="center"/>
              <w:rPr>
                <w:b/>
                <w:bCs/>
                <w:color w:val="auto"/>
                <w:szCs w:val="21"/>
              </w:rPr>
            </w:pPr>
            <w:r>
              <w:rPr>
                <w:rFonts w:hint="eastAsia"/>
                <w:b/>
                <w:bCs/>
                <w:color w:val="auto"/>
                <w:szCs w:val="21"/>
              </w:rPr>
              <w:t>项目整体实施方案</w:t>
            </w:r>
          </w:p>
          <w:p w14:paraId="23FC526C">
            <w:pPr>
              <w:jc w:val="center"/>
              <w:rPr>
                <w:color w:val="auto"/>
                <w:szCs w:val="21"/>
              </w:rPr>
            </w:pPr>
          </w:p>
        </w:tc>
      </w:tr>
      <w:tr w14:paraId="3124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6E7DC01F">
            <w:pPr>
              <w:jc w:val="left"/>
              <w:rPr>
                <w:color w:val="auto"/>
                <w:szCs w:val="21"/>
              </w:rPr>
            </w:pPr>
            <w:r>
              <w:rPr>
                <w:rFonts w:hint="eastAsia"/>
                <w:color w:val="auto"/>
                <w:szCs w:val="21"/>
              </w:rPr>
              <w:t>7</w:t>
            </w:r>
          </w:p>
        </w:tc>
        <w:tc>
          <w:tcPr>
            <w:tcW w:w="2584" w:type="pct"/>
          </w:tcPr>
          <w:p w14:paraId="6B89D466">
            <w:pPr>
              <w:jc w:val="left"/>
              <w:rPr>
                <w:color w:val="auto"/>
                <w:szCs w:val="21"/>
              </w:rPr>
            </w:pPr>
            <w:r>
              <w:rPr>
                <w:rFonts w:hint="eastAsia"/>
                <w:b/>
                <w:bCs/>
                <w:color w:val="auto"/>
                <w:szCs w:val="21"/>
              </w:rPr>
              <w:t>团队人员技术力量</w:t>
            </w:r>
          </w:p>
        </w:tc>
        <w:tc>
          <w:tcPr>
            <w:tcW w:w="432" w:type="pct"/>
            <w:vAlign w:val="center"/>
          </w:tcPr>
          <w:p w14:paraId="72007672">
            <w:pPr>
              <w:jc w:val="center"/>
              <w:rPr>
                <w:color w:val="auto"/>
                <w:szCs w:val="21"/>
              </w:rPr>
            </w:pPr>
          </w:p>
        </w:tc>
        <w:tc>
          <w:tcPr>
            <w:tcW w:w="650" w:type="pct"/>
            <w:vAlign w:val="center"/>
          </w:tcPr>
          <w:p w14:paraId="14A54617">
            <w:pPr>
              <w:jc w:val="center"/>
              <w:rPr>
                <w:b/>
                <w:bCs/>
                <w:color w:val="auto"/>
                <w:szCs w:val="21"/>
              </w:rPr>
            </w:pPr>
          </w:p>
        </w:tc>
        <w:tc>
          <w:tcPr>
            <w:tcW w:w="809" w:type="pct"/>
            <w:vAlign w:val="center"/>
          </w:tcPr>
          <w:p w14:paraId="04FA0EFD">
            <w:pPr>
              <w:jc w:val="center"/>
              <w:rPr>
                <w:color w:val="auto"/>
                <w:szCs w:val="21"/>
              </w:rPr>
            </w:pPr>
          </w:p>
        </w:tc>
      </w:tr>
      <w:tr w14:paraId="5AF6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01EEBC9D">
            <w:pPr>
              <w:jc w:val="left"/>
              <w:rPr>
                <w:color w:val="auto"/>
                <w:szCs w:val="21"/>
              </w:rPr>
            </w:pPr>
            <w:r>
              <w:rPr>
                <w:rFonts w:hint="eastAsia"/>
                <w:color w:val="auto"/>
                <w:szCs w:val="21"/>
              </w:rPr>
              <w:t>7.1</w:t>
            </w:r>
          </w:p>
        </w:tc>
        <w:tc>
          <w:tcPr>
            <w:tcW w:w="2584" w:type="pct"/>
          </w:tcPr>
          <w:p w14:paraId="7AA83DF5">
            <w:pPr>
              <w:jc w:val="left"/>
              <w:rPr>
                <w:bCs/>
                <w:color w:val="auto"/>
                <w:szCs w:val="21"/>
              </w:rPr>
            </w:pPr>
            <w:r>
              <w:rPr>
                <w:rFonts w:hint="eastAsia"/>
                <w:bCs/>
                <w:color w:val="auto"/>
                <w:szCs w:val="21"/>
              </w:rPr>
              <w:t>项目经理：投标人须为本项目配备项目经理1名，须具备人力资源和社会保障部门颁发的信息系统项目管理师证书。提供证书复印件并加盖公章，符合得1分，不符合不得分。</w:t>
            </w:r>
          </w:p>
          <w:p w14:paraId="709EE0F1">
            <w:pPr>
              <w:jc w:val="left"/>
              <w:rPr>
                <w:color w:val="auto"/>
                <w:szCs w:val="21"/>
              </w:rPr>
            </w:pPr>
            <w:r>
              <w:rPr>
                <w:rFonts w:hint="eastAsia"/>
                <w:bCs/>
                <w:color w:val="auto"/>
                <w:szCs w:val="21"/>
              </w:rPr>
              <w:t>注：以上人员均须提供投标截止时间近6个月内任意一个月的社保缴纳证明，否则不得分。</w:t>
            </w:r>
          </w:p>
        </w:tc>
        <w:tc>
          <w:tcPr>
            <w:tcW w:w="432" w:type="pct"/>
            <w:vAlign w:val="center"/>
          </w:tcPr>
          <w:p w14:paraId="18EFF30E">
            <w:pPr>
              <w:jc w:val="center"/>
              <w:rPr>
                <w:color w:val="auto"/>
                <w:szCs w:val="21"/>
              </w:rPr>
            </w:pPr>
            <w:r>
              <w:rPr>
                <w:rFonts w:hint="eastAsia"/>
                <w:color w:val="auto"/>
                <w:szCs w:val="21"/>
              </w:rPr>
              <w:t>1</w:t>
            </w:r>
          </w:p>
        </w:tc>
        <w:tc>
          <w:tcPr>
            <w:tcW w:w="650" w:type="pct"/>
            <w:vAlign w:val="center"/>
          </w:tcPr>
          <w:p w14:paraId="4CA8C136">
            <w:pPr>
              <w:jc w:val="center"/>
              <w:rPr>
                <w:b/>
                <w:bCs/>
                <w:color w:val="auto"/>
                <w:szCs w:val="21"/>
              </w:rPr>
            </w:pPr>
            <w:r>
              <w:rPr>
                <w:rFonts w:hint="eastAsia"/>
                <w:b/>
                <w:bCs/>
                <w:color w:val="auto"/>
                <w:szCs w:val="21"/>
              </w:rPr>
              <w:t>客观分</w:t>
            </w:r>
          </w:p>
        </w:tc>
        <w:tc>
          <w:tcPr>
            <w:tcW w:w="809" w:type="pct"/>
            <w:vAlign w:val="center"/>
          </w:tcPr>
          <w:p w14:paraId="5D1CDD52">
            <w:pPr>
              <w:jc w:val="center"/>
              <w:rPr>
                <w:color w:val="auto"/>
                <w:szCs w:val="21"/>
              </w:rPr>
            </w:pPr>
            <w:r>
              <w:rPr>
                <w:rFonts w:hint="eastAsia"/>
                <w:b/>
                <w:bCs/>
                <w:color w:val="auto"/>
                <w:szCs w:val="21"/>
              </w:rPr>
              <w:t>团队人员技术力量</w:t>
            </w:r>
          </w:p>
        </w:tc>
      </w:tr>
      <w:tr w14:paraId="32FA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74499C8A">
            <w:pPr>
              <w:jc w:val="left"/>
              <w:rPr>
                <w:color w:val="auto"/>
                <w:szCs w:val="21"/>
              </w:rPr>
            </w:pPr>
            <w:r>
              <w:rPr>
                <w:rFonts w:hint="eastAsia"/>
                <w:color w:val="auto"/>
                <w:szCs w:val="21"/>
              </w:rPr>
              <w:t>7.2</w:t>
            </w:r>
          </w:p>
        </w:tc>
        <w:tc>
          <w:tcPr>
            <w:tcW w:w="2584" w:type="pct"/>
          </w:tcPr>
          <w:p w14:paraId="402D5586">
            <w:pPr>
              <w:jc w:val="left"/>
              <w:rPr>
                <w:color w:val="auto"/>
                <w:szCs w:val="21"/>
              </w:rPr>
            </w:pPr>
            <w:r>
              <w:rPr>
                <w:rFonts w:hint="eastAsia"/>
                <w:bCs/>
                <w:color w:val="auto"/>
                <w:szCs w:val="21"/>
              </w:rPr>
              <w:t>技术人员配置：</w:t>
            </w:r>
            <w:r>
              <w:rPr>
                <w:rFonts w:hint="eastAsia"/>
                <w:color w:val="auto"/>
                <w:szCs w:val="21"/>
              </w:rPr>
              <w:t>投标人须承诺为本项目配备足够数量且具备相应经验的技术人员，并在中标后安排专职人员负责项目实施、设备安装调试及运维保障工作。评审时将依据投标文件所述的人员配置方案、职责分工及团队合理性进行综合评判。</w:t>
            </w:r>
          </w:p>
          <w:p w14:paraId="468C5173">
            <w:pPr>
              <w:jc w:val="left"/>
              <w:rPr>
                <w:color w:val="auto"/>
                <w:szCs w:val="21"/>
              </w:rPr>
            </w:pPr>
            <w:r>
              <w:rPr>
                <w:rFonts w:hint="eastAsia"/>
                <w:bCs/>
                <w:color w:val="auto"/>
                <w:szCs w:val="21"/>
              </w:rPr>
              <w:t>注：以上人员均须提供投标截止时间近6个月内任意一个</w:t>
            </w:r>
            <w:r>
              <w:rPr>
                <w:rFonts w:hint="eastAsia"/>
                <w:color w:val="auto"/>
                <w:szCs w:val="21"/>
              </w:rPr>
              <w:t>月的社保缴纳证明，否则不得分。</w:t>
            </w:r>
          </w:p>
          <w:p w14:paraId="0AD088E4">
            <w:pPr>
              <w:jc w:val="left"/>
              <w:rPr>
                <w:color w:val="auto"/>
                <w:szCs w:val="21"/>
              </w:rPr>
            </w:pPr>
            <w:r>
              <w:rPr>
                <w:rFonts w:hint="eastAsia"/>
                <w:color w:val="auto"/>
                <w:szCs w:val="21"/>
              </w:rPr>
              <w:t>（评审范围：3，2.5，2，1.5，1,0.5，0）</w:t>
            </w:r>
          </w:p>
        </w:tc>
        <w:tc>
          <w:tcPr>
            <w:tcW w:w="432" w:type="pct"/>
            <w:vAlign w:val="center"/>
          </w:tcPr>
          <w:p w14:paraId="4E48E88F">
            <w:pPr>
              <w:jc w:val="center"/>
              <w:rPr>
                <w:color w:val="auto"/>
                <w:szCs w:val="21"/>
              </w:rPr>
            </w:pPr>
            <w:r>
              <w:rPr>
                <w:rFonts w:hint="eastAsia"/>
                <w:color w:val="auto"/>
                <w:szCs w:val="21"/>
              </w:rPr>
              <w:t>3</w:t>
            </w:r>
          </w:p>
        </w:tc>
        <w:tc>
          <w:tcPr>
            <w:tcW w:w="650" w:type="pct"/>
            <w:vAlign w:val="center"/>
          </w:tcPr>
          <w:p w14:paraId="3A1C465B">
            <w:pPr>
              <w:jc w:val="center"/>
              <w:rPr>
                <w:b/>
                <w:bCs/>
                <w:color w:val="auto"/>
                <w:szCs w:val="21"/>
              </w:rPr>
            </w:pPr>
            <w:r>
              <w:rPr>
                <w:rFonts w:hint="eastAsia"/>
                <w:b/>
                <w:bCs/>
                <w:color w:val="auto"/>
                <w:szCs w:val="21"/>
              </w:rPr>
              <w:t>主观分</w:t>
            </w:r>
          </w:p>
        </w:tc>
        <w:tc>
          <w:tcPr>
            <w:tcW w:w="809" w:type="pct"/>
            <w:vAlign w:val="center"/>
          </w:tcPr>
          <w:p w14:paraId="203C5E91">
            <w:pPr>
              <w:jc w:val="center"/>
              <w:rPr>
                <w:color w:val="auto"/>
                <w:szCs w:val="21"/>
              </w:rPr>
            </w:pPr>
            <w:r>
              <w:rPr>
                <w:rFonts w:hint="eastAsia"/>
                <w:b/>
                <w:bCs/>
                <w:color w:val="auto"/>
                <w:szCs w:val="21"/>
              </w:rPr>
              <w:t>团队人员技术力量</w:t>
            </w:r>
          </w:p>
        </w:tc>
      </w:tr>
      <w:tr w14:paraId="4A41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5C9167C3">
            <w:pPr>
              <w:jc w:val="left"/>
              <w:rPr>
                <w:color w:val="auto"/>
                <w:szCs w:val="21"/>
              </w:rPr>
            </w:pPr>
            <w:r>
              <w:rPr>
                <w:rFonts w:hint="eastAsia"/>
                <w:color w:val="auto"/>
                <w:szCs w:val="21"/>
              </w:rPr>
              <w:t>8</w:t>
            </w:r>
          </w:p>
        </w:tc>
        <w:tc>
          <w:tcPr>
            <w:tcW w:w="2584" w:type="pct"/>
          </w:tcPr>
          <w:p w14:paraId="07C54EF0">
            <w:pPr>
              <w:jc w:val="left"/>
              <w:rPr>
                <w:b/>
                <w:bCs/>
                <w:color w:val="auto"/>
                <w:szCs w:val="21"/>
              </w:rPr>
            </w:pPr>
            <w:r>
              <w:rPr>
                <w:rFonts w:hint="eastAsia"/>
                <w:b/>
                <w:bCs/>
                <w:color w:val="auto"/>
                <w:szCs w:val="21"/>
              </w:rPr>
              <w:t>实训桌椅产品质量保证方案</w:t>
            </w:r>
          </w:p>
          <w:p w14:paraId="5C0A1E2D">
            <w:pPr>
              <w:jc w:val="left"/>
              <w:rPr>
                <w:color w:val="auto"/>
                <w:szCs w:val="21"/>
              </w:rPr>
            </w:pPr>
            <w:r>
              <w:rPr>
                <w:rFonts w:hint="eastAsia"/>
                <w:color w:val="auto"/>
                <w:szCs w:val="21"/>
              </w:rPr>
              <w:t>1.原材料质量控制，包括但不限于：原材料的质量控制流程，涵盖供应商评估、原材料检验标准及不合格品处理措施等内容。</w:t>
            </w:r>
          </w:p>
          <w:p w14:paraId="53C034F3">
            <w:pPr>
              <w:jc w:val="left"/>
              <w:rPr>
                <w:color w:val="auto"/>
                <w:szCs w:val="21"/>
              </w:rPr>
            </w:pPr>
            <w:r>
              <w:rPr>
                <w:rFonts w:hint="eastAsia"/>
                <w:color w:val="auto"/>
                <w:szCs w:val="21"/>
              </w:rPr>
              <w:t>2.生产过程质量控制措施，包括但不限于：生产过程中的各个质量控制点，且每个控制点都有明确的控制措施和标准，能够有效预防质量问题的发生等内容。</w:t>
            </w:r>
          </w:p>
          <w:p w14:paraId="02C73CDB">
            <w:pPr>
              <w:jc w:val="left"/>
              <w:rPr>
                <w:color w:val="auto"/>
                <w:szCs w:val="21"/>
              </w:rPr>
            </w:pPr>
            <w:r>
              <w:rPr>
                <w:rFonts w:hint="eastAsia"/>
                <w:color w:val="auto"/>
                <w:szCs w:val="21"/>
              </w:rPr>
              <w:t>3.成品质量控制措施，包括但不限于：产品出厂检验标准、检验流程、不合格品处理措施等内容，保证产品质量符合采购需求的控制措施。</w:t>
            </w:r>
          </w:p>
          <w:p w14:paraId="3CFFE72F">
            <w:pPr>
              <w:jc w:val="left"/>
              <w:rPr>
                <w:color w:val="auto"/>
                <w:szCs w:val="21"/>
              </w:rPr>
            </w:pPr>
            <w:r>
              <w:rPr>
                <w:rFonts w:hint="eastAsia"/>
                <w:color w:val="auto"/>
                <w:szCs w:val="21"/>
              </w:rPr>
              <w:t>（评审范围：3,2.5,2,1.5,1,0.5,0）</w:t>
            </w:r>
          </w:p>
        </w:tc>
        <w:tc>
          <w:tcPr>
            <w:tcW w:w="432" w:type="pct"/>
            <w:vAlign w:val="center"/>
          </w:tcPr>
          <w:p w14:paraId="3954959D">
            <w:pPr>
              <w:jc w:val="center"/>
              <w:rPr>
                <w:color w:val="auto"/>
                <w:szCs w:val="21"/>
              </w:rPr>
            </w:pPr>
            <w:r>
              <w:rPr>
                <w:rFonts w:hint="eastAsia"/>
                <w:color w:val="auto"/>
                <w:szCs w:val="21"/>
              </w:rPr>
              <w:t>3</w:t>
            </w:r>
          </w:p>
        </w:tc>
        <w:tc>
          <w:tcPr>
            <w:tcW w:w="650" w:type="pct"/>
            <w:vAlign w:val="center"/>
          </w:tcPr>
          <w:p w14:paraId="5294C46B">
            <w:pPr>
              <w:jc w:val="center"/>
              <w:rPr>
                <w:color w:val="auto"/>
                <w:szCs w:val="21"/>
              </w:rPr>
            </w:pPr>
            <w:r>
              <w:rPr>
                <w:rFonts w:hint="eastAsia"/>
                <w:b/>
                <w:bCs/>
                <w:color w:val="auto"/>
                <w:szCs w:val="21"/>
              </w:rPr>
              <w:t>主观分</w:t>
            </w:r>
          </w:p>
        </w:tc>
        <w:tc>
          <w:tcPr>
            <w:tcW w:w="809" w:type="pct"/>
            <w:vAlign w:val="center"/>
          </w:tcPr>
          <w:p w14:paraId="243CBE1E">
            <w:pPr>
              <w:jc w:val="center"/>
              <w:rPr>
                <w:b/>
                <w:bCs/>
                <w:color w:val="auto"/>
                <w:szCs w:val="21"/>
              </w:rPr>
            </w:pPr>
            <w:r>
              <w:rPr>
                <w:rFonts w:hint="eastAsia"/>
                <w:b/>
                <w:bCs/>
                <w:color w:val="auto"/>
                <w:szCs w:val="21"/>
              </w:rPr>
              <w:t>实训桌椅产品质量保证方案</w:t>
            </w:r>
          </w:p>
          <w:p w14:paraId="686A2C7B">
            <w:pPr>
              <w:jc w:val="center"/>
              <w:rPr>
                <w:color w:val="auto"/>
                <w:szCs w:val="21"/>
              </w:rPr>
            </w:pPr>
          </w:p>
        </w:tc>
      </w:tr>
      <w:tr w14:paraId="7031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32998CC7">
            <w:pPr>
              <w:jc w:val="left"/>
              <w:rPr>
                <w:color w:val="auto"/>
                <w:szCs w:val="21"/>
              </w:rPr>
            </w:pPr>
            <w:r>
              <w:rPr>
                <w:rFonts w:hint="eastAsia"/>
                <w:color w:val="auto"/>
                <w:szCs w:val="21"/>
              </w:rPr>
              <w:t>9</w:t>
            </w:r>
          </w:p>
        </w:tc>
        <w:tc>
          <w:tcPr>
            <w:tcW w:w="2584" w:type="pct"/>
          </w:tcPr>
          <w:p w14:paraId="5EEBC5BD">
            <w:pPr>
              <w:jc w:val="left"/>
              <w:rPr>
                <w:b/>
                <w:bCs/>
                <w:color w:val="auto"/>
                <w:szCs w:val="21"/>
              </w:rPr>
            </w:pPr>
            <w:r>
              <w:rPr>
                <w:rFonts w:hint="eastAsia"/>
                <w:b/>
                <w:bCs/>
                <w:color w:val="auto"/>
                <w:szCs w:val="21"/>
              </w:rPr>
              <w:t>安装服务实施方案</w:t>
            </w:r>
          </w:p>
          <w:p w14:paraId="7F4A6178">
            <w:pPr>
              <w:jc w:val="left"/>
              <w:rPr>
                <w:color w:val="auto"/>
                <w:szCs w:val="21"/>
              </w:rPr>
            </w:pPr>
            <w:r>
              <w:rPr>
                <w:rFonts w:hint="eastAsia"/>
                <w:color w:val="auto"/>
                <w:szCs w:val="21"/>
              </w:rPr>
              <w:t>包括但不限于：货物交付方案（到货/卸货时间、运输安排）、安装进度计划（勘测、安装、调试等节点及时间）、人员安排、安装质量验收标准、安全注意事项（高空作业、用电安全）等内容。</w:t>
            </w:r>
          </w:p>
          <w:p w14:paraId="61774E7E">
            <w:pPr>
              <w:jc w:val="left"/>
              <w:rPr>
                <w:b/>
                <w:bCs/>
                <w:color w:val="auto"/>
                <w:szCs w:val="21"/>
              </w:rPr>
            </w:pPr>
            <w:r>
              <w:rPr>
                <w:rFonts w:hint="eastAsia"/>
                <w:color w:val="auto"/>
                <w:szCs w:val="21"/>
              </w:rPr>
              <w:t>（评审范围：3,2.5,2,1.5,1,0.5,0）</w:t>
            </w:r>
          </w:p>
        </w:tc>
        <w:tc>
          <w:tcPr>
            <w:tcW w:w="432" w:type="pct"/>
            <w:vAlign w:val="center"/>
          </w:tcPr>
          <w:p w14:paraId="4A0045F1">
            <w:pPr>
              <w:jc w:val="center"/>
              <w:rPr>
                <w:color w:val="auto"/>
                <w:szCs w:val="21"/>
              </w:rPr>
            </w:pPr>
            <w:r>
              <w:rPr>
                <w:rFonts w:hint="eastAsia"/>
                <w:color w:val="auto"/>
                <w:szCs w:val="21"/>
              </w:rPr>
              <w:t>3</w:t>
            </w:r>
          </w:p>
        </w:tc>
        <w:tc>
          <w:tcPr>
            <w:tcW w:w="650" w:type="pct"/>
            <w:vAlign w:val="center"/>
          </w:tcPr>
          <w:p w14:paraId="17609215">
            <w:pPr>
              <w:jc w:val="center"/>
              <w:rPr>
                <w:color w:val="auto"/>
                <w:szCs w:val="21"/>
              </w:rPr>
            </w:pPr>
            <w:r>
              <w:rPr>
                <w:rFonts w:hint="eastAsia"/>
                <w:b/>
                <w:bCs/>
                <w:color w:val="auto"/>
                <w:szCs w:val="21"/>
              </w:rPr>
              <w:t>主观分</w:t>
            </w:r>
          </w:p>
        </w:tc>
        <w:tc>
          <w:tcPr>
            <w:tcW w:w="809" w:type="pct"/>
            <w:vAlign w:val="center"/>
          </w:tcPr>
          <w:p w14:paraId="388C8EFC">
            <w:pPr>
              <w:jc w:val="center"/>
              <w:rPr>
                <w:b/>
                <w:bCs/>
                <w:color w:val="auto"/>
                <w:szCs w:val="21"/>
              </w:rPr>
            </w:pPr>
            <w:r>
              <w:rPr>
                <w:rFonts w:hint="eastAsia"/>
                <w:b/>
                <w:bCs/>
                <w:color w:val="auto"/>
                <w:szCs w:val="21"/>
              </w:rPr>
              <w:t>安装服务实施方案</w:t>
            </w:r>
          </w:p>
          <w:p w14:paraId="37BF40BC">
            <w:pPr>
              <w:jc w:val="center"/>
              <w:rPr>
                <w:color w:val="auto"/>
                <w:szCs w:val="21"/>
              </w:rPr>
            </w:pPr>
          </w:p>
        </w:tc>
      </w:tr>
      <w:tr w14:paraId="414F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1BF417E0">
            <w:pPr>
              <w:jc w:val="left"/>
              <w:rPr>
                <w:color w:val="auto"/>
                <w:szCs w:val="21"/>
              </w:rPr>
            </w:pPr>
            <w:r>
              <w:rPr>
                <w:rFonts w:hint="eastAsia"/>
                <w:color w:val="auto"/>
                <w:szCs w:val="21"/>
              </w:rPr>
              <w:t>10</w:t>
            </w:r>
          </w:p>
        </w:tc>
        <w:tc>
          <w:tcPr>
            <w:tcW w:w="2584" w:type="pct"/>
          </w:tcPr>
          <w:p w14:paraId="43FFD658">
            <w:pPr>
              <w:jc w:val="left"/>
              <w:rPr>
                <w:color w:val="auto"/>
                <w:szCs w:val="21"/>
              </w:rPr>
            </w:pPr>
            <w:r>
              <w:rPr>
                <w:rFonts w:hint="eastAsia"/>
                <w:b/>
                <w:bCs/>
                <w:color w:val="auto"/>
                <w:szCs w:val="21"/>
              </w:rPr>
              <w:t>售后服务</w:t>
            </w:r>
          </w:p>
        </w:tc>
        <w:tc>
          <w:tcPr>
            <w:tcW w:w="432" w:type="pct"/>
            <w:vAlign w:val="center"/>
          </w:tcPr>
          <w:p w14:paraId="07751B08">
            <w:pPr>
              <w:jc w:val="center"/>
              <w:rPr>
                <w:color w:val="auto"/>
                <w:szCs w:val="21"/>
              </w:rPr>
            </w:pPr>
            <w:r>
              <w:rPr>
                <w:rFonts w:hint="eastAsia"/>
                <w:color w:val="auto"/>
                <w:szCs w:val="21"/>
              </w:rPr>
              <w:t>/</w:t>
            </w:r>
          </w:p>
        </w:tc>
        <w:tc>
          <w:tcPr>
            <w:tcW w:w="650" w:type="pct"/>
            <w:vAlign w:val="center"/>
          </w:tcPr>
          <w:p w14:paraId="37419784">
            <w:pPr>
              <w:jc w:val="center"/>
              <w:rPr>
                <w:color w:val="auto"/>
                <w:szCs w:val="21"/>
              </w:rPr>
            </w:pPr>
            <w:r>
              <w:rPr>
                <w:rFonts w:hint="eastAsia"/>
                <w:color w:val="auto"/>
                <w:szCs w:val="21"/>
              </w:rPr>
              <w:t>/</w:t>
            </w:r>
          </w:p>
        </w:tc>
        <w:tc>
          <w:tcPr>
            <w:tcW w:w="809" w:type="pct"/>
            <w:vAlign w:val="center"/>
          </w:tcPr>
          <w:p w14:paraId="0108C1BC">
            <w:pPr>
              <w:jc w:val="center"/>
              <w:rPr>
                <w:color w:val="auto"/>
                <w:szCs w:val="21"/>
              </w:rPr>
            </w:pPr>
          </w:p>
        </w:tc>
      </w:tr>
      <w:tr w14:paraId="49FC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48330E1E">
            <w:pPr>
              <w:jc w:val="left"/>
              <w:rPr>
                <w:color w:val="auto"/>
                <w:szCs w:val="21"/>
              </w:rPr>
            </w:pPr>
            <w:r>
              <w:rPr>
                <w:rFonts w:hint="eastAsia"/>
                <w:color w:val="auto"/>
                <w:szCs w:val="21"/>
              </w:rPr>
              <w:t>10.1</w:t>
            </w:r>
          </w:p>
        </w:tc>
        <w:tc>
          <w:tcPr>
            <w:tcW w:w="2584" w:type="pct"/>
          </w:tcPr>
          <w:p w14:paraId="7A0E39EF">
            <w:pPr>
              <w:jc w:val="left"/>
              <w:rPr>
                <w:color w:val="auto"/>
                <w:szCs w:val="21"/>
              </w:rPr>
            </w:pPr>
            <w:r>
              <w:rPr>
                <w:rFonts w:hint="eastAsia"/>
                <w:color w:val="auto"/>
                <w:szCs w:val="21"/>
              </w:rPr>
              <w:t>包括但不限于：明确 “三包”措施。包括但不限于：明确“三包”（包修、包换、包退）服务范围、期限、流程（报修方式、处理时限、退换货条件）及责任划分，质保期内外的后续技术支持和维护能力情况评分、退换货时效保障机制等内容判定评分内容。</w:t>
            </w:r>
          </w:p>
          <w:p w14:paraId="7408F03D">
            <w:pPr>
              <w:jc w:val="left"/>
              <w:rPr>
                <w:color w:val="auto"/>
                <w:szCs w:val="21"/>
              </w:rPr>
            </w:pPr>
            <w:r>
              <w:rPr>
                <w:rFonts w:hint="eastAsia"/>
                <w:color w:val="auto"/>
                <w:szCs w:val="21"/>
              </w:rPr>
              <w:t>（评审范围：3,2.5,2,1.5,1,0.5,0）</w:t>
            </w:r>
          </w:p>
        </w:tc>
        <w:tc>
          <w:tcPr>
            <w:tcW w:w="432" w:type="pct"/>
            <w:vAlign w:val="center"/>
          </w:tcPr>
          <w:p w14:paraId="24D8ECB9">
            <w:pPr>
              <w:jc w:val="center"/>
              <w:rPr>
                <w:color w:val="auto"/>
                <w:szCs w:val="21"/>
              </w:rPr>
            </w:pPr>
            <w:r>
              <w:rPr>
                <w:rFonts w:hint="eastAsia"/>
                <w:color w:val="auto"/>
                <w:szCs w:val="21"/>
              </w:rPr>
              <w:t>3</w:t>
            </w:r>
          </w:p>
        </w:tc>
        <w:tc>
          <w:tcPr>
            <w:tcW w:w="650" w:type="pct"/>
            <w:vAlign w:val="center"/>
          </w:tcPr>
          <w:p w14:paraId="7FEF1E80">
            <w:pPr>
              <w:jc w:val="center"/>
              <w:rPr>
                <w:b/>
                <w:bCs/>
                <w:color w:val="auto"/>
                <w:szCs w:val="21"/>
              </w:rPr>
            </w:pPr>
            <w:r>
              <w:rPr>
                <w:rFonts w:hint="eastAsia"/>
                <w:b/>
                <w:bCs/>
                <w:color w:val="auto"/>
                <w:szCs w:val="21"/>
              </w:rPr>
              <w:t>主观分</w:t>
            </w:r>
          </w:p>
        </w:tc>
        <w:tc>
          <w:tcPr>
            <w:tcW w:w="809" w:type="pct"/>
            <w:vAlign w:val="center"/>
          </w:tcPr>
          <w:p w14:paraId="7E973FBB">
            <w:pPr>
              <w:jc w:val="center"/>
              <w:rPr>
                <w:color w:val="auto"/>
                <w:szCs w:val="21"/>
              </w:rPr>
            </w:pPr>
            <w:r>
              <w:rPr>
                <w:rFonts w:hint="eastAsia"/>
                <w:b/>
                <w:bCs/>
                <w:color w:val="auto"/>
                <w:szCs w:val="21"/>
              </w:rPr>
              <w:t>售后服务</w:t>
            </w:r>
          </w:p>
        </w:tc>
      </w:tr>
      <w:tr w14:paraId="71CB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1770725D">
            <w:pPr>
              <w:jc w:val="left"/>
              <w:rPr>
                <w:color w:val="auto"/>
                <w:szCs w:val="21"/>
              </w:rPr>
            </w:pPr>
            <w:r>
              <w:rPr>
                <w:rFonts w:hint="eastAsia"/>
                <w:color w:val="auto"/>
                <w:szCs w:val="21"/>
              </w:rPr>
              <w:t>10.2</w:t>
            </w:r>
          </w:p>
        </w:tc>
        <w:tc>
          <w:tcPr>
            <w:tcW w:w="2584" w:type="pct"/>
          </w:tcPr>
          <w:p w14:paraId="0DD51CDF">
            <w:pPr>
              <w:jc w:val="left"/>
              <w:rPr>
                <w:color w:val="auto"/>
                <w:szCs w:val="21"/>
              </w:rPr>
            </w:pPr>
            <w:r>
              <w:rPr>
                <w:rFonts w:hint="eastAsia"/>
                <w:color w:val="auto"/>
                <w:szCs w:val="21"/>
              </w:rPr>
              <w:t>售后保障措施。包括但不限于：质保期内承诺故障响应时间、维修服务流程、备品备件的准备和保障措施、服务网点分布等内容。质保期满后维修、备品备件供应、购买折扣、年维护费用和优惠承诺情况、技术支持服务收费情况。</w:t>
            </w:r>
          </w:p>
          <w:p w14:paraId="0390E0E8">
            <w:pPr>
              <w:jc w:val="left"/>
              <w:rPr>
                <w:color w:val="auto"/>
                <w:szCs w:val="21"/>
              </w:rPr>
            </w:pPr>
            <w:r>
              <w:rPr>
                <w:rFonts w:hint="eastAsia"/>
                <w:color w:val="auto"/>
                <w:szCs w:val="21"/>
              </w:rPr>
              <w:t>（评审范围：3,2.5,2,1.5,1,0.5,0）</w:t>
            </w:r>
          </w:p>
        </w:tc>
        <w:tc>
          <w:tcPr>
            <w:tcW w:w="432" w:type="pct"/>
            <w:vAlign w:val="center"/>
          </w:tcPr>
          <w:p w14:paraId="639E5FA8">
            <w:pPr>
              <w:jc w:val="center"/>
              <w:rPr>
                <w:color w:val="auto"/>
                <w:szCs w:val="21"/>
              </w:rPr>
            </w:pPr>
            <w:r>
              <w:rPr>
                <w:rFonts w:hint="eastAsia"/>
                <w:color w:val="auto"/>
                <w:szCs w:val="21"/>
              </w:rPr>
              <w:t>3</w:t>
            </w:r>
          </w:p>
        </w:tc>
        <w:tc>
          <w:tcPr>
            <w:tcW w:w="650" w:type="pct"/>
            <w:vAlign w:val="center"/>
          </w:tcPr>
          <w:p w14:paraId="3E9957CA">
            <w:pPr>
              <w:jc w:val="center"/>
              <w:rPr>
                <w:b/>
                <w:bCs/>
                <w:color w:val="auto"/>
                <w:szCs w:val="21"/>
              </w:rPr>
            </w:pPr>
            <w:r>
              <w:rPr>
                <w:rFonts w:hint="eastAsia"/>
                <w:b/>
                <w:bCs/>
                <w:color w:val="auto"/>
                <w:szCs w:val="21"/>
              </w:rPr>
              <w:t>主观分</w:t>
            </w:r>
          </w:p>
        </w:tc>
        <w:tc>
          <w:tcPr>
            <w:tcW w:w="809" w:type="pct"/>
            <w:vAlign w:val="center"/>
          </w:tcPr>
          <w:p w14:paraId="44BF2D6F">
            <w:pPr>
              <w:jc w:val="center"/>
              <w:rPr>
                <w:color w:val="auto"/>
                <w:szCs w:val="21"/>
              </w:rPr>
            </w:pPr>
            <w:r>
              <w:rPr>
                <w:rFonts w:hint="eastAsia"/>
                <w:b/>
                <w:bCs/>
                <w:color w:val="auto"/>
                <w:szCs w:val="21"/>
              </w:rPr>
              <w:t>售后服务</w:t>
            </w:r>
          </w:p>
        </w:tc>
      </w:tr>
      <w:tr w14:paraId="0269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68E16AED">
            <w:pPr>
              <w:jc w:val="left"/>
              <w:rPr>
                <w:color w:val="auto"/>
                <w:szCs w:val="21"/>
              </w:rPr>
            </w:pPr>
            <w:r>
              <w:rPr>
                <w:rFonts w:hint="eastAsia"/>
                <w:color w:val="auto"/>
                <w:szCs w:val="21"/>
              </w:rPr>
              <w:t>10.3</w:t>
            </w:r>
          </w:p>
        </w:tc>
        <w:tc>
          <w:tcPr>
            <w:tcW w:w="2584" w:type="pct"/>
          </w:tcPr>
          <w:p w14:paraId="654E58AD">
            <w:pPr>
              <w:jc w:val="left"/>
              <w:rPr>
                <w:color w:val="auto"/>
                <w:szCs w:val="21"/>
              </w:rPr>
            </w:pPr>
            <w:r>
              <w:rPr>
                <w:rFonts w:hint="eastAsia"/>
                <w:color w:val="auto"/>
                <w:szCs w:val="21"/>
              </w:rPr>
              <w:t>回访与巡检。包括但不限于：定期回访计划，巡检服务内容（操作使用、日常维护、常见故障排除）、方式及时间安排等内容。</w:t>
            </w:r>
          </w:p>
          <w:p w14:paraId="46A538FB">
            <w:pPr>
              <w:jc w:val="left"/>
              <w:rPr>
                <w:color w:val="auto"/>
                <w:szCs w:val="21"/>
              </w:rPr>
            </w:pPr>
            <w:r>
              <w:rPr>
                <w:rFonts w:hint="eastAsia"/>
                <w:color w:val="auto"/>
                <w:szCs w:val="21"/>
              </w:rPr>
              <w:t>（评审范围：3.2.5，2,1.5,1,0.5,0）</w:t>
            </w:r>
          </w:p>
        </w:tc>
        <w:tc>
          <w:tcPr>
            <w:tcW w:w="432" w:type="pct"/>
            <w:vAlign w:val="center"/>
          </w:tcPr>
          <w:p w14:paraId="2804A088">
            <w:pPr>
              <w:jc w:val="center"/>
              <w:rPr>
                <w:color w:val="auto"/>
                <w:szCs w:val="21"/>
              </w:rPr>
            </w:pPr>
            <w:r>
              <w:rPr>
                <w:rFonts w:hint="eastAsia"/>
                <w:color w:val="auto"/>
                <w:szCs w:val="21"/>
              </w:rPr>
              <w:t>3</w:t>
            </w:r>
          </w:p>
        </w:tc>
        <w:tc>
          <w:tcPr>
            <w:tcW w:w="650" w:type="pct"/>
            <w:vAlign w:val="center"/>
          </w:tcPr>
          <w:p w14:paraId="27598645">
            <w:pPr>
              <w:jc w:val="center"/>
              <w:rPr>
                <w:b/>
                <w:bCs/>
                <w:color w:val="auto"/>
                <w:szCs w:val="21"/>
              </w:rPr>
            </w:pPr>
            <w:r>
              <w:rPr>
                <w:rFonts w:hint="eastAsia"/>
                <w:b/>
                <w:bCs/>
                <w:color w:val="auto"/>
                <w:szCs w:val="21"/>
              </w:rPr>
              <w:t>主观分</w:t>
            </w:r>
          </w:p>
        </w:tc>
        <w:tc>
          <w:tcPr>
            <w:tcW w:w="809" w:type="pct"/>
            <w:vAlign w:val="center"/>
          </w:tcPr>
          <w:p w14:paraId="1C1138A4">
            <w:pPr>
              <w:jc w:val="center"/>
              <w:rPr>
                <w:color w:val="auto"/>
                <w:szCs w:val="21"/>
              </w:rPr>
            </w:pPr>
            <w:r>
              <w:rPr>
                <w:rFonts w:hint="eastAsia"/>
                <w:b/>
                <w:bCs/>
                <w:color w:val="auto"/>
                <w:szCs w:val="21"/>
              </w:rPr>
              <w:t>售后服务</w:t>
            </w:r>
          </w:p>
        </w:tc>
      </w:tr>
      <w:tr w14:paraId="5A6C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5A7A8834">
            <w:pPr>
              <w:jc w:val="left"/>
              <w:rPr>
                <w:color w:val="auto"/>
                <w:szCs w:val="21"/>
              </w:rPr>
            </w:pPr>
            <w:r>
              <w:rPr>
                <w:rFonts w:hint="eastAsia"/>
                <w:color w:val="auto"/>
                <w:szCs w:val="21"/>
              </w:rPr>
              <w:t>11</w:t>
            </w:r>
          </w:p>
        </w:tc>
        <w:tc>
          <w:tcPr>
            <w:tcW w:w="2584" w:type="pct"/>
          </w:tcPr>
          <w:p w14:paraId="61CC1505">
            <w:pPr>
              <w:jc w:val="left"/>
              <w:rPr>
                <w:b/>
                <w:bCs/>
                <w:color w:val="auto"/>
                <w:szCs w:val="21"/>
              </w:rPr>
            </w:pPr>
            <w:r>
              <w:rPr>
                <w:rFonts w:hint="eastAsia"/>
                <w:b/>
                <w:bCs/>
                <w:color w:val="auto"/>
                <w:szCs w:val="21"/>
              </w:rPr>
              <w:t>1.计算机实训室数据决策分析平台</w:t>
            </w:r>
          </w:p>
          <w:p w14:paraId="24200A1E">
            <w:pPr>
              <w:jc w:val="left"/>
              <w:rPr>
                <w:color w:val="auto"/>
                <w:szCs w:val="21"/>
              </w:rPr>
            </w:pPr>
            <w:r>
              <w:rPr>
                <w:rFonts w:hint="eastAsia"/>
                <w:color w:val="auto"/>
                <w:szCs w:val="21"/>
              </w:rPr>
              <w:t>（1）支持对实验室的终端桌面进行督导抽查，可批量地对多个桌面进行监看:支持四屏、九屏、十六屏的方式同时监看，可对任意桌面进行远程协助、远程锁定、远程重启和发送消息的管理操作；可记录监看过程中的学生机自主安装软件记录，若教学环境采用分屏教学，则可在监看界面切换视图查看学生分屏操作画面。</w:t>
            </w:r>
          </w:p>
          <w:p w14:paraId="24E68124">
            <w:pPr>
              <w:jc w:val="left"/>
              <w:rPr>
                <w:b/>
                <w:bCs/>
                <w:color w:val="auto"/>
                <w:szCs w:val="21"/>
              </w:rPr>
            </w:pPr>
            <w:r>
              <w:rPr>
                <w:rFonts w:hint="eastAsia"/>
                <w:b/>
                <w:bCs/>
                <w:color w:val="auto"/>
                <w:szCs w:val="21"/>
              </w:rPr>
              <w:t>提供完整功能截图的得 1 分，否则不得分</w:t>
            </w:r>
          </w:p>
          <w:p w14:paraId="40110F08">
            <w:pPr>
              <w:jc w:val="left"/>
              <w:rPr>
                <w:color w:val="auto"/>
                <w:szCs w:val="21"/>
              </w:rPr>
            </w:pPr>
            <w:r>
              <w:rPr>
                <w:rFonts w:hint="eastAsia"/>
                <w:color w:val="auto"/>
                <w:szCs w:val="21"/>
              </w:rPr>
              <w:t>（2）可统计每间实验室终端电脑数量、实验室占有率、上机人次、终端利用率；可以智能监测捕获风险项，包括CPU高负载预警、内存高负载预警、磁盘IO高负载预警、系统盘空间不足预警、CPU 高温预警、独立显卡高温预警、异常断电/蓝屏死机预警、终端网卡连接低速预警</w:t>
            </w:r>
          </w:p>
          <w:p w14:paraId="682B4674">
            <w:pPr>
              <w:jc w:val="left"/>
              <w:rPr>
                <w:b/>
                <w:bCs/>
                <w:color w:val="auto"/>
                <w:szCs w:val="21"/>
              </w:rPr>
            </w:pPr>
            <w:r>
              <w:rPr>
                <w:rFonts w:hint="eastAsia"/>
                <w:b/>
                <w:bCs/>
                <w:color w:val="auto"/>
                <w:szCs w:val="21"/>
              </w:rPr>
              <w:t>提供完整功能截图的得 1 分，否则不得分</w:t>
            </w:r>
          </w:p>
          <w:p w14:paraId="6DB6C93B">
            <w:pPr>
              <w:jc w:val="left"/>
              <w:rPr>
                <w:color w:val="auto"/>
                <w:szCs w:val="21"/>
              </w:rPr>
            </w:pPr>
            <w:r>
              <w:rPr>
                <w:rFonts w:hint="eastAsia"/>
                <w:color w:val="auto"/>
                <w:szCs w:val="21"/>
              </w:rPr>
              <w:t>（3）可按时间段统计实验室占用率，终端利用率，终端能耗，硬件风险、硬件变更、院系专业分布，登录上机时间分布等信息；</w:t>
            </w:r>
          </w:p>
          <w:p w14:paraId="56FE23C3">
            <w:pPr>
              <w:jc w:val="left"/>
              <w:rPr>
                <w:b/>
                <w:bCs/>
                <w:color w:val="auto"/>
                <w:szCs w:val="21"/>
              </w:rPr>
            </w:pPr>
            <w:r>
              <w:rPr>
                <w:rFonts w:hint="eastAsia"/>
                <w:b/>
                <w:bCs/>
                <w:color w:val="auto"/>
                <w:szCs w:val="21"/>
              </w:rPr>
              <w:t>提供完整功能截图的得 1 分，否则不得分</w:t>
            </w:r>
          </w:p>
          <w:p w14:paraId="73907C4A">
            <w:pPr>
              <w:jc w:val="left"/>
              <w:rPr>
                <w:color w:val="auto"/>
                <w:szCs w:val="21"/>
              </w:rPr>
            </w:pPr>
            <w:r>
              <w:rPr>
                <w:rFonts w:hint="eastAsia"/>
                <w:color w:val="auto"/>
                <w:szCs w:val="21"/>
              </w:rPr>
              <w:t>（4）支持学生画像对比信息展示，可按日期、院系/专业、年级、班级等维度筛选对比组，展示每组对比信息，信息包括但不限于上机时长、上机时间、学生到课分析、软件使用TOP20、教学网站访问TOP20等信息</w:t>
            </w:r>
          </w:p>
          <w:p w14:paraId="78FE8CCB">
            <w:pPr>
              <w:jc w:val="left"/>
              <w:rPr>
                <w:color w:val="auto"/>
                <w:szCs w:val="21"/>
              </w:rPr>
            </w:pPr>
            <w:r>
              <w:rPr>
                <w:rFonts w:hint="eastAsia"/>
                <w:b/>
                <w:bCs/>
                <w:color w:val="auto"/>
                <w:szCs w:val="21"/>
              </w:rPr>
              <w:t>提供完整功能截图的得 1 分，否则不得分</w:t>
            </w:r>
          </w:p>
          <w:p w14:paraId="12D317B8">
            <w:pPr>
              <w:jc w:val="left"/>
              <w:rPr>
                <w:color w:val="auto"/>
                <w:szCs w:val="21"/>
              </w:rPr>
            </w:pPr>
          </w:p>
          <w:p w14:paraId="10720277">
            <w:pPr>
              <w:jc w:val="left"/>
              <w:rPr>
                <w:b/>
                <w:bCs/>
                <w:color w:val="auto"/>
                <w:szCs w:val="21"/>
              </w:rPr>
            </w:pPr>
            <w:r>
              <w:rPr>
                <w:rFonts w:hint="eastAsia"/>
                <w:b/>
                <w:bCs/>
                <w:color w:val="auto"/>
                <w:szCs w:val="21"/>
              </w:rPr>
              <w:t>2.融合桌面云平台</w:t>
            </w:r>
          </w:p>
          <w:p w14:paraId="1DA0465A">
            <w:pPr>
              <w:jc w:val="left"/>
              <w:rPr>
                <w:color w:val="auto"/>
                <w:szCs w:val="21"/>
              </w:rPr>
            </w:pPr>
            <w:r>
              <w:rPr>
                <w:rFonts w:hint="eastAsia"/>
                <w:color w:val="auto"/>
                <w:szCs w:val="21"/>
              </w:rPr>
              <w:t>（1）支持windows系统下的屏幕水印功能，可设置水印显示位置、字体大小、颜色、透明度，可设置显示内容，包括桌面计算机名，终端序号，桌面IP地址，MAC地址，还原方式等信息，支持预览设置内容及效果，还可自定义显示内容，进入系统后，桌面右上角可置顶显示设置的信息水印。</w:t>
            </w:r>
          </w:p>
          <w:p w14:paraId="04BF8AD2">
            <w:pPr>
              <w:jc w:val="left"/>
              <w:rPr>
                <w:b/>
                <w:bCs/>
                <w:color w:val="auto"/>
                <w:szCs w:val="21"/>
              </w:rPr>
            </w:pPr>
            <w:r>
              <w:rPr>
                <w:rFonts w:hint="eastAsia"/>
                <w:b/>
                <w:bCs/>
                <w:color w:val="auto"/>
                <w:szCs w:val="21"/>
              </w:rPr>
              <w:t>提供完整功能截图的得 1 分，否则不得分</w:t>
            </w:r>
          </w:p>
          <w:p w14:paraId="480C0488">
            <w:pPr>
              <w:jc w:val="left"/>
              <w:rPr>
                <w:color w:val="auto"/>
                <w:szCs w:val="21"/>
              </w:rPr>
            </w:pPr>
            <w:r>
              <w:rPr>
                <w:rFonts w:hint="eastAsia"/>
                <w:color w:val="auto"/>
                <w:szCs w:val="21"/>
              </w:rPr>
              <w:t>（2）提供C/S架构的桌面云平台检测工具，通过管理员账号密码验证身份后，点击开始检测则自动检测服务器连接状态、终端连接状态、集群网络状态、数据库状态、文件系统状态、脏数据状态、授权激活状态、主控HA状态、Guesttools状态、模板状态、桌面状态，并展示此次体检分数和检测结果详情，针对检测异常项会进行提示并给出解决建议，也可点击修复体检异常项进行自动修复，可将此次检测生成检测报告文件下载至电脑本地</w:t>
            </w:r>
          </w:p>
          <w:p w14:paraId="0CC94AC1">
            <w:pPr>
              <w:jc w:val="left"/>
              <w:rPr>
                <w:color w:val="auto"/>
                <w:szCs w:val="21"/>
              </w:rPr>
            </w:pPr>
            <w:r>
              <w:rPr>
                <w:rFonts w:hint="eastAsia"/>
                <w:b/>
                <w:bCs/>
                <w:color w:val="auto"/>
                <w:szCs w:val="21"/>
              </w:rPr>
              <w:t>提供完整功能截图的得 1 分，否则不得分</w:t>
            </w:r>
          </w:p>
        </w:tc>
        <w:tc>
          <w:tcPr>
            <w:tcW w:w="432" w:type="pct"/>
            <w:vAlign w:val="center"/>
          </w:tcPr>
          <w:p w14:paraId="7ED7B94E">
            <w:pPr>
              <w:jc w:val="center"/>
              <w:rPr>
                <w:color w:val="auto"/>
                <w:szCs w:val="21"/>
              </w:rPr>
            </w:pPr>
            <w:r>
              <w:rPr>
                <w:rFonts w:hint="eastAsia"/>
                <w:color w:val="auto"/>
                <w:szCs w:val="21"/>
              </w:rPr>
              <w:t>6</w:t>
            </w:r>
          </w:p>
        </w:tc>
        <w:tc>
          <w:tcPr>
            <w:tcW w:w="650" w:type="pct"/>
            <w:vAlign w:val="center"/>
          </w:tcPr>
          <w:p w14:paraId="624D3DB7">
            <w:pPr>
              <w:jc w:val="center"/>
              <w:rPr>
                <w:b/>
                <w:bCs/>
                <w:color w:val="auto"/>
                <w:szCs w:val="21"/>
              </w:rPr>
            </w:pPr>
            <w:r>
              <w:rPr>
                <w:rFonts w:hint="eastAsia"/>
                <w:b/>
                <w:bCs/>
                <w:color w:val="auto"/>
                <w:szCs w:val="21"/>
              </w:rPr>
              <w:t>客观分</w:t>
            </w:r>
          </w:p>
        </w:tc>
        <w:tc>
          <w:tcPr>
            <w:tcW w:w="809" w:type="pct"/>
            <w:vAlign w:val="center"/>
          </w:tcPr>
          <w:p w14:paraId="78591D32">
            <w:pPr>
              <w:jc w:val="center"/>
              <w:rPr>
                <w:color w:val="auto"/>
                <w:szCs w:val="21"/>
              </w:rPr>
            </w:pPr>
            <w:r>
              <w:rPr>
                <w:rFonts w:hint="eastAsia"/>
                <w:b/>
                <w:bCs/>
                <w:color w:val="auto"/>
                <w:szCs w:val="21"/>
              </w:rPr>
              <w:t>计算机实训室数据决策分析平台</w:t>
            </w:r>
          </w:p>
        </w:tc>
      </w:tr>
      <w:tr w14:paraId="6066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7C8CA21D">
            <w:pPr>
              <w:jc w:val="left"/>
              <w:rPr>
                <w:color w:val="auto"/>
                <w:szCs w:val="21"/>
              </w:rPr>
            </w:pPr>
            <w:r>
              <w:rPr>
                <w:rFonts w:hint="eastAsia"/>
                <w:color w:val="auto"/>
                <w:szCs w:val="21"/>
              </w:rPr>
              <w:t>12</w:t>
            </w:r>
          </w:p>
        </w:tc>
        <w:tc>
          <w:tcPr>
            <w:tcW w:w="2584" w:type="pct"/>
          </w:tcPr>
          <w:p w14:paraId="7F0E1669">
            <w:pPr>
              <w:jc w:val="left"/>
              <w:rPr>
                <w:b/>
                <w:bCs/>
                <w:color w:val="auto"/>
                <w:szCs w:val="21"/>
              </w:rPr>
            </w:pPr>
            <w:r>
              <w:rPr>
                <w:rFonts w:hint="eastAsia"/>
                <w:b/>
                <w:bCs/>
                <w:color w:val="auto"/>
                <w:szCs w:val="21"/>
              </w:rPr>
              <w:t>产品培训方案</w:t>
            </w:r>
          </w:p>
          <w:p w14:paraId="3DEEA438">
            <w:pPr>
              <w:jc w:val="left"/>
              <w:rPr>
                <w:color w:val="auto"/>
                <w:szCs w:val="21"/>
              </w:rPr>
            </w:pPr>
            <w:r>
              <w:rPr>
                <w:rFonts w:hint="eastAsia"/>
                <w:color w:val="auto"/>
                <w:szCs w:val="21"/>
              </w:rPr>
              <w:t>1.制定与项目相关的软硬件专项培训方案，对使用方相关业务与操作人员进行系统性的业务技能与技术实操培训。根据投标人所提供培训方案的整体质量、可行性、深度与资源保障水平进行综合评审。</w:t>
            </w:r>
          </w:p>
          <w:p w14:paraId="54D6C75C">
            <w:pPr>
              <w:jc w:val="left"/>
              <w:rPr>
                <w:color w:val="auto"/>
                <w:szCs w:val="21"/>
              </w:rPr>
            </w:pPr>
            <w:r>
              <w:rPr>
                <w:rFonts w:hint="eastAsia"/>
                <w:color w:val="auto"/>
                <w:szCs w:val="21"/>
              </w:rPr>
              <w:t>2.培训方案的完整性与可执行性：培训计划全面详实、结构清晰、步骤具体，时间安排与资源配置合理，具备明确、可落地的执行路径。</w:t>
            </w:r>
          </w:p>
          <w:p w14:paraId="2E31B34C">
            <w:pPr>
              <w:jc w:val="left"/>
              <w:rPr>
                <w:color w:val="auto"/>
                <w:szCs w:val="21"/>
              </w:rPr>
            </w:pPr>
            <w:r>
              <w:rPr>
                <w:rFonts w:hint="eastAsia"/>
                <w:color w:val="auto"/>
                <w:szCs w:val="21"/>
              </w:rPr>
              <w:t>（评审范围：2, 1, 0.5, 0）</w:t>
            </w:r>
          </w:p>
          <w:p w14:paraId="2BCF0647">
            <w:pPr>
              <w:jc w:val="left"/>
              <w:rPr>
                <w:color w:val="auto"/>
                <w:szCs w:val="21"/>
              </w:rPr>
            </w:pPr>
            <w:r>
              <w:rPr>
                <w:rFonts w:hint="eastAsia"/>
                <w:color w:val="auto"/>
                <w:lang w:val="en-US" w:eastAsia="zh-CN"/>
              </w:rPr>
              <w:t>3.</w:t>
            </w:r>
            <w:r>
              <w:rPr>
                <w:rFonts w:hint="eastAsia"/>
                <w:color w:val="auto"/>
                <w:szCs w:val="21"/>
              </w:rPr>
              <w:t>培训内容的针对性与价值：培训内容紧密贴合本项目软硬件功能、实际教学或业务操作流程，覆盖全面、重点突出、深度得当，能有效提升使用人员的操作与运维能力。</w:t>
            </w:r>
          </w:p>
          <w:p w14:paraId="29226B30">
            <w:pPr>
              <w:jc w:val="left"/>
              <w:rPr>
                <w:color w:val="auto"/>
                <w:szCs w:val="21"/>
              </w:rPr>
            </w:pPr>
            <w:r>
              <w:rPr>
                <w:rFonts w:hint="eastAsia"/>
                <w:color w:val="auto"/>
                <w:szCs w:val="21"/>
              </w:rPr>
              <w:t>（评审范围：1, 0.5, 0）</w:t>
            </w:r>
          </w:p>
          <w:p w14:paraId="42E8F919">
            <w:pPr>
              <w:jc w:val="left"/>
              <w:rPr>
                <w:color w:val="auto"/>
                <w:szCs w:val="21"/>
              </w:rPr>
            </w:pPr>
            <w:r>
              <w:rPr>
                <w:rFonts w:hint="eastAsia"/>
                <w:color w:val="auto"/>
                <w:szCs w:val="21"/>
                <w:lang w:val="en-US" w:eastAsia="zh-CN"/>
              </w:rPr>
              <w:t>4.</w:t>
            </w:r>
            <w:r>
              <w:rPr>
                <w:rFonts w:hint="eastAsia"/>
                <w:color w:val="auto"/>
                <w:szCs w:val="21"/>
              </w:rPr>
              <w:t>培训资源与成果保障的承诺：明确承诺提供具备原厂或权威认证资质的培训师资，规划合理的培训时长与形式（理论与实操结合），并提供可验证的培训成果（如颁发原厂工程师认证证书等）。</w:t>
            </w:r>
          </w:p>
          <w:p w14:paraId="3C0C9F8C">
            <w:pPr>
              <w:jc w:val="left"/>
              <w:rPr>
                <w:b/>
                <w:bCs/>
                <w:color w:val="auto"/>
                <w:szCs w:val="21"/>
              </w:rPr>
            </w:pPr>
            <w:r>
              <w:rPr>
                <w:rFonts w:hint="eastAsia"/>
                <w:color w:val="auto"/>
                <w:szCs w:val="21"/>
              </w:rPr>
              <w:t>（评审范围：1, 0.5, 0）</w:t>
            </w:r>
          </w:p>
        </w:tc>
        <w:tc>
          <w:tcPr>
            <w:tcW w:w="432" w:type="pct"/>
            <w:vAlign w:val="center"/>
          </w:tcPr>
          <w:p w14:paraId="25B7362C">
            <w:pPr>
              <w:jc w:val="center"/>
              <w:rPr>
                <w:color w:val="auto"/>
                <w:szCs w:val="21"/>
              </w:rPr>
            </w:pPr>
            <w:r>
              <w:rPr>
                <w:rFonts w:hint="eastAsia"/>
                <w:color w:val="auto"/>
                <w:szCs w:val="21"/>
              </w:rPr>
              <w:t>4</w:t>
            </w:r>
          </w:p>
        </w:tc>
        <w:tc>
          <w:tcPr>
            <w:tcW w:w="650" w:type="pct"/>
            <w:vAlign w:val="center"/>
          </w:tcPr>
          <w:p w14:paraId="7FEC77A9">
            <w:pPr>
              <w:jc w:val="center"/>
              <w:rPr>
                <w:b/>
                <w:bCs/>
                <w:color w:val="auto"/>
                <w:szCs w:val="21"/>
              </w:rPr>
            </w:pPr>
            <w:r>
              <w:rPr>
                <w:rFonts w:hint="eastAsia"/>
                <w:b/>
                <w:bCs/>
                <w:color w:val="auto"/>
                <w:szCs w:val="21"/>
              </w:rPr>
              <w:t>主观分</w:t>
            </w:r>
          </w:p>
        </w:tc>
        <w:tc>
          <w:tcPr>
            <w:tcW w:w="809" w:type="pct"/>
            <w:vAlign w:val="center"/>
          </w:tcPr>
          <w:p w14:paraId="0DE8AF4D">
            <w:pPr>
              <w:jc w:val="center"/>
              <w:rPr>
                <w:b/>
                <w:bCs/>
                <w:color w:val="auto"/>
                <w:szCs w:val="21"/>
              </w:rPr>
            </w:pPr>
            <w:r>
              <w:rPr>
                <w:rFonts w:hint="eastAsia"/>
                <w:b/>
                <w:bCs/>
                <w:color w:val="auto"/>
                <w:szCs w:val="21"/>
              </w:rPr>
              <w:t>产品培训方案</w:t>
            </w:r>
          </w:p>
          <w:p w14:paraId="33E401C6">
            <w:pPr>
              <w:jc w:val="center"/>
              <w:rPr>
                <w:color w:val="auto"/>
                <w:szCs w:val="21"/>
              </w:rPr>
            </w:pPr>
          </w:p>
        </w:tc>
      </w:tr>
      <w:tr w14:paraId="0C99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6A80C05A">
            <w:pPr>
              <w:jc w:val="left"/>
              <w:rPr>
                <w:color w:val="auto"/>
                <w:szCs w:val="21"/>
              </w:rPr>
            </w:pPr>
            <w:r>
              <w:rPr>
                <w:rFonts w:hint="eastAsia"/>
                <w:color w:val="auto"/>
                <w:szCs w:val="21"/>
              </w:rPr>
              <w:t>13</w:t>
            </w:r>
          </w:p>
        </w:tc>
        <w:tc>
          <w:tcPr>
            <w:tcW w:w="2584" w:type="pct"/>
          </w:tcPr>
          <w:p w14:paraId="41C9F04E">
            <w:pPr>
              <w:jc w:val="left"/>
              <w:rPr>
                <w:b/>
                <w:bCs/>
                <w:color w:val="auto"/>
                <w:szCs w:val="21"/>
              </w:rPr>
            </w:pPr>
            <w:r>
              <w:rPr>
                <w:rFonts w:hint="eastAsia"/>
                <w:b/>
                <w:bCs/>
                <w:color w:val="auto"/>
                <w:szCs w:val="21"/>
              </w:rPr>
              <w:t>投标样品</w:t>
            </w:r>
          </w:p>
        </w:tc>
        <w:tc>
          <w:tcPr>
            <w:tcW w:w="432" w:type="pct"/>
            <w:vAlign w:val="center"/>
          </w:tcPr>
          <w:p w14:paraId="1DFE37BF">
            <w:pPr>
              <w:jc w:val="center"/>
              <w:rPr>
                <w:color w:val="auto"/>
                <w:szCs w:val="21"/>
              </w:rPr>
            </w:pPr>
          </w:p>
        </w:tc>
        <w:tc>
          <w:tcPr>
            <w:tcW w:w="650" w:type="pct"/>
            <w:vAlign w:val="center"/>
          </w:tcPr>
          <w:p w14:paraId="34F88224">
            <w:pPr>
              <w:jc w:val="center"/>
              <w:rPr>
                <w:b/>
                <w:bCs/>
                <w:color w:val="auto"/>
                <w:szCs w:val="21"/>
              </w:rPr>
            </w:pPr>
          </w:p>
        </w:tc>
        <w:tc>
          <w:tcPr>
            <w:tcW w:w="809" w:type="pct"/>
            <w:vAlign w:val="center"/>
          </w:tcPr>
          <w:p w14:paraId="1A1F3918">
            <w:pPr>
              <w:jc w:val="center"/>
              <w:rPr>
                <w:color w:val="auto"/>
                <w:szCs w:val="21"/>
              </w:rPr>
            </w:pPr>
          </w:p>
        </w:tc>
      </w:tr>
      <w:tr w14:paraId="132D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6822BAE3">
            <w:pPr>
              <w:jc w:val="left"/>
              <w:rPr>
                <w:color w:val="auto"/>
                <w:szCs w:val="21"/>
              </w:rPr>
            </w:pPr>
            <w:r>
              <w:rPr>
                <w:rFonts w:hint="eastAsia"/>
                <w:color w:val="auto"/>
                <w:szCs w:val="21"/>
              </w:rPr>
              <w:t>13.1</w:t>
            </w:r>
          </w:p>
        </w:tc>
        <w:tc>
          <w:tcPr>
            <w:tcW w:w="2584" w:type="pct"/>
          </w:tcPr>
          <w:p w14:paraId="49951861">
            <w:pPr>
              <w:jc w:val="left"/>
              <w:rPr>
                <w:color w:val="auto"/>
                <w:szCs w:val="21"/>
              </w:rPr>
            </w:pPr>
            <w:r>
              <w:rPr>
                <w:rFonts w:hint="eastAsia"/>
                <w:b/>
                <w:bCs/>
                <w:color w:val="auto"/>
                <w:szCs w:val="21"/>
              </w:rPr>
              <w:t>功能性要求：</w:t>
            </w:r>
            <w:r>
              <w:rPr>
                <w:rFonts w:hint="eastAsia"/>
                <w:color w:val="auto"/>
                <w:szCs w:val="21"/>
              </w:rPr>
              <w:t>根据样品功能与采购需求的满足程度。</w:t>
            </w:r>
          </w:p>
          <w:p w14:paraId="44D1C3F5">
            <w:pPr>
              <w:jc w:val="left"/>
              <w:rPr>
                <w:color w:val="auto"/>
                <w:szCs w:val="21"/>
              </w:rPr>
            </w:pPr>
            <w:r>
              <w:rPr>
                <w:rFonts w:hint="eastAsia"/>
                <w:color w:val="auto"/>
                <w:szCs w:val="21"/>
              </w:rPr>
              <w:t>包括但不限于：产品设计合理、实用性强，能够实现产品的整体使用功能，满足采购需求等内容。</w:t>
            </w:r>
          </w:p>
          <w:p w14:paraId="5F4687DE">
            <w:pPr>
              <w:jc w:val="left"/>
              <w:rPr>
                <w:b/>
                <w:bCs/>
                <w:color w:val="auto"/>
                <w:szCs w:val="21"/>
              </w:rPr>
            </w:pPr>
            <w:r>
              <w:rPr>
                <w:rFonts w:hint="eastAsia"/>
                <w:color w:val="auto"/>
                <w:szCs w:val="21"/>
              </w:rPr>
              <w:t>（评审范围：1,0.5,0）</w:t>
            </w:r>
          </w:p>
        </w:tc>
        <w:tc>
          <w:tcPr>
            <w:tcW w:w="432" w:type="pct"/>
            <w:vAlign w:val="center"/>
          </w:tcPr>
          <w:p w14:paraId="4124BA62">
            <w:pPr>
              <w:jc w:val="center"/>
              <w:rPr>
                <w:color w:val="auto"/>
                <w:szCs w:val="21"/>
              </w:rPr>
            </w:pPr>
            <w:r>
              <w:rPr>
                <w:rFonts w:hint="eastAsia"/>
                <w:color w:val="auto"/>
                <w:szCs w:val="21"/>
              </w:rPr>
              <w:t>1</w:t>
            </w:r>
          </w:p>
        </w:tc>
        <w:tc>
          <w:tcPr>
            <w:tcW w:w="650" w:type="pct"/>
            <w:vAlign w:val="center"/>
          </w:tcPr>
          <w:p w14:paraId="79EEE471">
            <w:pPr>
              <w:jc w:val="center"/>
              <w:rPr>
                <w:b/>
                <w:bCs/>
                <w:color w:val="auto"/>
                <w:szCs w:val="21"/>
              </w:rPr>
            </w:pPr>
            <w:r>
              <w:rPr>
                <w:rFonts w:hint="eastAsia"/>
                <w:b/>
                <w:bCs/>
                <w:color w:val="auto"/>
                <w:szCs w:val="21"/>
              </w:rPr>
              <w:t>主观分</w:t>
            </w:r>
          </w:p>
        </w:tc>
        <w:tc>
          <w:tcPr>
            <w:tcW w:w="809" w:type="pct"/>
            <w:vAlign w:val="center"/>
          </w:tcPr>
          <w:p w14:paraId="61281210">
            <w:pPr>
              <w:jc w:val="center"/>
              <w:rPr>
                <w:color w:val="auto"/>
                <w:szCs w:val="21"/>
              </w:rPr>
            </w:pPr>
            <w:r>
              <w:rPr>
                <w:rFonts w:hint="eastAsia"/>
                <w:b/>
                <w:bCs/>
                <w:color w:val="auto"/>
                <w:szCs w:val="21"/>
              </w:rPr>
              <w:t>投标样品</w:t>
            </w:r>
          </w:p>
        </w:tc>
      </w:tr>
      <w:tr w14:paraId="4BAB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424D4A97">
            <w:pPr>
              <w:jc w:val="left"/>
              <w:rPr>
                <w:color w:val="auto"/>
                <w:szCs w:val="21"/>
              </w:rPr>
            </w:pPr>
            <w:r>
              <w:rPr>
                <w:rFonts w:hint="eastAsia"/>
                <w:color w:val="auto"/>
                <w:szCs w:val="21"/>
              </w:rPr>
              <w:t>13.2</w:t>
            </w:r>
          </w:p>
        </w:tc>
        <w:tc>
          <w:tcPr>
            <w:tcW w:w="2584" w:type="pct"/>
          </w:tcPr>
          <w:p w14:paraId="21FD96AD">
            <w:pPr>
              <w:jc w:val="left"/>
              <w:rPr>
                <w:b/>
                <w:bCs/>
                <w:color w:val="auto"/>
                <w:szCs w:val="21"/>
              </w:rPr>
            </w:pPr>
            <w:r>
              <w:rPr>
                <w:rFonts w:hint="eastAsia"/>
                <w:b/>
                <w:bCs/>
                <w:color w:val="auto"/>
                <w:szCs w:val="21"/>
              </w:rPr>
              <w:t>外观要求：</w:t>
            </w:r>
          </w:p>
          <w:p w14:paraId="4BDDEFF1">
            <w:pPr>
              <w:jc w:val="left"/>
              <w:rPr>
                <w:color w:val="auto"/>
                <w:szCs w:val="21"/>
              </w:rPr>
            </w:pPr>
            <w:r>
              <w:rPr>
                <w:rFonts w:hint="eastAsia"/>
                <w:color w:val="auto"/>
                <w:szCs w:val="21"/>
              </w:rPr>
              <w:t>1.样品的外观、款式造型、纹理、颜色、色调搭配合理性及协调性；（评审范围：1,0.5,0）</w:t>
            </w:r>
          </w:p>
          <w:p w14:paraId="743DF514">
            <w:pPr>
              <w:jc w:val="left"/>
              <w:rPr>
                <w:color w:val="auto"/>
                <w:szCs w:val="21"/>
              </w:rPr>
            </w:pPr>
            <w:r>
              <w:rPr>
                <w:rFonts w:hint="eastAsia"/>
                <w:color w:val="auto"/>
                <w:szCs w:val="21"/>
              </w:rPr>
              <w:t>2.所有零部件（如主体结构部件、附属装饰部件、功能配件等）完整无缺，且部件之间搭配合理，无错装、漏装现象。表面无任何损伤、划痕、裂缝、变形等缺陷，涂层或饰面平整光滑，色泽均匀一致等内容。</w:t>
            </w:r>
          </w:p>
          <w:p w14:paraId="599925C5">
            <w:pPr>
              <w:jc w:val="left"/>
              <w:rPr>
                <w:b/>
                <w:bCs/>
                <w:color w:val="auto"/>
                <w:szCs w:val="21"/>
              </w:rPr>
            </w:pPr>
            <w:r>
              <w:rPr>
                <w:rFonts w:hint="eastAsia"/>
                <w:color w:val="auto"/>
                <w:szCs w:val="21"/>
              </w:rPr>
              <w:t>（评审范围：1,0.5,0）</w:t>
            </w:r>
          </w:p>
        </w:tc>
        <w:tc>
          <w:tcPr>
            <w:tcW w:w="432" w:type="pct"/>
            <w:vAlign w:val="center"/>
          </w:tcPr>
          <w:p w14:paraId="22BCA782">
            <w:pPr>
              <w:jc w:val="center"/>
              <w:rPr>
                <w:color w:val="auto"/>
                <w:szCs w:val="21"/>
              </w:rPr>
            </w:pPr>
            <w:r>
              <w:rPr>
                <w:rFonts w:hint="eastAsia"/>
                <w:color w:val="auto"/>
                <w:szCs w:val="21"/>
              </w:rPr>
              <w:t>2</w:t>
            </w:r>
          </w:p>
        </w:tc>
        <w:tc>
          <w:tcPr>
            <w:tcW w:w="650" w:type="pct"/>
            <w:vAlign w:val="center"/>
          </w:tcPr>
          <w:p w14:paraId="13D5760E">
            <w:pPr>
              <w:jc w:val="center"/>
              <w:rPr>
                <w:b/>
                <w:bCs/>
                <w:color w:val="auto"/>
                <w:szCs w:val="21"/>
              </w:rPr>
            </w:pPr>
            <w:r>
              <w:rPr>
                <w:rFonts w:hint="eastAsia"/>
                <w:b/>
                <w:bCs/>
                <w:color w:val="auto"/>
                <w:szCs w:val="21"/>
              </w:rPr>
              <w:t>主观分</w:t>
            </w:r>
          </w:p>
        </w:tc>
        <w:tc>
          <w:tcPr>
            <w:tcW w:w="809" w:type="pct"/>
            <w:vAlign w:val="center"/>
          </w:tcPr>
          <w:p w14:paraId="1A433DD2">
            <w:pPr>
              <w:jc w:val="center"/>
              <w:rPr>
                <w:color w:val="auto"/>
                <w:szCs w:val="21"/>
              </w:rPr>
            </w:pPr>
            <w:r>
              <w:rPr>
                <w:rFonts w:hint="eastAsia"/>
                <w:b/>
                <w:bCs/>
                <w:color w:val="auto"/>
                <w:szCs w:val="21"/>
              </w:rPr>
              <w:t>投标样品</w:t>
            </w:r>
          </w:p>
        </w:tc>
      </w:tr>
      <w:tr w14:paraId="7FDB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3797ECEB">
            <w:pPr>
              <w:jc w:val="left"/>
              <w:rPr>
                <w:color w:val="auto"/>
                <w:szCs w:val="21"/>
              </w:rPr>
            </w:pPr>
            <w:r>
              <w:rPr>
                <w:rFonts w:hint="eastAsia"/>
                <w:color w:val="auto"/>
                <w:szCs w:val="21"/>
              </w:rPr>
              <w:t>13.3</w:t>
            </w:r>
          </w:p>
        </w:tc>
        <w:tc>
          <w:tcPr>
            <w:tcW w:w="2584" w:type="pct"/>
          </w:tcPr>
          <w:p w14:paraId="39F610A3">
            <w:pPr>
              <w:jc w:val="left"/>
              <w:rPr>
                <w:color w:val="auto"/>
                <w:szCs w:val="21"/>
              </w:rPr>
            </w:pPr>
            <w:r>
              <w:rPr>
                <w:rFonts w:hint="eastAsia"/>
                <w:b/>
                <w:bCs/>
                <w:color w:val="auto"/>
                <w:szCs w:val="21"/>
              </w:rPr>
              <w:t>制作工艺及结构稳定性要求：</w:t>
            </w:r>
            <w:r>
              <w:rPr>
                <w:rFonts w:hint="eastAsia"/>
                <w:color w:val="auto"/>
                <w:szCs w:val="21"/>
              </w:rPr>
              <w:t>根据样品制作工艺、结构稳定性与采购需求的满足程度。</w:t>
            </w:r>
          </w:p>
          <w:p w14:paraId="12DE35E9">
            <w:pPr>
              <w:jc w:val="left"/>
              <w:rPr>
                <w:color w:val="auto"/>
                <w:szCs w:val="21"/>
              </w:rPr>
            </w:pPr>
            <w:r>
              <w:rPr>
                <w:rFonts w:hint="eastAsia"/>
                <w:color w:val="auto"/>
                <w:szCs w:val="21"/>
              </w:rPr>
              <w:t>1.制作工艺包括但不限于：部件的非交接面应进行封边处理，部件在接触人体或贮物部位没有毛刺、刃口或棱角，不会给使用者造成任何伤害；板件或部件外表应光滑，塞角、零部件等结合处不应断裂；固定螺丝位置科学，无翘脚情况；各种配件、连接件安装不应有少件、漏钉、透钉（预留孔、选择孔除外）；各种配件特别是连接件安装严密、平整、牢固，结合处无开裂或松动。</w:t>
            </w:r>
          </w:p>
          <w:p w14:paraId="2BA6A4DF">
            <w:pPr>
              <w:jc w:val="left"/>
              <w:rPr>
                <w:color w:val="auto"/>
                <w:szCs w:val="21"/>
              </w:rPr>
            </w:pPr>
            <w:r>
              <w:rPr>
                <w:rFonts w:hint="eastAsia"/>
                <w:color w:val="auto"/>
                <w:szCs w:val="21"/>
              </w:rPr>
              <w:t>（评审范围：1,0.5,0）</w:t>
            </w:r>
          </w:p>
          <w:p w14:paraId="2F124797">
            <w:pPr>
              <w:jc w:val="left"/>
              <w:rPr>
                <w:color w:val="auto"/>
                <w:szCs w:val="21"/>
              </w:rPr>
            </w:pPr>
            <w:r>
              <w:rPr>
                <w:rFonts w:hint="eastAsia"/>
                <w:color w:val="auto"/>
                <w:szCs w:val="21"/>
              </w:rPr>
              <w:t>2.结构稳定性包括但不限于：整体结构稳固、稳定性好，落地平整无晃动，无可导致安全问题的部位或部件。</w:t>
            </w:r>
          </w:p>
          <w:p w14:paraId="79708F05">
            <w:pPr>
              <w:jc w:val="left"/>
              <w:rPr>
                <w:b/>
                <w:bCs/>
                <w:color w:val="auto"/>
                <w:szCs w:val="21"/>
              </w:rPr>
            </w:pPr>
            <w:r>
              <w:rPr>
                <w:rFonts w:hint="eastAsia"/>
                <w:color w:val="auto"/>
                <w:szCs w:val="21"/>
              </w:rPr>
              <w:t>（评审范围：1,0.5,0）</w:t>
            </w:r>
          </w:p>
        </w:tc>
        <w:tc>
          <w:tcPr>
            <w:tcW w:w="432" w:type="pct"/>
            <w:vAlign w:val="center"/>
          </w:tcPr>
          <w:p w14:paraId="520A7B59">
            <w:pPr>
              <w:jc w:val="center"/>
              <w:rPr>
                <w:color w:val="auto"/>
                <w:szCs w:val="21"/>
              </w:rPr>
            </w:pPr>
            <w:r>
              <w:rPr>
                <w:rFonts w:hint="eastAsia"/>
                <w:color w:val="auto"/>
                <w:szCs w:val="21"/>
              </w:rPr>
              <w:t>2</w:t>
            </w:r>
          </w:p>
        </w:tc>
        <w:tc>
          <w:tcPr>
            <w:tcW w:w="650" w:type="pct"/>
            <w:vAlign w:val="center"/>
          </w:tcPr>
          <w:p w14:paraId="1602813B">
            <w:pPr>
              <w:jc w:val="center"/>
              <w:rPr>
                <w:b/>
                <w:bCs/>
                <w:color w:val="auto"/>
                <w:szCs w:val="21"/>
              </w:rPr>
            </w:pPr>
            <w:r>
              <w:rPr>
                <w:rFonts w:hint="eastAsia"/>
                <w:b/>
                <w:bCs/>
                <w:color w:val="auto"/>
                <w:szCs w:val="21"/>
              </w:rPr>
              <w:t>主观分</w:t>
            </w:r>
          </w:p>
        </w:tc>
        <w:tc>
          <w:tcPr>
            <w:tcW w:w="809" w:type="pct"/>
            <w:vAlign w:val="center"/>
          </w:tcPr>
          <w:p w14:paraId="31BBCB11">
            <w:pPr>
              <w:jc w:val="center"/>
              <w:rPr>
                <w:color w:val="auto"/>
                <w:szCs w:val="21"/>
              </w:rPr>
            </w:pPr>
            <w:r>
              <w:rPr>
                <w:rFonts w:hint="eastAsia"/>
                <w:b/>
                <w:bCs/>
                <w:color w:val="auto"/>
                <w:szCs w:val="21"/>
              </w:rPr>
              <w:t>投标样品</w:t>
            </w:r>
          </w:p>
        </w:tc>
      </w:tr>
      <w:tr w14:paraId="161F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tcPr>
          <w:p w14:paraId="61C84156">
            <w:pPr>
              <w:jc w:val="left"/>
              <w:rPr>
                <w:color w:val="auto"/>
                <w:szCs w:val="21"/>
              </w:rPr>
            </w:pPr>
            <w:r>
              <w:rPr>
                <w:rFonts w:hint="eastAsia"/>
                <w:color w:val="auto"/>
                <w:szCs w:val="21"/>
              </w:rPr>
              <w:t>14</w:t>
            </w:r>
          </w:p>
        </w:tc>
        <w:tc>
          <w:tcPr>
            <w:tcW w:w="2584" w:type="pct"/>
          </w:tcPr>
          <w:p w14:paraId="64557A8C">
            <w:pPr>
              <w:jc w:val="left"/>
              <w:rPr>
                <w:color w:val="auto"/>
                <w:szCs w:val="21"/>
              </w:rPr>
            </w:pPr>
            <w:r>
              <w:rPr>
                <w:rFonts w:hint="eastAsia"/>
                <w:color w:val="auto"/>
                <w:szCs w:val="21"/>
              </w:rPr>
              <w:t>有效投标报价的最低价作为评标基准价，其最低报价为满分；按［投标报价得分=（评标基准价/投标报价）*最高分值］的计算公式计算。</w:t>
            </w:r>
          </w:p>
          <w:p w14:paraId="09976926">
            <w:pPr>
              <w:jc w:val="left"/>
              <w:rPr>
                <w:color w:val="auto"/>
                <w:szCs w:val="21"/>
              </w:rPr>
            </w:pPr>
            <w:r>
              <w:rPr>
                <w:rFonts w:hint="eastAsia"/>
                <w:color w:val="auto"/>
                <w:szCs w:val="21"/>
              </w:rPr>
              <w:t>评标过程中，不得去掉报价中的最高报价和最低报价。</w:t>
            </w:r>
          </w:p>
          <w:p w14:paraId="3080A329">
            <w:pPr>
              <w:jc w:val="left"/>
              <w:rPr>
                <w:color w:val="auto"/>
                <w:szCs w:val="21"/>
              </w:rPr>
            </w:pPr>
            <w:r>
              <w:rPr>
                <w:rFonts w:hint="eastAsia"/>
                <w:color w:val="auto"/>
                <w:szCs w:val="21"/>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1CC912DC">
            <w:pPr>
              <w:jc w:val="left"/>
              <w:rPr>
                <w:color w:val="auto"/>
                <w:szCs w:val="21"/>
              </w:rPr>
            </w:pPr>
            <w:r>
              <w:rPr>
                <w:rFonts w:hint="eastAsia"/>
                <w:color w:val="auto"/>
                <w:szCs w:val="21"/>
              </w:rPr>
              <w:t>对于未预留份额专门面向中小企业的政府采购货物项目，以及预留份额政府采购货物项目中的非预留部分标项，对小型和微型企业的投标报价给予</w:t>
            </w:r>
            <w:r>
              <w:rPr>
                <w:rFonts w:hint="eastAsia"/>
                <w:b/>
                <w:color w:val="auto"/>
                <w:szCs w:val="21"/>
                <w:u w:val="single"/>
              </w:rPr>
              <w:t>10%</w:t>
            </w:r>
            <w:r>
              <w:rPr>
                <w:rFonts w:hint="eastAsia"/>
                <w:color w:val="auto"/>
                <w:szCs w:val="21"/>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b/>
                <w:color w:val="auto"/>
                <w:szCs w:val="21"/>
                <w:u w:val="single"/>
              </w:rPr>
              <w:t>4%</w:t>
            </w:r>
            <w:r>
              <w:rPr>
                <w:rFonts w:hint="eastAsia"/>
                <w:color w:val="auto"/>
                <w:szCs w:val="21"/>
              </w:rPr>
              <w:t>的扣除，用扣除后的价格参加评审。</w:t>
            </w:r>
          </w:p>
          <w:p w14:paraId="5652D801">
            <w:pPr>
              <w:jc w:val="left"/>
              <w:rPr>
                <w:color w:val="auto"/>
                <w:szCs w:val="21"/>
              </w:rPr>
            </w:pPr>
          </w:p>
        </w:tc>
        <w:tc>
          <w:tcPr>
            <w:tcW w:w="432" w:type="pct"/>
            <w:vAlign w:val="center"/>
          </w:tcPr>
          <w:p w14:paraId="4EBF0823">
            <w:pPr>
              <w:jc w:val="center"/>
              <w:rPr>
                <w:color w:val="auto"/>
                <w:szCs w:val="21"/>
              </w:rPr>
            </w:pPr>
            <w:r>
              <w:rPr>
                <w:rFonts w:hint="eastAsia"/>
                <w:color w:val="auto"/>
                <w:szCs w:val="21"/>
              </w:rPr>
              <w:t>30</w:t>
            </w:r>
          </w:p>
        </w:tc>
        <w:tc>
          <w:tcPr>
            <w:tcW w:w="650" w:type="pct"/>
            <w:vAlign w:val="center"/>
          </w:tcPr>
          <w:p w14:paraId="15C19587">
            <w:pPr>
              <w:jc w:val="center"/>
              <w:rPr>
                <w:color w:val="auto"/>
                <w:szCs w:val="21"/>
              </w:rPr>
            </w:pPr>
            <w:r>
              <w:rPr>
                <w:rFonts w:hint="eastAsia"/>
                <w:color w:val="auto"/>
                <w:szCs w:val="21"/>
              </w:rPr>
              <w:t>/</w:t>
            </w:r>
          </w:p>
        </w:tc>
        <w:tc>
          <w:tcPr>
            <w:tcW w:w="809" w:type="pct"/>
            <w:vAlign w:val="center"/>
          </w:tcPr>
          <w:p w14:paraId="44495954">
            <w:pPr>
              <w:jc w:val="center"/>
              <w:rPr>
                <w:color w:val="auto"/>
                <w:szCs w:val="21"/>
              </w:rPr>
            </w:pPr>
            <w:r>
              <w:rPr>
                <w:rFonts w:hint="eastAsia"/>
                <w:color w:val="auto"/>
                <w:szCs w:val="21"/>
              </w:rPr>
              <w:t>/</w:t>
            </w:r>
          </w:p>
        </w:tc>
      </w:tr>
    </w:tbl>
    <w:p w14:paraId="32292249">
      <w:pPr>
        <w:snapToGrid w:val="0"/>
        <w:spacing w:line="360" w:lineRule="auto"/>
        <w:rPr>
          <w:rFonts w:ascii="宋体" w:hAnsi="宋体" w:cs="宋体"/>
          <w:b/>
          <w:color w:val="auto"/>
          <w:sz w:val="24"/>
        </w:rPr>
      </w:pPr>
      <w:r>
        <w:rPr>
          <w:rFonts w:hint="eastAsia" w:ascii="宋体" w:hAnsi="宋体" w:cs="宋体"/>
          <w:color w:val="auto"/>
          <w:sz w:val="20"/>
          <w:szCs w:val="20"/>
          <w:shd w:val="clear" w:color="auto" w:fill="FFFFFF"/>
        </w:rPr>
        <w:t> *</w:t>
      </w:r>
      <w:r>
        <w:rPr>
          <w:rFonts w:hint="eastAsia" w:ascii="宋体" w:hAnsi="宋体" w:cs="宋体"/>
          <w:b/>
          <w:color w:val="auto"/>
          <w:sz w:val="24"/>
        </w:rPr>
        <w:t>备注：</w:t>
      </w:r>
      <w:r>
        <w:rPr>
          <w:rFonts w:hint="eastAsia" w:ascii="宋体" w:hAnsi="宋体" w:cs="宋体"/>
          <w:color w:val="auto"/>
          <w:sz w:val="24"/>
        </w:rPr>
        <w:t>投标人编制投标文件（商务技术文件部分）时，建议按此目录（序号和内容）提供评标标准相应的商务技术资料。 </w:t>
      </w:r>
    </w:p>
    <w:p w14:paraId="5D213C69">
      <w:pPr>
        <w:snapToGrid w:val="0"/>
        <w:spacing w:line="360" w:lineRule="auto"/>
        <w:rPr>
          <w:rFonts w:ascii="宋体" w:hAnsi="宋体" w:cs="宋体"/>
          <w:b/>
          <w:color w:val="auto"/>
          <w:sz w:val="28"/>
          <w:szCs w:val="28"/>
        </w:rPr>
      </w:pPr>
      <w:r>
        <w:rPr>
          <w:rFonts w:hint="eastAsia" w:ascii="宋体" w:hAnsi="宋体" w:cs="宋体"/>
          <w:b/>
          <w:color w:val="auto"/>
          <w:sz w:val="32"/>
        </w:rPr>
        <w:t>一、评标方法</w:t>
      </w:r>
    </w:p>
    <w:p w14:paraId="3C08E412">
      <w:pPr>
        <w:adjustRightInd/>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1.本项目采用综合评分法。</w:t>
      </w:r>
      <w:r>
        <w:rPr>
          <w:rFonts w:hint="eastAsia" w:ascii="宋体" w:hAnsi="宋体" w:cs="宋体"/>
          <w:color w:val="auto"/>
          <w:kern w:val="0"/>
          <w:sz w:val="24"/>
        </w:rPr>
        <w:t>综合评分法，是指投标文件满足招标文件全部实质性要求，且按照评审因素的量化指标评审得分最高的投标人为中标候选人的评标方法。</w:t>
      </w:r>
    </w:p>
    <w:p w14:paraId="09A093D5">
      <w:pPr>
        <w:adjustRightInd/>
        <w:spacing w:line="360" w:lineRule="auto"/>
        <w:rPr>
          <w:rFonts w:ascii="宋体" w:hAnsi="宋体" w:cs="宋体"/>
          <w:color w:val="auto"/>
          <w:kern w:val="0"/>
          <w:sz w:val="24"/>
        </w:rPr>
      </w:pPr>
      <w:r>
        <w:rPr>
          <w:rFonts w:hint="eastAsia" w:ascii="宋体" w:hAnsi="宋体" w:cs="宋体"/>
          <w:b/>
          <w:color w:val="auto"/>
          <w:sz w:val="32"/>
        </w:rPr>
        <w:t>二、评标标准</w:t>
      </w:r>
    </w:p>
    <w:p w14:paraId="68386DEB">
      <w:pPr>
        <w:spacing w:line="360" w:lineRule="auto"/>
        <w:ind w:firstLine="472" w:firstLineChars="196"/>
        <w:rPr>
          <w:rFonts w:ascii="宋体" w:hAnsi="宋体" w:cs="宋体"/>
          <w:b/>
          <w:color w:val="auto"/>
          <w:sz w:val="24"/>
        </w:rPr>
      </w:pPr>
      <w:r>
        <w:rPr>
          <w:rFonts w:hint="eastAsia" w:ascii="宋体" w:hAnsi="宋体" w:cs="宋体"/>
          <w:b/>
          <w:color w:val="auto"/>
          <w:sz w:val="24"/>
        </w:rPr>
        <w:t>2.</w:t>
      </w:r>
      <w:r>
        <w:rPr>
          <w:rFonts w:hint="eastAsia" w:ascii="宋体" w:hAnsi="宋体" w:cs="宋体"/>
          <w:color w:val="auto"/>
        </w:rPr>
        <w:t xml:space="preserve"> </w:t>
      </w:r>
      <w:r>
        <w:rPr>
          <w:rFonts w:hint="eastAsia" w:ascii="宋体" w:hAnsi="宋体" w:cs="宋体"/>
          <w:b/>
          <w:color w:val="auto"/>
          <w:sz w:val="24"/>
        </w:rPr>
        <w:t>评标标准：</w:t>
      </w:r>
      <w:r>
        <w:rPr>
          <w:rFonts w:hint="eastAsia" w:ascii="宋体" w:hAnsi="宋体" w:cs="宋体"/>
          <w:color w:val="auto"/>
          <w:kern w:val="0"/>
          <w:sz w:val="24"/>
        </w:rPr>
        <w:t>见评标办法前附表。</w:t>
      </w:r>
    </w:p>
    <w:p w14:paraId="5AE25B95">
      <w:pPr>
        <w:spacing w:line="360" w:lineRule="auto"/>
        <w:outlineLvl w:val="0"/>
        <w:rPr>
          <w:rFonts w:ascii="宋体" w:hAnsi="宋体" w:cs="宋体"/>
          <w:b/>
          <w:color w:val="auto"/>
          <w:sz w:val="36"/>
          <w:szCs w:val="36"/>
        </w:rPr>
      </w:pPr>
      <w:r>
        <w:rPr>
          <w:rFonts w:hint="eastAsia" w:ascii="宋体" w:hAnsi="宋体" w:cs="宋体"/>
          <w:b/>
          <w:color w:val="auto"/>
          <w:sz w:val="36"/>
          <w:szCs w:val="36"/>
        </w:rPr>
        <w:t>三、评标程序</w:t>
      </w:r>
    </w:p>
    <w:p w14:paraId="751F6087">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3.1符合性审查。</w:t>
      </w:r>
      <w:r>
        <w:rPr>
          <w:rFonts w:hint="eastAsia" w:ascii="宋体" w:hAnsi="宋体" w:cs="宋体"/>
          <w:color w:val="auto"/>
          <w:kern w:val="0"/>
          <w:sz w:val="24"/>
        </w:rPr>
        <w:t>评标委员会应当对符合资格的投标人的投标文件进行符合性审查，以确定其是否满足招标文件的实质性要求。不满足招标文件的实质性要求的，投标无效。</w:t>
      </w:r>
    </w:p>
    <w:p w14:paraId="38D0FA6B">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3.2 比较与评价。</w:t>
      </w:r>
      <w:r>
        <w:rPr>
          <w:rFonts w:hint="eastAsia" w:ascii="宋体" w:hAnsi="宋体" w:cs="宋体"/>
          <w:color w:val="auto"/>
          <w:kern w:val="0"/>
          <w:sz w:val="24"/>
        </w:rPr>
        <w:t>评标委员会应当按照招标文件中规定的评标方法和标准，对符合性审查合格的投标文件进行商务和技术评估，综合比较与评价。</w:t>
      </w:r>
    </w:p>
    <w:p w14:paraId="6693E86A">
      <w:pPr>
        <w:spacing w:line="360" w:lineRule="auto"/>
        <w:ind w:firstLine="472" w:firstLineChars="196"/>
        <w:rPr>
          <w:rFonts w:ascii="宋体" w:hAnsi="宋体" w:cs="宋体"/>
          <w:kern w:val="0"/>
          <w:sz w:val="24"/>
        </w:rPr>
      </w:pPr>
      <w:r>
        <w:rPr>
          <w:rFonts w:hint="eastAsia" w:ascii="宋体" w:hAnsi="宋体" w:cs="宋体"/>
          <w:b/>
          <w:color w:val="auto"/>
          <w:kern w:val="0"/>
          <w:sz w:val="24"/>
        </w:rPr>
        <w:t>3.3汇总商务技术得分。</w:t>
      </w:r>
      <w:r>
        <w:rPr>
          <w:rFonts w:hint="eastAsia" w:ascii="宋体" w:hAnsi="宋体" w:cs="宋体"/>
          <w:color w:val="auto"/>
          <w:kern w:val="0"/>
          <w:sz w:val="24"/>
        </w:rPr>
        <w:t>评标委员会各成员应当独立对每个投标人的商务和技术文件进行评价，并汇总商务技术得分情况。</w:t>
      </w:r>
    </w:p>
    <w:p w14:paraId="46677E4A">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6273DE90">
      <w:pPr>
        <w:pStyle w:val="143"/>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1B43D181">
      <w:pPr>
        <w:pStyle w:val="143"/>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35A173DF">
      <w:pPr>
        <w:pStyle w:val="143"/>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7F307898">
      <w:pPr>
        <w:pStyle w:val="143"/>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0634DB84">
      <w:pPr>
        <w:pStyle w:val="143"/>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06177B72">
      <w:pPr>
        <w:pStyle w:val="143"/>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1EA37A81">
      <w:pPr>
        <w:widowControl/>
        <w:shd w:val="clear" w:color="auto" w:fill="FFFFFF"/>
        <w:spacing w:line="480" w:lineRule="atLeast"/>
        <w:ind w:firstLine="640"/>
        <w:textAlignment w:val="baseline"/>
        <w:rPr>
          <w:rFonts w:ascii="宋体" w:hAnsi="宋体" w:cs="宋体"/>
          <w:kern w:val="0"/>
          <w:sz w:val="24"/>
          <w:shd w:val="clear" w:color="auto" w:fill="FFFFFF"/>
        </w:rPr>
      </w:pPr>
      <w:r>
        <w:rPr>
          <w:rFonts w:hint="eastAsia" w:ascii="宋体" w:hAnsi="宋体" w:cs="宋体"/>
          <w:kern w:val="0"/>
          <w:sz w:val="24"/>
        </w:rPr>
        <w:t>3.4.2</w:t>
      </w:r>
      <w:r>
        <w:rPr>
          <w:rFonts w:hint="eastAsia" w:ascii="宋体" w:hAnsi="宋体" w:cs="宋体"/>
          <w:kern w:val="0"/>
          <w:sz w:val="24"/>
          <w:shd w:val="clear" w:color="auto" w:fill="FFFFFF"/>
        </w:rPr>
        <w:t>政府采购评审中出现招标文件第二部分投标人须知《前附表》“报价要求”第（2）条所列情形之一的，评审委员会应当启动异常低价投标（响应）审查程序。</w:t>
      </w:r>
    </w:p>
    <w:p w14:paraId="474BD485">
      <w:pPr>
        <w:widowControl/>
        <w:shd w:val="clear" w:color="auto" w:fill="FFFFFF"/>
        <w:spacing w:after="120" w:afterLines="50" w:line="480" w:lineRule="atLeast"/>
        <w:ind w:firstLine="641"/>
        <w:textAlignment w:val="baseline"/>
        <w:rPr>
          <w:rFonts w:ascii="宋体" w:hAnsi="宋体" w:cs="宋体"/>
          <w:kern w:val="0"/>
          <w:sz w:val="24"/>
          <w:shd w:val="clear" w:color="auto" w:fill="FFFFFF"/>
        </w:rPr>
      </w:pPr>
      <w:r>
        <w:rPr>
          <w:rFonts w:hint="eastAsia" w:ascii="宋体" w:hAnsi="宋体" w:cs="宋体"/>
          <w:kern w:val="0"/>
          <w:sz w:val="24"/>
          <w:shd w:val="clear" w:color="auto" w:fill="FFFFFF"/>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835D6C1">
      <w:pPr>
        <w:pStyle w:val="143"/>
        <w:spacing w:before="0"/>
        <w:ind w:firstLine="480"/>
        <w:rPr>
          <w:rFonts w:ascii="宋体" w:hAnsi="宋体" w:cs="宋体"/>
          <w:kern w:val="0"/>
          <w:szCs w:val="24"/>
        </w:rPr>
      </w:pPr>
      <w:r>
        <w:rPr>
          <w:rFonts w:hint="eastAsia" w:ascii="宋体" w:hAnsi="宋体" w:cs="宋体"/>
          <w:kern w:val="0"/>
          <w:szCs w:val="24"/>
        </w:rPr>
        <w:t>3.4.3对于未预留份额专门面向中小企业的政府采购货物项目，以及预留份额政府采购货物项目中的非预留部分标项，对小型和微型企业的投标报价给予10%-</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p>
    <w:p w14:paraId="08D779FE">
      <w:pPr>
        <w:spacing w:line="360" w:lineRule="auto"/>
        <w:ind w:firstLine="480" w:firstLineChars="200"/>
        <w:rPr>
          <w:rFonts w:ascii="宋体" w:hAnsi="宋体" w:cs="宋体"/>
          <w:b/>
          <w:kern w:val="0"/>
          <w:sz w:val="24"/>
        </w:rPr>
      </w:pPr>
      <w:r>
        <w:rPr>
          <w:rFonts w:hint="eastAsia" w:ascii="宋体" w:hAnsi="宋体" w:cs="宋体"/>
          <w:bCs/>
          <w:kern w:val="0"/>
          <w:sz w:val="24"/>
        </w:rPr>
        <w:t>3.4.4</w:t>
      </w:r>
      <w:r>
        <w:rPr>
          <w:rFonts w:hint="eastAsia" w:ascii="宋体" w:hAnsi="宋体" w:cs="宋体"/>
          <w:b/>
          <w:kern w:val="0"/>
          <w:sz w:val="24"/>
        </w:rPr>
        <w:t xml:space="preserve"> </w:t>
      </w:r>
      <w:r>
        <w:rPr>
          <w:rFonts w:hint="eastAsia" w:ascii="宋体" w:hAnsi="宋体" w:cs="宋体"/>
          <w:sz w:val="24"/>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1D9F0DCA">
      <w:pPr>
        <w:spacing w:line="360" w:lineRule="auto"/>
        <w:ind w:firstLine="482" w:firstLineChars="200"/>
        <w:rPr>
          <w:rFonts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680D8FD">
      <w:pPr>
        <w:spacing w:line="360" w:lineRule="auto"/>
        <w:ind w:firstLine="480" w:firstLineChars="200"/>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B662907">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6B8AD62">
      <w:pPr>
        <w:widowControl/>
        <w:shd w:val="clear" w:color="auto" w:fill="FFFFFF"/>
        <w:adjustRightInd/>
        <w:spacing w:after="225" w:line="315" w:lineRule="atLeast"/>
        <w:jc w:val="left"/>
        <w:rPr>
          <w:rFonts w:ascii="宋体" w:hAnsi="宋体" w:cs="宋体"/>
          <w:b/>
          <w:sz w:val="32"/>
        </w:rPr>
      </w:pPr>
      <w:r>
        <w:rPr>
          <w:rFonts w:hint="eastAsia" w:ascii="宋体" w:hAnsi="宋体" w:cs="宋体"/>
          <w:b/>
          <w:sz w:val="32"/>
        </w:rPr>
        <w:t>四、评标中的其他事项</w:t>
      </w:r>
    </w:p>
    <w:p w14:paraId="65BD0EC8">
      <w:pPr>
        <w:pStyle w:val="143"/>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BCE3357">
      <w:pPr>
        <w:pStyle w:val="24"/>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32C966E8">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7D1CF16C">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353B5C2A">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7AA1B5C7">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3957113E">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4546DE02">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5B455C9C">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00B425DD">
      <w:pPr>
        <w:spacing w:line="360" w:lineRule="auto"/>
        <w:ind w:firstLine="480" w:firstLineChars="200"/>
        <w:rPr>
          <w:rFonts w:ascii="宋体" w:hAnsi="宋体" w:cs="宋体"/>
          <w:kern w:val="0"/>
          <w:sz w:val="24"/>
        </w:rPr>
      </w:pPr>
      <w:r>
        <w:rPr>
          <w:rFonts w:hint="eastAsia" w:ascii="宋体" w:hAnsi="宋体" w:cs="宋体"/>
          <w:kern w:val="0"/>
          <w:sz w:val="24"/>
        </w:rPr>
        <w:t>4.2.8投标人对根据修正原则修正后的报价不确认的；</w:t>
      </w:r>
    </w:p>
    <w:p w14:paraId="3AF2C7F7">
      <w:pPr>
        <w:spacing w:line="360" w:lineRule="auto"/>
        <w:ind w:firstLine="480" w:firstLineChars="200"/>
        <w:rPr>
          <w:rFonts w:ascii="宋体" w:hAnsi="宋体" w:cs="宋体"/>
          <w:kern w:val="0"/>
          <w:sz w:val="24"/>
        </w:rPr>
      </w:pPr>
      <w:r>
        <w:rPr>
          <w:rFonts w:hint="eastAsia" w:ascii="宋体" w:hAnsi="宋体" w:cs="宋体"/>
          <w:kern w:val="0"/>
          <w:sz w:val="24"/>
        </w:rPr>
        <w:t xml:space="preserve">4.2.9 </w:t>
      </w:r>
      <w:r>
        <w:rPr>
          <w:rFonts w:hint="eastAsia" w:ascii="宋体" w:hAnsi="宋体" w:cs="宋体"/>
          <w:kern w:val="0"/>
          <w:sz w:val="24"/>
          <w:shd w:val="clear" w:color="auto" w:fill="FFFFFF"/>
        </w:rPr>
        <w:t>评审委员会启动异常低价投标（响应）审查后，投标（响应）供应商不能提供书面说明、证明材料，或者提供的书面说明、证明材料不能证明其报价合理性的</w:t>
      </w:r>
      <w:r>
        <w:rPr>
          <w:rFonts w:hint="eastAsia" w:ascii="宋体" w:hAnsi="宋体" w:cs="宋体"/>
          <w:kern w:val="0"/>
          <w:sz w:val="24"/>
        </w:rPr>
        <w:t>；</w:t>
      </w:r>
    </w:p>
    <w:p w14:paraId="6EDC56C8">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14:paraId="70E45047">
      <w:pPr>
        <w:spacing w:line="360" w:lineRule="auto"/>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072A1D13">
      <w:pPr>
        <w:spacing w:line="360" w:lineRule="auto"/>
        <w:ind w:firstLine="480" w:firstLineChars="200"/>
      </w:pPr>
      <w:r>
        <w:rPr>
          <w:rFonts w:hint="eastAsia" w:ascii="宋体" w:hAnsi="宋体" w:cs="宋体"/>
          <w:kern w:val="0"/>
          <w:sz w:val="24"/>
        </w:rPr>
        <w:t>4.2.12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4596CCE1">
      <w:pPr>
        <w:spacing w:line="360" w:lineRule="auto"/>
        <w:ind w:firstLine="480" w:firstLineChars="200"/>
        <w:rPr>
          <w:rFonts w:ascii="宋体" w:hAnsi="宋体" w:cs="宋体"/>
          <w:kern w:val="0"/>
          <w:sz w:val="24"/>
        </w:rPr>
      </w:pPr>
      <w:r>
        <w:rPr>
          <w:rFonts w:hint="eastAsia" w:ascii="宋体" w:hAnsi="宋体" w:cs="宋体"/>
          <w:kern w:val="0"/>
          <w:sz w:val="24"/>
        </w:rPr>
        <w:t>4.2.13投标人仅提交备份投标文件，未在电子交易平台传输递交投标文件的，投标无效；</w:t>
      </w:r>
    </w:p>
    <w:p w14:paraId="62ABE78E">
      <w:pPr>
        <w:spacing w:line="360" w:lineRule="auto"/>
        <w:ind w:firstLine="480" w:firstLineChars="200"/>
        <w:rPr>
          <w:rFonts w:ascii="宋体" w:hAnsi="宋体" w:cs="宋体"/>
          <w:kern w:val="0"/>
          <w:sz w:val="24"/>
        </w:rPr>
      </w:pPr>
      <w:r>
        <w:rPr>
          <w:rFonts w:hint="eastAsia" w:ascii="宋体" w:hAnsi="宋体" w:cs="宋体"/>
          <w:kern w:val="0"/>
          <w:sz w:val="24"/>
        </w:rPr>
        <w:t>4.2.14投标人未提供样品或提供的样品不满足采购需求实质性条件的，投标无效；</w:t>
      </w:r>
    </w:p>
    <w:p w14:paraId="29BC082B">
      <w:pPr>
        <w:pStyle w:val="3"/>
        <w:ind w:left="862" w:leftChars="205"/>
        <w:rPr>
          <w:rFonts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4.2.15 投标文件不满足招标文件的其它实质性要求的；</w:t>
      </w:r>
    </w:p>
    <w:p w14:paraId="537C169B">
      <w:pPr>
        <w:spacing w:line="360" w:lineRule="auto"/>
        <w:ind w:firstLine="480" w:firstLineChars="200"/>
        <w:rPr>
          <w:rFonts w:ascii="宋体" w:hAnsi="宋体" w:cs="宋体"/>
          <w:kern w:val="0"/>
          <w:sz w:val="24"/>
        </w:rPr>
      </w:pPr>
      <w:r>
        <w:rPr>
          <w:rFonts w:hint="eastAsia" w:ascii="宋体" w:hAnsi="宋体" w:cs="宋体"/>
          <w:kern w:val="0"/>
          <w:sz w:val="24"/>
        </w:rPr>
        <w:t>4.2.16法律、法规、规章（适用本市的）及省级以上规范性文件（适用本市的）规定的其他无效情形。</w:t>
      </w:r>
    </w:p>
    <w:p w14:paraId="310178F0">
      <w:pPr>
        <w:pStyle w:val="24"/>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67F24161">
      <w:pPr>
        <w:pStyle w:val="24"/>
        <w:snapToGrid w:val="0"/>
        <w:spacing w:line="360" w:lineRule="auto"/>
        <w:rPr>
          <w:rFonts w:cs="宋体"/>
        </w:rPr>
      </w:pPr>
      <w:r>
        <w:rPr>
          <w:rFonts w:hint="eastAsia" w:cs="宋体"/>
        </w:rPr>
        <w:t>5.1符合专业条件的供应商或者对招标文件作实质响应的供应商不足3家的；</w:t>
      </w:r>
    </w:p>
    <w:p w14:paraId="4BEF1B4D">
      <w:pPr>
        <w:pStyle w:val="24"/>
        <w:snapToGrid w:val="0"/>
        <w:spacing w:line="360" w:lineRule="auto"/>
        <w:rPr>
          <w:rFonts w:cs="宋体"/>
        </w:rPr>
      </w:pPr>
      <w:r>
        <w:rPr>
          <w:rFonts w:hint="eastAsia" w:cs="宋体"/>
        </w:rPr>
        <w:t>5.2出现影响采购公正的违法、违规行为的；</w:t>
      </w:r>
    </w:p>
    <w:p w14:paraId="33E2CD2C">
      <w:pPr>
        <w:pStyle w:val="24"/>
        <w:snapToGrid w:val="0"/>
        <w:spacing w:line="360" w:lineRule="auto"/>
        <w:rPr>
          <w:rFonts w:cs="宋体"/>
        </w:rPr>
      </w:pPr>
      <w:r>
        <w:rPr>
          <w:rFonts w:hint="eastAsia" w:cs="宋体"/>
        </w:rPr>
        <w:t>5.3投标人的报价均超过了采购预算，采购人不能支付的；</w:t>
      </w:r>
    </w:p>
    <w:p w14:paraId="25BBD595">
      <w:pPr>
        <w:pStyle w:val="24"/>
        <w:snapToGrid w:val="0"/>
        <w:spacing w:line="360" w:lineRule="auto"/>
        <w:rPr>
          <w:rFonts w:cs="宋体"/>
        </w:rPr>
      </w:pPr>
      <w:r>
        <w:rPr>
          <w:rFonts w:hint="eastAsia" w:cs="宋体"/>
        </w:rPr>
        <w:t>5.4因重大变故，采购任务取消的。</w:t>
      </w:r>
    </w:p>
    <w:p w14:paraId="53857104">
      <w:pPr>
        <w:pStyle w:val="24"/>
        <w:snapToGrid w:val="0"/>
        <w:spacing w:line="360" w:lineRule="auto"/>
        <w:rPr>
          <w:rFonts w:cs="宋体"/>
        </w:rPr>
      </w:pPr>
      <w:r>
        <w:rPr>
          <w:rFonts w:hint="eastAsia" w:cs="宋体"/>
        </w:rPr>
        <w:t>废标后，采购机构应当将废标理由通知所有投标人。</w:t>
      </w:r>
    </w:p>
    <w:p w14:paraId="1AA8155D">
      <w:pPr>
        <w:pStyle w:val="24"/>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6EA1738F">
      <w:pPr>
        <w:pStyle w:val="24"/>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0EFE3E35">
      <w:pPr>
        <w:pStyle w:val="24"/>
        <w:snapToGrid w:val="0"/>
        <w:spacing w:line="360" w:lineRule="auto"/>
        <w:rPr>
          <w:rFonts w:cs="宋体"/>
        </w:rPr>
      </w:pPr>
      <w:r>
        <w:rPr>
          <w:rFonts w:hint="eastAsia" w:cs="宋体"/>
        </w:rPr>
        <w:t>7.1未确定中标供应商的，终止本次政府采购活动，重新开展政府采购活动。</w:t>
      </w:r>
    </w:p>
    <w:p w14:paraId="18A22EBE">
      <w:pPr>
        <w:pStyle w:val="24"/>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2228BA37">
      <w:pPr>
        <w:pStyle w:val="24"/>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5B68F46F">
      <w:pPr>
        <w:pStyle w:val="24"/>
        <w:snapToGrid w:val="0"/>
        <w:spacing w:line="360" w:lineRule="auto"/>
        <w:rPr>
          <w:rFonts w:cs="宋体"/>
        </w:rPr>
      </w:pPr>
      <w:r>
        <w:rPr>
          <w:rFonts w:hint="eastAsia" w:cs="宋体"/>
        </w:rPr>
        <w:t>7.4政府采购合同已经履行，给采购人、供应商造成损失的，由责任人承担赔偿责任。</w:t>
      </w:r>
    </w:p>
    <w:p w14:paraId="4F1AE8CE">
      <w:pPr>
        <w:pStyle w:val="24"/>
        <w:snapToGrid w:val="0"/>
        <w:spacing w:line="360" w:lineRule="auto"/>
        <w:rPr>
          <w:rFonts w:hint="eastAsia"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4966C25C">
      <w:pPr>
        <w:pStyle w:val="24"/>
        <w:snapToGrid w:val="0"/>
        <w:spacing w:line="360" w:lineRule="auto"/>
        <w:rPr>
          <w:rFonts w:hint="eastAsia" w:cs="宋体"/>
        </w:rPr>
      </w:pPr>
    </w:p>
    <w:p w14:paraId="57CC797A">
      <w:pPr>
        <w:pStyle w:val="24"/>
        <w:snapToGrid w:val="0"/>
        <w:spacing w:line="360" w:lineRule="auto"/>
        <w:rPr>
          <w:rFonts w:hint="eastAsia" w:cs="宋体"/>
        </w:rPr>
      </w:pPr>
    </w:p>
    <w:p w14:paraId="3298B712">
      <w:pPr>
        <w:pStyle w:val="24"/>
        <w:snapToGrid w:val="0"/>
        <w:spacing w:line="360" w:lineRule="auto"/>
        <w:rPr>
          <w:rFonts w:hint="eastAsia" w:cs="宋体"/>
        </w:rPr>
      </w:pPr>
    </w:p>
    <w:p w14:paraId="16DBC037">
      <w:pPr>
        <w:pStyle w:val="24"/>
        <w:snapToGrid w:val="0"/>
        <w:spacing w:line="360" w:lineRule="auto"/>
        <w:ind w:firstLine="0" w:firstLineChars="0"/>
        <w:rPr>
          <w:rFonts w:cs="宋体"/>
        </w:rPr>
      </w:pPr>
    </w:p>
    <w:bookmarkEnd w:id="32"/>
    <w:p w14:paraId="5A3B4A05">
      <w:pPr>
        <w:widowControl/>
        <w:adjustRightInd/>
        <w:jc w:val="center"/>
        <w:rPr>
          <w:rFonts w:ascii="宋体" w:hAnsi="宋体" w:cs="宋体"/>
          <w:b/>
          <w:sz w:val="36"/>
          <w:szCs w:val="36"/>
        </w:rPr>
      </w:pPr>
      <w:bookmarkStart w:id="412" w:name="第五部分"/>
      <w:bookmarkStart w:id="413" w:name="_Toc86217003"/>
      <w:r>
        <w:rPr>
          <w:rFonts w:hint="eastAsia" w:ascii="宋体" w:hAnsi="宋体" w:cs="宋体"/>
          <w:b/>
          <w:sz w:val="36"/>
          <w:szCs w:val="36"/>
        </w:rPr>
        <w:t>第五部分 拟签订的合同文本</w:t>
      </w:r>
    </w:p>
    <w:p w14:paraId="34FDF4E4">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4E3C46AA">
      <w:pPr>
        <w:spacing w:line="480" w:lineRule="auto"/>
        <w:jc w:val="center"/>
        <w:rPr>
          <w:rFonts w:ascii="宋体" w:hAnsi="宋体" w:cs="宋体"/>
          <w:b/>
          <w:sz w:val="28"/>
          <w:szCs w:val="28"/>
        </w:rPr>
      </w:pPr>
    </w:p>
    <w:p w14:paraId="699B4095">
      <w:pPr>
        <w:spacing w:line="480" w:lineRule="auto"/>
        <w:jc w:val="center"/>
        <w:rPr>
          <w:rFonts w:ascii="宋体" w:hAnsi="宋体" w:cs="宋体"/>
          <w:b/>
          <w:sz w:val="24"/>
        </w:rPr>
      </w:pPr>
    </w:p>
    <w:p w14:paraId="44578127">
      <w:pPr>
        <w:spacing w:line="480" w:lineRule="auto"/>
        <w:jc w:val="center"/>
        <w:rPr>
          <w:rFonts w:ascii="宋体" w:hAnsi="宋体" w:cs="宋体"/>
          <w:b/>
          <w:sz w:val="24"/>
        </w:rPr>
      </w:pPr>
    </w:p>
    <w:p w14:paraId="28AF47E0">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14:paraId="53B69E94">
      <w:pPr>
        <w:spacing w:line="480" w:lineRule="auto"/>
        <w:jc w:val="center"/>
        <w:rPr>
          <w:rFonts w:ascii="宋体" w:hAnsi="宋体" w:cs="宋体"/>
          <w:b/>
          <w:sz w:val="36"/>
          <w:szCs w:val="36"/>
        </w:rPr>
      </w:pPr>
      <w:r>
        <w:rPr>
          <w:rFonts w:hint="eastAsia" w:ascii="宋体" w:hAnsi="宋体" w:cs="宋体"/>
          <w:b/>
          <w:sz w:val="36"/>
          <w:szCs w:val="36"/>
        </w:rPr>
        <w:t>（货物类）</w:t>
      </w:r>
    </w:p>
    <w:p w14:paraId="346BE1B4">
      <w:pPr>
        <w:pStyle w:val="706"/>
        <w:rPr>
          <w:rFonts w:ascii="宋体" w:hAnsi="宋体" w:cs="宋体"/>
          <w:szCs w:val="24"/>
        </w:rPr>
      </w:pPr>
    </w:p>
    <w:p w14:paraId="55A61C18">
      <w:pPr>
        <w:pStyle w:val="706"/>
        <w:rPr>
          <w:rFonts w:ascii="宋体" w:hAnsi="宋体" w:cs="宋体"/>
          <w:szCs w:val="24"/>
        </w:rPr>
      </w:pPr>
    </w:p>
    <w:p w14:paraId="7FA7375B">
      <w:pPr>
        <w:pStyle w:val="706"/>
        <w:jc w:val="center"/>
        <w:rPr>
          <w:rFonts w:ascii="宋体" w:hAnsi="宋体" w:cs="宋体"/>
          <w:szCs w:val="24"/>
        </w:rPr>
      </w:pPr>
    </w:p>
    <w:p w14:paraId="6E164045">
      <w:pPr>
        <w:pStyle w:val="706"/>
        <w:ind w:firstLine="2843" w:firstLineChars="1180"/>
        <w:rPr>
          <w:rFonts w:ascii="宋体" w:hAnsi="宋体" w:cs="宋体"/>
          <w:b/>
          <w:szCs w:val="24"/>
        </w:rPr>
      </w:pPr>
      <w:r>
        <w:rPr>
          <w:rFonts w:hint="eastAsia" w:ascii="宋体" w:hAnsi="宋体" w:cs="宋体"/>
          <w:b/>
          <w:szCs w:val="24"/>
        </w:rPr>
        <w:t>第一部分 合同书</w:t>
      </w:r>
    </w:p>
    <w:p w14:paraId="1C8199C1">
      <w:pPr>
        <w:pStyle w:val="706"/>
        <w:rPr>
          <w:rFonts w:ascii="宋体" w:hAnsi="宋体" w:cs="宋体"/>
          <w:szCs w:val="24"/>
        </w:rPr>
      </w:pPr>
    </w:p>
    <w:p w14:paraId="06E53C40">
      <w:pPr>
        <w:pStyle w:val="706"/>
        <w:rPr>
          <w:rFonts w:ascii="宋体" w:hAnsi="宋体" w:cs="宋体"/>
          <w:szCs w:val="24"/>
        </w:rPr>
      </w:pPr>
    </w:p>
    <w:p w14:paraId="70E01359">
      <w:pPr>
        <w:spacing w:before="120" w:line="22" w:lineRule="atLeast"/>
        <w:rPr>
          <w:rFonts w:ascii="宋体" w:hAnsi="宋体" w:cs="宋体"/>
          <w:sz w:val="24"/>
        </w:rPr>
      </w:pPr>
    </w:p>
    <w:p w14:paraId="66645359">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6481A876">
      <w:pPr>
        <w:pStyle w:val="604"/>
        <w:spacing w:before="120" w:line="22" w:lineRule="atLeast"/>
        <w:rPr>
          <w:rFonts w:ascii="宋体" w:hAnsi="宋体" w:eastAsia="宋体" w:cs="宋体"/>
          <w:szCs w:val="24"/>
        </w:rPr>
      </w:pPr>
    </w:p>
    <w:p w14:paraId="04401CFD">
      <w:pPr>
        <w:pStyle w:val="604"/>
        <w:spacing w:before="120" w:line="22" w:lineRule="atLeast"/>
        <w:rPr>
          <w:rFonts w:ascii="宋体" w:hAnsi="宋体" w:eastAsia="宋体" w:cs="宋体"/>
          <w:szCs w:val="24"/>
        </w:rPr>
      </w:pPr>
    </w:p>
    <w:p w14:paraId="5DDEA100">
      <w:pPr>
        <w:rPr>
          <w:rFonts w:ascii="宋体" w:hAnsi="宋体" w:cs="宋体"/>
          <w:sz w:val="24"/>
        </w:rPr>
      </w:pPr>
    </w:p>
    <w:p w14:paraId="36396526">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14:paraId="3030C341">
      <w:pPr>
        <w:spacing w:before="120" w:line="22" w:lineRule="atLeast"/>
        <w:rPr>
          <w:rFonts w:ascii="宋体" w:hAnsi="宋体" w:cs="宋体"/>
          <w:sz w:val="24"/>
        </w:rPr>
      </w:pPr>
    </w:p>
    <w:p w14:paraId="6209DB43">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1B68A9F6">
      <w:pPr>
        <w:spacing w:before="120" w:line="22" w:lineRule="atLeast"/>
        <w:rPr>
          <w:rFonts w:ascii="宋体" w:hAnsi="宋体" w:cs="宋体"/>
          <w:sz w:val="24"/>
        </w:rPr>
      </w:pPr>
    </w:p>
    <w:p w14:paraId="1693EC62">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14:paraId="71DF3504">
      <w:pPr>
        <w:spacing w:before="120" w:line="22" w:lineRule="atLeast"/>
        <w:rPr>
          <w:rFonts w:ascii="宋体" w:hAnsi="宋体" w:cs="宋体"/>
          <w:sz w:val="24"/>
        </w:rPr>
      </w:pPr>
    </w:p>
    <w:p w14:paraId="360E128C">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4C5B9EE">
      <w:pPr>
        <w:widowControl/>
        <w:jc w:val="left"/>
        <w:rPr>
          <w:rFonts w:ascii="宋体" w:hAnsi="宋体" w:cs="宋体"/>
          <w:kern w:val="0"/>
          <w:sz w:val="24"/>
        </w:rPr>
        <w:sectPr>
          <w:pgSz w:w="11907" w:h="16840"/>
          <w:pgMar w:top="1474" w:right="1814" w:bottom="1474" w:left="1814" w:header="851" w:footer="851" w:gutter="0"/>
          <w:cols w:space="720" w:num="1"/>
        </w:sectPr>
      </w:pPr>
    </w:p>
    <w:p w14:paraId="340EE52D">
      <w:pPr>
        <w:spacing w:line="560" w:lineRule="exact"/>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杭州职业技术大学 </w:t>
      </w:r>
      <w:r>
        <w:rPr>
          <w:rFonts w:hint="eastAsia" w:ascii="宋体" w:hAnsi="宋体" w:cs="宋体"/>
          <w:sz w:val="24"/>
        </w:rPr>
        <w:t>以</w:t>
      </w:r>
      <w:r>
        <w:rPr>
          <w:rFonts w:hint="eastAsia" w:ascii="宋体" w:hAnsi="宋体" w:cs="宋体"/>
          <w:sz w:val="24"/>
          <w:u w:val="single"/>
        </w:rPr>
        <w:t xml:space="preserve">   （政府采购方式）  </w:t>
      </w:r>
      <w:r>
        <w:rPr>
          <w:rFonts w:hint="eastAsia" w:ascii="宋体" w:hAnsi="宋体" w:cs="宋体"/>
          <w:sz w:val="24"/>
        </w:rPr>
        <w:t>对</w:t>
      </w:r>
      <w:r>
        <w:rPr>
          <w:rFonts w:hint="eastAsia" w:ascii="宋体" w:hAnsi="宋体" w:cs="宋体"/>
          <w:sz w:val="24"/>
          <w:u w:val="single"/>
        </w:rPr>
        <w:t xml:space="preserve"> 杭州职业技术大学</w:t>
      </w:r>
      <w:r>
        <w:rPr>
          <w:rFonts w:hint="eastAsia" w:ascii="宋体" w:hAnsi="宋体" w:cs="宋体"/>
          <w:sz w:val="24"/>
          <w:u w:val="single"/>
          <w:lang w:val="en-US" w:eastAsia="zh-CN"/>
        </w:rPr>
        <w:t>新安江校区通用机房</w:t>
      </w:r>
      <w:r>
        <w:rPr>
          <w:rFonts w:hint="eastAsia" w:ascii="宋体" w:hAnsi="宋体" w:cs="宋体"/>
          <w:sz w:val="24"/>
          <w:u w:val="single"/>
        </w:rPr>
        <w:t xml:space="preserve">建设项目HZZFCG-2026-074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（中标供应商名称）</w:t>
      </w:r>
      <w:r>
        <w:rPr>
          <w:rFonts w:hint="eastAsia" w:ascii="宋体" w:hAnsi="宋体" w:cs="宋体"/>
          <w:sz w:val="24"/>
        </w:rPr>
        <w:t>为该项目中标或者成交供应商。现于中标或者成交通知书发出之日起10个工作日内，按照采购文件等确定的事项签订本合同。</w:t>
      </w:r>
    </w:p>
    <w:p w14:paraId="2E1D13F7">
      <w:pPr>
        <w:spacing w:line="560" w:lineRule="exact"/>
        <w:ind w:firstLine="480" w:firstLineChars="200"/>
        <w:rPr>
          <w:rFonts w:ascii="宋体" w:hAnsi="宋体" w:cs="宋体"/>
          <w:sz w:val="24"/>
        </w:rPr>
      </w:pPr>
      <w:r>
        <w:rPr>
          <w:rFonts w:hint="eastAsia" w:ascii="宋体" w:hAnsi="宋体" w:cs="宋体"/>
          <w:sz w:val="24"/>
          <w:lang w:val="zh-CN"/>
        </w:rPr>
        <w:t>根据《中华人民共和国民法典》《中华人民共和国政府采购法》等相关法律法规之规定，按照平等、自愿、公平、诚实信用和绿色的原则，经</w:t>
      </w:r>
      <w:r>
        <w:rPr>
          <w:rFonts w:hint="eastAsia" w:ascii="宋体" w:hAnsi="宋体" w:cs="宋体"/>
          <w:sz w:val="24"/>
          <w:u w:val="single"/>
        </w:rPr>
        <w:t xml:space="preserve">   杭州职业技术大学   </w:t>
      </w:r>
      <w:r>
        <w:rPr>
          <w:rFonts w:hint="eastAsia" w:ascii="宋体" w:hAnsi="宋体" w:cs="宋体"/>
          <w:sz w:val="24"/>
          <w:lang w:val="zh-CN"/>
        </w:rPr>
        <w:t>(以下简称：甲方)和</w:t>
      </w:r>
      <w:r>
        <w:rPr>
          <w:rFonts w:hint="eastAsia" w:ascii="宋体" w:hAnsi="宋体" w:cs="宋体"/>
          <w:sz w:val="24"/>
          <w:u w:val="single"/>
        </w:rPr>
        <w:t xml:space="preserve">   （中标供应商名称）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33C315A8">
      <w:pPr>
        <w:spacing w:line="560" w:lineRule="exact"/>
        <w:ind w:firstLine="482" w:firstLineChars="200"/>
        <w:outlineLvl w:val="0"/>
        <w:rPr>
          <w:rFonts w:ascii="宋体" w:hAnsi="宋体" w:cs="宋体"/>
          <w:b/>
          <w:sz w:val="24"/>
        </w:rPr>
      </w:pPr>
      <w:r>
        <w:rPr>
          <w:rFonts w:hint="eastAsia" w:ascii="宋体" w:hAnsi="宋体" w:cs="宋体"/>
          <w:b/>
          <w:sz w:val="24"/>
        </w:rPr>
        <w:t>1.1 合同组成部分</w:t>
      </w:r>
    </w:p>
    <w:p w14:paraId="010499A9">
      <w:pPr>
        <w:spacing w:line="560" w:lineRule="exact"/>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236A400">
      <w:pPr>
        <w:spacing w:line="560" w:lineRule="exact"/>
        <w:ind w:firstLine="480" w:firstLineChars="200"/>
        <w:rPr>
          <w:rFonts w:ascii="宋体" w:hAnsi="宋体" w:cs="宋体"/>
          <w:sz w:val="24"/>
        </w:rPr>
      </w:pPr>
      <w:r>
        <w:rPr>
          <w:rFonts w:hint="eastAsia" w:ascii="宋体" w:hAnsi="宋体" w:cs="宋体"/>
          <w:sz w:val="24"/>
        </w:rPr>
        <w:t>1.1.1 本合同及其补充合同、变更协议；</w:t>
      </w:r>
    </w:p>
    <w:p w14:paraId="1D136182">
      <w:pPr>
        <w:spacing w:line="560" w:lineRule="exact"/>
        <w:ind w:firstLine="480" w:firstLineChars="200"/>
        <w:rPr>
          <w:rFonts w:ascii="宋体" w:hAnsi="宋体" w:cs="宋体"/>
          <w:sz w:val="24"/>
        </w:rPr>
      </w:pPr>
      <w:r>
        <w:rPr>
          <w:rFonts w:hint="eastAsia" w:ascii="宋体" w:hAnsi="宋体" w:cs="宋体"/>
          <w:sz w:val="24"/>
        </w:rPr>
        <w:t>1.1.2 中标或者成交通知书；</w:t>
      </w:r>
    </w:p>
    <w:p w14:paraId="77DCBD15">
      <w:pPr>
        <w:spacing w:line="560" w:lineRule="exact"/>
        <w:ind w:firstLine="480" w:firstLineChars="200"/>
        <w:rPr>
          <w:rFonts w:ascii="宋体" w:hAnsi="宋体" w:cs="宋体"/>
          <w:sz w:val="24"/>
        </w:rPr>
      </w:pPr>
      <w:r>
        <w:rPr>
          <w:rFonts w:hint="eastAsia" w:ascii="宋体" w:hAnsi="宋体" w:cs="宋体"/>
          <w:sz w:val="24"/>
        </w:rPr>
        <w:t>1.1.3 投标或者响应文件（含澄清或者说明文件）；</w:t>
      </w:r>
    </w:p>
    <w:p w14:paraId="5BBBC447">
      <w:pPr>
        <w:spacing w:line="560" w:lineRule="exact"/>
        <w:ind w:firstLine="480" w:firstLineChars="200"/>
        <w:rPr>
          <w:rFonts w:ascii="宋体" w:hAnsi="宋体" w:cs="宋体"/>
          <w:sz w:val="24"/>
        </w:rPr>
      </w:pPr>
      <w:r>
        <w:rPr>
          <w:rFonts w:hint="eastAsia" w:ascii="宋体" w:hAnsi="宋体" w:cs="宋体"/>
          <w:sz w:val="24"/>
        </w:rPr>
        <w:t>1.1.4 采购文件（含澄清或者修改文件）；</w:t>
      </w:r>
    </w:p>
    <w:p w14:paraId="43737B0E">
      <w:pPr>
        <w:spacing w:line="560" w:lineRule="exact"/>
        <w:ind w:firstLine="480" w:firstLineChars="200"/>
        <w:rPr>
          <w:rFonts w:ascii="宋体" w:hAnsi="宋体" w:cs="宋体"/>
          <w:sz w:val="24"/>
        </w:rPr>
      </w:pPr>
      <w:r>
        <w:rPr>
          <w:rFonts w:hint="eastAsia" w:ascii="宋体" w:hAnsi="宋体" w:cs="宋体"/>
          <w:sz w:val="24"/>
        </w:rPr>
        <w:t>1.1.5 其他相关采购文件。</w:t>
      </w:r>
    </w:p>
    <w:p w14:paraId="33C0AC74">
      <w:pPr>
        <w:spacing w:line="560" w:lineRule="exact"/>
        <w:ind w:firstLine="482" w:firstLineChars="200"/>
        <w:outlineLvl w:val="0"/>
        <w:rPr>
          <w:rFonts w:ascii="宋体" w:hAnsi="宋体" w:cs="宋体"/>
          <w:b/>
          <w:sz w:val="24"/>
        </w:rPr>
      </w:pPr>
      <w:r>
        <w:rPr>
          <w:rFonts w:hint="eastAsia" w:ascii="宋体" w:hAnsi="宋体" w:cs="宋体"/>
          <w:b/>
          <w:sz w:val="24"/>
        </w:rPr>
        <w:t>1.2 货物</w:t>
      </w:r>
    </w:p>
    <w:p w14:paraId="7B38BC0A">
      <w:pPr>
        <w:spacing w:line="560" w:lineRule="exact"/>
        <w:ind w:firstLine="480" w:firstLineChars="200"/>
        <w:rPr>
          <w:rFonts w:ascii="宋体" w:hAnsi="宋体" w:cs="宋体"/>
          <w:sz w:val="24"/>
          <w:u w:val="single"/>
        </w:rPr>
      </w:pPr>
      <w:r>
        <w:rPr>
          <w:rFonts w:hint="eastAsia" w:ascii="宋体" w:hAnsi="宋体" w:cs="宋体"/>
          <w:sz w:val="24"/>
        </w:rPr>
        <w:t>1.2.1 货物名称、品牌、规格型号、花色：</w:t>
      </w:r>
      <w:r>
        <w:rPr>
          <w:rFonts w:hint="eastAsia" w:ascii="宋体" w:hAnsi="宋体" w:cs="宋体"/>
          <w:sz w:val="24"/>
          <w:u w:val="single"/>
        </w:rPr>
        <w:t xml:space="preserve">                             </w:t>
      </w:r>
      <w:r>
        <w:rPr>
          <w:rFonts w:hint="eastAsia" w:ascii="宋体" w:hAnsi="宋体" w:cs="宋体"/>
          <w:sz w:val="24"/>
        </w:rPr>
        <w:t>；</w:t>
      </w:r>
    </w:p>
    <w:p w14:paraId="40871574">
      <w:pPr>
        <w:spacing w:line="560" w:lineRule="exact"/>
        <w:ind w:firstLine="480" w:firstLineChars="200"/>
        <w:rPr>
          <w:rFonts w:ascii="宋体" w:hAnsi="宋体" w:cs="宋体"/>
          <w:sz w:val="24"/>
          <w:u w:val="single"/>
        </w:rPr>
      </w:pPr>
      <w:r>
        <w:rPr>
          <w:rFonts w:hint="eastAsia" w:ascii="宋体" w:hAnsi="宋体" w:cs="宋体"/>
          <w:sz w:val="24"/>
        </w:rPr>
        <w:t>1.2.2 货物数量：</w:t>
      </w:r>
      <w:r>
        <w:rPr>
          <w:rFonts w:hint="eastAsia" w:ascii="宋体" w:hAnsi="宋体" w:cs="宋体"/>
          <w:sz w:val="24"/>
          <w:u w:val="single"/>
        </w:rPr>
        <w:t xml:space="preserve">                                                </w:t>
      </w:r>
      <w:r>
        <w:rPr>
          <w:rFonts w:hint="eastAsia" w:ascii="宋体" w:hAnsi="宋体" w:cs="宋体"/>
          <w:sz w:val="24"/>
        </w:rPr>
        <w:t>；</w:t>
      </w:r>
    </w:p>
    <w:p w14:paraId="136FEB8D">
      <w:pPr>
        <w:spacing w:line="560" w:lineRule="exact"/>
        <w:ind w:firstLine="480" w:firstLineChars="200"/>
        <w:rPr>
          <w:rFonts w:ascii="宋体" w:hAnsi="宋体" w:cs="宋体"/>
          <w:sz w:val="24"/>
          <w:u w:val="single"/>
        </w:rPr>
      </w:pPr>
      <w:r>
        <w:rPr>
          <w:rFonts w:hint="eastAsia" w:ascii="宋体" w:hAnsi="宋体" w:cs="宋体"/>
          <w:sz w:val="24"/>
        </w:rPr>
        <w:t>1.2.3 货物质量：</w:t>
      </w:r>
      <w:r>
        <w:rPr>
          <w:rFonts w:hint="eastAsia" w:ascii="宋体" w:hAnsi="宋体" w:cs="宋体"/>
          <w:sz w:val="24"/>
          <w:u w:val="single"/>
        </w:rPr>
        <w:t>　　　　　　　　　                      　      ；</w:t>
      </w:r>
    </w:p>
    <w:p w14:paraId="3F7ED01F">
      <w:pPr>
        <w:spacing w:line="560" w:lineRule="exact"/>
        <w:ind w:firstLine="482" w:firstLineChars="200"/>
        <w:outlineLvl w:val="0"/>
        <w:rPr>
          <w:rFonts w:ascii="宋体" w:hAnsi="宋体" w:cs="宋体"/>
          <w:b/>
          <w:sz w:val="24"/>
        </w:rPr>
      </w:pPr>
      <w:r>
        <w:rPr>
          <w:rFonts w:hint="eastAsia" w:ascii="宋体" w:hAnsi="宋体" w:cs="宋体"/>
          <w:b/>
          <w:sz w:val="24"/>
        </w:rPr>
        <w:t>1.3 价款</w:t>
      </w:r>
    </w:p>
    <w:p w14:paraId="2B42679F">
      <w:pPr>
        <w:spacing w:line="560" w:lineRule="exact"/>
        <w:ind w:firstLine="480" w:firstLineChars="200"/>
        <w:rPr>
          <w:rFonts w:ascii="宋体" w:hAnsi="宋体" w:cs="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14:paraId="0B33EF14">
      <w:pPr>
        <w:spacing w:line="560" w:lineRule="exact"/>
        <w:ind w:firstLine="480" w:firstLineChars="200"/>
        <w:rPr>
          <w:rFonts w:ascii="宋体" w:hAnsi="宋体" w:cs="宋体"/>
          <w:sz w:val="24"/>
          <w:u w:val="single"/>
        </w:rPr>
      </w:pPr>
      <w:r>
        <w:rPr>
          <w:rFonts w:hint="eastAsia" w:ascii="宋体" w:hAnsi="宋体" w:cs="宋体"/>
          <w:sz w:val="24"/>
        </w:rPr>
        <w:t>分项价格：</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FDF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BC537C5">
            <w:pPr>
              <w:pStyle w:val="327"/>
              <w:spacing w:line="560" w:lineRule="exact"/>
              <w:jc w:val="center"/>
              <w:rPr>
                <w:rFonts w:hAnsi="宋体" w:cs="宋体"/>
                <w:sz w:val="24"/>
                <w:szCs w:val="24"/>
              </w:rPr>
            </w:pPr>
            <w:r>
              <w:rPr>
                <w:rFonts w:hint="eastAsia" w:hAnsi="宋体" w:cs="宋体"/>
                <w:sz w:val="24"/>
                <w:szCs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62F2A8D5">
            <w:pPr>
              <w:pStyle w:val="327"/>
              <w:spacing w:line="560" w:lineRule="exact"/>
              <w:ind w:firstLine="200"/>
              <w:jc w:val="center"/>
              <w:rPr>
                <w:rFonts w:hAnsi="宋体" w:cs="宋体"/>
                <w:sz w:val="24"/>
                <w:szCs w:val="24"/>
              </w:rPr>
            </w:pPr>
            <w:r>
              <w:rPr>
                <w:rFonts w:hint="eastAsia" w:hAnsi="宋体" w:cs="宋体"/>
                <w:sz w:val="24"/>
                <w:szCs w:val="24"/>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5538C34C">
            <w:pPr>
              <w:pStyle w:val="327"/>
              <w:spacing w:line="560" w:lineRule="exact"/>
              <w:jc w:val="center"/>
              <w:rPr>
                <w:rFonts w:hAnsi="宋体" w:cs="宋体"/>
                <w:sz w:val="24"/>
                <w:szCs w:val="24"/>
              </w:rPr>
            </w:pPr>
            <w:r>
              <w:rPr>
                <w:rFonts w:hint="eastAsia" w:hAnsi="宋体" w:cs="宋体"/>
                <w:sz w:val="24"/>
                <w:szCs w:val="24"/>
              </w:rPr>
              <w:t>分项价格</w:t>
            </w:r>
          </w:p>
        </w:tc>
      </w:tr>
      <w:tr w14:paraId="63FD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22D10C2">
            <w:pPr>
              <w:pStyle w:val="327"/>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CE06AED">
            <w:pPr>
              <w:pStyle w:val="327"/>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39C7F5AA">
            <w:pPr>
              <w:pStyle w:val="327"/>
              <w:spacing w:line="560" w:lineRule="exact"/>
              <w:ind w:firstLine="200"/>
              <w:jc w:val="center"/>
              <w:rPr>
                <w:rFonts w:hAnsi="宋体" w:cs="宋体"/>
                <w:sz w:val="24"/>
                <w:szCs w:val="24"/>
              </w:rPr>
            </w:pPr>
          </w:p>
        </w:tc>
      </w:tr>
      <w:tr w14:paraId="5A3B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57FE953">
            <w:pPr>
              <w:pStyle w:val="327"/>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48FD275">
            <w:pPr>
              <w:pStyle w:val="327"/>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2173E59E">
            <w:pPr>
              <w:pStyle w:val="327"/>
              <w:spacing w:line="560" w:lineRule="exact"/>
              <w:ind w:firstLine="200"/>
              <w:jc w:val="center"/>
              <w:rPr>
                <w:rFonts w:hAnsi="宋体" w:cs="宋体"/>
                <w:sz w:val="24"/>
                <w:szCs w:val="24"/>
              </w:rPr>
            </w:pPr>
          </w:p>
        </w:tc>
      </w:tr>
      <w:tr w14:paraId="4237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7457E33">
            <w:pPr>
              <w:pStyle w:val="327"/>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C2ACF28">
            <w:pPr>
              <w:pStyle w:val="327"/>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0866AB3A">
            <w:pPr>
              <w:pStyle w:val="327"/>
              <w:spacing w:line="560" w:lineRule="exact"/>
              <w:ind w:firstLine="200"/>
              <w:jc w:val="center"/>
              <w:rPr>
                <w:rFonts w:hAnsi="宋体" w:cs="宋体"/>
                <w:sz w:val="24"/>
                <w:szCs w:val="24"/>
              </w:rPr>
            </w:pPr>
          </w:p>
        </w:tc>
      </w:tr>
      <w:tr w14:paraId="32C6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192B53F">
            <w:pPr>
              <w:pStyle w:val="327"/>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181A27E">
            <w:pPr>
              <w:pStyle w:val="327"/>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33C7E3F7">
            <w:pPr>
              <w:pStyle w:val="327"/>
              <w:spacing w:line="560" w:lineRule="exact"/>
              <w:ind w:firstLine="200"/>
              <w:jc w:val="center"/>
              <w:rPr>
                <w:rFonts w:hAnsi="宋体" w:cs="宋体"/>
                <w:sz w:val="24"/>
                <w:szCs w:val="24"/>
              </w:rPr>
            </w:pPr>
          </w:p>
        </w:tc>
      </w:tr>
      <w:tr w14:paraId="586E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732A9CC8">
            <w:pPr>
              <w:pStyle w:val="327"/>
              <w:spacing w:line="560" w:lineRule="exact"/>
              <w:ind w:firstLine="200"/>
              <w:jc w:val="center"/>
              <w:rPr>
                <w:rFonts w:hAnsi="宋体" w:cs="宋体"/>
                <w:sz w:val="24"/>
                <w:szCs w:val="24"/>
              </w:rPr>
            </w:pPr>
            <w:r>
              <w:rPr>
                <w:rFonts w:hint="eastAsia" w:hAnsi="宋体" w:cs="宋体"/>
                <w:sz w:val="24"/>
                <w:szCs w:val="24"/>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30C08AF0">
            <w:pPr>
              <w:pStyle w:val="327"/>
              <w:spacing w:line="560" w:lineRule="exact"/>
              <w:ind w:firstLine="200"/>
              <w:jc w:val="center"/>
              <w:rPr>
                <w:rFonts w:hAnsi="宋体" w:cs="宋体"/>
                <w:sz w:val="24"/>
                <w:szCs w:val="24"/>
              </w:rPr>
            </w:pPr>
          </w:p>
        </w:tc>
      </w:tr>
    </w:tbl>
    <w:p w14:paraId="304EAB0F">
      <w:pPr>
        <w:pStyle w:val="961"/>
        <w:spacing w:before="0" w:beforeAutospacing="0" w:after="0" w:afterAutospacing="0" w:line="360" w:lineRule="auto"/>
        <w:ind w:firstLine="480"/>
        <w:rPr>
          <w:b/>
        </w:rPr>
      </w:pPr>
      <w:r>
        <w:rPr>
          <w:rFonts w:hint="eastAsia"/>
          <w:b/>
        </w:rPr>
        <w:t>1.4履约保证金</w:t>
      </w:r>
    </w:p>
    <w:p w14:paraId="34C38EBE">
      <w:pPr>
        <w:pStyle w:val="961"/>
        <w:spacing w:before="0" w:beforeAutospacing="0" w:after="0" w:afterAutospacing="0" w:line="360" w:lineRule="auto"/>
        <w:ind w:firstLine="480"/>
      </w:pPr>
      <w:r>
        <w:rPr>
          <w:rFonts w:hint="eastAsia"/>
        </w:rPr>
        <w:t>乙方</w:t>
      </w:r>
      <w:r>
        <w:rPr>
          <w:rFonts w:hint="eastAsia"/>
          <w:u w:val="single"/>
        </w:rPr>
        <w:t xml:space="preserve">   </w:t>
      </w:r>
      <w:r>
        <w:rPr>
          <w:rFonts w:hint="eastAsia"/>
          <w:b/>
          <w:i/>
          <w:u w:val="single"/>
        </w:rPr>
        <w:t>合同专用条款</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14:paraId="3FACDF16">
      <w:pPr>
        <w:spacing w:line="560" w:lineRule="exact"/>
        <w:ind w:firstLine="480" w:firstLineChars="200"/>
        <w:outlineLvl w:val="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040031CF">
      <w:pPr>
        <w:spacing w:line="560" w:lineRule="exact"/>
        <w:ind w:firstLine="480" w:firstLineChars="200"/>
        <w:outlineLvl w:val="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734813F3">
      <w:pPr>
        <w:pStyle w:val="3"/>
        <w:tabs>
          <w:tab w:val="clear" w:pos="432"/>
        </w:tabs>
        <w:spacing w:line="560" w:lineRule="exact"/>
        <w:ind w:left="0" w:firstLine="480" w:firstLineChars="200"/>
        <w:rPr>
          <w:rFonts w:eastAsia="宋体"/>
          <w:lang w:val="en-US"/>
        </w:rPr>
      </w:pPr>
      <w:r>
        <w:rPr>
          <w:rFonts w:hint="eastAsia" w:ascii="宋体" w:hAnsi="宋体" w:eastAsia="宋体" w:cs="宋体"/>
          <w:b w:val="0"/>
          <w:bCs w:val="0"/>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1D3826E">
      <w:pPr>
        <w:spacing w:line="560" w:lineRule="exact"/>
        <w:ind w:firstLine="480" w:firstLineChars="200"/>
        <w:outlineLvl w:val="0"/>
      </w:pPr>
      <w:r>
        <w:rPr>
          <w:rFonts w:hint="eastAsia" w:ascii="宋体" w:hAnsi="宋体" w:cs="宋体"/>
          <w:kern w:val="0"/>
          <w:sz w:val="24"/>
        </w:rPr>
        <w:t>1.4.4 甲方在项目验收结束后及时退还履约保证金。甲方在项目通过验收之日起</w:t>
      </w:r>
      <w:r>
        <w:rPr>
          <w:rFonts w:hint="eastAsia" w:ascii="宋体" w:hAnsi="宋体" w:cs="宋体"/>
          <w:kern w:val="0"/>
          <w:sz w:val="24"/>
          <w:u w:val="single"/>
        </w:rPr>
        <w:t>5</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w:t>
      </w:r>
      <w:r>
        <w:rPr>
          <w:rFonts w:hint="eastAsia" w:ascii="宋体" w:hAnsi="宋体" w:cs="宋体"/>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14:paraId="18A7A0F2">
      <w:pPr>
        <w:spacing w:line="560" w:lineRule="exact"/>
        <w:ind w:firstLine="482" w:firstLineChars="200"/>
        <w:outlineLvl w:val="0"/>
        <w:rPr>
          <w:rFonts w:ascii="宋体" w:hAnsi="宋体" w:cs="宋体"/>
          <w:b/>
          <w:sz w:val="24"/>
        </w:rPr>
      </w:pPr>
      <w:r>
        <w:rPr>
          <w:rFonts w:hint="eastAsia" w:ascii="宋体" w:hAnsi="宋体" w:cs="宋体"/>
          <w:b/>
          <w:sz w:val="24"/>
        </w:rPr>
        <w:t>1.5预付款</w:t>
      </w:r>
    </w:p>
    <w:p w14:paraId="654B5D4B">
      <w:pPr>
        <w:pStyle w:val="961"/>
        <w:spacing w:before="0" w:beforeAutospacing="0" w:after="0" w:afterAutospacing="0" w:line="360" w:lineRule="auto"/>
        <w:ind w:firstLine="480"/>
      </w:pPr>
      <w:r>
        <w:rPr>
          <w:rFonts w:hint="eastAsia"/>
        </w:rPr>
        <w:t>甲方</w:t>
      </w:r>
      <w:r>
        <w:rPr>
          <w:rFonts w:hint="eastAsia"/>
          <w:u w:val="single"/>
        </w:rPr>
        <w:t xml:space="preserve">  </w:t>
      </w:r>
      <w:r>
        <w:rPr>
          <w:rFonts w:hint="eastAsia"/>
          <w:b/>
          <w:i/>
          <w:u w:val="single"/>
        </w:rPr>
        <w:t>合同专用条款</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14:paraId="671CAD71">
      <w:pPr>
        <w:spacing w:line="360" w:lineRule="auto"/>
        <w:ind w:right="105" w:rightChars="50"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44854431">
      <w:pPr>
        <w:pStyle w:val="961"/>
        <w:spacing w:before="0" w:beforeAutospacing="0" w:after="0" w:afterAutospacing="0" w:line="360" w:lineRule="auto"/>
        <w:ind w:right="105" w:rightChars="50" w:firstLine="480"/>
      </w:pPr>
      <w:r>
        <w:rPr>
          <w:rFonts w:hint="eastAsia"/>
        </w:rPr>
        <w:t>1.5.2预付款的扣回方式详见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33C524F3">
      <w:pPr>
        <w:pStyle w:val="961"/>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78DEA5A8">
      <w:pPr>
        <w:pStyle w:val="961"/>
        <w:spacing w:before="0" w:beforeAutospacing="0" w:after="0" w:afterAutospacing="0" w:line="360" w:lineRule="auto"/>
        <w:ind w:firstLine="480"/>
        <w:rPr>
          <w:b/>
          <w:bCs/>
        </w:rPr>
      </w:pPr>
      <w:r>
        <w:rPr>
          <w:rFonts w:hint="eastAsia"/>
          <w:b/>
          <w:bCs/>
        </w:rPr>
        <w:t>1.6资金支付</w:t>
      </w:r>
    </w:p>
    <w:p w14:paraId="7C8C4767">
      <w:pPr>
        <w:pStyle w:val="961"/>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E97B26F">
      <w:pPr>
        <w:spacing w:line="560" w:lineRule="exact"/>
        <w:ind w:firstLine="480" w:firstLineChars="200"/>
        <w:outlineLvl w:val="0"/>
        <w:rPr>
          <w:rFonts w:ascii="宋体" w:hAnsi="宋体" w:cs="宋体"/>
          <w:sz w:val="24"/>
        </w:rPr>
      </w:pPr>
      <w:r>
        <w:rPr>
          <w:rFonts w:hint="eastAsia" w:ascii="宋体" w:hAnsi="宋体" w:cs="宋体"/>
          <w:sz w:val="24"/>
        </w:rPr>
        <w:t>1.6.2资金支付的方式、时间和条件详见</w:t>
      </w:r>
      <w:r>
        <w:rPr>
          <w:rFonts w:hint="eastAsia" w:ascii="宋体" w:hAnsi="宋体" w:cs="宋体"/>
          <w:b/>
          <w:i/>
          <w:sz w:val="24"/>
          <w:u w:val="single"/>
        </w:rPr>
        <w:t>合同专用条款</w:t>
      </w:r>
      <w:r>
        <w:rPr>
          <w:rFonts w:hint="eastAsia" w:ascii="宋体" w:hAnsi="宋体" w:cs="宋体"/>
          <w:sz w:val="24"/>
        </w:rPr>
        <w:t>。</w:t>
      </w:r>
    </w:p>
    <w:p w14:paraId="3489A0F3">
      <w:pPr>
        <w:spacing w:line="560" w:lineRule="exact"/>
        <w:ind w:firstLine="482" w:firstLineChars="200"/>
        <w:outlineLvl w:val="0"/>
        <w:rPr>
          <w:rFonts w:ascii="宋体" w:hAnsi="宋体" w:cs="宋体"/>
          <w:b/>
          <w:sz w:val="24"/>
        </w:rPr>
      </w:pPr>
      <w:r>
        <w:rPr>
          <w:rFonts w:hint="eastAsia" w:ascii="宋体" w:hAnsi="宋体" w:cs="宋体"/>
          <w:b/>
          <w:sz w:val="24"/>
        </w:rPr>
        <w:t>1.7货物交付期限、地点和方式</w:t>
      </w:r>
    </w:p>
    <w:p w14:paraId="79F07A97">
      <w:pPr>
        <w:spacing w:line="560" w:lineRule="exact"/>
        <w:ind w:firstLine="480" w:firstLineChars="200"/>
        <w:rPr>
          <w:rFonts w:ascii="宋体" w:hAnsi="宋体" w:cs="宋体"/>
          <w:sz w:val="24"/>
          <w:u w:val="single"/>
        </w:rPr>
      </w:pPr>
      <w:r>
        <w:rPr>
          <w:rFonts w:hint="eastAsia" w:ascii="宋体" w:hAnsi="宋体" w:cs="宋体"/>
          <w:sz w:val="24"/>
        </w:rPr>
        <w:t>1.7.1 交付期限：详见</w:t>
      </w:r>
      <w:r>
        <w:rPr>
          <w:rFonts w:hint="eastAsia" w:ascii="宋体" w:hAnsi="宋体" w:cs="宋体"/>
          <w:b/>
          <w:i/>
          <w:sz w:val="24"/>
          <w:u w:val="single"/>
        </w:rPr>
        <w:t>合同专用条款</w:t>
      </w:r>
      <w:r>
        <w:rPr>
          <w:rFonts w:hint="eastAsia" w:ascii="宋体" w:hAnsi="宋体" w:cs="宋体"/>
          <w:sz w:val="24"/>
        </w:rPr>
        <w:t>；</w:t>
      </w:r>
    </w:p>
    <w:p w14:paraId="1104DDFF">
      <w:pPr>
        <w:spacing w:line="560" w:lineRule="exact"/>
        <w:ind w:firstLine="480" w:firstLineChars="200"/>
        <w:rPr>
          <w:rFonts w:ascii="宋体" w:hAnsi="宋体" w:cs="宋体"/>
          <w:sz w:val="24"/>
        </w:rPr>
      </w:pPr>
      <w:r>
        <w:rPr>
          <w:rFonts w:hint="eastAsia" w:ascii="宋体" w:hAnsi="宋体" w:cs="宋体"/>
          <w:sz w:val="24"/>
        </w:rPr>
        <w:t>1.7.2 交付地点：</w:t>
      </w:r>
      <w:r>
        <w:rPr>
          <w:rFonts w:hint="eastAsia" w:ascii="宋体" w:hAnsi="宋体" w:cs="宋体"/>
          <w:b/>
          <w:i/>
          <w:sz w:val="24"/>
          <w:u w:val="single"/>
        </w:rPr>
        <w:t>合同专用条款</w:t>
      </w:r>
      <w:r>
        <w:rPr>
          <w:rFonts w:hint="eastAsia" w:ascii="宋体" w:hAnsi="宋体" w:cs="宋体"/>
          <w:sz w:val="24"/>
        </w:rPr>
        <w:t>；</w:t>
      </w:r>
    </w:p>
    <w:p w14:paraId="19B35F25">
      <w:pPr>
        <w:spacing w:line="560" w:lineRule="exact"/>
        <w:ind w:firstLine="480" w:firstLineChars="200"/>
        <w:rPr>
          <w:rFonts w:ascii="宋体" w:hAnsi="宋体" w:cs="宋体"/>
          <w:sz w:val="24"/>
        </w:rPr>
      </w:pPr>
      <w:r>
        <w:rPr>
          <w:rFonts w:hint="eastAsia" w:ascii="宋体" w:hAnsi="宋体" w:cs="宋体"/>
          <w:sz w:val="24"/>
        </w:rPr>
        <w:t>1.7.3 交付方式：</w:t>
      </w:r>
      <w:r>
        <w:rPr>
          <w:rFonts w:hint="eastAsia" w:ascii="宋体" w:hAnsi="宋体" w:cs="宋体"/>
          <w:b/>
          <w:i/>
          <w:sz w:val="24"/>
          <w:u w:val="single"/>
        </w:rPr>
        <w:t>合同专用条款</w:t>
      </w:r>
      <w:r>
        <w:rPr>
          <w:rFonts w:hint="eastAsia" w:ascii="宋体" w:hAnsi="宋体" w:cs="宋体"/>
          <w:sz w:val="24"/>
        </w:rPr>
        <w:t>。</w:t>
      </w:r>
    </w:p>
    <w:p w14:paraId="461C300A">
      <w:pPr>
        <w:spacing w:line="560" w:lineRule="exact"/>
        <w:ind w:firstLine="482" w:firstLineChars="200"/>
        <w:outlineLvl w:val="0"/>
        <w:rPr>
          <w:rFonts w:ascii="宋体" w:hAnsi="宋体" w:cs="宋体"/>
          <w:b/>
          <w:sz w:val="24"/>
        </w:rPr>
      </w:pPr>
      <w:r>
        <w:rPr>
          <w:rFonts w:hint="eastAsia" w:ascii="宋体" w:hAnsi="宋体" w:cs="宋体"/>
          <w:b/>
          <w:sz w:val="24"/>
        </w:rPr>
        <w:t>1.8违约责任</w:t>
      </w:r>
    </w:p>
    <w:p w14:paraId="49BCB270">
      <w:pPr>
        <w:spacing w:line="560" w:lineRule="exact"/>
        <w:ind w:firstLine="480" w:firstLineChars="200"/>
        <w:rPr>
          <w:rFonts w:ascii="宋体" w:hAnsi="宋体" w:cs="宋体"/>
          <w:sz w:val="24"/>
        </w:rPr>
      </w:pPr>
      <w:r>
        <w:rPr>
          <w:rFonts w:hint="eastAsia" w:ascii="宋体" w:hAnsi="宋体" w:cs="宋体"/>
          <w:sz w:val="24"/>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lang w:val="en-US" w:eastAsia="zh-CN"/>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%；迟延交付货物的违约金计算数额达到前述最高限额之日起，甲方有权在要求乙方支付违约金的同时，书面通知乙方解除本合同；</w:t>
      </w:r>
    </w:p>
    <w:p w14:paraId="163BAC22">
      <w:pPr>
        <w:spacing w:line="560" w:lineRule="exact"/>
        <w:ind w:firstLine="480" w:firstLineChars="200"/>
        <w:rPr>
          <w:rFonts w:ascii="宋体" w:hAnsi="宋体" w:cs="宋体"/>
          <w:sz w:val="24"/>
        </w:rPr>
      </w:pPr>
      <w:r>
        <w:rPr>
          <w:rFonts w:hint="eastAsia" w:ascii="宋体" w:hAnsi="宋体" w:cs="宋体"/>
          <w:sz w:val="24"/>
        </w:rPr>
        <w:t>1.8.2 除不可抗力外，如果甲方没有按照本合同约定的付款方式付款，那么乙方可要求甲方支付违约金，违约金按每迟延付款一日的应付而未付款的</w:t>
      </w:r>
      <w:r>
        <w:rPr>
          <w:rFonts w:hint="eastAsia" w:ascii="宋体" w:hAnsi="宋体" w:cs="宋体"/>
          <w:sz w:val="24"/>
          <w:lang w:val="en-US" w:eastAsia="zh-CN"/>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p>
    <w:p w14:paraId="068C3F7D">
      <w:pPr>
        <w:spacing w:line="560" w:lineRule="exact"/>
        <w:ind w:firstLine="480" w:firstLineChars="200"/>
        <w:rPr>
          <w:rFonts w:ascii="宋体" w:hAnsi="宋体" w:cs="宋体"/>
          <w:sz w:val="24"/>
        </w:rPr>
      </w:pPr>
      <w:r>
        <w:rPr>
          <w:rFonts w:hint="eastAsia" w:ascii="宋体" w:hAnsi="宋体" w:cs="宋体"/>
          <w:sz w:val="24"/>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77961C9">
      <w:pPr>
        <w:spacing w:line="560" w:lineRule="exact"/>
        <w:ind w:firstLine="480" w:firstLineChars="200"/>
        <w:rPr>
          <w:rFonts w:ascii="宋体" w:hAnsi="宋体" w:cs="宋体"/>
          <w:sz w:val="24"/>
        </w:rPr>
      </w:pPr>
      <w:r>
        <w:rPr>
          <w:rFonts w:hint="eastAsia" w:ascii="宋体" w:hAnsi="宋体" w:cs="宋体"/>
          <w:sz w:val="24"/>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3D49E96">
      <w:pPr>
        <w:spacing w:line="560" w:lineRule="exact"/>
        <w:ind w:firstLine="480" w:firstLineChars="200"/>
        <w:rPr>
          <w:rFonts w:ascii="宋体" w:hAnsi="宋体" w:cs="宋体"/>
          <w:sz w:val="24"/>
        </w:rPr>
      </w:pPr>
      <w:r>
        <w:rPr>
          <w:rFonts w:hint="eastAsia" w:ascii="宋体" w:hAnsi="宋体" w:cs="宋体"/>
          <w:sz w:val="24"/>
        </w:rPr>
        <w:t>1.8.5如果出现政府采购监督管理部门在处理投诉事项期间，书面通知甲方暂停采购活动的情形，或者询问或质疑事项可能影响中标或者成交结果的，导致甲方中止履行合同的情形，均不视为甲方违约。</w:t>
      </w:r>
    </w:p>
    <w:p w14:paraId="3E942843">
      <w:pPr>
        <w:spacing w:line="560" w:lineRule="exact"/>
        <w:ind w:left="-420" w:leftChars="-200" w:right="-420" w:rightChars="-200" w:firstLine="960" w:firstLineChars="400"/>
        <w:rPr>
          <w:rFonts w:ascii="宋体" w:hAnsi="宋体" w:cs="宋体"/>
        </w:rPr>
      </w:pPr>
      <w:r>
        <w:rPr>
          <w:rFonts w:hint="eastAsia" w:ascii="宋体" w:hAnsi="宋体" w:cs="宋体"/>
          <w:sz w:val="24"/>
        </w:rPr>
        <w:t>1.8.6违约责任</w:t>
      </w:r>
      <w:r>
        <w:rPr>
          <w:rFonts w:hint="eastAsia" w:ascii="宋体" w:hAnsi="宋体" w:cs="宋体"/>
          <w:b/>
          <w:i/>
          <w:sz w:val="24"/>
          <w:u w:val="single"/>
        </w:rPr>
        <w:t>合同专用条款</w:t>
      </w:r>
      <w:r>
        <w:rPr>
          <w:rFonts w:hint="eastAsia" w:ascii="宋体" w:hAnsi="宋体" w:cs="宋体"/>
          <w:sz w:val="24"/>
        </w:rPr>
        <w:t>另有约定的，从其约定。</w:t>
      </w:r>
    </w:p>
    <w:p w14:paraId="7E3D2F5A">
      <w:pPr>
        <w:spacing w:line="560" w:lineRule="exact"/>
        <w:ind w:firstLine="482" w:firstLineChars="200"/>
        <w:outlineLvl w:val="0"/>
        <w:rPr>
          <w:rFonts w:ascii="宋体" w:hAnsi="宋体" w:cs="宋体"/>
          <w:b/>
          <w:sz w:val="24"/>
        </w:rPr>
      </w:pPr>
      <w:r>
        <w:rPr>
          <w:rFonts w:hint="eastAsia" w:ascii="宋体" w:hAnsi="宋体" w:cs="宋体"/>
          <w:b/>
          <w:sz w:val="24"/>
        </w:rPr>
        <w:t>1.9合同争议的解决</w:t>
      </w:r>
    </w:p>
    <w:p w14:paraId="3A3D904A">
      <w:pPr>
        <w:spacing w:line="560" w:lineRule="exact"/>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合同专用条款  </w:t>
      </w:r>
      <w:r>
        <w:rPr>
          <w:rFonts w:hint="eastAsia" w:ascii="宋体" w:hAnsi="宋体" w:cs="宋体"/>
          <w:sz w:val="24"/>
        </w:rPr>
        <w:t>条款规定的方式解决：</w:t>
      </w:r>
    </w:p>
    <w:p w14:paraId="70241A5F">
      <w:pPr>
        <w:spacing w:line="560" w:lineRule="exact"/>
        <w:ind w:left="-420" w:leftChars="-200" w:right="-420" w:rightChars="-200" w:firstLine="840" w:firstLineChars="350"/>
        <w:rPr>
          <w:rFonts w:ascii="宋体" w:hAnsi="宋体" w:cs="宋体"/>
          <w:sz w:val="24"/>
        </w:rPr>
      </w:pPr>
      <w:r>
        <w:rPr>
          <w:rFonts w:hint="eastAsia" w:ascii="宋体" w:hAnsi="宋体" w:cs="宋体"/>
          <w:sz w:val="24"/>
        </w:rPr>
        <w:t>1.9.1 将争议提交</w:t>
      </w:r>
      <w:r>
        <w:rPr>
          <w:rFonts w:hint="eastAsia" w:ascii="宋体" w:hAnsi="宋体" w:cs="宋体"/>
          <w:b/>
          <w:i/>
          <w:sz w:val="24"/>
          <w:u w:val="single"/>
        </w:rPr>
        <w:t>合同专用条款</w:t>
      </w:r>
      <w:r>
        <w:rPr>
          <w:rFonts w:hint="eastAsia" w:ascii="宋体" w:hAnsi="宋体" w:cs="宋体"/>
          <w:sz w:val="24"/>
        </w:rPr>
        <w:t>仲裁委员会依申请仲裁时其现行有效的仲裁规则裁决；</w:t>
      </w:r>
    </w:p>
    <w:p w14:paraId="474B4136">
      <w:pPr>
        <w:spacing w:line="560" w:lineRule="exact"/>
        <w:ind w:left="-420" w:leftChars="-200" w:right="-420" w:rightChars="-200" w:firstLine="840" w:firstLineChars="350"/>
        <w:rPr>
          <w:rFonts w:ascii="宋体" w:hAnsi="宋体" w:cs="宋体"/>
          <w:sz w:val="24"/>
        </w:rPr>
      </w:pPr>
      <w:r>
        <w:rPr>
          <w:rFonts w:hint="eastAsia" w:ascii="宋体" w:hAnsi="宋体" w:cs="宋体"/>
          <w:sz w:val="24"/>
        </w:rPr>
        <w:t>1.9.2 向</w:t>
      </w:r>
      <w:r>
        <w:rPr>
          <w:rFonts w:hint="eastAsia" w:ascii="宋体" w:hAnsi="宋体" w:cs="宋体"/>
          <w:b/>
          <w:i/>
          <w:sz w:val="24"/>
          <w:u w:val="single"/>
        </w:rPr>
        <w:t>合同专用条款</w:t>
      </w:r>
      <w:r>
        <w:rPr>
          <w:rFonts w:hint="eastAsia" w:ascii="宋体" w:hAnsi="宋体" w:cs="宋体"/>
          <w:sz w:val="24"/>
        </w:rPr>
        <w:t>人民法院起诉。</w:t>
      </w:r>
    </w:p>
    <w:p w14:paraId="4F63BB14">
      <w:pPr>
        <w:spacing w:line="560" w:lineRule="exact"/>
        <w:ind w:firstLine="482" w:firstLineChars="200"/>
        <w:outlineLvl w:val="0"/>
        <w:rPr>
          <w:rFonts w:ascii="宋体" w:hAnsi="宋体" w:cs="宋体"/>
          <w:b/>
          <w:sz w:val="24"/>
        </w:rPr>
      </w:pPr>
      <w:r>
        <w:rPr>
          <w:rFonts w:hint="eastAsia" w:ascii="宋体" w:hAnsi="宋体" w:cs="宋体"/>
          <w:b/>
          <w:sz w:val="24"/>
        </w:rPr>
        <w:t>1.10 合同生效</w:t>
      </w:r>
    </w:p>
    <w:p w14:paraId="670A15E3">
      <w:pPr>
        <w:spacing w:line="560" w:lineRule="exact"/>
        <w:ind w:firstLine="480" w:firstLineChars="200"/>
        <w:rPr>
          <w:rFonts w:ascii="宋体" w:hAnsi="宋体" w:cs="宋体"/>
          <w:b/>
          <w:sz w:val="24"/>
        </w:rPr>
      </w:pPr>
      <w:r>
        <w:rPr>
          <w:rFonts w:hint="eastAsia" w:ascii="宋体" w:hAnsi="宋体" w:cs="宋体"/>
          <w:sz w:val="24"/>
        </w:rPr>
        <w:t>本合同自双方当事人盖章签字时生效。</w:t>
      </w:r>
    </w:p>
    <w:p w14:paraId="360859B5">
      <w:pPr>
        <w:autoSpaceDE w:val="0"/>
        <w:autoSpaceDN w:val="0"/>
        <w:spacing w:line="560" w:lineRule="exact"/>
        <w:rPr>
          <w:rFonts w:ascii="宋体" w:hAnsi="宋体" w:cs="宋体"/>
          <w:sz w:val="24"/>
          <w:lang w:val="zh-CN"/>
        </w:rPr>
      </w:pPr>
    </w:p>
    <w:p w14:paraId="27DCF922">
      <w:pPr>
        <w:autoSpaceDE w:val="0"/>
        <w:autoSpaceDN w:val="0"/>
        <w:spacing w:line="560" w:lineRule="exact"/>
        <w:rPr>
          <w:rFonts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14:paraId="5988D843">
      <w:pPr>
        <w:autoSpaceDE w:val="0"/>
        <w:autoSpaceDN w:val="0"/>
        <w:spacing w:line="560" w:lineRule="exact"/>
        <w:rPr>
          <w:rFonts w:ascii="宋体" w:hAnsi="宋体" w:cs="宋体"/>
          <w:sz w:val="24"/>
          <w:lang w:val="zh-CN"/>
        </w:rPr>
      </w:pPr>
      <w:r>
        <w:rPr>
          <w:rFonts w:hint="eastAsia" w:ascii="宋体" w:hAnsi="宋体" w:cs="宋体"/>
          <w:sz w:val="24"/>
          <w:lang w:val="zh-CN"/>
        </w:rPr>
        <w:t>统一社会信用代码：                        统一社会信用代码或身份证号码：</w:t>
      </w:r>
    </w:p>
    <w:p w14:paraId="17AC40F7">
      <w:pPr>
        <w:autoSpaceDE w:val="0"/>
        <w:autoSpaceDN w:val="0"/>
        <w:spacing w:line="560" w:lineRule="exact"/>
        <w:rPr>
          <w:rFonts w:ascii="宋体" w:hAnsi="宋体" w:cs="宋体"/>
          <w:sz w:val="24"/>
          <w:lang w:val="zh-CN"/>
        </w:rPr>
      </w:pPr>
    </w:p>
    <w:p w14:paraId="323DE914">
      <w:pPr>
        <w:autoSpaceDE w:val="0"/>
        <w:autoSpaceDN w:val="0"/>
        <w:spacing w:line="560" w:lineRule="exact"/>
        <w:rPr>
          <w:rFonts w:ascii="宋体" w:hAnsi="宋体" w:cs="宋体"/>
          <w:sz w:val="24"/>
          <w:lang w:val="zh-CN"/>
        </w:rPr>
      </w:pPr>
      <w:r>
        <w:rPr>
          <w:rFonts w:hint="eastAsia" w:ascii="宋体" w:hAnsi="宋体" w:cs="宋体"/>
          <w:sz w:val="24"/>
          <w:lang w:val="zh-CN"/>
        </w:rPr>
        <w:t>住所：                                   住所：</w:t>
      </w:r>
    </w:p>
    <w:p w14:paraId="5B16DA00">
      <w:pPr>
        <w:autoSpaceDE w:val="0"/>
        <w:autoSpaceDN w:val="0"/>
        <w:spacing w:line="560" w:lineRule="exact"/>
        <w:rPr>
          <w:rFonts w:ascii="宋体" w:hAnsi="宋体" w:cs="宋体"/>
          <w:sz w:val="24"/>
          <w:lang w:val="zh-CN"/>
        </w:rPr>
      </w:pPr>
      <w:r>
        <w:rPr>
          <w:rFonts w:hint="eastAsia" w:ascii="宋体" w:hAnsi="宋体" w:cs="宋体"/>
          <w:sz w:val="24"/>
          <w:lang w:val="zh-CN"/>
        </w:rPr>
        <w:t>法定代表人或                             法定代表人</w:t>
      </w:r>
    </w:p>
    <w:p w14:paraId="7B17451A">
      <w:pPr>
        <w:autoSpaceDE w:val="0"/>
        <w:autoSpaceDN w:val="0"/>
        <w:spacing w:line="560" w:lineRule="exact"/>
        <w:rPr>
          <w:rFonts w:ascii="宋体" w:hAnsi="宋体" w:cs="宋体"/>
          <w:sz w:val="24"/>
          <w:lang w:val="zh-CN"/>
        </w:rPr>
      </w:pPr>
      <w:r>
        <w:rPr>
          <w:rFonts w:hint="eastAsia" w:ascii="宋体" w:hAnsi="宋体" w:cs="宋体"/>
          <w:sz w:val="24"/>
          <w:lang w:val="zh-CN"/>
        </w:rPr>
        <w:t xml:space="preserve">授权代表（签字）：                        或授权代表（签字）: </w:t>
      </w:r>
    </w:p>
    <w:p w14:paraId="31094B2F">
      <w:pPr>
        <w:autoSpaceDE w:val="0"/>
        <w:autoSpaceDN w:val="0"/>
        <w:spacing w:line="560" w:lineRule="exact"/>
        <w:rPr>
          <w:rFonts w:ascii="宋体" w:hAnsi="宋体" w:cs="宋体"/>
          <w:sz w:val="24"/>
          <w:lang w:val="zh-CN"/>
        </w:rPr>
      </w:pPr>
      <w:r>
        <w:rPr>
          <w:rFonts w:hint="eastAsia" w:ascii="宋体" w:hAnsi="宋体" w:cs="宋体"/>
          <w:sz w:val="24"/>
          <w:lang w:val="zh-CN"/>
        </w:rPr>
        <w:t>联系人：                                 联系人：</w:t>
      </w:r>
    </w:p>
    <w:p w14:paraId="3017577D">
      <w:pPr>
        <w:autoSpaceDE w:val="0"/>
        <w:autoSpaceDN w:val="0"/>
        <w:spacing w:line="560" w:lineRule="exact"/>
        <w:rPr>
          <w:rFonts w:ascii="宋体" w:hAnsi="宋体" w:cs="宋体"/>
          <w:sz w:val="24"/>
          <w:lang w:val="zh-CN"/>
        </w:rPr>
      </w:pPr>
      <w:r>
        <w:rPr>
          <w:rFonts w:hint="eastAsia" w:ascii="宋体" w:hAnsi="宋体" w:cs="宋体"/>
          <w:sz w:val="24"/>
          <w:lang w:val="zh-CN"/>
        </w:rPr>
        <w:t>约定送达地址：                           约定送达地址：</w:t>
      </w:r>
    </w:p>
    <w:p w14:paraId="70F08902">
      <w:pPr>
        <w:autoSpaceDE w:val="0"/>
        <w:autoSpaceDN w:val="0"/>
        <w:spacing w:line="560" w:lineRule="exact"/>
        <w:rPr>
          <w:rFonts w:ascii="宋体" w:hAnsi="宋体" w:cs="宋体"/>
          <w:sz w:val="24"/>
          <w:lang w:val="zh-CN"/>
        </w:rPr>
      </w:pPr>
      <w:r>
        <w:rPr>
          <w:rFonts w:hint="eastAsia" w:ascii="宋体" w:hAnsi="宋体" w:cs="宋体"/>
          <w:sz w:val="24"/>
          <w:lang w:val="zh-CN"/>
        </w:rPr>
        <w:t>邮政编码：                               邮政编码：</w:t>
      </w:r>
    </w:p>
    <w:p w14:paraId="3FEFEF26">
      <w:pPr>
        <w:autoSpaceDE w:val="0"/>
        <w:autoSpaceDN w:val="0"/>
        <w:spacing w:line="560" w:lineRule="exact"/>
        <w:rPr>
          <w:rFonts w:ascii="宋体" w:hAnsi="宋体" w:cs="宋体"/>
          <w:sz w:val="24"/>
          <w:lang w:val="zh-CN"/>
        </w:rPr>
      </w:pPr>
      <w:r>
        <w:rPr>
          <w:rFonts w:hint="eastAsia" w:ascii="宋体" w:hAnsi="宋体" w:cs="宋体"/>
          <w:sz w:val="24"/>
          <w:lang w:val="zh-CN"/>
        </w:rPr>
        <w:t xml:space="preserve">电话:                                    电话: </w:t>
      </w:r>
    </w:p>
    <w:p w14:paraId="6C6AA3D8">
      <w:pPr>
        <w:autoSpaceDE w:val="0"/>
        <w:autoSpaceDN w:val="0"/>
        <w:spacing w:line="560" w:lineRule="exact"/>
        <w:rPr>
          <w:rFonts w:ascii="宋体" w:hAnsi="宋体" w:cs="宋体"/>
          <w:sz w:val="24"/>
          <w:lang w:val="zh-CN"/>
        </w:rPr>
      </w:pPr>
      <w:r>
        <w:rPr>
          <w:rFonts w:hint="eastAsia" w:ascii="宋体" w:hAnsi="宋体" w:cs="宋体"/>
          <w:sz w:val="24"/>
          <w:lang w:val="zh-CN"/>
        </w:rPr>
        <w:t>传真:                                    传真:</w:t>
      </w:r>
    </w:p>
    <w:p w14:paraId="2253C4F5">
      <w:pPr>
        <w:autoSpaceDE w:val="0"/>
        <w:autoSpaceDN w:val="0"/>
        <w:spacing w:line="560" w:lineRule="exact"/>
        <w:rPr>
          <w:rFonts w:ascii="宋体" w:hAnsi="宋体" w:cs="宋体"/>
          <w:sz w:val="24"/>
        </w:rPr>
      </w:pPr>
      <w:r>
        <w:rPr>
          <w:rFonts w:hint="eastAsia" w:ascii="宋体" w:hAnsi="宋体" w:cs="宋体"/>
          <w:sz w:val="24"/>
          <w:lang w:val="zh-CN"/>
        </w:rPr>
        <w:t>电子邮箱：                               电子邮箱：</w:t>
      </w:r>
    </w:p>
    <w:p w14:paraId="083AD0A6">
      <w:pPr>
        <w:autoSpaceDE w:val="0"/>
        <w:autoSpaceDN w:val="0"/>
        <w:spacing w:line="560" w:lineRule="exact"/>
        <w:rPr>
          <w:rFonts w:ascii="宋体" w:hAnsi="宋体" w:cs="宋体"/>
          <w:sz w:val="24"/>
        </w:rPr>
      </w:pPr>
      <w:r>
        <w:rPr>
          <w:rFonts w:hint="eastAsia" w:ascii="宋体" w:hAnsi="宋体" w:cs="宋体"/>
          <w:sz w:val="24"/>
        </w:rPr>
        <w:t xml:space="preserve">开户银行：                               开户银行： </w:t>
      </w:r>
    </w:p>
    <w:p w14:paraId="640A5AB7">
      <w:pPr>
        <w:autoSpaceDE w:val="0"/>
        <w:autoSpaceDN w:val="0"/>
        <w:spacing w:line="560" w:lineRule="exact"/>
        <w:rPr>
          <w:rFonts w:ascii="宋体" w:hAnsi="宋体" w:cs="宋体"/>
          <w:sz w:val="24"/>
        </w:rPr>
      </w:pPr>
      <w:r>
        <w:rPr>
          <w:rFonts w:hint="eastAsia" w:ascii="宋体" w:hAnsi="宋体" w:cs="宋体"/>
          <w:sz w:val="24"/>
        </w:rPr>
        <w:t xml:space="preserve">开户名称：                               开户名称： </w:t>
      </w:r>
    </w:p>
    <w:p w14:paraId="13658327">
      <w:pPr>
        <w:autoSpaceDE w:val="0"/>
        <w:autoSpaceDN w:val="0"/>
        <w:spacing w:line="560" w:lineRule="exact"/>
        <w:rPr>
          <w:rFonts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14:paraId="46AE7958">
      <w:pPr>
        <w:pStyle w:val="3"/>
        <w:rPr>
          <w:rFonts w:ascii="宋体" w:hAnsi="宋体" w:cs="宋体"/>
          <w:sz w:val="24"/>
        </w:rPr>
      </w:pPr>
    </w:p>
    <w:p w14:paraId="0AEED4CF">
      <w:pPr>
        <w:rPr>
          <w:rFonts w:ascii="宋体" w:hAnsi="宋体" w:cs="宋体"/>
          <w:b/>
        </w:rPr>
      </w:pPr>
    </w:p>
    <w:p w14:paraId="1B21CA98">
      <w:pPr>
        <w:pStyle w:val="706"/>
        <w:spacing w:line="560" w:lineRule="exact"/>
        <w:ind w:firstLine="482"/>
        <w:jc w:val="center"/>
        <w:rPr>
          <w:rFonts w:ascii="宋体" w:hAnsi="宋体" w:cs="宋体"/>
          <w:b/>
          <w:szCs w:val="24"/>
        </w:rPr>
      </w:pPr>
      <w:r>
        <w:rPr>
          <w:rFonts w:hint="eastAsia" w:ascii="宋体" w:hAnsi="宋体" w:cs="宋体"/>
          <w:b/>
          <w:szCs w:val="24"/>
        </w:rPr>
        <w:t>第二部分 合同一般条款</w:t>
      </w:r>
    </w:p>
    <w:p w14:paraId="0C611550">
      <w:pPr>
        <w:spacing w:line="560" w:lineRule="exact"/>
        <w:ind w:firstLine="482" w:firstLineChars="200"/>
        <w:outlineLvl w:val="0"/>
        <w:rPr>
          <w:rFonts w:ascii="宋体" w:hAnsi="宋体" w:cs="宋体"/>
          <w:b/>
          <w:sz w:val="24"/>
        </w:rPr>
      </w:pPr>
      <w:r>
        <w:rPr>
          <w:rFonts w:hint="eastAsia" w:ascii="宋体" w:hAnsi="宋体" w:cs="宋体"/>
          <w:b/>
          <w:sz w:val="24"/>
        </w:rPr>
        <w:t>2.1 定义</w:t>
      </w:r>
    </w:p>
    <w:p w14:paraId="46F8BB2C">
      <w:pPr>
        <w:spacing w:line="560" w:lineRule="exact"/>
        <w:ind w:firstLine="480" w:firstLineChars="200"/>
        <w:rPr>
          <w:rFonts w:ascii="宋体" w:hAnsi="宋体" w:cs="宋体"/>
          <w:sz w:val="24"/>
        </w:rPr>
      </w:pPr>
      <w:r>
        <w:rPr>
          <w:rFonts w:hint="eastAsia" w:ascii="宋体" w:hAnsi="宋体" w:cs="宋体"/>
          <w:sz w:val="24"/>
        </w:rPr>
        <w:t>本合同中的下列词语应按以下内容进行解释：</w:t>
      </w:r>
    </w:p>
    <w:p w14:paraId="5E6399CE">
      <w:pPr>
        <w:spacing w:line="560" w:lineRule="exact"/>
        <w:ind w:firstLine="480" w:firstLineChars="200"/>
        <w:rPr>
          <w:rFonts w:ascii="宋体" w:hAnsi="宋体" w:cs="宋体"/>
          <w:sz w:val="24"/>
        </w:rPr>
      </w:pPr>
      <w:r>
        <w:rPr>
          <w:rFonts w:hint="eastAsia" w:ascii="宋体" w:hAnsi="宋体" w:cs="宋体"/>
          <w:sz w:val="24"/>
        </w:rPr>
        <w:t>2.1.1 “合同”系指采购人和中标或成交供应商签订的载明双方当事人所达成的协议，并包括所有的附件、附录和构成合同的其他文件。</w:t>
      </w:r>
    </w:p>
    <w:p w14:paraId="7C780B1B">
      <w:pPr>
        <w:spacing w:line="560" w:lineRule="exact"/>
        <w:ind w:firstLine="480" w:firstLineChars="200"/>
        <w:rPr>
          <w:rFonts w:ascii="宋体" w:hAnsi="宋体" w:cs="宋体"/>
          <w:sz w:val="24"/>
        </w:rPr>
      </w:pPr>
      <w:r>
        <w:rPr>
          <w:rFonts w:hint="eastAsia" w:ascii="宋体" w:hAnsi="宋体" w:cs="宋体"/>
          <w:sz w:val="24"/>
        </w:rPr>
        <w:t>2.1.2 “合同价”系指根据合同约定，中标或成交供应商在完全履行合同义务后，采购人应支付给中标或成交供应商的价格。</w:t>
      </w:r>
    </w:p>
    <w:p w14:paraId="38F44057">
      <w:pPr>
        <w:spacing w:line="560" w:lineRule="exact"/>
        <w:ind w:firstLine="480" w:firstLineChars="200"/>
        <w:rPr>
          <w:rFonts w:ascii="宋体" w:hAnsi="宋体" w:cs="宋体"/>
          <w:sz w:val="24"/>
        </w:rPr>
      </w:pPr>
      <w:r>
        <w:rPr>
          <w:rFonts w:hint="eastAsia" w:ascii="宋体" w:hAnsi="宋体" w:cs="宋体"/>
          <w:sz w:val="24"/>
        </w:rPr>
        <w:t>2.1.3 “货物”系指中标或成交供应商根据合同约定应向采购人交付的一切各种形态和种类的物品，包括原材料、燃料、设备、机械、仪表、备件、计算机软件、产品等，并包括工具、手册等其他相关资料。</w:t>
      </w:r>
    </w:p>
    <w:p w14:paraId="7CDC0DDA">
      <w:pPr>
        <w:spacing w:line="560" w:lineRule="exact"/>
        <w:ind w:firstLine="480" w:firstLineChars="200"/>
        <w:rPr>
          <w:rFonts w:ascii="宋体" w:hAnsi="宋体" w:cs="宋体"/>
          <w:sz w:val="24"/>
        </w:rPr>
      </w:pPr>
      <w:r>
        <w:rPr>
          <w:rFonts w:hint="eastAsia" w:ascii="宋体" w:hAnsi="宋体" w:cs="宋体"/>
          <w:sz w:val="24"/>
        </w:rPr>
        <w:t>2.1.4 “甲方”系指与中标供应商签署合同的采购人；采购人委托采购代理机构代表其与乙方签订合同的，采购人的授权委托书作为合同附件。</w:t>
      </w:r>
    </w:p>
    <w:p w14:paraId="2BF02ECD">
      <w:pPr>
        <w:spacing w:line="560" w:lineRule="exact"/>
        <w:ind w:firstLine="480" w:firstLineChars="200"/>
        <w:rPr>
          <w:rFonts w:ascii="宋体" w:hAnsi="宋体" w:cs="宋体"/>
          <w:sz w:val="24"/>
        </w:rPr>
      </w:pPr>
      <w:r>
        <w:rPr>
          <w:rFonts w:hint="eastAsia" w:ascii="宋体" w:hAnsi="宋体" w:cs="宋体"/>
          <w:sz w:val="24"/>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217915B">
      <w:pPr>
        <w:spacing w:line="560" w:lineRule="exact"/>
        <w:ind w:firstLine="480" w:firstLineChars="200"/>
        <w:rPr>
          <w:rFonts w:ascii="宋体" w:hAnsi="宋体" w:cs="宋体"/>
          <w:sz w:val="24"/>
        </w:rPr>
      </w:pPr>
      <w:r>
        <w:rPr>
          <w:rFonts w:hint="eastAsia" w:ascii="宋体" w:hAnsi="宋体" w:cs="宋体"/>
          <w:sz w:val="24"/>
        </w:rPr>
        <w:t>2.1.6 “现场”系指合同约定货物将要运至或者安装的地点。</w:t>
      </w:r>
    </w:p>
    <w:p w14:paraId="58A586B5">
      <w:pPr>
        <w:spacing w:line="560" w:lineRule="exact"/>
        <w:ind w:firstLine="482" w:firstLineChars="200"/>
        <w:outlineLvl w:val="0"/>
        <w:rPr>
          <w:rFonts w:ascii="宋体" w:hAnsi="宋体" w:cs="宋体"/>
          <w:b/>
          <w:sz w:val="24"/>
        </w:rPr>
      </w:pPr>
      <w:r>
        <w:rPr>
          <w:rFonts w:hint="eastAsia" w:ascii="宋体" w:hAnsi="宋体" w:cs="宋体"/>
          <w:b/>
          <w:sz w:val="24"/>
        </w:rPr>
        <w:t>2.2 技术规范</w:t>
      </w:r>
    </w:p>
    <w:p w14:paraId="020FBA02">
      <w:pPr>
        <w:spacing w:line="560" w:lineRule="exact"/>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D0312D7">
      <w:pPr>
        <w:spacing w:line="560" w:lineRule="exact"/>
        <w:ind w:firstLine="482" w:firstLineChars="200"/>
        <w:outlineLvl w:val="0"/>
        <w:rPr>
          <w:rFonts w:ascii="宋体" w:hAnsi="宋体" w:cs="宋体"/>
          <w:b/>
          <w:sz w:val="24"/>
        </w:rPr>
      </w:pPr>
      <w:r>
        <w:rPr>
          <w:rFonts w:hint="eastAsia" w:ascii="宋体" w:hAnsi="宋体" w:cs="宋体"/>
          <w:b/>
          <w:sz w:val="24"/>
        </w:rPr>
        <w:t>2.3 知识产权</w:t>
      </w:r>
    </w:p>
    <w:p w14:paraId="6FC18168">
      <w:pPr>
        <w:spacing w:line="560" w:lineRule="exact"/>
        <w:ind w:firstLine="480" w:firstLineChars="200"/>
        <w:rPr>
          <w:rFonts w:ascii="宋体" w:hAnsi="宋体" w:cs="宋体"/>
          <w:sz w:val="24"/>
        </w:rPr>
      </w:pPr>
      <w:r>
        <w:rPr>
          <w:rFonts w:hint="eastAsia" w:ascii="宋体" w:hAnsi="宋体" w:cs="宋体"/>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798157B7">
      <w:pPr>
        <w:spacing w:line="560" w:lineRule="exact"/>
        <w:ind w:firstLine="480" w:firstLineChars="200"/>
        <w:rPr>
          <w:rFonts w:ascii="宋体" w:hAnsi="宋体" w:cs="宋体"/>
          <w:sz w:val="24"/>
        </w:rPr>
      </w:pPr>
      <w:r>
        <w:rPr>
          <w:rFonts w:hint="eastAsia" w:ascii="宋体" w:hAnsi="宋体" w:cs="宋体"/>
          <w:sz w:val="24"/>
        </w:rPr>
        <w:t>2.3.2具有知识产权的计算机软件等货物的知识产权归属，详见</w:t>
      </w:r>
      <w:r>
        <w:rPr>
          <w:rFonts w:hint="eastAsia" w:ascii="宋体" w:hAnsi="宋体" w:cs="宋体"/>
          <w:b/>
          <w:i/>
          <w:sz w:val="24"/>
          <w:u w:val="single"/>
        </w:rPr>
        <w:t>合同专用条款</w:t>
      </w:r>
      <w:r>
        <w:rPr>
          <w:rFonts w:hint="eastAsia" w:ascii="宋体" w:hAnsi="宋体" w:cs="宋体"/>
          <w:sz w:val="24"/>
        </w:rPr>
        <w:t>。</w:t>
      </w:r>
    </w:p>
    <w:p w14:paraId="2BA01F49">
      <w:pPr>
        <w:spacing w:line="560" w:lineRule="exact"/>
        <w:ind w:firstLine="482" w:firstLineChars="200"/>
        <w:outlineLvl w:val="0"/>
        <w:rPr>
          <w:rFonts w:ascii="宋体" w:hAnsi="宋体" w:cs="宋体"/>
          <w:b/>
          <w:sz w:val="24"/>
        </w:rPr>
      </w:pPr>
      <w:r>
        <w:rPr>
          <w:rFonts w:hint="eastAsia" w:ascii="宋体" w:hAnsi="宋体" w:cs="宋体"/>
          <w:b/>
          <w:sz w:val="24"/>
        </w:rPr>
        <w:t>2.4 包装和装运</w:t>
      </w:r>
    </w:p>
    <w:p w14:paraId="0F1551FF">
      <w:pPr>
        <w:spacing w:line="560" w:lineRule="exact"/>
        <w:ind w:firstLine="480" w:firstLineChars="200"/>
        <w:rPr>
          <w:rFonts w:ascii="宋体" w:hAnsi="宋体" w:cs="宋体"/>
          <w:sz w:val="24"/>
        </w:rPr>
      </w:pPr>
      <w:r>
        <w:rPr>
          <w:rFonts w:hint="eastAsia" w:ascii="宋体" w:hAnsi="宋体" w:cs="宋体"/>
          <w:sz w:val="24"/>
        </w:rPr>
        <w:t>2.4.1除</w:t>
      </w:r>
      <w:r>
        <w:rPr>
          <w:rFonts w:hint="eastAsia" w:ascii="宋体" w:hAnsi="宋体" w:cs="宋体"/>
          <w:b/>
          <w:i/>
          <w:sz w:val="24"/>
          <w:u w:val="single"/>
        </w:rPr>
        <w:t>合同专用条款</w:t>
      </w:r>
      <w:r>
        <w:rPr>
          <w:rFonts w:hint="eastAsia" w:ascii="宋体" w:hAnsi="宋体" w:cs="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C1D8AE4">
      <w:pPr>
        <w:spacing w:line="560" w:lineRule="exact"/>
        <w:ind w:firstLine="480" w:firstLineChars="200"/>
        <w:rPr>
          <w:rFonts w:ascii="宋体" w:hAnsi="宋体" w:cs="宋体"/>
          <w:sz w:val="24"/>
        </w:rPr>
      </w:pPr>
      <w:r>
        <w:rPr>
          <w:rFonts w:hint="eastAsia" w:ascii="宋体" w:hAnsi="宋体" w:cs="宋体"/>
          <w:sz w:val="24"/>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49F4CA28">
      <w:pPr>
        <w:spacing w:line="560" w:lineRule="exact"/>
        <w:ind w:firstLine="480" w:firstLineChars="200"/>
        <w:rPr>
          <w:rFonts w:ascii="宋体" w:hAnsi="宋体" w:cs="宋体"/>
          <w:sz w:val="24"/>
        </w:rPr>
      </w:pPr>
      <w:r>
        <w:rPr>
          <w:rFonts w:hint="eastAsia" w:ascii="宋体" w:hAnsi="宋体" w:cs="宋体"/>
          <w:sz w:val="24"/>
        </w:rPr>
        <w:t>2.4.3 装运货物的要求和通知，详见</w:t>
      </w:r>
      <w:r>
        <w:rPr>
          <w:rFonts w:hint="eastAsia" w:ascii="宋体" w:hAnsi="宋体" w:cs="宋体"/>
          <w:b/>
          <w:i/>
          <w:sz w:val="24"/>
          <w:u w:val="single"/>
        </w:rPr>
        <w:t>合同专用条款</w:t>
      </w:r>
      <w:r>
        <w:rPr>
          <w:rFonts w:hint="eastAsia" w:ascii="宋体" w:hAnsi="宋体" w:cs="宋体"/>
          <w:sz w:val="24"/>
        </w:rPr>
        <w:t>。</w:t>
      </w:r>
    </w:p>
    <w:p w14:paraId="173E3876">
      <w:pPr>
        <w:spacing w:line="560" w:lineRule="exact"/>
        <w:ind w:firstLine="482" w:firstLineChars="200"/>
        <w:outlineLvl w:val="0"/>
        <w:rPr>
          <w:rFonts w:ascii="宋体" w:hAnsi="宋体" w:cs="宋体"/>
          <w:b/>
          <w:sz w:val="24"/>
        </w:rPr>
      </w:pPr>
      <w:r>
        <w:rPr>
          <w:rFonts w:hint="eastAsia" w:ascii="宋体" w:hAnsi="宋体" w:cs="宋体"/>
          <w:b/>
          <w:sz w:val="24"/>
        </w:rPr>
        <w:t>2.5 履约检查和问题反馈</w:t>
      </w:r>
    </w:p>
    <w:p w14:paraId="2D89D196">
      <w:pPr>
        <w:spacing w:line="560" w:lineRule="exact"/>
        <w:ind w:firstLine="480" w:firstLineChars="200"/>
        <w:rPr>
          <w:rFonts w:ascii="宋体" w:hAnsi="宋体" w:cs="宋体"/>
          <w:sz w:val="24"/>
        </w:rPr>
      </w:pPr>
      <w:r>
        <w:rPr>
          <w:rFonts w:hint="eastAsia" w:ascii="宋体" w:hAnsi="宋体" w:cs="宋体"/>
          <w:sz w:val="24"/>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75BC6603">
      <w:pPr>
        <w:spacing w:line="560" w:lineRule="exact"/>
        <w:ind w:firstLine="480" w:firstLineChars="200"/>
        <w:rPr>
          <w:rFonts w:ascii="宋体" w:hAnsi="宋体" w:cs="宋体"/>
          <w:sz w:val="24"/>
        </w:rPr>
      </w:pPr>
      <w:r>
        <w:rPr>
          <w:rFonts w:hint="eastAsia" w:ascii="宋体" w:hAnsi="宋体" w:cs="宋体"/>
          <w:sz w:val="24"/>
        </w:rPr>
        <w:t>2.5.2 合同履行期间，甲方有权将履行过程中出现的问题反馈给乙方，双方当事人应以书面形式约定需要完善和改进的内容。</w:t>
      </w:r>
    </w:p>
    <w:p w14:paraId="0024AB63">
      <w:pPr>
        <w:spacing w:line="560" w:lineRule="exact"/>
        <w:ind w:firstLine="482" w:firstLineChars="200"/>
        <w:outlineLvl w:val="0"/>
        <w:rPr>
          <w:rFonts w:ascii="宋体" w:hAnsi="宋体" w:cs="宋体"/>
          <w:b/>
          <w:sz w:val="24"/>
        </w:rPr>
      </w:pPr>
      <w:r>
        <w:rPr>
          <w:rFonts w:hint="eastAsia" w:ascii="宋体" w:hAnsi="宋体" w:cs="宋体"/>
          <w:b/>
          <w:sz w:val="24"/>
        </w:rPr>
        <w:t>2.6 技术资料和保密义务</w:t>
      </w:r>
    </w:p>
    <w:p w14:paraId="093FBEC6">
      <w:pPr>
        <w:spacing w:line="560" w:lineRule="exact"/>
        <w:ind w:firstLine="480" w:firstLineChars="200"/>
        <w:rPr>
          <w:rFonts w:ascii="宋体" w:hAnsi="宋体" w:cs="宋体"/>
          <w:sz w:val="24"/>
        </w:rPr>
      </w:pPr>
      <w:r>
        <w:rPr>
          <w:rFonts w:hint="eastAsia" w:ascii="宋体" w:hAnsi="宋体" w:cs="宋体"/>
          <w:sz w:val="24"/>
        </w:rPr>
        <w:t>2.6.1 乙方有权依据合同约定和项目需要，向甲方了解有关情况，调阅有关资料等，甲方应予积极配合；</w:t>
      </w:r>
    </w:p>
    <w:p w14:paraId="47C012ED">
      <w:pPr>
        <w:spacing w:line="560" w:lineRule="exact"/>
        <w:ind w:firstLine="480" w:firstLineChars="200"/>
        <w:rPr>
          <w:rFonts w:ascii="宋体" w:hAnsi="宋体" w:cs="宋体"/>
          <w:sz w:val="24"/>
        </w:rPr>
      </w:pPr>
      <w:r>
        <w:rPr>
          <w:rFonts w:hint="eastAsia" w:ascii="宋体" w:hAnsi="宋体" w:cs="宋体"/>
          <w:sz w:val="24"/>
        </w:rPr>
        <w:t>2.6.2 乙方有义务妥善保管和保护由甲方提供的前款信息和资料等；</w:t>
      </w:r>
    </w:p>
    <w:p w14:paraId="06B1B498">
      <w:pPr>
        <w:spacing w:line="560" w:lineRule="exact"/>
        <w:ind w:firstLine="480" w:firstLineChars="200"/>
        <w:rPr>
          <w:rFonts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EB10D94">
      <w:pPr>
        <w:spacing w:line="560" w:lineRule="exact"/>
        <w:ind w:firstLine="482" w:firstLineChars="200"/>
        <w:outlineLvl w:val="0"/>
        <w:rPr>
          <w:rFonts w:ascii="宋体" w:hAnsi="宋体" w:cs="宋体"/>
          <w:b/>
          <w:sz w:val="24"/>
        </w:rPr>
      </w:pPr>
      <w:r>
        <w:rPr>
          <w:rFonts w:hint="eastAsia" w:ascii="宋体" w:hAnsi="宋体" w:cs="宋体"/>
          <w:b/>
          <w:sz w:val="24"/>
        </w:rPr>
        <w:t>2.7 质量保证</w:t>
      </w:r>
    </w:p>
    <w:p w14:paraId="2446DE28">
      <w:pPr>
        <w:spacing w:line="560" w:lineRule="exact"/>
        <w:ind w:firstLine="480" w:firstLineChars="200"/>
        <w:rPr>
          <w:rFonts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14:paraId="5AD5ACB7">
      <w:pPr>
        <w:spacing w:line="560" w:lineRule="exact"/>
        <w:ind w:firstLine="480" w:firstLineChars="200"/>
        <w:rPr>
          <w:rFonts w:ascii="宋体" w:hAnsi="宋体" w:cs="宋体"/>
          <w:sz w:val="24"/>
        </w:rPr>
      </w:pPr>
      <w:r>
        <w:rPr>
          <w:rFonts w:hint="eastAsia" w:ascii="宋体" w:hAnsi="宋体" w:cs="宋体"/>
          <w:sz w:val="24"/>
        </w:rPr>
        <w:t>2.7.2 乙方应保证履行合同的人员数量和素质、软件和硬件设备的配置、场地、环境和设施等满足全面履行合同的要求，并应接受甲方的监督检查。</w:t>
      </w:r>
    </w:p>
    <w:p w14:paraId="32007BD4">
      <w:pPr>
        <w:spacing w:line="560" w:lineRule="exact"/>
        <w:ind w:firstLine="482" w:firstLineChars="200"/>
        <w:outlineLvl w:val="0"/>
        <w:rPr>
          <w:rFonts w:ascii="宋体" w:hAnsi="宋体" w:cs="宋体"/>
          <w:b/>
          <w:sz w:val="24"/>
        </w:rPr>
      </w:pPr>
      <w:r>
        <w:rPr>
          <w:rFonts w:hint="eastAsia" w:ascii="宋体" w:hAnsi="宋体" w:cs="宋体"/>
          <w:b/>
          <w:sz w:val="24"/>
        </w:rPr>
        <w:t>2.8 货物的风险负担</w:t>
      </w:r>
    </w:p>
    <w:p w14:paraId="5F4C87D7">
      <w:pPr>
        <w:spacing w:line="560" w:lineRule="exact"/>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货物或者在途货物或者交付给第一承运人后的货物毁损、灭失的风险负担详见</w:t>
      </w:r>
      <w:r>
        <w:rPr>
          <w:rFonts w:hint="eastAsia" w:ascii="宋体" w:hAnsi="宋体" w:cs="宋体"/>
          <w:b/>
          <w:i/>
          <w:sz w:val="24"/>
          <w:u w:val="single"/>
        </w:rPr>
        <w:t>合同专用条款</w:t>
      </w:r>
      <w:r>
        <w:rPr>
          <w:rFonts w:hint="eastAsia" w:ascii="宋体" w:hAnsi="宋体" w:cs="宋体"/>
          <w:sz w:val="24"/>
        </w:rPr>
        <w:t>。</w:t>
      </w:r>
    </w:p>
    <w:p w14:paraId="470ADBF6">
      <w:pPr>
        <w:spacing w:line="560" w:lineRule="exact"/>
        <w:ind w:firstLine="482" w:firstLineChars="200"/>
        <w:outlineLvl w:val="0"/>
        <w:rPr>
          <w:rFonts w:ascii="宋体" w:hAnsi="宋体" w:cs="宋体"/>
          <w:b/>
          <w:sz w:val="24"/>
        </w:rPr>
      </w:pPr>
      <w:r>
        <w:rPr>
          <w:rFonts w:hint="eastAsia" w:ascii="宋体" w:hAnsi="宋体" w:cs="宋体"/>
          <w:b/>
          <w:sz w:val="24"/>
        </w:rPr>
        <w:t>2.9 延迟交货</w:t>
      </w:r>
    </w:p>
    <w:p w14:paraId="0F6EB5C5">
      <w:pPr>
        <w:spacing w:line="560" w:lineRule="exact"/>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38D5B92">
      <w:pPr>
        <w:spacing w:line="560" w:lineRule="exact"/>
        <w:ind w:firstLine="482" w:firstLineChars="200"/>
        <w:outlineLvl w:val="0"/>
        <w:rPr>
          <w:rFonts w:ascii="宋体" w:hAnsi="宋体" w:cs="宋体"/>
          <w:b/>
          <w:sz w:val="24"/>
        </w:rPr>
      </w:pPr>
      <w:r>
        <w:rPr>
          <w:rFonts w:hint="eastAsia" w:ascii="宋体" w:hAnsi="宋体" w:cs="宋体"/>
          <w:b/>
          <w:sz w:val="24"/>
        </w:rPr>
        <w:t>2.10 合同变更</w:t>
      </w:r>
    </w:p>
    <w:p w14:paraId="15D217F0">
      <w:pPr>
        <w:spacing w:line="560" w:lineRule="exact"/>
        <w:ind w:firstLine="480" w:firstLineChars="200"/>
        <w:rPr>
          <w:rFonts w:ascii="宋体" w:hAnsi="宋体" w:cs="宋体"/>
          <w:sz w:val="24"/>
        </w:rPr>
      </w:pPr>
      <w:r>
        <w:rPr>
          <w:rFonts w:hint="eastAsia" w:ascii="宋体" w:hAnsi="宋体" w:cs="宋体"/>
          <w:sz w:val="24"/>
        </w:rPr>
        <w:t>合同继续履行将损害国家利益和社会公共利益的，双方当事人应当以书面形式变更合同。有过错的一方应当承担赔偿责任，双方当事人都有过错的，各自承担相应的责任。</w:t>
      </w:r>
    </w:p>
    <w:p w14:paraId="678FEC9D">
      <w:pPr>
        <w:spacing w:line="560" w:lineRule="exact"/>
        <w:ind w:firstLine="482" w:firstLineChars="200"/>
        <w:outlineLvl w:val="0"/>
        <w:rPr>
          <w:rFonts w:ascii="宋体" w:hAnsi="宋体" w:cs="宋体"/>
          <w:b/>
          <w:sz w:val="24"/>
        </w:rPr>
      </w:pPr>
      <w:r>
        <w:rPr>
          <w:rFonts w:hint="eastAsia" w:ascii="宋体" w:hAnsi="宋体" w:cs="宋体"/>
          <w:b/>
          <w:sz w:val="24"/>
        </w:rPr>
        <w:t>2.11 合同转让和分包</w:t>
      </w:r>
    </w:p>
    <w:p w14:paraId="76A8541A">
      <w:pPr>
        <w:spacing w:line="560" w:lineRule="exact"/>
        <w:ind w:firstLine="480" w:firstLineChars="200"/>
        <w:rPr>
          <w:rFonts w:ascii="宋体" w:hAnsi="宋体" w:cs="宋体"/>
          <w:sz w:val="24"/>
        </w:rPr>
      </w:pPr>
      <w:r>
        <w:rPr>
          <w:rFonts w:hint="eastAsia" w:ascii="宋体" w:hAnsi="宋体" w:cs="宋体"/>
          <w:sz w:val="24"/>
        </w:rPr>
        <w:t>2.11.1合同的权利义务依法不得转让，但经甲方书面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DFF4D2A">
      <w:pPr>
        <w:spacing w:line="560" w:lineRule="exact"/>
        <w:ind w:firstLine="480" w:firstLineChars="200"/>
        <w:rPr>
          <w:rFonts w:ascii="宋体" w:hAnsi="宋体" w:cs="宋体"/>
          <w:sz w:val="24"/>
        </w:rPr>
      </w:pPr>
      <w:r>
        <w:rPr>
          <w:rFonts w:hint="eastAsia" w:ascii="宋体" w:hAnsi="宋体" w:cs="宋体"/>
          <w:sz w:val="24"/>
        </w:rPr>
        <w:t>2.11.2乙方采取分包方式履行合同的，甲方可直接向分包供应商支付款项。</w:t>
      </w:r>
    </w:p>
    <w:p w14:paraId="7F55F557">
      <w:pPr>
        <w:spacing w:line="560" w:lineRule="exact"/>
        <w:ind w:firstLine="482" w:firstLineChars="200"/>
        <w:outlineLvl w:val="0"/>
        <w:rPr>
          <w:rFonts w:ascii="宋体" w:hAnsi="宋体" w:cs="宋体"/>
          <w:b/>
          <w:sz w:val="24"/>
        </w:rPr>
      </w:pPr>
      <w:r>
        <w:rPr>
          <w:rFonts w:hint="eastAsia" w:ascii="宋体" w:hAnsi="宋体" w:cs="宋体"/>
          <w:b/>
          <w:sz w:val="24"/>
        </w:rPr>
        <w:t>2.12 不可抗力</w:t>
      </w:r>
    </w:p>
    <w:p w14:paraId="690025DB">
      <w:pPr>
        <w:spacing w:line="560" w:lineRule="exact"/>
        <w:ind w:firstLine="480" w:firstLineChars="200"/>
        <w:rPr>
          <w:rFonts w:ascii="宋体" w:hAnsi="宋体" w:cs="宋体"/>
          <w:sz w:val="24"/>
        </w:rPr>
      </w:pPr>
      <w:r>
        <w:rPr>
          <w:rFonts w:hint="eastAsia" w:ascii="宋体" w:hAnsi="宋体" w:cs="宋体"/>
          <w:sz w:val="24"/>
        </w:rPr>
        <w:t>2.12.1如果任何一方遭遇法律规定的不可抗力，致使合同履行受阻时，履行合同的期限应予延长，延长的期限应相当于不可抗力所影响的时间；</w:t>
      </w:r>
    </w:p>
    <w:p w14:paraId="6ECB89DA">
      <w:pPr>
        <w:spacing w:line="560" w:lineRule="exact"/>
        <w:ind w:firstLine="480" w:firstLineChars="200"/>
        <w:rPr>
          <w:rFonts w:ascii="宋体" w:hAnsi="宋体" w:cs="宋体"/>
          <w:sz w:val="24"/>
        </w:rPr>
      </w:pPr>
      <w:r>
        <w:rPr>
          <w:rFonts w:hint="eastAsia" w:ascii="宋体" w:hAnsi="宋体" w:cs="宋体"/>
          <w:sz w:val="24"/>
        </w:rPr>
        <w:t>2.12.2 因不可抗力致使不能实现合同目的的，当事人可以解除合同；</w:t>
      </w:r>
    </w:p>
    <w:p w14:paraId="41FA26E5">
      <w:pPr>
        <w:spacing w:line="560" w:lineRule="exact"/>
        <w:ind w:firstLine="480" w:firstLineChars="200"/>
        <w:rPr>
          <w:rFonts w:ascii="宋体" w:hAnsi="宋体" w:cs="宋体"/>
          <w:sz w:val="24"/>
        </w:rPr>
      </w:pPr>
      <w:r>
        <w:rPr>
          <w:rFonts w:hint="eastAsia" w:ascii="宋体" w:hAnsi="宋体" w:cs="宋体"/>
          <w:sz w:val="24"/>
        </w:rPr>
        <w:t>2.12.3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14:paraId="74F807A8">
      <w:pPr>
        <w:spacing w:line="560" w:lineRule="exact"/>
        <w:ind w:firstLine="480" w:firstLineChars="200"/>
        <w:rPr>
          <w:rFonts w:ascii="宋体" w:hAnsi="宋体" w:cs="宋体"/>
          <w:sz w:val="24"/>
        </w:rPr>
      </w:pPr>
      <w:r>
        <w:rPr>
          <w:rFonts w:hint="eastAsia" w:ascii="宋体" w:hAnsi="宋体" w:cs="宋体"/>
          <w:sz w:val="24"/>
        </w:rPr>
        <w:t>2.12.4受不可抗力影响的一方在不可抗力发生后，应在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14:paraId="2B14302A">
      <w:pPr>
        <w:spacing w:line="560" w:lineRule="exact"/>
        <w:ind w:firstLine="482" w:firstLineChars="200"/>
        <w:outlineLvl w:val="0"/>
        <w:rPr>
          <w:rFonts w:ascii="宋体" w:hAnsi="宋体" w:cs="宋体"/>
          <w:b/>
          <w:sz w:val="24"/>
        </w:rPr>
      </w:pPr>
      <w:r>
        <w:rPr>
          <w:rFonts w:hint="eastAsia" w:ascii="宋体" w:hAnsi="宋体" w:cs="宋体"/>
          <w:b/>
          <w:sz w:val="24"/>
        </w:rPr>
        <w:t>2.13 税费</w:t>
      </w:r>
    </w:p>
    <w:p w14:paraId="12F5015C">
      <w:pPr>
        <w:spacing w:line="560" w:lineRule="exact"/>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265D744B">
      <w:pPr>
        <w:spacing w:line="560" w:lineRule="exact"/>
        <w:ind w:firstLine="482" w:firstLineChars="200"/>
        <w:outlineLvl w:val="0"/>
        <w:rPr>
          <w:rFonts w:ascii="宋体" w:hAnsi="宋体" w:cs="宋体"/>
          <w:b/>
          <w:sz w:val="24"/>
        </w:rPr>
      </w:pPr>
      <w:r>
        <w:rPr>
          <w:rFonts w:hint="eastAsia" w:ascii="宋体" w:hAnsi="宋体" w:cs="宋体"/>
          <w:b/>
          <w:sz w:val="24"/>
        </w:rPr>
        <w:t>2.14乙方破产</w:t>
      </w:r>
    </w:p>
    <w:p w14:paraId="2363C37F">
      <w:pPr>
        <w:spacing w:line="560" w:lineRule="exact"/>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3F604C1">
      <w:pPr>
        <w:spacing w:line="560" w:lineRule="exact"/>
        <w:ind w:firstLine="482" w:firstLineChars="200"/>
        <w:outlineLvl w:val="0"/>
        <w:rPr>
          <w:rFonts w:ascii="宋体" w:hAnsi="宋体" w:cs="宋体"/>
          <w:b/>
          <w:sz w:val="24"/>
        </w:rPr>
      </w:pPr>
      <w:r>
        <w:rPr>
          <w:rFonts w:hint="eastAsia" w:ascii="宋体" w:hAnsi="宋体" w:cs="宋体"/>
          <w:b/>
          <w:sz w:val="24"/>
        </w:rPr>
        <w:t>2.15 合同中止、终止</w:t>
      </w:r>
    </w:p>
    <w:p w14:paraId="479A6926">
      <w:pPr>
        <w:spacing w:line="560" w:lineRule="exact"/>
        <w:ind w:firstLine="480" w:firstLineChars="200"/>
        <w:rPr>
          <w:rFonts w:ascii="宋体" w:hAnsi="宋体" w:cs="宋体"/>
          <w:sz w:val="24"/>
        </w:rPr>
      </w:pPr>
      <w:r>
        <w:rPr>
          <w:rFonts w:hint="eastAsia" w:ascii="宋体" w:hAnsi="宋体" w:cs="宋体"/>
          <w:sz w:val="24"/>
        </w:rPr>
        <w:t>2.15.1 双方当事人不得擅自中止或者终止合同；</w:t>
      </w:r>
    </w:p>
    <w:p w14:paraId="1AADDDE9">
      <w:pPr>
        <w:spacing w:line="560" w:lineRule="exact"/>
        <w:ind w:firstLine="480" w:firstLineChars="200"/>
        <w:rPr>
          <w:rFonts w:ascii="宋体" w:hAnsi="宋体" w:cs="宋体"/>
          <w:sz w:val="24"/>
        </w:rPr>
      </w:pPr>
      <w:r>
        <w:rPr>
          <w:rFonts w:hint="eastAsia" w:ascii="宋体" w:hAnsi="宋体" w:cs="宋体"/>
          <w:sz w:val="24"/>
        </w:rPr>
        <w:t>2.15.2合同继续履行将损害国家利益和社会公共利益的，双方当事人应当中止或者终止合同。有过错的一方应当承担赔偿责任，双方当事人都有过错的，各自承担相应的责任。</w:t>
      </w:r>
    </w:p>
    <w:p w14:paraId="6EE5585F">
      <w:pPr>
        <w:spacing w:line="560" w:lineRule="exact"/>
        <w:ind w:firstLine="482" w:firstLineChars="200"/>
        <w:outlineLvl w:val="0"/>
        <w:rPr>
          <w:rFonts w:ascii="宋体" w:hAnsi="宋体" w:cs="宋体"/>
          <w:b/>
          <w:sz w:val="24"/>
        </w:rPr>
      </w:pPr>
      <w:r>
        <w:rPr>
          <w:rFonts w:hint="eastAsia" w:ascii="宋体" w:hAnsi="宋体" w:cs="宋体"/>
          <w:b/>
          <w:sz w:val="24"/>
        </w:rPr>
        <w:t>2.16检验和验收</w:t>
      </w:r>
    </w:p>
    <w:p w14:paraId="0881FDCC">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2.16.1货物交付前，乙方应对货物的质量、数量等方面进行详细、全面的检验，并向甲方出具证明货物符合合同约定的文件；货物交付时，甲方在</w:t>
      </w:r>
      <w:r>
        <w:rPr>
          <w:rFonts w:hint="eastAsia" w:ascii="宋体" w:hAnsi="宋体" w:cs="宋体"/>
          <w:b/>
          <w:i/>
          <w:sz w:val="24"/>
          <w:u w:val="single"/>
        </w:rPr>
        <w:t>合同专用条款</w:t>
      </w:r>
      <w:r>
        <w:rPr>
          <w:rFonts w:hint="eastAsia" w:ascii="宋体" w:hAnsi="宋体" w:cs="宋体"/>
          <w:sz w:val="24"/>
        </w:rPr>
        <w:t>约定时间内组织验收，并可依法邀请相关方参加，验收应出具验收书。</w:t>
      </w:r>
    </w:p>
    <w:p w14:paraId="480FC718">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7FF52D1">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2.16.3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p w14:paraId="26D33ECC">
      <w:pPr>
        <w:spacing w:line="560" w:lineRule="exact"/>
        <w:ind w:firstLine="482" w:firstLineChars="200"/>
        <w:outlineLvl w:val="0"/>
        <w:rPr>
          <w:rFonts w:ascii="宋体" w:hAnsi="宋体" w:cs="宋体"/>
          <w:b/>
          <w:sz w:val="24"/>
        </w:rPr>
      </w:pPr>
      <w:r>
        <w:rPr>
          <w:rFonts w:hint="eastAsia" w:ascii="宋体" w:hAnsi="宋体" w:cs="宋体"/>
          <w:b/>
          <w:sz w:val="24"/>
        </w:rPr>
        <w:t>2.17 通知和送达</w:t>
      </w:r>
    </w:p>
    <w:p w14:paraId="0AE3004A">
      <w:pPr>
        <w:spacing w:line="560" w:lineRule="exact"/>
        <w:ind w:firstLine="480" w:firstLineChars="200"/>
        <w:rPr>
          <w:rFonts w:ascii="宋体" w:hAnsi="宋体" w:cs="宋体"/>
          <w:sz w:val="24"/>
        </w:rPr>
      </w:pPr>
      <w:r>
        <w:rPr>
          <w:rFonts w:hint="eastAsia" w:ascii="宋体" w:hAnsi="宋体" w:cs="宋体"/>
          <w:sz w:val="24"/>
        </w:rPr>
        <w:t>2.17.1任何一方因履行合同而以合同第一部分尾部所列明的传真或电子邮件发出的所有通知、文件、材料，均视为已向对方当事人送达；任何一方变更上述送达方式或者地址的，应于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cs="宋体"/>
          <w:sz w:val="24"/>
          <w:u w:val="single"/>
        </w:rPr>
        <w:t>3</w:t>
      </w:r>
      <w:r>
        <w:rPr>
          <w:rFonts w:hint="eastAsia" w:ascii="宋体" w:hAnsi="宋体" w:cs="宋体"/>
          <w:sz w:val="24"/>
        </w:rPr>
        <w:t>个工作日内书面通知对方当事人，在对方当事人收到有关变更通知之前，变更前的约定送达方式或者地址仍视为有效。</w:t>
      </w:r>
    </w:p>
    <w:p w14:paraId="715D5E14">
      <w:pPr>
        <w:spacing w:line="560" w:lineRule="exact"/>
        <w:ind w:firstLine="480" w:firstLineChars="200"/>
        <w:rPr>
          <w:rFonts w:ascii="宋体" w:hAnsi="宋体" w:cs="宋体"/>
          <w:sz w:val="24"/>
        </w:rPr>
      </w:pPr>
      <w:r>
        <w:rPr>
          <w:rFonts w:hint="eastAsia" w:ascii="宋体" w:hAnsi="宋体" w:cs="宋体"/>
          <w:sz w:val="24"/>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14:paraId="49BE90D5">
      <w:pPr>
        <w:spacing w:line="560" w:lineRule="exact"/>
        <w:ind w:firstLine="482" w:firstLineChars="200"/>
        <w:outlineLvl w:val="0"/>
        <w:rPr>
          <w:rFonts w:ascii="宋体" w:hAnsi="宋体" w:cs="宋体"/>
          <w:b/>
          <w:sz w:val="24"/>
        </w:rPr>
      </w:pPr>
      <w:r>
        <w:rPr>
          <w:rFonts w:hint="eastAsia" w:ascii="宋体" w:hAnsi="宋体" w:cs="宋体"/>
          <w:b/>
          <w:sz w:val="24"/>
        </w:rPr>
        <w:t>2.18 计量单位</w:t>
      </w:r>
    </w:p>
    <w:p w14:paraId="652A93B0">
      <w:pPr>
        <w:spacing w:line="560" w:lineRule="exact"/>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387C949">
      <w:pPr>
        <w:spacing w:line="560" w:lineRule="exact"/>
        <w:ind w:firstLine="482" w:firstLineChars="200"/>
        <w:outlineLvl w:val="0"/>
        <w:rPr>
          <w:rFonts w:ascii="宋体" w:hAnsi="宋体" w:cs="宋体"/>
          <w:b/>
          <w:sz w:val="24"/>
        </w:rPr>
      </w:pPr>
      <w:r>
        <w:rPr>
          <w:rFonts w:hint="eastAsia" w:ascii="宋体" w:hAnsi="宋体" w:cs="宋体"/>
          <w:b/>
          <w:sz w:val="24"/>
        </w:rPr>
        <w:t>2.19 合同使用的文字和适用的法律</w:t>
      </w:r>
    </w:p>
    <w:p w14:paraId="1ACB497B">
      <w:pPr>
        <w:spacing w:line="560" w:lineRule="exact"/>
        <w:ind w:firstLine="480" w:firstLineChars="200"/>
        <w:rPr>
          <w:rFonts w:ascii="宋体" w:hAnsi="宋体" w:cs="宋体"/>
          <w:sz w:val="24"/>
        </w:rPr>
      </w:pPr>
      <w:r>
        <w:rPr>
          <w:rFonts w:hint="eastAsia" w:ascii="宋体" w:hAnsi="宋体" w:cs="宋体"/>
          <w:sz w:val="24"/>
        </w:rPr>
        <w:t>2.19.1 合同使用汉语书就、变更和解释；</w:t>
      </w:r>
    </w:p>
    <w:p w14:paraId="2B3DCA00">
      <w:pPr>
        <w:spacing w:line="560" w:lineRule="exact"/>
        <w:ind w:firstLine="480" w:firstLineChars="200"/>
        <w:rPr>
          <w:rFonts w:ascii="宋体" w:hAnsi="宋体" w:cs="宋体"/>
          <w:sz w:val="24"/>
        </w:rPr>
      </w:pPr>
      <w:r>
        <w:rPr>
          <w:rFonts w:hint="eastAsia" w:ascii="宋体" w:hAnsi="宋体" w:cs="宋体"/>
          <w:sz w:val="24"/>
        </w:rPr>
        <w:t>2.19.2 合同适用中华人民共和国法律。</w:t>
      </w:r>
    </w:p>
    <w:p w14:paraId="4BAADC2A">
      <w:pPr>
        <w:spacing w:line="560" w:lineRule="exact"/>
        <w:ind w:firstLine="482" w:firstLineChars="200"/>
        <w:outlineLvl w:val="0"/>
        <w:rPr>
          <w:rFonts w:ascii="宋体" w:hAnsi="宋体" w:cs="宋体"/>
          <w:b/>
          <w:sz w:val="24"/>
        </w:rPr>
      </w:pPr>
      <w:r>
        <w:rPr>
          <w:rFonts w:hint="eastAsia" w:ascii="宋体" w:hAnsi="宋体" w:cs="宋体"/>
          <w:b/>
          <w:sz w:val="24"/>
        </w:rPr>
        <w:t>2.20 合同份数</w:t>
      </w:r>
    </w:p>
    <w:p w14:paraId="01819C1D">
      <w:pPr>
        <w:spacing w:line="560" w:lineRule="exact"/>
        <w:ind w:firstLine="480" w:firstLineChars="200"/>
        <w:rPr>
          <w:rFonts w:ascii="宋体" w:hAnsi="宋体" w:cs="宋体"/>
          <w:sz w:val="24"/>
        </w:rPr>
      </w:pPr>
      <w:r>
        <w:rPr>
          <w:rFonts w:hint="eastAsia" w:ascii="宋体" w:hAnsi="宋体" w:cs="宋体"/>
          <w:sz w:val="24"/>
        </w:rPr>
        <w:t>合同份数按</w:t>
      </w:r>
      <w:r>
        <w:rPr>
          <w:rFonts w:hint="eastAsia" w:ascii="宋体" w:hAnsi="宋体" w:cs="宋体"/>
          <w:b/>
          <w:i/>
          <w:sz w:val="24"/>
          <w:u w:val="single"/>
        </w:rPr>
        <w:t>合同专用条款</w:t>
      </w:r>
      <w:r>
        <w:rPr>
          <w:rFonts w:hint="eastAsia" w:ascii="宋体" w:hAnsi="宋体" w:cs="宋体"/>
          <w:sz w:val="24"/>
        </w:rPr>
        <w:t>规定，每份均具有同等法律效力。</w:t>
      </w:r>
    </w:p>
    <w:p w14:paraId="47C2BE8C">
      <w:pPr>
        <w:adjustRightInd/>
        <w:spacing w:line="360" w:lineRule="auto"/>
        <w:ind w:firstLine="2513" w:firstLineChars="1197"/>
        <w:outlineLvl w:val="0"/>
        <w:rPr>
          <w:rFonts w:ascii="宋体" w:hAnsi="宋体" w:cs="宋体"/>
          <w:b/>
        </w:rPr>
      </w:pPr>
      <w:r>
        <w:rPr>
          <w:rFonts w:hint="eastAsia" w:ascii="宋体" w:hAnsi="宋体" w:cs="宋体"/>
          <w:kern w:val="0"/>
        </w:rPr>
        <w:br w:type="page"/>
      </w:r>
      <w:r>
        <w:rPr>
          <w:rFonts w:hint="eastAsia" w:ascii="宋体" w:hAnsi="宋体" w:cs="宋体"/>
          <w:b/>
          <w:sz w:val="32"/>
          <w:szCs w:val="20"/>
        </w:rPr>
        <w:t xml:space="preserve"> 第三部分  合同专用条款</w:t>
      </w:r>
    </w:p>
    <w:p w14:paraId="35AC1667">
      <w:pPr>
        <w:spacing w:line="560" w:lineRule="exact"/>
        <w:ind w:left="-420" w:leftChars="-200" w:right="-420" w:rightChars="-200" w:firstLine="480" w:firstLineChars="200"/>
        <w:rPr>
          <w:rFonts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68"/>
        <w:gridCol w:w="8487"/>
      </w:tblGrid>
      <w:tr w14:paraId="3C6E2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7248C303">
            <w:pPr>
              <w:spacing w:line="360" w:lineRule="auto"/>
              <w:jc w:val="center"/>
              <w:rPr>
                <w:rFonts w:ascii="宋体" w:hAnsi="宋体" w:cs="宋体"/>
                <w:b/>
                <w:sz w:val="24"/>
              </w:rPr>
            </w:pPr>
            <w:r>
              <w:rPr>
                <w:rFonts w:hint="eastAsia" w:ascii="宋体" w:hAnsi="宋体" w:cs="宋体"/>
                <w:b/>
                <w:sz w:val="24"/>
              </w:rPr>
              <w:t>条款号</w:t>
            </w:r>
          </w:p>
        </w:tc>
        <w:tc>
          <w:tcPr>
            <w:tcW w:w="4535" w:type="pct"/>
            <w:tcBorders>
              <w:top w:val="single" w:color="auto" w:sz="6" w:space="0"/>
              <w:left w:val="single" w:color="auto" w:sz="6" w:space="0"/>
              <w:bottom w:val="single" w:color="auto" w:sz="6" w:space="0"/>
              <w:right w:val="single" w:color="auto" w:sz="6" w:space="0"/>
            </w:tcBorders>
            <w:vAlign w:val="center"/>
          </w:tcPr>
          <w:p w14:paraId="626E50DF">
            <w:pPr>
              <w:spacing w:line="360" w:lineRule="auto"/>
              <w:jc w:val="center"/>
              <w:rPr>
                <w:rFonts w:ascii="宋体" w:hAnsi="宋体" w:cs="宋体"/>
                <w:b/>
                <w:sz w:val="24"/>
              </w:rPr>
            </w:pPr>
            <w:r>
              <w:rPr>
                <w:rFonts w:hint="eastAsia" w:ascii="宋体" w:hAnsi="宋体" w:cs="宋体"/>
                <w:b/>
                <w:sz w:val="24"/>
              </w:rPr>
              <w:t>约定内容</w:t>
            </w:r>
          </w:p>
        </w:tc>
      </w:tr>
      <w:tr w14:paraId="39F74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06E579D0">
            <w:pPr>
              <w:spacing w:line="360" w:lineRule="auto"/>
              <w:jc w:val="center"/>
              <w:rPr>
                <w:rFonts w:ascii="宋体" w:hAnsi="宋体" w:cs="宋体"/>
                <w:b/>
                <w:sz w:val="24"/>
              </w:rPr>
            </w:pPr>
            <w:r>
              <w:rPr>
                <w:rFonts w:hint="eastAsia" w:ascii="宋体" w:hAnsi="宋体" w:cs="宋体"/>
                <w:b/>
                <w:sz w:val="24"/>
              </w:rPr>
              <w:t>1.4</w:t>
            </w:r>
          </w:p>
        </w:tc>
        <w:tc>
          <w:tcPr>
            <w:tcW w:w="4535" w:type="pct"/>
            <w:tcBorders>
              <w:top w:val="single" w:color="auto" w:sz="6" w:space="0"/>
              <w:left w:val="single" w:color="auto" w:sz="6" w:space="0"/>
              <w:bottom w:val="single" w:color="auto" w:sz="6" w:space="0"/>
              <w:right w:val="single" w:color="auto" w:sz="6" w:space="0"/>
            </w:tcBorders>
            <w:vAlign w:val="center"/>
          </w:tcPr>
          <w:p w14:paraId="23EC9AD5">
            <w:pPr>
              <w:spacing w:line="360" w:lineRule="auto"/>
              <w:jc w:val="left"/>
              <w:rPr>
                <w:rFonts w:ascii="宋体" w:hAnsi="宋体" w:cs="宋体"/>
                <w:b/>
                <w:sz w:val="24"/>
              </w:rPr>
            </w:pPr>
            <w:r>
              <w:rPr>
                <w:rFonts w:hint="eastAsia" w:ascii="宋体" w:hAnsi="宋体" w:cs="宋体"/>
                <w:b/>
                <w:sz w:val="24"/>
              </w:rPr>
              <w:t>乙方  是   （是/否）需要支付履约保证金。</w:t>
            </w:r>
          </w:p>
        </w:tc>
      </w:tr>
      <w:tr w14:paraId="09352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61EF08A4">
            <w:pPr>
              <w:spacing w:line="360" w:lineRule="auto"/>
              <w:jc w:val="center"/>
              <w:rPr>
                <w:rFonts w:ascii="宋体" w:hAnsi="宋体" w:cs="宋体"/>
                <w:b/>
                <w:sz w:val="24"/>
              </w:rPr>
            </w:pPr>
            <w:r>
              <w:rPr>
                <w:rFonts w:hint="eastAsia" w:ascii="宋体" w:hAnsi="宋体" w:cs="宋体"/>
                <w:b/>
                <w:sz w:val="24"/>
              </w:rPr>
              <w:t>1.4.1</w:t>
            </w:r>
          </w:p>
        </w:tc>
        <w:tc>
          <w:tcPr>
            <w:tcW w:w="4535" w:type="pct"/>
            <w:tcBorders>
              <w:top w:val="single" w:color="auto" w:sz="6" w:space="0"/>
              <w:left w:val="single" w:color="auto" w:sz="6" w:space="0"/>
              <w:bottom w:val="single" w:color="auto" w:sz="6" w:space="0"/>
              <w:right w:val="single" w:color="auto" w:sz="6" w:space="0"/>
            </w:tcBorders>
            <w:vAlign w:val="center"/>
          </w:tcPr>
          <w:p w14:paraId="044A80A8">
            <w:pPr>
              <w:spacing w:line="360" w:lineRule="auto"/>
              <w:jc w:val="left"/>
              <w:rPr>
                <w:rFonts w:ascii="宋体" w:hAnsi="宋体" w:cs="宋体"/>
                <w:b/>
                <w:sz w:val="24"/>
              </w:rPr>
            </w:pPr>
            <w:r>
              <w:rPr>
                <w:rFonts w:hint="eastAsia" w:ascii="宋体" w:hAnsi="宋体" w:cs="宋体"/>
                <w:b/>
                <w:sz w:val="24"/>
              </w:rPr>
              <w:t>履约保证金的比例为合同金额的  1   %；</w:t>
            </w:r>
          </w:p>
        </w:tc>
      </w:tr>
      <w:tr w14:paraId="20FDD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088784E9">
            <w:pPr>
              <w:spacing w:line="360" w:lineRule="auto"/>
              <w:jc w:val="center"/>
              <w:rPr>
                <w:rFonts w:ascii="宋体" w:hAnsi="宋体" w:cs="宋体"/>
                <w:b/>
                <w:sz w:val="24"/>
              </w:rPr>
            </w:pPr>
            <w:r>
              <w:rPr>
                <w:rFonts w:hint="eastAsia" w:ascii="宋体" w:hAnsi="宋体" w:cs="宋体"/>
                <w:b/>
                <w:sz w:val="24"/>
              </w:rPr>
              <w:t>1.4.2</w:t>
            </w:r>
          </w:p>
        </w:tc>
        <w:tc>
          <w:tcPr>
            <w:tcW w:w="4535" w:type="pct"/>
            <w:tcBorders>
              <w:top w:val="single" w:color="auto" w:sz="6" w:space="0"/>
              <w:left w:val="single" w:color="auto" w:sz="6" w:space="0"/>
              <w:bottom w:val="single" w:color="auto" w:sz="6" w:space="0"/>
              <w:right w:val="single" w:color="auto" w:sz="6" w:space="0"/>
            </w:tcBorders>
            <w:vAlign w:val="center"/>
          </w:tcPr>
          <w:p w14:paraId="4ECCB7DD">
            <w:pPr>
              <w:spacing w:line="360" w:lineRule="auto"/>
              <w:jc w:val="left"/>
              <w:rPr>
                <w:rFonts w:ascii="宋体" w:hAnsi="宋体" w:cs="宋体"/>
                <w:b/>
                <w:sz w:val="24"/>
              </w:rPr>
            </w:pPr>
            <w:r>
              <w:rPr>
                <w:rFonts w:hint="eastAsia" w:ascii="宋体" w:hAnsi="宋体" w:cs="宋体"/>
                <w:b/>
                <w:sz w:val="24"/>
              </w:rPr>
              <w:t>以支票、汇票、本票或银行出具的保函（有效期至项目完成后的一个月）等非现金形式，提交不超过合同金额1%的履约保证金。</w:t>
            </w:r>
          </w:p>
        </w:tc>
      </w:tr>
      <w:tr w14:paraId="0C67C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78AC43F2">
            <w:pPr>
              <w:spacing w:line="360" w:lineRule="auto"/>
              <w:jc w:val="center"/>
              <w:rPr>
                <w:rFonts w:ascii="宋体" w:hAnsi="宋体" w:cs="宋体"/>
                <w:b/>
                <w:sz w:val="24"/>
              </w:rPr>
            </w:pPr>
            <w:r>
              <w:rPr>
                <w:rFonts w:hint="eastAsia" w:ascii="宋体" w:hAnsi="宋体" w:cs="宋体"/>
                <w:b/>
                <w:sz w:val="24"/>
              </w:rPr>
              <w:t>1.5</w:t>
            </w:r>
          </w:p>
        </w:tc>
        <w:tc>
          <w:tcPr>
            <w:tcW w:w="4535" w:type="pct"/>
            <w:tcBorders>
              <w:top w:val="single" w:color="auto" w:sz="6" w:space="0"/>
              <w:left w:val="single" w:color="auto" w:sz="6" w:space="0"/>
              <w:bottom w:val="single" w:color="auto" w:sz="6" w:space="0"/>
              <w:right w:val="single" w:color="auto" w:sz="6" w:space="0"/>
            </w:tcBorders>
            <w:vAlign w:val="center"/>
          </w:tcPr>
          <w:p w14:paraId="0053C288">
            <w:pPr>
              <w:spacing w:line="360" w:lineRule="auto"/>
              <w:jc w:val="left"/>
              <w:rPr>
                <w:rFonts w:ascii="宋体" w:hAnsi="宋体" w:cs="宋体"/>
                <w:b/>
                <w:sz w:val="24"/>
              </w:rPr>
            </w:pPr>
            <w:r>
              <w:rPr>
                <w:rFonts w:hint="eastAsia" w:ascii="宋体" w:hAnsi="宋体" w:cs="宋体"/>
                <w:b/>
                <w:sz w:val="24"/>
              </w:rPr>
              <w:t>甲方  是   （是/否）需要支付预付款。</w:t>
            </w:r>
          </w:p>
        </w:tc>
      </w:tr>
      <w:tr w14:paraId="7807E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7437B396">
            <w:pPr>
              <w:spacing w:line="360" w:lineRule="auto"/>
              <w:jc w:val="center"/>
              <w:rPr>
                <w:rFonts w:ascii="宋体" w:hAnsi="宋体" w:cs="宋体"/>
                <w:b/>
                <w:sz w:val="24"/>
              </w:rPr>
            </w:pPr>
            <w:r>
              <w:rPr>
                <w:rFonts w:hint="eastAsia" w:ascii="宋体" w:hAnsi="宋体" w:cs="宋体"/>
                <w:b/>
                <w:sz w:val="24"/>
              </w:rPr>
              <w:t>1.5.1</w:t>
            </w:r>
          </w:p>
        </w:tc>
        <w:tc>
          <w:tcPr>
            <w:tcW w:w="4535" w:type="pct"/>
            <w:tcBorders>
              <w:top w:val="single" w:color="auto" w:sz="6" w:space="0"/>
              <w:left w:val="single" w:color="auto" w:sz="6" w:space="0"/>
              <w:bottom w:val="single" w:color="auto" w:sz="6" w:space="0"/>
              <w:right w:val="single" w:color="auto" w:sz="6" w:space="0"/>
            </w:tcBorders>
            <w:shd w:val="clear" w:color="auto" w:fill="auto"/>
            <w:vAlign w:val="center"/>
          </w:tcPr>
          <w:p w14:paraId="4A835ADE">
            <w:pPr>
              <w:spacing w:line="360" w:lineRule="auto"/>
              <w:jc w:val="left"/>
              <w:rPr>
                <w:rFonts w:ascii="宋体" w:hAnsi="宋体" w:cs="宋体"/>
                <w:b/>
                <w:sz w:val="24"/>
              </w:rPr>
            </w:pPr>
            <w:r>
              <w:rPr>
                <w:rFonts w:hint="eastAsia" w:ascii="宋体" w:hAnsi="宋体" w:cs="宋体"/>
                <w:b/>
                <w:sz w:val="24"/>
              </w:rPr>
              <w:t>合同生效以及具备实施条件后5个工作日内，且乙方已向甲方提交银行出具的（等额）预付款保函（有效期至项目完成后的一个月）的，甲方向乙方支付合同总价的40%。</w:t>
            </w:r>
          </w:p>
        </w:tc>
      </w:tr>
      <w:tr w14:paraId="71DFF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361C438C">
            <w:pPr>
              <w:spacing w:line="360" w:lineRule="auto"/>
              <w:jc w:val="center"/>
              <w:rPr>
                <w:rFonts w:ascii="宋体" w:hAnsi="宋体" w:cs="宋体"/>
                <w:b/>
                <w:sz w:val="24"/>
              </w:rPr>
            </w:pPr>
            <w:r>
              <w:rPr>
                <w:rFonts w:hint="eastAsia" w:ascii="宋体" w:hAnsi="宋体" w:cs="宋体"/>
                <w:b/>
                <w:sz w:val="24"/>
              </w:rPr>
              <w:t xml:space="preserve">1.5.2 </w:t>
            </w:r>
          </w:p>
        </w:tc>
        <w:tc>
          <w:tcPr>
            <w:tcW w:w="4535" w:type="pct"/>
            <w:tcBorders>
              <w:top w:val="single" w:color="auto" w:sz="6" w:space="0"/>
              <w:left w:val="single" w:color="auto" w:sz="6" w:space="0"/>
              <w:bottom w:val="single" w:color="auto" w:sz="6" w:space="0"/>
              <w:right w:val="single" w:color="auto" w:sz="6" w:space="0"/>
            </w:tcBorders>
            <w:vAlign w:val="center"/>
          </w:tcPr>
          <w:p w14:paraId="1A194359">
            <w:pPr>
              <w:spacing w:line="360" w:lineRule="auto"/>
              <w:jc w:val="left"/>
              <w:rPr>
                <w:rFonts w:ascii="宋体" w:hAnsi="宋体" w:cs="宋体"/>
                <w:b/>
                <w:sz w:val="24"/>
              </w:rPr>
            </w:pPr>
            <w:r>
              <w:rPr>
                <w:rFonts w:hint="eastAsia" w:ascii="宋体" w:hAnsi="宋体" w:cs="宋体"/>
                <w:b/>
                <w:sz w:val="24"/>
              </w:rPr>
              <w:t>上述付款方式在财政预算资金正式下达后开始执行。若财政预算资金尚未下达，则约定的付款期限将相应顺延，直至预算资金到位。此处约定的付款时间，是指甲方完成本单位内部审核并向财政部门提交支付申请的时限。因财政部门审查及国库支付流程所造成的时间延误，不视为甲方违约。</w:t>
            </w:r>
          </w:p>
          <w:p w14:paraId="0F94EB0E">
            <w:pPr>
              <w:spacing w:line="360" w:lineRule="auto"/>
              <w:jc w:val="left"/>
              <w:rPr>
                <w:rFonts w:ascii="宋体" w:hAnsi="宋体" w:cs="宋体"/>
                <w:b/>
                <w:sz w:val="24"/>
              </w:rPr>
            </w:pPr>
            <w:r>
              <w:rPr>
                <w:rFonts w:hint="eastAsia" w:ascii="宋体" w:hAnsi="宋体" w:cs="宋体"/>
                <w:b/>
                <w:sz w:val="24"/>
              </w:rPr>
              <w:t xml:space="preserve">特别说明：在签订合同时，乙方明确表示无需预付款或者主动要求降低预付款比例的，可零预付款或降低预付款比例（预付款保函同步调整）。 </w:t>
            </w:r>
          </w:p>
        </w:tc>
      </w:tr>
      <w:tr w14:paraId="1E597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66024E59">
            <w:pPr>
              <w:spacing w:line="360" w:lineRule="auto"/>
              <w:jc w:val="center"/>
              <w:rPr>
                <w:rFonts w:ascii="宋体" w:hAnsi="宋体" w:cs="宋体"/>
                <w:b/>
                <w:sz w:val="24"/>
              </w:rPr>
            </w:pPr>
            <w:r>
              <w:rPr>
                <w:rFonts w:hint="eastAsia" w:ascii="宋体" w:hAnsi="宋体" w:cs="宋体"/>
                <w:b/>
                <w:sz w:val="24"/>
              </w:rPr>
              <w:t>1.5.3</w:t>
            </w:r>
          </w:p>
        </w:tc>
        <w:tc>
          <w:tcPr>
            <w:tcW w:w="4535" w:type="pct"/>
            <w:tcBorders>
              <w:top w:val="single" w:color="auto" w:sz="6" w:space="0"/>
              <w:left w:val="single" w:color="auto" w:sz="6" w:space="0"/>
              <w:bottom w:val="single" w:color="auto" w:sz="6" w:space="0"/>
              <w:right w:val="single" w:color="auto" w:sz="6" w:space="0"/>
            </w:tcBorders>
            <w:vAlign w:val="center"/>
          </w:tcPr>
          <w:p w14:paraId="5BCB52B3">
            <w:pPr>
              <w:spacing w:line="360" w:lineRule="auto"/>
              <w:jc w:val="left"/>
              <w:rPr>
                <w:rFonts w:ascii="宋体" w:hAnsi="宋体" w:cs="宋体"/>
                <w:b/>
                <w:sz w:val="24"/>
              </w:rPr>
            </w:pPr>
            <w:r>
              <w:rPr>
                <w:rFonts w:hint="eastAsia" w:ascii="宋体" w:hAnsi="宋体" w:cs="宋体"/>
                <w:b/>
                <w:sz w:val="24"/>
              </w:rPr>
              <w:t>无</w:t>
            </w:r>
          </w:p>
        </w:tc>
      </w:tr>
      <w:tr w14:paraId="1DADB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5513E3AD">
            <w:pPr>
              <w:spacing w:line="360" w:lineRule="auto"/>
              <w:jc w:val="center"/>
              <w:rPr>
                <w:rFonts w:ascii="宋体" w:hAnsi="宋体" w:cs="宋体"/>
                <w:b/>
                <w:sz w:val="24"/>
              </w:rPr>
            </w:pPr>
            <w:r>
              <w:rPr>
                <w:rFonts w:hint="eastAsia" w:ascii="宋体" w:hAnsi="宋体" w:cs="宋体"/>
                <w:b/>
                <w:sz w:val="24"/>
              </w:rPr>
              <w:t>1.6.2</w:t>
            </w:r>
          </w:p>
        </w:tc>
        <w:tc>
          <w:tcPr>
            <w:tcW w:w="4535" w:type="pct"/>
            <w:tcBorders>
              <w:top w:val="single" w:color="auto" w:sz="6" w:space="0"/>
              <w:left w:val="single" w:color="auto" w:sz="6" w:space="0"/>
              <w:bottom w:val="single" w:color="auto" w:sz="6" w:space="0"/>
              <w:right w:val="single" w:color="auto" w:sz="6" w:space="0"/>
            </w:tcBorders>
            <w:vAlign w:val="center"/>
          </w:tcPr>
          <w:p w14:paraId="2910580A">
            <w:pPr>
              <w:spacing w:line="360" w:lineRule="auto"/>
              <w:jc w:val="left"/>
              <w:rPr>
                <w:rFonts w:ascii="宋体" w:hAnsi="宋体" w:cs="宋体"/>
                <w:b/>
                <w:sz w:val="24"/>
              </w:rPr>
            </w:pPr>
            <w:r>
              <w:rPr>
                <w:rFonts w:hint="eastAsia" w:ascii="宋体" w:hAnsi="宋体" w:cs="宋体"/>
                <w:b/>
                <w:sz w:val="24"/>
              </w:rPr>
              <w:t>项目履约完成，经甲方验收合格后，收到发票后5个工作日内，甲方向乙方支付合同总价的60%。</w:t>
            </w:r>
          </w:p>
        </w:tc>
      </w:tr>
      <w:tr w14:paraId="74CE9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699329B9">
            <w:pPr>
              <w:spacing w:line="360" w:lineRule="auto"/>
              <w:jc w:val="center"/>
              <w:rPr>
                <w:rFonts w:ascii="宋体" w:hAnsi="宋体" w:cs="宋体"/>
                <w:b/>
                <w:sz w:val="24"/>
              </w:rPr>
            </w:pPr>
            <w:r>
              <w:rPr>
                <w:rFonts w:hint="eastAsia" w:ascii="宋体" w:hAnsi="宋体" w:cs="宋体"/>
                <w:b/>
                <w:sz w:val="24"/>
              </w:rPr>
              <w:t>1.6.3</w:t>
            </w:r>
          </w:p>
        </w:tc>
        <w:tc>
          <w:tcPr>
            <w:tcW w:w="4535" w:type="pct"/>
            <w:tcBorders>
              <w:top w:val="single" w:color="auto" w:sz="6" w:space="0"/>
              <w:left w:val="single" w:color="auto" w:sz="6" w:space="0"/>
              <w:bottom w:val="single" w:color="auto" w:sz="6" w:space="0"/>
              <w:right w:val="single" w:color="auto" w:sz="6" w:space="0"/>
            </w:tcBorders>
            <w:vAlign w:val="center"/>
          </w:tcPr>
          <w:p w14:paraId="64AA6B99">
            <w:pPr>
              <w:spacing w:line="360" w:lineRule="auto"/>
              <w:jc w:val="left"/>
              <w:rPr>
                <w:rFonts w:ascii="宋体" w:hAnsi="宋体" w:cs="宋体"/>
                <w:b/>
                <w:sz w:val="24"/>
              </w:rPr>
            </w:pPr>
            <w:r>
              <w:rPr>
                <w:rFonts w:hint="eastAsia" w:ascii="宋体" w:hAnsi="宋体" w:cs="宋体"/>
                <w:b/>
                <w:sz w:val="24"/>
              </w:rPr>
              <w:t>上述付款方式在财政预算资金正式下达后开始执行。若财政预算资金尚未下达，则约定的付款期限将相应顺延，直至预算资金到位。此处约定的付款时间，是指甲方完成本单位内部审核并向财政部门提交支付申请的时限。因财政部门审查及国库支付流程所造成的时间延误，不视为甲方违约。</w:t>
            </w:r>
          </w:p>
        </w:tc>
      </w:tr>
      <w:tr w14:paraId="76F21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6981D5A0">
            <w:pPr>
              <w:spacing w:line="360" w:lineRule="auto"/>
              <w:jc w:val="center"/>
              <w:rPr>
                <w:rFonts w:ascii="宋体" w:hAnsi="宋体" w:cs="宋体"/>
                <w:b/>
                <w:sz w:val="24"/>
              </w:rPr>
            </w:pPr>
            <w:r>
              <w:rPr>
                <w:rFonts w:hint="eastAsia" w:ascii="宋体" w:hAnsi="宋体" w:cs="宋体"/>
                <w:b/>
                <w:sz w:val="24"/>
              </w:rPr>
              <w:t>1.7.1</w:t>
            </w:r>
          </w:p>
        </w:tc>
        <w:tc>
          <w:tcPr>
            <w:tcW w:w="4535" w:type="pct"/>
            <w:tcBorders>
              <w:top w:val="single" w:color="auto" w:sz="6" w:space="0"/>
              <w:left w:val="single" w:color="auto" w:sz="6" w:space="0"/>
              <w:bottom w:val="single" w:color="auto" w:sz="6" w:space="0"/>
              <w:right w:val="single" w:color="auto" w:sz="6" w:space="0"/>
            </w:tcBorders>
            <w:vAlign w:val="center"/>
          </w:tcPr>
          <w:p w14:paraId="7DC5B070">
            <w:pPr>
              <w:spacing w:line="360" w:lineRule="auto"/>
              <w:jc w:val="left"/>
              <w:rPr>
                <w:rFonts w:ascii="宋体" w:hAnsi="宋体" w:cs="宋体"/>
                <w:b/>
                <w:sz w:val="24"/>
              </w:rPr>
            </w:pPr>
            <w:r>
              <w:rPr>
                <w:rFonts w:hint="eastAsia" w:ascii="宋体" w:hAnsi="宋体" w:cs="宋体"/>
                <w:b/>
                <w:sz w:val="24"/>
              </w:rPr>
              <w:t>交付期限：</w:t>
            </w:r>
          </w:p>
          <w:p w14:paraId="5E586982">
            <w:pPr>
              <w:spacing w:line="360" w:lineRule="auto"/>
              <w:jc w:val="left"/>
              <w:rPr>
                <w:rFonts w:ascii="宋体" w:hAnsi="宋体" w:cs="宋体"/>
                <w:b/>
                <w:sz w:val="24"/>
              </w:rPr>
            </w:pPr>
            <w:r>
              <w:rPr>
                <w:rFonts w:hint="eastAsia" w:ascii="宋体" w:hAnsi="宋体" w:cs="宋体"/>
                <w:b/>
                <w:kern w:val="2"/>
                <w:sz w:val="24"/>
                <w:szCs w:val="24"/>
              </w:rPr>
              <w:t>合同签订且接到甲方进场指令后45天内完成交付及安装调试</w:t>
            </w:r>
            <w:r>
              <w:rPr>
                <w:rFonts w:hint="eastAsia" w:ascii="宋体" w:hAnsi="宋体" w:cs="宋体"/>
                <w:b/>
                <w:kern w:val="2"/>
                <w:sz w:val="24"/>
                <w:szCs w:val="24"/>
                <w:lang w:eastAsia="zh-CN"/>
              </w:rPr>
              <w:t>，</w:t>
            </w:r>
            <w:r>
              <w:rPr>
                <w:rFonts w:hint="eastAsia" w:ascii="宋体" w:hAnsi="宋体" w:cs="宋体"/>
                <w:b/>
                <w:kern w:val="2"/>
                <w:sz w:val="24"/>
                <w:szCs w:val="24"/>
                <w:lang w:val="en-US" w:eastAsia="zh-CN"/>
              </w:rPr>
              <w:t>如果由于甲方工程进度原因延期，则工期顺延</w:t>
            </w:r>
            <w:r>
              <w:rPr>
                <w:rFonts w:ascii="宋体" w:hAnsi="宋体" w:cs="宋体"/>
                <w:b/>
                <w:sz w:val="24"/>
              </w:rPr>
              <w:t>。</w:t>
            </w:r>
          </w:p>
        </w:tc>
      </w:tr>
      <w:tr w14:paraId="14376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1D4BDF2D">
            <w:pPr>
              <w:spacing w:line="360" w:lineRule="auto"/>
              <w:jc w:val="center"/>
              <w:rPr>
                <w:rFonts w:ascii="宋体" w:hAnsi="宋体" w:cs="宋体"/>
                <w:b/>
                <w:sz w:val="24"/>
              </w:rPr>
            </w:pPr>
            <w:r>
              <w:rPr>
                <w:rFonts w:hint="eastAsia" w:ascii="宋体" w:hAnsi="宋体" w:cs="宋体"/>
                <w:b/>
                <w:sz w:val="24"/>
              </w:rPr>
              <w:t>1.7.2</w:t>
            </w:r>
          </w:p>
        </w:tc>
        <w:tc>
          <w:tcPr>
            <w:tcW w:w="4535" w:type="pct"/>
            <w:tcBorders>
              <w:top w:val="single" w:color="auto" w:sz="6" w:space="0"/>
              <w:left w:val="single" w:color="auto" w:sz="6" w:space="0"/>
              <w:bottom w:val="single" w:color="auto" w:sz="6" w:space="0"/>
              <w:right w:val="single" w:color="auto" w:sz="6" w:space="0"/>
            </w:tcBorders>
            <w:vAlign w:val="center"/>
          </w:tcPr>
          <w:p w14:paraId="1EED8A7D">
            <w:pPr>
              <w:spacing w:line="360" w:lineRule="auto"/>
              <w:jc w:val="left"/>
              <w:rPr>
                <w:rFonts w:ascii="宋体" w:hAnsi="宋体" w:cs="宋体"/>
                <w:b/>
                <w:sz w:val="24"/>
              </w:rPr>
            </w:pPr>
            <w:r>
              <w:rPr>
                <w:rFonts w:hint="eastAsia" w:ascii="宋体" w:hAnsi="宋体" w:cs="宋体"/>
                <w:b/>
                <w:sz w:val="24"/>
              </w:rPr>
              <w:t>交付地点：</w:t>
            </w:r>
          </w:p>
          <w:p w14:paraId="1574A486">
            <w:pPr>
              <w:spacing w:line="360" w:lineRule="auto"/>
              <w:jc w:val="left"/>
              <w:rPr>
                <w:rFonts w:ascii="宋体" w:hAnsi="宋体" w:cs="宋体"/>
                <w:b/>
                <w:sz w:val="24"/>
              </w:rPr>
            </w:pPr>
            <w:r>
              <w:rPr>
                <w:rFonts w:hint="eastAsia" w:ascii="宋体" w:hAnsi="宋体" w:cs="宋体"/>
                <w:b/>
                <w:sz w:val="24"/>
              </w:rPr>
              <w:t>杭州职业技术大学</w:t>
            </w:r>
            <w:r>
              <w:rPr>
                <w:rFonts w:hint="eastAsia" w:ascii="宋体" w:hAnsi="宋体" w:cs="宋体"/>
                <w:b/>
                <w:sz w:val="24"/>
                <w:lang w:eastAsia="zh-CN"/>
              </w:rPr>
              <w:t>新安江校区</w:t>
            </w:r>
            <w:r>
              <w:rPr>
                <w:rFonts w:ascii="宋体" w:hAnsi="宋体" w:cs="宋体"/>
                <w:b/>
                <w:sz w:val="24"/>
              </w:rPr>
              <w:t>指定地点</w:t>
            </w:r>
          </w:p>
        </w:tc>
      </w:tr>
      <w:tr w14:paraId="372F2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2347EB5A">
            <w:pPr>
              <w:spacing w:line="360" w:lineRule="auto"/>
              <w:jc w:val="center"/>
              <w:rPr>
                <w:rFonts w:ascii="宋体" w:hAnsi="宋体" w:cs="宋体"/>
                <w:b/>
                <w:sz w:val="24"/>
              </w:rPr>
            </w:pPr>
            <w:r>
              <w:rPr>
                <w:rFonts w:hint="eastAsia" w:ascii="宋体" w:hAnsi="宋体" w:cs="宋体"/>
                <w:b/>
                <w:sz w:val="24"/>
              </w:rPr>
              <w:t>1.7.3</w:t>
            </w:r>
          </w:p>
        </w:tc>
        <w:tc>
          <w:tcPr>
            <w:tcW w:w="4535" w:type="pct"/>
            <w:tcBorders>
              <w:top w:val="single" w:color="auto" w:sz="6" w:space="0"/>
              <w:left w:val="single" w:color="auto" w:sz="6" w:space="0"/>
              <w:bottom w:val="single" w:color="auto" w:sz="6" w:space="0"/>
              <w:right w:val="single" w:color="auto" w:sz="6" w:space="0"/>
            </w:tcBorders>
            <w:vAlign w:val="center"/>
          </w:tcPr>
          <w:p w14:paraId="23F2E536">
            <w:pPr>
              <w:spacing w:line="360" w:lineRule="auto"/>
              <w:jc w:val="left"/>
              <w:rPr>
                <w:rFonts w:ascii="宋体" w:hAnsi="宋体" w:cs="宋体"/>
                <w:b/>
                <w:sz w:val="24"/>
              </w:rPr>
            </w:pPr>
            <w:r>
              <w:rPr>
                <w:rFonts w:hint="eastAsia" w:ascii="宋体" w:hAnsi="宋体" w:cs="宋体"/>
                <w:b/>
                <w:sz w:val="24"/>
              </w:rPr>
              <w:t>交付方式：</w:t>
            </w:r>
          </w:p>
          <w:p w14:paraId="408E1ED7">
            <w:pPr>
              <w:spacing w:line="360" w:lineRule="auto"/>
              <w:jc w:val="left"/>
              <w:rPr>
                <w:rFonts w:ascii="宋体" w:hAnsi="宋体" w:cs="宋体"/>
                <w:b/>
                <w:sz w:val="24"/>
              </w:rPr>
            </w:pPr>
            <w:r>
              <w:rPr>
                <w:rFonts w:hint="eastAsia" w:ascii="宋体" w:hAnsi="宋体" w:cs="宋体"/>
                <w:b/>
                <w:sz w:val="24"/>
              </w:rPr>
              <w:t>乙方承担本项目所有货物的生产、包装、运输、装卸、安装放置等至甲方指定地点，所有费用计入投标总价。</w:t>
            </w:r>
          </w:p>
        </w:tc>
      </w:tr>
      <w:tr w14:paraId="74909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662F6A14">
            <w:pPr>
              <w:spacing w:line="360" w:lineRule="auto"/>
              <w:jc w:val="center"/>
              <w:rPr>
                <w:rFonts w:ascii="宋体" w:hAnsi="宋体" w:cs="宋体"/>
                <w:b/>
                <w:sz w:val="24"/>
              </w:rPr>
            </w:pPr>
            <w:r>
              <w:rPr>
                <w:rFonts w:hint="eastAsia" w:ascii="宋体" w:hAnsi="宋体" w:cs="宋体"/>
                <w:b/>
                <w:sz w:val="24"/>
              </w:rPr>
              <w:t>1.8.6</w:t>
            </w:r>
          </w:p>
        </w:tc>
        <w:tc>
          <w:tcPr>
            <w:tcW w:w="4535" w:type="pct"/>
            <w:tcBorders>
              <w:top w:val="single" w:color="auto" w:sz="6" w:space="0"/>
              <w:left w:val="single" w:color="auto" w:sz="6" w:space="0"/>
              <w:bottom w:val="single" w:color="auto" w:sz="6" w:space="0"/>
              <w:right w:val="single" w:color="auto" w:sz="6" w:space="0"/>
            </w:tcBorders>
            <w:vAlign w:val="center"/>
          </w:tcPr>
          <w:p w14:paraId="2BFFCD34">
            <w:pPr>
              <w:spacing w:line="360" w:lineRule="auto"/>
              <w:jc w:val="left"/>
              <w:rPr>
                <w:rFonts w:hint="eastAsia" w:ascii="宋体" w:hAnsi="宋体" w:eastAsia="宋体" w:cs="宋体"/>
                <w:b/>
                <w:sz w:val="24"/>
                <w:lang w:val="en-US" w:eastAsia="zh-CN"/>
              </w:rPr>
            </w:pPr>
            <w:r>
              <w:rPr>
                <w:rFonts w:hint="eastAsia" w:ascii="宋体" w:hAnsi="宋体" w:cs="宋体"/>
                <w:b/>
                <w:sz w:val="24"/>
                <w:lang w:val="en-US" w:eastAsia="zh-CN"/>
              </w:rPr>
              <w:t>违约责任：</w:t>
            </w:r>
          </w:p>
          <w:p w14:paraId="7F2C9015">
            <w:pPr>
              <w:spacing w:line="360" w:lineRule="auto"/>
              <w:jc w:val="left"/>
              <w:rPr>
                <w:rFonts w:hint="eastAsia" w:ascii="宋体" w:hAnsi="宋体" w:cs="宋体"/>
                <w:b/>
                <w:sz w:val="24"/>
              </w:rPr>
            </w:pPr>
            <w:r>
              <w:rPr>
                <w:rFonts w:hint="eastAsia" w:ascii="宋体" w:hAnsi="宋体" w:cs="宋体"/>
                <w:b/>
                <w:sz w:val="24"/>
                <w:lang w:val="en-US" w:eastAsia="zh-CN"/>
              </w:rPr>
              <w:t>1.</w:t>
            </w:r>
            <w:r>
              <w:rPr>
                <w:rFonts w:hint="eastAsia" w:ascii="宋体" w:hAnsi="宋体" w:cs="宋体"/>
                <w:b/>
                <w:sz w:val="24"/>
              </w:rPr>
              <w:t>甲方无正当理由逾期支付货款的，自逾期之日起，向乙方每日偿付应付未付价款0.05%的违约金，最高限额为应付未付价款10%的违约金。</w:t>
            </w:r>
          </w:p>
          <w:p w14:paraId="552C5173">
            <w:pPr>
              <w:spacing w:line="360" w:lineRule="auto"/>
              <w:jc w:val="left"/>
              <w:rPr>
                <w:rFonts w:hint="eastAsia" w:ascii="宋体" w:hAnsi="宋体" w:cs="宋体"/>
                <w:b/>
                <w:sz w:val="24"/>
              </w:rPr>
            </w:pPr>
            <w:r>
              <w:rPr>
                <w:rFonts w:hint="eastAsia" w:ascii="宋体" w:hAnsi="宋体" w:cs="宋体"/>
                <w:b/>
                <w:sz w:val="24"/>
              </w:rPr>
              <w:t>2.乙方逾期供货及调试的，自逾期之日起，向甲方每日偿付合同总价1‰的违约金；乙方逾期10日不能交货的，应向甲方支付合同总价10%的违约金，并且甲方有权单方面解除本合同，不退还履约保证金。</w:t>
            </w:r>
          </w:p>
          <w:p w14:paraId="5317BD0D">
            <w:pPr>
              <w:spacing w:line="360" w:lineRule="auto"/>
              <w:jc w:val="left"/>
              <w:rPr>
                <w:rFonts w:hint="eastAsia" w:ascii="宋体" w:hAnsi="宋体" w:cs="宋体"/>
                <w:b/>
                <w:sz w:val="24"/>
              </w:rPr>
            </w:pPr>
            <w:r>
              <w:rPr>
                <w:rFonts w:hint="eastAsia" w:ascii="宋体" w:hAnsi="宋体" w:cs="宋体"/>
                <w:b/>
                <w:sz w:val="24"/>
              </w:rPr>
              <w:t>3.乙方所交的货物品种、型号、规格、技术参数、质量不符合合同规定及招标文件规定标准的，甲方有权拒收该货物，甲方愿意更换货物的，乙方仍应按照合同约定交货期交货，如更换后但逾期交货的，按乙方逾期交货处理。乙方拒绝更换货物的，甲方有权单方面解除合同，同时甲方有权没收履约保证金、要求乙方支付合同总价10%的违约金。</w:t>
            </w:r>
          </w:p>
          <w:p w14:paraId="1B5DCF01">
            <w:pPr>
              <w:spacing w:line="360" w:lineRule="auto"/>
              <w:jc w:val="left"/>
              <w:rPr>
                <w:rFonts w:hint="eastAsia" w:ascii="宋体" w:hAnsi="宋体" w:cs="宋体"/>
                <w:b/>
                <w:sz w:val="24"/>
              </w:rPr>
            </w:pPr>
            <w:r>
              <w:rPr>
                <w:rFonts w:hint="eastAsia" w:ascii="宋体" w:hAnsi="宋体" w:cs="宋体"/>
                <w:b/>
                <w:sz w:val="24"/>
              </w:rPr>
              <w:t>4.如验收不能达到质量功能（性能）标准，合同商品由乙方在验收后一周内运离安装地点，所需费用由乙方承担。如乙方在一个月内不处理（搬走）合同商品，视为乙方放弃该商品，甲方有权自行处理（包括废物处理）。同时，乙方要支付给甲方合同总价的20％作为违约金。</w:t>
            </w:r>
          </w:p>
        </w:tc>
      </w:tr>
      <w:tr w14:paraId="1AF21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0FD9BED6">
            <w:pPr>
              <w:spacing w:line="360" w:lineRule="auto"/>
              <w:jc w:val="center"/>
              <w:rPr>
                <w:rFonts w:ascii="宋体" w:hAnsi="宋体" w:cs="宋体"/>
                <w:b/>
                <w:sz w:val="24"/>
              </w:rPr>
            </w:pPr>
            <w:r>
              <w:rPr>
                <w:rFonts w:hint="eastAsia" w:ascii="宋体" w:hAnsi="宋体" w:cs="宋体"/>
                <w:b/>
                <w:sz w:val="24"/>
              </w:rPr>
              <w:t>1.9</w:t>
            </w:r>
          </w:p>
        </w:tc>
        <w:tc>
          <w:tcPr>
            <w:tcW w:w="4535" w:type="pct"/>
            <w:tcBorders>
              <w:top w:val="single" w:color="auto" w:sz="6" w:space="0"/>
              <w:left w:val="single" w:color="auto" w:sz="6" w:space="0"/>
              <w:bottom w:val="single" w:color="auto" w:sz="6" w:space="0"/>
              <w:right w:val="single" w:color="auto" w:sz="6" w:space="0"/>
            </w:tcBorders>
            <w:shd w:val="clear" w:color="auto" w:fill="auto"/>
            <w:vAlign w:val="center"/>
          </w:tcPr>
          <w:p w14:paraId="3008BC3B">
            <w:pPr>
              <w:spacing w:line="360" w:lineRule="auto"/>
              <w:jc w:val="left"/>
              <w:rPr>
                <w:rFonts w:ascii="宋体" w:hAnsi="宋体" w:cs="宋体"/>
                <w:b/>
                <w:sz w:val="24"/>
              </w:rPr>
            </w:pPr>
            <w:r>
              <w:rPr>
                <w:rFonts w:hint="eastAsia" w:ascii="宋体" w:hAnsi="宋体" w:cs="宋体"/>
                <w:b/>
                <w:sz w:val="24"/>
              </w:rPr>
              <w:t>本合同履行过程中发生的任何争议，双方当事人均可通过和解或者调解解决；不愿和解、调解或者和解、调解不成的，可以选择以下第 1.9.1 条款规定的方式解决：</w:t>
            </w:r>
          </w:p>
        </w:tc>
      </w:tr>
      <w:tr w14:paraId="738F4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44F89E50">
            <w:pPr>
              <w:spacing w:line="360" w:lineRule="auto"/>
              <w:jc w:val="center"/>
              <w:rPr>
                <w:rFonts w:ascii="宋体" w:hAnsi="宋体" w:cs="宋体"/>
                <w:b/>
                <w:sz w:val="24"/>
              </w:rPr>
            </w:pPr>
            <w:r>
              <w:rPr>
                <w:rFonts w:hint="eastAsia" w:ascii="宋体" w:hAnsi="宋体" w:cs="宋体"/>
                <w:b/>
                <w:sz w:val="24"/>
              </w:rPr>
              <w:t>1.9.1</w:t>
            </w:r>
          </w:p>
        </w:tc>
        <w:tc>
          <w:tcPr>
            <w:tcW w:w="4535" w:type="pct"/>
            <w:tcBorders>
              <w:top w:val="single" w:color="auto" w:sz="6" w:space="0"/>
              <w:left w:val="single" w:color="auto" w:sz="6" w:space="0"/>
              <w:bottom w:val="single" w:color="auto" w:sz="6" w:space="0"/>
              <w:right w:val="single" w:color="auto" w:sz="6" w:space="0"/>
            </w:tcBorders>
            <w:shd w:val="clear" w:color="auto" w:fill="auto"/>
            <w:vAlign w:val="center"/>
          </w:tcPr>
          <w:p w14:paraId="220251BB">
            <w:pPr>
              <w:spacing w:line="360" w:lineRule="auto"/>
              <w:jc w:val="left"/>
              <w:rPr>
                <w:rFonts w:ascii="宋体" w:hAnsi="宋体" w:cs="宋体"/>
                <w:b/>
                <w:sz w:val="24"/>
              </w:rPr>
            </w:pPr>
            <w:r>
              <w:rPr>
                <w:rFonts w:hint="eastAsia" w:ascii="宋体" w:hAnsi="宋体" w:cs="宋体"/>
                <w:b/>
                <w:sz w:val="24"/>
              </w:rPr>
              <w:t>将争议提交杭州仲裁委员会依申请仲裁时其现行有效的仲裁规则裁决；</w:t>
            </w:r>
          </w:p>
        </w:tc>
      </w:tr>
      <w:tr w14:paraId="10520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11240D39">
            <w:pPr>
              <w:spacing w:line="360" w:lineRule="auto"/>
              <w:jc w:val="center"/>
              <w:rPr>
                <w:rFonts w:ascii="宋体" w:hAnsi="宋体" w:cs="宋体"/>
                <w:b/>
                <w:sz w:val="24"/>
              </w:rPr>
            </w:pPr>
            <w:r>
              <w:rPr>
                <w:rFonts w:hint="eastAsia" w:ascii="宋体" w:hAnsi="宋体" w:cs="宋体"/>
                <w:b/>
                <w:sz w:val="24"/>
              </w:rPr>
              <w:t>1.9.2</w:t>
            </w:r>
          </w:p>
        </w:tc>
        <w:tc>
          <w:tcPr>
            <w:tcW w:w="4535" w:type="pct"/>
            <w:tcBorders>
              <w:top w:val="single" w:color="auto" w:sz="6" w:space="0"/>
              <w:left w:val="single" w:color="auto" w:sz="6" w:space="0"/>
              <w:bottom w:val="single" w:color="auto" w:sz="6" w:space="0"/>
              <w:right w:val="single" w:color="auto" w:sz="6" w:space="0"/>
            </w:tcBorders>
            <w:shd w:val="clear" w:color="auto" w:fill="auto"/>
            <w:vAlign w:val="center"/>
          </w:tcPr>
          <w:p w14:paraId="2AE95FC1">
            <w:pPr>
              <w:spacing w:line="360" w:lineRule="auto"/>
              <w:jc w:val="left"/>
              <w:rPr>
                <w:rFonts w:ascii="宋体" w:hAnsi="宋体" w:cs="宋体"/>
                <w:b/>
                <w:sz w:val="24"/>
              </w:rPr>
            </w:pPr>
            <w:r>
              <w:rPr>
                <w:rFonts w:hint="eastAsia" w:ascii="宋体" w:hAnsi="宋体" w:cs="宋体"/>
                <w:b/>
                <w:sz w:val="24"/>
              </w:rPr>
              <w:t>向合同履行地人民法院起诉。</w:t>
            </w:r>
          </w:p>
        </w:tc>
      </w:tr>
      <w:tr w14:paraId="2CF97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655BFC7B">
            <w:pPr>
              <w:spacing w:line="360" w:lineRule="auto"/>
              <w:jc w:val="center"/>
              <w:rPr>
                <w:rFonts w:ascii="宋体" w:hAnsi="宋体" w:cs="宋体"/>
                <w:b/>
                <w:sz w:val="24"/>
              </w:rPr>
            </w:pPr>
            <w:r>
              <w:rPr>
                <w:rFonts w:hint="eastAsia" w:ascii="宋体" w:hAnsi="宋体" w:cs="宋体"/>
                <w:b/>
                <w:sz w:val="24"/>
              </w:rPr>
              <w:t>2.3.2</w:t>
            </w:r>
          </w:p>
        </w:tc>
        <w:tc>
          <w:tcPr>
            <w:tcW w:w="4535" w:type="pct"/>
            <w:tcBorders>
              <w:top w:val="single" w:color="auto" w:sz="6" w:space="0"/>
              <w:left w:val="single" w:color="auto" w:sz="6" w:space="0"/>
              <w:bottom w:val="single" w:color="auto" w:sz="6" w:space="0"/>
              <w:right w:val="single" w:color="auto" w:sz="6" w:space="0"/>
            </w:tcBorders>
            <w:shd w:val="clear" w:color="auto" w:fill="auto"/>
            <w:vAlign w:val="center"/>
          </w:tcPr>
          <w:p w14:paraId="472D4219">
            <w:pPr>
              <w:spacing w:line="360" w:lineRule="auto"/>
              <w:jc w:val="left"/>
              <w:rPr>
                <w:rFonts w:ascii="宋体" w:hAnsi="宋体" w:cs="宋体"/>
                <w:b/>
                <w:sz w:val="24"/>
              </w:rPr>
            </w:pPr>
            <w:r>
              <w:rPr>
                <w:rFonts w:hint="eastAsia" w:ascii="宋体" w:hAnsi="宋体" w:cs="宋体"/>
                <w:b/>
                <w:sz w:val="24"/>
              </w:rPr>
              <w:t>无</w:t>
            </w:r>
          </w:p>
        </w:tc>
      </w:tr>
      <w:tr w14:paraId="427BD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08FBF3CC">
            <w:pPr>
              <w:spacing w:line="360" w:lineRule="auto"/>
              <w:jc w:val="center"/>
              <w:rPr>
                <w:rFonts w:ascii="宋体" w:hAnsi="宋体" w:cs="宋体"/>
                <w:b/>
                <w:sz w:val="24"/>
              </w:rPr>
            </w:pPr>
            <w:r>
              <w:rPr>
                <w:rFonts w:hint="eastAsia" w:ascii="宋体" w:hAnsi="宋体" w:cs="宋体"/>
                <w:b/>
                <w:sz w:val="24"/>
              </w:rPr>
              <w:t>2.4.1</w:t>
            </w:r>
          </w:p>
        </w:tc>
        <w:tc>
          <w:tcPr>
            <w:tcW w:w="4535" w:type="pct"/>
            <w:tcBorders>
              <w:top w:val="single" w:color="auto" w:sz="6" w:space="0"/>
              <w:left w:val="single" w:color="auto" w:sz="6" w:space="0"/>
              <w:bottom w:val="single" w:color="auto" w:sz="6" w:space="0"/>
              <w:right w:val="single" w:color="auto" w:sz="6" w:space="0"/>
            </w:tcBorders>
            <w:vAlign w:val="center"/>
          </w:tcPr>
          <w:p w14:paraId="0FF2C707">
            <w:pPr>
              <w:spacing w:line="360" w:lineRule="auto"/>
              <w:jc w:val="left"/>
              <w:rPr>
                <w:rFonts w:ascii="宋体" w:hAnsi="宋体" w:cs="宋体"/>
                <w:b/>
                <w:sz w:val="24"/>
              </w:rPr>
            </w:pPr>
            <w:r>
              <w:rPr>
                <w:rFonts w:hint="eastAsia" w:ascii="宋体" w:hAnsi="宋体" w:cs="宋体"/>
                <w:b/>
                <w:sz w:val="24"/>
              </w:rPr>
              <w:t>包装和装运：</w:t>
            </w:r>
          </w:p>
          <w:p w14:paraId="6A0F1834">
            <w:pPr>
              <w:spacing w:line="360" w:lineRule="auto"/>
              <w:jc w:val="left"/>
              <w:rPr>
                <w:rFonts w:ascii="宋体" w:hAnsi="宋体" w:cs="宋体"/>
                <w:b/>
                <w:sz w:val="24"/>
              </w:rPr>
            </w:pPr>
            <w:r>
              <w:rPr>
                <w:rFonts w:hint="eastAsia" w:ascii="宋体" w:hAnsi="宋体" w:cs="宋体"/>
                <w:b/>
                <w:sz w:val="24"/>
              </w:rPr>
              <w:t>乙方负责将货物安全运抵采购人指定地点，并承担由此产生的全部费用，包括但不限于运输费、装卸费、保险费、垃圾清运费等。</w:t>
            </w:r>
          </w:p>
          <w:p w14:paraId="02E23B05">
            <w:pPr>
              <w:spacing w:line="360" w:lineRule="auto"/>
              <w:jc w:val="left"/>
              <w:rPr>
                <w:rFonts w:ascii="宋体" w:hAnsi="宋体" w:cs="宋体"/>
                <w:b/>
                <w:sz w:val="24"/>
              </w:rPr>
            </w:pPr>
            <w:r>
              <w:rPr>
                <w:rFonts w:hint="eastAsia" w:ascii="宋体" w:hAnsi="宋体" w:cs="宋体"/>
                <w:b/>
                <w:sz w:val="24"/>
              </w:rPr>
              <w:t>本项目为交钥匙</w:t>
            </w:r>
            <w:r>
              <w:rPr>
                <w:rFonts w:hint="eastAsia" w:ascii="宋体" w:hAnsi="宋体" w:cs="宋体"/>
                <w:b/>
                <w:sz w:val="24"/>
                <w:lang w:val="en-US" w:eastAsia="zh-CN"/>
              </w:rPr>
              <w:t>项目</w:t>
            </w:r>
            <w:r>
              <w:rPr>
                <w:rFonts w:hint="eastAsia" w:ascii="宋体" w:hAnsi="宋体" w:cs="宋体"/>
                <w:b/>
                <w:sz w:val="24"/>
              </w:rPr>
              <w:t>，乙方须负责包括但不限于机房内涉及的全部安装、调试、数据迁移（如涉及旧设备）等工作，相关费用已计入投标总价。</w:t>
            </w:r>
          </w:p>
          <w:p w14:paraId="598401D4">
            <w:pPr>
              <w:spacing w:line="360" w:lineRule="auto"/>
              <w:jc w:val="left"/>
              <w:rPr>
                <w:rFonts w:ascii="宋体" w:hAnsi="宋体" w:cs="宋体"/>
                <w:b/>
                <w:sz w:val="24"/>
              </w:rPr>
            </w:pPr>
            <w:r>
              <w:rPr>
                <w:rFonts w:hint="eastAsia" w:ascii="宋体" w:hAnsi="宋体" w:cs="宋体"/>
                <w:b/>
                <w:sz w:val="24"/>
              </w:rPr>
              <w:t>乙方应组建并派遣满足项目需求的专业团队，其中必须指派1名具备信息系统项目管理师证书（人社部门颁发）并拥有相关项目组织经验的项目负责人，其负责总体协调、与采购人日常联络及确保交付进度，并须保持人员稳定性。项目负责人与所有团队成员均须提供有效的单位社保缴纳证明。该团队须按采购人要求，在质保期内提供包括上门服务在内的技术支持、日常运维与问题响应，并确保所有安装工作符合国家安全技术标准。</w:t>
            </w:r>
          </w:p>
        </w:tc>
      </w:tr>
      <w:tr w14:paraId="0C732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15C7F93C">
            <w:pPr>
              <w:spacing w:line="360" w:lineRule="auto"/>
              <w:jc w:val="center"/>
              <w:rPr>
                <w:rFonts w:ascii="宋体" w:hAnsi="宋体" w:cs="宋体"/>
                <w:b/>
                <w:sz w:val="24"/>
              </w:rPr>
            </w:pPr>
            <w:r>
              <w:rPr>
                <w:rFonts w:hint="eastAsia" w:ascii="宋体" w:hAnsi="宋体" w:cs="宋体"/>
                <w:b/>
                <w:sz w:val="24"/>
              </w:rPr>
              <w:t>2.4.3</w:t>
            </w:r>
          </w:p>
        </w:tc>
        <w:tc>
          <w:tcPr>
            <w:tcW w:w="4535" w:type="pct"/>
            <w:tcBorders>
              <w:top w:val="single" w:color="auto" w:sz="6" w:space="0"/>
              <w:left w:val="single" w:color="auto" w:sz="6" w:space="0"/>
              <w:bottom w:val="single" w:color="auto" w:sz="6" w:space="0"/>
              <w:right w:val="single" w:color="auto" w:sz="6" w:space="0"/>
            </w:tcBorders>
            <w:vAlign w:val="center"/>
          </w:tcPr>
          <w:p w14:paraId="5A8F142A">
            <w:pPr>
              <w:spacing w:line="360" w:lineRule="auto"/>
              <w:jc w:val="left"/>
              <w:rPr>
                <w:rFonts w:ascii="宋体" w:hAnsi="宋体" w:cs="宋体"/>
                <w:b/>
                <w:sz w:val="24"/>
              </w:rPr>
            </w:pPr>
            <w:r>
              <w:rPr>
                <w:rFonts w:hint="eastAsia" w:ascii="宋体" w:hAnsi="宋体" w:cs="宋体"/>
                <w:b/>
                <w:sz w:val="24"/>
              </w:rPr>
              <w:t>乙方在运输及安装货物过程中，须负责对楼内现有设施设备（包括但不限于墙面、地面、门窗、管线及其他固定设施）实施有效的成品保护。如因乙方工作人员的操作不当，在运输、安装等环节造成校内设施设备损坏的，乙方应承担全部修复责任，并赔偿由此造成的相关损失。</w:t>
            </w:r>
          </w:p>
        </w:tc>
      </w:tr>
      <w:tr w14:paraId="3C710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7F584956">
            <w:pPr>
              <w:spacing w:line="360" w:lineRule="auto"/>
              <w:jc w:val="center"/>
              <w:rPr>
                <w:rFonts w:ascii="宋体" w:hAnsi="宋体" w:cs="宋体"/>
                <w:b/>
                <w:sz w:val="24"/>
              </w:rPr>
            </w:pPr>
            <w:r>
              <w:rPr>
                <w:rFonts w:hint="eastAsia" w:ascii="宋体" w:hAnsi="宋体" w:cs="宋体"/>
                <w:b/>
                <w:sz w:val="24"/>
              </w:rPr>
              <w:t>2.4.4</w:t>
            </w:r>
          </w:p>
        </w:tc>
        <w:tc>
          <w:tcPr>
            <w:tcW w:w="4535" w:type="pct"/>
            <w:tcBorders>
              <w:top w:val="single" w:color="auto" w:sz="6" w:space="0"/>
              <w:left w:val="single" w:color="auto" w:sz="6" w:space="0"/>
              <w:bottom w:val="single" w:color="auto" w:sz="6" w:space="0"/>
              <w:right w:val="single" w:color="auto" w:sz="6" w:space="0"/>
            </w:tcBorders>
            <w:vAlign w:val="center"/>
          </w:tcPr>
          <w:p w14:paraId="4C8AA4B6">
            <w:pPr>
              <w:spacing w:line="360" w:lineRule="auto"/>
              <w:jc w:val="left"/>
              <w:rPr>
                <w:rFonts w:ascii="宋体" w:hAnsi="宋体" w:cs="宋体"/>
                <w:b/>
                <w:sz w:val="24"/>
              </w:rPr>
            </w:pPr>
            <w:r>
              <w:rPr>
                <w:rFonts w:hint="eastAsia" w:ascii="宋体" w:hAnsi="宋体" w:cs="宋体"/>
                <w:b/>
                <w:sz w:val="24"/>
              </w:rPr>
              <w:t>货物在安装、调试并验收合格前的一切保险事宜（含货物运输险及现场工作人员人身意外险等）均由乙方负责办理并承担费用。项目实施过程中，乙方须采取充分的安全防护措施，若因操作不当或现场防护不足导致人员伤亡、实施现场防范措施设置不明造成人员伤害事故，乙方应承担全部修复及赔偿责任，乙方应承担项目实施过程中的所有安全责任及各类损失赔偿。</w:t>
            </w:r>
          </w:p>
        </w:tc>
      </w:tr>
      <w:tr w14:paraId="63ACC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0D6885B4">
            <w:pPr>
              <w:spacing w:line="360" w:lineRule="auto"/>
              <w:jc w:val="center"/>
              <w:rPr>
                <w:rFonts w:ascii="宋体" w:hAnsi="宋体" w:cs="宋体"/>
                <w:b/>
                <w:sz w:val="24"/>
              </w:rPr>
            </w:pPr>
            <w:r>
              <w:rPr>
                <w:rFonts w:hint="eastAsia" w:ascii="宋体" w:hAnsi="宋体" w:cs="宋体"/>
                <w:b/>
                <w:sz w:val="24"/>
              </w:rPr>
              <w:t>2.4.5</w:t>
            </w:r>
          </w:p>
        </w:tc>
        <w:tc>
          <w:tcPr>
            <w:tcW w:w="4535" w:type="pct"/>
            <w:tcBorders>
              <w:top w:val="single" w:color="auto" w:sz="6" w:space="0"/>
              <w:left w:val="single" w:color="auto" w:sz="6" w:space="0"/>
              <w:bottom w:val="single" w:color="auto" w:sz="6" w:space="0"/>
              <w:right w:val="single" w:color="auto" w:sz="6" w:space="0"/>
            </w:tcBorders>
            <w:vAlign w:val="center"/>
          </w:tcPr>
          <w:p w14:paraId="598E18E3">
            <w:pPr>
              <w:spacing w:line="360" w:lineRule="auto"/>
              <w:jc w:val="left"/>
              <w:rPr>
                <w:rFonts w:ascii="宋体" w:hAnsi="宋体" w:cs="宋体"/>
                <w:b/>
                <w:sz w:val="24"/>
              </w:rPr>
            </w:pPr>
            <w:r>
              <w:rPr>
                <w:rFonts w:hint="eastAsia" w:ascii="宋体" w:hAnsi="宋体" w:cs="宋体"/>
                <w:b/>
                <w:sz w:val="24"/>
              </w:rPr>
              <w:t>乙方应免费提供软件安装与调试服务，保证所有软件在交货时同步安装到位、符合国家技术规范标准，并对安装质量承担全部责任；安装时间以采购人通知为准，若因其原因逾期，应承担相应损失。乙方须在投标文件中提供具体的安装调试计划及对运行场地、环境的要求。</w:t>
            </w:r>
          </w:p>
        </w:tc>
      </w:tr>
      <w:tr w14:paraId="4E464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512FDB04">
            <w:pPr>
              <w:spacing w:line="360" w:lineRule="auto"/>
              <w:jc w:val="center"/>
              <w:rPr>
                <w:rFonts w:ascii="宋体" w:hAnsi="宋体" w:cs="宋体"/>
                <w:b/>
                <w:sz w:val="24"/>
              </w:rPr>
            </w:pPr>
            <w:r>
              <w:rPr>
                <w:rFonts w:hint="eastAsia" w:ascii="宋体" w:hAnsi="宋体" w:cs="宋体"/>
                <w:b/>
                <w:sz w:val="24"/>
              </w:rPr>
              <w:t>2.7.3</w:t>
            </w:r>
          </w:p>
        </w:tc>
        <w:tc>
          <w:tcPr>
            <w:tcW w:w="4535" w:type="pct"/>
            <w:tcBorders>
              <w:top w:val="single" w:color="auto" w:sz="6" w:space="0"/>
              <w:left w:val="single" w:color="auto" w:sz="6" w:space="0"/>
              <w:bottom w:val="single" w:color="auto" w:sz="6" w:space="0"/>
              <w:right w:val="single" w:color="auto" w:sz="6" w:space="0"/>
            </w:tcBorders>
            <w:vAlign w:val="center"/>
          </w:tcPr>
          <w:p w14:paraId="030C33D5">
            <w:pPr>
              <w:spacing w:line="360" w:lineRule="auto"/>
              <w:jc w:val="left"/>
              <w:rPr>
                <w:rFonts w:ascii="宋体" w:hAnsi="宋体" w:cs="宋体"/>
                <w:b/>
                <w:sz w:val="24"/>
              </w:rPr>
            </w:pPr>
            <w:r>
              <w:rPr>
                <w:rFonts w:hint="eastAsia" w:ascii="宋体" w:hAnsi="宋体" w:cs="宋体"/>
                <w:b/>
                <w:sz w:val="24"/>
              </w:rPr>
              <w:t>质保期和售后：</w:t>
            </w:r>
          </w:p>
          <w:p w14:paraId="49DE3724">
            <w:pPr>
              <w:spacing w:line="360" w:lineRule="auto"/>
              <w:jc w:val="left"/>
              <w:rPr>
                <w:rFonts w:ascii="宋体" w:hAnsi="宋体" w:cs="宋体"/>
                <w:b/>
                <w:sz w:val="24"/>
              </w:rPr>
            </w:pPr>
            <w:r>
              <w:rPr>
                <w:rFonts w:hint="eastAsia" w:ascii="宋体" w:hAnsi="宋体" w:cs="宋体"/>
                <w:b/>
                <w:sz w:val="24"/>
                <w:lang w:val="en-US" w:eastAsia="zh-CN"/>
              </w:rPr>
              <w:t>1.</w:t>
            </w:r>
            <w:r>
              <w:rPr>
                <w:rFonts w:hint="eastAsia" w:ascii="宋体" w:hAnsi="宋体" w:cs="宋体"/>
                <w:b/>
                <w:sz w:val="24"/>
              </w:rPr>
              <w:t>乙方提供的产品质保期不少于</w:t>
            </w:r>
            <w:r>
              <w:rPr>
                <w:rFonts w:hint="eastAsia" w:ascii="宋体" w:hAnsi="宋体" w:cs="宋体"/>
                <w:b/>
                <w:sz w:val="24"/>
                <w:lang w:val="en-US" w:eastAsia="zh-CN"/>
              </w:rPr>
              <w:t>5</w:t>
            </w:r>
            <w:r>
              <w:rPr>
                <w:rFonts w:hint="eastAsia" w:ascii="宋体" w:hAnsi="宋体" w:cs="宋体"/>
                <w:b/>
                <w:sz w:val="24"/>
              </w:rPr>
              <w:t>年（个别除外），质保期自验收合格之日起计算。</w:t>
            </w:r>
          </w:p>
          <w:p w14:paraId="4DCEE06A">
            <w:pPr>
              <w:spacing w:line="360" w:lineRule="auto"/>
              <w:jc w:val="left"/>
              <w:rPr>
                <w:rFonts w:ascii="宋体" w:hAnsi="宋体" w:cs="宋体"/>
                <w:b/>
                <w:sz w:val="24"/>
              </w:rPr>
            </w:pPr>
            <w:r>
              <w:rPr>
                <w:rFonts w:hint="eastAsia" w:ascii="宋体" w:hAnsi="宋体" w:cs="宋体"/>
                <w:b/>
                <w:sz w:val="24"/>
              </w:rPr>
              <w:t>2.质保期内，乙方应在甲方所在地设立常驻或可快速响应的本地化应急维修小组。具体响应时限如下：</w:t>
            </w:r>
          </w:p>
          <w:p w14:paraId="27719576">
            <w:pPr>
              <w:spacing w:line="360" w:lineRule="auto"/>
              <w:jc w:val="left"/>
              <w:rPr>
                <w:rFonts w:ascii="宋体" w:hAnsi="宋体" w:cs="宋体"/>
                <w:b/>
                <w:sz w:val="24"/>
              </w:rPr>
            </w:pPr>
            <w:r>
              <w:rPr>
                <w:rFonts w:hint="eastAsia" w:ascii="宋体" w:hAnsi="宋体" w:cs="宋体"/>
                <w:b/>
                <w:sz w:val="24"/>
              </w:rPr>
              <w:t xml:space="preserve">故障响应：接到报修通知后 </w:t>
            </w:r>
            <w:r>
              <w:rPr>
                <w:rFonts w:hint="eastAsia" w:ascii="宋体" w:hAnsi="宋体" w:cs="宋体"/>
                <w:b/>
                <w:sz w:val="24"/>
                <w:lang w:val="en-US" w:eastAsia="zh-CN"/>
              </w:rPr>
              <w:t>同城4小时，异地12小时</w:t>
            </w:r>
            <w:r>
              <w:rPr>
                <w:rFonts w:hint="eastAsia" w:ascii="宋体" w:hAnsi="宋体" w:cs="宋体"/>
                <w:b/>
                <w:sz w:val="24"/>
              </w:rPr>
              <w:t>主动响应。</w:t>
            </w:r>
          </w:p>
          <w:p w14:paraId="116ACDAD">
            <w:pPr>
              <w:spacing w:line="360" w:lineRule="auto"/>
              <w:jc w:val="left"/>
              <w:rPr>
                <w:rFonts w:ascii="宋体" w:hAnsi="宋体" w:cs="宋体"/>
                <w:b/>
                <w:sz w:val="24"/>
              </w:rPr>
            </w:pPr>
            <w:r>
              <w:rPr>
                <w:rFonts w:hint="eastAsia" w:ascii="宋体" w:hAnsi="宋体" w:cs="宋体"/>
                <w:b/>
                <w:sz w:val="24"/>
              </w:rPr>
              <w:t>电话支持：1小时内提供首次电话技术支持。</w:t>
            </w:r>
          </w:p>
          <w:p w14:paraId="5B61AF71">
            <w:pPr>
              <w:spacing w:line="360" w:lineRule="auto"/>
              <w:jc w:val="left"/>
              <w:rPr>
                <w:rFonts w:ascii="宋体" w:hAnsi="宋体" w:cs="宋体"/>
                <w:b/>
                <w:sz w:val="24"/>
              </w:rPr>
            </w:pPr>
            <w:r>
              <w:rPr>
                <w:rFonts w:hint="eastAsia" w:ascii="宋体" w:hAnsi="宋体" w:cs="宋体"/>
                <w:b/>
                <w:sz w:val="24"/>
              </w:rPr>
              <w:t>现场服务：如需现场处理，维修人员应在24小时内抵达现场并开始维修。</w:t>
            </w:r>
          </w:p>
          <w:p w14:paraId="1FBF5548">
            <w:pPr>
              <w:numPr>
                <w:ilvl w:val="0"/>
                <w:numId w:val="9"/>
              </w:numPr>
              <w:snapToGrid w:val="0"/>
              <w:jc w:val="left"/>
              <w:rPr>
                <w:rFonts w:ascii="宋体" w:hAnsi="宋体" w:cs="宋体"/>
                <w:b/>
                <w:sz w:val="24"/>
              </w:rPr>
            </w:pPr>
            <w:r>
              <w:rPr>
                <w:rFonts w:hint="eastAsia" w:ascii="宋体" w:hAnsi="宋体" w:cs="宋体"/>
                <w:b/>
                <w:sz w:val="24"/>
              </w:rPr>
              <w:t>质保期内，所有因产品自身原因导致的非人为损坏质量问题，乙方须免费提供维修、更换部件或零件服务，并承担由此产生的一切费用（包括材料、人工、运输等）。</w:t>
            </w:r>
          </w:p>
          <w:p w14:paraId="7DDFEEC9">
            <w:pPr>
              <w:numPr>
                <w:ilvl w:val="0"/>
                <w:numId w:val="9"/>
              </w:numPr>
              <w:snapToGrid w:val="0"/>
              <w:jc w:val="left"/>
              <w:rPr>
                <w:rFonts w:ascii="宋体" w:hAnsi="宋体" w:cs="宋体"/>
                <w:b/>
                <w:sz w:val="24"/>
              </w:rPr>
            </w:pPr>
            <w:r>
              <w:rPr>
                <w:rFonts w:hint="eastAsia" w:ascii="宋体" w:hAnsi="宋体" w:cs="宋体"/>
                <w:b/>
                <w:sz w:val="24"/>
              </w:rPr>
              <w:t>质保期内，供应商应及时免费提供合同货物软件的升级，免费提供合同货物新功能和应用的资料。</w:t>
            </w:r>
          </w:p>
          <w:p w14:paraId="7FEC8CD6">
            <w:pPr>
              <w:spacing w:line="360" w:lineRule="auto"/>
              <w:jc w:val="left"/>
              <w:rPr>
                <w:rFonts w:ascii="宋体" w:hAnsi="宋体" w:cs="宋体"/>
                <w:b/>
                <w:sz w:val="24"/>
              </w:rPr>
            </w:pPr>
            <w:r>
              <w:rPr>
                <w:rFonts w:hint="eastAsia" w:ascii="宋体" w:hAnsi="宋体" w:cs="宋体"/>
                <w:b/>
                <w:sz w:val="24"/>
              </w:rPr>
              <w:t>5.质保期内，乙方须在每年寒假、暑假期间各提供一次免费上门全面巡检及预防性维护服务，并向采购人提交巡检报告。</w:t>
            </w:r>
          </w:p>
          <w:p w14:paraId="0AF84ED9">
            <w:pPr>
              <w:spacing w:line="360" w:lineRule="auto"/>
              <w:jc w:val="left"/>
              <w:rPr>
                <w:rFonts w:ascii="宋体" w:hAnsi="宋体" w:cs="宋体"/>
                <w:b/>
                <w:sz w:val="24"/>
              </w:rPr>
            </w:pPr>
            <w:r>
              <w:rPr>
                <w:rFonts w:hint="eastAsia" w:ascii="宋体" w:hAnsi="宋体" w:cs="宋体"/>
                <w:b/>
                <w:sz w:val="24"/>
              </w:rPr>
              <w:t>6.所有产品须为开标前半年月内生产，且均为原厂原装产品，承诺工厂直发学校，保质保量，有正规的产品合格证、质量保证书，不得使用“三无”产品，不得以次充好，以旧代新，质价不符。如因投标人技术力量原因，给采购人造成损失的，除重新修理好以外，采购人有权提出赔偿，赔偿额不限于合同总价。</w:t>
            </w:r>
          </w:p>
          <w:p w14:paraId="47F3A402">
            <w:pPr>
              <w:spacing w:line="360" w:lineRule="auto"/>
              <w:jc w:val="left"/>
              <w:rPr>
                <w:rFonts w:ascii="宋体" w:hAnsi="宋体" w:cs="宋体"/>
                <w:b/>
                <w:sz w:val="24"/>
              </w:rPr>
            </w:pPr>
            <w:r>
              <w:rPr>
                <w:rFonts w:hint="eastAsia" w:ascii="宋体" w:hAnsi="宋体" w:cs="宋体"/>
                <w:b/>
                <w:sz w:val="24"/>
              </w:rPr>
              <w:t>7.项目安装调试完毕并验收合格后，乙方应统一组织采购人相关人员，提供全面的产品使用及日常维护培训。所有派驻现场的服务与维修人员，均须经过严格的技术培训，具备相应的专业资质和丰富的现场实践经验。</w:t>
            </w:r>
          </w:p>
        </w:tc>
      </w:tr>
      <w:tr w14:paraId="4CA70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44CC306A">
            <w:pPr>
              <w:spacing w:line="360" w:lineRule="auto"/>
              <w:jc w:val="center"/>
              <w:rPr>
                <w:rFonts w:ascii="宋体" w:hAnsi="宋体" w:cs="宋体"/>
                <w:b/>
                <w:sz w:val="24"/>
              </w:rPr>
            </w:pPr>
            <w:r>
              <w:rPr>
                <w:rFonts w:hint="eastAsia" w:ascii="宋体" w:hAnsi="宋体" w:cs="宋体"/>
                <w:b/>
                <w:sz w:val="24"/>
              </w:rPr>
              <w:t>2.7.4</w:t>
            </w:r>
          </w:p>
        </w:tc>
        <w:tc>
          <w:tcPr>
            <w:tcW w:w="4535" w:type="pct"/>
            <w:tcBorders>
              <w:top w:val="single" w:color="auto" w:sz="6" w:space="0"/>
              <w:left w:val="single" w:color="auto" w:sz="6" w:space="0"/>
              <w:bottom w:val="single" w:color="auto" w:sz="6" w:space="0"/>
              <w:right w:val="single" w:color="auto" w:sz="6" w:space="0"/>
            </w:tcBorders>
            <w:vAlign w:val="center"/>
          </w:tcPr>
          <w:p w14:paraId="21C0EDFF">
            <w:pPr>
              <w:spacing w:line="360" w:lineRule="auto"/>
              <w:jc w:val="left"/>
              <w:rPr>
                <w:rFonts w:ascii="宋体" w:hAnsi="宋体" w:cs="宋体"/>
                <w:b/>
                <w:sz w:val="24"/>
              </w:rPr>
            </w:pPr>
            <w:r>
              <w:rPr>
                <w:rFonts w:hint="eastAsia" w:ascii="宋体" w:hAnsi="宋体" w:cs="宋体"/>
                <w:b/>
                <w:sz w:val="24"/>
              </w:rPr>
              <w:t>质保期满后，乙方应承诺提供终身维护服务。在此期间，仅可收取更换零配件的成本费用（免收人工费、差旅费等其他费用）。此项义务不因质保期届满而解除。</w:t>
            </w:r>
          </w:p>
          <w:p w14:paraId="3C10259F">
            <w:pPr>
              <w:spacing w:line="360" w:lineRule="auto"/>
              <w:jc w:val="left"/>
              <w:rPr>
                <w:rFonts w:ascii="宋体" w:hAnsi="宋体" w:cs="宋体"/>
                <w:b/>
                <w:sz w:val="24"/>
              </w:rPr>
            </w:pPr>
            <w:r>
              <w:rPr>
                <w:rFonts w:hint="eastAsia" w:ascii="宋体" w:hAnsi="宋体" w:cs="宋体"/>
                <w:b/>
                <w:sz w:val="24"/>
              </w:rPr>
              <w:t>维护期内供应商需要配合采购人进行评价指标调整，以及相关流程和表单配置；配置完成后需要配合采购人开展平台使用培训。</w:t>
            </w:r>
          </w:p>
        </w:tc>
      </w:tr>
      <w:tr w14:paraId="7F1F5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063E9801">
            <w:pPr>
              <w:spacing w:line="360" w:lineRule="auto"/>
              <w:jc w:val="center"/>
              <w:rPr>
                <w:rFonts w:ascii="宋体" w:hAnsi="宋体" w:cs="宋体"/>
                <w:b/>
                <w:sz w:val="24"/>
              </w:rPr>
            </w:pPr>
            <w:r>
              <w:rPr>
                <w:rFonts w:hint="eastAsia" w:ascii="宋体" w:hAnsi="宋体" w:cs="宋体"/>
                <w:b/>
                <w:sz w:val="24"/>
              </w:rPr>
              <w:t xml:space="preserve">2.8 </w:t>
            </w:r>
          </w:p>
        </w:tc>
        <w:tc>
          <w:tcPr>
            <w:tcW w:w="4535" w:type="pct"/>
            <w:tcBorders>
              <w:top w:val="single" w:color="auto" w:sz="6" w:space="0"/>
              <w:left w:val="single" w:color="auto" w:sz="6" w:space="0"/>
              <w:bottom w:val="single" w:color="auto" w:sz="6" w:space="0"/>
              <w:right w:val="single" w:color="auto" w:sz="6" w:space="0"/>
            </w:tcBorders>
            <w:vAlign w:val="center"/>
          </w:tcPr>
          <w:p w14:paraId="2EB8F87B">
            <w:pPr>
              <w:spacing w:line="360" w:lineRule="auto"/>
              <w:jc w:val="left"/>
              <w:rPr>
                <w:rFonts w:ascii="宋体" w:hAnsi="宋体" w:cs="宋体"/>
                <w:b/>
                <w:sz w:val="24"/>
              </w:rPr>
            </w:pPr>
            <w:r>
              <w:rPr>
                <w:rFonts w:hint="eastAsia" w:ascii="宋体" w:hAnsi="宋体" w:cs="宋体"/>
                <w:b/>
                <w:sz w:val="24"/>
              </w:rPr>
              <w:t>货物或者在途货物或者交付给第一承运人后的货物毁损、灭失的风险负担详见2.8.1</w:t>
            </w:r>
          </w:p>
        </w:tc>
      </w:tr>
      <w:tr w14:paraId="036F5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5BFE7E24">
            <w:pPr>
              <w:spacing w:line="360" w:lineRule="auto"/>
              <w:jc w:val="center"/>
              <w:rPr>
                <w:rFonts w:ascii="宋体" w:hAnsi="宋体" w:cs="宋体"/>
                <w:b/>
                <w:sz w:val="24"/>
              </w:rPr>
            </w:pPr>
            <w:r>
              <w:rPr>
                <w:rFonts w:hint="eastAsia" w:ascii="宋体" w:hAnsi="宋体" w:cs="宋体"/>
                <w:b/>
                <w:sz w:val="24"/>
              </w:rPr>
              <w:t>2.8.1</w:t>
            </w:r>
          </w:p>
        </w:tc>
        <w:tc>
          <w:tcPr>
            <w:tcW w:w="4535" w:type="pct"/>
            <w:tcBorders>
              <w:top w:val="single" w:color="auto" w:sz="6" w:space="0"/>
              <w:left w:val="single" w:color="auto" w:sz="6" w:space="0"/>
              <w:bottom w:val="single" w:color="auto" w:sz="6" w:space="0"/>
              <w:right w:val="single" w:color="auto" w:sz="6" w:space="0"/>
            </w:tcBorders>
            <w:vAlign w:val="center"/>
          </w:tcPr>
          <w:p w14:paraId="522FCBFA">
            <w:pPr>
              <w:spacing w:line="360" w:lineRule="auto"/>
              <w:jc w:val="left"/>
              <w:rPr>
                <w:rFonts w:ascii="宋体" w:hAnsi="宋体" w:cs="宋体"/>
                <w:b/>
                <w:sz w:val="24"/>
              </w:rPr>
            </w:pPr>
            <w:r>
              <w:rPr>
                <w:rFonts w:hint="eastAsia" w:ascii="宋体" w:hAnsi="宋体" w:cs="宋体"/>
                <w:b/>
                <w:sz w:val="24"/>
              </w:rPr>
              <w:t>货物在安装、调试、验收合格前的现场保管责任由乙方独立承担。货物验收前若有破损情况，由乙方于发现破损后3天内补足。</w:t>
            </w:r>
          </w:p>
        </w:tc>
      </w:tr>
      <w:tr w14:paraId="24DB8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56218E8F">
            <w:pPr>
              <w:spacing w:line="360" w:lineRule="auto"/>
              <w:jc w:val="center"/>
              <w:rPr>
                <w:rFonts w:ascii="宋体" w:hAnsi="宋体" w:cs="宋体"/>
                <w:b/>
                <w:sz w:val="24"/>
              </w:rPr>
            </w:pPr>
            <w:r>
              <w:rPr>
                <w:rFonts w:hint="eastAsia" w:ascii="宋体" w:hAnsi="宋体" w:cs="宋体"/>
                <w:b/>
                <w:sz w:val="24"/>
              </w:rPr>
              <w:t>2.12.3</w:t>
            </w:r>
          </w:p>
        </w:tc>
        <w:tc>
          <w:tcPr>
            <w:tcW w:w="4535" w:type="pct"/>
            <w:tcBorders>
              <w:top w:val="single" w:color="auto" w:sz="6" w:space="0"/>
              <w:left w:val="single" w:color="auto" w:sz="6" w:space="0"/>
              <w:bottom w:val="single" w:color="auto" w:sz="6" w:space="0"/>
              <w:right w:val="single" w:color="auto" w:sz="6" w:space="0"/>
            </w:tcBorders>
            <w:shd w:val="clear" w:color="auto" w:fill="auto"/>
            <w:vAlign w:val="center"/>
          </w:tcPr>
          <w:p w14:paraId="70A43E26">
            <w:pPr>
              <w:spacing w:line="360" w:lineRule="auto"/>
              <w:jc w:val="left"/>
              <w:rPr>
                <w:rFonts w:ascii="宋体" w:hAnsi="宋体" w:cs="宋体"/>
                <w:b/>
                <w:sz w:val="24"/>
              </w:rPr>
            </w:pPr>
            <w:r>
              <w:rPr>
                <w:rFonts w:hint="eastAsia" w:ascii="宋体" w:hAnsi="宋体" w:cs="宋体"/>
                <w:b/>
                <w:sz w:val="24"/>
              </w:rPr>
              <w:t>因不可抗力致使合同有变更必要的，双方当事人应在 15 个工作日内以书面形式变更合同；</w:t>
            </w:r>
          </w:p>
        </w:tc>
      </w:tr>
      <w:tr w14:paraId="5043E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0730FA7E">
            <w:pPr>
              <w:spacing w:line="360" w:lineRule="auto"/>
              <w:jc w:val="center"/>
              <w:rPr>
                <w:rFonts w:ascii="宋体" w:hAnsi="宋体" w:cs="宋体"/>
                <w:b/>
                <w:sz w:val="24"/>
              </w:rPr>
            </w:pPr>
            <w:r>
              <w:rPr>
                <w:rFonts w:hint="eastAsia" w:ascii="宋体" w:hAnsi="宋体" w:cs="宋体"/>
                <w:b/>
                <w:sz w:val="24"/>
              </w:rPr>
              <w:t>2.12.4</w:t>
            </w:r>
          </w:p>
        </w:tc>
        <w:tc>
          <w:tcPr>
            <w:tcW w:w="4535" w:type="pct"/>
            <w:tcBorders>
              <w:top w:val="single" w:color="auto" w:sz="6" w:space="0"/>
              <w:left w:val="single" w:color="auto" w:sz="6" w:space="0"/>
              <w:bottom w:val="single" w:color="auto" w:sz="6" w:space="0"/>
              <w:right w:val="single" w:color="auto" w:sz="6" w:space="0"/>
            </w:tcBorders>
            <w:shd w:val="clear" w:color="auto" w:fill="auto"/>
            <w:vAlign w:val="center"/>
          </w:tcPr>
          <w:p w14:paraId="33873ADC">
            <w:pPr>
              <w:spacing w:line="360" w:lineRule="auto"/>
              <w:jc w:val="left"/>
              <w:rPr>
                <w:rFonts w:ascii="宋体" w:hAnsi="宋体" w:cs="宋体"/>
                <w:b/>
                <w:sz w:val="24"/>
              </w:rPr>
            </w:pPr>
            <w:r>
              <w:rPr>
                <w:rFonts w:hint="eastAsia" w:ascii="宋体" w:hAnsi="宋体" w:cs="宋体"/>
                <w:b/>
                <w:sz w:val="24"/>
              </w:rPr>
              <w:t>应在 3 个工作日内以书面形式通知对方当事人，并在 3 个工作日内将有关部门出具的证明文件送达对方当事人。</w:t>
            </w:r>
          </w:p>
        </w:tc>
      </w:tr>
      <w:tr w14:paraId="16989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3DD17C5E">
            <w:pPr>
              <w:spacing w:line="360" w:lineRule="auto"/>
              <w:jc w:val="center"/>
              <w:rPr>
                <w:rFonts w:ascii="宋体" w:hAnsi="宋体" w:cs="宋体"/>
                <w:b/>
                <w:sz w:val="24"/>
              </w:rPr>
            </w:pPr>
            <w:r>
              <w:rPr>
                <w:rFonts w:hint="eastAsia" w:ascii="宋体" w:hAnsi="宋体" w:cs="宋体"/>
                <w:b/>
                <w:sz w:val="24"/>
              </w:rPr>
              <w:t>2.16.1</w:t>
            </w:r>
          </w:p>
        </w:tc>
        <w:tc>
          <w:tcPr>
            <w:tcW w:w="4535" w:type="pct"/>
            <w:tcBorders>
              <w:top w:val="single" w:color="auto" w:sz="6" w:space="0"/>
              <w:left w:val="single" w:color="auto" w:sz="6" w:space="0"/>
              <w:bottom w:val="single" w:color="auto" w:sz="6" w:space="0"/>
              <w:right w:val="single" w:color="auto" w:sz="6" w:space="0"/>
            </w:tcBorders>
            <w:vAlign w:val="center"/>
          </w:tcPr>
          <w:p w14:paraId="12E1C50E">
            <w:pPr>
              <w:spacing w:line="360" w:lineRule="auto"/>
              <w:jc w:val="left"/>
              <w:rPr>
                <w:rFonts w:ascii="宋体" w:hAnsi="宋体" w:cs="宋体"/>
                <w:b/>
                <w:sz w:val="24"/>
              </w:rPr>
            </w:pPr>
            <w:r>
              <w:rPr>
                <w:rFonts w:hint="eastAsia" w:ascii="宋体" w:hAnsi="宋体" w:cs="宋体"/>
                <w:b/>
                <w:sz w:val="24"/>
              </w:rPr>
              <w:t>本合同交付验收由甲方组织实施，乙方应派专业的技术人员协助进行验收。</w:t>
            </w:r>
          </w:p>
        </w:tc>
      </w:tr>
      <w:tr w14:paraId="1DBF2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77662D37">
            <w:pPr>
              <w:spacing w:line="360" w:lineRule="auto"/>
              <w:jc w:val="center"/>
              <w:rPr>
                <w:rFonts w:ascii="宋体" w:hAnsi="宋体" w:cs="宋体"/>
                <w:b/>
                <w:sz w:val="24"/>
              </w:rPr>
            </w:pPr>
            <w:r>
              <w:rPr>
                <w:rFonts w:hint="eastAsia" w:ascii="宋体" w:hAnsi="宋体" w:cs="宋体"/>
                <w:b/>
                <w:sz w:val="24"/>
              </w:rPr>
              <w:t>2.16.3</w:t>
            </w:r>
          </w:p>
        </w:tc>
        <w:tc>
          <w:tcPr>
            <w:tcW w:w="4535" w:type="pct"/>
            <w:tcBorders>
              <w:top w:val="single" w:color="auto" w:sz="6" w:space="0"/>
              <w:left w:val="single" w:color="auto" w:sz="6" w:space="0"/>
              <w:bottom w:val="single" w:color="auto" w:sz="6" w:space="0"/>
              <w:right w:val="single" w:color="auto" w:sz="6" w:space="0"/>
            </w:tcBorders>
            <w:vAlign w:val="center"/>
          </w:tcPr>
          <w:p w14:paraId="2BFBBECB">
            <w:pPr>
              <w:spacing w:line="360" w:lineRule="auto"/>
              <w:jc w:val="left"/>
              <w:rPr>
                <w:rFonts w:ascii="宋体" w:hAnsi="宋体" w:cs="宋体"/>
                <w:b/>
                <w:sz w:val="24"/>
              </w:rPr>
            </w:pPr>
            <w:r>
              <w:rPr>
                <w:rFonts w:hint="eastAsia" w:ascii="宋体" w:hAnsi="宋体" w:cs="宋体"/>
                <w:b/>
                <w:sz w:val="24"/>
              </w:rPr>
              <w:t>交付验收标准：</w:t>
            </w:r>
          </w:p>
          <w:p w14:paraId="53DC8E48">
            <w:pPr>
              <w:spacing w:line="360" w:lineRule="auto"/>
              <w:jc w:val="left"/>
              <w:rPr>
                <w:rFonts w:ascii="宋体" w:hAnsi="宋体" w:cs="宋体"/>
                <w:b/>
                <w:sz w:val="24"/>
              </w:rPr>
            </w:pPr>
            <w:r>
              <w:rPr>
                <w:rFonts w:hint="eastAsia" w:ascii="宋体" w:hAnsi="宋体" w:cs="宋体"/>
                <w:b/>
                <w:sz w:val="24"/>
              </w:rPr>
              <w:t>硬件设备类标准</w:t>
            </w:r>
          </w:p>
          <w:tbl>
            <w:tblPr>
              <w:tblStyle w:val="64"/>
              <w:tblW w:w="7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784"/>
              <w:gridCol w:w="6154"/>
            </w:tblGrid>
            <w:tr w14:paraId="13EC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43" w:type="dxa"/>
                  <w:vAlign w:val="center"/>
                </w:tcPr>
                <w:p w14:paraId="11DA63AE">
                  <w:pPr>
                    <w:widowControl/>
                    <w:snapToGrid w:val="0"/>
                    <w:jc w:val="left"/>
                    <w:rPr>
                      <w:rFonts w:ascii="宋体" w:hAnsi="宋体" w:cs="宋体"/>
                      <w:szCs w:val="21"/>
                    </w:rPr>
                  </w:pPr>
                  <w:r>
                    <w:rPr>
                      <w:rFonts w:hint="eastAsia" w:ascii="宋体" w:hAnsi="宋体" w:cs="宋体"/>
                      <w:szCs w:val="21"/>
                    </w:rPr>
                    <w:t>序号</w:t>
                  </w:r>
                </w:p>
              </w:tc>
              <w:tc>
                <w:tcPr>
                  <w:tcW w:w="784" w:type="dxa"/>
                  <w:vAlign w:val="center"/>
                </w:tcPr>
                <w:p w14:paraId="5956E4CB">
                  <w:pPr>
                    <w:widowControl/>
                    <w:snapToGrid w:val="0"/>
                    <w:jc w:val="left"/>
                    <w:rPr>
                      <w:rFonts w:ascii="宋体" w:hAnsi="宋体" w:cs="宋体"/>
                      <w:szCs w:val="21"/>
                    </w:rPr>
                  </w:pPr>
                  <w:r>
                    <w:rPr>
                      <w:rFonts w:hint="eastAsia" w:ascii="宋体" w:hAnsi="宋体" w:cs="宋体"/>
                      <w:szCs w:val="21"/>
                    </w:rPr>
                    <w:t>验收内容</w:t>
                  </w:r>
                </w:p>
              </w:tc>
              <w:tc>
                <w:tcPr>
                  <w:tcW w:w="6154" w:type="dxa"/>
                  <w:vAlign w:val="center"/>
                </w:tcPr>
                <w:p w14:paraId="25F2C0C8">
                  <w:pPr>
                    <w:widowControl/>
                    <w:snapToGrid w:val="0"/>
                    <w:jc w:val="left"/>
                    <w:rPr>
                      <w:rFonts w:ascii="宋体" w:hAnsi="宋体" w:cs="宋体"/>
                      <w:szCs w:val="21"/>
                    </w:rPr>
                  </w:pPr>
                  <w:r>
                    <w:rPr>
                      <w:rFonts w:hint="eastAsia" w:ascii="宋体" w:hAnsi="宋体" w:cs="宋体"/>
                      <w:szCs w:val="21"/>
                    </w:rPr>
                    <w:t>验收标准</w:t>
                  </w:r>
                </w:p>
              </w:tc>
            </w:tr>
            <w:tr w14:paraId="6076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843" w:type="dxa"/>
                  <w:vAlign w:val="center"/>
                </w:tcPr>
                <w:p w14:paraId="3DC0BB75">
                  <w:pPr>
                    <w:widowControl/>
                    <w:snapToGrid w:val="0"/>
                    <w:jc w:val="left"/>
                    <w:rPr>
                      <w:rFonts w:ascii="宋体" w:hAnsi="宋体" w:cs="宋体"/>
                      <w:szCs w:val="21"/>
                    </w:rPr>
                  </w:pPr>
                  <w:r>
                    <w:rPr>
                      <w:rFonts w:hint="eastAsia" w:ascii="宋体" w:hAnsi="宋体" w:cs="宋体"/>
                      <w:szCs w:val="21"/>
                    </w:rPr>
                    <w:t>1</w:t>
                  </w:r>
                </w:p>
              </w:tc>
              <w:tc>
                <w:tcPr>
                  <w:tcW w:w="784" w:type="dxa"/>
                  <w:vAlign w:val="center"/>
                </w:tcPr>
                <w:p w14:paraId="7FED6F70">
                  <w:pPr>
                    <w:widowControl/>
                    <w:snapToGrid w:val="0"/>
                    <w:jc w:val="left"/>
                    <w:rPr>
                      <w:rFonts w:ascii="宋体" w:hAnsi="宋体" w:cs="宋体"/>
                      <w:szCs w:val="21"/>
                    </w:rPr>
                  </w:pPr>
                  <w:r>
                    <w:rPr>
                      <w:rFonts w:hint="eastAsia" w:ascii="宋体" w:hAnsi="宋体" w:cs="宋体"/>
                      <w:szCs w:val="21"/>
                    </w:rPr>
                    <w:t>质量</w:t>
                  </w:r>
                </w:p>
              </w:tc>
              <w:tc>
                <w:tcPr>
                  <w:tcW w:w="6154" w:type="dxa"/>
                  <w:vAlign w:val="center"/>
                </w:tcPr>
                <w:p w14:paraId="6A637024">
                  <w:pPr>
                    <w:widowControl/>
                    <w:snapToGrid w:val="0"/>
                    <w:jc w:val="left"/>
                    <w:rPr>
                      <w:rFonts w:ascii="宋体" w:hAnsi="宋体" w:cs="宋体"/>
                      <w:szCs w:val="21"/>
                    </w:rPr>
                  </w:pPr>
                  <w:r>
                    <w:rPr>
                      <w:rFonts w:hint="eastAsia" w:ascii="宋体" w:hAnsi="宋体" w:cs="宋体"/>
                      <w:szCs w:val="21"/>
                    </w:rPr>
                    <w:t>核对产品的品牌、型号、参数、数量、材质、颜色、保修期等是否与合同及投标文件承诺相符，检查资料是否提供了所有产品到货核验单（需采购人经办人、复核人及投标人供货人三方签字盖章）、拍照图片、</w:t>
                  </w:r>
                  <w:r>
                    <w:rPr>
                      <w:rFonts w:hint="eastAsia" w:ascii="宋体" w:hAnsi="宋体" w:cs="宋体"/>
                      <w:kern w:val="0"/>
                      <w:szCs w:val="21"/>
                    </w:rPr>
                    <w:t>产品手册</w:t>
                  </w:r>
                  <w:r>
                    <w:rPr>
                      <w:rFonts w:hint="eastAsia" w:ascii="宋体" w:hAnsi="宋体" w:cs="宋体"/>
                      <w:szCs w:val="21"/>
                    </w:rPr>
                    <w:t>、产品合格证原件、质保承诺函、生产日期凭证、</w:t>
                  </w:r>
                  <w:r>
                    <w:rPr>
                      <w:rFonts w:hint="eastAsia" w:ascii="宋体" w:hAnsi="宋体" w:cs="宋体"/>
                      <w:kern w:val="0"/>
                      <w:szCs w:val="21"/>
                    </w:rPr>
                    <w:t>培训材料</w:t>
                  </w:r>
                  <w:r>
                    <w:rPr>
                      <w:rFonts w:hint="eastAsia" w:ascii="宋体" w:hAnsi="宋体" w:cs="宋体"/>
                      <w:szCs w:val="21"/>
                    </w:rPr>
                    <w:t>、</w:t>
                  </w:r>
                  <w:r>
                    <w:rPr>
                      <w:rFonts w:hint="eastAsia" w:ascii="宋体" w:hAnsi="宋体" w:cs="宋体"/>
                      <w:kern w:val="0"/>
                      <w:szCs w:val="21"/>
                    </w:rPr>
                    <w:t>培训视频</w:t>
                  </w:r>
                  <w:r>
                    <w:rPr>
                      <w:rFonts w:hint="eastAsia" w:ascii="宋体" w:hAnsi="宋体" w:cs="宋体"/>
                      <w:szCs w:val="21"/>
                    </w:rPr>
                    <w:t>、三包凭证、</w:t>
                  </w:r>
                  <w:r>
                    <w:rPr>
                      <w:rFonts w:hint="eastAsia" w:ascii="宋体" w:hAnsi="宋体" w:cs="宋体"/>
                      <w:kern w:val="0"/>
                      <w:szCs w:val="21"/>
                    </w:rPr>
                    <w:t>典型问题解决说明文档或视频、开箱组装/使用指导、驱动光盘或下载方式、供应能力证明</w:t>
                  </w:r>
                  <w:r>
                    <w:rPr>
                      <w:rFonts w:hint="eastAsia" w:ascii="宋体" w:hAnsi="宋体" w:cs="宋体"/>
                      <w:szCs w:val="21"/>
                    </w:rPr>
                    <w:t>等。</w:t>
                  </w:r>
                </w:p>
              </w:tc>
            </w:tr>
            <w:tr w14:paraId="7E56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3" w:type="dxa"/>
                  <w:vAlign w:val="center"/>
                </w:tcPr>
                <w:p w14:paraId="1813D198">
                  <w:pPr>
                    <w:widowControl/>
                    <w:snapToGrid w:val="0"/>
                    <w:jc w:val="left"/>
                    <w:rPr>
                      <w:rFonts w:ascii="宋体" w:hAnsi="宋体" w:cs="宋体"/>
                      <w:szCs w:val="21"/>
                    </w:rPr>
                  </w:pPr>
                  <w:r>
                    <w:rPr>
                      <w:rFonts w:hint="eastAsia" w:ascii="宋体" w:hAnsi="宋体" w:cs="宋体"/>
                      <w:szCs w:val="21"/>
                    </w:rPr>
                    <w:t>2</w:t>
                  </w:r>
                </w:p>
              </w:tc>
              <w:tc>
                <w:tcPr>
                  <w:tcW w:w="784" w:type="dxa"/>
                  <w:vAlign w:val="center"/>
                </w:tcPr>
                <w:p w14:paraId="492AB544">
                  <w:pPr>
                    <w:widowControl/>
                    <w:snapToGrid w:val="0"/>
                    <w:jc w:val="left"/>
                    <w:rPr>
                      <w:rFonts w:ascii="宋体" w:hAnsi="宋体" w:cs="宋体"/>
                      <w:szCs w:val="21"/>
                    </w:rPr>
                  </w:pPr>
                  <w:r>
                    <w:rPr>
                      <w:rFonts w:hint="eastAsia" w:ascii="宋体" w:hAnsi="宋体" w:cs="宋体"/>
                      <w:szCs w:val="21"/>
                    </w:rPr>
                    <w:t>交货</w:t>
                  </w:r>
                </w:p>
              </w:tc>
              <w:tc>
                <w:tcPr>
                  <w:tcW w:w="6154" w:type="dxa"/>
                  <w:vAlign w:val="center"/>
                </w:tcPr>
                <w:p w14:paraId="404EA996">
                  <w:pPr>
                    <w:widowControl/>
                    <w:snapToGrid w:val="0"/>
                    <w:jc w:val="left"/>
                    <w:rPr>
                      <w:rFonts w:ascii="宋体" w:hAnsi="宋体" w:cs="宋体"/>
                      <w:szCs w:val="21"/>
                    </w:rPr>
                  </w:pPr>
                  <w:r>
                    <w:rPr>
                      <w:rFonts w:hint="eastAsia" w:ascii="宋体" w:hAnsi="宋体" w:cs="宋体"/>
                      <w:szCs w:val="21"/>
                    </w:rPr>
                    <w:t>项目按送货要求完成供货、安装、调试、并在规定的时间内送达。</w:t>
                  </w:r>
                </w:p>
              </w:tc>
            </w:tr>
            <w:tr w14:paraId="0452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3" w:type="dxa"/>
                  <w:vAlign w:val="center"/>
                </w:tcPr>
                <w:p w14:paraId="74C53484">
                  <w:pPr>
                    <w:widowControl/>
                    <w:snapToGrid w:val="0"/>
                    <w:jc w:val="left"/>
                    <w:rPr>
                      <w:rFonts w:ascii="宋体" w:hAnsi="宋体" w:cs="宋体"/>
                      <w:szCs w:val="21"/>
                    </w:rPr>
                  </w:pPr>
                  <w:r>
                    <w:rPr>
                      <w:rFonts w:hint="eastAsia" w:ascii="宋体" w:hAnsi="宋体" w:cs="宋体"/>
                      <w:szCs w:val="21"/>
                    </w:rPr>
                    <w:t>3</w:t>
                  </w:r>
                </w:p>
              </w:tc>
              <w:tc>
                <w:tcPr>
                  <w:tcW w:w="784" w:type="dxa"/>
                  <w:vAlign w:val="center"/>
                </w:tcPr>
                <w:p w14:paraId="1A626FC4">
                  <w:pPr>
                    <w:widowControl/>
                    <w:snapToGrid w:val="0"/>
                    <w:jc w:val="left"/>
                    <w:rPr>
                      <w:rFonts w:ascii="宋体" w:hAnsi="宋体" w:cs="宋体"/>
                      <w:szCs w:val="21"/>
                    </w:rPr>
                  </w:pPr>
                  <w:r>
                    <w:rPr>
                      <w:rFonts w:hint="eastAsia" w:ascii="宋体" w:hAnsi="宋体" w:cs="宋体"/>
                      <w:szCs w:val="21"/>
                    </w:rPr>
                    <w:t>人员要求</w:t>
                  </w:r>
                </w:p>
              </w:tc>
              <w:tc>
                <w:tcPr>
                  <w:tcW w:w="6154" w:type="dxa"/>
                  <w:vAlign w:val="center"/>
                </w:tcPr>
                <w:p w14:paraId="172D69D1">
                  <w:pPr>
                    <w:widowControl/>
                    <w:snapToGrid w:val="0"/>
                    <w:jc w:val="left"/>
                    <w:rPr>
                      <w:rFonts w:ascii="宋体" w:hAnsi="宋体" w:cs="宋体"/>
                      <w:szCs w:val="21"/>
                    </w:rPr>
                  </w:pPr>
                  <w:r>
                    <w:rPr>
                      <w:rFonts w:hint="eastAsia" w:ascii="宋体" w:hAnsi="宋体" w:cs="宋体"/>
                      <w:szCs w:val="21"/>
                    </w:rPr>
                    <w:t>按合同及投标文件承诺提供服务人员。</w:t>
                  </w:r>
                </w:p>
              </w:tc>
            </w:tr>
            <w:tr w14:paraId="4867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43" w:type="dxa"/>
                  <w:vAlign w:val="center"/>
                </w:tcPr>
                <w:p w14:paraId="0D0236B3">
                  <w:pPr>
                    <w:widowControl/>
                    <w:snapToGrid w:val="0"/>
                    <w:jc w:val="left"/>
                    <w:rPr>
                      <w:rFonts w:ascii="宋体" w:hAnsi="宋体" w:cs="宋体"/>
                      <w:szCs w:val="21"/>
                    </w:rPr>
                  </w:pPr>
                  <w:r>
                    <w:rPr>
                      <w:rFonts w:hint="eastAsia" w:ascii="宋体" w:hAnsi="宋体" w:cs="宋体"/>
                      <w:szCs w:val="21"/>
                    </w:rPr>
                    <w:t>4</w:t>
                  </w:r>
                </w:p>
              </w:tc>
              <w:tc>
                <w:tcPr>
                  <w:tcW w:w="784" w:type="dxa"/>
                  <w:vAlign w:val="center"/>
                </w:tcPr>
                <w:p w14:paraId="2003EECF">
                  <w:pPr>
                    <w:widowControl/>
                    <w:snapToGrid w:val="0"/>
                    <w:jc w:val="left"/>
                    <w:rPr>
                      <w:rFonts w:ascii="宋体" w:hAnsi="宋体" w:cs="宋体"/>
                      <w:szCs w:val="21"/>
                    </w:rPr>
                  </w:pPr>
                  <w:r>
                    <w:rPr>
                      <w:rFonts w:hint="eastAsia" w:ascii="宋体" w:hAnsi="宋体" w:cs="宋体"/>
                      <w:szCs w:val="21"/>
                    </w:rPr>
                    <w:t>其他工作</w:t>
                  </w:r>
                </w:p>
              </w:tc>
              <w:tc>
                <w:tcPr>
                  <w:tcW w:w="6154" w:type="dxa"/>
                  <w:vAlign w:val="center"/>
                </w:tcPr>
                <w:p w14:paraId="2634A5A7">
                  <w:pPr>
                    <w:widowControl/>
                    <w:snapToGrid w:val="0"/>
                    <w:jc w:val="left"/>
                    <w:rPr>
                      <w:rFonts w:ascii="宋体" w:hAnsi="宋体" w:cs="宋体"/>
                      <w:szCs w:val="21"/>
                    </w:rPr>
                  </w:pPr>
                  <w:r>
                    <w:rPr>
                      <w:rFonts w:hint="eastAsia" w:ascii="宋体" w:hAnsi="宋体" w:cs="宋体"/>
                      <w:szCs w:val="21"/>
                    </w:rPr>
                    <w:t>履行项目采购文件、投标文件、合同条款中涉及的其他承诺的情况。</w:t>
                  </w:r>
                </w:p>
              </w:tc>
            </w:tr>
          </w:tbl>
          <w:p w14:paraId="5A6BB6A1">
            <w:pPr>
              <w:spacing w:line="360" w:lineRule="auto"/>
              <w:jc w:val="left"/>
              <w:rPr>
                <w:rFonts w:ascii="宋体" w:hAnsi="宋体" w:cs="宋体"/>
                <w:b/>
                <w:sz w:val="24"/>
              </w:rPr>
            </w:pPr>
            <w:r>
              <w:rPr>
                <w:rFonts w:hint="eastAsia" w:ascii="宋体" w:hAnsi="宋体" w:cs="宋体"/>
                <w:b/>
                <w:sz w:val="24"/>
              </w:rPr>
              <w:t>软件类验收标准</w:t>
            </w:r>
          </w:p>
          <w:p w14:paraId="52C5C4CB">
            <w:pPr>
              <w:spacing w:line="360" w:lineRule="auto"/>
              <w:jc w:val="left"/>
              <w:rPr>
                <w:rFonts w:ascii="宋体" w:hAnsi="宋体" w:cs="宋体"/>
                <w:b/>
                <w:sz w:val="24"/>
              </w:rPr>
            </w:pPr>
            <w:r>
              <w:rPr>
                <w:rFonts w:hint="eastAsia" w:ascii="宋体" w:hAnsi="宋体" w:cs="宋体"/>
                <w:b/>
                <w:sz w:val="24"/>
              </w:rPr>
              <w:t>（1）根据合同、招标文件、投标文件确定的技术指标或者服务要求确定验收指标和标准。未进行相应约定的，应当符合国家强制性规定、政策要求、安全标准、行业或企业有关标准等。</w:t>
            </w:r>
          </w:p>
          <w:p w14:paraId="6CE186B5">
            <w:pPr>
              <w:spacing w:line="360" w:lineRule="auto"/>
              <w:jc w:val="left"/>
              <w:rPr>
                <w:rFonts w:ascii="宋体" w:hAnsi="宋体" w:cs="宋体"/>
                <w:b/>
                <w:sz w:val="24"/>
              </w:rPr>
            </w:pPr>
            <w:r>
              <w:rPr>
                <w:rFonts w:hint="eastAsia" w:ascii="宋体" w:hAnsi="宋体" w:cs="宋体"/>
                <w:b/>
                <w:sz w:val="24"/>
              </w:rPr>
              <w:t>（2）乙方提供的技术规格、经采购人认可的合同货物的有效检验文件；</w:t>
            </w:r>
          </w:p>
          <w:p w14:paraId="126E60E1">
            <w:pPr>
              <w:spacing w:line="360" w:lineRule="auto"/>
              <w:jc w:val="left"/>
              <w:rPr>
                <w:rFonts w:ascii="宋体" w:hAnsi="宋体" w:cs="宋体"/>
                <w:b/>
                <w:sz w:val="24"/>
              </w:rPr>
            </w:pPr>
            <w:r>
              <w:rPr>
                <w:rFonts w:hint="eastAsia" w:ascii="宋体" w:hAnsi="宋体" w:cs="宋体"/>
                <w:b/>
                <w:sz w:val="24"/>
              </w:rPr>
              <w:t>（3）乙方投标文件中提供的经采购人认可的合同货物的验收标准（符合中国有关的国家、地方、行业标准）和检测办法及相应检测手段。</w:t>
            </w:r>
          </w:p>
        </w:tc>
      </w:tr>
      <w:tr w14:paraId="1B093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650C16B6">
            <w:pPr>
              <w:spacing w:line="360" w:lineRule="auto"/>
              <w:jc w:val="center"/>
              <w:rPr>
                <w:rFonts w:ascii="宋体" w:hAnsi="宋体" w:cs="宋体"/>
                <w:b/>
                <w:sz w:val="24"/>
              </w:rPr>
            </w:pPr>
            <w:r>
              <w:rPr>
                <w:rFonts w:hint="eastAsia" w:ascii="宋体" w:hAnsi="宋体" w:cs="宋体"/>
                <w:b/>
                <w:sz w:val="24"/>
              </w:rPr>
              <w:t>2.16.4</w:t>
            </w:r>
          </w:p>
        </w:tc>
        <w:tc>
          <w:tcPr>
            <w:tcW w:w="4535" w:type="pct"/>
            <w:tcBorders>
              <w:top w:val="single" w:color="auto" w:sz="6" w:space="0"/>
              <w:left w:val="single" w:color="auto" w:sz="6" w:space="0"/>
              <w:bottom w:val="single" w:color="auto" w:sz="6" w:space="0"/>
              <w:right w:val="single" w:color="auto" w:sz="6" w:space="0"/>
            </w:tcBorders>
            <w:vAlign w:val="center"/>
          </w:tcPr>
          <w:p w14:paraId="32934478">
            <w:pPr>
              <w:spacing w:line="360" w:lineRule="auto"/>
              <w:jc w:val="left"/>
              <w:rPr>
                <w:rFonts w:ascii="宋体" w:hAnsi="宋体" w:cs="宋体"/>
                <w:b/>
                <w:sz w:val="24"/>
              </w:rPr>
            </w:pPr>
            <w:r>
              <w:rPr>
                <w:rFonts w:hint="eastAsia" w:ascii="宋体" w:hAnsi="宋体" w:cs="宋体"/>
                <w:b/>
                <w:sz w:val="24"/>
              </w:rPr>
              <w:t>验收合格条件：</w:t>
            </w:r>
          </w:p>
          <w:p w14:paraId="5E7C6CB6">
            <w:pPr>
              <w:spacing w:line="360" w:lineRule="auto"/>
              <w:jc w:val="left"/>
              <w:rPr>
                <w:rFonts w:ascii="宋体" w:hAnsi="宋体" w:cs="宋体"/>
                <w:b/>
                <w:sz w:val="24"/>
              </w:rPr>
            </w:pPr>
            <w:r>
              <w:rPr>
                <w:rFonts w:hint="eastAsia" w:ascii="宋体" w:hAnsi="宋体" w:cs="宋体"/>
                <w:b/>
                <w:sz w:val="24"/>
              </w:rPr>
              <w:t>（1）所供产品的品牌、型号、参数、数量、材质、颜色、保修期等符合招标文件、供应商投标承诺及采购合同约定的要求。</w:t>
            </w:r>
          </w:p>
          <w:p w14:paraId="5CF2BD26">
            <w:pPr>
              <w:spacing w:line="360" w:lineRule="auto"/>
              <w:jc w:val="left"/>
              <w:rPr>
                <w:rFonts w:ascii="宋体" w:hAnsi="宋体" w:cs="宋体"/>
                <w:b/>
                <w:sz w:val="24"/>
              </w:rPr>
            </w:pPr>
            <w:r>
              <w:rPr>
                <w:rFonts w:hint="eastAsia" w:ascii="宋体" w:hAnsi="宋体" w:cs="宋体"/>
                <w:b/>
                <w:sz w:val="24"/>
              </w:rPr>
              <w:t>（2）合同中规定的所有货物均已运输至指定地点，并安装调试完毕。</w:t>
            </w:r>
          </w:p>
          <w:p w14:paraId="3EA5A707">
            <w:pPr>
              <w:spacing w:line="360" w:lineRule="auto"/>
              <w:jc w:val="left"/>
              <w:rPr>
                <w:rFonts w:ascii="宋体" w:hAnsi="宋体" w:cs="宋体"/>
                <w:b/>
                <w:sz w:val="24"/>
              </w:rPr>
            </w:pPr>
            <w:r>
              <w:rPr>
                <w:rFonts w:hint="eastAsia" w:ascii="宋体" w:hAnsi="宋体" w:cs="宋体"/>
                <w:b/>
                <w:sz w:val="24"/>
              </w:rPr>
              <w:t>（3）设备类产品外观完好，家具类产品无严重碰撞、表皮脱落、五金件生锈等明显瑕疵，所供产品结构牢固，无安全隐患。</w:t>
            </w:r>
          </w:p>
          <w:p w14:paraId="21EC89B7">
            <w:pPr>
              <w:spacing w:line="360" w:lineRule="auto"/>
              <w:jc w:val="left"/>
              <w:rPr>
                <w:rFonts w:ascii="宋体" w:hAnsi="宋体" w:cs="宋体"/>
                <w:b/>
                <w:sz w:val="24"/>
              </w:rPr>
            </w:pPr>
            <w:r>
              <w:rPr>
                <w:rFonts w:hint="eastAsia" w:ascii="宋体" w:hAnsi="宋体" w:cs="宋体"/>
                <w:b/>
                <w:sz w:val="24"/>
              </w:rPr>
              <w:t>（4）在进行测试和验收过程中发现的问题已被解决并得到采购人的认可.</w:t>
            </w:r>
          </w:p>
          <w:p w14:paraId="7FBA2252">
            <w:pPr>
              <w:spacing w:line="360" w:lineRule="auto"/>
              <w:jc w:val="left"/>
              <w:rPr>
                <w:rFonts w:ascii="宋体" w:hAnsi="宋体" w:cs="宋体"/>
                <w:b/>
                <w:sz w:val="24"/>
              </w:rPr>
            </w:pPr>
            <w:r>
              <w:rPr>
                <w:rFonts w:hint="eastAsia" w:ascii="宋体" w:hAnsi="宋体" w:cs="宋体"/>
                <w:b/>
                <w:sz w:val="24"/>
              </w:rPr>
              <w:t>（5）如有抽检要求的，检测结果符合招标文件、供应商投标承诺及采购合同约定的要求。</w:t>
            </w:r>
          </w:p>
          <w:p w14:paraId="32DF61E9">
            <w:pPr>
              <w:spacing w:line="360" w:lineRule="auto"/>
              <w:jc w:val="left"/>
              <w:rPr>
                <w:rFonts w:ascii="宋体" w:hAnsi="宋体" w:cs="宋体"/>
                <w:b/>
                <w:sz w:val="24"/>
              </w:rPr>
            </w:pPr>
            <w:r>
              <w:rPr>
                <w:rFonts w:hint="eastAsia" w:ascii="宋体" w:hAnsi="宋体" w:cs="宋体"/>
                <w:b/>
                <w:sz w:val="24"/>
              </w:rPr>
              <w:t>（6）供应商投标承诺及采购文件、投标文件、合同条款中约定的其他附件、工具、技术资料等齐全。</w:t>
            </w:r>
          </w:p>
          <w:p w14:paraId="0669F327">
            <w:pPr>
              <w:spacing w:line="360" w:lineRule="auto"/>
              <w:jc w:val="left"/>
              <w:rPr>
                <w:rFonts w:ascii="宋体" w:hAnsi="宋体" w:cs="宋体"/>
                <w:b/>
                <w:sz w:val="24"/>
              </w:rPr>
            </w:pPr>
            <w:r>
              <w:rPr>
                <w:rFonts w:hint="eastAsia" w:ascii="宋体" w:hAnsi="宋体" w:cs="宋体"/>
                <w:b/>
                <w:sz w:val="24"/>
              </w:rPr>
              <w:t>（7）供应商应在所供货物到采购人处时进行到货验收，有需要时能联系产品制造商到场共同验收，若发现任何损坏及质量问题，供应商负责妥善处理直至采购人满意，由此产生的费用由供应商承担。</w:t>
            </w:r>
          </w:p>
        </w:tc>
      </w:tr>
      <w:tr w14:paraId="42DCD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4" w:type="pct"/>
            <w:tcBorders>
              <w:top w:val="single" w:color="auto" w:sz="6" w:space="0"/>
              <w:left w:val="single" w:color="auto" w:sz="4" w:space="0"/>
              <w:bottom w:val="single" w:color="auto" w:sz="6" w:space="0"/>
              <w:right w:val="single" w:color="auto" w:sz="6" w:space="0"/>
            </w:tcBorders>
            <w:vAlign w:val="center"/>
          </w:tcPr>
          <w:p w14:paraId="10BD5ACD">
            <w:pPr>
              <w:spacing w:line="360" w:lineRule="auto"/>
              <w:jc w:val="center"/>
              <w:rPr>
                <w:rFonts w:ascii="宋体" w:hAnsi="宋体" w:cs="宋体"/>
                <w:b/>
                <w:sz w:val="24"/>
              </w:rPr>
            </w:pPr>
            <w:r>
              <w:rPr>
                <w:rFonts w:hint="eastAsia" w:ascii="宋体" w:hAnsi="宋体" w:cs="宋体"/>
                <w:b/>
                <w:sz w:val="24"/>
              </w:rPr>
              <w:t xml:space="preserve">2.20 </w:t>
            </w:r>
          </w:p>
        </w:tc>
        <w:tc>
          <w:tcPr>
            <w:tcW w:w="4535" w:type="pct"/>
            <w:tcBorders>
              <w:top w:val="single" w:color="auto" w:sz="6" w:space="0"/>
              <w:left w:val="single" w:color="auto" w:sz="6" w:space="0"/>
              <w:bottom w:val="single" w:color="auto" w:sz="6" w:space="0"/>
              <w:right w:val="single" w:color="auto" w:sz="6" w:space="0"/>
            </w:tcBorders>
            <w:vAlign w:val="center"/>
          </w:tcPr>
          <w:p w14:paraId="363EBA22">
            <w:pPr>
              <w:spacing w:line="360" w:lineRule="auto"/>
              <w:jc w:val="left"/>
              <w:rPr>
                <w:rFonts w:ascii="宋体" w:hAnsi="宋体" w:cs="宋体"/>
                <w:b/>
                <w:sz w:val="24"/>
              </w:rPr>
            </w:pPr>
            <w:r>
              <w:rPr>
                <w:rFonts w:hint="eastAsia" w:ascii="宋体" w:hAnsi="宋体" w:cs="宋体"/>
                <w:b/>
                <w:sz w:val="24"/>
              </w:rPr>
              <w:t>合同份数：</w:t>
            </w:r>
          </w:p>
          <w:p w14:paraId="6FCCEAB2">
            <w:pPr>
              <w:spacing w:line="360" w:lineRule="auto"/>
              <w:jc w:val="left"/>
              <w:rPr>
                <w:rFonts w:ascii="宋体" w:hAnsi="宋体" w:cs="宋体"/>
                <w:b/>
                <w:sz w:val="24"/>
              </w:rPr>
            </w:pPr>
            <w:r>
              <w:rPr>
                <w:rFonts w:hint="eastAsia" w:ascii="宋体" w:hAnsi="宋体" w:cs="宋体"/>
                <w:b/>
                <w:sz w:val="24"/>
              </w:rPr>
              <w:t>一式六份，甲方4份，乙方2份。</w:t>
            </w:r>
          </w:p>
        </w:tc>
      </w:tr>
    </w:tbl>
    <w:p w14:paraId="4429A315">
      <w:pPr>
        <w:spacing w:line="360" w:lineRule="auto"/>
        <w:ind w:left="-420" w:leftChars="-200" w:right="-420" w:rightChars="-200" w:firstLine="480" w:firstLineChars="200"/>
        <w:jc w:val="center"/>
        <w:outlineLvl w:val="0"/>
        <w:rPr>
          <w:rFonts w:ascii="宋体" w:hAnsi="宋体" w:cs="宋体"/>
          <w:sz w:val="24"/>
        </w:rPr>
      </w:pPr>
    </w:p>
    <w:p w14:paraId="41958242">
      <w:pPr>
        <w:rPr>
          <w:rFonts w:hint="eastAsia" w:ascii="宋体" w:hAnsi="宋体" w:cs="宋体"/>
          <w:b/>
          <w:sz w:val="36"/>
          <w:szCs w:val="20"/>
        </w:rPr>
      </w:pPr>
      <w:r>
        <w:rPr>
          <w:rFonts w:hint="eastAsia" w:ascii="宋体" w:hAnsi="宋体" w:cs="宋体"/>
          <w:b/>
          <w:sz w:val="36"/>
          <w:szCs w:val="20"/>
        </w:rPr>
        <w:br w:type="page"/>
      </w:r>
    </w:p>
    <w:p w14:paraId="7695F584">
      <w:pPr>
        <w:ind w:firstLine="480"/>
        <w:jc w:val="center"/>
        <w:rPr>
          <w:b/>
          <w:bCs/>
          <w:sz w:val="32"/>
          <w:szCs w:val="32"/>
          <w:highlight w:val="none"/>
        </w:rPr>
      </w:pPr>
      <w:r>
        <w:rPr>
          <w:rFonts w:hint="eastAsia"/>
          <w:b/>
          <w:bCs/>
          <w:sz w:val="32"/>
          <w:szCs w:val="32"/>
          <w:highlight w:val="none"/>
        </w:rPr>
        <w:t>杭州职业技术大学</w:t>
      </w:r>
      <w:r>
        <w:rPr>
          <w:b/>
          <w:bCs/>
          <w:sz w:val="32"/>
          <w:szCs w:val="32"/>
          <w:highlight w:val="none"/>
        </w:rPr>
        <w:t>采购廉洁协议</w:t>
      </w:r>
    </w:p>
    <w:p w14:paraId="468FCCA1">
      <w:pPr>
        <w:ind w:firstLine="480"/>
        <w:jc w:val="center"/>
        <w:rPr>
          <w:highlight w:val="none"/>
        </w:rPr>
      </w:pPr>
    </w:p>
    <w:p w14:paraId="7BCD0CF9">
      <w:pPr>
        <w:adjustRightInd/>
        <w:snapToGrid/>
        <w:ind w:firstLine="480"/>
        <w:jc w:val="left"/>
        <w:rPr>
          <w:highlight w:val="none"/>
        </w:rPr>
      </w:pPr>
      <w:r>
        <w:rPr>
          <w:highlight w:val="none"/>
        </w:rPr>
        <w:t>为做好采购廉政建设，实现该采购项目高效优质、廉洁安全，根据国家有关法律法规，</w:t>
      </w:r>
      <w:r>
        <w:rPr>
          <w:rFonts w:hint="eastAsia"/>
          <w:highlight w:val="none"/>
          <w:lang w:eastAsia="zh-CN"/>
        </w:rPr>
        <w:t>招标人</w:t>
      </w:r>
      <w:r>
        <w:rPr>
          <w:highlight w:val="none"/>
        </w:rPr>
        <w:t>与中标人双方就</w:t>
      </w:r>
      <w:r>
        <w:rPr>
          <w:highlight w:val="none"/>
          <w:u w:val="single"/>
        </w:rPr>
        <w:t xml:space="preserve">             </w:t>
      </w:r>
      <w:r>
        <w:rPr>
          <w:highlight w:val="none"/>
        </w:rPr>
        <w:t>采购项目（编号：</w:t>
      </w:r>
      <w:r>
        <w:rPr>
          <w:highlight w:val="none"/>
          <w:u w:val="single"/>
        </w:rPr>
        <w:t xml:space="preserve">   </w:t>
      </w:r>
      <w:r>
        <w:rPr>
          <w:rFonts w:hint="eastAsia"/>
          <w:highlight w:val="none"/>
          <w:u w:val="single"/>
        </w:rPr>
        <w:t xml:space="preserve">     </w:t>
      </w:r>
      <w:r>
        <w:rPr>
          <w:highlight w:val="none"/>
          <w:u w:val="single"/>
        </w:rPr>
        <w:t xml:space="preserve"> </w:t>
      </w:r>
      <w:r>
        <w:rPr>
          <w:highlight w:val="none"/>
        </w:rPr>
        <w:t>）签署《采购廉政协议》，承诺共同遵守。</w:t>
      </w:r>
    </w:p>
    <w:p w14:paraId="019A4218">
      <w:pPr>
        <w:numPr>
          <w:ilvl w:val="0"/>
          <w:numId w:val="1"/>
        </w:numPr>
        <w:adjustRightInd/>
        <w:snapToGrid/>
        <w:ind w:firstLine="482"/>
        <w:rPr>
          <w:highlight w:val="none"/>
        </w:rPr>
      </w:pPr>
      <w:r>
        <w:rPr>
          <w:b/>
          <w:bCs/>
          <w:highlight w:val="none"/>
        </w:rPr>
        <w:t>双方承诺</w:t>
      </w:r>
    </w:p>
    <w:p w14:paraId="598956AE">
      <w:pPr>
        <w:adjustRightInd/>
        <w:snapToGrid/>
        <w:ind w:firstLine="210" w:firstLineChars="100"/>
        <w:rPr>
          <w:highlight w:val="none"/>
        </w:rPr>
      </w:pPr>
      <w:r>
        <w:rPr>
          <w:highlight w:val="none"/>
        </w:rPr>
        <w:t>（一）</w:t>
      </w:r>
      <w:r>
        <w:rPr>
          <w:rFonts w:hint="eastAsia"/>
          <w:highlight w:val="none"/>
          <w:lang w:eastAsia="zh-CN"/>
        </w:rPr>
        <w:t>招标人</w:t>
      </w:r>
      <w:r>
        <w:rPr>
          <w:highlight w:val="none"/>
        </w:rPr>
        <w:t>承诺</w:t>
      </w:r>
    </w:p>
    <w:p w14:paraId="0F083C8A">
      <w:pPr>
        <w:adjustRightInd/>
        <w:snapToGrid/>
        <w:ind w:firstLine="480"/>
        <w:rPr>
          <w:highlight w:val="none"/>
        </w:rPr>
      </w:pPr>
      <w:r>
        <w:rPr>
          <w:highlight w:val="none"/>
        </w:rPr>
        <w:t>1.不向中标人索要或接受中标人的财物或者各种名义的回扣、手续费。</w:t>
      </w:r>
    </w:p>
    <w:p w14:paraId="37921D02">
      <w:pPr>
        <w:adjustRightInd/>
        <w:snapToGrid/>
        <w:ind w:firstLine="480"/>
        <w:rPr>
          <w:highlight w:val="none"/>
        </w:rPr>
      </w:pPr>
      <w:r>
        <w:rPr>
          <w:highlight w:val="none"/>
        </w:rPr>
        <w:t>2.不在中标人报销或由中标人支付任何应由个人负担的费用。</w:t>
      </w:r>
    </w:p>
    <w:p w14:paraId="45997BF4">
      <w:pPr>
        <w:adjustRightInd/>
        <w:snapToGrid/>
        <w:ind w:firstLine="480"/>
        <w:rPr>
          <w:highlight w:val="none"/>
        </w:rPr>
      </w:pPr>
      <w:r>
        <w:rPr>
          <w:highlight w:val="none"/>
        </w:rPr>
        <w:t>3.</w:t>
      </w:r>
      <w:r>
        <w:rPr>
          <w:rFonts w:hint="eastAsia"/>
          <w:highlight w:val="none"/>
          <w:lang w:eastAsia="zh-CN"/>
        </w:rPr>
        <w:t>招标人</w:t>
      </w:r>
      <w:r>
        <w:rPr>
          <w:highlight w:val="none"/>
        </w:rPr>
        <w:t>工作人员不接受中标人的可能影响公正执行公务的礼品馈赠、宴请以及高消费活动安排。</w:t>
      </w:r>
    </w:p>
    <w:p w14:paraId="7C2AD130">
      <w:pPr>
        <w:adjustRightInd/>
        <w:snapToGrid/>
        <w:ind w:firstLine="480"/>
        <w:rPr>
          <w:highlight w:val="none"/>
        </w:rPr>
      </w:pPr>
      <w:r>
        <w:rPr>
          <w:highlight w:val="none"/>
        </w:rPr>
        <w:t>4.不得要求或接受中标人为</w:t>
      </w:r>
      <w:r>
        <w:rPr>
          <w:rFonts w:hint="eastAsia"/>
          <w:highlight w:val="none"/>
          <w:lang w:eastAsia="zh-CN"/>
        </w:rPr>
        <w:t>招标人</w:t>
      </w:r>
      <w:r>
        <w:rPr>
          <w:highlight w:val="none"/>
        </w:rPr>
        <w:t>个人及亲友提供有可能违反公平竞争的利益。</w:t>
      </w:r>
    </w:p>
    <w:p w14:paraId="769D5644">
      <w:pPr>
        <w:adjustRightInd/>
        <w:snapToGrid/>
        <w:ind w:firstLine="480"/>
        <w:rPr>
          <w:highlight w:val="none"/>
        </w:rPr>
      </w:pPr>
      <w:r>
        <w:rPr>
          <w:highlight w:val="none"/>
        </w:rPr>
        <w:t>5.</w:t>
      </w:r>
      <w:r>
        <w:rPr>
          <w:rFonts w:hint="eastAsia"/>
          <w:highlight w:val="none"/>
          <w:lang w:eastAsia="zh-CN"/>
        </w:rPr>
        <w:t>招标人</w:t>
      </w:r>
      <w:r>
        <w:rPr>
          <w:highlight w:val="none"/>
        </w:rPr>
        <w:t>工作人员的配偶、子女及其配偶不得从事与</w:t>
      </w:r>
      <w:r>
        <w:rPr>
          <w:rFonts w:hint="eastAsia"/>
          <w:highlight w:val="none"/>
          <w:lang w:eastAsia="zh-CN"/>
        </w:rPr>
        <w:t>招标人</w:t>
      </w:r>
      <w:r>
        <w:rPr>
          <w:highlight w:val="none"/>
        </w:rPr>
        <w:t>基本建设项目有关的经商办企业、社会中介服务等活动。</w:t>
      </w:r>
    </w:p>
    <w:p w14:paraId="5FD13D21">
      <w:pPr>
        <w:adjustRightInd/>
        <w:snapToGrid/>
        <w:ind w:firstLine="480"/>
        <w:rPr>
          <w:highlight w:val="none"/>
        </w:rPr>
      </w:pPr>
      <w:r>
        <w:rPr>
          <w:highlight w:val="none"/>
        </w:rPr>
        <w:t>6.</w:t>
      </w:r>
      <w:r>
        <w:rPr>
          <w:rFonts w:hint="eastAsia"/>
          <w:highlight w:val="none"/>
          <w:lang w:eastAsia="zh-CN"/>
        </w:rPr>
        <w:t>招标人</w:t>
      </w:r>
      <w:r>
        <w:rPr>
          <w:highlight w:val="none"/>
        </w:rPr>
        <w:t>及其工作人员不得违规干预和插手基本建设项目的招投标、材料设备采购活动；不得违规干预与基本建设项目有关的设计、资金拨付、验收等重大事项；不得以任何理由向中标人推荐分包单位；不得要求中标人购买协议规定外的材料和设备。</w:t>
      </w:r>
    </w:p>
    <w:p w14:paraId="674030FF">
      <w:pPr>
        <w:adjustRightInd/>
        <w:snapToGrid/>
        <w:ind w:firstLine="480"/>
        <w:rPr>
          <w:highlight w:val="none"/>
        </w:rPr>
      </w:pPr>
      <w:r>
        <w:rPr>
          <w:highlight w:val="none"/>
        </w:rPr>
        <w:t>7.</w:t>
      </w:r>
      <w:r>
        <w:rPr>
          <w:rFonts w:hint="eastAsia"/>
          <w:highlight w:val="none"/>
          <w:lang w:eastAsia="zh-CN"/>
        </w:rPr>
        <w:t>招标人</w:t>
      </w:r>
      <w:r>
        <w:rPr>
          <w:highlight w:val="none"/>
        </w:rPr>
        <w:t>及其工作人员不得泄露与项目有关的应当保密的信息、资料等机密事项。</w:t>
      </w:r>
    </w:p>
    <w:p w14:paraId="26186360">
      <w:pPr>
        <w:adjustRightInd/>
        <w:snapToGrid/>
        <w:spacing w:line="240" w:lineRule="auto"/>
        <w:ind w:firstLine="210" w:firstLineChars="100"/>
        <w:jc w:val="left"/>
        <w:rPr>
          <w:highlight w:val="none"/>
        </w:rPr>
      </w:pPr>
      <w:r>
        <w:rPr>
          <w:highlight w:val="none"/>
        </w:rPr>
        <w:t>（二）中标人承诺</w:t>
      </w:r>
    </w:p>
    <w:p w14:paraId="26FA6E98">
      <w:pPr>
        <w:adjustRightInd/>
        <w:snapToGrid/>
        <w:ind w:firstLine="480"/>
        <w:rPr>
          <w:highlight w:val="none"/>
        </w:rPr>
      </w:pPr>
      <w:r>
        <w:rPr>
          <w:highlight w:val="none"/>
        </w:rPr>
        <w:t>1.诚实守信、依法办事，不从事损害国家利益、公共利益和</w:t>
      </w:r>
      <w:r>
        <w:rPr>
          <w:rFonts w:hint="eastAsia"/>
          <w:highlight w:val="none"/>
          <w:lang w:eastAsia="zh-CN"/>
        </w:rPr>
        <w:t>招标人</w:t>
      </w:r>
      <w:r>
        <w:rPr>
          <w:highlight w:val="none"/>
        </w:rPr>
        <w:t>合法权益的活动，不以非法手段参与</w:t>
      </w:r>
      <w:r>
        <w:rPr>
          <w:rFonts w:hint="eastAsia"/>
          <w:highlight w:val="none"/>
          <w:lang w:eastAsia="zh-CN"/>
        </w:rPr>
        <w:t>招标人</w:t>
      </w:r>
      <w:r>
        <w:rPr>
          <w:highlight w:val="none"/>
        </w:rPr>
        <w:t>基本建设项目。</w:t>
      </w:r>
    </w:p>
    <w:p w14:paraId="1AF55DAA">
      <w:pPr>
        <w:adjustRightInd/>
        <w:snapToGrid/>
        <w:ind w:firstLine="480"/>
        <w:rPr>
          <w:highlight w:val="none"/>
        </w:rPr>
      </w:pPr>
      <w:r>
        <w:rPr>
          <w:highlight w:val="none"/>
        </w:rPr>
        <w:t>2.不向</w:t>
      </w:r>
      <w:r>
        <w:rPr>
          <w:rFonts w:hint="eastAsia"/>
          <w:highlight w:val="none"/>
          <w:lang w:eastAsia="zh-CN"/>
        </w:rPr>
        <w:t>招标人</w:t>
      </w:r>
      <w:r>
        <w:rPr>
          <w:highlight w:val="none"/>
        </w:rPr>
        <w:t>及其工作人员给予财物或者各种名义的回扣、手续费。</w:t>
      </w:r>
    </w:p>
    <w:p w14:paraId="24E41474">
      <w:pPr>
        <w:adjustRightInd/>
        <w:snapToGrid/>
        <w:ind w:firstLine="480"/>
        <w:rPr>
          <w:highlight w:val="none"/>
        </w:rPr>
      </w:pPr>
      <w:r>
        <w:rPr>
          <w:highlight w:val="none"/>
        </w:rPr>
        <w:t>3.不为</w:t>
      </w:r>
      <w:r>
        <w:rPr>
          <w:rFonts w:hint="eastAsia"/>
          <w:highlight w:val="none"/>
          <w:lang w:eastAsia="zh-CN"/>
        </w:rPr>
        <w:t>招标人</w:t>
      </w:r>
      <w:r>
        <w:rPr>
          <w:highlight w:val="none"/>
        </w:rPr>
        <w:t>及其工作人员报销或支付应由个人负担的费用。</w:t>
      </w:r>
    </w:p>
    <w:p w14:paraId="06A514FA">
      <w:pPr>
        <w:adjustRightInd/>
        <w:snapToGrid/>
        <w:ind w:firstLine="480"/>
        <w:rPr>
          <w:highlight w:val="none"/>
        </w:rPr>
      </w:pPr>
      <w:r>
        <w:rPr>
          <w:highlight w:val="none"/>
        </w:rPr>
        <w:t>4.不向</w:t>
      </w:r>
      <w:r>
        <w:rPr>
          <w:rFonts w:hint="eastAsia"/>
          <w:highlight w:val="none"/>
          <w:lang w:eastAsia="zh-CN"/>
        </w:rPr>
        <w:t>招标人</w:t>
      </w:r>
      <w:r>
        <w:rPr>
          <w:highlight w:val="none"/>
        </w:rPr>
        <w:t>工作人员提供礼品馈赠、宴请以及高消费活动安排。</w:t>
      </w:r>
    </w:p>
    <w:p w14:paraId="19E588D5">
      <w:pPr>
        <w:adjustRightInd/>
        <w:snapToGrid/>
        <w:ind w:firstLine="480"/>
        <w:rPr>
          <w:highlight w:val="none"/>
        </w:rPr>
      </w:pPr>
      <w:r>
        <w:rPr>
          <w:highlight w:val="none"/>
        </w:rPr>
        <w:t>5.</w:t>
      </w:r>
      <w:r>
        <w:rPr>
          <w:rFonts w:hint="eastAsia"/>
          <w:highlight w:val="none"/>
          <w:lang w:eastAsia="zh-CN"/>
        </w:rPr>
        <w:t>招标人</w:t>
      </w:r>
      <w:r>
        <w:rPr>
          <w:highlight w:val="none"/>
        </w:rPr>
        <w:t>工作人员有违反</w:t>
      </w:r>
      <w:r>
        <w:rPr>
          <w:rFonts w:hint="eastAsia"/>
          <w:highlight w:val="none"/>
          <w:lang w:eastAsia="zh-CN"/>
        </w:rPr>
        <w:t>招标人</w:t>
      </w:r>
      <w:r>
        <w:rPr>
          <w:highlight w:val="none"/>
        </w:rPr>
        <w:t>承诺的，中标人拒绝无果，应当向</w:t>
      </w:r>
      <w:r>
        <w:rPr>
          <w:rFonts w:hint="eastAsia"/>
          <w:highlight w:val="none"/>
          <w:lang w:eastAsia="zh-CN"/>
        </w:rPr>
        <w:t>招标人</w:t>
      </w:r>
      <w:r>
        <w:rPr>
          <w:highlight w:val="none"/>
        </w:rPr>
        <w:t>职能主管部门举报。</w:t>
      </w:r>
    </w:p>
    <w:p w14:paraId="06C84F0A">
      <w:pPr>
        <w:adjustRightInd/>
        <w:snapToGrid/>
        <w:ind w:firstLine="482"/>
        <w:rPr>
          <w:b/>
          <w:bCs/>
          <w:highlight w:val="none"/>
        </w:rPr>
      </w:pPr>
      <w:r>
        <w:rPr>
          <w:b/>
          <w:bCs/>
          <w:highlight w:val="none"/>
        </w:rPr>
        <w:t>二、违约责任</w:t>
      </w:r>
    </w:p>
    <w:p w14:paraId="3E79C11B">
      <w:pPr>
        <w:adjustRightInd/>
        <w:snapToGrid/>
        <w:ind w:firstLine="480"/>
        <w:rPr>
          <w:highlight w:val="none"/>
        </w:rPr>
      </w:pPr>
      <w:r>
        <w:rPr>
          <w:highlight w:val="none"/>
        </w:rPr>
        <w:t>（一）</w:t>
      </w:r>
      <w:r>
        <w:rPr>
          <w:rFonts w:hint="eastAsia"/>
          <w:highlight w:val="none"/>
          <w:lang w:eastAsia="zh-CN"/>
        </w:rPr>
        <w:t>招标人</w:t>
      </w:r>
      <w:r>
        <w:rPr>
          <w:highlight w:val="none"/>
        </w:rPr>
        <w:t>违反承诺的，依照违规情节轻重，给予相关人员党纪、政务或组织处理；给中标人造成经济损失的，应予以赔偿。</w:t>
      </w:r>
    </w:p>
    <w:p w14:paraId="4F068219">
      <w:pPr>
        <w:adjustRightInd/>
        <w:snapToGrid/>
        <w:ind w:firstLine="480"/>
        <w:rPr>
          <w:highlight w:val="none"/>
        </w:rPr>
      </w:pPr>
      <w:r>
        <w:rPr>
          <w:highlight w:val="none"/>
        </w:rPr>
        <w:t>（二）中标人违反承诺，给</w:t>
      </w:r>
      <w:r>
        <w:rPr>
          <w:rFonts w:hint="eastAsia"/>
          <w:highlight w:val="none"/>
          <w:lang w:eastAsia="zh-CN"/>
        </w:rPr>
        <w:t>招标人</w:t>
      </w:r>
      <w:r>
        <w:rPr>
          <w:highlight w:val="none"/>
        </w:rPr>
        <w:t>造成经济损失的，中标人以合同金额的30%为标准向</w:t>
      </w:r>
      <w:r>
        <w:rPr>
          <w:rFonts w:hint="eastAsia"/>
          <w:highlight w:val="none"/>
          <w:lang w:eastAsia="zh-CN"/>
        </w:rPr>
        <w:t>招标人</w:t>
      </w:r>
      <w:r>
        <w:rPr>
          <w:highlight w:val="none"/>
        </w:rPr>
        <w:t>支付廉政违约金，同时，</w:t>
      </w:r>
      <w:r>
        <w:rPr>
          <w:rFonts w:hint="eastAsia"/>
          <w:highlight w:val="none"/>
          <w:lang w:eastAsia="zh-CN"/>
        </w:rPr>
        <w:t>招标人</w:t>
      </w:r>
      <w:r>
        <w:rPr>
          <w:highlight w:val="none"/>
        </w:rPr>
        <w:t>建议工程建设主管部门给予中标人三年内不得进入其主管的工程建设市场的处罚。</w:t>
      </w:r>
    </w:p>
    <w:p w14:paraId="12B35739">
      <w:pPr>
        <w:adjustRightInd/>
        <w:snapToGrid/>
        <w:ind w:firstLine="482"/>
        <w:rPr>
          <w:b/>
          <w:bCs/>
          <w:highlight w:val="none"/>
        </w:rPr>
      </w:pPr>
      <w:r>
        <w:rPr>
          <w:b/>
          <w:bCs/>
          <w:highlight w:val="none"/>
        </w:rPr>
        <w:t>三、双方约定</w:t>
      </w:r>
    </w:p>
    <w:p w14:paraId="72EEA617">
      <w:pPr>
        <w:adjustRightInd/>
        <w:snapToGrid/>
        <w:ind w:firstLine="480"/>
        <w:rPr>
          <w:highlight w:val="none"/>
        </w:rPr>
      </w:pPr>
      <w:r>
        <w:rPr>
          <w:highlight w:val="none"/>
        </w:rPr>
        <w:t>（一）本协议的履行情况由</w:t>
      </w:r>
      <w:r>
        <w:rPr>
          <w:rFonts w:hint="eastAsia"/>
          <w:highlight w:val="none"/>
          <w:lang w:eastAsia="zh-CN"/>
        </w:rPr>
        <w:t>招标人</w:t>
      </w:r>
      <w:r>
        <w:rPr>
          <w:highlight w:val="none"/>
        </w:rPr>
        <w:t>、中标人双方上级主管部门负责监督检查，提出本协议规定范围内裁定意见。</w:t>
      </w:r>
    </w:p>
    <w:p w14:paraId="5D3D76C0">
      <w:pPr>
        <w:adjustRightInd/>
        <w:snapToGrid/>
        <w:ind w:firstLine="480"/>
        <w:rPr>
          <w:highlight w:val="none"/>
        </w:rPr>
      </w:pPr>
      <w:r>
        <w:rPr>
          <w:highlight w:val="none"/>
        </w:rPr>
        <w:t>（二）本协议一式X份，</w:t>
      </w:r>
      <w:r>
        <w:rPr>
          <w:rFonts w:hint="eastAsia"/>
          <w:highlight w:val="none"/>
          <w:lang w:eastAsia="zh-CN"/>
        </w:rPr>
        <w:t>招标人</w:t>
      </w:r>
      <w:r>
        <w:rPr>
          <w:highlight w:val="none"/>
        </w:rPr>
        <w:t>执X份，中标人执X份，经双方法定代表人或授权代表签订并盖公章后生效。</w:t>
      </w:r>
    </w:p>
    <w:p w14:paraId="67F463B1">
      <w:pPr>
        <w:adjustRightInd/>
        <w:snapToGrid/>
        <w:ind w:firstLine="480"/>
        <w:rPr>
          <w:highlight w:val="none"/>
        </w:rPr>
      </w:pPr>
    </w:p>
    <w:p w14:paraId="4A8FCC25">
      <w:pPr>
        <w:adjustRightInd/>
        <w:snapToGrid/>
        <w:ind w:firstLine="480"/>
        <w:rPr>
          <w:highlight w:val="none"/>
        </w:rPr>
      </w:pPr>
      <w:r>
        <w:rPr>
          <w:rFonts w:hint="eastAsia"/>
          <w:highlight w:val="none"/>
          <w:lang w:eastAsia="zh-CN"/>
        </w:rPr>
        <w:t>招标人</w:t>
      </w:r>
      <w:r>
        <w:rPr>
          <w:highlight w:val="none"/>
        </w:rPr>
        <w:t>（公章）：              中标人（公章）：</w:t>
      </w:r>
    </w:p>
    <w:p w14:paraId="718F35DD">
      <w:pPr>
        <w:adjustRightInd/>
        <w:snapToGrid/>
        <w:ind w:firstLine="480"/>
        <w:rPr>
          <w:highlight w:val="none"/>
        </w:rPr>
      </w:pPr>
      <w:r>
        <w:rPr>
          <w:highlight w:val="none"/>
        </w:rPr>
        <w:t>授权代表：                    授权代表：</w:t>
      </w:r>
    </w:p>
    <w:p w14:paraId="7725E976">
      <w:pPr>
        <w:adjustRightInd/>
        <w:snapToGrid/>
        <w:ind w:firstLine="480"/>
        <w:rPr>
          <w:highlight w:val="none"/>
        </w:rPr>
      </w:pPr>
      <w:r>
        <w:rPr>
          <w:highlight w:val="none"/>
        </w:rPr>
        <w:t>电话：                        电话：</w:t>
      </w:r>
    </w:p>
    <w:p w14:paraId="1945563F">
      <w:pPr>
        <w:adjustRightInd/>
        <w:snapToGrid/>
        <w:ind w:firstLine="480"/>
        <w:rPr>
          <w:rFonts w:hint="eastAsia"/>
          <w:highlight w:val="none"/>
        </w:rPr>
      </w:pPr>
      <w:r>
        <w:rPr>
          <w:highlight w:val="none"/>
        </w:rPr>
        <w:t>年  月  日                     年  月  日</w:t>
      </w:r>
    </w:p>
    <w:p w14:paraId="74AADB7E">
      <w:pPr>
        <w:rPr>
          <w:rFonts w:hint="eastAsia" w:ascii="宋体" w:hAnsi="宋体" w:cs="宋体"/>
          <w:b/>
          <w:sz w:val="36"/>
          <w:szCs w:val="20"/>
        </w:rPr>
      </w:pPr>
      <w:r>
        <w:rPr>
          <w:rFonts w:hint="eastAsia" w:ascii="宋体" w:hAnsi="宋体" w:cs="宋体"/>
          <w:b/>
          <w:sz w:val="36"/>
          <w:szCs w:val="20"/>
        </w:rPr>
        <w:br w:type="page"/>
      </w:r>
    </w:p>
    <w:p w14:paraId="46D1B556">
      <w:pPr>
        <w:spacing w:line="560" w:lineRule="exact"/>
        <w:ind w:firstLine="723"/>
        <w:jc w:val="center"/>
        <w:rPr>
          <w:rFonts w:hint="eastAsia"/>
          <w:b/>
          <w:bCs/>
          <w:color w:val="auto"/>
          <w:sz w:val="36"/>
          <w:szCs w:val="36"/>
          <w:highlight w:val="none"/>
        </w:rPr>
      </w:pPr>
      <w:r>
        <w:rPr>
          <w:rFonts w:hint="eastAsia"/>
          <w:b/>
          <w:bCs/>
          <w:color w:val="auto"/>
          <w:sz w:val="36"/>
          <w:szCs w:val="36"/>
          <w:highlight w:val="none"/>
        </w:rPr>
        <w:t>安全管理协议书</w:t>
      </w:r>
    </w:p>
    <w:p w14:paraId="219ECAA9">
      <w:pPr>
        <w:spacing w:line="560" w:lineRule="exact"/>
        <w:ind w:firstLine="723"/>
        <w:jc w:val="center"/>
        <w:rPr>
          <w:rFonts w:hint="eastAsia"/>
          <w:b/>
          <w:bCs/>
          <w:color w:val="auto"/>
          <w:sz w:val="36"/>
          <w:szCs w:val="36"/>
          <w:highlight w:val="none"/>
        </w:rPr>
      </w:pPr>
    </w:p>
    <w:p w14:paraId="5D63654A">
      <w:pPr>
        <w:tabs>
          <w:tab w:val="left" w:pos="5103"/>
        </w:tabs>
        <w:adjustRightInd/>
        <w:spacing w:line="360" w:lineRule="auto"/>
        <w:ind w:firstLine="482" w:firstLineChars="200"/>
        <w:rPr>
          <w:rFonts w:cs="宋体"/>
          <w:color w:val="auto"/>
          <w:sz w:val="24"/>
          <w:highlight w:val="none"/>
        </w:rPr>
      </w:pPr>
      <w:r>
        <w:rPr>
          <w:rFonts w:cs="宋体"/>
          <w:b/>
          <w:bCs/>
          <w:color w:val="auto"/>
          <w:sz w:val="24"/>
          <w:highlight w:val="none"/>
        </w:rPr>
        <w:t>(</w:t>
      </w:r>
      <w:r>
        <w:rPr>
          <w:rFonts w:hint="eastAsia" w:cs="宋体"/>
          <w:b/>
          <w:bCs/>
          <w:color w:val="auto"/>
          <w:sz w:val="24"/>
          <w:highlight w:val="none"/>
        </w:rPr>
        <w:t>甲方</w:t>
      </w:r>
      <w:r>
        <w:rPr>
          <w:rFonts w:cs="宋体"/>
          <w:b/>
          <w:bCs/>
          <w:color w:val="auto"/>
          <w:sz w:val="24"/>
          <w:highlight w:val="none"/>
        </w:rPr>
        <w:t>)：</w:t>
      </w:r>
      <w:r>
        <w:rPr>
          <w:rFonts w:hint="eastAsia" w:cs="宋体"/>
          <w:b/>
          <w:bCs/>
          <w:color w:val="auto"/>
          <w:sz w:val="24"/>
          <w:highlight w:val="none"/>
          <w:lang w:val="en-US" w:eastAsia="zh-CN"/>
        </w:rPr>
        <w:t xml:space="preserve">   </w:t>
      </w:r>
      <w:r>
        <w:rPr>
          <w:rFonts w:hint="eastAsia" w:cs="宋体"/>
          <w:color w:val="auto"/>
          <w:sz w:val="24"/>
          <w:highlight w:val="none"/>
        </w:rPr>
        <w:t>（</w:t>
      </w:r>
      <w:r>
        <w:rPr>
          <w:rFonts w:cs="宋体"/>
          <w:color w:val="auto"/>
          <w:sz w:val="24"/>
          <w:highlight w:val="none"/>
        </w:rPr>
        <w:t>总承包单位</w:t>
      </w:r>
      <w:r>
        <w:rPr>
          <w:rFonts w:hint="eastAsia" w:cs="宋体"/>
          <w:color w:val="auto"/>
          <w:sz w:val="24"/>
          <w:highlight w:val="none"/>
        </w:rPr>
        <w:t xml:space="preserve">）   </w:t>
      </w:r>
    </w:p>
    <w:p w14:paraId="70E67405">
      <w:pPr>
        <w:tabs>
          <w:tab w:val="left" w:pos="5103"/>
        </w:tabs>
        <w:adjustRightInd/>
        <w:spacing w:line="360" w:lineRule="auto"/>
        <w:ind w:firstLine="482" w:firstLineChars="200"/>
        <w:rPr>
          <w:rFonts w:cs="宋体"/>
          <w:color w:val="auto"/>
          <w:sz w:val="24"/>
          <w:highlight w:val="none"/>
        </w:rPr>
      </w:pPr>
      <w:r>
        <w:rPr>
          <w:rFonts w:cs="宋体"/>
          <w:b/>
          <w:bCs/>
          <w:color w:val="auto"/>
          <w:sz w:val="24"/>
          <w:highlight w:val="none"/>
        </w:rPr>
        <w:t>(</w:t>
      </w:r>
      <w:r>
        <w:rPr>
          <w:rFonts w:hint="eastAsia" w:cs="宋体"/>
          <w:b/>
          <w:bCs/>
          <w:color w:val="auto"/>
          <w:sz w:val="24"/>
          <w:highlight w:val="none"/>
        </w:rPr>
        <w:t>乙方</w:t>
      </w:r>
      <w:r>
        <w:rPr>
          <w:rFonts w:cs="宋体"/>
          <w:b/>
          <w:bCs/>
          <w:color w:val="auto"/>
          <w:sz w:val="24"/>
          <w:highlight w:val="none"/>
        </w:rPr>
        <w:t>)：</w:t>
      </w:r>
      <w:r>
        <w:rPr>
          <w:rFonts w:hint="eastAsia" w:cs="宋体"/>
          <w:color w:val="auto"/>
          <w:sz w:val="24"/>
          <w:highlight w:val="none"/>
        </w:rPr>
        <w:t xml:space="preserve">  </w:t>
      </w:r>
      <w:r>
        <w:rPr>
          <w:rFonts w:hint="eastAsia" w:cs="宋体"/>
          <w:color w:val="auto"/>
          <w:sz w:val="24"/>
          <w:highlight w:val="none"/>
          <w:lang w:val="en-US" w:eastAsia="zh-CN"/>
        </w:rPr>
        <w:t xml:space="preserve">  （</w:t>
      </w:r>
      <w:r>
        <w:rPr>
          <w:rFonts w:hint="eastAsia" w:cs="宋体"/>
          <w:color w:val="auto"/>
          <w:sz w:val="24"/>
          <w:highlight w:val="none"/>
        </w:rPr>
        <w:t>中标单位</w:t>
      </w:r>
      <w:r>
        <w:rPr>
          <w:rFonts w:hint="eastAsia" w:cs="宋体"/>
          <w:color w:val="auto"/>
          <w:sz w:val="24"/>
          <w:highlight w:val="none"/>
          <w:lang w:eastAsia="zh-CN"/>
        </w:rPr>
        <w:t>）</w:t>
      </w:r>
      <w:r>
        <w:rPr>
          <w:rFonts w:hint="eastAsia" w:cs="宋体"/>
          <w:color w:val="auto"/>
          <w:sz w:val="24"/>
          <w:highlight w:val="none"/>
        </w:rPr>
        <w:t xml:space="preserve">            </w:t>
      </w:r>
    </w:p>
    <w:p w14:paraId="6C4066A6">
      <w:pPr>
        <w:tabs>
          <w:tab w:val="left" w:pos="5103"/>
        </w:tabs>
        <w:adjustRightInd/>
        <w:spacing w:line="360" w:lineRule="auto"/>
        <w:ind w:firstLine="482" w:firstLineChars="200"/>
        <w:rPr>
          <w:rFonts w:hint="eastAsia" w:cs="宋体"/>
          <w:color w:val="auto"/>
          <w:sz w:val="24"/>
          <w:highlight w:val="none"/>
        </w:rPr>
      </w:pPr>
      <w:r>
        <w:rPr>
          <w:rFonts w:cs="宋体"/>
          <w:b/>
          <w:bCs/>
          <w:color w:val="auto"/>
          <w:sz w:val="24"/>
          <w:highlight w:val="none"/>
        </w:rPr>
        <w:t>工程名称：</w:t>
      </w:r>
      <w:r>
        <w:rPr>
          <w:rFonts w:hint="eastAsia" w:cs="宋体"/>
          <w:color w:val="auto"/>
          <w:sz w:val="24"/>
          <w:highlight w:val="none"/>
        </w:rPr>
        <w:t xml:space="preserve">     </w:t>
      </w:r>
    </w:p>
    <w:p w14:paraId="6AA0106F">
      <w:pPr>
        <w:tabs>
          <w:tab w:val="left" w:pos="5103"/>
        </w:tabs>
        <w:adjustRightInd/>
        <w:spacing w:line="360" w:lineRule="auto"/>
        <w:ind w:firstLine="482" w:firstLineChars="200"/>
        <w:rPr>
          <w:rFonts w:cs="宋体"/>
          <w:color w:val="auto"/>
          <w:sz w:val="24"/>
          <w:highlight w:val="none"/>
        </w:rPr>
      </w:pPr>
      <w:r>
        <w:rPr>
          <w:rFonts w:cs="宋体"/>
          <w:b/>
          <w:bCs/>
          <w:color w:val="auto"/>
          <w:sz w:val="24"/>
          <w:highlight w:val="none"/>
        </w:rPr>
        <w:t>工程地点</w:t>
      </w:r>
      <w:r>
        <w:rPr>
          <w:rFonts w:hint="eastAsia" w:cs="宋体"/>
          <w:b/>
          <w:bCs/>
          <w:color w:val="auto"/>
          <w:sz w:val="24"/>
          <w:highlight w:val="none"/>
        </w:rPr>
        <w:t>：</w:t>
      </w:r>
      <w:r>
        <w:rPr>
          <w:rFonts w:hint="eastAsia" w:cs="宋体"/>
          <w:color w:val="auto"/>
          <w:sz w:val="24"/>
          <w:highlight w:val="none"/>
        </w:rPr>
        <w:t xml:space="preserve">  浙江省 杭州市 建德市 新安江街道             </w:t>
      </w:r>
    </w:p>
    <w:p w14:paraId="1883DE6B">
      <w:pPr>
        <w:tabs>
          <w:tab w:val="left" w:pos="5103"/>
        </w:tabs>
        <w:adjustRightInd/>
        <w:spacing w:line="360" w:lineRule="auto"/>
        <w:ind w:firstLine="482" w:firstLineChars="200"/>
        <w:rPr>
          <w:rFonts w:cs="宋体"/>
          <w:b/>
          <w:bCs/>
          <w:color w:val="auto"/>
          <w:sz w:val="24"/>
          <w:highlight w:val="none"/>
        </w:rPr>
      </w:pPr>
      <w:r>
        <w:rPr>
          <w:rFonts w:cs="宋体"/>
          <w:b/>
          <w:bCs/>
          <w:color w:val="auto"/>
          <w:sz w:val="24"/>
          <w:highlight w:val="none"/>
        </w:rPr>
        <w:t>范围：</w:t>
      </w:r>
    </w:p>
    <w:p w14:paraId="56C10990">
      <w:pPr>
        <w:tabs>
          <w:tab w:val="left" w:pos="5103"/>
        </w:tabs>
        <w:adjustRightInd/>
        <w:spacing w:line="360" w:lineRule="auto"/>
        <w:ind w:firstLine="482" w:firstLineChars="200"/>
        <w:rPr>
          <w:rFonts w:hint="eastAsia" w:cs="宋体"/>
          <w:color w:val="auto"/>
          <w:sz w:val="24"/>
          <w:highlight w:val="none"/>
        </w:rPr>
      </w:pPr>
      <w:r>
        <w:rPr>
          <w:rFonts w:hint="eastAsia" w:cs="宋体"/>
          <w:b/>
          <w:bCs/>
          <w:color w:val="auto"/>
          <w:sz w:val="24"/>
          <w:highlight w:val="none"/>
        </w:rPr>
        <w:t>项目开、竣工时间:</w:t>
      </w:r>
      <w:r>
        <w:rPr>
          <w:rFonts w:cs="宋体"/>
          <w:color w:val="auto"/>
          <w:sz w:val="24"/>
          <w:highlight w:val="none"/>
        </w:rPr>
        <w:t>自</w:t>
      </w:r>
      <w:r>
        <w:rPr>
          <w:rFonts w:hint="eastAsia" w:cs="宋体"/>
          <w:color w:val="auto"/>
          <w:sz w:val="24"/>
          <w:highlight w:val="none"/>
        </w:rPr>
        <w:t xml:space="preserve">       </w:t>
      </w:r>
      <w:r>
        <w:rPr>
          <w:rFonts w:cs="宋体"/>
          <w:color w:val="auto"/>
          <w:sz w:val="24"/>
          <w:highlight w:val="none"/>
        </w:rPr>
        <w:t>年</w:t>
      </w:r>
      <w:r>
        <w:rPr>
          <w:rFonts w:hint="eastAsia" w:cs="宋体"/>
          <w:color w:val="auto"/>
          <w:sz w:val="24"/>
          <w:highlight w:val="none"/>
        </w:rPr>
        <w:t xml:space="preserve">    </w:t>
      </w:r>
      <w:r>
        <w:rPr>
          <w:rFonts w:cs="宋体"/>
          <w:color w:val="auto"/>
          <w:sz w:val="24"/>
          <w:highlight w:val="none"/>
        </w:rPr>
        <w:t>月</w:t>
      </w:r>
      <w:r>
        <w:rPr>
          <w:rFonts w:hint="eastAsia" w:cs="宋体"/>
          <w:color w:val="auto"/>
          <w:sz w:val="24"/>
          <w:highlight w:val="none"/>
        </w:rPr>
        <w:t xml:space="preserve">    </w:t>
      </w:r>
      <w:r>
        <w:rPr>
          <w:rFonts w:cs="宋体"/>
          <w:color w:val="auto"/>
          <w:sz w:val="24"/>
          <w:highlight w:val="none"/>
        </w:rPr>
        <w:t>日至</w:t>
      </w:r>
      <w:r>
        <w:rPr>
          <w:rFonts w:hint="eastAsia" w:cs="宋体"/>
          <w:color w:val="auto"/>
          <w:sz w:val="24"/>
          <w:highlight w:val="none"/>
        </w:rPr>
        <w:t xml:space="preserve"> 退场之日。</w:t>
      </w:r>
    </w:p>
    <w:p w14:paraId="4B73AD1F">
      <w:pPr>
        <w:tabs>
          <w:tab w:val="left" w:pos="360"/>
          <w:tab w:val="left" w:pos="993"/>
        </w:tabs>
        <w:adjustRightInd/>
        <w:spacing w:line="360" w:lineRule="auto"/>
        <w:ind w:firstLine="482" w:firstLineChars="200"/>
        <w:rPr>
          <w:rStyle w:val="71"/>
          <w:rFonts w:ascii="宋体" w:hAnsi="宋体" w:cs="Arial"/>
          <w:color w:val="auto"/>
          <w:sz w:val="24"/>
          <w:szCs w:val="24"/>
          <w:highlight w:val="none"/>
        </w:rPr>
      </w:pPr>
    </w:p>
    <w:p w14:paraId="0CB3508B">
      <w:pPr>
        <w:adjustRightInd/>
        <w:spacing w:line="360" w:lineRule="auto"/>
        <w:ind w:firstLine="480" w:firstLineChars="200"/>
        <w:rPr>
          <w:rFonts w:cs="宋体"/>
          <w:color w:val="auto"/>
          <w:sz w:val="24"/>
          <w:highlight w:val="none"/>
        </w:rPr>
      </w:pPr>
      <w:r>
        <w:rPr>
          <w:rFonts w:hint="eastAsia" w:cs="宋体"/>
          <w:color w:val="auto"/>
          <w:sz w:val="24"/>
          <w:highlight w:val="none"/>
        </w:rPr>
        <w:t>为加强项目安全管理，防止生产安全事故发生，保护员工生命安全和企业财产安全，保障施工生产的顺利进行，依据《中华人民共和国安全生产法》、《浙江省安全生产条例》等安全生产法律法规和集团公司及建筑部安全生产规章制度，双方本着平等、自愿的原则，</w:t>
      </w:r>
      <w:r>
        <w:rPr>
          <w:rFonts w:cs="宋体"/>
          <w:color w:val="auto"/>
          <w:sz w:val="24"/>
          <w:highlight w:val="none"/>
        </w:rPr>
        <w:t>达成如下协议，协议未尽事宜双方</w:t>
      </w:r>
      <w:r>
        <w:rPr>
          <w:rFonts w:hint="eastAsia" w:cs="宋体"/>
          <w:color w:val="auto"/>
          <w:sz w:val="24"/>
          <w:highlight w:val="none"/>
        </w:rPr>
        <w:t>执行</w:t>
      </w:r>
      <w:r>
        <w:rPr>
          <w:rFonts w:cs="宋体"/>
          <w:color w:val="auto"/>
          <w:sz w:val="24"/>
          <w:highlight w:val="none"/>
        </w:rPr>
        <w:t>国家和地方有关</w:t>
      </w:r>
      <w:r>
        <w:rPr>
          <w:rFonts w:hint="eastAsia" w:cs="宋体"/>
          <w:color w:val="auto"/>
          <w:sz w:val="24"/>
          <w:highlight w:val="none"/>
        </w:rPr>
        <w:t>安全生产</w:t>
      </w:r>
      <w:r>
        <w:rPr>
          <w:rFonts w:cs="宋体"/>
          <w:color w:val="auto"/>
          <w:sz w:val="24"/>
          <w:highlight w:val="none"/>
        </w:rPr>
        <w:t>法律法规</w:t>
      </w:r>
      <w:r>
        <w:rPr>
          <w:rFonts w:hint="eastAsia" w:cs="宋体"/>
          <w:color w:val="auto"/>
          <w:sz w:val="24"/>
          <w:highlight w:val="none"/>
        </w:rPr>
        <w:t>的规定</w:t>
      </w:r>
      <w:r>
        <w:rPr>
          <w:rFonts w:cs="宋体"/>
          <w:color w:val="auto"/>
          <w:sz w:val="24"/>
          <w:highlight w:val="none"/>
        </w:rPr>
        <w:t>。</w:t>
      </w:r>
    </w:p>
    <w:p w14:paraId="03C25D40">
      <w:pPr>
        <w:adjustRightInd/>
        <w:spacing w:line="360" w:lineRule="auto"/>
        <w:ind w:left="0" w:leftChars="0" w:firstLine="482" w:firstLineChars="200"/>
        <w:rPr>
          <w:b/>
          <w:color w:val="auto"/>
          <w:sz w:val="24"/>
          <w:szCs w:val="24"/>
          <w:highlight w:val="none"/>
        </w:rPr>
      </w:pPr>
      <w:r>
        <w:rPr>
          <w:rFonts w:hint="eastAsia"/>
          <w:b/>
          <w:color w:val="auto"/>
          <w:sz w:val="24"/>
          <w:szCs w:val="24"/>
          <w:highlight w:val="none"/>
        </w:rPr>
        <w:t>一、安全管理目标</w:t>
      </w:r>
    </w:p>
    <w:p w14:paraId="7A0C0AB1">
      <w:pPr>
        <w:adjustRightInd/>
        <w:spacing w:line="360" w:lineRule="auto"/>
        <w:ind w:firstLine="480" w:firstLineChars="200"/>
        <w:rPr>
          <w:b/>
          <w:color w:val="auto"/>
          <w:sz w:val="24"/>
          <w:szCs w:val="24"/>
          <w:highlight w:val="none"/>
        </w:rPr>
      </w:pPr>
      <w:r>
        <w:rPr>
          <w:rFonts w:hint="eastAsia"/>
          <w:color w:val="auto"/>
          <w:sz w:val="24"/>
          <w:szCs w:val="24"/>
          <w:highlight w:val="none"/>
        </w:rPr>
        <w:t>杜绝重伤及以上生产安全</w:t>
      </w:r>
      <w:r>
        <w:rPr>
          <w:color w:val="auto"/>
          <w:sz w:val="24"/>
          <w:szCs w:val="24"/>
          <w:highlight w:val="none"/>
        </w:rPr>
        <w:t>事故</w:t>
      </w:r>
      <w:r>
        <w:rPr>
          <w:rFonts w:hint="eastAsia"/>
          <w:color w:val="auto"/>
          <w:sz w:val="24"/>
          <w:szCs w:val="24"/>
          <w:highlight w:val="none"/>
        </w:rPr>
        <w:t>，现场安全管理达到浙江省安全生产标准化、浙江省文明生产标准化的标准</w:t>
      </w:r>
      <w:r>
        <w:rPr>
          <w:color w:val="auto"/>
          <w:sz w:val="24"/>
          <w:szCs w:val="24"/>
          <w:highlight w:val="none"/>
        </w:rPr>
        <w:t>。</w:t>
      </w:r>
    </w:p>
    <w:p w14:paraId="1DCEB379">
      <w:pPr>
        <w:adjustRightInd/>
        <w:spacing w:line="360" w:lineRule="auto"/>
        <w:ind w:left="0" w:leftChars="0" w:firstLine="482" w:firstLineChars="200"/>
        <w:rPr>
          <w:rFonts w:hint="eastAsia"/>
          <w:b/>
          <w:color w:val="auto"/>
          <w:sz w:val="24"/>
          <w:szCs w:val="24"/>
          <w:highlight w:val="none"/>
        </w:rPr>
      </w:pPr>
      <w:r>
        <w:rPr>
          <w:rFonts w:hint="eastAsia"/>
          <w:b/>
          <w:color w:val="auto"/>
          <w:sz w:val="24"/>
          <w:szCs w:val="24"/>
          <w:highlight w:val="none"/>
        </w:rPr>
        <w:t>二、甲方安全管理责任</w:t>
      </w:r>
    </w:p>
    <w:p w14:paraId="54F1F9F9">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1.贯彻落实国家、地方安全生产法律法规和集团公司及建筑部有关安全生产规章制度，对施工现场安全生产进行全面监督管理。</w:t>
      </w:r>
    </w:p>
    <w:p w14:paraId="20387424">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2.严格审查乙方施工资质、管理人员和特种作业人员资格，合格的复印件（盖红章）归档保存；对不具备施工要求的队伍和人员不允许进入现场施工，并有权向建设单位反映予以处理。</w:t>
      </w:r>
    </w:p>
    <w:p w14:paraId="7ADB9203">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3.对本项目实施统一协调、监控和管理，并按北京城建集团VIS企业形象设计进行施工现场策划布置，施工区、办公区、生活区和现场大门、围挡等统一标准，并监督实施。</w:t>
      </w:r>
    </w:p>
    <w:p w14:paraId="3DB215DA">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4.根据工程特点和安全管理要求，对乙方进行书面安全技术总交底，并提供乙方必须遵守和执行的项目安全生产管理规章制度和要求。</w:t>
      </w:r>
    </w:p>
    <w:p w14:paraId="7CFC50C6">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5.督促乙方组织对作业人员进行安全生产教育、培训、考试，并报甲方备案。</w:t>
      </w:r>
    </w:p>
    <w:p w14:paraId="51DFD031">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6.督促乙方购置合格劳动防护用品，并及时发放和正确佩戴使用个人劳动防护用品。</w:t>
      </w:r>
    </w:p>
    <w:p w14:paraId="4C12E867">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7.提供现场施工生产基本条件（如起重机械、消防设施等），并对乙方使用情况进行监督检查。</w:t>
      </w:r>
    </w:p>
    <w:p w14:paraId="06A6BD5D">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8.提供施工电源，并对乙方临时用电设备、设施进行验收，不合格的责令其清退，并进行监督检查，发现隐患问题，责成乙方及时整改，并按规定处罚。</w:t>
      </w:r>
    </w:p>
    <w:p w14:paraId="2DB1753B">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9.对乙方进入现场的机具、安全防护器材及用品等组织进行验收，不合格责令其清退，严禁投入使用。</w:t>
      </w:r>
    </w:p>
    <w:p w14:paraId="6A0830A3">
      <w:pPr>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10.对多个分包单位在同一现场作业，做好协调和监管工作，并督促各方签订《交叉作业安全管理协议书》。</w:t>
      </w:r>
    </w:p>
    <w:p w14:paraId="26A98A30">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11.对乙方安全生产、文明施工、绿色施工进行监督检查，及时纠正违章、违规、违纪行为，并按照有关规定进行处罚。对乙方存在的重大安全隐患和严重违规行为，责令停工整改，情节严重的有权向建设单位反映予以清退、终止合同。</w:t>
      </w:r>
    </w:p>
    <w:p w14:paraId="3BE9DD43">
      <w:pPr>
        <w:adjustRightInd/>
        <w:spacing w:line="360" w:lineRule="auto"/>
        <w:ind w:left="0" w:leftChars="0" w:firstLine="482" w:firstLineChars="200"/>
        <w:rPr>
          <w:rFonts w:hint="eastAsia"/>
          <w:b/>
          <w:color w:val="auto"/>
          <w:sz w:val="24"/>
          <w:szCs w:val="24"/>
          <w:highlight w:val="none"/>
        </w:rPr>
      </w:pPr>
      <w:r>
        <w:rPr>
          <w:rFonts w:hint="eastAsia"/>
          <w:b/>
          <w:color w:val="auto"/>
          <w:sz w:val="24"/>
          <w:szCs w:val="24"/>
          <w:highlight w:val="none"/>
        </w:rPr>
        <w:t>三、乙方安全管理责任</w:t>
      </w:r>
    </w:p>
    <w:p w14:paraId="197371A2">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1.按投标文件要求及时提供本单位施工资质、安全生产许可证和项目经理、安全管理人员资质及特种作业人员操作证等，分包项目必须与其资质相符，不得将分包工程再次转包。</w:t>
      </w:r>
    </w:p>
    <w:p w14:paraId="19A751B2">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2.贯彻落实国家、地方安全生产法律法规和北京城建集团及建筑部安全生产规章制度，以及甲方项目安全管理规章制度和要求。</w:t>
      </w:r>
    </w:p>
    <w:p w14:paraId="5A547EEE">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3.按规定设置项目安全管理组织机构，服从甲方的统一管理，接受甲方上级和政府部门的安全监督检查。并有权拒绝甲方违章指挥。</w:t>
      </w:r>
    </w:p>
    <w:p w14:paraId="6FF61682">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4.建立健全安全生产责任制和安全生产管理制度及安全管理资料档案，对所管辖区域的安全生产负责。</w:t>
      </w:r>
    </w:p>
    <w:p w14:paraId="422B5A56">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5.施工前要认真勘察施工现场，熟悉现场和周围的作业环境，并按要求编制的施工安全方案，并贯彻实施。</w:t>
      </w:r>
    </w:p>
    <w:p w14:paraId="594B8805">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6.组织对所属进场施工人员进行审核，并按规定签订劳动合同和登记造册。</w:t>
      </w:r>
    </w:p>
    <w:p w14:paraId="1EF85615">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7.组织进行全教育培训、考核，并报甲方备案。</w:t>
      </w:r>
    </w:p>
    <w:p w14:paraId="4D58AB1C">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8.按规定配备相应特种作业人员，上网核实其真实性，并报甲方备案。特种作业人员必须持证上岗。</w:t>
      </w:r>
    </w:p>
    <w:p w14:paraId="47336461">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9.分部分项工程施工前必须对所有作业人员进行书面安全技术交底和班前安全教育等，作业人员必须严格按照安全技术交底和安全操作规程等进行施工作业。</w:t>
      </w:r>
    </w:p>
    <w:p w14:paraId="12B0C552">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10.按规定为进场作业人员配发合格的个人劳动防护用品，并严格督促施工人员正确穿戴和使用劳动防护用品。</w:t>
      </w:r>
    </w:p>
    <w:p w14:paraId="6986CE42">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11.施工作业过程中应按规定设专人旁站监护。高处作业禁止将工具、配件及材料等上下抛掷，楼内作业禁止将垃圾和任何物体从门窗洞口往外扔，交叉作业须甲方批准，落实防护与专人监护，严禁无防护交叉作业。</w:t>
      </w:r>
    </w:p>
    <w:p w14:paraId="130E4955">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12.对施工现场的各类脚手架、支撑体系、安全网、洞口和临边防护设施、安全标志牌及机电、消防设备设施等，严禁擅自拆除、改动。如确实需要拆除改动的，必须向甲方安全管理部报告待批准后方能拆除、改动。且在施工过程中设专人监护，下班或本项工作完工后必须及时恢复原状或做好防护。</w:t>
      </w:r>
    </w:p>
    <w:p w14:paraId="5A25B6EA">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13.编制临时用电施工方案，按规范和方案进行临时用电工程的安装使用，并接受甲方电管人员的统一管理，杜绝私拉乱现象。</w:t>
      </w:r>
    </w:p>
    <w:p w14:paraId="3FE97F1A">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14.自带的施工机械设备、手持电动工具、照明装置、消防器材等必须性能良好，安全防护装置齐全、灵敏、有效，符合规范、标准要求，并负责日常维护保养工作。</w:t>
      </w:r>
    </w:p>
    <w:p w14:paraId="2666081C">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15.按要求做好地下管线、设施和高压架空线路的保护，做好现场安全防护设施和起重机械等保护工作。</w:t>
      </w:r>
    </w:p>
    <w:p w14:paraId="6AB7811C">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16.现场机械设备、临时用电、脚手架等设施，在搭设、安装完成后应按规定组织验收，保存记录，并报甲方备案，严禁在未经验收或验收不合格的情况下投入使用。</w:t>
      </w:r>
    </w:p>
    <w:p w14:paraId="1738C0CF">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17.对所属施工区域进行安全巡查，发现隐患问题及时整改消除，发现非管辖范围内的事故隐患，应及时向甲方报告处理。</w:t>
      </w:r>
    </w:p>
    <w:p w14:paraId="6B4C14A4">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18.负责所辖施工区域内的安全生产、文明施工、绿色施工管理工作，做到活完脚下清、工完场净、日积日清，材料码放有序、现场整洁，保证所辖区域消防通道畅通，实现全面达标。</w:t>
      </w:r>
    </w:p>
    <w:p w14:paraId="19DACAE7">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19.现场发生生产安全事故、火灾事故和机械设备事故等，必须立即向甲方报告，并组织抢救伤员，保护现场，积极配合事故调查处理。</w:t>
      </w:r>
    </w:p>
    <w:p w14:paraId="54187FB7">
      <w:pPr>
        <w:adjustRightInd/>
        <w:spacing w:line="360" w:lineRule="auto"/>
        <w:ind w:left="0" w:leftChars="0" w:firstLine="482" w:firstLineChars="200"/>
        <w:rPr>
          <w:rFonts w:hint="eastAsia"/>
          <w:b/>
          <w:color w:val="auto"/>
          <w:sz w:val="24"/>
          <w:szCs w:val="24"/>
          <w:highlight w:val="none"/>
        </w:rPr>
      </w:pPr>
      <w:r>
        <w:rPr>
          <w:rFonts w:hint="eastAsia"/>
          <w:b/>
          <w:color w:val="auto"/>
          <w:sz w:val="24"/>
          <w:szCs w:val="24"/>
          <w:highlight w:val="none"/>
        </w:rPr>
        <w:t>四、事故处理</w:t>
      </w:r>
    </w:p>
    <w:p w14:paraId="253FEF7A">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1.由于甲方原因造成的生产安全事故、机械设备事故和火灾事故等，由甲方承担事故责任和经济责任。乙方有义务负责处理善后事宜。</w:t>
      </w:r>
    </w:p>
    <w:p w14:paraId="786A0349">
      <w:pPr>
        <w:tabs>
          <w:tab w:val="left" w:pos="36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2.由于乙方原因造成的生产安全事故、机械设备事故和火灾事故等，由乙方承担事故责任和经济责任。甲方协助乙方处理善后事宜。</w:t>
      </w:r>
    </w:p>
    <w:p w14:paraId="433EA4C4">
      <w:pPr>
        <w:tabs>
          <w:tab w:val="left" w:pos="360"/>
          <w:tab w:val="left" w:pos="42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3.由于双方责任造成的生产安全事故、机械设备事故和火灾事故等，根据政府有关部门的责任划分，各自承担相应的事故责任和经济责任。</w:t>
      </w:r>
    </w:p>
    <w:p w14:paraId="6971929C">
      <w:pPr>
        <w:tabs>
          <w:tab w:val="left" w:pos="360"/>
          <w:tab w:val="left" w:pos="42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4.乙方现场发生生产安全事故、机械设备事故和火灾事故后，必须立即向甲方及其上级主管部门报告，迟报或者隐瞒不报的，由乙方承担相应的责任。</w:t>
      </w:r>
    </w:p>
    <w:p w14:paraId="5C4B8F87">
      <w:pPr>
        <w:tabs>
          <w:tab w:val="left" w:pos="360"/>
          <w:tab w:val="left" w:pos="42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5.由于乙方原因被政府部门曝光、处罚和扣分的，给甲方造成不良影响和经济损失的，由乙方承担，甲方有权按规定对乙方进行处罚。</w:t>
      </w:r>
    </w:p>
    <w:p w14:paraId="5F3E079A">
      <w:pPr>
        <w:adjustRightInd/>
        <w:spacing w:line="360" w:lineRule="auto"/>
        <w:ind w:left="0" w:leftChars="0" w:firstLine="482" w:firstLineChars="200"/>
        <w:rPr>
          <w:rFonts w:hint="eastAsia"/>
          <w:b/>
          <w:color w:val="auto"/>
          <w:sz w:val="24"/>
          <w:szCs w:val="24"/>
          <w:highlight w:val="none"/>
        </w:rPr>
      </w:pPr>
      <w:r>
        <w:rPr>
          <w:rFonts w:hint="eastAsia"/>
          <w:b/>
          <w:color w:val="auto"/>
          <w:sz w:val="24"/>
          <w:szCs w:val="24"/>
          <w:highlight w:val="none"/>
        </w:rPr>
        <w:t>五、其它事项：</w:t>
      </w:r>
    </w:p>
    <w:p w14:paraId="1AD94907">
      <w:pPr>
        <w:tabs>
          <w:tab w:val="left" w:pos="360"/>
          <w:tab w:val="left" w:pos="420"/>
        </w:tabs>
        <w:adjustRightInd/>
        <w:spacing w:line="360" w:lineRule="auto"/>
        <w:ind w:firstLine="480" w:firstLineChars="200"/>
        <w:rPr>
          <w:rFonts w:hint="eastAsia"/>
          <w:color w:val="auto"/>
          <w:sz w:val="24"/>
          <w:szCs w:val="24"/>
          <w:highlight w:val="none"/>
        </w:rPr>
      </w:pPr>
      <w:r>
        <w:rPr>
          <w:rFonts w:hint="eastAsia"/>
          <w:color w:val="auto"/>
          <w:sz w:val="24"/>
          <w:szCs w:val="24"/>
          <w:highlight w:val="none"/>
        </w:rPr>
        <w:t>本协议一式五份，建设单位三份，甲、乙双方各执一份，有效期自签字盖章之日起至乙方退场之日止。</w:t>
      </w:r>
    </w:p>
    <w:p w14:paraId="7247937C">
      <w:pPr>
        <w:adjustRightInd/>
        <w:spacing w:line="360" w:lineRule="auto"/>
        <w:ind w:firstLine="480" w:firstLineChars="200"/>
        <w:rPr>
          <w:rFonts w:hint="eastAsia"/>
          <w:color w:val="auto"/>
          <w:sz w:val="24"/>
          <w:highlight w:val="none"/>
        </w:rPr>
      </w:pPr>
    </w:p>
    <w:p w14:paraId="4D1F94DA">
      <w:pPr>
        <w:adjustRightInd/>
        <w:spacing w:line="360" w:lineRule="auto"/>
        <w:ind w:firstLine="480" w:firstLineChars="200"/>
        <w:rPr>
          <w:rFonts w:hint="eastAsia"/>
          <w:color w:val="auto"/>
          <w:sz w:val="24"/>
          <w:highlight w:val="none"/>
        </w:rPr>
      </w:pPr>
    </w:p>
    <w:p w14:paraId="2F57C7C7">
      <w:pPr>
        <w:tabs>
          <w:tab w:val="left" w:pos="993"/>
        </w:tabs>
        <w:adjustRightInd/>
        <w:spacing w:line="360" w:lineRule="auto"/>
        <w:ind w:firstLine="480" w:firstLineChars="200"/>
        <w:rPr>
          <w:rFonts w:cs="Arial"/>
          <w:color w:val="auto"/>
          <w:sz w:val="24"/>
          <w:szCs w:val="24"/>
          <w:highlight w:val="none"/>
        </w:rPr>
      </w:pPr>
      <w:r>
        <w:rPr>
          <w:rFonts w:hint="eastAsia" w:cs="Arial"/>
          <w:color w:val="auto"/>
          <w:sz w:val="24"/>
          <w:szCs w:val="24"/>
          <w:highlight w:val="none"/>
        </w:rPr>
        <w:t>甲方单位</w:t>
      </w:r>
      <w:r>
        <w:rPr>
          <w:rFonts w:cs="Arial"/>
          <w:color w:val="auto"/>
          <w:sz w:val="24"/>
          <w:szCs w:val="24"/>
          <w:highlight w:val="none"/>
        </w:rPr>
        <w:t xml:space="preserve">（章）： </w:t>
      </w:r>
      <w:r>
        <w:rPr>
          <w:rFonts w:hint="eastAsia" w:cs="Arial"/>
          <w:color w:val="auto"/>
          <w:sz w:val="24"/>
          <w:szCs w:val="24"/>
          <w:highlight w:val="none"/>
        </w:rPr>
        <w:t xml:space="preserve">                 乙方单位</w:t>
      </w:r>
      <w:r>
        <w:rPr>
          <w:rFonts w:cs="Arial"/>
          <w:color w:val="auto"/>
          <w:sz w:val="24"/>
          <w:szCs w:val="24"/>
          <w:highlight w:val="none"/>
        </w:rPr>
        <w:t>（ 章）：</w:t>
      </w:r>
    </w:p>
    <w:p w14:paraId="278195A7">
      <w:pPr>
        <w:tabs>
          <w:tab w:val="left" w:pos="993"/>
        </w:tabs>
        <w:adjustRightInd/>
        <w:spacing w:line="360" w:lineRule="auto"/>
        <w:ind w:firstLine="480" w:firstLineChars="200"/>
        <w:rPr>
          <w:rFonts w:hint="eastAsia" w:cs="Arial"/>
          <w:b/>
          <w:color w:val="auto"/>
          <w:sz w:val="24"/>
          <w:szCs w:val="24"/>
          <w:highlight w:val="none"/>
        </w:rPr>
      </w:pPr>
      <w:r>
        <w:rPr>
          <w:rFonts w:cs="Arial"/>
          <w:color w:val="auto"/>
          <w:sz w:val="24"/>
          <w:szCs w:val="24"/>
          <w:highlight w:val="none"/>
        </w:rPr>
        <w:t>法定代</w:t>
      </w:r>
      <w:r>
        <w:rPr>
          <w:rFonts w:hint="eastAsia" w:cs="Arial"/>
          <w:color w:val="auto"/>
          <w:sz w:val="24"/>
          <w:szCs w:val="24"/>
          <w:highlight w:val="none"/>
        </w:rPr>
        <w:t>表人或委托代理人</w:t>
      </w:r>
      <w:r>
        <w:rPr>
          <w:rFonts w:cs="Arial"/>
          <w:color w:val="auto"/>
          <w:sz w:val="24"/>
          <w:szCs w:val="24"/>
          <w:highlight w:val="none"/>
        </w:rPr>
        <w:t>：</w:t>
      </w:r>
      <w:r>
        <w:rPr>
          <w:rFonts w:hint="eastAsia" w:cs="Arial"/>
          <w:color w:val="auto"/>
          <w:sz w:val="24"/>
          <w:szCs w:val="24"/>
          <w:highlight w:val="none"/>
        </w:rPr>
        <w:t xml:space="preserve">          </w:t>
      </w:r>
      <w:r>
        <w:rPr>
          <w:rFonts w:cs="Arial"/>
          <w:color w:val="auto"/>
          <w:sz w:val="24"/>
          <w:szCs w:val="24"/>
          <w:highlight w:val="none"/>
        </w:rPr>
        <w:t>法定代</w:t>
      </w:r>
      <w:r>
        <w:rPr>
          <w:rFonts w:hint="eastAsia" w:cs="Arial"/>
          <w:color w:val="auto"/>
          <w:sz w:val="24"/>
          <w:szCs w:val="24"/>
          <w:highlight w:val="none"/>
        </w:rPr>
        <w:t>表人或委托代理人</w:t>
      </w:r>
      <w:r>
        <w:rPr>
          <w:rFonts w:cs="Arial"/>
          <w:color w:val="auto"/>
          <w:sz w:val="24"/>
          <w:szCs w:val="24"/>
          <w:highlight w:val="none"/>
        </w:rPr>
        <w:t>：</w:t>
      </w:r>
    </w:p>
    <w:p w14:paraId="00B94C60">
      <w:pPr>
        <w:tabs>
          <w:tab w:val="left" w:pos="993"/>
        </w:tabs>
        <w:adjustRightInd/>
        <w:spacing w:line="360" w:lineRule="auto"/>
        <w:ind w:firstLine="480" w:firstLineChars="200"/>
        <w:rPr>
          <w:rFonts w:cs="Arial"/>
          <w:b/>
          <w:color w:val="auto"/>
          <w:sz w:val="24"/>
          <w:szCs w:val="24"/>
          <w:highlight w:val="none"/>
        </w:rPr>
      </w:pPr>
      <w:r>
        <w:rPr>
          <w:rFonts w:hint="eastAsia" w:cs="Arial"/>
          <w:color w:val="auto"/>
          <w:sz w:val="24"/>
          <w:szCs w:val="24"/>
          <w:highlight w:val="none"/>
        </w:rPr>
        <w:t>联系</w:t>
      </w:r>
      <w:r>
        <w:rPr>
          <w:rFonts w:cs="Arial"/>
          <w:color w:val="auto"/>
          <w:sz w:val="24"/>
          <w:szCs w:val="24"/>
          <w:highlight w:val="none"/>
        </w:rPr>
        <w:t xml:space="preserve">电话： </w:t>
      </w:r>
      <w:r>
        <w:rPr>
          <w:rFonts w:hint="eastAsia" w:cs="Arial"/>
          <w:color w:val="auto"/>
          <w:sz w:val="24"/>
          <w:szCs w:val="24"/>
          <w:highlight w:val="none"/>
        </w:rPr>
        <w:t xml:space="preserve">                       联系</w:t>
      </w:r>
      <w:r>
        <w:rPr>
          <w:rFonts w:cs="Arial"/>
          <w:color w:val="auto"/>
          <w:sz w:val="24"/>
          <w:szCs w:val="24"/>
          <w:highlight w:val="none"/>
        </w:rPr>
        <w:t>电话：</w:t>
      </w:r>
    </w:p>
    <w:p w14:paraId="0A36692A">
      <w:pPr>
        <w:tabs>
          <w:tab w:val="left" w:pos="993"/>
        </w:tabs>
        <w:spacing w:line="520" w:lineRule="exact"/>
        <w:ind w:firstLine="124" w:firstLineChars="52"/>
        <w:rPr>
          <w:rFonts w:cs="Arial"/>
          <w:color w:val="auto"/>
          <w:sz w:val="24"/>
          <w:szCs w:val="24"/>
          <w:highlight w:val="none"/>
        </w:rPr>
      </w:pPr>
    </w:p>
    <w:p w14:paraId="152A8DF5">
      <w:pPr>
        <w:tabs>
          <w:tab w:val="left" w:pos="993"/>
        </w:tabs>
        <w:spacing w:line="520" w:lineRule="exact"/>
        <w:ind w:firstLine="560"/>
        <w:rPr>
          <w:rFonts w:cs="Arial"/>
          <w:color w:val="auto"/>
          <w:sz w:val="24"/>
          <w:szCs w:val="24"/>
          <w:highlight w:val="none"/>
        </w:rPr>
      </w:pPr>
    </w:p>
    <w:p w14:paraId="5400BB26">
      <w:pPr>
        <w:tabs>
          <w:tab w:val="left" w:pos="993"/>
        </w:tabs>
        <w:spacing w:line="520" w:lineRule="exact"/>
        <w:ind w:firstLine="560"/>
        <w:rPr>
          <w:rFonts w:ascii="宋体" w:hAnsi="宋体" w:eastAsia="宋体" w:cs="宋体"/>
          <w:color w:val="auto"/>
          <w:sz w:val="24"/>
          <w:highlight w:val="none"/>
        </w:rPr>
        <w:sectPr>
          <w:pgSz w:w="11907" w:h="16840"/>
          <w:pgMar w:top="1247" w:right="1304" w:bottom="1021" w:left="1304" w:header="720" w:footer="720" w:gutter="0"/>
          <w:cols w:space="720" w:num="1"/>
          <w:docGrid w:linePitch="286" w:charSpace="0"/>
        </w:sectPr>
      </w:pPr>
      <w:r>
        <w:rPr>
          <w:rFonts w:cs="Arial"/>
          <w:color w:val="auto"/>
          <w:sz w:val="24"/>
          <w:szCs w:val="24"/>
          <w:highlight w:val="none"/>
        </w:rPr>
        <w:t xml:space="preserve"> </w:t>
      </w:r>
      <w:r>
        <w:rPr>
          <w:rFonts w:hint="eastAsia" w:cs="Arial"/>
          <w:color w:val="auto"/>
          <w:sz w:val="24"/>
          <w:szCs w:val="24"/>
          <w:highlight w:val="none"/>
        </w:rPr>
        <w:t xml:space="preserve">      </w:t>
      </w:r>
      <w:r>
        <w:rPr>
          <w:rFonts w:cs="Arial"/>
          <w:color w:val="auto"/>
          <w:sz w:val="24"/>
          <w:szCs w:val="24"/>
          <w:highlight w:val="none"/>
        </w:rPr>
        <w:t>年</w:t>
      </w:r>
      <w:r>
        <w:rPr>
          <w:rFonts w:hint="eastAsia" w:cs="Arial"/>
          <w:color w:val="auto"/>
          <w:sz w:val="24"/>
          <w:szCs w:val="24"/>
          <w:highlight w:val="none"/>
        </w:rPr>
        <w:t xml:space="preserve"> </w:t>
      </w:r>
      <w:r>
        <w:rPr>
          <w:rFonts w:cs="Arial"/>
          <w:color w:val="auto"/>
          <w:sz w:val="24"/>
          <w:szCs w:val="24"/>
          <w:highlight w:val="none"/>
        </w:rPr>
        <w:t xml:space="preserve"> </w:t>
      </w:r>
      <w:r>
        <w:rPr>
          <w:rFonts w:hint="eastAsia" w:cs="Arial"/>
          <w:color w:val="auto"/>
          <w:sz w:val="24"/>
          <w:szCs w:val="24"/>
          <w:highlight w:val="none"/>
        </w:rPr>
        <w:t xml:space="preserve">  </w:t>
      </w:r>
      <w:r>
        <w:rPr>
          <w:rFonts w:cs="Arial"/>
          <w:color w:val="auto"/>
          <w:sz w:val="24"/>
          <w:szCs w:val="24"/>
          <w:highlight w:val="none"/>
        </w:rPr>
        <w:t>月</w:t>
      </w:r>
      <w:r>
        <w:rPr>
          <w:rFonts w:hint="eastAsia" w:cs="Arial"/>
          <w:color w:val="auto"/>
          <w:sz w:val="24"/>
          <w:szCs w:val="24"/>
          <w:highlight w:val="none"/>
        </w:rPr>
        <w:t xml:space="preserve">   </w:t>
      </w:r>
      <w:r>
        <w:rPr>
          <w:rFonts w:cs="Arial"/>
          <w:color w:val="auto"/>
          <w:sz w:val="24"/>
          <w:szCs w:val="24"/>
          <w:highlight w:val="none"/>
        </w:rPr>
        <w:t xml:space="preserve"> 日 </w:t>
      </w:r>
      <w:r>
        <w:rPr>
          <w:rFonts w:hint="eastAsia" w:cs="Arial"/>
          <w:color w:val="auto"/>
          <w:sz w:val="24"/>
          <w:szCs w:val="24"/>
          <w:highlight w:val="none"/>
        </w:rPr>
        <w:t xml:space="preserve">                </w:t>
      </w:r>
      <w:r>
        <w:rPr>
          <w:rFonts w:cs="Arial"/>
          <w:color w:val="auto"/>
          <w:sz w:val="24"/>
          <w:szCs w:val="24"/>
          <w:highlight w:val="none"/>
        </w:rPr>
        <w:t>年</w:t>
      </w:r>
      <w:r>
        <w:rPr>
          <w:rFonts w:hint="eastAsia" w:cs="Arial"/>
          <w:color w:val="auto"/>
          <w:sz w:val="24"/>
          <w:szCs w:val="24"/>
          <w:highlight w:val="none"/>
        </w:rPr>
        <w:t xml:space="preserve">  </w:t>
      </w:r>
      <w:r>
        <w:rPr>
          <w:rFonts w:cs="Arial"/>
          <w:color w:val="auto"/>
          <w:sz w:val="24"/>
          <w:szCs w:val="24"/>
          <w:highlight w:val="none"/>
        </w:rPr>
        <w:t xml:space="preserve"> </w:t>
      </w:r>
      <w:r>
        <w:rPr>
          <w:rFonts w:hint="eastAsia" w:cs="Arial"/>
          <w:color w:val="auto"/>
          <w:sz w:val="24"/>
          <w:szCs w:val="24"/>
          <w:highlight w:val="none"/>
        </w:rPr>
        <w:t xml:space="preserve"> </w:t>
      </w:r>
      <w:r>
        <w:rPr>
          <w:rFonts w:cs="Arial"/>
          <w:color w:val="auto"/>
          <w:sz w:val="24"/>
          <w:szCs w:val="24"/>
          <w:highlight w:val="none"/>
        </w:rPr>
        <w:t xml:space="preserve">月 </w:t>
      </w:r>
      <w:r>
        <w:rPr>
          <w:rFonts w:hint="eastAsia" w:cs="Arial"/>
          <w:color w:val="auto"/>
          <w:sz w:val="24"/>
          <w:szCs w:val="24"/>
          <w:highlight w:val="none"/>
        </w:rPr>
        <w:t xml:space="preserve">   </w:t>
      </w:r>
      <w:r>
        <w:rPr>
          <w:rFonts w:cs="Arial"/>
          <w:color w:val="auto"/>
          <w:sz w:val="24"/>
          <w:szCs w:val="24"/>
          <w:highlight w:val="none"/>
        </w:rPr>
        <w:t>日</w:t>
      </w:r>
    </w:p>
    <w:p w14:paraId="57BB0514">
      <w:pPr>
        <w:ind w:left="0" w:leftChars="0" w:firstLine="0" w:firstLineChars="0"/>
        <w:rPr>
          <w:sz w:val="24"/>
          <w:highlight w:val="none"/>
        </w:rPr>
      </w:pPr>
    </w:p>
    <w:p w14:paraId="2EB73CC3">
      <w:pPr>
        <w:spacing w:line="640" w:lineRule="exact"/>
        <w:jc w:val="center"/>
        <w:rPr>
          <w:rFonts w:hint="eastAsia" w:ascii="方正小标宋简体" w:hAnsi="方正小标宋简体" w:eastAsia="方正小标宋简体" w:cs="方正公文小标宋"/>
          <w:sz w:val="32"/>
          <w:szCs w:val="32"/>
          <w:highlight w:val="none"/>
          <w:lang w:val="en-US" w:eastAsia="zh-CN"/>
        </w:rPr>
      </w:pPr>
      <w:r>
        <w:rPr>
          <w:rFonts w:hint="eastAsia" w:ascii="方正小标宋简体" w:hAnsi="方正小标宋简体" w:eastAsia="方正小标宋简体" w:cs="方正公文小标宋"/>
          <w:sz w:val="32"/>
          <w:szCs w:val="32"/>
          <w:highlight w:val="none"/>
          <w:lang w:val="en-US" w:eastAsia="zh-CN"/>
        </w:rPr>
        <w:t>垃圾清运处置承诺书</w:t>
      </w:r>
    </w:p>
    <w:p w14:paraId="72CDDD2F">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承诺单位：</w:t>
      </w:r>
      <w:r>
        <w:rPr>
          <w:rFonts w:hint="eastAsia" w:ascii="宋体" w:hAnsi="宋体" w:eastAsia="宋体" w:cs="宋体"/>
          <w:sz w:val="24"/>
          <w:szCs w:val="24"/>
          <w:highlight w:val="none"/>
          <w:u w:val="single"/>
          <w:lang w:val="en-US" w:eastAsia="zh-CN"/>
        </w:rPr>
        <w:t xml:space="preserve">                      </w:t>
      </w:r>
    </w:p>
    <w:p w14:paraId="2A707C6E">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本单位全面负责</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项目相关工作，系本项目垃圾清运处置第一责任主体。为依法规范垃圾清运、运输、处置全流程管理，维护环境与公共安全，郑重作出如下承诺：</w:t>
      </w:r>
    </w:p>
    <w:p w14:paraId="734299FA">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1.自觉遵守《杭州市建筑垃圾管理条例》（2025年5月1日施行）及杭州市建筑垃圾长效管理相关规定，依法合规开展作业。</w:t>
      </w:r>
    </w:p>
    <w:p w14:paraId="5F42CFB6">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2.主动接受城管、住建等执法部门监督检查，发现问题立即整改，及时消除安全与环境隐患。</w:t>
      </w:r>
    </w:p>
    <w:p w14:paraId="118335B6">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3.若违反承诺及相关法律法规，自愿接受停工整改、行政处罚、信用惩戒、取消项目资格等处理，并承担全部责任。</w:t>
      </w:r>
    </w:p>
    <w:p w14:paraId="2B6973CF">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特此承诺</w:t>
      </w:r>
    </w:p>
    <w:p w14:paraId="3924BCB0">
      <w:pPr>
        <w:keepNext w:val="0"/>
        <w:keepLines w:val="0"/>
        <w:pageBreakBefore w:val="0"/>
        <w:kinsoku/>
        <w:wordWrap/>
        <w:overflowPunct/>
        <w:topLinePunct w:val="0"/>
        <w:autoSpaceDE/>
        <w:autoSpaceDN/>
        <w:bidi w:val="0"/>
        <w:adjustRightInd w:val="0"/>
        <w:snapToGrid w:val="0"/>
        <w:spacing w:line="560" w:lineRule="exact"/>
        <w:ind w:firstLine="3120" w:firstLineChars="1300"/>
        <w:textAlignment w:val="auto"/>
        <w:rPr>
          <w:rFonts w:hint="eastAsia" w:ascii="宋体" w:hAnsi="宋体" w:eastAsia="宋体" w:cs="宋体"/>
          <w:sz w:val="24"/>
          <w:szCs w:val="24"/>
          <w:highlight w:val="none"/>
          <w:lang w:val="en-US" w:eastAsia="zh-CN"/>
        </w:rPr>
      </w:pPr>
    </w:p>
    <w:p w14:paraId="3C3E2C52">
      <w:pPr>
        <w:keepNext w:val="0"/>
        <w:keepLines w:val="0"/>
        <w:pageBreakBefore w:val="0"/>
        <w:kinsoku/>
        <w:wordWrap/>
        <w:overflowPunct/>
        <w:topLinePunct w:val="0"/>
        <w:autoSpaceDE/>
        <w:autoSpaceDN/>
        <w:bidi w:val="0"/>
        <w:adjustRightInd w:val="0"/>
        <w:snapToGrid w:val="0"/>
        <w:spacing w:line="560" w:lineRule="exact"/>
        <w:ind w:firstLine="3120" w:firstLineChars="1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承诺单位（盖章）：</w:t>
      </w:r>
    </w:p>
    <w:p w14:paraId="62154EE8">
      <w:pPr>
        <w:keepNext w:val="0"/>
        <w:keepLines w:val="0"/>
        <w:pageBreakBefore w:val="0"/>
        <w:kinsoku/>
        <w:wordWrap/>
        <w:overflowPunct/>
        <w:topLinePunct w:val="0"/>
        <w:autoSpaceDE/>
        <w:autoSpaceDN/>
        <w:bidi w:val="0"/>
        <w:adjustRightInd w:val="0"/>
        <w:snapToGrid w:val="0"/>
        <w:spacing w:line="560" w:lineRule="exact"/>
        <w:ind w:firstLine="1680" w:firstLineChars="7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法定代表人/授权委托人（签字）：</w:t>
      </w:r>
    </w:p>
    <w:p w14:paraId="2DC28495">
      <w:pPr>
        <w:keepNext w:val="0"/>
        <w:keepLines w:val="0"/>
        <w:pageBreakBefore w:val="0"/>
        <w:kinsoku/>
        <w:wordWrap/>
        <w:overflowPunct/>
        <w:topLinePunct w:val="0"/>
        <w:autoSpaceDE/>
        <w:autoSpaceDN/>
        <w:bidi w:val="0"/>
        <w:adjustRightInd w:val="0"/>
        <w:snapToGrid w:val="0"/>
        <w:spacing w:line="560" w:lineRule="exact"/>
        <w:ind w:firstLine="2880" w:firstLineChars="1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时间：    年    月    日 </w:t>
      </w:r>
    </w:p>
    <w:p w14:paraId="10F983B0">
      <w:pPr>
        <w:rPr>
          <w:rFonts w:ascii="宋体" w:hAnsi="宋体" w:cs="宋体"/>
          <w:b/>
          <w:sz w:val="36"/>
          <w:szCs w:val="20"/>
        </w:rPr>
      </w:pPr>
      <w:r>
        <w:rPr>
          <w:rFonts w:hint="eastAsia" w:ascii="宋体" w:hAnsi="宋体" w:cs="宋体"/>
          <w:b/>
          <w:sz w:val="36"/>
          <w:szCs w:val="20"/>
        </w:rPr>
        <w:br w:type="page"/>
      </w:r>
    </w:p>
    <w:p w14:paraId="5F55BCA5">
      <w:pPr>
        <w:spacing w:line="360" w:lineRule="auto"/>
        <w:ind w:left="720" w:firstLine="723" w:firstLineChars="200"/>
        <w:outlineLvl w:val="0"/>
        <w:rPr>
          <w:rFonts w:ascii="宋体" w:hAnsi="宋体" w:cs="宋体"/>
          <w:b/>
          <w:sz w:val="36"/>
          <w:szCs w:val="20"/>
        </w:rPr>
      </w:pPr>
      <w:r>
        <w:rPr>
          <w:rFonts w:hint="eastAsia" w:ascii="宋体" w:hAnsi="宋体" w:cs="宋体"/>
          <w:b/>
          <w:sz w:val="36"/>
          <w:szCs w:val="20"/>
        </w:rPr>
        <w:t>第六部分</w:t>
      </w:r>
      <w:bookmarkEnd w:id="412"/>
      <w:r>
        <w:rPr>
          <w:rFonts w:hint="eastAsia" w:ascii="宋体" w:hAnsi="宋体" w:cs="宋体"/>
          <w:b/>
          <w:sz w:val="36"/>
          <w:szCs w:val="20"/>
        </w:rPr>
        <w:t xml:space="preserve"> </w:t>
      </w:r>
      <w:bookmarkEnd w:id="413"/>
      <w:r>
        <w:rPr>
          <w:rFonts w:hint="eastAsia" w:ascii="宋体" w:hAnsi="宋体" w:cs="宋体"/>
          <w:b/>
          <w:sz w:val="36"/>
          <w:szCs w:val="20"/>
        </w:rPr>
        <w:t>应提交的有关格式范例</w:t>
      </w:r>
    </w:p>
    <w:p w14:paraId="635E12A1">
      <w:pPr>
        <w:spacing w:line="360" w:lineRule="auto"/>
        <w:jc w:val="center"/>
        <w:outlineLvl w:val="0"/>
        <w:rPr>
          <w:rFonts w:ascii="宋体" w:hAnsi="宋体" w:cs="宋体"/>
          <w:b/>
          <w:kern w:val="0"/>
          <w:sz w:val="36"/>
          <w:szCs w:val="36"/>
        </w:rPr>
      </w:pPr>
    </w:p>
    <w:p w14:paraId="4B44640D">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25D7BEA6">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11EA990E">
      <w:pPr>
        <w:spacing w:line="360" w:lineRule="auto"/>
        <w:jc w:val="center"/>
        <w:outlineLvl w:val="0"/>
        <w:rPr>
          <w:rFonts w:ascii="宋体" w:hAnsi="宋体" w:cs="宋体"/>
          <w:b/>
          <w:kern w:val="0"/>
          <w:sz w:val="36"/>
          <w:szCs w:val="36"/>
        </w:rPr>
      </w:pPr>
    </w:p>
    <w:p w14:paraId="035BD701">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34AED3A4">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1DEFE392">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5E818A6E">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49E7B802">
      <w:pPr>
        <w:snapToGrid w:val="0"/>
        <w:spacing w:line="360" w:lineRule="auto"/>
        <w:ind w:firstLine="480" w:firstLineChars="200"/>
        <w:rPr>
          <w:rFonts w:ascii="宋体" w:hAnsi="宋体" w:cs="宋体"/>
          <w:sz w:val="24"/>
        </w:rPr>
      </w:pPr>
    </w:p>
    <w:p w14:paraId="6E8EE91D">
      <w:pPr>
        <w:spacing w:line="360" w:lineRule="auto"/>
        <w:ind w:firstLine="480" w:firstLineChars="200"/>
        <w:rPr>
          <w:rFonts w:ascii="宋体" w:hAnsi="宋体" w:cs="宋体"/>
          <w:sz w:val="24"/>
        </w:rPr>
      </w:pPr>
    </w:p>
    <w:p w14:paraId="5A12C795">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3348B115">
      <w:pPr>
        <w:snapToGrid w:val="0"/>
        <w:spacing w:line="360" w:lineRule="auto"/>
        <w:rPr>
          <w:rFonts w:ascii="宋体" w:hAnsi="宋体" w:cs="宋体"/>
          <w:sz w:val="24"/>
        </w:rPr>
      </w:pPr>
      <w:r>
        <w:rPr>
          <w:rFonts w:hint="eastAsia" w:ascii="宋体" w:hAnsi="宋体" w:cs="宋体"/>
          <w:sz w:val="24"/>
        </w:rPr>
        <w:t>杭州职业技术大学、杭州市公共资源交易中心：</w:t>
      </w:r>
    </w:p>
    <w:p w14:paraId="555984CB">
      <w:pPr>
        <w:snapToGrid w:val="0"/>
        <w:spacing w:line="360" w:lineRule="auto"/>
        <w:ind w:firstLine="480" w:firstLineChars="200"/>
        <w:rPr>
          <w:rFonts w:ascii="宋体" w:hAnsi="宋体" w:cs="宋体"/>
          <w:sz w:val="24"/>
        </w:rPr>
      </w:pPr>
      <w:r>
        <w:rPr>
          <w:rFonts w:hint="eastAsia" w:ascii="宋体" w:hAnsi="宋体" w:cs="宋体"/>
          <w:sz w:val="24"/>
        </w:rPr>
        <w:t>我方参与杭州职业技术大学</w:t>
      </w:r>
      <w:r>
        <w:rPr>
          <w:rFonts w:hint="eastAsia" w:ascii="宋体" w:hAnsi="宋体" w:cs="宋体"/>
          <w:sz w:val="24"/>
          <w:u w:val="single"/>
          <w:lang w:val="en-US" w:eastAsia="zh-CN"/>
        </w:rPr>
        <w:t>新安江校区通用机房</w:t>
      </w:r>
      <w:r>
        <w:rPr>
          <w:rFonts w:hint="eastAsia" w:ascii="宋体" w:hAnsi="宋体" w:cs="宋体"/>
          <w:sz w:val="24"/>
        </w:rPr>
        <w:t>建设项目【招标编号：HZZFCG-2026-074】政府采购活动，郑重承诺：</w:t>
      </w:r>
    </w:p>
    <w:p w14:paraId="41706413">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08E4D5A8">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7B8EAE3B">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37884A10">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5415AE6">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6BF84588">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66DF8E75">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4E4AA5F6">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44C942CD">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4A5C5946">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25539A60">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557D2BBF">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18F8AA84">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C027AE4">
      <w:pPr>
        <w:pStyle w:val="3"/>
      </w:pPr>
    </w:p>
    <w:p w14:paraId="06E77AE6">
      <w:pPr>
        <w:snapToGrid w:val="0"/>
        <w:spacing w:line="360" w:lineRule="auto"/>
        <w:ind w:right="480" w:firstLine="559" w:firstLineChars="233"/>
        <w:jc w:val="left"/>
        <w:rPr>
          <w:rFonts w:ascii="宋体" w:hAnsi="宋体" w:cs="宋体"/>
          <w:b/>
          <w:kern w:val="0"/>
          <w:sz w:val="32"/>
          <w:szCs w:val="32"/>
        </w:rPr>
      </w:pPr>
      <w:r>
        <w:rPr>
          <w:rFonts w:hint="eastAsia" w:ascii="宋体" w:hAnsi="宋体" w:eastAsia="宋体" w:cs="仿宋_GB2312"/>
          <w:sz w:val="24"/>
        </w:rPr>
        <w:t>注：根据《</w:t>
      </w:r>
      <w:r>
        <w:rPr>
          <w:rFonts w:ascii="宋体" w:hAnsi="宋体" w:eastAsia="宋体" w:cs="仿宋_GB2312"/>
          <w:sz w:val="24"/>
        </w:rPr>
        <w:t>关于规范政府采购供应商资格设定及资格审查的通知</w:t>
      </w:r>
      <w:r>
        <w:rPr>
          <w:rFonts w:hint="eastAsia" w:ascii="宋体" w:hAnsi="宋体" w:eastAsia="宋体" w:cs="仿宋_GB2312"/>
          <w:sz w:val="24"/>
        </w:rPr>
        <w:t>》（</w:t>
      </w:r>
      <w:r>
        <w:rPr>
          <w:rFonts w:ascii="宋体" w:hAnsi="宋体" w:eastAsia="宋体" w:cs="仿宋_GB2312"/>
          <w:sz w:val="24"/>
        </w:rPr>
        <w:t>浙财采监[2013]24号</w:t>
      </w:r>
      <w:r>
        <w:rPr>
          <w:rFonts w:hint="eastAsia" w:ascii="宋体" w:hAnsi="宋体" w:eastAsia="宋体" w:cs="仿宋_GB2312"/>
          <w:sz w:val="24"/>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sz w:val="24"/>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5E533468">
      <w:pPr>
        <w:rPr>
          <w:rFonts w:ascii="宋体" w:hAnsi="宋体" w:cs="宋体"/>
        </w:rPr>
      </w:pPr>
    </w:p>
    <w:p w14:paraId="6E7B2BF4">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5FD904B9">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3E44D2BB">
      <w:pPr>
        <w:snapToGrid w:val="0"/>
        <w:spacing w:line="360" w:lineRule="auto"/>
        <w:ind w:right="480"/>
        <w:jc w:val="center"/>
        <w:rPr>
          <w:rFonts w:ascii="宋体" w:hAnsi="宋体" w:cs="宋体"/>
          <w:b/>
          <w:kern w:val="0"/>
          <w:sz w:val="32"/>
          <w:szCs w:val="32"/>
        </w:rPr>
      </w:pPr>
    </w:p>
    <w:p w14:paraId="1E06ED42">
      <w:pPr>
        <w:snapToGrid w:val="0"/>
        <w:spacing w:line="360" w:lineRule="auto"/>
        <w:ind w:right="480"/>
        <w:jc w:val="center"/>
        <w:rPr>
          <w:rFonts w:ascii="宋体" w:hAnsi="宋体" w:cs="宋体"/>
          <w:b/>
          <w:kern w:val="0"/>
          <w:sz w:val="32"/>
          <w:szCs w:val="32"/>
        </w:rPr>
      </w:pPr>
    </w:p>
    <w:p w14:paraId="79EBD20D">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三、落实政府采购政策需满足的资格要求（如果有）</w:t>
      </w:r>
    </w:p>
    <w:p w14:paraId="20E9733B">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67E2D585">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.专门面向中小企业，货物全部由符合政策要求的中小企业（或小微企业）制造的，提供相应的中小企业声明函（附件</w:t>
      </w:r>
      <w:r>
        <w:rPr>
          <w:rFonts w:ascii="宋体" w:hAnsi="宋体" w:cs="宋体"/>
          <w:sz w:val="24"/>
        </w:rPr>
        <w:t>7</w:t>
      </w:r>
      <w:r>
        <w:rPr>
          <w:rFonts w:hint="eastAsia" w:ascii="宋体" w:hAnsi="宋体" w:cs="宋体"/>
          <w:sz w:val="24"/>
        </w:rPr>
        <w:t xml:space="preserve">）。 </w:t>
      </w:r>
    </w:p>
    <w:p w14:paraId="2C448CAB">
      <w:pPr>
        <w:widowControl/>
        <w:spacing w:line="360" w:lineRule="auto"/>
        <w:ind w:firstLine="480"/>
        <w:jc w:val="left"/>
        <w:rPr>
          <w:rFonts w:ascii="宋体" w:hAnsi="宋体" w:cs="宋体"/>
          <w:sz w:val="24"/>
        </w:rPr>
      </w:pPr>
    </w:p>
    <w:p w14:paraId="36F71070">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），联合协议中，中小企业合同金额应当达到招标公告载明的比例；如果供应商提供的所有标的均由中小企业制造的，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无需再与其他中小企业组成联合体参加政府采购活动，无需提供联合协议。</w:t>
      </w:r>
    </w:p>
    <w:p w14:paraId="76E11B24">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0F5A118B">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），分包意向协议中，中小企业合同金额应当达到招标公告载明的比例；如果供应商提供的所有标的均由中小企业制造的，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无需再向中小企业分包，无需提供分包意向协议。</w:t>
      </w:r>
    </w:p>
    <w:p w14:paraId="3DFC4DB5">
      <w:pPr>
        <w:widowControl/>
        <w:spacing w:line="360" w:lineRule="auto"/>
        <w:ind w:left="150"/>
        <w:jc w:val="center"/>
        <w:rPr>
          <w:rFonts w:ascii="宋体" w:hAnsi="宋体" w:cs="宋体"/>
          <w:b/>
          <w:kern w:val="0"/>
          <w:sz w:val="32"/>
          <w:szCs w:val="32"/>
        </w:rPr>
      </w:pPr>
    </w:p>
    <w:p w14:paraId="2FA16BB7">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四、本项目的特定资格要求（如果有）</w:t>
      </w:r>
    </w:p>
    <w:p w14:paraId="71376744">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4C9F5CA7">
      <w:pPr>
        <w:rPr>
          <w:rFonts w:ascii="宋体" w:hAnsi="宋体" w:cs="宋体"/>
        </w:rPr>
      </w:pPr>
    </w:p>
    <w:p w14:paraId="7B5986A6">
      <w:pPr>
        <w:widowControl/>
        <w:adjustRightInd/>
        <w:jc w:val="left"/>
        <w:rPr>
          <w:rFonts w:ascii="宋体" w:hAnsi="宋体" w:cs="宋体"/>
          <w:b/>
          <w:kern w:val="0"/>
          <w:sz w:val="32"/>
          <w:szCs w:val="32"/>
        </w:rPr>
      </w:pPr>
      <w:r>
        <w:rPr>
          <w:rFonts w:ascii="宋体" w:hAnsi="宋体" w:cs="宋体"/>
          <w:b/>
          <w:kern w:val="0"/>
          <w:sz w:val="32"/>
          <w:szCs w:val="32"/>
        </w:rPr>
        <w:br w:type="page"/>
      </w:r>
    </w:p>
    <w:p w14:paraId="634EA5F7">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370B8F70">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14:paraId="103912AE">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41D7E01D">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12B28F4E">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4F6042EE">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14:paraId="4F8B3FAF">
      <w:pPr>
        <w:snapToGrid w:val="0"/>
        <w:spacing w:line="360" w:lineRule="auto"/>
        <w:ind w:left="479" w:leftChars="228"/>
        <w:rPr>
          <w:rFonts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14:paraId="635F384D">
      <w:pPr>
        <w:snapToGrid w:val="0"/>
        <w:spacing w:line="360" w:lineRule="auto"/>
        <w:jc w:val="center"/>
        <w:rPr>
          <w:rFonts w:ascii="宋体" w:hAnsi="宋体" w:cs="宋体"/>
          <w:b/>
          <w:kern w:val="0"/>
          <w:sz w:val="32"/>
          <w:szCs w:val="32"/>
          <w:lang w:val="zh-CN"/>
        </w:rPr>
      </w:pPr>
    </w:p>
    <w:p w14:paraId="33B74033">
      <w:pPr>
        <w:snapToGrid w:val="0"/>
        <w:spacing w:line="360" w:lineRule="auto"/>
        <w:jc w:val="center"/>
        <w:rPr>
          <w:rFonts w:ascii="宋体" w:hAnsi="宋体" w:cs="宋体"/>
          <w:b/>
          <w:kern w:val="0"/>
          <w:sz w:val="32"/>
          <w:szCs w:val="32"/>
          <w:lang w:val="zh-CN"/>
        </w:rPr>
      </w:pPr>
    </w:p>
    <w:p w14:paraId="0E8B8699">
      <w:pPr>
        <w:snapToGrid w:val="0"/>
        <w:spacing w:line="360" w:lineRule="auto"/>
        <w:jc w:val="center"/>
        <w:rPr>
          <w:rFonts w:ascii="宋体" w:hAnsi="宋体" w:cs="宋体"/>
          <w:b/>
          <w:kern w:val="0"/>
          <w:sz w:val="32"/>
          <w:szCs w:val="32"/>
          <w:lang w:val="zh-CN"/>
        </w:rPr>
      </w:pPr>
    </w:p>
    <w:p w14:paraId="0B4B3247">
      <w:pPr>
        <w:snapToGrid w:val="0"/>
        <w:spacing w:line="360" w:lineRule="auto"/>
        <w:jc w:val="center"/>
        <w:rPr>
          <w:rFonts w:ascii="宋体" w:hAnsi="宋体" w:cs="宋体"/>
          <w:b/>
          <w:kern w:val="0"/>
          <w:sz w:val="32"/>
          <w:szCs w:val="32"/>
          <w:lang w:val="zh-CN"/>
        </w:rPr>
      </w:pPr>
    </w:p>
    <w:p w14:paraId="7FBD13C0">
      <w:pPr>
        <w:snapToGrid w:val="0"/>
        <w:spacing w:line="360" w:lineRule="auto"/>
        <w:jc w:val="center"/>
        <w:rPr>
          <w:rFonts w:ascii="宋体" w:hAnsi="宋体" w:cs="宋体"/>
          <w:b/>
          <w:kern w:val="0"/>
          <w:sz w:val="32"/>
          <w:szCs w:val="32"/>
          <w:lang w:val="zh-CN"/>
        </w:rPr>
      </w:pPr>
    </w:p>
    <w:p w14:paraId="2A749266">
      <w:pPr>
        <w:snapToGrid w:val="0"/>
        <w:spacing w:line="360" w:lineRule="auto"/>
        <w:jc w:val="center"/>
        <w:outlineLvl w:val="0"/>
        <w:rPr>
          <w:rFonts w:ascii="宋体" w:hAnsi="宋体" w:cs="宋体"/>
          <w:b/>
          <w:kern w:val="0"/>
          <w:sz w:val="32"/>
          <w:szCs w:val="32"/>
        </w:rPr>
      </w:pPr>
    </w:p>
    <w:p w14:paraId="7EC9F393">
      <w:pPr>
        <w:snapToGrid w:val="0"/>
        <w:spacing w:line="360" w:lineRule="auto"/>
        <w:jc w:val="center"/>
        <w:outlineLvl w:val="0"/>
        <w:rPr>
          <w:rFonts w:ascii="宋体" w:hAnsi="宋体" w:cs="宋体"/>
          <w:b/>
          <w:kern w:val="0"/>
          <w:sz w:val="32"/>
          <w:szCs w:val="32"/>
        </w:rPr>
      </w:pPr>
    </w:p>
    <w:p w14:paraId="309291CB">
      <w:pPr>
        <w:rPr>
          <w:rFonts w:ascii="宋体" w:hAnsi="宋体" w:cs="宋体"/>
        </w:rPr>
      </w:pPr>
    </w:p>
    <w:p w14:paraId="5F592D8A">
      <w:pPr>
        <w:snapToGrid w:val="0"/>
        <w:spacing w:line="360" w:lineRule="auto"/>
        <w:jc w:val="center"/>
        <w:outlineLvl w:val="0"/>
        <w:rPr>
          <w:rFonts w:ascii="宋体" w:hAnsi="宋体" w:cs="宋体"/>
          <w:b/>
          <w:kern w:val="0"/>
          <w:sz w:val="32"/>
          <w:szCs w:val="32"/>
        </w:rPr>
      </w:pPr>
    </w:p>
    <w:p w14:paraId="4376CE09">
      <w:pPr>
        <w:snapToGrid w:val="0"/>
        <w:spacing w:line="360" w:lineRule="auto"/>
        <w:jc w:val="center"/>
        <w:outlineLvl w:val="0"/>
        <w:rPr>
          <w:rFonts w:ascii="宋体" w:hAnsi="宋体" w:cs="宋体"/>
          <w:b/>
          <w:kern w:val="0"/>
          <w:sz w:val="32"/>
          <w:szCs w:val="32"/>
        </w:rPr>
      </w:pPr>
    </w:p>
    <w:p w14:paraId="07BA2BFD">
      <w:pPr>
        <w:pStyle w:val="3"/>
        <w:rPr>
          <w:lang w:val="en-US"/>
        </w:rPr>
      </w:pPr>
    </w:p>
    <w:p w14:paraId="6C1A72FC"/>
    <w:p w14:paraId="33FE40A7">
      <w:pPr>
        <w:snapToGrid w:val="0"/>
        <w:spacing w:line="360" w:lineRule="auto"/>
        <w:ind w:firstLine="3855" w:firstLineChars="1200"/>
        <w:outlineLvl w:val="0"/>
        <w:rPr>
          <w:rFonts w:ascii="宋体" w:hAnsi="宋体" w:cs="宋体"/>
          <w:b/>
          <w:kern w:val="0"/>
          <w:sz w:val="32"/>
          <w:szCs w:val="32"/>
        </w:rPr>
      </w:pPr>
    </w:p>
    <w:p w14:paraId="4D9C8F82">
      <w:pPr>
        <w:snapToGrid w:val="0"/>
        <w:spacing w:line="360" w:lineRule="auto"/>
        <w:ind w:firstLine="3855" w:firstLineChars="1200"/>
        <w:outlineLvl w:val="0"/>
        <w:rPr>
          <w:rFonts w:ascii="宋体" w:hAnsi="宋体" w:cs="宋体"/>
          <w:b/>
          <w:kern w:val="0"/>
          <w:sz w:val="32"/>
          <w:szCs w:val="32"/>
        </w:rPr>
      </w:pPr>
    </w:p>
    <w:p w14:paraId="42B998B7">
      <w:pPr>
        <w:snapToGrid w:val="0"/>
        <w:spacing w:line="360" w:lineRule="auto"/>
        <w:ind w:firstLine="3855" w:firstLineChars="1200"/>
        <w:outlineLvl w:val="0"/>
        <w:rPr>
          <w:rFonts w:ascii="宋体" w:hAnsi="宋体" w:cs="宋体"/>
          <w:b/>
          <w:kern w:val="0"/>
          <w:sz w:val="32"/>
          <w:szCs w:val="32"/>
        </w:rPr>
      </w:pPr>
    </w:p>
    <w:p w14:paraId="690C9630">
      <w:pPr>
        <w:widowControl/>
        <w:adjustRightInd/>
        <w:jc w:val="left"/>
        <w:rPr>
          <w:rFonts w:ascii="宋体" w:hAnsi="宋体" w:cs="宋体"/>
          <w:b/>
          <w:kern w:val="0"/>
          <w:sz w:val="32"/>
          <w:szCs w:val="32"/>
        </w:rPr>
      </w:pPr>
      <w:r>
        <w:rPr>
          <w:rFonts w:ascii="宋体" w:hAnsi="宋体" w:cs="宋体"/>
          <w:b/>
          <w:kern w:val="0"/>
          <w:sz w:val="32"/>
          <w:szCs w:val="32"/>
        </w:rPr>
        <w:br w:type="page"/>
      </w:r>
    </w:p>
    <w:p w14:paraId="68F5C37E">
      <w:pPr>
        <w:snapToGrid w:val="0"/>
        <w:spacing w:line="360" w:lineRule="auto"/>
        <w:ind w:firstLine="3855" w:firstLineChars="1200"/>
        <w:outlineLvl w:val="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482596BC">
      <w:pPr>
        <w:snapToGrid w:val="0"/>
        <w:spacing w:line="360" w:lineRule="auto"/>
        <w:rPr>
          <w:rFonts w:ascii="宋体" w:hAnsi="宋体" w:cs="宋体"/>
          <w:sz w:val="24"/>
        </w:rPr>
      </w:pPr>
      <w:r>
        <w:rPr>
          <w:rFonts w:hint="eastAsia" w:ascii="宋体" w:hAnsi="宋体" w:cs="宋体"/>
          <w:sz w:val="24"/>
        </w:rPr>
        <w:t>杭州职业技术大学、杭州市公共资源交易中心：</w:t>
      </w:r>
    </w:p>
    <w:p w14:paraId="01A9CBF6">
      <w:pPr>
        <w:snapToGrid w:val="0"/>
        <w:spacing w:line="360" w:lineRule="auto"/>
        <w:ind w:firstLine="480" w:firstLineChars="200"/>
        <w:rPr>
          <w:rFonts w:ascii="宋体" w:hAnsi="宋体" w:cs="宋体"/>
          <w:sz w:val="24"/>
        </w:rPr>
      </w:pPr>
      <w:r>
        <w:rPr>
          <w:rFonts w:hint="eastAsia" w:ascii="宋体" w:hAnsi="宋体" w:cs="宋体"/>
          <w:sz w:val="24"/>
        </w:rPr>
        <w:t>我方参加你方组织的杭州职业技术大学</w:t>
      </w:r>
      <w:r>
        <w:rPr>
          <w:rFonts w:hint="eastAsia" w:ascii="宋体" w:hAnsi="宋体" w:cs="宋体"/>
          <w:sz w:val="24"/>
          <w:u w:val="single"/>
          <w:lang w:val="en-US" w:eastAsia="zh-CN"/>
        </w:rPr>
        <w:t>新安江校区通用机房</w:t>
      </w:r>
      <w:r>
        <w:rPr>
          <w:rFonts w:hint="eastAsia" w:ascii="宋体" w:hAnsi="宋体" w:cs="宋体"/>
          <w:sz w:val="24"/>
        </w:rPr>
        <w:t>建设项目【招标编号：HZZFCG-2026-074】招标的有关活动，并对此项目进行投标。为此：</w:t>
      </w:r>
    </w:p>
    <w:p w14:paraId="1D213E33">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1EC43E35">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7516C0F4">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7F0A9B20">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32C7530E">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联合协议（如果有)；</w:t>
      </w:r>
    </w:p>
    <w:p w14:paraId="4119FE89">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48F34007">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31347F94">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1908548C">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332CF240">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373BFABA">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69B63BF7">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14:paraId="767B7778">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p>
    <w:p w14:paraId="252646AE">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w:t>
      </w:r>
    </w:p>
    <w:p w14:paraId="2726ED32">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079C9B80">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254EA2E0">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61CFEB43">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14:paraId="2174FAAB">
      <w:pPr>
        <w:snapToGrid w:val="0"/>
        <w:spacing w:line="360" w:lineRule="auto"/>
        <w:ind w:left="420" w:leftChars="200" w:firstLine="480" w:firstLineChars="200"/>
        <w:rPr>
          <w:rFonts w:ascii="宋体" w:hAnsi="宋体" w:cs="宋体"/>
          <w:sz w:val="24"/>
        </w:rPr>
      </w:pPr>
      <w:r>
        <w:rPr>
          <w:rFonts w:hint="eastAsia" w:ascii="宋体" w:hAnsi="宋体" w:cs="宋体"/>
          <w:sz w:val="24"/>
        </w:rPr>
        <w:t>2.3.2关于符合本国产品标准的声明函</w:t>
      </w:r>
      <w:r>
        <w:rPr>
          <w:rFonts w:hint="eastAsia" w:ascii="宋体" w:hAnsi="宋体" w:cs="宋体"/>
          <w:bCs/>
          <w:sz w:val="24"/>
        </w:rPr>
        <w:t>或财政部会同有关部门规定的有关证明文件</w:t>
      </w:r>
      <w:r>
        <w:rPr>
          <w:rFonts w:hint="eastAsia" w:ascii="宋体" w:hAnsi="宋体" w:cs="宋体"/>
          <w:sz w:val="24"/>
        </w:rPr>
        <w:t>（如果有）；</w:t>
      </w:r>
    </w:p>
    <w:p w14:paraId="5DF3B16E">
      <w:pPr>
        <w:snapToGrid w:val="0"/>
        <w:spacing w:line="360" w:lineRule="auto"/>
        <w:ind w:left="420" w:leftChars="200" w:firstLine="480" w:firstLineChars="200"/>
        <w:rPr>
          <w:rFonts w:ascii="宋体" w:hAnsi="宋体" w:cs="宋体"/>
          <w:sz w:val="24"/>
        </w:rPr>
      </w:pPr>
      <w:r>
        <w:rPr>
          <w:rFonts w:hint="eastAsia" w:ascii="宋体" w:hAnsi="宋体" w:cs="宋体"/>
          <w:sz w:val="24"/>
        </w:rPr>
        <w:t>2.3.3中小企业声明函（如果有）。</w:t>
      </w:r>
    </w:p>
    <w:p w14:paraId="0D75B93D">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3、我方承诺除商务技术偏离表列出的偏离外，我方响应招标文件的全部要求。对投标文件中材料的真实性、合法性负责，积极配合采购人复核投标文件中的资料。</w:t>
      </w:r>
    </w:p>
    <w:p w14:paraId="76ABEDC3">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70998875">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38CAF650">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4A202043">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3EEFDE2C">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3D123F74">
      <w:pPr>
        <w:numPr>
          <w:ilvl w:val="0"/>
          <w:numId w:val="10"/>
        </w:numPr>
        <w:spacing w:line="360" w:lineRule="auto"/>
        <w:ind w:firstLine="480" w:firstLineChars="200"/>
        <w:rPr>
          <w:rFonts w:ascii="宋体" w:hAnsi="宋体" w:cs="宋体"/>
          <w:sz w:val="24"/>
          <w:shd w:val="clear" w:color="auto" w:fill="FFFFFF"/>
        </w:rPr>
      </w:pPr>
      <w:r>
        <w:rPr>
          <w:rFonts w:hint="eastAsia" w:ascii="宋体" w:hAnsi="宋体" w:cs="宋体"/>
          <w:sz w:val="24"/>
        </w:rPr>
        <w:t>对</w:t>
      </w:r>
      <w:r>
        <w:rPr>
          <w:rFonts w:hint="eastAsia" w:ascii="宋体" w:hAnsi="宋体" w:cs="宋体"/>
          <w:sz w:val="24"/>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60656ECD">
      <w:pPr>
        <w:snapToGrid w:val="0"/>
        <w:spacing w:line="360" w:lineRule="auto"/>
        <w:ind w:left="210" w:leftChars="100" w:firstLine="480" w:firstLineChars="200"/>
        <w:rPr>
          <w:rFonts w:ascii="宋体" w:hAnsi="宋体" w:cs="宋体"/>
          <w:sz w:val="24"/>
        </w:rPr>
      </w:pPr>
      <w:r>
        <w:rPr>
          <w:rFonts w:hint="eastAsia" w:ascii="宋体" w:hAnsi="宋体" w:cs="宋体"/>
          <w:sz w:val="24"/>
        </w:rPr>
        <w:t>6、其他补充说明:</w:t>
      </w:r>
      <w:r>
        <w:rPr>
          <w:rFonts w:hint="eastAsia" w:ascii="宋体" w:hAnsi="宋体" w:cs="宋体"/>
          <w:sz w:val="24"/>
          <w:u w:val="single"/>
        </w:rPr>
        <w:t xml:space="preserve">                                        </w:t>
      </w:r>
      <w:r>
        <w:rPr>
          <w:rFonts w:hint="eastAsia" w:ascii="宋体" w:hAnsi="宋体" w:cs="宋体"/>
          <w:sz w:val="24"/>
        </w:rPr>
        <w:t>。</w:t>
      </w:r>
    </w:p>
    <w:p w14:paraId="02AA9AFE">
      <w:pPr>
        <w:spacing w:line="360" w:lineRule="auto"/>
        <w:ind w:firstLine="3600" w:firstLineChars="1500"/>
        <w:rPr>
          <w:rFonts w:ascii="宋体" w:hAnsi="宋体" w:cs="宋体"/>
          <w:sz w:val="24"/>
        </w:rPr>
      </w:pPr>
      <w:r>
        <w:rPr>
          <w:rFonts w:hint="eastAsia" w:ascii="宋体" w:hAnsi="宋体" w:cs="宋体"/>
          <w:sz w:val="24"/>
        </w:rPr>
        <w:t xml:space="preserve">投标人名称（电子签名）：                          </w:t>
      </w:r>
    </w:p>
    <w:p w14:paraId="6A9B0496">
      <w:pPr>
        <w:spacing w:line="360" w:lineRule="auto"/>
        <w:jc w:val="center"/>
        <w:rPr>
          <w:rFonts w:ascii="宋体" w:hAnsi="宋体" w:cs="宋体"/>
          <w:sz w:val="24"/>
        </w:rPr>
      </w:pPr>
      <w:r>
        <w:rPr>
          <w:rFonts w:hint="eastAsia" w:ascii="宋体" w:hAnsi="宋体" w:cs="宋体"/>
          <w:sz w:val="24"/>
        </w:rPr>
        <w:t xml:space="preserve">     日期：  年   月   日</w:t>
      </w:r>
    </w:p>
    <w:p w14:paraId="1DCC23D1">
      <w:pPr>
        <w:snapToGrid w:val="0"/>
        <w:spacing w:line="360" w:lineRule="auto"/>
        <w:ind w:left="420" w:leftChars="200" w:firstLine="4200" w:firstLineChars="1750"/>
        <w:rPr>
          <w:rFonts w:ascii="宋体" w:hAnsi="宋体" w:cs="宋体"/>
          <w:kern w:val="0"/>
          <w:sz w:val="24"/>
          <w:u w:val="single"/>
        </w:rPr>
      </w:pPr>
    </w:p>
    <w:p w14:paraId="5BB40E36">
      <w:pPr>
        <w:spacing w:line="360" w:lineRule="auto"/>
        <w:ind w:right="420"/>
        <w:rPr>
          <w:rFonts w:ascii="宋体" w:hAnsi="宋体" w:cs="宋体"/>
          <w:sz w:val="24"/>
        </w:rPr>
      </w:pPr>
      <w:r>
        <w:rPr>
          <w:rFonts w:hint="eastAsia" w:ascii="宋体" w:hAnsi="宋体" w:cs="宋体"/>
          <w:sz w:val="24"/>
        </w:rPr>
        <w:t>注：按本格式和要求提供。</w:t>
      </w:r>
    </w:p>
    <w:p w14:paraId="399D3A1A">
      <w:pPr>
        <w:snapToGrid w:val="0"/>
        <w:spacing w:line="360" w:lineRule="auto"/>
        <w:jc w:val="center"/>
        <w:rPr>
          <w:rFonts w:ascii="宋体" w:hAnsi="宋体" w:cs="宋体"/>
          <w:b/>
          <w:kern w:val="0"/>
          <w:sz w:val="32"/>
          <w:szCs w:val="32"/>
        </w:rPr>
      </w:pPr>
    </w:p>
    <w:p w14:paraId="7C537BA6">
      <w:pPr>
        <w:snapToGrid w:val="0"/>
        <w:spacing w:line="360" w:lineRule="auto"/>
        <w:rPr>
          <w:rFonts w:ascii="宋体" w:hAnsi="宋体" w:cs="宋体"/>
          <w:sz w:val="24"/>
        </w:rPr>
      </w:pPr>
    </w:p>
    <w:p w14:paraId="683A3F78">
      <w:pPr>
        <w:jc w:val="center"/>
        <w:rPr>
          <w:rFonts w:ascii="宋体" w:hAnsi="宋体" w:cs="宋体"/>
          <w:b/>
          <w:kern w:val="0"/>
          <w:sz w:val="32"/>
          <w:szCs w:val="32"/>
        </w:rPr>
      </w:pPr>
    </w:p>
    <w:p w14:paraId="1563FE4C">
      <w:pPr>
        <w:jc w:val="center"/>
        <w:rPr>
          <w:rFonts w:ascii="宋体" w:hAnsi="宋体" w:cs="宋体"/>
          <w:b/>
          <w:kern w:val="0"/>
          <w:sz w:val="32"/>
          <w:szCs w:val="32"/>
        </w:rPr>
      </w:pPr>
    </w:p>
    <w:p w14:paraId="5EA6A54C">
      <w:pPr>
        <w:jc w:val="center"/>
        <w:rPr>
          <w:rFonts w:ascii="宋体" w:hAnsi="宋体" w:cs="宋体"/>
          <w:b/>
          <w:kern w:val="0"/>
          <w:sz w:val="32"/>
          <w:szCs w:val="32"/>
        </w:rPr>
      </w:pPr>
    </w:p>
    <w:p w14:paraId="390391EE">
      <w:pPr>
        <w:jc w:val="center"/>
        <w:rPr>
          <w:rFonts w:ascii="宋体" w:hAnsi="宋体" w:cs="宋体"/>
          <w:b/>
          <w:kern w:val="0"/>
          <w:sz w:val="32"/>
          <w:szCs w:val="32"/>
        </w:rPr>
      </w:pPr>
    </w:p>
    <w:p w14:paraId="1ECC0486">
      <w:pPr>
        <w:jc w:val="center"/>
        <w:rPr>
          <w:rFonts w:ascii="宋体" w:hAnsi="宋体" w:cs="宋体"/>
          <w:b/>
          <w:kern w:val="0"/>
          <w:sz w:val="32"/>
          <w:szCs w:val="32"/>
        </w:rPr>
      </w:pPr>
    </w:p>
    <w:p w14:paraId="567DA3D3">
      <w:pPr>
        <w:jc w:val="center"/>
        <w:rPr>
          <w:rFonts w:ascii="宋体" w:hAnsi="宋体" w:cs="宋体"/>
          <w:b/>
          <w:kern w:val="0"/>
          <w:sz w:val="32"/>
          <w:szCs w:val="32"/>
        </w:rPr>
      </w:pPr>
    </w:p>
    <w:p w14:paraId="236032CB">
      <w:pPr>
        <w:jc w:val="center"/>
        <w:rPr>
          <w:rFonts w:ascii="宋体" w:hAnsi="宋体" w:cs="宋体"/>
          <w:b/>
          <w:kern w:val="0"/>
          <w:sz w:val="32"/>
          <w:szCs w:val="32"/>
        </w:rPr>
      </w:pPr>
    </w:p>
    <w:p w14:paraId="6296AE0D">
      <w:pPr>
        <w:jc w:val="center"/>
        <w:rPr>
          <w:rFonts w:ascii="宋体" w:hAnsi="宋体" w:cs="宋体"/>
          <w:b/>
          <w:kern w:val="0"/>
          <w:sz w:val="32"/>
          <w:szCs w:val="32"/>
        </w:rPr>
      </w:pPr>
    </w:p>
    <w:p w14:paraId="20E9BBFE">
      <w:pPr>
        <w:jc w:val="center"/>
        <w:rPr>
          <w:rFonts w:ascii="宋体" w:hAnsi="宋体" w:cs="宋体"/>
          <w:b/>
          <w:kern w:val="0"/>
          <w:sz w:val="32"/>
          <w:szCs w:val="32"/>
        </w:rPr>
      </w:pPr>
    </w:p>
    <w:p w14:paraId="2AC2A7F0">
      <w:pPr>
        <w:jc w:val="center"/>
        <w:rPr>
          <w:rFonts w:ascii="宋体" w:hAnsi="宋体" w:cs="宋体"/>
          <w:b/>
          <w:kern w:val="0"/>
          <w:sz w:val="32"/>
          <w:szCs w:val="32"/>
        </w:rPr>
      </w:pPr>
    </w:p>
    <w:p w14:paraId="3535A9AD">
      <w:pPr>
        <w:jc w:val="center"/>
        <w:rPr>
          <w:rFonts w:ascii="宋体" w:hAnsi="宋体" w:cs="宋体"/>
          <w:b/>
          <w:kern w:val="0"/>
          <w:sz w:val="32"/>
          <w:szCs w:val="32"/>
        </w:rPr>
      </w:pPr>
    </w:p>
    <w:p w14:paraId="31E07B23">
      <w:pPr>
        <w:jc w:val="center"/>
        <w:rPr>
          <w:rFonts w:ascii="宋体" w:hAnsi="宋体" w:cs="宋体"/>
          <w:b/>
          <w:kern w:val="0"/>
          <w:sz w:val="32"/>
          <w:szCs w:val="32"/>
        </w:rPr>
      </w:pPr>
    </w:p>
    <w:p w14:paraId="533426E4">
      <w:pPr>
        <w:jc w:val="center"/>
        <w:rPr>
          <w:rFonts w:ascii="宋体" w:hAnsi="宋体" w:cs="宋体"/>
          <w:b/>
          <w:kern w:val="0"/>
          <w:sz w:val="32"/>
          <w:szCs w:val="32"/>
        </w:rPr>
      </w:pPr>
    </w:p>
    <w:p w14:paraId="5E53C05E">
      <w:pPr>
        <w:jc w:val="center"/>
        <w:rPr>
          <w:rFonts w:ascii="宋体" w:hAnsi="宋体" w:cs="宋体"/>
          <w:b/>
          <w:kern w:val="0"/>
          <w:sz w:val="32"/>
          <w:szCs w:val="32"/>
        </w:rPr>
      </w:pPr>
    </w:p>
    <w:p w14:paraId="75CE4EAE">
      <w:pPr>
        <w:widowControl/>
        <w:adjustRightInd/>
        <w:jc w:val="left"/>
        <w:rPr>
          <w:rFonts w:ascii="宋体" w:hAnsi="宋体" w:cs="宋体"/>
          <w:b/>
          <w:kern w:val="0"/>
          <w:sz w:val="32"/>
          <w:szCs w:val="32"/>
        </w:rPr>
      </w:pPr>
      <w:r>
        <w:rPr>
          <w:rFonts w:ascii="宋体" w:hAnsi="宋体" w:cs="宋体"/>
          <w:b/>
          <w:kern w:val="0"/>
          <w:sz w:val="32"/>
          <w:szCs w:val="32"/>
        </w:rPr>
        <w:br w:type="page"/>
      </w:r>
    </w:p>
    <w:p w14:paraId="732B8D27">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6BE48D2A">
      <w:pPr>
        <w:snapToGrid w:val="0"/>
        <w:spacing w:line="360" w:lineRule="auto"/>
        <w:jc w:val="center"/>
        <w:rPr>
          <w:rFonts w:ascii="宋体" w:hAnsi="宋体" w:cs="宋体"/>
        </w:rPr>
      </w:pPr>
      <w:r>
        <w:rPr>
          <w:rFonts w:hint="eastAsia" w:ascii="宋体" w:hAnsi="宋体" w:cs="宋体"/>
          <w:b/>
          <w:kern w:val="0"/>
          <w:sz w:val="32"/>
          <w:szCs w:val="32"/>
          <w:lang w:val="zh-CN"/>
        </w:rPr>
        <w:t>授权委托书（适用于非联合体投标）</w:t>
      </w:r>
    </w:p>
    <w:p w14:paraId="7ADFBBB0">
      <w:pPr>
        <w:snapToGrid w:val="0"/>
        <w:spacing w:line="360" w:lineRule="auto"/>
        <w:rPr>
          <w:rFonts w:ascii="宋体" w:hAnsi="宋体" w:cs="宋体"/>
          <w:kern w:val="0"/>
          <w:sz w:val="24"/>
        </w:rPr>
      </w:pPr>
      <w:r>
        <w:rPr>
          <w:rFonts w:hint="eastAsia" w:ascii="宋体" w:hAnsi="宋体" w:cs="宋体"/>
          <w:sz w:val="24"/>
        </w:rPr>
        <w:t>杭州职业技术大学、杭州市公共资源交易中心</w:t>
      </w:r>
      <w:r>
        <w:rPr>
          <w:rFonts w:hint="eastAsia" w:ascii="宋体" w:hAnsi="宋体" w:cs="宋体"/>
          <w:kern w:val="0"/>
          <w:sz w:val="24"/>
          <w:lang w:val="zh-CN"/>
        </w:rPr>
        <w:t>：</w:t>
      </w:r>
    </w:p>
    <w:p w14:paraId="39C98C0D">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rPr>
        <w:t>杭州职业技术大学</w:t>
      </w:r>
      <w:r>
        <w:rPr>
          <w:rFonts w:hint="eastAsia" w:ascii="宋体" w:hAnsi="宋体" w:cs="宋体"/>
          <w:sz w:val="24"/>
          <w:lang w:eastAsia="zh-CN"/>
        </w:rPr>
        <w:t>新安江校区通用机房</w:t>
      </w:r>
      <w:r>
        <w:rPr>
          <w:rFonts w:hint="eastAsia" w:ascii="宋体" w:hAnsi="宋体" w:cs="宋体"/>
          <w:sz w:val="24"/>
        </w:rPr>
        <w:t>建设项目【招标编号：HZZFCG-2026-074】</w:t>
      </w:r>
      <w:r>
        <w:rPr>
          <w:rFonts w:hint="eastAsia" w:ascii="宋体" w:hAnsi="宋体" w:cs="宋体"/>
          <w:kern w:val="0"/>
          <w:sz w:val="24"/>
          <w:lang w:val="zh-CN"/>
        </w:rPr>
        <w:t>政府采购投标的一切事项，其法律后果由我方承担。</w:t>
      </w:r>
    </w:p>
    <w:p w14:paraId="7810C679">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7E1DEEA9">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7D0692A1">
      <w:pPr>
        <w:snapToGrid w:val="0"/>
        <w:spacing w:line="360" w:lineRule="auto"/>
        <w:rPr>
          <w:rFonts w:ascii="宋体" w:hAnsi="宋体" w:cs="宋体"/>
          <w:kern w:val="0"/>
          <w:sz w:val="24"/>
        </w:rPr>
      </w:pPr>
      <w:r>
        <w:rPr>
          <w:rFonts w:hint="eastAsia" w:ascii="宋体" w:hAnsi="宋体" w:cs="宋体"/>
          <w:kern w:val="0"/>
          <w:sz w:val="24"/>
          <w:lang w:val="zh-CN"/>
        </w:rPr>
        <w:t xml:space="preserve">                                                 投标人名称(电子签名)：</w:t>
      </w:r>
    </w:p>
    <w:p w14:paraId="42641D19">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6FFBDDDF">
      <w:pPr>
        <w:snapToGrid w:val="0"/>
        <w:spacing w:line="360" w:lineRule="auto"/>
        <w:rPr>
          <w:rFonts w:ascii="宋体" w:hAnsi="宋体" w:cs="宋体"/>
          <w:sz w:val="24"/>
        </w:rPr>
      </w:pPr>
    </w:p>
    <w:p w14:paraId="6531DE94">
      <w:pPr>
        <w:jc w:val="center"/>
        <w:rPr>
          <w:rFonts w:ascii="宋体" w:hAnsi="宋体" w:cs="宋体"/>
          <w:b/>
          <w:kern w:val="0"/>
          <w:sz w:val="32"/>
          <w:szCs w:val="32"/>
        </w:rPr>
      </w:pPr>
      <w:r>
        <w:rPr>
          <w:rFonts w:hint="eastAsia" w:ascii="宋体" w:hAnsi="宋体" w:cs="宋体"/>
          <w:b/>
          <w:kern w:val="0"/>
          <w:sz w:val="32"/>
          <w:szCs w:val="32"/>
          <w:lang w:val="zh-CN"/>
        </w:rPr>
        <w:t xml:space="preserve">      </w:t>
      </w: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1AEE7D2A">
      <w:pPr>
        <w:snapToGrid w:val="0"/>
        <w:spacing w:line="360" w:lineRule="auto"/>
        <w:rPr>
          <w:rFonts w:ascii="宋体" w:hAnsi="宋体" w:cs="宋体"/>
          <w:kern w:val="0"/>
          <w:sz w:val="24"/>
        </w:rPr>
      </w:pPr>
      <w:r>
        <w:rPr>
          <w:rFonts w:hint="eastAsia" w:ascii="宋体" w:hAnsi="宋体" w:cs="宋体"/>
          <w:sz w:val="24"/>
        </w:rPr>
        <w:t>杭州职业技术大学、杭州市公共资源交易中心</w:t>
      </w:r>
      <w:r>
        <w:rPr>
          <w:rFonts w:hint="eastAsia" w:ascii="宋体" w:hAnsi="宋体" w:cs="宋体"/>
          <w:kern w:val="0"/>
          <w:sz w:val="24"/>
          <w:lang w:val="zh-CN"/>
        </w:rPr>
        <w:t>：</w:t>
      </w:r>
    </w:p>
    <w:p w14:paraId="626813DE">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rPr>
        <w:t>杭州职业技术大学</w:t>
      </w:r>
      <w:r>
        <w:rPr>
          <w:rFonts w:hint="eastAsia" w:ascii="宋体" w:hAnsi="宋体" w:cs="宋体"/>
          <w:sz w:val="24"/>
          <w:lang w:eastAsia="zh-CN"/>
        </w:rPr>
        <w:t>新安江校区通用机房</w:t>
      </w:r>
      <w:r>
        <w:rPr>
          <w:rFonts w:hint="eastAsia" w:ascii="宋体" w:hAnsi="宋体" w:cs="宋体"/>
          <w:sz w:val="24"/>
        </w:rPr>
        <w:t>建设项目【招标编号：HZZFCG-2026-074】</w:t>
      </w:r>
      <w:r>
        <w:rPr>
          <w:rFonts w:hint="eastAsia" w:ascii="宋体" w:hAnsi="宋体" w:cs="宋体"/>
          <w:kern w:val="0"/>
          <w:sz w:val="24"/>
          <w:lang w:val="zh-CN"/>
        </w:rPr>
        <w:t>政府采购投标的一切事项，其法律后果由我方承担。</w:t>
      </w:r>
    </w:p>
    <w:p w14:paraId="5C8F46F8">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4B2E1F55">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3DE0BAA0">
      <w:pPr>
        <w:jc w:val="center"/>
        <w:rPr>
          <w:rFonts w:ascii="宋体" w:hAnsi="宋体" w:cs="宋体"/>
          <w:b/>
          <w:kern w:val="0"/>
          <w:sz w:val="32"/>
          <w:szCs w:val="32"/>
        </w:rPr>
      </w:pPr>
    </w:p>
    <w:p w14:paraId="584135C0">
      <w:pPr>
        <w:rPr>
          <w:rFonts w:ascii="宋体" w:hAnsi="宋体" w:cs="宋体"/>
        </w:rPr>
      </w:pPr>
    </w:p>
    <w:p w14:paraId="68592268">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28439AD5">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4C50EA38">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0FACC183">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19515C31">
      <w:pPr>
        <w:snapToGrid w:val="0"/>
        <w:spacing w:line="360" w:lineRule="auto"/>
        <w:ind w:firstLine="480" w:firstLineChars="200"/>
        <w:rPr>
          <w:rFonts w:ascii="宋体" w:hAnsi="宋体" w:cs="宋体"/>
          <w:kern w:val="0"/>
          <w:sz w:val="24"/>
          <w:lang w:val="zh-CN"/>
        </w:rPr>
      </w:pPr>
    </w:p>
    <w:p w14:paraId="5E6B94A1">
      <w:pPr>
        <w:snapToGrid w:val="0"/>
        <w:spacing w:line="360" w:lineRule="auto"/>
        <w:ind w:firstLine="480" w:firstLineChars="200"/>
        <w:rPr>
          <w:rFonts w:ascii="宋体" w:hAnsi="宋体" w:cs="宋体"/>
          <w:b/>
          <w:kern w:val="0"/>
          <w:sz w:val="32"/>
          <w:szCs w:val="32"/>
          <w:lang w:val="zh-CN"/>
        </w:rPr>
      </w:pPr>
      <w:r>
        <w:rPr>
          <w:rFonts w:hint="eastAsia" w:ascii="宋体" w:hAnsi="宋体" w:cs="宋体"/>
          <w:kern w:val="0"/>
          <w:sz w:val="24"/>
          <w:lang w:val="zh-CN"/>
        </w:rPr>
        <w:t>注：▲供应商委派不在本单位缴纳社保的人员作为授权代表（代理人）的，应当在投标（响应）文件中，说明具体原因、授权代表缴纳社保的单位，并附列该授权代表缴纳社保清单。</w:t>
      </w:r>
      <w:r>
        <w:rPr>
          <w:rFonts w:ascii="宋体" w:hAnsi="宋体" w:cs="宋体"/>
          <w:b/>
          <w:kern w:val="0"/>
          <w:sz w:val="32"/>
          <w:szCs w:val="32"/>
          <w:lang w:val="zh-CN"/>
        </w:rPr>
        <w:br w:type="page"/>
      </w:r>
    </w:p>
    <w:p w14:paraId="6D597338">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35A40072">
      <w:pPr>
        <w:pStyle w:val="160"/>
        <w:spacing w:line="360" w:lineRule="auto"/>
        <w:rPr>
          <w:rFonts w:hAnsi="宋体" w:cs="宋体"/>
          <w:bCs/>
          <w:sz w:val="24"/>
        </w:rPr>
      </w:pPr>
      <w:r>
        <w:rPr>
          <w:rFonts w:hint="eastAsia" w:hAnsi="宋体" w:cs="宋体"/>
          <w:bCs/>
          <w:sz w:val="24"/>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672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2B1A7B50">
            <w:pPr>
              <w:pStyle w:val="160"/>
              <w:adjustRightInd w:val="0"/>
              <w:spacing w:line="360" w:lineRule="auto"/>
              <w:rPr>
                <w:rFonts w:hAnsi="宋体" w:cs="宋体"/>
                <w:bCs/>
                <w:sz w:val="24"/>
              </w:rPr>
            </w:pPr>
            <w:r>
              <w:rPr>
                <w:rFonts w:hint="eastAsia" w:hAnsi="宋体" w:cs="宋体"/>
                <w:bCs/>
                <w:sz w:val="24"/>
              </w:rPr>
              <w:t>正面：                                 反面：</w:t>
            </w:r>
          </w:p>
          <w:p w14:paraId="23AC7A05">
            <w:pPr>
              <w:pStyle w:val="160"/>
              <w:adjustRightInd w:val="0"/>
              <w:spacing w:line="360" w:lineRule="auto"/>
              <w:rPr>
                <w:rFonts w:hAnsi="宋体" w:cs="宋体"/>
                <w:bCs/>
                <w:sz w:val="24"/>
              </w:rPr>
            </w:pPr>
          </w:p>
        </w:tc>
      </w:tr>
    </w:tbl>
    <w:p w14:paraId="6E51AD88">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0CA7BB3E">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14:paraId="5C800EB0">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27317473">
      <w:pPr>
        <w:jc w:val="center"/>
        <w:rPr>
          <w:rFonts w:ascii="宋体" w:hAnsi="宋体" w:cs="宋体"/>
          <w:b/>
          <w:kern w:val="0"/>
          <w:sz w:val="32"/>
          <w:szCs w:val="32"/>
        </w:rPr>
      </w:pPr>
    </w:p>
    <w:p w14:paraId="679A1BFE">
      <w:pPr>
        <w:jc w:val="center"/>
        <w:rPr>
          <w:rFonts w:ascii="宋体" w:hAnsi="宋体" w:cs="宋体"/>
          <w:b/>
          <w:kern w:val="0"/>
          <w:sz w:val="32"/>
          <w:szCs w:val="32"/>
        </w:rPr>
      </w:pPr>
    </w:p>
    <w:p w14:paraId="68FB7401">
      <w:pPr>
        <w:jc w:val="center"/>
        <w:rPr>
          <w:rFonts w:ascii="宋体" w:hAnsi="宋体" w:cs="宋体"/>
          <w:b/>
          <w:kern w:val="0"/>
          <w:sz w:val="32"/>
          <w:szCs w:val="32"/>
        </w:rPr>
      </w:pPr>
    </w:p>
    <w:p w14:paraId="54A96FFC">
      <w:pPr>
        <w:jc w:val="center"/>
        <w:rPr>
          <w:rFonts w:ascii="宋体" w:hAnsi="宋体" w:cs="宋体"/>
          <w:b/>
          <w:kern w:val="0"/>
          <w:sz w:val="32"/>
          <w:szCs w:val="32"/>
        </w:rPr>
      </w:pPr>
    </w:p>
    <w:p w14:paraId="3DDAC3BB">
      <w:pPr>
        <w:jc w:val="center"/>
        <w:rPr>
          <w:rFonts w:ascii="宋体" w:hAnsi="宋体" w:cs="宋体"/>
          <w:b/>
          <w:kern w:val="0"/>
          <w:sz w:val="32"/>
          <w:szCs w:val="32"/>
        </w:rPr>
      </w:pPr>
    </w:p>
    <w:p w14:paraId="66C9ADCF">
      <w:pPr>
        <w:jc w:val="center"/>
        <w:rPr>
          <w:rFonts w:ascii="宋体" w:hAnsi="宋体" w:cs="宋体"/>
          <w:b/>
          <w:kern w:val="0"/>
          <w:sz w:val="32"/>
          <w:szCs w:val="32"/>
        </w:rPr>
      </w:pPr>
    </w:p>
    <w:p w14:paraId="0A75B140">
      <w:pPr>
        <w:jc w:val="center"/>
        <w:rPr>
          <w:rFonts w:ascii="宋体" w:hAnsi="宋体" w:cs="宋体"/>
          <w:b/>
          <w:kern w:val="0"/>
          <w:sz w:val="32"/>
          <w:szCs w:val="32"/>
        </w:rPr>
      </w:pPr>
    </w:p>
    <w:p w14:paraId="78FBC789">
      <w:pPr>
        <w:jc w:val="center"/>
        <w:rPr>
          <w:rFonts w:ascii="宋体" w:hAnsi="宋体" w:cs="宋体"/>
          <w:b/>
          <w:kern w:val="0"/>
          <w:sz w:val="32"/>
          <w:szCs w:val="32"/>
        </w:rPr>
      </w:pPr>
    </w:p>
    <w:p w14:paraId="5A22EA0B">
      <w:pPr>
        <w:jc w:val="center"/>
        <w:rPr>
          <w:rFonts w:ascii="宋体" w:hAnsi="宋体" w:cs="宋体"/>
          <w:b/>
          <w:kern w:val="0"/>
          <w:sz w:val="32"/>
          <w:szCs w:val="32"/>
        </w:rPr>
      </w:pPr>
    </w:p>
    <w:p w14:paraId="29517B7A">
      <w:pPr>
        <w:jc w:val="center"/>
        <w:rPr>
          <w:rFonts w:ascii="宋体" w:hAnsi="宋体" w:cs="宋体"/>
          <w:b/>
          <w:kern w:val="0"/>
          <w:sz w:val="32"/>
          <w:szCs w:val="32"/>
        </w:rPr>
      </w:pPr>
    </w:p>
    <w:p w14:paraId="1A4C6999">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18" w:right="1418" w:bottom="1418" w:left="1418" w:header="851" w:footer="992" w:gutter="0"/>
          <w:cols w:space="720" w:num="1"/>
          <w:titlePg/>
          <w:docGrid w:linePitch="312" w:charSpace="0"/>
        </w:sectPr>
      </w:pPr>
    </w:p>
    <w:p w14:paraId="738F8FF2">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三、分包意向协议（如果有）</w:t>
      </w:r>
    </w:p>
    <w:p w14:paraId="27CEA705">
      <w:pPr>
        <w:widowControl/>
        <w:spacing w:line="360" w:lineRule="auto"/>
        <w:ind w:firstLine="120" w:firstLineChars="50"/>
        <w:jc w:val="left"/>
        <w:rPr>
          <w:rFonts w:ascii="宋体" w:hAnsi="宋体" w:cs="宋体"/>
          <w:sz w:val="24"/>
        </w:rPr>
      </w:pPr>
      <w:bookmarkStart w:id="414" w:name="_Hlk101169080"/>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bookmarkEnd w:id="414"/>
    <w:p w14:paraId="6607C778"/>
    <w:p w14:paraId="57DDD458">
      <w:pPr>
        <w:pStyle w:val="3"/>
        <w:rPr>
          <w:lang w:val="en-US"/>
        </w:rPr>
      </w:pPr>
    </w:p>
    <w:p w14:paraId="2F5C322D">
      <w:pPr>
        <w:jc w:val="center"/>
        <w:rPr>
          <w:rFonts w:ascii="宋体" w:hAnsi="宋体" w:cs="宋体"/>
          <w:b/>
          <w:kern w:val="0"/>
          <w:sz w:val="32"/>
          <w:szCs w:val="32"/>
        </w:rPr>
      </w:pPr>
    </w:p>
    <w:p w14:paraId="66E59F29">
      <w:pPr>
        <w:jc w:val="center"/>
        <w:rPr>
          <w:rFonts w:ascii="宋体" w:hAnsi="宋体" w:cs="宋体"/>
          <w:b/>
          <w:kern w:val="0"/>
          <w:sz w:val="32"/>
          <w:szCs w:val="32"/>
        </w:rPr>
      </w:pPr>
      <w:r>
        <w:rPr>
          <w:rFonts w:hint="eastAsia" w:ascii="宋体" w:hAnsi="宋体" w:cs="宋体"/>
          <w:b/>
          <w:kern w:val="0"/>
          <w:sz w:val="32"/>
          <w:szCs w:val="32"/>
        </w:rPr>
        <w:t>四、符合性审查资料</w:t>
      </w:r>
    </w:p>
    <w:p w14:paraId="45A5C669">
      <w:pPr>
        <w:jc w:val="center"/>
        <w:rPr>
          <w:rFonts w:ascii="宋体" w:hAnsi="宋体" w:cs="宋体"/>
          <w:b/>
          <w:kern w:val="0"/>
          <w:sz w:val="32"/>
          <w:szCs w:val="32"/>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15F0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5A007BA2">
            <w:pPr>
              <w:snapToGrid w:val="0"/>
              <w:spacing w:line="240" w:lineRule="atLeast"/>
              <w:jc w:val="center"/>
              <w:rPr>
                <w:rFonts w:ascii="宋体" w:hAnsi="宋体" w:cs="宋体"/>
                <w:b/>
                <w:sz w:val="24"/>
              </w:rPr>
            </w:pPr>
            <w:r>
              <w:rPr>
                <w:rFonts w:hint="eastAsia" w:ascii="宋体" w:hAnsi="宋体" w:cs="宋体"/>
                <w:b/>
                <w:sz w:val="24"/>
              </w:rPr>
              <w:t>序号</w:t>
            </w:r>
          </w:p>
        </w:tc>
        <w:tc>
          <w:tcPr>
            <w:tcW w:w="4874" w:type="dxa"/>
            <w:vAlign w:val="center"/>
          </w:tcPr>
          <w:p w14:paraId="70A41B6C">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0B027431">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194B19B7">
            <w:pPr>
              <w:snapToGrid w:val="0"/>
              <w:spacing w:line="240" w:lineRule="atLeast"/>
              <w:jc w:val="center"/>
              <w:rPr>
                <w:rFonts w:ascii="宋体" w:hAnsi="宋体" w:cs="宋体"/>
                <w:b/>
                <w:sz w:val="24"/>
              </w:rPr>
            </w:pPr>
            <w:r>
              <w:rPr>
                <w:rFonts w:hint="eastAsia" w:ascii="宋体" w:hAnsi="宋体" w:cs="宋体"/>
                <w:b/>
                <w:sz w:val="24"/>
              </w:rPr>
              <w:t>投标文件中的</w:t>
            </w:r>
          </w:p>
          <w:p w14:paraId="708FA58F">
            <w:pPr>
              <w:snapToGrid w:val="0"/>
              <w:spacing w:line="240" w:lineRule="atLeast"/>
              <w:jc w:val="center"/>
              <w:rPr>
                <w:rFonts w:ascii="宋体" w:hAnsi="宋体" w:cs="宋体"/>
                <w:b/>
                <w:sz w:val="24"/>
              </w:rPr>
            </w:pPr>
            <w:r>
              <w:rPr>
                <w:rFonts w:hint="eastAsia" w:ascii="宋体" w:hAnsi="宋体" w:cs="宋体"/>
                <w:b/>
                <w:sz w:val="24"/>
              </w:rPr>
              <w:t>页码位置</w:t>
            </w:r>
          </w:p>
        </w:tc>
      </w:tr>
      <w:tr w14:paraId="6DA2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2968B5CC">
            <w:pPr>
              <w:jc w:val="center"/>
              <w:rPr>
                <w:rFonts w:ascii="宋体" w:hAnsi="宋体" w:cs="宋体"/>
                <w:sz w:val="24"/>
              </w:rPr>
            </w:pPr>
            <w:r>
              <w:rPr>
                <w:rFonts w:hint="eastAsia" w:ascii="宋体" w:hAnsi="宋体" w:cs="宋体"/>
                <w:sz w:val="24"/>
              </w:rPr>
              <w:t>1</w:t>
            </w:r>
          </w:p>
        </w:tc>
        <w:tc>
          <w:tcPr>
            <w:tcW w:w="4874" w:type="dxa"/>
          </w:tcPr>
          <w:p w14:paraId="7741C99D">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28AE585C">
            <w:pPr>
              <w:rPr>
                <w:rFonts w:ascii="宋体" w:hAnsi="宋体" w:cs="宋体"/>
                <w:sz w:val="24"/>
              </w:rPr>
            </w:pPr>
            <w:r>
              <w:rPr>
                <w:rFonts w:hint="eastAsia" w:ascii="宋体" w:hAnsi="宋体" w:cs="宋体"/>
                <w:sz w:val="24"/>
              </w:rPr>
              <w:t>需要使用电子签名或者签字盖章的投标文件的组成部分</w:t>
            </w:r>
          </w:p>
        </w:tc>
        <w:tc>
          <w:tcPr>
            <w:tcW w:w="1418" w:type="dxa"/>
          </w:tcPr>
          <w:p w14:paraId="11672E1A">
            <w:pPr>
              <w:rPr>
                <w:rFonts w:ascii="宋体" w:hAnsi="宋体" w:cs="宋体"/>
                <w:sz w:val="24"/>
              </w:rPr>
            </w:pPr>
          </w:p>
          <w:p w14:paraId="27000847">
            <w:pPr>
              <w:rPr>
                <w:rFonts w:ascii="宋体" w:hAnsi="宋体" w:cs="宋体"/>
                <w:sz w:val="24"/>
              </w:rPr>
            </w:pPr>
            <w:r>
              <w:rPr>
                <w:rFonts w:hint="eastAsia" w:ascii="宋体" w:hAnsi="宋体" w:cs="宋体"/>
                <w:sz w:val="24"/>
              </w:rPr>
              <w:t>见投标文件</w:t>
            </w:r>
          </w:p>
          <w:p w14:paraId="6A2A9A6B">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5BF4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BB60323">
            <w:pPr>
              <w:jc w:val="center"/>
              <w:rPr>
                <w:rFonts w:ascii="宋体" w:hAnsi="宋体" w:cs="宋体"/>
                <w:sz w:val="24"/>
              </w:rPr>
            </w:pPr>
            <w:r>
              <w:rPr>
                <w:rFonts w:hint="eastAsia" w:ascii="宋体" w:hAnsi="宋体" w:cs="宋体"/>
                <w:sz w:val="24"/>
              </w:rPr>
              <w:t>2</w:t>
            </w:r>
          </w:p>
        </w:tc>
        <w:tc>
          <w:tcPr>
            <w:tcW w:w="4874" w:type="dxa"/>
          </w:tcPr>
          <w:p w14:paraId="2818EA75">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31F0A824">
            <w:pPr>
              <w:rPr>
                <w:rFonts w:ascii="宋体" w:hAnsi="宋体" w:cs="宋体"/>
                <w:sz w:val="24"/>
              </w:rPr>
            </w:pPr>
            <w:r>
              <w:rPr>
                <w:rFonts w:hint="eastAsia" w:ascii="宋体" w:hAnsi="宋体" w:cs="宋体"/>
                <w:sz w:val="24"/>
              </w:rPr>
              <w:t>投标函</w:t>
            </w:r>
          </w:p>
        </w:tc>
        <w:tc>
          <w:tcPr>
            <w:tcW w:w="1418" w:type="dxa"/>
          </w:tcPr>
          <w:p w14:paraId="4AFC2525">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0073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287C9387">
            <w:pPr>
              <w:jc w:val="center"/>
              <w:rPr>
                <w:rFonts w:ascii="宋体" w:hAnsi="宋体" w:cs="宋体"/>
                <w:sz w:val="24"/>
              </w:rPr>
            </w:pPr>
            <w:r>
              <w:rPr>
                <w:rFonts w:hint="eastAsia" w:ascii="宋体" w:hAnsi="宋体" w:cs="宋体"/>
                <w:sz w:val="24"/>
              </w:rPr>
              <w:t>3</w:t>
            </w:r>
          </w:p>
        </w:tc>
        <w:tc>
          <w:tcPr>
            <w:tcW w:w="4874" w:type="dxa"/>
          </w:tcPr>
          <w:p w14:paraId="361EB84A">
            <w:pPr>
              <w:snapToGrid w:val="0"/>
              <w:spacing w:line="360" w:lineRule="auto"/>
              <w:rPr>
                <w:rFonts w:ascii="宋体" w:hAnsi="宋体" w:cs="宋体"/>
                <w:snapToGrid w:val="0"/>
                <w:sz w:val="24"/>
              </w:rPr>
            </w:pPr>
            <w:r>
              <w:rPr>
                <w:rFonts w:hint="eastAsia" w:ascii="宋体" w:hAnsi="宋体" w:cs="宋体"/>
                <w:snapToGrid w:val="0"/>
                <w:sz w:val="24"/>
              </w:rPr>
              <w:t>投标文件的组成应符合招标文件要求</w:t>
            </w:r>
          </w:p>
          <w:p w14:paraId="46F9055F">
            <w:pPr>
              <w:spacing w:line="360" w:lineRule="auto"/>
              <w:rPr>
                <w:rFonts w:ascii="宋体" w:hAnsi="宋体" w:cs="宋体"/>
                <w:snapToGrid w:val="0"/>
                <w:sz w:val="24"/>
              </w:rPr>
            </w:pPr>
          </w:p>
        </w:tc>
        <w:tc>
          <w:tcPr>
            <w:tcW w:w="2551" w:type="dxa"/>
            <w:vAlign w:val="center"/>
          </w:tcPr>
          <w:p w14:paraId="17C3F4A5">
            <w:pPr>
              <w:rPr>
                <w:rFonts w:ascii="宋体" w:hAnsi="宋体" w:cs="宋体"/>
                <w:sz w:val="24"/>
              </w:rPr>
            </w:pPr>
            <w:r>
              <w:rPr>
                <w:rFonts w:hint="eastAsia" w:ascii="宋体" w:hAnsi="宋体" w:cs="宋体"/>
                <w:sz w:val="24"/>
              </w:rPr>
              <w:t>投标文件</w:t>
            </w:r>
          </w:p>
        </w:tc>
        <w:tc>
          <w:tcPr>
            <w:tcW w:w="1418" w:type="dxa"/>
          </w:tcPr>
          <w:p w14:paraId="7EE72F93">
            <w:pPr>
              <w:rPr>
                <w:rFonts w:ascii="宋体" w:hAnsi="宋体" w:cs="宋体"/>
                <w:sz w:val="24"/>
              </w:rPr>
            </w:pPr>
            <w:r>
              <w:rPr>
                <w:rFonts w:hint="eastAsia" w:ascii="宋体" w:hAnsi="宋体" w:cs="宋体"/>
                <w:sz w:val="24"/>
              </w:rPr>
              <w:t>/</w:t>
            </w:r>
          </w:p>
        </w:tc>
      </w:tr>
      <w:tr w14:paraId="18DC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F430A9B">
            <w:pPr>
              <w:jc w:val="center"/>
              <w:rPr>
                <w:rFonts w:ascii="宋体" w:hAnsi="宋体" w:cs="宋体"/>
                <w:sz w:val="24"/>
              </w:rPr>
            </w:pPr>
            <w:r>
              <w:rPr>
                <w:rFonts w:hint="eastAsia" w:ascii="宋体" w:hAnsi="宋体" w:cs="宋体"/>
                <w:sz w:val="24"/>
              </w:rPr>
              <w:t>4</w:t>
            </w:r>
          </w:p>
        </w:tc>
        <w:tc>
          <w:tcPr>
            <w:tcW w:w="4874" w:type="dxa"/>
          </w:tcPr>
          <w:p w14:paraId="7D4C1890">
            <w:pPr>
              <w:spacing w:line="360" w:lineRule="auto"/>
              <w:rPr>
                <w:rFonts w:ascii="宋体" w:hAnsi="宋体" w:cs="宋体"/>
                <w:snapToGrid w:val="0"/>
                <w:sz w:val="24"/>
              </w:rPr>
            </w:pPr>
            <w:r>
              <w:rPr>
                <w:rFonts w:hint="eastAsia" w:ascii="宋体" w:hAnsi="宋体" w:cs="宋体"/>
                <w:snapToGrid w:val="0"/>
                <w:sz w:val="24"/>
              </w:rPr>
              <w:t>其他实质性要求1：</w:t>
            </w:r>
          </w:p>
        </w:tc>
        <w:tc>
          <w:tcPr>
            <w:tcW w:w="2551" w:type="dxa"/>
            <w:vMerge w:val="restart"/>
            <w:vAlign w:val="center"/>
          </w:tcPr>
          <w:p w14:paraId="68AF143C">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14:paraId="01938957">
            <w:pPr>
              <w:rPr>
                <w:rFonts w:ascii="宋体" w:hAnsi="宋体" w:cs="宋体"/>
                <w:sz w:val="24"/>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54E0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8D3418F">
            <w:pPr>
              <w:jc w:val="center"/>
              <w:rPr>
                <w:rFonts w:ascii="宋体" w:hAnsi="宋体" w:cs="宋体"/>
                <w:sz w:val="24"/>
              </w:rPr>
            </w:pPr>
            <w:r>
              <w:rPr>
                <w:rFonts w:hint="eastAsia" w:ascii="宋体" w:hAnsi="宋体" w:cs="宋体"/>
                <w:sz w:val="24"/>
              </w:rPr>
              <w:t>5</w:t>
            </w:r>
          </w:p>
        </w:tc>
        <w:tc>
          <w:tcPr>
            <w:tcW w:w="4874" w:type="dxa"/>
          </w:tcPr>
          <w:p w14:paraId="4EA3A2A6">
            <w:pPr>
              <w:spacing w:line="360" w:lineRule="auto"/>
              <w:rPr>
                <w:rFonts w:ascii="宋体" w:hAnsi="宋体" w:cs="宋体"/>
                <w:snapToGrid w:val="0"/>
                <w:sz w:val="24"/>
              </w:rPr>
            </w:pPr>
            <w:r>
              <w:rPr>
                <w:rFonts w:hint="eastAsia" w:ascii="宋体" w:hAnsi="宋体" w:cs="宋体"/>
                <w:snapToGrid w:val="0"/>
                <w:sz w:val="24"/>
              </w:rPr>
              <w:t>其他实质性要求2：</w:t>
            </w:r>
          </w:p>
        </w:tc>
        <w:tc>
          <w:tcPr>
            <w:tcW w:w="2551" w:type="dxa"/>
            <w:vMerge w:val="continue"/>
            <w:vAlign w:val="center"/>
          </w:tcPr>
          <w:p w14:paraId="1D4E4941">
            <w:pPr>
              <w:rPr>
                <w:rFonts w:ascii="宋体" w:hAnsi="宋体" w:cs="宋体"/>
                <w:kern w:val="0"/>
                <w:sz w:val="24"/>
              </w:rPr>
            </w:pPr>
          </w:p>
        </w:tc>
        <w:tc>
          <w:tcPr>
            <w:tcW w:w="1418" w:type="dxa"/>
          </w:tcPr>
          <w:p w14:paraId="6DDF1A37">
            <w:pPr>
              <w:rPr>
                <w:rFonts w:ascii="宋体" w:hAnsi="宋体" w:cs="宋体"/>
                <w:sz w:val="24"/>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7333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76F50417">
            <w:pPr>
              <w:jc w:val="center"/>
              <w:rPr>
                <w:rFonts w:ascii="宋体" w:hAnsi="宋体" w:cs="宋体"/>
                <w:sz w:val="24"/>
              </w:rPr>
            </w:pPr>
            <w:r>
              <w:rPr>
                <w:rFonts w:hint="eastAsia" w:ascii="宋体" w:hAnsi="宋体" w:cs="宋体"/>
                <w:kern w:val="0"/>
                <w:sz w:val="24"/>
              </w:rPr>
              <w:t>……</w:t>
            </w:r>
          </w:p>
        </w:tc>
        <w:tc>
          <w:tcPr>
            <w:tcW w:w="4874" w:type="dxa"/>
          </w:tcPr>
          <w:p w14:paraId="1062A5BE">
            <w:pPr>
              <w:spacing w:line="360" w:lineRule="auto"/>
              <w:rPr>
                <w:rFonts w:ascii="宋体" w:hAnsi="宋体" w:cs="宋体"/>
                <w:snapToGrid w:val="0"/>
                <w:sz w:val="24"/>
              </w:rPr>
            </w:pPr>
            <w:r>
              <w:rPr>
                <w:rFonts w:hint="eastAsia" w:ascii="宋体" w:hAnsi="宋体" w:cs="宋体"/>
                <w:snapToGrid w:val="0"/>
                <w:sz w:val="24"/>
              </w:rPr>
              <w:t>其他实质性要求</w:t>
            </w:r>
            <w:r>
              <w:rPr>
                <w:rFonts w:hint="eastAsia" w:ascii="宋体" w:hAnsi="宋体" w:cs="宋体"/>
                <w:kern w:val="0"/>
                <w:sz w:val="24"/>
              </w:rPr>
              <w:t>……</w:t>
            </w:r>
            <w:r>
              <w:rPr>
                <w:rFonts w:hint="eastAsia" w:ascii="宋体" w:hAnsi="宋体" w:cs="宋体"/>
                <w:snapToGrid w:val="0"/>
                <w:sz w:val="24"/>
              </w:rPr>
              <w:t>：</w:t>
            </w:r>
          </w:p>
        </w:tc>
        <w:tc>
          <w:tcPr>
            <w:tcW w:w="2551" w:type="dxa"/>
            <w:vMerge w:val="continue"/>
            <w:vAlign w:val="center"/>
          </w:tcPr>
          <w:p w14:paraId="58F80A7C">
            <w:pPr>
              <w:rPr>
                <w:rFonts w:ascii="宋体" w:hAnsi="宋体" w:cs="宋体"/>
                <w:kern w:val="0"/>
                <w:sz w:val="24"/>
              </w:rPr>
            </w:pPr>
          </w:p>
        </w:tc>
        <w:tc>
          <w:tcPr>
            <w:tcW w:w="1418" w:type="dxa"/>
          </w:tcPr>
          <w:p w14:paraId="119DB0E6">
            <w:pPr>
              <w:rPr>
                <w:rFonts w:ascii="宋体" w:hAnsi="宋体" w:cs="宋体"/>
                <w:sz w:val="24"/>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62ACA9EF">
      <w:pPr>
        <w:spacing w:line="360" w:lineRule="auto"/>
        <w:ind w:right="420"/>
        <w:rPr>
          <w:rFonts w:ascii="宋体" w:hAnsi="宋体" w:cs="宋体"/>
          <w:sz w:val="24"/>
        </w:rPr>
      </w:pPr>
      <w:r>
        <w:rPr>
          <w:rFonts w:hint="eastAsia" w:ascii="宋体" w:hAnsi="宋体" w:cs="宋体"/>
          <w:sz w:val="24"/>
        </w:rPr>
        <w:t>注：1、按本格式和要求提供。</w:t>
      </w:r>
    </w:p>
    <w:p w14:paraId="68C6C20C">
      <w:pPr>
        <w:spacing w:line="360" w:lineRule="auto"/>
        <w:ind w:right="420"/>
        <w:jc w:val="left"/>
        <w:rPr>
          <w:rFonts w:ascii="宋体" w:hAnsi="宋体" w:cs="宋体"/>
          <w:b/>
          <w:kern w:val="0"/>
          <w:sz w:val="32"/>
          <w:szCs w:val="32"/>
        </w:rPr>
      </w:pPr>
      <w:r>
        <w:rPr>
          <w:rFonts w:hint="eastAsia" w:ascii="宋体" w:hAnsi="宋体" w:cs="宋体"/>
          <w:b/>
          <w:bCs/>
          <w:sz w:val="24"/>
        </w:rPr>
        <w:t>2、招标文件中实质性要求必须明确响应。</w:t>
      </w:r>
      <w:r>
        <w:rPr>
          <w:rFonts w:hint="eastAsia" w:ascii="宋体" w:hAnsi="宋体" w:cs="宋体"/>
          <w:b/>
          <w:kern w:val="0"/>
          <w:sz w:val="32"/>
          <w:szCs w:val="32"/>
        </w:rPr>
        <w:t xml:space="preserve">     </w:t>
      </w:r>
    </w:p>
    <w:p w14:paraId="472BE71F">
      <w:pPr>
        <w:jc w:val="center"/>
        <w:rPr>
          <w:rFonts w:ascii="宋体" w:hAnsi="宋体" w:cs="宋体"/>
          <w:b/>
          <w:kern w:val="0"/>
          <w:sz w:val="32"/>
          <w:szCs w:val="32"/>
        </w:rPr>
      </w:pPr>
    </w:p>
    <w:p w14:paraId="173438BF">
      <w:pPr>
        <w:jc w:val="center"/>
        <w:rPr>
          <w:rFonts w:ascii="宋体" w:hAnsi="宋体" w:cs="宋体"/>
          <w:b/>
          <w:kern w:val="0"/>
          <w:sz w:val="32"/>
          <w:szCs w:val="32"/>
        </w:rPr>
      </w:pPr>
    </w:p>
    <w:p w14:paraId="344B8DBB">
      <w:pPr>
        <w:jc w:val="center"/>
        <w:rPr>
          <w:rFonts w:ascii="宋体" w:hAnsi="宋体" w:cs="宋体"/>
          <w:b/>
          <w:kern w:val="0"/>
          <w:sz w:val="32"/>
          <w:szCs w:val="32"/>
        </w:rPr>
      </w:pPr>
    </w:p>
    <w:p w14:paraId="4AFEF1D3">
      <w:pPr>
        <w:jc w:val="center"/>
        <w:rPr>
          <w:rFonts w:ascii="宋体" w:hAnsi="宋体" w:cs="宋体"/>
        </w:rPr>
      </w:pPr>
      <w:r>
        <w:rPr>
          <w:rFonts w:hint="eastAsia" w:ascii="宋体" w:hAnsi="宋体" w:cs="宋体"/>
          <w:b/>
          <w:kern w:val="0"/>
          <w:sz w:val="32"/>
          <w:szCs w:val="32"/>
        </w:rPr>
        <w:t>五、评标标准相应的商务技术资料</w:t>
      </w:r>
    </w:p>
    <w:p w14:paraId="775B417A">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83D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B8325D2">
            <w:pPr>
              <w:snapToGrid w:val="0"/>
              <w:spacing w:line="360" w:lineRule="auto"/>
              <w:jc w:val="center"/>
              <w:rPr>
                <w:rFonts w:ascii="宋体" w:hAnsi="宋体" w:eastAsia="宋体" w:cs="仿宋_GB2312"/>
                <w:bCs/>
                <w:sz w:val="24"/>
              </w:rPr>
            </w:pPr>
            <w:r>
              <w:rPr>
                <w:rFonts w:hint="eastAsia" w:ascii="宋体" w:hAnsi="宋体" w:eastAsia="宋体" w:cs="仿宋_GB2312"/>
                <w:bCs/>
                <w:sz w:val="24"/>
              </w:rPr>
              <w:t>序号</w:t>
            </w:r>
          </w:p>
        </w:tc>
        <w:tc>
          <w:tcPr>
            <w:tcW w:w="5465" w:type="dxa"/>
          </w:tcPr>
          <w:p w14:paraId="6C910871">
            <w:pPr>
              <w:snapToGrid w:val="0"/>
              <w:spacing w:line="360" w:lineRule="auto"/>
              <w:jc w:val="center"/>
              <w:rPr>
                <w:rFonts w:ascii="宋体" w:hAnsi="宋体" w:cs="宋体"/>
                <w:bCs/>
                <w:sz w:val="24"/>
              </w:rPr>
            </w:pPr>
            <w:r>
              <w:rPr>
                <w:rFonts w:hint="eastAsia" w:ascii="宋体" w:hAnsi="宋体" w:eastAsia="宋体" w:cs="仿宋_GB2312"/>
                <w:bCs/>
                <w:sz w:val="24"/>
              </w:rPr>
              <w:t>投标文件中评标标准相应的商务技术资料目录*</w:t>
            </w:r>
          </w:p>
        </w:tc>
        <w:tc>
          <w:tcPr>
            <w:tcW w:w="3046" w:type="dxa"/>
          </w:tcPr>
          <w:p w14:paraId="0C73C357">
            <w:pPr>
              <w:snapToGrid w:val="0"/>
              <w:spacing w:line="240" w:lineRule="atLeast"/>
              <w:jc w:val="center"/>
              <w:rPr>
                <w:rFonts w:ascii="宋体" w:hAnsi="宋体" w:cs="宋体"/>
                <w:bCs/>
                <w:sz w:val="24"/>
              </w:rPr>
            </w:pPr>
            <w:r>
              <w:rPr>
                <w:rFonts w:hint="eastAsia" w:ascii="宋体" w:hAnsi="宋体" w:cs="宋体"/>
                <w:bCs/>
                <w:sz w:val="24"/>
              </w:rPr>
              <w:t>投标文件中的页码位置</w:t>
            </w:r>
          </w:p>
        </w:tc>
      </w:tr>
      <w:tr w14:paraId="4D13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18F2512">
            <w:pPr>
              <w:snapToGrid w:val="0"/>
              <w:spacing w:line="360" w:lineRule="auto"/>
              <w:jc w:val="center"/>
              <w:rPr>
                <w:rFonts w:ascii="宋体" w:hAnsi="宋体" w:cs="宋体"/>
                <w:bCs/>
                <w:sz w:val="24"/>
              </w:rPr>
            </w:pPr>
            <w:r>
              <w:rPr>
                <w:rFonts w:hint="eastAsia" w:ascii="宋体" w:hAnsi="宋体" w:cs="宋体"/>
                <w:bCs/>
                <w:sz w:val="24"/>
              </w:rPr>
              <w:t>1</w:t>
            </w:r>
          </w:p>
        </w:tc>
        <w:tc>
          <w:tcPr>
            <w:tcW w:w="5465" w:type="dxa"/>
          </w:tcPr>
          <w:p w14:paraId="15603255">
            <w:pPr>
              <w:snapToGrid w:val="0"/>
              <w:spacing w:line="360" w:lineRule="auto"/>
              <w:jc w:val="center"/>
              <w:rPr>
                <w:rFonts w:ascii="宋体" w:hAnsi="宋体" w:cs="宋体"/>
                <w:bCs/>
                <w:sz w:val="24"/>
              </w:rPr>
            </w:pPr>
            <w:r>
              <w:rPr>
                <w:rFonts w:hint="eastAsia" w:ascii="宋体" w:hAnsi="宋体" w:cs="宋体"/>
                <w:bCs/>
                <w:sz w:val="24"/>
              </w:rPr>
              <w:t>XXX</w:t>
            </w:r>
          </w:p>
        </w:tc>
        <w:tc>
          <w:tcPr>
            <w:tcW w:w="3046" w:type="dxa"/>
          </w:tcPr>
          <w:p w14:paraId="5F906521">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1D55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EBC0834">
            <w:pPr>
              <w:snapToGrid w:val="0"/>
              <w:spacing w:line="360" w:lineRule="auto"/>
              <w:jc w:val="center"/>
              <w:rPr>
                <w:rFonts w:ascii="宋体" w:hAnsi="宋体" w:cs="宋体"/>
                <w:bCs/>
                <w:sz w:val="24"/>
              </w:rPr>
            </w:pPr>
            <w:r>
              <w:rPr>
                <w:rFonts w:hint="eastAsia" w:ascii="宋体" w:hAnsi="宋体" w:cs="宋体"/>
                <w:bCs/>
                <w:sz w:val="24"/>
              </w:rPr>
              <w:t>2</w:t>
            </w:r>
          </w:p>
        </w:tc>
        <w:tc>
          <w:tcPr>
            <w:tcW w:w="5465" w:type="dxa"/>
          </w:tcPr>
          <w:p w14:paraId="54B77228">
            <w:pPr>
              <w:snapToGrid w:val="0"/>
              <w:spacing w:line="360" w:lineRule="auto"/>
              <w:jc w:val="center"/>
              <w:rPr>
                <w:rFonts w:ascii="宋体" w:hAnsi="宋体" w:cs="宋体"/>
                <w:bCs/>
                <w:sz w:val="24"/>
              </w:rPr>
            </w:pPr>
            <w:r>
              <w:rPr>
                <w:rFonts w:hint="eastAsia" w:ascii="宋体" w:hAnsi="宋体" w:cs="宋体"/>
                <w:bCs/>
                <w:sz w:val="24"/>
              </w:rPr>
              <w:t>XXX</w:t>
            </w:r>
          </w:p>
        </w:tc>
        <w:tc>
          <w:tcPr>
            <w:tcW w:w="3046" w:type="dxa"/>
          </w:tcPr>
          <w:p w14:paraId="18EB9AB8">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7886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CDE0124">
            <w:pPr>
              <w:snapToGrid w:val="0"/>
              <w:spacing w:line="360" w:lineRule="auto"/>
              <w:jc w:val="center"/>
              <w:rPr>
                <w:rFonts w:ascii="宋体" w:hAnsi="宋体" w:cs="宋体"/>
                <w:bCs/>
                <w:sz w:val="24"/>
              </w:rPr>
            </w:pPr>
            <w:r>
              <w:rPr>
                <w:rFonts w:hint="eastAsia" w:ascii="宋体" w:hAnsi="宋体" w:cs="宋体"/>
                <w:kern w:val="0"/>
                <w:sz w:val="24"/>
              </w:rPr>
              <w:t>……</w:t>
            </w:r>
          </w:p>
        </w:tc>
        <w:tc>
          <w:tcPr>
            <w:tcW w:w="5465" w:type="dxa"/>
          </w:tcPr>
          <w:p w14:paraId="032ACDD1">
            <w:pPr>
              <w:snapToGrid w:val="0"/>
              <w:spacing w:line="360" w:lineRule="auto"/>
              <w:jc w:val="center"/>
              <w:rPr>
                <w:rFonts w:ascii="宋体" w:hAnsi="宋体" w:cs="宋体"/>
                <w:bCs/>
                <w:sz w:val="24"/>
              </w:rPr>
            </w:pPr>
          </w:p>
        </w:tc>
        <w:tc>
          <w:tcPr>
            <w:tcW w:w="3046" w:type="dxa"/>
          </w:tcPr>
          <w:p w14:paraId="0BD5CA31">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bl>
    <w:p w14:paraId="6F3A6428">
      <w:pPr>
        <w:jc w:val="center"/>
        <w:rPr>
          <w:rFonts w:ascii="宋体" w:hAnsi="宋体" w:cs="宋体"/>
          <w:b/>
          <w:kern w:val="0"/>
          <w:sz w:val="32"/>
          <w:szCs w:val="32"/>
        </w:rPr>
      </w:pPr>
    </w:p>
    <w:p w14:paraId="4A8B45E7">
      <w:pPr>
        <w:jc w:val="center"/>
        <w:rPr>
          <w:rFonts w:ascii="宋体" w:hAnsi="宋体" w:cs="宋体"/>
          <w:b/>
          <w:kern w:val="0"/>
          <w:sz w:val="32"/>
          <w:szCs w:val="32"/>
        </w:rPr>
      </w:pPr>
    </w:p>
    <w:p w14:paraId="4581DA8A">
      <w:pPr>
        <w:jc w:val="center"/>
        <w:rPr>
          <w:rFonts w:ascii="宋体" w:hAnsi="宋体" w:cs="宋体"/>
          <w:b/>
          <w:kern w:val="0"/>
          <w:sz w:val="32"/>
          <w:szCs w:val="32"/>
        </w:rPr>
      </w:pPr>
    </w:p>
    <w:p w14:paraId="0F4D645C">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3711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260F5D4">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13F0DBE0">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73FB32E1">
            <w:pPr>
              <w:spacing w:line="360" w:lineRule="auto"/>
              <w:jc w:val="center"/>
              <w:rPr>
                <w:rFonts w:ascii="宋体" w:hAnsi="宋体" w:cs="宋体"/>
                <w:b/>
                <w:sz w:val="24"/>
              </w:rPr>
            </w:pPr>
          </w:p>
          <w:p w14:paraId="5D74AC46">
            <w:pPr>
              <w:spacing w:line="360" w:lineRule="auto"/>
              <w:jc w:val="center"/>
              <w:rPr>
                <w:rFonts w:ascii="宋体" w:hAnsi="宋体" w:cs="宋体"/>
                <w:b/>
                <w:sz w:val="24"/>
              </w:rPr>
            </w:pPr>
            <w:r>
              <w:rPr>
                <w:rFonts w:hint="eastAsia" w:ascii="宋体" w:hAnsi="宋体" w:cs="宋体"/>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2251E77B">
            <w:pPr>
              <w:spacing w:line="360" w:lineRule="auto"/>
              <w:jc w:val="center"/>
              <w:rPr>
                <w:rFonts w:ascii="宋体" w:hAnsi="宋体" w:cs="宋体"/>
                <w:b/>
                <w:sz w:val="24"/>
              </w:rPr>
            </w:pPr>
            <w:r>
              <w:rPr>
                <w:rFonts w:hint="eastAsia" w:ascii="宋体" w:hAnsi="宋体" w:cs="宋体"/>
                <w:b/>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35F0A6D7">
            <w:pPr>
              <w:spacing w:line="360" w:lineRule="auto"/>
              <w:jc w:val="center"/>
              <w:rPr>
                <w:rFonts w:ascii="宋体" w:hAnsi="宋体" w:cs="宋体"/>
                <w:b/>
                <w:sz w:val="24"/>
              </w:rPr>
            </w:pPr>
            <w:r>
              <w:rPr>
                <w:rFonts w:hint="eastAsia" w:ascii="宋体" w:hAnsi="宋体" w:cs="宋体"/>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40736634">
            <w:pPr>
              <w:spacing w:line="360" w:lineRule="auto"/>
              <w:jc w:val="center"/>
              <w:rPr>
                <w:rFonts w:ascii="宋体" w:hAnsi="宋体" w:cs="宋体"/>
                <w:b/>
                <w:sz w:val="24"/>
              </w:rPr>
            </w:pPr>
            <w:r>
              <w:rPr>
                <w:rFonts w:hint="eastAsia" w:ascii="宋体" w:hAnsi="宋体" w:cs="宋体"/>
                <w:b/>
                <w:sz w:val="24"/>
              </w:rPr>
              <w:t>备注</w:t>
            </w:r>
          </w:p>
        </w:tc>
      </w:tr>
      <w:tr w14:paraId="71CF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0BC9006">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70E30EB2">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517B6DAA">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8A4F6DF">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6ADC5A65">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058715F3">
            <w:pPr>
              <w:spacing w:line="360" w:lineRule="auto"/>
              <w:jc w:val="center"/>
              <w:rPr>
                <w:rFonts w:ascii="宋体" w:hAnsi="宋体" w:cs="宋体"/>
                <w:sz w:val="24"/>
              </w:rPr>
            </w:pPr>
          </w:p>
        </w:tc>
      </w:tr>
      <w:tr w14:paraId="16EB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C53A701">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744EFE49">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05BD0530">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B278E0B">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57137004">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1E28CEF5">
            <w:pPr>
              <w:spacing w:line="360" w:lineRule="auto"/>
              <w:jc w:val="center"/>
              <w:rPr>
                <w:rFonts w:ascii="宋体" w:hAnsi="宋体" w:cs="宋体"/>
                <w:sz w:val="24"/>
              </w:rPr>
            </w:pPr>
          </w:p>
        </w:tc>
      </w:tr>
      <w:tr w14:paraId="6F4B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70CFF9E">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2056BEC7">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1538E5C2">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08B7B0C">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77BEF760">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65867F69">
            <w:pPr>
              <w:spacing w:line="360" w:lineRule="auto"/>
              <w:jc w:val="center"/>
              <w:rPr>
                <w:rFonts w:ascii="宋体" w:hAnsi="宋体" w:cs="宋体"/>
                <w:sz w:val="24"/>
              </w:rPr>
            </w:pPr>
          </w:p>
        </w:tc>
      </w:tr>
    </w:tbl>
    <w:p w14:paraId="5AA173F9">
      <w:pPr>
        <w:spacing w:line="360" w:lineRule="auto"/>
        <w:ind w:right="420"/>
        <w:rPr>
          <w:rFonts w:ascii="宋体" w:hAnsi="宋体" w:cs="宋体"/>
          <w:sz w:val="24"/>
        </w:rPr>
      </w:pPr>
      <w:r>
        <w:rPr>
          <w:rFonts w:hint="eastAsia" w:ascii="宋体" w:hAnsi="宋体" w:cs="宋体"/>
          <w:sz w:val="24"/>
        </w:rPr>
        <w:t>注：按本格式和要求提供。</w:t>
      </w:r>
    </w:p>
    <w:p w14:paraId="05BD7EFF">
      <w:pPr>
        <w:jc w:val="center"/>
        <w:rPr>
          <w:rFonts w:ascii="宋体" w:hAnsi="宋体" w:cs="宋体"/>
          <w:b/>
          <w:kern w:val="0"/>
          <w:sz w:val="32"/>
          <w:szCs w:val="32"/>
        </w:rPr>
      </w:pPr>
    </w:p>
    <w:p w14:paraId="044815D4">
      <w:pPr>
        <w:jc w:val="center"/>
        <w:rPr>
          <w:rFonts w:ascii="宋体" w:hAnsi="宋体" w:cs="宋体"/>
          <w:b/>
          <w:kern w:val="0"/>
          <w:sz w:val="32"/>
          <w:szCs w:val="32"/>
        </w:rPr>
      </w:pPr>
    </w:p>
    <w:p w14:paraId="3563D0E2">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3204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2A6BE5">
            <w:pPr>
              <w:jc w:val="center"/>
              <w:rPr>
                <w:rFonts w:ascii="宋体" w:hAnsi="宋体" w:cs="宋体"/>
                <w:b/>
                <w:bCs/>
                <w:sz w:val="24"/>
              </w:rPr>
            </w:pPr>
            <w:r>
              <w:rPr>
                <w:rFonts w:hint="eastAsia" w:ascii="宋体" w:hAnsi="宋体" w:cs="宋体"/>
                <w:b/>
                <w:bCs/>
                <w:sz w:val="24"/>
              </w:rPr>
              <w:t>序号</w:t>
            </w:r>
          </w:p>
        </w:tc>
        <w:tc>
          <w:tcPr>
            <w:tcW w:w="3683" w:type="dxa"/>
          </w:tcPr>
          <w:p w14:paraId="5F337807">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55314AB2">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239B39CF">
            <w:pPr>
              <w:jc w:val="center"/>
              <w:rPr>
                <w:rFonts w:ascii="宋体" w:hAnsi="宋体" w:cs="宋体"/>
                <w:b/>
                <w:bCs/>
                <w:sz w:val="24"/>
              </w:rPr>
            </w:pPr>
            <w:r>
              <w:rPr>
                <w:rFonts w:hint="eastAsia" w:ascii="宋体" w:hAnsi="宋体" w:cs="宋体"/>
                <w:b/>
                <w:bCs/>
                <w:sz w:val="24"/>
              </w:rPr>
              <w:t>偏离说明</w:t>
            </w:r>
          </w:p>
        </w:tc>
      </w:tr>
      <w:tr w14:paraId="61C2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7E20548">
            <w:pPr>
              <w:jc w:val="center"/>
              <w:rPr>
                <w:rFonts w:ascii="宋体" w:hAnsi="宋体" w:cs="宋体"/>
                <w:kern w:val="0"/>
                <w:sz w:val="24"/>
              </w:rPr>
            </w:pPr>
            <w:r>
              <w:rPr>
                <w:rFonts w:hint="eastAsia" w:ascii="宋体" w:hAnsi="宋体" w:cs="宋体"/>
                <w:kern w:val="0"/>
                <w:sz w:val="24"/>
              </w:rPr>
              <w:t>1</w:t>
            </w:r>
          </w:p>
        </w:tc>
        <w:tc>
          <w:tcPr>
            <w:tcW w:w="3683" w:type="dxa"/>
          </w:tcPr>
          <w:p w14:paraId="51DED425">
            <w:pPr>
              <w:jc w:val="center"/>
              <w:rPr>
                <w:rFonts w:ascii="宋体" w:hAnsi="宋体" w:cs="宋体"/>
                <w:b/>
                <w:kern w:val="0"/>
                <w:sz w:val="32"/>
                <w:szCs w:val="32"/>
              </w:rPr>
            </w:pPr>
          </w:p>
        </w:tc>
        <w:tc>
          <w:tcPr>
            <w:tcW w:w="3546" w:type="dxa"/>
          </w:tcPr>
          <w:p w14:paraId="554C42D5">
            <w:pPr>
              <w:jc w:val="center"/>
              <w:rPr>
                <w:rFonts w:ascii="宋体" w:hAnsi="宋体" w:cs="宋体"/>
                <w:b/>
                <w:kern w:val="0"/>
                <w:sz w:val="32"/>
                <w:szCs w:val="32"/>
              </w:rPr>
            </w:pPr>
          </w:p>
        </w:tc>
        <w:tc>
          <w:tcPr>
            <w:tcW w:w="1276" w:type="dxa"/>
          </w:tcPr>
          <w:p w14:paraId="26EE95C2">
            <w:pPr>
              <w:jc w:val="center"/>
              <w:rPr>
                <w:rFonts w:ascii="宋体" w:hAnsi="宋体" w:cs="宋体"/>
                <w:b/>
                <w:kern w:val="0"/>
                <w:sz w:val="32"/>
                <w:szCs w:val="32"/>
              </w:rPr>
            </w:pPr>
          </w:p>
        </w:tc>
      </w:tr>
      <w:tr w14:paraId="0756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CF5C1A7">
            <w:pPr>
              <w:jc w:val="center"/>
              <w:rPr>
                <w:rFonts w:ascii="宋体" w:hAnsi="宋体" w:cs="宋体"/>
                <w:kern w:val="0"/>
                <w:sz w:val="24"/>
              </w:rPr>
            </w:pPr>
            <w:r>
              <w:rPr>
                <w:rFonts w:hint="eastAsia" w:ascii="宋体" w:hAnsi="宋体" w:cs="宋体"/>
                <w:kern w:val="0"/>
                <w:sz w:val="24"/>
              </w:rPr>
              <w:t>2</w:t>
            </w:r>
          </w:p>
        </w:tc>
        <w:tc>
          <w:tcPr>
            <w:tcW w:w="3683" w:type="dxa"/>
          </w:tcPr>
          <w:p w14:paraId="49DD056C">
            <w:pPr>
              <w:jc w:val="center"/>
              <w:rPr>
                <w:rFonts w:ascii="宋体" w:hAnsi="宋体" w:cs="宋体"/>
                <w:b/>
                <w:kern w:val="0"/>
                <w:sz w:val="32"/>
                <w:szCs w:val="32"/>
              </w:rPr>
            </w:pPr>
          </w:p>
        </w:tc>
        <w:tc>
          <w:tcPr>
            <w:tcW w:w="3546" w:type="dxa"/>
          </w:tcPr>
          <w:p w14:paraId="44D96120">
            <w:pPr>
              <w:jc w:val="center"/>
              <w:rPr>
                <w:rFonts w:ascii="宋体" w:hAnsi="宋体" w:cs="宋体"/>
                <w:b/>
                <w:kern w:val="0"/>
                <w:sz w:val="32"/>
                <w:szCs w:val="32"/>
              </w:rPr>
            </w:pPr>
          </w:p>
        </w:tc>
        <w:tc>
          <w:tcPr>
            <w:tcW w:w="1276" w:type="dxa"/>
          </w:tcPr>
          <w:p w14:paraId="2BAED875">
            <w:pPr>
              <w:jc w:val="center"/>
              <w:rPr>
                <w:rFonts w:ascii="宋体" w:hAnsi="宋体" w:cs="宋体"/>
                <w:b/>
                <w:kern w:val="0"/>
                <w:sz w:val="32"/>
                <w:szCs w:val="32"/>
              </w:rPr>
            </w:pPr>
          </w:p>
        </w:tc>
      </w:tr>
      <w:tr w14:paraId="149D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953FF47">
            <w:pPr>
              <w:jc w:val="center"/>
              <w:rPr>
                <w:rFonts w:ascii="宋体" w:hAnsi="宋体" w:cs="宋体"/>
                <w:kern w:val="0"/>
                <w:sz w:val="24"/>
              </w:rPr>
            </w:pPr>
            <w:r>
              <w:rPr>
                <w:rFonts w:hint="eastAsia" w:ascii="宋体" w:hAnsi="宋体" w:cs="宋体"/>
                <w:kern w:val="0"/>
                <w:sz w:val="24"/>
              </w:rPr>
              <w:t>……</w:t>
            </w:r>
          </w:p>
        </w:tc>
        <w:tc>
          <w:tcPr>
            <w:tcW w:w="3683" w:type="dxa"/>
          </w:tcPr>
          <w:p w14:paraId="600679E3">
            <w:pPr>
              <w:jc w:val="center"/>
              <w:rPr>
                <w:rFonts w:ascii="宋体" w:hAnsi="宋体" w:cs="宋体"/>
                <w:b/>
                <w:kern w:val="0"/>
                <w:sz w:val="32"/>
                <w:szCs w:val="32"/>
              </w:rPr>
            </w:pPr>
          </w:p>
        </w:tc>
        <w:tc>
          <w:tcPr>
            <w:tcW w:w="3546" w:type="dxa"/>
          </w:tcPr>
          <w:p w14:paraId="243B69B3">
            <w:pPr>
              <w:jc w:val="center"/>
              <w:rPr>
                <w:rFonts w:ascii="宋体" w:hAnsi="宋体" w:cs="宋体"/>
                <w:b/>
                <w:kern w:val="0"/>
                <w:sz w:val="32"/>
                <w:szCs w:val="32"/>
              </w:rPr>
            </w:pPr>
          </w:p>
        </w:tc>
        <w:tc>
          <w:tcPr>
            <w:tcW w:w="1276" w:type="dxa"/>
          </w:tcPr>
          <w:p w14:paraId="34349506">
            <w:pPr>
              <w:jc w:val="center"/>
              <w:rPr>
                <w:rFonts w:ascii="宋体" w:hAnsi="宋体" w:cs="宋体"/>
                <w:b/>
                <w:kern w:val="0"/>
                <w:sz w:val="32"/>
                <w:szCs w:val="32"/>
              </w:rPr>
            </w:pPr>
          </w:p>
        </w:tc>
      </w:tr>
    </w:tbl>
    <w:p w14:paraId="470B1440">
      <w:pPr>
        <w:spacing w:line="360" w:lineRule="auto"/>
        <w:ind w:right="420"/>
        <w:rPr>
          <w:rFonts w:ascii="宋体" w:hAnsi="宋体" w:cs="宋体"/>
          <w:sz w:val="24"/>
        </w:rPr>
      </w:pPr>
      <w:r>
        <w:rPr>
          <w:rFonts w:hint="eastAsia" w:ascii="宋体" w:hAnsi="宋体" w:cs="宋体"/>
          <w:sz w:val="24"/>
        </w:rPr>
        <w:t>注：1、按本格式和要求提供。</w:t>
      </w:r>
    </w:p>
    <w:p w14:paraId="4292F528">
      <w:pPr>
        <w:spacing w:line="360" w:lineRule="auto"/>
        <w:ind w:right="420"/>
        <w:rPr>
          <w:rFonts w:ascii="宋体" w:hAnsi="宋体" w:cs="宋体"/>
          <w:sz w:val="24"/>
        </w:rPr>
      </w:pPr>
      <w:r>
        <w:rPr>
          <w:rFonts w:hint="eastAsia" w:ascii="宋体" w:hAnsi="宋体" w:cs="宋体"/>
          <w:sz w:val="24"/>
        </w:rPr>
        <w:t>2、本表格所反映的偏离情况与“符合性审查资料”、“评标标准相应的商务技术资料”不一致的，以“符合性审查资料”、“评标标准相应的商务技术资料”为准。</w:t>
      </w:r>
    </w:p>
    <w:p w14:paraId="4DF2CA4A">
      <w:pPr>
        <w:spacing w:line="360" w:lineRule="auto"/>
        <w:ind w:right="420"/>
        <w:rPr>
          <w:rFonts w:ascii="宋体" w:hAnsi="宋体" w:cs="宋体"/>
          <w:sz w:val="24"/>
        </w:rPr>
      </w:pPr>
      <w:r>
        <w:rPr>
          <w:rFonts w:hint="eastAsia" w:ascii="宋体" w:hAnsi="宋体" w:cs="宋体"/>
          <w:sz w:val="24"/>
        </w:rPr>
        <w:t>3、投标人须保证：除商务技术偏离表列出的偏离外，投标人响应招标文件的全部非实质性要求。</w:t>
      </w:r>
    </w:p>
    <w:p w14:paraId="4B12AD2E">
      <w:pPr>
        <w:spacing w:line="360" w:lineRule="auto"/>
        <w:ind w:right="420"/>
        <w:rPr>
          <w:rFonts w:ascii="宋体" w:hAnsi="宋体" w:cs="宋体"/>
          <w:sz w:val="24"/>
        </w:rPr>
      </w:pPr>
    </w:p>
    <w:p w14:paraId="34971C88">
      <w:pPr>
        <w:ind w:firstLine="1911" w:firstLineChars="595"/>
        <w:rPr>
          <w:rFonts w:ascii="宋体" w:hAnsi="宋体" w:cs="宋体"/>
          <w:b/>
          <w:bCs/>
          <w:sz w:val="32"/>
          <w:szCs w:val="32"/>
        </w:rPr>
      </w:pPr>
    </w:p>
    <w:p w14:paraId="5C2D18E8">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029A722D">
      <w:pPr>
        <w:snapToGrid w:val="0"/>
        <w:spacing w:line="360" w:lineRule="auto"/>
        <w:rPr>
          <w:rFonts w:ascii="宋体" w:hAnsi="宋体" w:cs="宋体"/>
          <w:sz w:val="24"/>
        </w:rPr>
      </w:pPr>
    </w:p>
    <w:p w14:paraId="13614C09">
      <w:pPr>
        <w:snapToGrid w:val="0"/>
        <w:spacing w:line="360" w:lineRule="auto"/>
        <w:rPr>
          <w:rFonts w:ascii="宋体" w:hAnsi="宋体" w:cs="宋体"/>
          <w:kern w:val="0"/>
          <w:sz w:val="24"/>
        </w:rPr>
      </w:pPr>
      <w:r>
        <w:rPr>
          <w:rFonts w:hint="eastAsia" w:ascii="宋体" w:hAnsi="宋体" w:cs="宋体"/>
          <w:sz w:val="24"/>
        </w:rPr>
        <w:t>杭州职业技术大学、杭州市公共资源交易中心</w:t>
      </w:r>
      <w:r>
        <w:rPr>
          <w:rFonts w:hint="eastAsia" w:ascii="宋体" w:hAnsi="宋体" w:cs="宋体"/>
          <w:kern w:val="0"/>
          <w:sz w:val="24"/>
          <w:lang w:val="zh-CN"/>
        </w:rPr>
        <w:t>：</w:t>
      </w:r>
    </w:p>
    <w:p w14:paraId="0A00E74F">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5F2B102C">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116F0A7F">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1B077328">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6D971EC8">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72FCF61C">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7814EEE8">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3B08CC5A">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5EEA802E">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601F2A75">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4E9F65E8">
      <w:pPr>
        <w:autoSpaceDE w:val="0"/>
        <w:autoSpaceDN w:val="0"/>
        <w:spacing w:line="360" w:lineRule="auto"/>
        <w:ind w:left="2"/>
        <w:jc w:val="left"/>
        <w:rPr>
          <w:rFonts w:ascii="宋体" w:hAnsi="宋体" w:cs="宋体"/>
          <w:kern w:val="0"/>
          <w:sz w:val="24"/>
          <w:lang w:val="zh-CN"/>
        </w:rPr>
      </w:pPr>
    </w:p>
    <w:p w14:paraId="31BCEC4F">
      <w:pPr>
        <w:autoSpaceDE w:val="0"/>
        <w:autoSpaceDN w:val="0"/>
        <w:spacing w:line="360" w:lineRule="auto"/>
        <w:ind w:left="2"/>
        <w:jc w:val="left"/>
        <w:rPr>
          <w:rFonts w:ascii="宋体" w:hAnsi="宋体" w:cs="宋体"/>
          <w:kern w:val="0"/>
          <w:sz w:val="24"/>
          <w:lang w:val="zh-CN"/>
        </w:rPr>
      </w:pPr>
    </w:p>
    <w:p w14:paraId="1E0C6AD0">
      <w:pPr>
        <w:autoSpaceDE w:val="0"/>
        <w:autoSpaceDN w:val="0"/>
        <w:spacing w:line="360" w:lineRule="auto"/>
        <w:ind w:left="2"/>
        <w:jc w:val="left"/>
        <w:rPr>
          <w:rFonts w:ascii="宋体" w:hAnsi="宋体" w:cs="宋体"/>
          <w:kern w:val="0"/>
          <w:sz w:val="24"/>
          <w:lang w:val="zh-CN"/>
        </w:rPr>
      </w:pPr>
    </w:p>
    <w:p w14:paraId="0922547E">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532076D4">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2ED4CD0B">
      <w:pPr>
        <w:spacing w:line="360" w:lineRule="auto"/>
        <w:jc w:val="center"/>
        <w:rPr>
          <w:rFonts w:ascii="宋体" w:hAnsi="宋体" w:cs="宋体"/>
          <w:b/>
          <w:bCs/>
          <w:sz w:val="24"/>
        </w:rPr>
      </w:pPr>
    </w:p>
    <w:p w14:paraId="48343D86">
      <w:pPr>
        <w:spacing w:line="360" w:lineRule="auto"/>
        <w:ind w:right="420"/>
        <w:rPr>
          <w:rFonts w:ascii="宋体" w:hAnsi="宋体" w:cs="宋体"/>
          <w:sz w:val="24"/>
        </w:rPr>
      </w:pPr>
      <w:r>
        <w:rPr>
          <w:rFonts w:hint="eastAsia" w:ascii="宋体" w:hAnsi="宋体" w:cs="宋体"/>
          <w:sz w:val="24"/>
        </w:rPr>
        <w:t>注：按本格式和要求提供。</w:t>
      </w:r>
    </w:p>
    <w:p w14:paraId="2DCB0EEE">
      <w:pPr>
        <w:spacing w:line="360" w:lineRule="auto"/>
        <w:jc w:val="center"/>
        <w:rPr>
          <w:rFonts w:ascii="宋体" w:hAnsi="宋体" w:cs="宋体"/>
          <w:b/>
          <w:bCs/>
          <w:sz w:val="24"/>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37F30BCE">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3DABB39D">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4547DED2">
      <w:pPr>
        <w:spacing w:line="360" w:lineRule="auto"/>
        <w:jc w:val="center"/>
        <w:outlineLvl w:val="0"/>
        <w:rPr>
          <w:rFonts w:ascii="宋体" w:hAnsi="宋体" w:cs="宋体"/>
          <w:b/>
          <w:kern w:val="0"/>
          <w:sz w:val="36"/>
          <w:szCs w:val="36"/>
        </w:rPr>
      </w:pPr>
    </w:p>
    <w:p w14:paraId="46A7622A">
      <w:pPr>
        <w:snapToGrid w:val="0"/>
        <w:spacing w:line="360" w:lineRule="auto"/>
        <w:rPr>
          <w:rFonts w:ascii="宋体" w:hAnsi="宋体" w:cs="宋体"/>
          <w:sz w:val="24"/>
        </w:rPr>
      </w:pPr>
      <w:r>
        <w:rPr>
          <w:rFonts w:hint="eastAsia" w:ascii="宋体" w:hAnsi="宋体" w:cs="宋体"/>
          <w:sz w:val="24"/>
        </w:rPr>
        <w:t>（1）开标一览表（报价表）………………………………………………………（页码）</w:t>
      </w:r>
    </w:p>
    <w:p w14:paraId="2976863E">
      <w:pPr>
        <w:snapToGrid w:val="0"/>
        <w:spacing w:line="360" w:lineRule="auto"/>
        <w:rPr>
          <w:rFonts w:ascii="宋体" w:hAnsi="宋体" w:cs="宋体"/>
          <w:sz w:val="24"/>
        </w:rPr>
      </w:pPr>
      <w:r>
        <w:rPr>
          <w:rFonts w:hint="eastAsia" w:ascii="宋体" w:hAnsi="宋体" w:cs="宋体"/>
          <w:sz w:val="24"/>
        </w:rPr>
        <w:t>（2）关于符合本国产品标准的声明函</w:t>
      </w:r>
      <w:r>
        <w:rPr>
          <w:rFonts w:hint="eastAsia" w:ascii="宋体" w:hAnsi="宋体" w:cs="宋体"/>
          <w:bCs/>
          <w:sz w:val="24"/>
        </w:rPr>
        <w:t>或财政部会同有关部门规定的有关证明文件</w:t>
      </w:r>
      <w:r>
        <w:rPr>
          <w:rFonts w:hint="eastAsia" w:ascii="宋体" w:hAnsi="宋体" w:cs="宋体"/>
          <w:sz w:val="24"/>
        </w:rPr>
        <w:t>………………………………………………………………………………………（页码）</w:t>
      </w:r>
    </w:p>
    <w:p w14:paraId="540B10F2">
      <w:pPr>
        <w:snapToGrid w:val="0"/>
        <w:spacing w:line="360" w:lineRule="auto"/>
        <w:rPr>
          <w:rFonts w:ascii="宋体" w:hAnsi="宋体" w:cs="宋体"/>
          <w:sz w:val="24"/>
        </w:rPr>
      </w:pPr>
      <w:r>
        <w:rPr>
          <w:rFonts w:hint="eastAsia" w:ascii="宋体" w:hAnsi="宋体" w:cs="宋体"/>
          <w:sz w:val="24"/>
        </w:rPr>
        <w:t>（3）中小企业声明函………………………………………………………………（页码）</w:t>
      </w:r>
    </w:p>
    <w:p w14:paraId="5787F939">
      <w:pPr>
        <w:snapToGrid w:val="0"/>
        <w:spacing w:line="360" w:lineRule="auto"/>
        <w:ind w:right="480"/>
        <w:jc w:val="center"/>
        <w:rPr>
          <w:rFonts w:ascii="宋体" w:hAnsi="宋体" w:cs="宋体"/>
          <w:b/>
          <w:kern w:val="0"/>
          <w:sz w:val="32"/>
          <w:szCs w:val="32"/>
        </w:rPr>
      </w:pPr>
    </w:p>
    <w:p w14:paraId="1051786D">
      <w:pPr>
        <w:snapToGrid w:val="0"/>
        <w:spacing w:line="360" w:lineRule="auto"/>
        <w:ind w:right="480"/>
        <w:jc w:val="center"/>
        <w:rPr>
          <w:rFonts w:ascii="宋体" w:hAnsi="宋体" w:cs="宋体"/>
          <w:b/>
          <w:kern w:val="0"/>
          <w:sz w:val="32"/>
          <w:szCs w:val="32"/>
        </w:rPr>
      </w:pPr>
    </w:p>
    <w:p w14:paraId="4962C8A0">
      <w:pPr>
        <w:snapToGrid w:val="0"/>
        <w:spacing w:line="360" w:lineRule="auto"/>
        <w:ind w:right="480"/>
        <w:jc w:val="center"/>
        <w:rPr>
          <w:rFonts w:ascii="宋体" w:hAnsi="宋体" w:cs="宋体"/>
          <w:b/>
          <w:kern w:val="0"/>
          <w:sz w:val="32"/>
          <w:szCs w:val="32"/>
        </w:rPr>
      </w:pPr>
    </w:p>
    <w:p w14:paraId="60EF73AE">
      <w:pPr>
        <w:snapToGrid w:val="0"/>
        <w:spacing w:line="360" w:lineRule="auto"/>
        <w:ind w:right="480"/>
        <w:jc w:val="center"/>
        <w:rPr>
          <w:rFonts w:ascii="宋体" w:hAnsi="宋体" w:cs="宋体"/>
          <w:b/>
          <w:kern w:val="0"/>
          <w:sz w:val="32"/>
          <w:szCs w:val="32"/>
        </w:rPr>
      </w:pPr>
    </w:p>
    <w:p w14:paraId="15675306">
      <w:pPr>
        <w:snapToGrid w:val="0"/>
        <w:spacing w:line="360" w:lineRule="auto"/>
        <w:ind w:right="480"/>
        <w:jc w:val="center"/>
        <w:rPr>
          <w:rFonts w:ascii="宋体" w:hAnsi="宋体" w:cs="宋体"/>
          <w:b/>
          <w:kern w:val="0"/>
          <w:sz w:val="32"/>
          <w:szCs w:val="32"/>
        </w:rPr>
      </w:pPr>
    </w:p>
    <w:p w14:paraId="15CCCBD9">
      <w:pPr>
        <w:snapToGrid w:val="0"/>
        <w:spacing w:line="360" w:lineRule="auto"/>
        <w:ind w:right="480"/>
        <w:jc w:val="center"/>
        <w:rPr>
          <w:rFonts w:ascii="宋体" w:hAnsi="宋体" w:cs="宋体"/>
          <w:b/>
          <w:kern w:val="0"/>
          <w:sz w:val="32"/>
          <w:szCs w:val="32"/>
        </w:rPr>
      </w:pPr>
    </w:p>
    <w:p w14:paraId="5C7D15F6">
      <w:pPr>
        <w:snapToGrid w:val="0"/>
        <w:spacing w:line="360" w:lineRule="auto"/>
        <w:ind w:right="480"/>
        <w:jc w:val="center"/>
        <w:rPr>
          <w:rFonts w:ascii="宋体" w:hAnsi="宋体" w:cs="宋体"/>
          <w:b/>
          <w:kern w:val="0"/>
          <w:sz w:val="32"/>
          <w:szCs w:val="32"/>
        </w:rPr>
      </w:pPr>
    </w:p>
    <w:p w14:paraId="5AB8F074">
      <w:pPr>
        <w:snapToGrid w:val="0"/>
        <w:spacing w:line="360" w:lineRule="auto"/>
        <w:ind w:right="480"/>
        <w:jc w:val="center"/>
        <w:rPr>
          <w:rFonts w:ascii="宋体" w:hAnsi="宋体" w:cs="宋体"/>
          <w:b/>
          <w:kern w:val="0"/>
          <w:sz w:val="32"/>
          <w:szCs w:val="32"/>
        </w:rPr>
      </w:pPr>
    </w:p>
    <w:p w14:paraId="489D284A">
      <w:pPr>
        <w:snapToGrid w:val="0"/>
        <w:spacing w:line="360" w:lineRule="auto"/>
        <w:ind w:right="480"/>
        <w:jc w:val="center"/>
        <w:rPr>
          <w:rFonts w:ascii="宋体" w:hAnsi="宋体" w:cs="宋体"/>
          <w:b/>
          <w:kern w:val="0"/>
          <w:sz w:val="32"/>
          <w:szCs w:val="32"/>
        </w:rPr>
      </w:pPr>
    </w:p>
    <w:p w14:paraId="39800D8A">
      <w:pPr>
        <w:snapToGrid w:val="0"/>
        <w:spacing w:line="360" w:lineRule="auto"/>
        <w:ind w:right="480"/>
        <w:jc w:val="center"/>
        <w:rPr>
          <w:rFonts w:ascii="宋体" w:hAnsi="宋体" w:cs="宋体"/>
          <w:b/>
          <w:kern w:val="0"/>
          <w:sz w:val="32"/>
          <w:szCs w:val="32"/>
        </w:rPr>
      </w:pPr>
    </w:p>
    <w:p w14:paraId="4A9D610F">
      <w:pPr>
        <w:snapToGrid w:val="0"/>
        <w:spacing w:line="360" w:lineRule="auto"/>
        <w:ind w:right="480"/>
        <w:jc w:val="center"/>
        <w:rPr>
          <w:rFonts w:ascii="宋体" w:hAnsi="宋体" w:cs="宋体"/>
          <w:b/>
          <w:kern w:val="0"/>
          <w:sz w:val="32"/>
          <w:szCs w:val="32"/>
        </w:rPr>
      </w:pPr>
    </w:p>
    <w:p w14:paraId="4D0D5861">
      <w:pPr>
        <w:snapToGrid w:val="0"/>
        <w:spacing w:line="360" w:lineRule="auto"/>
        <w:ind w:right="480"/>
        <w:jc w:val="center"/>
        <w:rPr>
          <w:rFonts w:ascii="宋体" w:hAnsi="宋体" w:cs="宋体"/>
          <w:b/>
          <w:kern w:val="0"/>
          <w:sz w:val="32"/>
          <w:szCs w:val="32"/>
        </w:rPr>
      </w:pPr>
    </w:p>
    <w:p w14:paraId="440F9B88">
      <w:pPr>
        <w:snapToGrid w:val="0"/>
        <w:spacing w:line="360" w:lineRule="auto"/>
        <w:ind w:right="480"/>
        <w:jc w:val="center"/>
        <w:rPr>
          <w:rFonts w:ascii="宋体" w:hAnsi="宋体" w:cs="宋体"/>
          <w:b/>
          <w:kern w:val="0"/>
          <w:sz w:val="32"/>
          <w:szCs w:val="32"/>
        </w:rPr>
      </w:pPr>
    </w:p>
    <w:p w14:paraId="35E0FF8B">
      <w:pPr>
        <w:snapToGrid w:val="0"/>
        <w:spacing w:line="360" w:lineRule="auto"/>
        <w:ind w:right="480"/>
        <w:jc w:val="center"/>
        <w:rPr>
          <w:rFonts w:ascii="宋体" w:hAnsi="宋体" w:cs="宋体"/>
          <w:b/>
          <w:kern w:val="0"/>
          <w:sz w:val="32"/>
          <w:szCs w:val="32"/>
        </w:rPr>
      </w:pPr>
    </w:p>
    <w:p w14:paraId="7FBE2E2E">
      <w:pPr>
        <w:snapToGrid w:val="0"/>
        <w:spacing w:line="360" w:lineRule="auto"/>
        <w:ind w:right="480"/>
        <w:jc w:val="center"/>
        <w:rPr>
          <w:rFonts w:ascii="宋体" w:hAnsi="宋体" w:cs="宋体"/>
          <w:b/>
          <w:kern w:val="0"/>
          <w:sz w:val="32"/>
          <w:szCs w:val="32"/>
        </w:rPr>
      </w:pPr>
    </w:p>
    <w:p w14:paraId="778FF0CE">
      <w:pPr>
        <w:pStyle w:val="697"/>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13E526AE">
      <w:pPr>
        <w:pStyle w:val="697"/>
        <w:keepNext w:val="0"/>
        <w:pageBreakBefore w:val="0"/>
        <w:tabs>
          <w:tab w:val="clear" w:pos="720"/>
        </w:tabs>
        <w:snapToGrid w:val="0"/>
        <w:spacing w:before="120" w:after="120"/>
        <w:ind w:firstLine="643"/>
        <w:outlineLvl w:val="9"/>
        <w:rPr>
          <w:rFonts w:ascii="宋体" w:hAnsi="宋体" w:eastAsia="宋体" w:cs="宋体"/>
          <w:kern w:val="2"/>
          <w:sz w:val="32"/>
          <w:szCs w:val="32"/>
        </w:rPr>
      </w:pPr>
      <w:r>
        <w:rPr>
          <w:rFonts w:hint="eastAsia" w:ascii="宋体" w:hAnsi="宋体" w:eastAsia="宋体" w:cs="宋体"/>
          <w:kern w:val="2"/>
          <w:sz w:val="32"/>
          <w:szCs w:val="32"/>
        </w:rPr>
        <w:t>一、开标一览表（报价表）</w:t>
      </w:r>
    </w:p>
    <w:p w14:paraId="5AFBC842">
      <w:pPr>
        <w:snapToGrid w:val="0"/>
        <w:spacing w:line="360" w:lineRule="auto"/>
        <w:rPr>
          <w:rFonts w:ascii="宋体" w:hAnsi="宋体" w:cs="宋体"/>
          <w:kern w:val="0"/>
          <w:sz w:val="24"/>
        </w:rPr>
      </w:pPr>
      <w:r>
        <w:rPr>
          <w:rFonts w:hint="eastAsia" w:ascii="宋体" w:hAnsi="宋体" w:cs="宋体"/>
          <w:sz w:val="24"/>
        </w:rPr>
        <w:t>杭州职业技术大学、杭州市公共资源交易中心</w:t>
      </w:r>
      <w:r>
        <w:rPr>
          <w:rFonts w:hint="eastAsia" w:ascii="宋体" w:hAnsi="宋体" w:cs="宋体"/>
          <w:kern w:val="0"/>
          <w:sz w:val="24"/>
          <w:lang w:val="zh-CN"/>
        </w:rPr>
        <w:t>：</w:t>
      </w:r>
    </w:p>
    <w:p w14:paraId="1378EDD4">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w:t>
      </w:r>
      <w:r>
        <w:rPr>
          <w:rFonts w:hint="eastAsia" w:ascii="宋体" w:hAnsi="宋体" w:cs="宋体"/>
          <w:kern w:val="0"/>
          <w:sz w:val="24"/>
        </w:rPr>
        <w:t>报价</w:t>
      </w:r>
      <w:r>
        <w:rPr>
          <w:rFonts w:hint="eastAsia" w:ascii="宋体" w:hAnsi="宋体" w:cs="宋体"/>
          <w:kern w:val="0"/>
          <w:sz w:val="24"/>
          <w:lang w:val="zh-CN"/>
        </w:rPr>
        <w:t>完成</w:t>
      </w:r>
      <w:r>
        <w:rPr>
          <w:rFonts w:hint="eastAsia" w:ascii="宋体" w:hAnsi="宋体" w:cs="宋体"/>
          <w:sz w:val="24"/>
        </w:rPr>
        <w:t>杭州职业技术大学</w:t>
      </w:r>
      <w:r>
        <w:rPr>
          <w:rFonts w:hint="eastAsia" w:ascii="宋体" w:hAnsi="宋体" w:cs="宋体"/>
          <w:sz w:val="24"/>
          <w:lang w:eastAsia="zh-CN"/>
        </w:rPr>
        <w:t>新安江校区通用机房</w:t>
      </w:r>
      <w:r>
        <w:rPr>
          <w:rFonts w:hint="eastAsia" w:ascii="宋体" w:hAnsi="宋体" w:cs="宋体"/>
          <w:sz w:val="24"/>
        </w:rPr>
        <w:t>建设项目</w:t>
      </w:r>
      <w:r>
        <w:rPr>
          <w:rFonts w:hint="eastAsia" w:ascii="宋体" w:hAnsi="宋体" w:cs="宋体"/>
          <w:kern w:val="0"/>
          <w:sz w:val="24"/>
          <w:lang w:val="zh-CN"/>
        </w:rPr>
        <w:t>【招标编号：</w:t>
      </w:r>
      <w:r>
        <w:rPr>
          <w:rFonts w:hint="eastAsia" w:ascii="宋体" w:hAnsi="宋体" w:cs="宋体"/>
          <w:sz w:val="24"/>
        </w:rPr>
        <w:t>HZZFCG-2026-074】的实施</w:t>
      </w:r>
      <w:r>
        <w:rPr>
          <w:rFonts w:hint="eastAsia" w:ascii="宋体" w:hAnsi="宋体" w:cs="宋体"/>
          <w:kern w:val="0"/>
          <w:sz w:val="24"/>
          <w:lang w:val="zh-CN"/>
        </w:rPr>
        <w:t>。</w:t>
      </w:r>
    </w:p>
    <w:p w14:paraId="560B2DE7">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4601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7092C744">
            <w:pPr>
              <w:spacing w:line="360" w:lineRule="auto"/>
              <w:jc w:val="center"/>
              <w:rPr>
                <w:rFonts w:ascii="宋体" w:hAnsi="宋体" w:cs="宋体"/>
                <w:b/>
                <w:sz w:val="24"/>
              </w:rPr>
            </w:pPr>
            <w:r>
              <w:rPr>
                <w:rFonts w:hint="eastAsia" w:ascii="宋体" w:hAnsi="宋体" w:cs="宋体"/>
                <w:b/>
                <w:sz w:val="24"/>
              </w:rPr>
              <w:t>序号</w:t>
            </w:r>
          </w:p>
        </w:tc>
        <w:tc>
          <w:tcPr>
            <w:tcW w:w="1417" w:type="dxa"/>
            <w:vAlign w:val="center"/>
          </w:tcPr>
          <w:p w14:paraId="083BE6DE">
            <w:pPr>
              <w:spacing w:line="360" w:lineRule="auto"/>
              <w:jc w:val="center"/>
              <w:rPr>
                <w:rFonts w:ascii="宋体" w:hAnsi="宋体" w:cs="宋体"/>
                <w:b/>
                <w:sz w:val="24"/>
              </w:rPr>
            </w:pPr>
            <w:r>
              <w:rPr>
                <w:rFonts w:hint="eastAsia" w:ascii="宋体" w:hAnsi="宋体" w:cs="宋体"/>
                <w:b/>
                <w:sz w:val="24"/>
              </w:rPr>
              <w:t>名称</w:t>
            </w:r>
          </w:p>
        </w:tc>
        <w:tc>
          <w:tcPr>
            <w:tcW w:w="1843" w:type="dxa"/>
          </w:tcPr>
          <w:p w14:paraId="225FC74B">
            <w:pPr>
              <w:spacing w:line="360" w:lineRule="auto"/>
              <w:jc w:val="center"/>
              <w:rPr>
                <w:rFonts w:ascii="宋体" w:hAnsi="宋体" w:cs="宋体"/>
                <w:b/>
                <w:sz w:val="24"/>
              </w:rPr>
            </w:pPr>
          </w:p>
          <w:p w14:paraId="59B21861">
            <w:pPr>
              <w:spacing w:line="360" w:lineRule="auto"/>
              <w:jc w:val="center"/>
              <w:rPr>
                <w:rFonts w:ascii="宋体" w:hAnsi="宋体" w:cs="宋体"/>
                <w:b/>
                <w:sz w:val="24"/>
              </w:rPr>
            </w:pPr>
            <w:r>
              <w:rPr>
                <w:rFonts w:hint="eastAsia" w:ascii="宋体" w:hAnsi="宋体" w:cs="宋体"/>
                <w:b/>
                <w:sz w:val="24"/>
              </w:rPr>
              <w:t>品牌（如果有）</w:t>
            </w:r>
          </w:p>
        </w:tc>
        <w:tc>
          <w:tcPr>
            <w:tcW w:w="3118" w:type="dxa"/>
            <w:vAlign w:val="center"/>
          </w:tcPr>
          <w:p w14:paraId="3C0B05BC">
            <w:pPr>
              <w:spacing w:line="360" w:lineRule="auto"/>
              <w:jc w:val="center"/>
              <w:rPr>
                <w:rFonts w:ascii="宋体" w:hAnsi="宋体" w:cs="宋体"/>
                <w:b/>
                <w:sz w:val="24"/>
              </w:rPr>
            </w:pPr>
            <w:r>
              <w:rPr>
                <w:rFonts w:hint="eastAsia" w:ascii="宋体" w:hAnsi="宋体" w:cs="宋体"/>
                <w:b/>
                <w:sz w:val="24"/>
              </w:rPr>
              <w:t>规格型号</w:t>
            </w:r>
          </w:p>
        </w:tc>
        <w:tc>
          <w:tcPr>
            <w:tcW w:w="993" w:type="dxa"/>
            <w:vAlign w:val="center"/>
          </w:tcPr>
          <w:p w14:paraId="7D48E129">
            <w:pPr>
              <w:spacing w:line="360" w:lineRule="auto"/>
              <w:jc w:val="center"/>
              <w:rPr>
                <w:rFonts w:ascii="宋体" w:hAnsi="宋体" w:cs="宋体"/>
                <w:b/>
                <w:sz w:val="24"/>
              </w:rPr>
            </w:pPr>
            <w:r>
              <w:rPr>
                <w:rFonts w:hint="eastAsia" w:ascii="宋体" w:hAnsi="宋体" w:cs="宋体"/>
                <w:b/>
                <w:sz w:val="24"/>
              </w:rPr>
              <w:t>数量</w:t>
            </w:r>
          </w:p>
        </w:tc>
        <w:tc>
          <w:tcPr>
            <w:tcW w:w="1559" w:type="dxa"/>
            <w:vAlign w:val="center"/>
          </w:tcPr>
          <w:p w14:paraId="6FB06CC1">
            <w:pPr>
              <w:spacing w:line="360" w:lineRule="auto"/>
              <w:jc w:val="center"/>
              <w:rPr>
                <w:rFonts w:ascii="宋体" w:hAnsi="宋体" w:cs="宋体"/>
                <w:b/>
                <w:sz w:val="24"/>
              </w:rPr>
            </w:pPr>
            <w:r>
              <w:rPr>
                <w:rFonts w:hint="eastAsia" w:ascii="宋体" w:hAnsi="宋体" w:cs="宋体"/>
                <w:b/>
                <w:sz w:val="24"/>
              </w:rPr>
              <w:t>单价</w:t>
            </w:r>
          </w:p>
        </w:tc>
        <w:tc>
          <w:tcPr>
            <w:tcW w:w="1984" w:type="dxa"/>
            <w:vAlign w:val="center"/>
          </w:tcPr>
          <w:p w14:paraId="39676E76">
            <w:pPr>
              <w:spacing w:line="360" w:lineRule="auto"/>
              <w:jc w:val="center"/>
              <w:rPr>
                <w:rFonts w:ascii="宋体" w:hAnsi="宋体" w:cs="宋体"/>
                <w:b/>
                <w:sz w:val="24"/>
              </w:rPr>
            </w:pPr>
            <w:r>
              <w:rPr>
                <w:rFonts w:hint="eastAsia" w:ascii="宋体" w:hAnsi="宋体" w:cs="宋体"/>
                <w:b/>
                <w:sz w:val="24"/>
              </w:rPr>
              <w:t>合计</w:t>
            </w:r>
          </w:p>
        </w:tc>
        <w:tc>
          <w:tcPr>
            <w:tcW w:w="3119" w:type="dxa"/>
            <w:vAlign w:val="center"/>
          </w:tcPr>
          <w:p w14:paraId="39D8B01F">
            <w:pPr>
              <w:spacing w:line="360" w:lineRule="auto"/>
              <w:jc w:val="center"/>
              <w:rPr>
                <w:rFonts w:ascii="宋体" w:hAnsi="宋体" w:cs="宋体"/>
                <w:b/>
                <w:sz w:val="24"/>
              </w:rPr>
            </w:pPr>
          </w:p>
          <w:p w14:paraId="36A65D94">
            <w:pPr>
              <w:spacing w:line="360" w:lineRule="auto"/>
              <w:jc w:val="center"/>
              <w:rPr>
                <w:rFonts w:ascii="宋体" w:hAnsi="宋体" w:cs="宋体"/>
                <w:b/>
                <w:sz w:val="24"/>
              </w:rPr>
            </w:pPr>
            <w:r>
              <w:rPr>
                <w:rFonts w:hint="eastAsia" w:ascii="宋体" w:hAnsi="宋体" w:cs="宋体"/>
                <w:b/>
                <w:sz w:val="24"/>
              </w:rPr>
              <w:t>备注（如果有）</w:t>
            </w:r>
          </w:p>
          <w:p w14:paraId="5E117CFF">
            <w:pPr>
              <w:spacing w:line="360" w:lineRule="auto"/>
              <w:jc w:val="center"/>
              <w:rPr>
                <w:rFonts w:ascii="宋体" w:hAnsi="宋体" w:cs="宋体"/>
                <w:b/>
                <w:sz w:val="24"/>
              </w:rPr>
            </w:pPr>
          </w:p>
        </w:tc>
      </w:tr>
      <w:tr w14:paraId="02C5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26CE346C">
            <w:pPr>
              <w:spacing w:line="360" w:lineRule="auto"/>
              <w:jc w:val="center"/>
              <w:rPr>
                <w:rFonts w:ascii="宋体" w:hAnsi="宋体" w:cs="宋体"/>
                <w:sz w:val="24"/>
              </w:rPr>
            </w:pPr>
            <w:r>
              <w:rPr>
                <w:rFonts w:hint="eastAsia" w:ascii="宋体" w:hAnsi="宋体" w:cs="宋体"/>
                <w:sz w:val="24"/>
              </w:rPr>
              <w:t>1</w:t>
            </w:r>
          </w:p>
        </w:tc>
        <w:tc>
          <w:tcPr>
            <w:tcW w:w="1417" w:type="dxa"/>
            <w:vAlign w:val="center"/>
          </w:tcPr>
          <w:p w14:paraId="4408EE3F">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843" w:type="dxa"/>
            <w:vAlign w:val="center"/>
          </w:tcPr>
          <w:p w14:paraId="5BA9466F">
            <w:pPr>
              <w:snapToGrid w:val="0"/>
              <w:spacing w:line="360" w:lineRule="auto"/>
              <w:jc w:val="center"/>
              <w:rPr>
                <w:rFonts w:ascii="宋体" w:hAnsi="宋体" w:cs="宋体"/>
                <w:sz w:val="24"/>
              </w:rPr>
            </w:pPr>
          </w:p>
        </w:tc>
        <w:tc>
          <w:tcPr>
            <w:tcW w:w="3118" w:type="dxa"/>
            <w:vAlign w:val="center"/>
          </w:tcPr>
          <w:p w14:paraId="577BB00D">
            <w:pPr>
              <w:snapToGrid w:val="0"/>
              <w:spacing w:line="360" w:lineRule="auto"/>
              <w:jc w:val="center"/>
              <w:rPr>
                <w:rFonts w:ascii="宋体" w:hAnsi="宋体" w:cs="宋体"/>
                <w:sz w:val="24"/>
              </w:rPr>
            </w:pPr>
          </w:p>
        </w:tc>
        <w:tc>
          <w:tcPr>
            <w:tcW w:w="993" w:type="dxa"/>
            <w:vAlign w:val="center"/>
          </w:tcPr>
          <w:p w14:paraId="45B239D4">
            <w:pPr>
              <w:snapToGrid w:val="0"/>
              <w:spacing w:line="360" w:lineRule="auto"/>
              <w:jc w:val="center"/>
              <w:rPr>
                <w:rFonts w:ascii="宋体" w:hAnsi="宋体" w:cs="宋体"/>
                <w:sz w:val="24"/>
              </w:rPr>
            </w:pPr>
          </w:p>
        </w:tc>
        <w:tc>
          <w:tcPr>
            <w:tcW w:w="1559" w:type="dxa"/>
            <w:vAlign w:val="center"/>
          </w:tcPr>
          <w:p w14:paraId="70218CE4">
            <w:pPr>
              <w:spacing w:line="360" w:lineRule="auto"/>
              <w:jc w:val="center"/>
              <w:rPr>
                <w:rFonts w:ascii="宋体" w:hAnsi="宋体" w:cs="宋体"/>
                <w:sz w:val="24"/>
              </w:rPr>
            </w:pPr>
          </w:p>
        </w:tc>
        <w:tc>
          <w:tcPr>
            <w:tcW w:w="1984" w:type="dxa"/>
            <w:vAlign w:val="center"/>
          </w:tcPr>
          <w:p w14:paraId="1E41CEC4">
            <w:pPr>
              <w:spacing w:line="360" w:lineRule="auto"/>
              <w:jc w:val="center"/>
              <w:rPr>
                <w:rFonts w:ascii="宋体" w:hAnsi="宋体" w:cs="宋体"/>
                <w:sz w:val="24"/>
              </w:rPr>
            </w:pPr>
          </w:p>
        </w:tc>
        <w:tc>
          <w:tcPr>
            <w:tcW w:w="3119" w:type="dxa"/>
            <w:vAlign w:val="center"/>
          </w:tcPr>
          <w:p w14:paraId="4AE4780F">
            <w:pPr>
              <w:spacing w:line="360" w:lineRule="auto"/>
              <w:jc w:val="center"/>
              <w:rPr>
                <w:rFonts w:ascii="宋体" w:hAnsi="宋体" w:cs="宋体"/>
                <w:sz w:val="24"/>
              </w:rPr>
            </w:pPr>
          </w:p>
        </w:tc>
      </w:tr>
      <w:tr w14:paraId="5F8D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0F974AF7">
            <w:pPr>
              <w:spacing w:line="360" w:lineRule="auto"/>
              <w:jc w:val="center"/>
              <w:rPr>
                <w:rFonts w:ascii="宋体" w:hAnsi="宋体" w:cs="宋体"/>
                <w:sz w:val="24"/>
              </w:rPr>
            </w:pPr>
            <w:r>
              <w:rPr>
                <w:rFonts w:hint="eastAsia" w:ascii="宋体" w:hAnsi="宋体" w:cs="宋体"/>
                <w:sz w:val="24"/>
              </w:rPr>
              <w:t>2</w:t>
            </w:r>
          </w:p>
        </w:tc>
        <w:tc>
          <w:tcPr>
            <w:tcW w:w="1417" w:type="dxa"/>
            <w:vAlign w:val="center"/>
          </w:tcPr>
          <w:p w14:paraId="7ECCF9B0">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843" w:type="dxa"/>
            <w:vAlign w:val="center"/>
          </w:tcPr>
          <w:p w14:paraId="62422C05">
            <w:pPr>
              <w:snapToGrid w:val="0"/>
              <w:spacing w:line="360" w:lineRule="auto"/>
              <w:jc w:val="center"/>
              <w:rPr>
                <w:rFonts w:ascii="宋体" w:hAnsi="宋体" w:cs="宋体"/>
                <w:sz w:val="24"/>
              </w:rPr>
            </w:pPr>
          </w:p>
        </w:tc>
        <w:tc>
          <w:tcPr>
            <w:tcW w:w="3118" w:type="dxa"/>
            <w:vAlign w:val="center"/>
          </w:tcPr>
          <w:p w14:paraId="7C374274">
            <w:pPr>
              <w:snapToGrid w:val="0"/>
              <w:spacing w:line="360" w:lineRule="auto"/>
              <w:jc w:val="center"/>
              <w:rPr>
                <w:rFonts w:ascii="宋体" w:hAnsi="宋体" w:cs="宋体"/>
                <w:sz w:val="24"/>
              </w:rPr>
            </w:pPr>
          </w:p>
        </w:tc>
        <w:tc>
          <w:tcPr>
            <w:tcW w:w="993" w:type="dxa"/>
            <w:vAlign w:val="center"/>
          </w:tcPr>
          <w:p w14:paraId="60733909">
            <w:pPr>
              <w:snapToGrid w:val="0"/>
              <w:spacing w:line="360" w:lineRule="auto"/>
              <w:jc w:val="center"/>
              <w:rPr>
                <w:rFonts w:ascii="宋体" w:hAnsi="宋体" w:cs="宋体"/>
                <w:sz w:val="24"/>
              </w:rPr>
            </w:pPr>
          </w:p>
        </w:tc>
        <w:tc>
          <w:tcPr>
            <w:tcW w:w="1559" w:type="dxa"/>
            <w:vAlign w:val="center"/>
          </w:tcPr>
          <w:p w14:paraId="4D5D82A8">
            <w:pPr>
              <w:spacing w:line="360" w:lineRule="auto"/>
              <w:jc w:val="center"/>
              <w:rPr>
                <w:rFonts w:ascii="宋体" w:hAnsi="宋体" w:cs="宋体"/>
                <w:sz w:val="24"/>
              </w:rPr>
            </w:pPr>
          </w:p>
        </w:tc>
        <w:tc>
          <w:tcPr>
            <w:tcW w:w="1984" w:type="dxa"/>
            <w:vAlign w:val="center"/>
          </w:tcPr>
          <w:p w14:paraId="2A826115">
            <w:pPr>
              <w:spacing w:line="360" w:lineRule="auto"/>
              <w:jc w:val="center"/>
              <w:rPr>
                <w:rFonts w:ascii="宋体" w:hAnsi="宋体" w:cs="宋体"/>
                <w:sz w:val="24"/>
              </w:rPr>
            </w:pPr>
          </w:p>
        </w:tc>
        <w:tc>
          <w:tcPr>
            <w:tcW w:w="3119" w:type="dxa"/>
            <w:vAlign w:val="center"/>
          </w:tcPr>
          <w:p w14:paraId="1207B786">
            <w:pPr>
              <w:spacing w:line="360" w:lineRule="auto"/>
              <w:jc w:val="center"/>
              <w:rPr>
                <w:rFonts w:ascii="宋体" w:hAnsi="宋体" w:cs="宋体"/>
                <w:sz w:val="24"/>
              </w:rPr>
            </w:pPr>
          </w:p>
        </w:tc>
      </w:tr>
      <w:tr w14:paraId="49C0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7D8DFECF">
            <w:pPr>
              <w:spacing w:line="360" w:lineRule="auto"/>
              <w:jc w:val="center"/>
              <w:rPr>
                <w:rFonts w:ascii="宋体" w:hAnsi="宋体" w:cs="宋体"/>
                <w:sz w:val="24"/>
              </w:rPr>
            </w:pPr>
            <w:r>
              <w:rPr>
                <w:rFonts w:hint="eastAsia" w:ascii="宋体" w:hAnsi="宋体" w:cs="宋体"/>
                <w:sz w:val="24"/>
              </w:rPr>
              <w:t>…</w:t>
            </w:r>
          </w:p>
        </w:tc>
        <w:tc>
          <w:tcPr>
            <w:tcW w:w="1417" w:type="dxa"/>
            <w:vAlign w:val="center"/>
          </w:tcPr>
          <w:p w14:paraId="2145737C">
            <w:pPr>
              <w:snapToGrid w:val="0"/>
              <w:spacing w:line="360" w:lineRule="auto"/>
              <w:jc w:val="center"/>
              <w:rPr>
                <w:rFonts w:ascii="宋体" w:hAnsi="宋体" w:cs="宋体"/>
                <w:sz w:val="24"/>
              </w:rPr>
            </w:pPr>
          </w:p>
        </w:tc>
        <w:tc>
          <w:tcPr>
            <w:tcW w:w="1843" w:type="dxa"/>
            <w:vAlign w:val="center"/>
          </w:tcPr>
          <w:p w14:paraId="607C62BA">
            <w:pPr>
              <w:snapToGrid w:val="0"/>
              <w:spacing w:line="360" w:lineRule="auto"/>
              <w:jc w:val="center"/>
              <w:rPr>
                <w:rFonts w:ascii="宋体" w:hAnsi="宋体" w:cs="宋体"/>
                <w:sz w:val="24"/>
              </w:rPr>
            </w:pPr>
          </w:p>
        </w:tc>
        <w:tc>
          <w:tcPr>
            <w:tcW w:w="3118" w:type="dxa"/>
            <w:vAlign w:val="center"/>
          </w:tcPr>
          <w:p w14:paraId="5E327D85">
            <w:pPr>
              <w:snapToGrid w:val="0"/>
              <w:spacing w:line="360" w:lineRule="auto"/>
              <w:jc w:val="center"/>
              <w:rPr>
                <w:rFonts w:ascii="宋体" w:hAnsi="宋体" w:cs="宋体"/>
                <w:sz w:val="24"/>
              </w:rPr>
            </w:pPr>
          </w:p>
        </w:tc>
        <w:tc>
          <w:tcPr>
            <w:tcW w:w="993" w:type="dxa"/>
            <w:vAlign w:val="center"/>
          </w:tcPr>
          <w:p w14:paraId="45742009">
            <w:pPr>
              <w:snapToGrid w:val="0"/>
              <w:spacing w:line="360" w:lineRule="auto"/>
              <w:jc w:val="center"/>
              <w:rPr>
                <w:rFonts w:ascii="宋体" w:hAnsi="宋体" w:cs="宋体"/>
                <w:sz w:val="24"/>
              </w:rPr>
            </w:pPr>
          </w:p>
        </w:tc>
        <w:tc>
          <w:tcPr>
            <w:tcW w:w="1559" w:type="dxa"/>
            <w:vAlign w:val="center"/>
          </w:tcPr>
          <w:p w14:paraId="700C3E87">
            <w:pPr>
              <w:spacing w:line="360" w:lineRule="auto"/>
              <w:jc w:val="center"/>
              <w:rPr>
                <w:rFonts w:ascii="宋体" w:hAnsi="宋体" w:cs="宋体"/>
                <w:sz w:val="24"/>
              </w:rPr>
            </w:pPr>
          </w:p>
        </w:tc>
        <w:tc>
          <w:tcPr>
            <w:tcW w:w="1984" w:type="dxa"/>
            <w:vAlign w:val="center"/>
          </w:tcPr>
          <w:p w14:paraId="0F82DF71">
            <w:pPr>
              <w:spacing w:line="360" w:lineRule="auto"/>
              <w:jc w:val="center"/>
              <w:rPr>
                <w:rFonts w:ascii="宋体" w:hAnsi="宋体" w:cs="宋体"/>
                <w:sz w:val="24"/>
              </w:rPr>
            </w:pPr>
          </w:p>
        </w:tc>
        <w:tc>
          <w:tcPr>
            <w:tcW w:w="3119" w:type="dxa"/>
            <w:vAlign w:val="center"/>
          </w:tcPr>
          <w:p w14:paraId="4A959C5D">
            <w:pPr>
              <w:spacing w:line="360" w:lineRule="auto"/>
              <w:jc w:val="center"/>
              <w:rPr>
                <w:rFonts w:ascii="宋体" w:hAnsi="宋体" w:cs="宋体"/>
                <w:sz w:val="24"/>
              </w:rPr>
            </w:pPr>
          </w:p>
        </w:tc>
      </w:tr>
      <w:tr w14:paraId="4126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20F58FC9">
            <w:pPr>
              <w:spacing w:line="360" w:lineRule="auto"/>
              <w:jc w:val="center"/>
              <w:rPr>
                <w:rFonts w:ascii="宋体" w:hAnsi="宋体" w:cs="宋体"/>
                <w:sz w:val="24"/>
              </w:rPr>
            </w:pPr>
          </w:p>
        </w:tc>
        <w:tc>
          <w:tcPr>
            <w:tcW w:w="1417" w:type="dxa"/>
            <w:vAlign w:val="center"/>
          </w:tcPr>
          <w:p w14:paraId="6490B4EF">
            <w:pPr>
              <w:snapToGrid w:val="0"/>
              <w:spacing w:line="360" w:lineRule="auto"/>
              <w:jc w:val="center"/>
              <w:rPr>
                <w:rFonts w:ascii="宋体" w:hAnsi="宋体" w:cs="宋体"/>
                <w:sz w:val="24"/>
              </w:rPr>
            </w:pPr>
          </w:p>
        </w:tc>
        <w:tc>
          <w:tcPr>
            <w:tcW w:w="1843" w:type="dxa"/>
            <w:vAlign w:val="center"/>
          </w:tcPr>
          <w:p w14:paraId="179EB4F4">
            <w:pPr>
              <w:snapToGrid w:val="0"/>
              <w:spacing w:line="360" w:lineRule="auto"/>
              <w:jc w:val="center"/>
              <w:rPr>
                <w:rFonts w:ascii="宋体" w:hAnsi="宋体" w:cs="宋体"/>
                <w:sz w:val="24"/>
              </w:rPr>
            </w:pPr>
          </w:p>
        </w:tc>
        <w:tc>
          <w:tcPr>
            <w:tcW w:w="3118" w:type="dxa"/>
            <w:vAlign w:val="center"/>
          </w:tcPr>
          <w:p w14:paraId="70EFB284">
            <w:pPr>
              <w:snapToGrid w:val="0"/>
              <w:spacing w:line="360" w:lineRule="auto"/>
              <w:jc w:val="center"/>
              <w:rPr>
                <w:rFonts w:ascii="宋体" w:hAnsi="宋体" w:cs="宋体"/>
                <w:sz w:val="24"/>
              </w:rPr>
            </w:pPr>
          </w:p>
        </w:tc>
        <w:tc>
          <w:tcPr>
            <w:tcW w:w="993" w:type="dxa"/>
            <w:vAlign w:val="center"/>
          </w:tcPr>
          <w:p w14:paraId="2362B737">
            <w:pPr>
              <w:snapToGrid w:val="0"/>
              <w:spacing w:line="360" w:lineRule="auto"/>
              <w:jc w:val="center"/>
              <w:rPr>
                <w:rFonts w:ascii="宋体" w:hAnsi="宋体" w:cs="宋体"/>
                <w:sz w:val="24"/>
              </w:rPr>
            </w:pPr>
          </w:p>
        </w:tc>
        <w:tc>
          <w:tcPr>
            <w:tcW w:w="1559" w:type="dxa"/>
            <w:vAlign w:val="center"/>
          </w:tcPr>
          <w:p w14:paraId="1FF1B3FF">
            <w:pPr>
              <w:spacing w:line="360" w:lineRule="auto"/>
              <w:jc w:val="center"/>
              <w:rPr>
                <w:rFonts w:ascii="宋体" w:hAnsi="宋体" w:cs="宋体"/>
                <w:sz w:val="24"/>
              </w:rPr>
            </w:pPr>
          </w:p>
        </w:tc>
        <w:tc>
          <w:tcPr>
            <w:tcW w:w="1984" w:type="dxa"/>
            <w:vAlign w:val="center"/>
          </w:tcPr>
          <w:p w14:paraId="018C6F08">
            <w:pPr>
              <w:spacing w:line="360" w:lineRule="auto"/>
              <w:jc w:val="center"/>
              <w:rPr>
                <w:rFonts w:ascii="宋体" w:hAnsi="宋体" w:cs="宋体"/>
                <w:sz w:val="24"/>
              </w:rPr>
            </w:pPr>
          </w:p>
        </w:tc>
        <w:tc>
          <w:tcPr>
            <w:tcW w:w="3119" w:type="dxa"/>
            <w:vAlign w:val="center"/>
          </w:tcPr>
          <w:p w14:paraId="0923A802">
            <w:pPr>
              <w:spacing w:line="360" w:lineRule="auto"/>
              <w:jc w:val="center"/>
              <w:rPr>
                <w:rFonts w:ascii="宋体" w:hAnsi="宋体" w:cs="宋体"/>
                <w:sz w:val="24"/>
              </w:rPr>
            </w:pPr>
          </w:p>
        </w:tc>
      </w:tr>
      <w:tr w14:paraId="16A6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2C34A338">
            <w:pPr>
              <w:spacing w:line="360" w:lineRule="auto"/>
              <w:jc w:val="center"/>
              <w:rPr>
                <w:rFonts w:ascii="宋体" w:hAnsi="宋体" w:cs="宋体"/>
                <w:sz w:val="24"/>
              </w:rPr>
            </w:pPr>
          </w:p>
        </w:tc>
        <w:tc>
          <w:tcPr>
            <w:tcW w:w="1417" w:type="dxa"/>
            <w:vAlign w:val="center"/>
          </w:tcPr>
          <w:p w14:paraId="2EE26E06">
            <w:pPr>
              <w:snapToGrid w:val="0"/>
              <w:spacing w:line="360" w:lineRule="auto"/>
              <w:jc w:val="center"/>
              <w:rPr>
                <w:rFonts w:ascii="宋体" w:hAnsi="宋体" w:cs="宋体"/>
                <w:sz w:val="24"/>
              </w:rPr>
            </w:pPr>
          </w:p>
        </w:tc>
        <w:tc>
          <w:tcPr>
            <w:tcW w:w="1843" w:type="dxa"/>
            <w:vAlign w:val="center"/>
          </w:tcPr>
          <w:p w14:paraId="333B0114">
            <w:pPr>
              <w:snapToGrid w:val="0"/>
              <w:spacing w:line="360" w:lineRule="auto"/>
              <w:jc w:val="center"/>
              <w:rPr>
                <w:rFonts w:ascii="宋体" w:hAnsi="宋体" w:cs="宋体"/>
                <w:sz w:val="24"/>
              </w:rPr>
            </w:pPr>
          </w:p>
        </w:tc>
        <w:tc>
          <w:tcPr>
            <w:tcW w:w="3118" w:type="dxa"/>
            <w:vAlign w:val="center"/>
          </w:tcPr>
          <w:p w14:paraId="79FF91AB">
            <w:pPr>
              <w:snapToGrid w:val="0"/>
              <w:spacing w:line="360" w:lineRule="auto"/>
              <w:jc w:val="center"/>
              <w:rPr>
                <w:rFonts w:ascii="宋体" w:hAnsi="宋体" w:cs="宋体"/>
                <w:sz w:val="24"/>
              </w:rPr>
            </w:pPr>
          </w:p>
        </w:tc>
        <w:tc>
          <w:tcPr>
            <w:tcW w:w="993" w:type="dxa"/>
            <w:vAlign w:val="center"/>
          </w:tcPr>
          <w:p w14:paraId="38DF78B7">
            <w:pPr>
              <w:snapToGrid w:val="0"/>
              <w:spacing w:line="360" w:lineRule="auto"/>
              <w:jc w:val="center"/>
              <w:rPr>
                <w:rFonts w:ascii="宋体" w:hAnsi="宋体" w:cs="宋体"/>
                <w:sz w:val="24"/>
              </w:rPr>
            </w:pPr>
          </w:p>
        </w:tc>
        <w:tc>
          <w:tcPr>
            <w:tcW w:w="1559" w:type="dxa"/>
            <w:vAlign w:val="center"/>
          </w:tcPr>
          <w:p w14:paraId="4CD461FA">
            <w:pPr>
              <w:spacing w:line="360" w:lineRule="auto"/>
              <w:jc w:val="center"/>
              <w:rPr>
                <w:rFonts w:ascii="宋体" w:hAnsi="宋体" w:cs="宋体"/>
                <w:sz w:val="24"/>
              </w:rPr>
            </w:pPr>
          </w:p>
        </w:tc>
        <w:tc>
          <w:tcPr>
            <w:tcW w:w="1984" w:type="dxa"/>
            <w:vAlign w:val="center"/>
          </w:tcPr>
          <w:p w14:paraId="66019679">
            <w:pPr>
              <w:spacing w:line="360" w:lineRule="auto"/>
              <w:jc w:val="center"/>
              <w:rPr>
                <w:rFonts w:ascii="宋体" w:hAnsi="宋体" w:cs="宋体"/>
                <w:sz w:val="24"/>
              </w:rPr>
            </w:pPr>
          </w:p>
        </w:tc>
        <w:tc>
          <w:tcPr>
            <w:tcW w:w="3119" w:type="dxa"/>
            <w:vAlign w:val="center"/>
          </w:tcPr>
          <w:p w14:paraId="4CA83534">
            <w:pPr>
              <w:spacing w:line="360" w:lineRule="auto"/>
              <w:jc w:val="center"/>
              <w:rPr>
                <w:rFonts w:ascii="宋体" w:hAnsi="宋体" w:cs="宋体"/>
                <w:sz w:val="24"/>
              </w:rPr>
            </w:pPr>
          </w:p>
        </w:tc>
      </w:tr>
      <w:tr w14:paraId="77A7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359779BF">
            <w:pPr>
              <w:spacing w:line="360" w:lineRule="auto"/>
              <w:jc w:val="center"/>
              <w:rPr>
                <w:rFonts w:ascii="宋体" w:hAnsi="宋体" w:cs="宋体"/>
                <w:b/>
                <w:sz w:val="24"/>
              </w:rPr>
            </w:pPr>
            <w:r>
              <w:rPr>
                <w:rFonts w:hint="eastAsia" w:ascii="宋体" w:hAnsi="宋体" w:cs="宋体"/>
                <w:b/>
                <w:sz w:val="24"/>
              </w:rPr>
              <w:t>投标报价（小写）</w:t>
            </w:r>
          </w:p>
        </w:tc>
        <w:tc>
          <w:tcPr>
            <w:tcW w:w="7655" w:type="dxa"/>
            <w:gridSpan w:val="4"/>
            <w:vAlign w:val="center"/>
          </w:tcPr>
          <w:p w14:paraId="4E2451AE">
            <w:pPr>
              <w:spacing w:line="360" w:lineRule="auto"/>
              <w:jc w:val="center"/>
              <w:rPr>
                <w:rFonts w:ascii="宋体" w:hAnsi="宋体" w:cs="宋体"/>
                <w:sz w:val="24"/>
              </w:rPr>
            </w:pPr>
          </w:p>
        </w:tc>
      </w:tr>
      <w:tr w14:paraId="06D6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18ED7F32">
            <w:pPr>
              <w:spacing w:line="360" w:lineRule="auto"/>
              <w:jc w:val="center"/>
              <w:rPr>
                <w:rFonts w:ascii="宋体" w:hAnsi="宋体" w:cs="宋体"/>
                <w:b/>
                <w:sz w:val="24"/>
              </w:rPr>
            </w:pPr>
            <w:r>
              <w:rPr>
                <w:rFonts w:hint="eastAsia" w:ascii="宋体" w:hAnsi="宋体" w:cs="宋体"/>
                <w:b/>
                <w:sz w:val="24"/>
              </w:rPr>
              <w:t>投标报价（大写）</w:t>
            </w:r>
          </w:p>
        </w:tc>
        <w:tc>
          <w:tcPr>
            <w:tcW w:w="7655" w:type="dxa"/>
            <w:gridSpan w:val="4"/>
            <w:vAlign w:val="center"/>
          </w:tcPr>
          <w:p w14:paraId="49800674">
            <w:pPr>
              <w:spacing w:line="360" w:lineRule="auto"/>
              <w:jc w:val="center"/>
              <w:rPr>
                <w:rFonts w:ascii="宋体" w:hAnsi="宋体" w:cs="宋体"/>
                <w:sz w:val="24"/>
              </w:rPr>
            </w:pPr>
          </w:p>
        </w:tc>
      </w:tr>
    </w:tbl>
    <w:p w14:paraId="7DE80EC3">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27BA9ABA">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w:t>
      </w:r>
      <w:r>
        <w:rPr>
          <w:rFonts w:hint="eastAsia" w:ascii="宋体" w:hAnsi="宋体" w:cs="宋体"/>
          <w:kern w:val="0"/>
          <w:sz w:val="24"/>
        </w:rPr>
        <w:t>要求</w:t>
      </w:r>
      <w:r>
        <w:rPr>
          <w:rFonts w:hint="eastAsia" w:ascii="宋体" w:hAnsi="宋体" w:cs="宋体"/>
          <w:kern w:val="0"/>
          <w:sz w:val="24"/>
          <w:lang w:val="zh-CN"/>
        </w:rPr>
        <w:t>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kern w:val="0"/>
          <w:sz w:val="24"/>
          <w:lang w:val="zh-CN"/>
        </w:rPr>
        <w:t>。</w:t>
      </w:r>
    </w:p>
    <w:p w14:paraId="5AE636B2">
      <w:pPr>
        <w:spacing w:line="360" w:lineRule="auto"/>
        <w:ind w:firstLine="480" w:firstLineChars="200"/>
        <w:rPr>
          <w:rFonts w:ascii="宋体" w:hAnsi="宋体" w:cs="宋体"/>
          <w:b/>
          <w:sz w:val="24"/>
        </w:rPr>
      </w:pPr>
      <w:r>
        <w:rPr>
          <w:rFonts w:hint="eastAsia" w:ascii="宋体" w:hAnsi="宋体" w:cs="宋体"/>
          <w:kern w:val="0"/>
          <w:sz w:val="24"/>
          <w:lang w:val="zh-CN"/>
        </w:rPr>
        <w:t>2、有关本项目实施所涉及的一切费用均计入报价。</w:t>
      </w:r>
      <w:r>
        <w:rPr>
          <w:rFonts w:hint="eastAsia" w:ascii="宋体" w:hAnsi="宋体" w:cs="宋体"/>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签订条件；总价不为零，部分产品、服务单价为零的，视作已包含在总价中。</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5D2DEAE0">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3、特别提示：采购机构将对项目名称和项目编号，中标供应商名称、地址和中标金额，主要中标标的名称、品牌（如果有）、规格型号、数量、单价等予以公示。</w:t>
      </w:r>
    </w:p>
    <w:p w14:paraId="59A5BEDF">
      <w:pPr>
        <w:snapToGrid w:val="0"/>
        <w:spacing w:line="360" w:lineRule="auto"/>
        <w:ind w:firstLine="5520" w:firstLineChars="2300"/>
        <w:rPr>
          <w:rFonts w:ascii="宋体" w:hAnsi="宋体" w:cs="宋体"/>
          <w:kern w:val="0"/>
          <w:sz w:val="24"/>
          <w:lang w:val="zh-CN"/>
        </w:rPr>
      </w:pPr>
    </w:p>
    <w:p w14:paraId="355918D0">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644843EE">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3F439DDC">
      <w:pPr>
        <w:pStyle w:val="697"/>
        <w:keepNext w:val="0"/>
        <w:pageBreakBefore w:val="0"/>
        <w:tabs>
          <w:tab w:val="clear" w:pos="720"/>
        </w:tabs>
        <w:snapToGrid w:val="0"/>
        <w:spacing w:before="120" w:after="120"/>
        <w:ind w:firstLine="643"/>
        <w:outlineLvl w:val="9"/>
        <w:rPr>
          <w:rFonts w:ascii="宋体" w:hAnsi="宋体" w:eastAsia="宋体" w:cs="宋体"/>
          <w:kern w:val="2"/>
          <w:sz w:val="32"/>
          <w:szCs w:val="32"/>
        </w:rPr>
      </w:pPr>
    </w:p>
    <w:p w14:paraId="4FCA1F41">
      <w:pPr>
        <w:pStyle w:val="697"/>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18" w:right="1247" w:bottom="1418" w:left="1276" w:header="851" w:footer="992" w:gutter="0"/>
          <w:cols w:space="720" w:num="1"/>
          <w:titlePg/>
          <w:docGrid w:linePitch="312" w:charSpace="0"/>
        </w:sectPr>
      </w:pPr>
    </w:p>
    <w:p w14:paraId="77F0458C">
      <w:pPr>
        <w:pStyle w:val="697"/>
        <w:keepNext w:val="0"/>
        <w:pageBreakBefore w:val="0"/>
        <w:tabs>
          <w:tab w:val="clear" w:pos="720"/>
        </w:tabs>
        <w:snapToGrid w:val="0"/>
        <w:spacing w:before="120" w:after="120"/>
        <w:ind w:firstLine="643"/>
        <w:outlineLvl w:val="9"/>
        <w:rPr>
          <w:rFonts w:ascii="宋体" w:hAnsi="宋体" w:eastAsia="宋体" w:cs="宋体"/>
          <w:kern w:val="2"/>
          <w:sz w:val="32"/>
          <w:szCs w:val="32"/>
        </w:rPr>
      </w:pPr>
      <w:r>
        <w:rPr>
          <w:rFonts w:hint="eastAsia" w:ascii="宋体" w:hAnsi="宋体" w:eastAsia="宋体" w:cs="宋体"/>
          <w:kern w:val="2"/>
          <w:sz w:val="32"/>
          <w:szCs w:val="32"/>
        </w:rPr>
        <w:t>二、关于符合本国产品标准的声明函或财政部会同有关部门规定的有关证明文件（如果有）</w:t>
      </w:r>
    </w:p>
    <w:p w14:paraId="1CF27C49">
      <w:pPr>
        <w:widowControl/>
        <w:spacing w:line="360" w:lineRule="auto"/>
        <w:ind w:firstLine="120" w:firstLineChars="50"/>
        <w:jc w:val="left"/>
        <w:rPr>
          <w:rFonts w:ascii="宋体" w:hAnsi="宋体" w:cs="宋体"/>
          <w:b/>
          <w:sz w:val="24"/>
        </w:rPr>
      </w:pPr>
      <w:r>
        <w:rPr>
          <w:rFonts w:hint="eastAsia" w:ascii="宋体" w:hAnsi="宋体" w:cs="宋体"/>
          <w:b/>
          <w:sz w:val="24"/>
        </w:rPr>
        <w:t>[符合《国务院办公厅关于在政府采购中实施本国产品标准及相关政策的通知》规定的本国产品拟享受价格扣除政策的，需提供关于符合本国产品标准的声明函（附件9）或财政部会同有关部门规定的有关证明文件。]</w:t>
      </w:r>
    </w:p>
    <w:p w14:paraId="0E88BCE6">
      <w:pPr>
        <w:widowControl/>
        <w:spacing w:line="360" w:lineRule="auto"/>
        <w:jc w:val="left"/>
        <w:rPr>
          <w:rFonts w:ascii="宋体" w:hAnsi="宋体" w:cs="宋体"/>
          <w:b/>
          <w:sz w:val="24"/>
          <w:u w:val="single"/>
        </w:rPr>
      </w:pPr>
      <w:r>
        <w:rPr>
          <w:rFonts w:hint="eastAsia" w:ascii="宋体" w:hAnsi="宋体" w:cs="宋体"/>
          <w:b/>
          <w:sz w:val="24"/>
          <w:u w:val="single"/>
        </w:rPr>
        <w:t>注：投标人未提供关于符合本国产品标准的声明函（</w:t>
      </w:r>
      <w:r>
        <w:rPr>
          <w:rFonts w:hint="eastAsia" w:ascii="宋体" w:hAnsi="宋体" w:cs="宋体"/>
          <w:b/>
          <w:sz w:val="24"/>
        </w:rPr>
        <w:t>或财政部会同有关部门规定的有关证明文件</w:t>
      </w:r>
      <w:r>
        <w:rPr>
          <w:rFonts w:hint="eastAsia" w:ascii="宋体" w:hAnsi="宋体" w:cs="宋体"/>
          <w:b/>
          <w:sz w:val="24"/>
          <w:u w:val="single"/>
        </w:rPr>
        <w:t>）或提供的关于符合本国产品标准的声明函（</w:t>
      </w:r>
      <w:r>
        <w:rPr>
          <w:rFonts w:hint="eastAsia" w:ascii="宋体" w:hAnsi="宋体" w:cs="宋体"/>
          <w:b/>
          <w:sz w:val="24"/>
        </w:rPr>
        <w:t>或财政部会同有关部门规定的有关证明文件</w:t>
      </w:r>
      <w:r>
        <w:rPr>
          <w:rFonts w:hint="eastAsia" w:ascii="宋体" w:hAnsi="宋体" w:cs="宋体"/>
          <w:b/>
          <w:sz w:val="24"/>
          <w:u w:val="single"/>
        </w:rPr>
        <w:t>）不符合要求的，不享受该价格扣除政策。</w:t>
      </w:r>
    </w:p>
    <w:p w14:paraId="33A22DFF">
      <w:pPr>
        <w:pStyle w:val="697"/>
        <w:keepNext w:val="0"/>
        <w:pageBreakBefore w:val="0"/>
        <w:tabs>
          <w:tab w:val="clear" w:pos="720"/>
        </w:tabs>
        <w:snapToGrid w:val="0"/>
        <w:spacing w:before="120" w:after="120"/>
        <w:ind w:firstLine="643"/>
        <w:outlineLvl w:val="9"/>
        <w:rPr>
          <w:rFonts w:ascii="宋体" w:hAnsi="宋体" w:eastAsia="宋体" w:cs="宋体"/>
          <w:sz w:val="32"/>
          <w:szCs w:val="32"/>
        </w:rPr>
      </w:pPr>
    </w:p>
    <w:p w14:paraId="1068DEB0">
      <w:pPr>
        <w:pStyle w:val="697"/>
        <w:keepNext w:val="0"/>
        <w:pageBreakBefore w:val="0"/>
        <w:tabs>
          <w:tab w:val="clear" w:pos="720"/>
        </w:tabs>
        <w:snapToGrid w:val="0"/>
        <w:spacing w:before="120" w:after="120"/>
        <w:ind w:firstLine="643"/>
        <w:outlineLvl w:val="9"/>
        <w:rPr>
          <w:rFonts w:ascii="宋体" w:hAnsi="宋体" w:eastAsia="宋体" w:cs="宋体"/>
          <w:sz w:val="32"/>
          <w:szCs w:val="32"/>
        </w:rPr>
      </w:pPr>
      <w:r>
        <w:rPr>
          <w:rFonts w:hint="eastAsia" w:ascii="宋体" w:hAnsi="宋体" w:eastAsia="宋体" w:cs="宋体"/>
          <w:sz w:val="32"/>
          <w:szCs w:val="32"/>
        </w:rPr>
        <w:t>三、中小企业声明函</w:t>
      </w:r>
      <w:bookmarkStart w:id="415" w:name="_Hlk101259491"/>
      <w:r>
        <w:rPr>
          <w:rFonts w:hint="eastAsia" w:ascii="宋体" w:hAnsi="宋体" w:eastAsia="宋体" w:cs="宋体"/>
          <w:sz w:val="32"/>
          <w:szCs w:val="32"/>
        </w:rPr>
        <w:t>（如果有）</w:t>
      </w:r>
      <w:bookmarkEnd w:id="415"/>
    </w:p>
    <w:p w14:paraId="027AA68E">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71814B53">
      <w:pPr>
        <w:pStyle w:val="697"/>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60FF93F1">
      <w:pPr>
        <w:spacing w:line="360" w:lineRule="auto"/>
        <w:ind w:right="420" w:firstLine="3614" w:firstLineChars="1000"/>
        <w:rPr>
          <w:rFonts w:ascii="宋体" w:hAnsi="宋体" w:cs="宋体"/>
          <w:b/>
          <w:kern w:val="0"/>
          <w:sz w:val="36"/>
          <w:szCs w:val="36"/>
        </w:rPr>
      </w:pPr>
    </w:p>
    <w:p w14:paraId="270C1B6A">
      <w:pPr>
        <w:spacing w:line="360" w:lineRule="auto"/>
        <w:ind w:right="420" w:firstLine="3614" w:firstLineChars="1000"/>
        <w:rPr>
          <w:rFonts w:ascii="宋体" w:hAnsi="宋体" w:cs="宋体"/>
          <w:b/>
          <w:kern w:val="0"/>
          <w:sz w:val="36"/>
          <w:szCs w:val="36"/>
        </w:rPr>
      </w:pPr>
    </w:p>
    <w:p w14:paraId="1AAC4FCA">
      <w:pPr>
        <w:spacing w:line="360" w:lineRule="auto"/>
        <w:ind w:right="420" w:firstLine="3614" w:firstLineChars="1000"/>
        <w:rPr>
          <w:rFonts w:ascii="宋体" w:hAnsi="宋体" w:cs="宋体"/>
          <w:b/>
          <w:kern w:val="0"/>
          <w:sz w:val="36"/>
          <w:szCs w:val="36"/>
        </w:rPr>
      </w:pPr>
    </w:p>
    <w:p w14:paraId="05482883">
      <w:pPr>
        <w:spacing w:line="360" w:lineRule="auto"/>
        <w:ind w:right="420" w:firstLine="3614" w:firstLineChars="1000"/>
        <w:rPr>
          <w:rFonts w:ascii="宋体" w:hAnsi="宋体" w:cs="宋体"/>
          <w:b/>
          <w:kern w:val="0"/>
          <w:sz w:val="36"/>
          <w:szCs w:val="36"/>
        </w:rPr>
      </w:pPr>
    </w:p>
    <w:p w14:paraId="0C76095D">
      <w:pPr>
        <w:spacing w:line="360" w:lineRule="auto"/>
        <w:ind w:right="420" w:firstLine="3614" w:firstLineChars="1000"/>
        <w:rPr>
          <w:rFonts w:ascii="宋体" w:hAnsi="宋体" w:cs="宋体"/>
          <w:b/>
          <w:kern w:val="0"/>
          <w:sz w:val="36"/>
          <w:szCs w:val="36"/>
        </w:rPr>
      </w:pPr>
    </w:p>
    <w:p w14:paraId="2F71B8F5">
      <w:pPr>
        <w:spacing w:line="360" w:lineRule="auto"/>
        <w:ind w:right="420" w:firstLine="3614" w:firstLineChars="1000"/>
        <w:rPr>
          <w:rFonts w:ascii="宋体" w:hAnsi="宋体" w:cs="宋体"/>
          <w:b/>
          <w:kern w:val="0"/>
          <w:sz w:val="36"/>
          <w:szCs w:val="36"/>
        </w:rPr>
      </w:pPr>
    </w:p>
    <w:p w14:paraId="05EFE9D9">
      <w:pPr>
        <w:spacing w:line="360" w:lineRule="auto"/>
        <w:ind w:right="420" w:firstLine="3614" w:firstLineChars="1000"/>
        <w:rPr>
          <w:rFonts w:ascii="宋体" w:hAnsi="宋体" w:cs="宋体"/>
          <w:b/>
          <w:kern w:val="0"/>
          <w:sz w:val="36"/>
          <w:szCs w:val="36"/>
        </w:rPr>
      </w:pPr>
    </w:p>
    <w:p w14:paraId="7C8A853F">
      <w:pPr>
        <w:pStyle w:val="2"/>
        <w:keepNext w:val="0"/>
        <w:keepLines w:val="0"/>
        <w:pageBreakBefore/>
        <w:widowControl/>
        <w:spacing w:before="100" w:beforeAutospacing="1" w:after="100" w:afterAutospacing="1" w:line="360" w:lineRule="auto"/>
        <w:ind w:left="1290" w:firstLine="3092" w:firstLineChars="700"/>
        <w:rPr>
          <w:rFonts w:ascii="宋体" w:hAnsi="宋体" w:cs="宋体"/>
        </w:rPr>
      </w:pPr>
      <w:bookmarkStart w:id="416" w:name="_Toc465665161"/>
      <w:r>
        <w:rPr>
          <w:rFonts w:hint="eastAsia" w:ascii="宋体" w:hAnsi="宋体" w:cs="宋体"/>
        </w:rPr>
        <w:t>附件</w:t>
      </w:r>
      <w:bookmarkEnd w:id="416"/>
    </w:p>
    <w:p w14:paraId="76674BF5">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2ABFE24E">
      <w:pPr>
        <w:spacing w:line="360" w:lineRule="auto"/>
        <w:jc w:val="center"/>
        <w:rPr>
          <w:rFonts w:ascii="宋体" w:hAnsi="宋体" w:cs="宋体"/>
          <w:b/>
          <w:spacing w:val="6"/>
          <w:sz w:val="32"/>
          <w:szCs w:val="32"/>
        </w:rPr>
      </w:pPr>
      <w:bookmarkStart w:id="417" w:name="OLE_LINK14"/>
      <w:bookmarkStart w:id="418" w:name="OLE_LINK13"/>
      <w:r>
        <w:rPr>
          <w:rFonts w:hint="eastAsia" w:ascii="宋体" w:hAnsi="宋体" w:cs="宋体"/>
          <w:b/>
          <w:spacing w:val="6"/>
          <w:sz w:val="32"/>
          <w:szCs w:val="32"/>
        </w:rPr>
        <w:t>残疾人福利性单位声明函</w:t>
      </w:r>
    </w:p>
    <w:bookmarkEnd w:id="417"/>
    <w:bookmarkEnd w:id="418"/>
    <w:p w14:paraId="319F19A1">
      <w:pPr>
        <w:spacing w:line="360" w:lineRule="auto"/>
        <w:rPr>
          <w:rFonts w:ascii="宋体" w:hAnsi="宋体" w:cs="宋体"/>
          <w:b/>
          <w:spacing w:val="6"/>
          <w:sz w:val="30"/>
          <w:szCs w:val="30"/>
        </w:rPr>
      </w:pPr>
    </w:p>
    <w:p w14:paraId="73ADE00A">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z w:val="24"/>
          <w:u w:val="single"/>
        </w:rPr>
        <w:t>杭州职业技术大学</w:t>
      </w:r>
      <w:r>
        <w:rPr>
          <w:rFonts w:hint="eastAsia" w:ascii="宋体" w:hAnsi="宋体" w:cs="宋体"/>
          <w:sz w:val="24"/>
        </w:rPr>
        <w:t>单位的</w:t>
      </w:r>
      <w:r>
        <w:rPr>
          <w:rFonts w:hint="eastAsia" w:ascii="宋体" w:hAnsi="宋体" w:cs="宋体"/>
          <w:sz w:val="24"/>
          <w:u w:val="single"/>
        </w:rPr>
        <w:t>杭州职业技术大学</w:t>
      </w:r>
      <w:r>
        <w:rPr>
          <w:rFonts w:hint="eastAsia" w:ascii="宋体" w:hAnsi="宋体" w:cs="宋体"/>
          <w:sz w:val="24"/>
          <w:u w:val="single"/>
          <w:lang w:eastAsia="zh-CN"/>
        </w:rPr>
        <w:t>新安江校区通用机房</w:t>
      </w:r>
      <w:r>
        <w:rPr>
          <w:rFonts w:hint="eastAsia" w:ascii="宋体" w:hAnsi="宋体" w:cs="宋体"/>
          <w:sz w:val="24"/>
          <w:u w:val="single"/>
        </w:rPr>
        <w:t>建设项目</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14:paraId="1C8C3806">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7C7C7A2D">
      <w:pPr>
        <w:spacing w:line="360" w:lineRule="auto"/>
        <w:ind w:firstLine="480" w:firstLineChars="200"/>
        <w:rPr>
          <w:rFonts w:ascii="宋体" w:hAnsi="宋体" w:cs="宋体"/>
          <w:sz w:val="24"/>
        </w:rPr>
      </w:pPr>
    </w:p>
    <w:p w14:paraId="5814D0DC">
      <w:pPr>
        <w:spacing w:line="360" w:lineRule="auto"/>
        <w:ind w:firstLine="480" w:firstLineChars="200"/>
        <w:rPr>
          <w:rFonts w:ascii="宋体" w:hAnsi="宋体" w:cs="宋体"/>
          <w:sz w:val="24"/>
        </w:rPr>
      </w:pPr>
    </w:p>
    <w:p w14:paraId="2CFC5908">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投标人名称（电子签名）</w:t>
      </w:r>
      <w:r>
        <w:rPr>
          <w:rFonts w:hint="eastAsia" w:ascii="宋体" w:hAnsi="宋体" w:cs="宋体"/>
          <w:sz w:val="24"/>
        </w:rPr>
        <w:t>：</w:t>
      </w:r>
    </w:p>
    <w:p w14:paraId="5ADF3C3B">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7A63A2BB">
      <w:pPr>
        <w:spacing w:line="360" w:lineRule="auto"/>
        <w:ind w:firstLine="480" w:firstLineChars="200"/>
        <w:rPr>
          <w:rFonts w:ascii="宋体" w:hAnsi="宋体" w:cs="宋体"/>
          <w:sz w:val="24"/>
        </w:rPr>
      </w:pPr>
    </w:p>
    <w:p w14:paraId="5EA1E99A">
      <w:pPr>
        <w:spacing w:line="360" w:lineRule="auto"/>
        <w:ind w:firstLine="420" w:firstLineChars="200"/>
        <w:rPr>
          <w:rFonts w:ascii="宋体" w:hAnsi="宋体" w:cs="宋体"/>
        </w:rPr>
      </w:pPr>
    </w:p>
    <w:p w14:paraId="65AA2EB8">
      <w:pPr>
        <w:spacing w:line="360" w:lineRule="auto"/>
        <w:ind w:firstLine="420" w:firstLineChars="200"/>
        <w:rPr>
          <w:rFonts w:ascii="宋体" w:hAnsi="宋体" w:cs="宋体"/>
        </w:rPr>
      </w:pPr>
    </w:p>
    <w:p w14:paraId="17626003">
      <w:pPr>
        <w:spacing w:line="360" w:lineRule="auto"/>
        <w:ind w:firstLine="420" w:firstLineChars="200"/>
        <w:rPr>
          <w:rFonts w:ascii="宋体" w:hAnsi="宋体" w:cs="宋体"/>
        </w:rPr>
      </w:pPr>
    </w:p>
    <w:p w14:paraId="6FC0AB45">
      <w:pPr>
        <w:spacing w:line="360" w:lineRule="auto"/>
        <w:ind w:firstLine="420" w:firstLineChars="200"/>
        <w:rPr>
          <w:rFonts w:ascii="宋体" w:hAnsi="宋体" w:cs="宋体"/>
        </w:rPr>
      </w:pPr>
    </w:p>
    <w:p w14:paraId="68580B29">
      <w:pPr>
        <w:spacing w:line="360" w:lineRule="auto"/>
        <w:rPr>
          <w:rFonts w:ascii="宋体" w:hAnsi="宋体" w:cs="宋体"/>
          <w:b/>
          <w:sz w:val="24"/>
        </w:rPr>
      </w:pPr>
    </w:p>
    <w:p w14:paraId="24B9F723">
      <w:pPr>
        <w:spacing w:line="360" w:lineRule="auto"/>
        <w:rPr>
          <w:rFonts w:ascii="宋体" w:hAnsi="宋体" w:cs="宋体"/>
          <w:b/>
          <w:sz w:val="24"/>
        </w:rPr>
      </w:pPr>
    </w:p>
    <w:p w14:paraId="184E6900">
      <w:pPr>
        <w:spacing w:line="360" w:lineRule="auto"/>
        <w:rPr>
          <w:rFonts w:ascii="宋体" w:hAnsi="宋体" w:cs="宋体"/>
          <w:b/>
          <w:sz w:val="24"/>
        </w:rPr>
      </w:pPr>
    </w:p>
    <w:p w14:paraId="2F45E3F6">
      <w:pPr>
        <w:spacing w:line="360" w:lineRule="auto"/>
        <w:rPr>
          <w:rFonts w:ascii="宋体" w:hAnsi="宋体" w:cs="宋体"/>
          <w:b/>
          <w:sz w:val="24"/>
        </w:rPr>
      </w:pPr>
    </w:p>
    <w:p w14:paraId="5A488E01">
      <w:pPr>
        <w:spacing w:line="360" w:lineRule="auto"/>
        <w:rPr>
          <w:rFonts w:ascii="宋体" w:hAnsi="宋体" w:cs="宋体"/>
          <w:b/>
          <w:sz w:val="24"/>
        </w:rPr>
      </w:pPr>
    </w:p>
    <w:p w14:paraId="13C153C8">
      <w:pPr>
        <w:spacing w:line="360" w:lineRule="auto"/>
        <w:rPr>
          <w:rFonts w:ascii="宋体" w:hAnsi="宋体" w:cs="宋体"/>
          <w:b/>
          <w:sz w:val="24"/>
        </w:rPr>
      </w:pPr>
    </w:p>
    <w:p w14:paraId="06202E8A">
      <w:pPr>
        <w:spacing w:line="360" w:lineRule="auto"/>
        <w:rPr>
          <w:rFonts w:ascii="宋体" w:hAnsi="宋体" w:cs="宋体"/>
          <w:b/>
          <w:sz w:val="24"/>
        </w:rPr>
      </w:pPr>
    </w:p>
    <w:p w14:paraId="275FD6BA">
      <w:pPr>
        <w:spacing w:line="360" w:lineRule="auto"/>
        <w:rPr>
          <w:rFonts w:ascii="宋体" w:hAnsi="宋体" w:cs="宋体"/>
          <w:b/>
          <w:sz w:val="24"/>
        </w:rPr>
      </w:pPr>
    </w:p>
    <w:p w14:paraId="280AA044">
      <w:pPr>
        <w:spacing w:line="360" w:lineRule="auto"/>
        <w:rPr>
          <w:rFonts w:ascii="宋体" w:hAnsi="宋体" w:cs="宋体"/>
          <w:b/>
          <w:sz w:val="24"/>
        </w:rPr>
      </w:pPr>
    </w:p>
    <w:p w14:paraId="70F2EDF6">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0FD32708">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B683A4">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2179713B">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09503FC">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B4C2D94">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31AEF104">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7F59FB7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45C648A5">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35025FE">
      <w:pPr>
        <w:snapToGrid w:val="0"/>
        <w:spacing w:line="360" w:lineRule="auto"/>
        <w:rPr>
          <w:rFonts w:ascii="宋体" w:hAnsi="宋体" w:cs="宋体"/>
          <w:bCs/>
          <w:sz w:val="24"/>
        </w:rPr>
      </w:pPr>
      <w:r>
        <w:rPr>
          <w:rFonts w:hint="eastAsia" w:ascii="宋体" w:hAnsi="宋体" w:cs="宋体"/>
          <w:bCs/>
          <w:sz w:val="24"/>
        </w:rPr>
        <w:t>二、质疑项目基本情况</w:t>
      </w:r>
    </w:p>
    <w:p w14:paraId="7B7FB998">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0F237E54">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7FAFC91">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42214EDA">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12EA47C9">
      <w:pPr>
        <w:snapToGrid w:val="0"/>
        <w:spacing w:line="360" w:lineRule="auto"/>
        <w:rPr>
          <w:rFonts w:ascii="宋体" w:hAnsi="宋体" w:cs="宋体"/>
          <w:bCs/>
          <w:sz w:val="24"/>
        </w:rPr>
      </w:pPr>
      <w:r>
        <w:rPr>
          <w:rFonts w:hint="eastAsia" w:ascii="宋体" w:hAnsi="宋体" w:cs="宋体"/>
          <w:bCs/>
          <w:sz w:val="24"/>
        </w:rPr>
        <w:t>三、质疑事项具体内容</w:t>
      </w:r>
    </w:p>
    <w:p w14:paraId="60346923">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10A1A3D7">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6F69C16E">
      <w:pPr>
        <w:snapToGrid w:val="0"/>
        <w:spacing w:line="360" w:lineRule="auto"/>
        <w:rPr>
          <w:rFonts w:ascii="宋体" w:hAnsi="宋体" w:cs="宋体"/>
          <w:sz w:val="24"/>
        </w:rPr>
      </w:pPr>
      <w:r>
        <w:rPr>
          <w:rFonts w:hint="eastAsia" w:ascii="宋体" w:hAnsi="宋体" w:cs="宋体"/>
          <w:sz w:val="24"/>
          <w:u w:val="dotted"/>
        </w:rPr>
        <w:t xml:space="preserve">                                                       </w:t>
      </w:r>
    </w:p>
    <w:p w14:paraId="15965C9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7FABF435">
      <w:pPr>
        <w:snapToGrid w:val="0"/>
        <w:spacing w:line="360" w:lineRule="auto"/>
        <w:rPr>
          <w:rFonts w:ascii="宋体" w:hAnsi="宋体" w:cs="宋体"/>
          <w:sz w:val="24"/>
          <w:u w:val="dotted"/>
        </w:rPr>
      </w:pPr>
      <w:r>
        <w:rPr>
          <w:rFonts w:hint="eastAsia" w:ascii="宋体" w:hAnsi="宋体" w:cs="宋体"/>
          <w:sz w:val="24"/>
          <w:u w:val="dotted"/>
        </w:rPr>
        <w:t xml:space="preserve">                                                     </w:t>
      </w:r>
    </w:p>
    <w:p w14:paraId="72EDB308">
      <w:pPr>
        <w:snapToGrid w:val="0"/>
        <w:spacing w:line="360" w:lineRule="auto"/>
        <w:rPr>
          <w:rFonts w:ascii="宋体" w:hAnsi="宋体" w:cs="宋体"/>
          <w:sz w:val="24"/>
          <w:u w:val="dotted"/>
        </w:rPr>
      </w:pPr>
      <w:r>
        <w:rPr>
          <w:rFonts w:hint="eastAsia" w:ascii="宋体" w:hAnsi="宋体" w:cs="宋体"/>
          <w:sz w:val="24"/>
        </w:rPr>
        <w:t>质疑事项2</w:t>
      </w:r>
    </w:p>
    <w:p w14:paraId="7FFE30B6">
      <w:pPr>
        <w:snapToGrid w:val="0"/>
        <w:spacing w:line="360" w:lineRule="auto"/>
        <w:rPr>
          <w:rFonts w:ascii="宋体" w:hAnsi="宋体" w:cs="宋体"/>
          <w:sz w:val="24"/>
        </w:rPr>
      </w:pPr>
      <w:r>
        <w:rPr>
          <w:rFonts w:hint="eastAsia" w:ascii="宋体" w:hAnsi="宋体" w:cs="宋体"/>
          <w:sz w:val="24"/>
        </w:rPr>
        <w:t>……</w:t>
      </w:r>
    </w:p>
    <w:p w14:paraId="4DD7CF0E">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7ABBC2A">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5C119DE5">
      <w:pPr>
        <w:spacing w:line="360" w:lineRule="auto"/>
        <w:rPr>
          <w:rFonts w:ascii="宋体" w:hAnsi="宋体" w:cs="宋体"/>
          <w:sz w:val="24"/>
        </w:rPr>
      </w:pPr>
      <w:r>
        <w:rPr>
          <w:rFonts w:hint="eastAsia" w:ascii="宋体" w:hAnsi="宋体" w:cs="宋体"/>
          <w:sz w:val="24"/>
        </w:rPr>
        <w:t xml:space="preserve">签字(签章)：                   公章：                      </w:t>
      </w:r>
    </w:p>
    <w:p w14:paraId="3511C2B4">
      <w:pPr>
        <w:spacing w:line="360" w:lineRule="auto"/>
        <w:rPr>
          <w:rFonts w:ascii="宋体" w:hAnsi="宋体" w:cs="宋体"/>
          <w:sz w:val="24"/>
        </w:rPr>
      </w:pPr>
      <w:r>
        <w:rPr>
          <w:rFonts w:hint="eastAsia" w:ascii="宋体" w:hAnsi="宋体" w:cs="宋体"/>
          <w:sz w:val="24"/>
        </w:rPr>
        <w:t xml:space="preserve">日期：    </w:t>
      </w:r>
    </w:p>
    <w:p w14:paraId="0D40088F">
      <w:pPr>
        <w:spacing w:line="360" w:lineRule="auto"/>
        <w:jc w:val="center"/>
        <w:rPr>
          <w:rFonts w:ascii="宋体" w:hAnsi="宋体" w:cs="宋体"/>
          <w:b/>
          <w:bCs/>
          <w:sz w:val="24"/>
        </w:rPr>
      </w:pPr>
    </w:p>
    <w:p w14:paraId="652E1881">
      <w:pPr>
        <w:spacing w:line="360" w:lineRule="auto"/>
        <w:rPr>
          <w:rFonts w:ascii="宋体" w:hAnsi="宋体" w:cs="宋体"/>
          <w:b/>
          <w:sz w:val="24"/>
        </w:rPr>
      </w:pPr>
    </w:p>
    <w:p w14:paraId="369E28D2">
      <w:pPr>
        <w:spacing w:line="360" w:lineRule="auto"/>
        <w:rPr>
          <w:rFonts w:ascii="宋体" w:hAnsi="宋体" w:cs="宋体"/>
          <w:b/>
          <w:sz w:val="24"/>
        </w:rPr>
      </w:pPr>
    </w:p>
    <w:p w14:paraId="07FF66EB">
      <w:pPr>
        <w:spacing w:line="360" w:lineRule="auto"/>
        <w:rPr>
          <w:rFonts w:ascii="宋体" w:hAnsi="宋体" w:cs="宋体"/>
          <w:b/>
          <w:sz w:val="24"/>
        </w:rPr>
      </w:pPr>
    </w:p>
    <w:p w14:paraId="04B0F9CB">
      <w:pPr>
        <w:spacing w:line="360" w:lineRule="auto"/>
        <w:rPr>
          <w:rFonts w:ascii="宋体" w:hAnsi="宋体" w:cs="宋体"/>
          <w:b/>
          <w:sz w:val="24"/>
        </w:rPr>
      </w:pPr>
      <w:r>
        <w:rPr>
          <w:rFonts w:hint="eastAsia" w:ascii="宋体" w:hAnsi="宋体" w:cs="宋体"/>
          <w:b/>
          <w:sz w:val="24"/>
        </w:rPr>
        <w:t>质疑函制作说明：</w:t>
      </w:r>
    </w:p>
    <w:p w14:paraId="3C51C133">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7223406D">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6FE44A5E">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33EEDA3E">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FAD760A">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35353460">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233AFE63">
      <w:pPr>
        <w:widowControl/>
        <w:spacing w:line="360" w:lineRule="auto"/>
        <w:ind w:firstLine="600" w:firstLineChars="200"/>
        <w:jc w:val="left"/>
        <w:rPr>
          <w:rFonts w:ascii="宋体" w:hAnsi="宋体" w:cs="宋体"/>
          <w:sz w:val="30"/>
          <w:szCs w:val="30"/>
        </w:rPr>
      </w:pPr>
    </w:p>
    <w:p w14:paraId="4EB578FB">
      <w:pPr>
        <w:spacing w:line="360" w:lineRule="auto"/>
        <w:jc w:val="center"/>
        <w:rPr>
          <w:rFonts w:ascii="宋体" w:hAnsi="宋体" w:cs="宋体"/>
          <w:b/>
          <w:spacing w:val="6"/>
          <w:sz w:val="32"/>
          <w:szCs w:val="32"/>
        </w:rPr>
      </w:pPr>
    </w:p>
    <w:p w14:paraId="57680BB4">
      <w:pPr>
        <w:spacing w:line="360" w:lineRule="auto"/>
        <w:jc w:val="center"/>
        <w:rPr>
          <w:rFonts w:ascii="宋体" w:hAnsi="宋体" w:cs="宋体"/>
          <w:b/>
          <w:spacing w:val="6"/>
          <w:sz w:val="32"/>
          <w:szCs w:val="32"/>
        </w:rPr>
      </w:pPr>
    </w:p>
    <w:p w14:paraId="711783DB">
      <w:pPr>
        <w:spacing w:line="360" w:lineRule="auto"/>
        <w:jc w:val="center"/>
        <w:rPr>
          <w:rFonts w:ascii="宋体" w:hAnsi="宋体" w:cs="宋体"/>
          <w:b/>
          <w:spacing w:val="6"/>
          <w:sz w:val="32"/>
          <w:szCs w:val="32"/>
        </w:rPr>
      </w:pPr>
    </w:p>
    <w:p w14:paraId="53AC0FC9">
      <w:pPr>
        <w:spacing w:line="360" w:lineRule="auto"/>
        <w:jc w:val="center"/>
        <w:rPr>
          <w:rFonts w:ascii="宋体" w:hAnsi="宋体" w:cs="宋体"/>
          <w:b/>
          <w:spacing w:val="6"/>
          <w:sz w:val="32"/>
          <w:szCs w:val="32"/>
        </w:rPr>
      </w:pPr>
    </w:p>
    <w:p w14:paraId="18B96198">
      <w:pPr>
        <w:spacing w:line="360" w:lineRule="auto"/>
        <w:jc w:val="center"/>
        <w:rPr>
          <w:rFonts w:ascii="宋体" w:hAnsi="宋体" w:cs="宋体"/>
          <w:b/>
          <w:spacing w:val="6"/>
          <w:sz w:val="32"/>
          <w:szCs w:val="32"/>
        </w:rPr>
      </w:pPr>
    </w:p>
    <w:p w14:paraId="37F5010D">
      <w:pPr>
        <w:spacing w:line="360" w:lineRule="auto"/>
        <w:jc w:val="center"/>
        <w:rPr>
          <w:rFonts w:ascii="宋体" w:hAnsi="宋体" w:cs="宋体"/>
          <w:b/>
          <w:spacing w:val="6"/>
          <w:sz w:val="32"/>
          <w:szCs w:val="32"/>
        </w:rPr>
      </w:pPr>
    </w:p>
    <w:p w14:paraId="035AA4AC">
      <w:pPr>
        <w:spacing w:line="360" w:lineRule="auto"/>
        <w:jc w:val="center"/>
        <w:rPr>
          <w:rFonts w:ascii="宋体" w:hAnsi="宋体" w:cs="宋体"/>
          <w:b/>
          <w:spacing w:val="6"/>
          <w:sz w:val="32"/>
          <w:szCs w:val="32"/>
        </w:rPr>
      </w:pPr>
    </w:p>
    <w:p w14:paraId="524ADBF4">
      <w:pPr>
        <w:spacing w:line="360" w:lineRule="auto"/>
        <w:jc w:val="center"/>
        <w:rPr>
          <w:rFonts w:ascii="宋体" w:hAnsi="宋体" w:cs="宋体"/>
          <w:b/>
          <w:spacing w:val="6"/>
          <w:sz w:val="32"/>
          <w:szCs w:val="32"/>
        </w:rPr>
      </w:pPr>
    </w:p>
    <w:p w14:paraId="574518B1">
      <w:pPr>
        <w:spacing w:line="360" w:lineRule="auto"/>
        <w:jc w:val="center"/>
        <w:rPr>
          <w:rFonts w:ascii="宋体" w:hAnsi="宋体" w:cs="宋体"/>
          <w:b/>
          <w:spacing w:val="6"/>
          <w:sz w:val="32"/>
          <w:szCs w:val="32"/>
        </w:rPr>
      </w:pPr>
    </w:p>
    <w:p w14:paraId="0FD2EB3B">
      <w:pPr>
        <w:spacing w:line="360" w:lineRule="auto"/>
        <w:jc w:val="center"/>
        <w:rPr>
          <w:rFonts w:ascii="宋体" w:hAnsi="宋体" w:cs="宋体"/>
          <w:b/>
          <w:spacing w:val="6"/>
          <w:sz w:val="32"/>
          <w:szCs w:val="32"/>
        </w:rPr>
      </w:pPr>
    </w:p>
    <w:p w14:paraId="71E65F1E">
      <w:pPr>
        <w:spacing w:line="360" w:lineRule="auto"/>
        <w:jc w:val="center"/>
        <w:rPr>
          <w:rFonts w:ascii="宋体" w:hAnsi="宋体" w:cs="宋体"/>
          <w:b/>
          <w:spacing w:val="6"/>
          <w:sz w:val="32"/>
          <w:szCs w:val="32"/>
        </w:rPr>
      </w:pPr>
    </w:p>
    <w:p w14:paraId="5233A843">
      <w:pPr>
        <w:spacing w:line="360" w:lineRule="auto"/>
        <w:jc w:val="center"/>
        <w:rPr>
          <w:rFonts w:ascii="宋体" w:hAnsi="宋体" w:cs="宋体"/>
          <w:b/>
          <w:spacing w:val="6"/>
          <w:sz w:val="32"/>
          <w:szCs w:val="32"/>
        </w:rPr>
      </w:pPr>
    </w:p>
    <w:p w14:paraId="37F0A496">
      <w:pPr>
        <w:spacing w:line="360" w:lineRule="auto"/>
        <w:jc w:val="left"/>
        <w:rPr>
          <w:rFonts w:ascii="宋体" w:hAnsi="宋体" w:cs="宋体"/>
          <w:b/>
          <w:spacing w:val="6"/>
          <w:sz w:val="32"/>
          <w:szCs w:val="32"/>
        </w:rPr>
      </w:pPr>
    </w:p>
    <w:p w14:paraId="2DC761BD">
      <w:pPr>
        <w:spacing w:line="360" w:lineRule="auto"/>
        <w:jc w:val="left"/>
        <w:rPr>
          <w:rFonts w:ascii="宋体" w:hAnsi="宋体" w:cs="宋体"/>
          <w:b/>
          <w:spacing w:val="6"/>
          <w:sz w:val="32"/>
          <w:szCs w:val="32"/>
        </w:rPr>
      </w:pPr>
    </w:p>
    <w:p w14:paraId="4283B740">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2A4EA0F0">
      <w:pPr>
        <w:spacing w:line="360" w:lineRule="auto"/>
        <w:jc w:val="center"/>
        <w:rPr>
          <w:rFonts w:ascii="宋体" w:hAnsi="宋体" w:cs="宋体"/>
          <w:b/>
          <w:sz w:val="24"/>
        </w:rPr>
      </w:pPr>
    </w:p>
    <w:p w14:paraId="2C0BB170">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6FEA1B52">
      <w:pPr>
        <w:spacing w:line="360" w:lineRule="auto"/>
        <w:rPr>
          <w:rFonts w:ascii="宋体" w:hAnsi="宋体" w:cs="宋体"/>
          <w:sz w:val="24"/>
        </w:rPr>
      </w:pPr>
      <w:r>
        <w:rPr>
          <w:rFonts w:hint="eastAsia" w:ascii="宋体" w:hAnsi="宋体" w:cs="宋体"/>
          <w:sz w:val="24"/>
        </w:rPr>
        <w:t>一、投诉相关主体基本情况</w:t>
      </w:r>
    </w:p>
    <w:p w14:paraId="5ECC90EA">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60FDEC88">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1C3E575F">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6FE51B3B">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3B9C6C48">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56FCE142">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35D7CC08">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0D518F8B">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7E18860B">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7B3D06EF">
      <w:pPr>
        <w:spacing w:line="360" w:lineRule="auto"/>
        <w:rPr>
          <w:rFonts w:ascii="宋体" w:hAnsi="宋体" w:cs="宋体"/>
          <w:sz w:val="24"/>
        </w:rPr>
      </w:pPr>
      <w:r>
        <w:rPr>
          <w:rFonts w:hint="eastAsia" w:ascii="宋体" w:hAnsi="宋体" w:cs="宋体"/>
          <w:sz w:val="24"/>
        </w:rPr>
        <w:t>被投诉人2</w:t>
      </w:r>
    </w:p>
    <w:p w14:paraId="395076EF">
      <w:pPr>
        <w:spacing w:line="360" w:lineRule="auto"/>
        <w:rPr>
          <w:rFonts w:ascii="宋体" w:hAnsi="宋体" w:cs="宋体"/>
          <w:sz w:val="24"/>
          <w:u w:val="dotted"/>
        </w:rPr>
      </w:pPr>
      <w:r>
        <w:rPr>
          <w:rFonts w:hint="eastAsia" w:ascii="宋体" w:hAnsi="宋体" w:cs="宋体"/>
          <w:sz w:val="24"/>
        </w:rPr>
        <w:t>……</w:t>
      </w:r>
    </w:p>
    <w:p w14:paraId="18482CAC">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026653C8">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2C309403">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23BEB66D">
      <w:pPr>
        <w:spacing w:line="360" w:lineRule="auto"/>
        <w:rPr>
          <w:rFonts w:ascii="宋体" w:hAnsi="宋体" w:cs="宋体"/>
          <w:sz w:val="24"/>
        </w:rPr>
      </w:pPr>
      <w:r>
        <w:rPr>
          <w:rFonts w:hint="eastAsia" w:ascii="宋体" w:hAnsi="宋体" w:cs="宋体"/>
          <w:sz w:val="24"/>
        </w:rPr>
        <w:t>二、投诉项目基本情况</w:t>
      </w:r>
    </w:p>
    <w:p w14:paraId="185DD0A1">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63F8881C">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0CA594B0">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600BA252">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5727E1F8">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309E2C0F">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6BC40F87">
      <w:pPr>
        <w:spacing w:line="360" w:lineRule="auto"/>
        <w:rPr>
          <w:rFonts w:ascii="宋体" w:hAnsi="宋体" w:cs="宋体"/>
          <w:sz w:val="24"/>
        </w:rPr>
      </w:pPr>
      <w:r>
        <w:rPr>
          <w:rFonts w:hint="eastAsia" w:ascii="宋体" w:hAnsi="宋体" w:cs="宋体"/>
          <w:sz w:val="24"/>
        </w:rPr>
        <w:t>三、质疑基本情况</w:t>
      </w:r>
    </w:p>
    <w:p w14:paraId="51D775F3">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7958B4BB">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2FE09477">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39B7F5EB">
      <w:pPr>
        <w:spacing w:line="360" w:lineRule="auto"/>
        <w:rPr>
          <w:rFonts w:ascii="宋体" w:hAnsi="宋体" w:cs="宋体"/>
          <w:sz w:val="24"/>
        </w:rPr>
      </w:pPr>
      <w:r>
        <w:rPr>
          <w:rFonts w:hint="eastAsia" w:ascii="宋体" w:hAnsi="宋体" w:cs="宋体"/>
          <w:sz w:val="24"/>
        </w:rPr>
        <w:t>四、投诉事项具体内容</w:t>
      </w:r>
    </w:p>
    <w:p w14:paraId="319B75A2">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018A3D71">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468BD699">
      <w:pPr>
        <w:spacing w:line="360" w:lineRule="auto"/>
        <w:rPr>
          <w:rFonts w:ascii="宋体" w:hAnsi="宋体" w:cs="宋体"/>
          <w:sz w:val="24"/>
          <w:u w:val="dotted"/>
        </w:rPr>
      </w:pPr>
      <w:r>
        <w:rPr>
          <w:rFonts w:hint="eastAsia" w:ascii="宋体" w:hAnsi="宋体" w:cs="宋体"/>
          <w:sz w:val="24"/>
          <w:u w:val="dotted"/>
        </w:rPr>
        <w:t xml:space="preserve">                                                      </w:t>
      </w:r>
    </w:p>
    <w:p w14:paraId="3063148E">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69D4FBE6">
      <w:pPr>
        <w:spacing w:line="360" w:lineRule="auto"/>
        <w:rPr>
          <w:rFonts w:ascii="宋体" w:hAnsi="宋体" w:cs="宋体"/>
          <w:sz w:val="24"/>
          <w:u w:val="dotted"/>
        </w:rPr>
      </w:pPr>
      <w:r>
        <w:rPr>
          <w:rFonts w:hint="eastAsia" w:ascii="宋体" w:hAnsi="宋体" w:cs="宋体"/>
          <w:sz w:val="24"/>
          <w:u w:val="dotted"/>
        </w:rPr>
        <w:t xml:space="preserve">                                                      </w:t>
      </w:r>
    </w:p>
    <w:p w14:paraId="3EC038F0">
      <w:pPr>
        <w:spacing w:line="360" w:lineRule="auto"/>
        <w:rPr>
          <w:rFonts w:ascii="宋体" w:hAnsi="宋体" w:cs="宋体"/>
          <w:sz w:val="24"/>
        </w:rPr>
      </w:pPr>
      <w:r>
        <w:rPr>
          <w:rFonts w:hint="eastAsia" w:ascii="宋体" w:hAnsi="宋体" w:cs="宋体"/>
          <w:sz w:val="24"/>
        </w:rPr>
        <w:t>投诉事项2</w:t>
      </w:r>
    </w:p>
    <w:p w14:paraId="68BC279C">
      <w:pPr>
        <w:spacing w:line="360" w:lineRule="auto"/>
        <w:rPr>
          <w:rFonts w:ascii="宋体" w:hAnsi="宋体" w:cs="宋体"/>
          <w:sz w:val="24"/>
          <w:u w:val="dotted"/>
        </w:rPr>
      </w:pPr>
      <w:r>
        <w:rPr>
          <w:rFonts w:hint="eastAsia" w:ascii="宋体" w:hAnsi="宋体" w:cs="宋体"/>
          <w:sz w:val="24"/>
        </w:rPr>
        <w:t>……</w:t>
      </w:r>
    </w:p>
    <w:p w14:paraId="7BF7656B">
      <w:pPr>
        <w:spacing w:line="360" w:lineRule="auto"/>
        <w:rPr>
          <w:rFonts w:ascii="宋体" w:hAnsi="宋体" w:cs="宋体"/>
          <w:sz w:val="24"/>
        </w:rPr>
      </w:pPr>
      <w:r>
        <w:rPr>
          <w:rFonts w:hint="eastAsia" w:ascii="宋体" w:hAnsi="宋体" w:cs="宋体"/>
          <w:sz w:val="24"/>
        </w:rPr>
        <w:t>五、与投诉事项相关的投诉请求</w:t>
      </w:r>
    </w:p>
    <w:p w14:paraId="36A66DEA">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348D86A9">
      <w:pPr>
        <w:spacing w:line="360" w:lineRule="auto"/>
        <w:rPr>
          <w:rFonts w:ascii="宋体" w:hAnsi="宋体" w:cs="宋体"/>
          <w:sz w:val="24"/>
          <w:u w:val="single"/>
        </w:rPr>
      </w:pPr>
      <w:r>
        <w:rPr>
          <w:rFonts w:hint="eastAsia" w:ascii="宋体" w:hAnsi="宋体" w:cs="宋体"/>
          <w:sz w:val="24"/>
        </w:rPr>
        <w:t xml:space="preserve">                                                                                                    </w:t>
      </w:r>
    </w:p>
    <w:p w14:paraId="4865FD0E">
      <w:pPr>
        <w:spacing w:line="360" w:lineRule="auto"/>
        <w:rPr>
          <w:rFonts w:ascii="宋体" w:hAnsi="宋体" w:cs="宋体"/>
          <w:sz w:val="24"/>
        </w:rPr>
      </w:pPr>
      <w:r>
        <w:rPr>
          <w:rFonts w:hint="eastAsia" w:ascii="宋体" w:hAnsi="宋体" w:cs="宋体"/>
          <w:sz w:val="24"/>
        </w:rPr>
        <w:t xml:space="preserve">签字(签章)：                   公章：                      </w:t>
      </w:r>
    </w:p>
    <w:p w14:paraId="23406E9C">
      <w:pPr>
        <w:spacing w:line="360" w:lineRule="auto"/>
        <w:rPr>
          <w:rFonts w:ascii="宋体" w:hAnsi="宋体" w:cs="宋体"/>
          <w:sz w:val="24"/>
        </w:rPr>
      </w:pPr>
      <w:r>
        <w:rPr>
          <w:rFonts w:hint="eastAsia" w:ascii="宋体" w:hAnsi="宋体" w:cs="宋体"/>
          <w:sz w:val="24"/>
        </w:rPr>
        <w:t xml:space="preserve">日期：    </w:t>
      </w:r>
    </w:p>
    <w:p w14:paraId="524355BE">
      <w:pPr>
        <w:spacing w:line="360" w:lineRule="auto"/>
        <w:rPr>
          <w:rFonts w:ascii="宋体" w:hAnsi="宋体" w:cs="宋体"/>
          <w:b/>
          <w:sz w:val="24"/>
        </w:rPr>
      </w:pPr>
    </w:p>
    <w:p w14:paraId="0AFFAC5E">
      <w:pPr>
        <w:spacing w:line="360" w:lineRule="auto"/>
        <w:rPr>
          <w:rFonts w:ascii="宋体" w:hAnsi="宋体" w:cs="宋体"/>
          <w:b/>
          <w:sz w:val="24"/>
        </w:rPr>
      </w:pPr>
    </w:p>
    <w:p w14:paraId="2959B60D">
      <w:pPr>
        <w:spacing w:line="360" w:lineRule="auto"/>
        <w:rPr>
          <w:rFonts w:ascii="宋体" w:hAnsi="宋体" w:cs="宋体"/>
          <w:b/>
          <w:sz w:val="24"/>
        </w:rPr>
      </w:pPr>
      <w:r>
        <w:rPr>
          <w:rFonts w:hint="eastAsia" w:ascii="宋体" w:hAnsi="宋体" w:cs="宋体"/>
          <w:b/>
          <w:sz w:val="24"/>
        </w:rPr>
        <w:t>投诉书制作说明：</w:t>
      </w:r>
    </w:p>
    <w:p w14:paraId="5676F788">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1F740399">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2F1C5220">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0251516E">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05749BEA">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7F23E600">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72B9760B">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68BDBC06">
      <w:pPr>
        <w:spacing w:line="360" w:lineRule="auto"/>
        <w:rPr>
          <w:rFonts w:ascii="宋体" w:hAnsi="宋体" w:cs="宋体"/>
          <w:b/>
          <w:sz w:val="24"/>
        </w:rPr>
      </w:pPr>
    </w:p>
    <w:p w14:paraId="15272CEB">
      <w:pPr>
        <w:autoSpaceDE w:val="0"/>
        <w:autoSpaceDN w:val="0"/>
        <w:jc w:val="center"/>
        <w:rPr>
          <w:rFonts w:ascii="宋体" w:hAnsi="宋体" w:cs="宋体"/>
          <w:b/>
          <w:spacing w:val="6"/>
          <w:sz w:val="32"/>
          <w:szCs w:val="32"/>
        </w:rPr>
      </w:pPr>
    </w:p>
    <w:p w14:paraId="091597A0">
      <w:pPr>
        <w:autoSpaceDE w:val="0"/>
        <w:autoSpaceDN w:val="0"/>
        <w:jc w:val="center"/>
        <w:rPr>
          <w:rFonts w:ascii="宋体" w:hAnsi="宋体" w:cs="宋体"/>
          <w:b/>
          <w:spacing w:val="6"/>
          <w:sz w:val="32"/>
          <w:szCs w:val="32"/>
        </w:rPr>
      </w:pPr>
    </w:p>
    <w:p w14:paraId="74F36138">
      <w:pPr>
        <w:autoSpaceDE w:val="0"/>
        <w:autoSpaceDN w:val="0"/>
        <w:jc w:val="center"/>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5412AFE1">
      <w:pPr>
        <w:spacing w:line="360" w:lineRule="auto"/>
        <w:rPr>
          <w:rFonts w:ascii="宋体" w:hAnsi="宋体" w:cs="宋体"/>
          <w:sz w:val="24"/>
          <w:u w:val="single"/>
        </w:rPr>
      </w:pPr>
    </w:p>
    <w:p w14:paraId="785C6E65">
      <w:pPr>
        <w:spacing w:line="360" w:lineRule="auto"/>
        <w:rPr>
          <w:rFonts w:ascii="宋体" w:hAnsi="宋体" w:cs="宋体"/>
          <w:sz w:val="24"/>
        </w:rPr>
      </w:pPr>
      <w:r>
        <w:rPr>
          <w:rFonts w:hint="eastAsia" w:ascii="宋体" w:hAnsi="宋体" w:cs="宋体"/>
          <w:sz w:val="24"/>
          <w:u w:val="single"/>
        </w:rPr>
        <w:t>杭州职业技术大学、杭州市公共资源交易中心：</w:t>
      </w:r>
    </w:p>
    <w:p w14:paraId="4C43E37C">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你方组织的杭州职业技术大学</w:t>
      </w:r>
      <w:r>
        <w:rPr>
          <w:rFonts w:hint="eastAsia" w:ascii="宋体" w:hAnsi="宋体" w:cs="宋体"/>
          <w:sz w:val="24"/>
          <w:lang w:eastAsia="zh-CN"/>
        </w:rPr>
        <w:t>新安江校区通用机房</w:t>
      </w:r>
      <w:r>
        <w:rPr>
          <w:rFonts w:hint="eastAsia" w:ascii="宋体" w:hAnsi="宋体" w:cs="宋体"/>
          <w:sz w:val="24"/>
        </w:rPr>
        <w:t>建设项目【招标编号：HZZFCG-2026-074】</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2A8FDEEE">
      <w:pPr>
        <w:spacing w:line="360" w:lineRule="auto"/>
        <w:ind w:firstLine="480" w:firstLineChars="200"/>
        <w:rPr>
          <w:rFonts w:ascii="宋体" w:hAnsi="宋体" w:cs="宋体"/>
          <w:sz w:val="24"/>
        </w:rPr>
      </w:pPr>
      <w:r>
        <w:rPr>
          <w:rFonts w:hint="eastAsia" w:ascii="宋体" w:hAnsi="宋体" w:cs="宋体"/>
          <w:sz w:val="24"/>
        </w:rPr>
        <w:t>特此说明。</w:t>
      </w:r>
    </w:p>
    <w:p w14:paraId="552316BF">
      <w:pPr>
        <w:spacing w:line="360" w:lineRule="auto"/>
        <w:ind w:firstLine="494"/>
        <w:rPr>
          <w:rFonts w:ascii="宋体" w:hAnsi="宋体" w:cs="宋体"/>
          <w:sz w:val="24"/>
        </w:rPr>
      </w:pPr>
    </w:p>
    <w:p w14:paraId="1A7C2A9B">
      <w:pPr>
        <w:spacing w:line="360" w:lineRule="auto"/>
        <w:ind w:firstLine="494"/>
        <w:rPr>
          <w:rFonts w:ascii="宋体" w:hAnsi="宋体" w:cs="宋体"/>
          <w:sz w:val="24"/>
        </w:rPr>
      </w:pPr>
    </w:p>
    <w:p w14:paraId="34BE9BAD">
      <w:pPr>
        <w:spacing w:line="360" w:lineRule="auto"/>
        <w:ind w:firstLine="494"/>
        <w:rPr>
          <w:rFonts w:ascii="宋体" w:hAnsi="宋体" w:cs="宋体"/>
          <w:sz w:val="24"/>
        </w:rPr>
      </w:pPr>
    </w:p>
    <w:p w14:paraId="55AA5F43">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439A5742">
      <w:pPr>
        <w:ind w:right="1440" w:firstLine="494"/>
        <w:jc w:val="center"/>
        <w:rPr>
          <w:rFonts w:ascii="宋体" w:hAnsi="宋体" w:cs="宋体"/>
          <w:sz w:val="24"/>
        </w:rPr>
      </w:pPr>
      <w:r>
        <w:rPr>
          <w:rFonts w:hint="eastAsia" w:ascii="宋体" w:hAnsi="宋体" w:cs="宋体"/>
          <w:sz w:val="24"/>
        </w:rPr>
        <w:t xml:space="preserve">                              日期：       年     月     日</w:t>
      </w:r>
    </w:p>
    <w:p w14:paraId="0B7FD147">
      <w:pPr>
        <w:rPr>
          <w:rFonts w:ascii="宋体" w:hAnsi="宋体" w:cs="宋体"/>
          <w:sz w:val="24"/>
        </w:rPr>
      </w:pPr>
      <w:r>
        <w:rPr>
          <w:rFonts w:hint="eastAsia" w:ascii="宋体" w:hAnsi="宋体" w:cs="宋体"/>
          <w:b/>
          <w:bCs/>
          <w:sz w:val="24"/>
        </w:rPr>
        <w:t>附：</w:t>
      </w:r>
    </w:p>
    <w:p w14:paraId="176611D4">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0" distR="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4" r="9525" b="9525"/>
                <wp:wrapNone/>
                <wp:docPr id="1030"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z/jB2AAAAAoBAAAPAAAAAAAAAAEAIAAAACIAAABk&#10;cnMvZG93bnJldi54bWxQSwECFAAUAAAACACHTuJAkip1Uc0BAADGAwAADgAAAAAAAAABACAAAAAn&#10;AQAAZHJzL2Uyb0RvYy54bWxQSwUGAAAAAAYABgBZAQAAZgUAAAAA&#10;">
                <v:fill on="t" focussize="0,0"/>
                <v:stroke color="#000000" joinstyle="miter"/>
                <v:imagedata o:title=""/>
                <o:lock v:ext="edit" aspectratio="f"/>
              </v:rect>
            </w:pict>
          </mc:Fallback>
        </mc:AlternateContent>
      </w:r>
      <w:r>
        <w:rPr>
          <w:rFonts w:hint="eastAsia" w:ascii="宋体" w:hAnsi="宋体" w:cs="宋体"/>
          <w:b/>
          <w:bCs/>
          <w:sz w:val="24"/>
        </w:rPr>
        <mc:AlternateContent>
          <mc:Choice Requires="wps">
            <w:drawing>
              <wp:anchor distT="0" distB="0" distL="0" distR="0" simplePos="0" relativeHeight="251659264" behindDoc="1" locked="0" layoutInCell="1" allowOverlap="1">
                <wp:simplePos x="0" y="0"/>
                <wp:positionH relativeFrom="column">
                  <wp:posOffset>-91440</wp:posOffset>
                </wp:positionH>
                <wp:positionV relativeFrom="paragraph">
                  <wp:posOffset>384810</wp:posOffset>
                </wp:positionV>
                <wp:extent cx="2647950" cy="2253615"/>
                <wp:effectExtent l="8890" t="13334" r="10160" b="9525"/>
                <wp:wrapNone/>
                <wp:docPr id="1031"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Rectangle 16" o:spid="_x0000_s1026" o:spt="1" style="position:absolute;left:0pt;margin-left:-7.2pt;margin-top:30.3pt;height:177.45pt;width:208.5pt;z-index:-251657216;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&#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d07BY2AAAAAoBAAAPAAAAAAAAAAEAIAAAACIAAABk&#10;cnMvZG93bnJldi54bWxQSwECFAAUAAAACACHTuJAlj6Zjs0BAADGAwAADgAAAAAAAAABACAAAAAn&#10;AQAAZHJzL2Uyb0RvYy54bWxQSwUGAAAAAAYABgBZAQAAZgUAAAAA&#10;">
                <v:fill on="t" focussize="0,0"/>
                <v:stroke color="#000000" joinstyle="miter"/>
                <v:imagedata o:title=""/>
                <o:lock v:ext="edit" aspectratio="f"/>
              </v:rect>
            </w:pict>
          </mc:Fallback>
        </mc:AlternateContent>
      </w:r>
      <w:r>
        <w:rPr>
          <w:rFonts w:hint="eastAsia" w:ascii="宋体" w:hAnsi="宋体" w:cs="宋体"/>
          <w:sz w:val="24"/>
        </w:rPr>
        <w:t>投标单位法定名称章（印模）                投标单位“XX专用章”（印模）</w:t>
      </w:r>
    </w:p>
    <w:p w14:paraId="30AB4C93">
      <w:pPr>
        <w:autoSpaceDE w:val="0"/>
        <w:autoSpaceDN w:val="0"/>
        <w:jc w:val="center"/>
        <w:rPr>
          <w:rFonts w:ascii="宋体" w:hAnsi="宋体" w:cs="宋体"/>
          <w:b/>
          <w:spacing w:val="6"/>
          <w:sz w:val="32"/>
          <w:szCs w:val="32"/>
        </w:rPr>
      </w:pPr>
    </w:p>
    <w:p w14:paraId="20907FCD">
      <w:pPr>
        <w:autoSpaceDE w:val="0"/>
        <w:autoSpaceDN w:val="0"/>
        <w:jc w:val="center"/>
        <w:rPr>
          <w:rFonts w:ascii="宋体" w:hAnsi="宋体" w:cs="宋体"/>
          <w:b/>
          <w:spacing w:val="6"/>
          <w:sz w:val="32"/>
          <w:szCs w:val="32"/>
        </w:rPr>
      </w:pPr>
    </w:p>
    <w:p w14:paraId="592458B6">
      <w:pPr>
        <w:autoSpaceDE w:val="0"/>
        <w:autoSpaceDN w:val="0"/>
        <w:jc w:val="center"/>
        <w:rPr>
          <w:rFonts w:ascii="宋体" w:hAnsi="宋体" w:cs="宋体"/>
          <w:b/>
          <w:spacing w:val="6"/>
          <w:sz w:val="32"/>
          <w:szCs w:val="32"/>
        </w:rPr>
      </w:pPr>
    </w:p>
    <w:p w14:paraId="69DB74C3">
      <w:pPr>
        <w:autoSpaceDE w:val="0"/>
        <w:autoSpaceDN w:val="0"/>
        <w:jc w:val="center"/>
        <w:rPr>
          <w:rFonts w:ascii="宋体" w:hAnsi="宋体" w:cs="宋体"/>
          <w:b/>
          <w:spacing w:val="6"/>
          <w:sz w:val="32"/>
          <w:szCs w:val="32"/>
        </w:rPr>
      </w:pPr>
    </w:p>
    <w:p w14:paraId="6A0C4ED8">
      <w:pPr>
        <w:autoSpaceDE w:val="0"/>
        <w:autoSpaceDN w:val="0"/>
        <w:jc w:val="center"/>
        <w:rPr>
          <w:rFonts w:ascii="宋体" w:hAnsi="宋体" w:cs="宋体"/>
          <w:b/>
          <w:spacing w:val="6"/>
          <w:sz w:val="32"/>
          <w:szCs w:val="32"/>
        </w:rPr>
      </w:pPr>
    </w:p>
    <w:p w14:paraId="7E453E16">
      <w:pPr>
        <w:autoSpaceDE w:val="0"/>
        <w:autoSpaceDN w:val="0"/>
        <w:jc w:val="center"/>
        <w:rPr>
          <w:rFonts w:ascii="宋体" w:hAnsi="宋体" w:cs="宋体"/>
          <w:b/>
          <w:spacing w:val="6"/>
          <w:sz w:val="32"/>
          <w:szCs w:val="32"/>
        </w:rPr>
      </w:pPr>
    </w:p>
    <w:p w14:paraId="4B492D5C">
      <w:pPr>
        <w:autoSpaceDE w:val="0"/>
        <w:autoSpaceDN w:val="0"/>
        <w:jc w:val="center"/>
        <w:rPr>
          <w:rFonts w:ascii="宋体" w:hAnsi="宋体" w:cs="宋体"/>
          <w:b/>
          <w:spacing w:val="6"/>
          <w:sz w:val="32"/>
          <w:szCs w:val="32"/>
        </w:rPr>
      </w:pPr>
    </w:p>
    <w:p w14:paraId="72788233">
      <w:pPr>
        <w:autoSpaceDE w:val="0"/>
        <w:autoSpaceDN w:val="0"/>
        <w:jc w:val="center"/>
        <w:rPr>
          <w:rFonts w:ascii="宋体" w:hAnsi="宋体" w:cs="宋体"/>
          <w:b/>
          <w:spacing w:val="6"/>
          <w:sz w:val="32"/>
          <w:szCs w:val="32"/>
        </w:rPr>
      </w:pPr>
    </w:p>
    <w:p w14:paraId="019DD9EA">
      <w:pPr>
        <w:autoSpaceDE w:val="0"/>
        <w:autoSpaceDN w:val="0"/>
        <w:jc w:val="center"/>
        <w:rPr>
          <w:rFonts w:ascii="宋体" w:hAnsi="宋体" w:cs="宋体"/>
          <w:b/>
          <w:spacing w:val="6"/>
          <w:sz w:val="32"/>
          <w:szCs w:val="32"/>
        </w:rPr>
      </w:pPr>
    </w:p>
    <w:p w14:paraId="41CAF4B6">
      <w:pPr>
        <w:autoSpaceDE w:val="0"/>
        <w:autoSpaceDN w:val="0"/>
        <w:jc w:val="center"/>
        <w:rPr>
          <w:rFonts w:ascii="宋体" w:hAnsi="宋体" w:cs="宋体"/>
          <w:b/>
          <w:spacing w:val="6"/>
          <w:sz w:val="32"/>
          <w:szCs w:val="32"/>
        </w:rPr>
      </w:pPr>
    </w:p>
    <w:p w14:paraId="7BE048B2">
      <w:pPr>
        <w:autoSpaceDE w:val="0"/>
        <w:autoSpaceDN w:val="0"/>
        <w:jc w:val="center"/>
        <w:rPr>
          <w:rFonts w:ascii="宋体" w:hAnsi="宋体" w:cs="宋体"/>
          <w:b/>
          <w:spacing w:val="6"/>
          <w:sz w:val="32"/>
          <w:szCs w:val="32"/>
        </w:rPr>
      </w:pPr>
    </w:p>
    <w:p w14:paraId="2D94FEA5">
      <w:pPr>
        <w:autoSpaceDE w:val="0"/>
        <w:autoSpaceDN w:val="0"/>
        <w:jc w:val="center"/>
        <w:rPr>
          <w:rFonts w:ascii="宋体" w:hAnsi="宋体" w:cs="宋体"/>
          <w:b/>
          <w:spacing w:val="6"/>
          <w:sz w:val="32"/>
          <w:szCs w:val="32"/>
        </w:rPr>
      </w:pPr>
    </w:p>
    <w:p w14:paraId="6F3D5974">
      <w:pPr>
        <w:autoSpaceDE w:val="0"/>
        <w:autoSpaceDN w:val="0"/>
        <w:jc w:val="center"/>
        <w:rPr>
          <w:rFonts w:ascii="宋体" w:hAnsi="宋体" w:cs="宋体"/>
          <w:b/>
          <w:spacing w:val="6"/>
          <w:sz w:val="32"/>
          <w:szCs w:val="32"/>
        </w:rPr>
      </w:pPr>
    </w:p>
    <w:p w14:paraId="13D8A3BB">
      <w:pPr>
        <w:autoSpaceDE w:val="0"/>
        <w:autoSpaceDN w:val="0"/>
        <w:jc w:val="center"/>
        <w:rPr>
          <w:rFonts w:ascii="宋体" w:hAnsi="宋体" w:cs="宋体"/>
          <w:b/>
          <w:spacing w:val="6"/>
          <w:sz w:val="32"/>
          <w:szCs w:val="32"/>
        </w:rPr>
      </w:pPr>
    </w:p>
    <w:p w14:paraId="1ABD59EE">
      <w:pPr>
        <w:autoSpaceDE w:val="0"/>
        <w:autoSpaceDN w:val="0"/>
        <w:jc w:val="center"/>
        <w:rPr>
          <w:rFonts w:ascii="宋体" w:hAnsi="宋体" w:cs="宋体"/>
          <w:b/>
          <w:spacing w:val="6"/>
          <w:sz w:val="32"/>
          <w:szCs w:val="32"/>
        </w:rPr>
      </w:pPr>
    </w:p>
    <w:p w14:paraId="167C76A5">
      <w:pPr>
        <w:autoSpaceDE w:val="0"/>
        <w:autoSpaceDN w:val="0"/>
        <w:jc w:val="center"/>
        <w:rPr>
          <w:rFonts w:ascii="宋体" w:hAnsi="宋体" w:cs="宋体"/>
          <w:b/>
          <w:spacing w:val="6"/>
          <w:sz w:val="32"/>
          <w:szCs w:val="32"/>
        </w:rPr>
      </w:pPr>
    </w:p>
    <w:p w14:paraId="4B22C3F0">
      <w:pPr>
        <w:autoSpaceDE w:val="0"/>
        <w:autoSpaceDN w:val="0"/>
        <w:jc w:val="center"/>
        <w:rPr>
          <w:rFonts w:ascii="宋体" w:hAnsi="宋体" w:cs="宋体"/>
          <w:b/>
          <w:spacing w:val="6"/>
          <w:sz w:val="32"/>
          <w:szCs w:val="32"/>
        </w:rPr>
      </w:pPr>
    </w:p>
    <w:p w14:paraId="50D8F446">
      <w:pPr>
        <w:autoSpaceDE w:val="0"/>
        <w:autoSpaceDN w:val="0"/>
        <w:jc w:val="center"/>
        <w:rPr>
          <w:rFonts w:ascii="宋体" w:hAnsi="宋体" w:cs="宋体"/>
          <w:b/>
          <w:spacing w:val="6"/>
          <w:sz w:val="32"/>
          <w:szCs w:val="32"/>
        </w:rPr>
      </w:pPr>
    </w:p>
    <w:p w14:paraId="706E4B22">
      <w:pPr>
        <w:snapToGrid w:val="0"/>
        <w:spacing w:line="360" w:lineRule="auto"/>
        <w:jc w:val="center"/>
        <w:outlineLvl w:val="0"/>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5</w:t>
      </w:r>
      <w:r>
        <w:rPr>
          <w:rFonts w:hint="eastAsia" w:ascii="宋体" w:hAnsi="宋体" w:cs="宋体"/>
          <w:b/>
          <w:kern w:val="0"/>
          <w:sz w:val="32"/>
          <w:szCs w:val="32"/>
        </w:rPr>
        <w:t>：联合协议</w:t>
      </w:r>
    </w:p>
    <w:p w14:paraId="6F109EC6">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2411A24F">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杭州职业技术大学</w:t>
      </w:r>
      <w:r>
        <w:rPr>
          <w:rFonts w:hint="eastAsia" w:ascii="宋体" w:hAnsi="宋体" w:cs="宋体"/>
          <w:sz w:val="24"/>
          <w:lang w:eastAsia="zh-CN"/>
        </w:rPr>
        <w:t>新安江校区通用机房</w:t>
      </w:r>
      <w:r>
        <w:rPr>
          <w:rFonts w:hint="eastAsia" w:ascii="宋体" w:hAnsi="宋体" w:cs="宋体"/>
          <w:sz w:val="24"/>
        </w:rPr>
        <w:t>建设项目【招标编号：HZZFCG-2026-074】</w:t>
      </w:r>
      <w:r>
        <w:rPr>
          <w:rFonts w:hint="eastAsia" w:ascii="宋体" w:hAnsi="宋体" w:cs="宋体"/>
          <w:kern w:val="0"/>
          <w:sz w:val="24"/>
          <w:lang w:val="zh-CN"/>
        </w:rPr>
        <w:t xml:space="preserve">投标。 </w:t>
      </w:r>
    </w:p>
    <w:p w14:paraId="774ADA2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2031D25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授权代表根据招标文件规定及投标内容而对采购人、采购机构所作的任何合法承诺，包括书面澄清及</w:t>
      </w:r>
      <w:r>
        <w:rPr>
          <w:rFonts w:hint="eastAsia" w:ascii="宋体" w:hAnsi="宋体" w:cs="宋体"/>
          <w:kern w:val="0"/>
          <w:sz w:val="24"/>
        </w:rPr>
        <w:t>响</w:t>
      </w:r>
      <w:r>
        <w:rPr>
          <w:rFonts w:hint="eastAsia" w:ascii="宋体" w:hAnsi="宋体" w:cs="宋体"/>
          <w:kern w:val="0"/>
          <w:sz w:val="24"/>
          <w:lang w:val="zh-CN"/>
        </w:rPr>
        <w:t>应等均对联合投标各方产生约束力。</w:t>
      </w:r>
    </w:p>
    <w:p w14:paraId="6EDC11E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w:t>
      </w:r>
      <w:r>
        <w:rPr>
          <w:rFonts w:hint="eastAsia" w:ascii="宋体" w:hAnsi="宋体" w:cs="宋体"/>
          <w:kern w:val="0"/>
          <w:sz w:val="24"/>
        </w:rPr>
        <w:t>所有联合体成员</w:t>
      </w:r>
      <w:r>
        <w:rPr>
          <w:rFonts w:hint="eastAsia" w:ascii="宋体" w:hAnsi="宋体" w:cs="宋体"/>
          <w:kern w:val="0"/>
          <w:sz w:val="24"/>
          <w:lang w:val="zh-CN"/>
        </w:rPr>
        <w:t>分工如下：</w:t>
      </w:r>
    </w:p>
    <w:p w14:paraId="40235C08">
      <w:pPr>
        <w:snapToGrid w:val="0"/>
        <w:spacing w:line="360" w:lineRule="auto"/>
        <w:ind w:firstLine="576"/>
        <w:rPr>
          <w:rFonts w:ascii="宋体" w:hAnsi="宋体" w:cs="宋体"/>
          <w:kern w:val="0"/>
          <w:sz w:val="24"/>
          <w:lang w:val="zh-CN"/>
        </w:rPr>
      </w:pPr>
      <w:bookmarkStart w:id="419" w:name="_Hlk101134295"/>
      <w:r>
        <w:rPr>
          <w:rFonts w:hint="eastAsia" w:ascii="宋体" w:hAnsi="宋体" w:cs="宋体"/>
          <w:kern w:val="0"/>
          <w:sz w:val="24"/>
          <w:u w:val="single"/>
        </w:rPr>
        <w:t>（联合体成员1名称）</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218569CA">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名称）</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17FA755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bookmarkEnd w:id="419"/>
    <w:p w14:paraId="5FE59C99">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r>
        <w:rPr>
          <w:rFonts w:hint="eastAsia" w:ascii="宋体" w:hAnsi="宋体" w:cs="宋体"/>
          <w:kern w:val="0"/>
          <w:sz w:val="24"/>
        </w:rPr>
        <w:t>根据项目具体情况二选一填写）</w:t>
      </w:r>
      <w:r>
        <w:rPr>
          <w:rFonts w:hint="eastAsia" w:ascii="宋体" w:hAnsi="宋体" w:cs="宋体"/>
          <w:kern w:val="0"/>
          <w:sz w:val="24"/>
          <w:lang w:val="zh-CN"/>
        </w:rPr>
        <w:t>。</w:t>
      </w:r>
    </w:p>
    <w:p w14:paraId="6E69BAB2">
      <w:pPr>
        <w:snapToGrid w:val="0"/>
        <w:spacing w:line="360" w:lineRule="auto"/>
        <w:ind w:firstLine="576"/>
        <w:rPr>
          <w:rFonts w:ascii="宋体" w:hAnsi="宋体" w:cs="宋体"/>
          <w:b/>
          <w:kern w:val="0"/>
          <w:sz w:val="24"/>
          <w:lang w:val="zh-CN"/>
        </w:rPr>
      </w:pPr>
      <w:r>
        <w:rPr>
          <w:rFonts w:hint="eastAsia" w:ascii="MS Gothic" w:hAnsi="MS Gothic" w:cs="宋体"/>
          <w:kern w:val="0"/>
          <w:sz w:val="24"/>
        </w:rPr>
        <w:t>☐</w:t>
      </w:r>
      <w:r>
        <w:rPr>
          <w:rFonts w:hint="eastAsia" w:ascii="宋体" w:hAnsi="宋体" w:cs="宋体"/>
          <w:kern w:val="0"/>
          <w:sz w:val="24"/>
        </w:rPr>
        <w:t xml:space="preserve"> </w:t>
      </w:r>
      <w:r>
        <w:rPr>
          <w:rFonts w:hint="eastAsia" w:ascii="宋体" w:hAnsi="宋体" w:cs="宋体"/>
          <w:kern w:val="0"/>
          <w:sz w:val="24"/>
          <w:u w:val="single"/>
        </w:rPr>
        <w:t>（联合体成员</w:t>
      </w:r>
      <w:r>
        <w:rPr>
          <w:rFonts w:ascii="宋体" w:hAnsi="宋体" w:cs="宋体"/>
          <w:kern w:val="0"/>
          <w:sz w:val="24"/>
          <w:u w:val="single"/>
        </w:rPr>
        <w:t>X,</w:t>
      </w:r>
      <w:r>
        <w:rPr>
          <w:rFonts w:hint="eastAsia" w:ascii="宋体" w:hAnsi="宋体" w:cs="宋体"/>
          <w:kern w:val="0"/>
          <w:sz w:val="24"/>
          <w:u w:val="single"/>
        </w:rPr>
        <w:t>……）</w:t>
      </w:r>
      <w:r>
        <w:rPr>
          <w:rFonts w:hint="eastAsia" w:ascii="宋体" w:hAnsi="宋体" w:cs="宋体"/>
          <w:kern w:val="0"/>
          <w:sz w:val="24"/>
        </w:rPr>
        <w:t>提供的全部货物由小微企业制造，其合同份额占到合同总金额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4E609005">
      <w:pPr>
        <w:snapToGrid w:val="0"/>
        <w:spacing w:line="360" w:lineRule="auto"/>
        <w:ind w:firstLine="576"/>
        <w:rPr>
          <w:rFonts w:ascii="宋体" w:hAnsi="宋体" w:cs="宋体"/>
          <w:kern w:val="0"/>
          <w:sz w:val="24"/>
          <w:lang w:val="zh-CN"/>
        </w:rPr>
      </w:pPr>
      <w:r>
        <w:rPr>
          <w:rFonts w:hint="eastAsia" w:ascii="MS Gothic" w:hAnsi="MS Gothic" w:cs="宋体"/>
          <w:kern w:val="0"/>
          <w:sz w:val="24"/>
        </w:rPr>
        <w:t>☐</w:t>
      </w:r>
      <w:r>
        <w:rPr>
          <w:rFonts w:hint="eastAsia" w:ascii="宋体" w:hAnsi="宋体" w:cs="宋体"/>
          <w:kern w:val="0"/>
          <w:sz w:val="24"/>
        </w:rPr>
        <w:t xml:space="preserve"> </w:t>
      </w:r>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要求以联合体形式参加的项目或采购包，供应商按招标文件第一部分招标公告申请人的资格要求中规定的联合协议中中小企业、其中小微企业合同金额应当达到的比例要求填写。</w:t>
      </w:r>
      <w:r>
        <w:rPr>
          <w:rFonts w:hint="eastAsia" w:ascii="宋体" w:hAnsi="宋体" w:cs="宋体"/>
          <w:b/>
          <w:bCs/>
          <w:kern w:val="0"/>
          <w:sz w:val="24"/>
          <w:lang w:val="zh-CN"/>
        </w:rPr>
        <w:t>）</w:t>
      </w:r>
    </w:p>
    <w:p w14:paraId="5B04A6C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7F7FA22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65C997E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41F69D0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57721D8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3、本协议提交采购人、采购机构后，联合体各方不得以任何形式对上述内容进行修改或撤销。</w:t>
      </w:r>
    </w:p>
    <w:p w14:paraId="50FF7F7F">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797F9CA4">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15F7E89A">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54F25243">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576678E6">
      <w:pPr>
        <w:spacing w:line="360" w:lineRule="auto"/>
        <w:ind w:right="420"/>
        <w:rPr>
          <w:rFonts w:ascii="宋体" w:hAnsi="宋体" w:cs="宋体"/>
          <w:sz w:val="24"/>
        </w:rPr>
      </w:pPr>
      <w:r>
        <w:rPr>
          <w:rFonts w:hint="eastAsia" w:ascii="宋体" w:hAnsi="宋体" w:cs="宋体"/>
          <w:sz w:val="24"/>
        </w:rPr>
        <w:t>注：按本格式和要求提供。</w:t>
      </w:r>
    </w:p>
    <w:p w14:paraId="4DA1953F">
      <w:pPr>
        <w:autoSpaceDE w:val="0"/>
        <w:autoSpaceDN w:val="0"/>
        <w:jc w:val="center"/>
        <w:rPr>
          <w:rFonts w:ascii="宋体" w:hAnsi="宋体" w:cs="宋体"/>
          <w:b/>
          <w:spacing w:val="6"/>
          <w:sz w:val="32"/>
          <w:szCs w:val="32"/>
        </w:rPr>
      </w:pPr>
    </w:p>
    <w:p w14:paraId="191E4D0C">
      <w:pPr>
        <w:autoSpaceDE w:val="0"/>
        <w:autoSpaceDN w:val="0"/>
        <w:jc w:val="center"/>
        <w:rPr>
          <w:rFonts w:ascii="宋体" w:hAnsi="宋体" w:cs="宋体"/>
          <w:b/>
          <w:spacing w:val="6"/>
          <w:sz w:val="32"/>
          <w:szCs w:val="32"/>
        </w:rPr>
      </w:pPr>
    </w:p>
    <w:p w14:paraId="0AA2A933">
      <w:pPr>
        <w:autoSpaceDE w:val="0"/>
        <w:autoSpaceDN w:val="0"/>
        <w:jc w:val="center"/>
        <w:rPr>
          <w:rFonts w:ascii="宋体" w:hAnsi="宋体" w:cs="宋体"/>
          <w:b/>
          <w:spacing w:val="6"/>
          <w:sz w:val="32"/>
          <w:szCs w:val="32"/>
        </w:rPr>
      </w:pPr>
    </w:p>
    <w:p w14:paraId="74AE49D5">
      <w:pPr>
        <w:autoSpaceDE w:val="0"/>
        <w:autoSpaceDN w:val="0"/>
        <w:jc w:val="center"/>
        <w:rPr>
          <w:rFonts w:ascii="宋体" w:hAnsi="宋体" w:cs="宋体"/>
          <w:b/>
          <w:spacing w:val="6"/>
          <w:sz w:val="32"/>
          <w:szCs w:val="32"/>
        </w:rPr>
      </w:pPr>
    </w:p>
    <w:p w14:paraId="158EE321">
      <w:pPr>
        <w:autoSpaceDE w:val="0"/>
        <w:autoSpaceDN w:val="0"/>
        <w:jc w:val="center"/>
        <w:rPr>
          <w:rFonts w:ascii="宋体" w:hAnsi="宋体" w:cs="宋体"/>
          <w:b/>
          <w:spacing w:val="6"/>
          <w:sz w:val="32"/>
          <w:szCs w:val="32"/>
        </w:rPr>
      </w:pPr>
    </w:p>
    <w:p w14:paraId="77120ADC">
      <w:pPr>
        <w:autoSpaceDE w:val="0"/>
        <w:autoSpaceDN w:val="0"/>
        <w:jc w:val="center"/>
        <w:rPr>
          <w:rFonts w:ascii="宋体" w:hAnsi="宋体" w:cs="宋体"/>
          <w:b/>
          <w:spacing w:val="6"/>
          <w:sz w:val="32"/>
          <w:szCs w:val="32"/>
        </w:rPr>
      </w:pPr>
    </w:p>
    <w:p w14:paraId="6C22B3F4">
      <w:pPr>
        <w:autoSpaceDE w:val="0"/>
        <w:autoSpaceDN w:val="0"/>
        <w:jc w:val="center"/>
        <w:rPr>
          <w:rFonts w:ascii="宋体" w:hAnsi="宋体" w:cs="宋体"/>
          <w:b/>
          <w:spacing w:val="6"/>
          <w:sz w:val="32"/>
          <w:szCs w:val="32"/>
        </w:rPr>
      </w:pPr>
    </w:p>
    <w:p w14:paraId="0F16749B">
      <w:pPr>
        <w:autoSpaceDE w:val="0"/>
        <w:autoSpaceDN w:val="0"/>
        <w:jc w:val="center"/>
        <w:rPr>
          <w:rFonts w:ascii="宋体" w:hAnsi="宋体" w:cs="宋体"/>
          <w:b/>
          <w:spacing w:val="6"/>
          <w:sz w:val="32"/>
          <w:szCs w:val="32"/>
        </w:rPr>
      </w:pPr>
    </w:p>
    <w:p w14:paraId="2E38399F">
      <w:pPr>
        <w:autoSpaceDE w:val="0"/>
        <w:autoSpaceDN w:val="0"/>
        <w:jc w:val="center"/>
        <w:rPr>
          <w:rFonts w:ascii="宋体" w:hAnsi="宋体" w:cs="宋体"/>
          <w:b/>
          <w:spacing w:val="6"/>
          <w:sz w:val="32"/>
          <w:szCs w:val="32"/>
        </w:rPr>
      </w:pPr>
    </w:p>
    <w:p w14:paraId="57B8588A">
      <w:pPr>
        <w:autoSpaceDE w:val="0"/>
        <w:autoSpaceDN w:val="0"/>
        <w:jc w:val="center"/>
        <w:rPr>
          <w:rFonts w:ascii="宋体" w:hAnsi="宋体" w:cs="宋体"/>
          <w:b/>
          <w:spacing w:val="6"/>
          <w:sz w:val="32"/>
          <w:szCs w:val="32"/>
        </w:rPr>
      </w:pPr>
    </w:p>
    <w:p w14:paraId="114CBFF0">
      <w:pPr>
        <w:autoSpaceDE w:val="0"/>
        <w:autoSpaceDN w:val="0"/>
        <w:jc w:val="center"/>
        <w:rPr>
          <w:rFonts w:ascii="宋体" w:hAnsi="宋体" w:cs="宋体"/>
          <w:b/>
          <w:spacing w:val="6"/>
          <w:sz w:val="32"/>
          <w:szCs w:val="32"/>
        </w:rPr>
      </w:pPr>
    </w:p>
    <w:p w14:paraId="36810FD8">
      <w:pPr>
        <w:autoSpaceDE w:val="0"/>
        <w:autoSpaceDN w:val="0"/>
        <w:jc w:val="center"/>
        <w:rPr>
          <w:rFonts w:ascii="宋体" w:hAnsi="宋体" w:cs="宋体"/>
          <w:b/>
          <w:spacing w:val="6"/>
          <w:sz w:val="32"/>
          <w:szCs w:val="32"/>
        </w:rPr>
      </w:pPr>
    </w:p>
    <w:p w14:paraId="05684158">
      <w:pPr>
        <w:autoSpaceDE w:val="0"/>
        <w:autoSpaceDN w:val="0"/>
        <w:jc w:val="center"/>
        <w:rPr>
          <w:rFonts w:ascii="宋体" w:hAnsi="宋体" w:cs="宋体"/>
          <w:b/>
          <w:spacing w:val="6"/>
          <w:sz w:val="32"/>
          <w:szCs w:val="32"/>
        </w:rPr>
      </w:pPr>
    </w:p>
    <w:p w14:paraId="0AAF787D">
      <w:pPr>
        <w:autoSpaceDE w:val="0"/>
        <w:autoSpaceDN w:val="0"/>
        <w:jc w:val="center"/>
        <w:rPr>
          <w:rFonts w:ascii="宋体" w:hAnsi="宋体" w:cs="宋体"/>
          <w:b/>
          <w:spacing w:val="6"/>
          <w:sz w:val="32"/>
          <w:szCs w:val="32"/>
        </w:rPr>
      </w:pPr>
    </w:p>
    <w:p w14:paraId="191AA797">
      <w:pPr>
        <w:autoSpaceDE w:val="0"/>
        <w:autoSpaceDN w:val="0"/>
        <w:jc w:val="center"/>
        <w:rPr>
          <w:rFonts w:ascii="宋体" w:hAnsi="宋体" w:cs="宋体"/>
          <w:b/>
          <w:spacing w:val="6"/>
          <w:sz w:val="32"/>
          <w:szCs w:val="32"/>
        </w:rPr>
      </w:pPr>
    </w:p>
    <w:p w14:paraId="2EA1D2BB">
      <w:pPr>
        <w:autoSpaceDE w:val="0"/>
        <w:autoSpaceDN w:val="0"/>
        <w:jc w:val="center"/>
        <w:rPr>
          <w:rFonts w:ascii="宋体" w:hAnsi="宋体" w:cs="宋体"/>
          <w:b/>
          <w:spacing w:val="6"/>
          <w:sz w:val="32"/>
          <w:szCs w:val="32"/>
        </w:rPr>
      </w:pPr>
    </w:p>
    <w:p w14:paraId="06413BE5">
      <w:pPr>
        <w:autoSpaceDE w:val="0"/>
        <w:autoSpaceDN w:val="0"/>
        <w:jc w:val="center"/>
        <w:rPr>
          <w:rFonts w:ascii="宋体" w:hAnsi="宋体" w:cs="宋体"/>
          <w:b/>
          <w:spacing w:val="6"/>
          <w:sz w:val="32"/>
          <w:szCs w:val="32"/>
        </w:rPr>
      </w:pPr>
    </w:p>
    <w:p w14:paraId="467DD107">
      <w:pPr>
        <w:autoSpaceDE w:val="0"/>
        <w:autoSpaceDN w:val="0"/>
        <w:jc w:val="center"/>
        <w:rPr>
          <w:rFonts w:ascii="宋体" w:hAnsi="宋体" w:cs="宋体"/>
          <w:b/>
          <w:spacing w:val="6"/>
          <w:sz w:val="32"/>
          <w:szCs w:val="32"/>
        </w:rPr>
      </w:pPr>
    </w:p>
    <w:p w14:paraId="6AEEB5D1">
      <w:pPr>
        <w:autoSpaceDE w:val="0"/>
        <w:autoSpaceDN w:val="0"/>
        <w:jc w:val="center"/>
        <w:rPr>
          <w:rFonts w:ascii="宋体" w:hAnsi="宋体" w:cs="宋体"/>
          <w:b/>
          <w:spacing w:val="6"/>
          <w:sz w:val="32"/>
          <w:szCs w:val="32"/>
        </w:rPr>
      </w:pPr>
    </w:p>
    <w:p w14:paraId="3438DA83">
      <w:pPr>
        <w:autoSpaceDE w:val="0"/>
        <w:autoSpaceDN w:val="0"/>
        <w:jc w:val="center"/>
        <w:rPr>
          <w:rFonts w:ascii="宋体" w:hAnsi="宋体" w:cs="宋体"/>
          <w:b/>
          <w:spacing w:val="6"/>
          <w:sz w:val="32"/>
          <w:szCs w:val="32"/>
        </w:rPr>
      </w:pPr>
    </w:p>
    <w:p w14:paraId="6F80F625">
      <w:pPr>
        <w:autoSpaceDE w:val="0"/>
        <w:autoSpaceDN w:val="0"/>
        <w:jc w:val="center"/>
        <w:rPr>
          <w:rFonts w:ascii="宋体" w:hAnsi="宋体" w:cs="宋体"/>
          <w:b/>
          <w:spacing w:val="6"/>
          <w:sz w:val="32"/>
          <w:szCs w:val="32"/>
        </w:rPr>
      </w:pPr>
    </w:p>
    <w:p w14:paraId="24F0C8B5">
      <w:pPr>
        <w:autoSpaceDE w:val="0"/>
        <w:autoSpaceDN w:val="0"/>
        <w:jc w:val="center"/>
        <w:rPr>
          <w:rFonts w:ascii="宋体" w:hAnsi="宋体" w:cs="宋体"/>
          <w:b/>
          <w:spacing w:val="6"/>
          <w:sz w:val="32"/>
          <w:szCs w:val="32"/>
        </w:rPr>
      </w:pPr>
    </w:p>
    <w:p w14:paraId="6528FF8B">
      <w:pPr>
        <w:autoSpaceDE w:val="0"/>
        <w:autoSpaceDN w:val="0"/>
        <w:jc w:val="center"/>
        <w:rPr>
          <w:rFonts w:ascii="宋体" w:hAnsi="宋体" w:cs="宋体"/>
          <w:b/>
          <w:spacing w:val="6"/>
          <w:sz w:val="32"/>
          <w:szCs w:val="32"/>
        </w:rPr>
      </w:pPr>
    </w:p>
    <w:p w14:paraId="3B906A17">
      <w:pPr>
        <w:autoSpaceDE w:val="0"/>
        <w:autoSpaceDN w:val="0"/>
        <w:jc w:val="center"/>
        <w:rPr>
          <w:rFonts w:ascii="宋体" w:hAnsi="宋体" w:cs="宋体"/>
          <w:b/>
          <w:spacing w:val="6"/>
          <w:sz w:val="32"/>
          <w:szCs w:val="32"/>
        </w:rPr>
      </w:pPr>
    </w:p>
    <w:p w14:paraId="7478D7DD">
      <w:pPr>
        <w:autoSpaceDE w:val="0"/>
        <w:autoSpaceDN w:val="0"/>
        <w:jc w:val="center"/>
        <w:rPr>
          <w:rFonts w:ascii="宋体" w:hAnsi="宋体" w:cs="宋体"/>
          <w:b/>
          <w:spacing w:val="6"/>
          <w:sz w:val="32"/>
          <w:szCs w:val="32"/>
        </w:rPr>
      </w:pPr>
    </w:p>
    <w:p w14:paraId="1E4BAA9A">
      <w:pPr>
        <w:autoSpaceDE w:val="0"/>
        <w:autoSpaceDN w:val="0"/>
        <w:jc w:val="center"/>
        <w:rPr>
          <w:rFonts w:ascii="宋体" w:hAnsi="宋体" w:cs="宋体"/>
          <w:b/>
          <w:spacing w:val="6"/>
          <w:sz w:val="32"/>
          <w:szCs w:val="32"/>
        </w:rPr>
      </w:pPr>
    </w:p>
    <w:p w14:paraId="0995EF36">
      <w:pPr>
        <w:snapToGrid w:val="0"/>
        <w:spacing w:line="360" w:lineRule="auto"/>
        <w:jc w:val="center"/>
        <w:outlineLvl w:val="0"/>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6</w:t>
      </w:r>
      <w:r>
        <w:rPr>
          <w:rFonts w:hint="eastAsia" w:ascii="宋体" w:hAnsi="宋体" w:cs="宋体"/>
          <w:b/>
          <w:kern w:val="0"/>
          <w:sz w:val="32"/>
          <w:szCs w:val="32"/>
        </w:rPr>
        <w:t>：分包意向协议</w:t>
      </w:r>
    </w:p>
    <w:p w14:paraId="6A5B25BA">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5604278D">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杭州职业技术大学</w:t>
      </w:r>
      <w:r>
        <w:rPr>
          <w:rFonts w:hint="eastAsia" w:ascii="宋体" w:hAnsi="宋体" w:cs="宋体"/>
          <w:sz w:val="24"/>
          <w:lang w:eastAsia="zh-CN"/>
        </w:rPr>
        <w:t>新安江校区通用机房</w:t>
      </w:r>
      <w:r>
        <w:rPr>
          <w:rFonts w:hint="eastAsia" w:ascii="宋体" w:hAnsi="宋体" w:cs="宋体"/>
          <w:sz w:val="24"/>
        </w:rPr>
        <w:t>建设项目【招标编号：HZZFCG-2026-074】</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28143C4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w:t>
      </w:r>
      <w:r>
        <w:rPr>
          <w:rFonts w:hint="eastAsia" w:ascii="宋体" w:hAnsi="宋体" w:cs="宋体"/>
          <w:kern w:val="0"/>
          <w:sz w:val="24"/>
          <w:u w:val="single"/>
          <w:lang w:val="zh-CN"/>
        </w:rPr>
        <w:t>（投标人名称）</w:t>
      </w:r>
      <w:r>
        <w:rPr>
          <w:rFonts w:hint="eastAsia" w:ascii="宋体" w:hAnsi="宋体" w:cs="宋体"/>
          <w:kern w:val="0"/>
          <w:sz w:val="24"/>
          <w:lang w:val="zh-CN"/>
        </w:rPr>
        <w:t>将工作分包如下：</w:t>
      </w:r>
      <w:r>
        <w:rPr>
          <w:rFonts w:hint="eastAsia" w:ascii="宋体" w:hAnsi="宋体" w:cs="宋体"/>
          <w:b/>
          <w:bCs/>
          <w:i/>
          <w:iCs/>
          <w:kern w:val="0"/>
          <w:sz w:val="24"/>
          <w:lang w:val="zh-CN"/>
        </w:rPr>
        <w:t>（注：投标人只能将招标文件第二部分中“前附表”的“分包”规定的工作进行分包）</w:t>
      </w:r>
    </w:p>
    <w:p w14:paraId="00A5F3D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p>
    <w:p w14:paraId="23BC756B">
      <w:pPr>
        <w:snapToGrid w:val="0"/>
        <w:spacing w:line="360" w:lineRule="auto"/>
        <w:ind w:firstLine="576"/>
        <w:rPr>
          <w:rFonts w:ascii="宋体" w:hAnsi="宋体" w:cs="宋体"/>
          <w:kern w:val="0"/>
          <w:sz w:val="24"/>
          <w:u w:val="single"/>
        </w:rPr>
      </w:pP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（分包供应商2名称）；</w:t>
      </w:r>
    </w:p>
    <w:p w14:paraId="588D4C00">
      <w:pPr>
        <w:pStyle w:val="3"/>
        <w:ind w:left="664" w:leftChars="316" w:firstLine="229" w:firstLineChars="95"/>
        <w:rPr>
          <w:rFonts w:ascii="宋体" w:hAnsi="宋体" w:eastAsia="宋体" w:cs="宋体"/>
          <w:kern w:val="0"/>
          <w:sz w:val="24"/>
          <w:szCs w:val="24"/>
        </w:rPr>
      </w:pPr>
      <w:r>
        <w:rPr>
          <w:rFonts w:hint="eastAsia" w:ascii="宋体" w:hAnsi="宋体" w:eastAsia="宋体" w:cs="宋体"/>
          <w:kern w:val="0"/>
          <w:sz w:val="24"/>
          <w:szCs w:val="24"/>
        </w:rPr>
        <w:t>……</w:t>
      </w:r>
    </w:p>
    <w:p w14:paraId="45D1E64E">
      <w:pPr>
        <w:pStyle w:val="3"/>
        <w:ind w:left="664" w:leftChars="316" w:firstLine="229" w:firstLineChars="95"/>
        <w:rPr>
          <w:rFonts w:ascii="宋体" w:hAnsi="宋体" w:eastAsia="宋体" w:cs="宋体"/>
          <w:kern w:val="0"/>
          <w:sz w:val="24"/>
          <w:szCs w:val="24"/>
        </w:rPr>
      </w:pPr>
      <w:r>
        <w:rPr>
          <w:rFonts w:hint="eastAsia" w:ascii="宋体" w:hAnsi="宋体" w:eastAsia="宋体" w:cs="宋体"/>
          <w:kern w:val="0"/>
          <w:sz w:val="24"/>
        </w:rPr>
        <w:t>以上分包供应商具备所承担分包工作内容相应的资质条件且不得再次分包。</w:t>
      </w:r>
    </w:p>
    <w:p w14:paraId="280CCC2B">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r>
        <w:rPr>
          <w:rFonts w:hint="eastAsia" w:ascii="宋体" w:hAnsi="宋体" w:cs="宋体"/>
          <w:kern w:val="0"/>
          <w:sz w:val="24"/>
        </w:rPr>
        <w:t>根据项目具体情况二选一填写）。</w:t>
      </w:r>
    </w:p>
    <w:p w14:paraId="76EA6D8E">
      <w:pPr>
        <w:snapToGrid w:val="0"/>
        <w:spacing w:line="360" w:lineRule="auto"/>
        <w:ind w:firstLine="576"/>
        <w:rPr>
          <w:rFonts w:ascii="宋体" w:hAnsi="宋体" w:cs="宋体"/>
          <w:b/>
          <w:kern w:val="0"/>
          <w:sz w:val="24"/>
          <w:lang w:val="zh-CN"/>
        </w:rPr>
      </w:pPr>
      <w:r>
        <w:rPr>
          <w:rFonts w:hint="eastAsia" w:ascii="MS Gothic" w:hAnsi="MS Gothic" w:cs="宋体"/>
          <w:kern w:val="0"/>
          <w:sz w:val="24"/>
        </w:rPr>
        <w:t>☐</w:t>
      </w:r>
      <w:r>
        <w:rPr>
          <w:rFonts w:hint="eastAsia" w:ascii="宋体" w:hAnsi="宋体" w:cs="宋体"/>
          <w:kern w:val="0"/>
          <w:sz w:val="24"/>
        </w:rPr>
        <w:t xml:space="preserve"> </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w:t>
      </w:r>
      <w:r>
        <w:rPr>
          <w:rFonts w:hint="eastAsia" w:ascii="宋体" w:hAnsi="宋体" w:cs="宋体"/>
          <w:kern w:val="0"/>
          <w:sz w:val="24"/>
        </w:rPr>
        <w:t>提供的货物全部由小微企业制造，其合同份额占到合同总金额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4CB74689">
      <w:pPr>
        <w:spacing w:line="360" w:lineRule="auto"/>
        <w:ind w:firstLine="480" w:firstLineChars="200"/>
        <w:rPr>
          <w:rFonts w:ascii="宋体" w:hAnsi="宋体" w:cs="宋体"/>
          <w:b/>
          <w:bCs/>
          <w:kern w:val="0"/>
          <w:sz w:val="24"/>
          <w:lang w:val="zh-CN"/>
        </w:rPr>
      </w:pPr>
      <w:r>
        <w:rPr>
          <w:rFonts w:hint="eastAsia" w:ascii="MS Gothic" w:hAnsi="MS Gothic" w:cs="宋体"/>
          <w:kern w:val="0"/>
          <w:sz w:val="24"/>
        </w:rPr>
        <w:t>☐</w:t>
      </w:r>
      <w:r>
        <w:rPr>
          <w:rFonts w:hint="eastAsia" w:ascii="宋体" w:hAnsi="宋体" w:cs="宋体"/>
          <w:kern w:val="0"/>
          <w:sz w:val="24"/>
        </w:rPr>
        <w:t xml:space="preserve"> </w:t>
      </w:r>
      <w:bookmarkStart w:id="420"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中中小企业、其中小微企业合同金额应当达到的比例要求填写。</w:t>
      </w:r>
      <w:r>
        <w:rPr>
          <w:rFonts w:hint="eastAsia" w:ascii="宋体" w:hAnsi="宋体" w:cs="宋体"/>
          <w:b/>
          <w:bCs/>
          <w:kern w:val="0"/>
          <w:sz w:val="24"/>
          <w:lang w:val="zh-CN"/>
        </w:rPr>
        <w:t>）</w:t>
      </w:r>
      <w:bookmarkEnd w:id="420"/>
    </w:p>
    <w:p w14:paraId="1F24E92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78EEA5C9">
      <w:pPr>
        <w:snapToGrid w:val="0"/>
        <w:spacing w:line="360" w:lineRule="auto"/>
        <w:ind w:firstLine="576"/>
        <w:rPr>
          <w:rFonts w:ascii="宋体" w:hAnsi="宋体" w:cs="宋体"/>
          <w:u w:val="single"/>
        </w:rPr>
      </w:pPr>
      <w:r>
        <w:rPr>
          <w:rFonts w:hint="eastAsia" w:ascii="宋体" w:hAnsi="宋体" w:cs="宋体"/>
          <w:u w:val="single"/>
        </w:rPr>
        <w:t xml:space="preserve">                                                                                  </w:t>
      </w:r>
    </w:p>
    <w:p w14:paraId="7E53F78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77B6A9D5">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3ABCA61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5FE05BEE">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5005F8C9">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3BE82F5E">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5CB9A5F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35E047F0">
      <w:pPr>
        <w:snapToGrid w:val="0"/>
        <w:spacing w:line="360" w:lineRule="auto"/>
        <w:ind w:left="770" w:leftChars="342" w:hanging="52" w:hangingChars="25"/>
        <w:rPr>
          <w:rFonts w:ascii="宋体" w:hAnsi="宋体" w:cs="宋体"/>
          <w:kern w:val="0"/>
          <w:sz w:val="24"/>
          <w:lang w:val="zh-CN"/>
        </w:rPr>
      </w:pPr>
      <w:r>
        <w:rPr>
          <w:rFonts w:hint="eastAsia" w:ascii="宋体" w:hAnsi="宋体" w:cs="宋体"/>
          <w:u w:val="single"/>
        </w:rPr>
        <w:t xml:space="preserve">                                                                                </w:t>
      </w:r>
      <w:r>
        <w:rPr>
          <w:rFonts w:hint="eastAsia" w:ascii="宋体" w:hAnsi="宋体" w:cs="宋体"/>
          <w:kern w:val="0"/>
          <w:sz w:val="24"/>
          <w:lang w:val="zh-CN"/>
        </w:rPr>
        <w:t>八、其他</w:t>
      </w:r>
    </w:p>
    <w:p w14:paraId="2C5A8F3D">
      <w:pPr>
        <w:snapToGrid w:val="0"/>
        <w:spacing w:line="360" w:lineRule="auto"/>
        <w:ind w:left="5128" w:leftChars="342" w:hanging="4410" w:hangingChars="2100"/>
        <w:rPr>
          <w:rFonts w:ascii="宋体" w:hAnsi="宋体" w:cs="宋体"/>
          <w:kern w:val="0"/>
          <w:sz w:val="24"/>
          <w:lang w:val="zh-CN"/>
        </w:rPr>
      </w:pPr>
      <w:r>
        <w:rPr>
          <w:rFonts w:hint="eastAsia" w:ascii="宋体" w:hAnsi="宋体" w:cs="宋体"/>
          <w:u w:val="single"/>
        </w:rPr>
        <w:t xml:space="preserve">                                                                                 </w:t>
      </w:r>
      <w:r>
        <w:rPr>
          <w:rFonts w:hint="eastAsia" w:ascii="宋体" w:hAnsi="宋体" w:cs="宋体"/>
          <w:kern w:val="0"/>
          <w:sz w:val="24"/>
          <w:lang w:val="zh-CN"/>
        </w:rPr>
        <w:t xml:space="preserve"> 投标人名称(电子签名)：</w:t>
      </w:r>
    </w:p>
    <w:p w14:paraId="386BA938">
      <w:pPr>
        <w:snapToGrid w:val="0"/>
        <w:spacing w:line="360" w:lineRule="auto"/>
        <w:jc w:val="right"/>
        <w:rPr>
          <w:rFonts w:ascii="宋体" w:hAnsi="宋体" w:cs="宋体"/>
          <w:kern w:val="0"/>
          <w:sz w:val="24"/>
          <w:lang w:val="zh-CN"/>
        </w:rPr>
      </w:pPr>
      <w:r>
        <w:rPr>
          <w:rFonts w:hint="eastAsia" w:ascii="宋体" w:hAnsi="宋体" w:cs="宋体"/>
          <w:kern w:val="0"/>
          <w:sz w:val="24"/>
          <w:lang w:val="zh-CN"/>
        </w:rPr>
        <w:t>分包供应商名称(电子签名/公章)：</w:t>
      </w:r>
    </w:p>
    <w:p w14:paraId="2D4D16DE">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3FAED8B1">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71DD3E90">
      <w:pPr>
        <w:spacing w:line="360" w:lineRule="auto"/>
        <w:ind w:right="420"/>
        <w:rPr>
          <w:rFonts w:hint="eastAsia" w:ascii="宋体" w:hAnsi="宋体" w:eastAsia="宋体" w:cs="宋体"/>
          <w:sz w:val="24"/>
          <w:lang w:val="en-US" w:eastAsia="zh-CN"/>
        </w:rPr>
      </w:pPr>
      <w:r>
        <w:rPr>
          <w:rFonts w:hint="eastAsia" w:ascii="宋体" w:hAnsi="宋体" w:cs="宋体"/>
          <w:sz w:val="24"/>
        </w:rPr>
        <w:t>注：按本格式和要求提供</w:t>
      </w:r>
      <w:r>
        <w:rPr>
          <w:rFonts w:hint="eastAsia" w:ascii="宋体" w:hAnsi="宋体" w:cs="宋体"/>
          <w:sz w:val="24"/>
          <w:lang w:eastAsia="zh-CN"/>
        </w:rPr>
        <w:t>。</w:t>
      </w:r>
    </w:p>
    <w:p w14:paraId="00CF8D62">
      <w:pPr>
        <w:autoSpaceDE w:val="0"/>
        <w:autoSpaceDN w:val="0"/>
        <w:jc w:val="center"/>
        <w:rPr>
          <w:rFonts w:ascii="宋体" w:hAnsi="宋体" w:cs="宋体"/>
          <w:b/>
          <w:spacing w:val="6"/>
          <w:sz w:val="32"/>
          <w:szCs w:val="32"/>
        </w:rPr>
      </w:pPr>
    </w:p>
    <w:p w14:paraId="4096CE31">
      <w:pPr>
        <w:autoSpaceDE w:val="0"/>
        <w:autoSpaceDN w:val="0"/>
        <w:jc w:val="center"/>
        <w:rPr>
          <w:rFonts w:ascii="宋体" w:hAnsi="宋体" w:cs="宋体"/>
          <w:b/>
          <w:spacing w:val="6"/>
          <w:sz w:val="32"/>
          <w:szCs w:val="32"/>
        </w:rPr>
      </w:pPr>
    </w:p>
    <w:p w14:paraId="67665326">
      <w:pPr>
        <w:autoSpaceDE w:val="0"/>
        <w:autoSpaceDN w:val="0"/>
        <w:jc w:val="center"/>
        <w:rPr>
          <w:rFonts w:ascii="宋体" w:hAnsi="宋体" w:cs="宋体"/>
          <w:b/>
          <w:spacing w:val="6"/>
          <w:sz w:val="32"/>
          <w:szCs w:val="32"/>
        </w:rPr>
      </w:pPr>
    </w:p>
    <w:p w14:paraId="6EB049FE">
      <w:pPr>
        <w:autoSpaceDE w:val="0"/>
        <w:autoSpaceDN w:val="0"/>
        <w:jc w:val="center"/>
        <w:rPr>
          <w:rFonts w:ascii="宋体" w:hAnsi="宋体" w:cs="宋体"/>
          <w:b/>
          <w:spacing w:val="6"/>
          <w:sz w:val="32"/>
          <w:szCs w:val="32"/>
        </w:rPr>
      </w:pPr>
    </w:p>
    <w:p w14:paraId="630B016B">
      <w:pPr>
        <w:autoSpaceDE w:val="0"/>
        <w:autoSpaceDN w:val="0"/>
        <w:jc w:val="center"/>
        <w:rPr>
          <w:rFonts w:ascii="宋体" w:hAnsi="宋体" w:cs="宋体"/>
          <w:b/>
          <w:spacing w:val="6"/>
          <w:sz w:val="32"/>
          <w:szCs w:val="32"/>
        </w:rPr>
      </w:pPr>
    </w:p>
    <w:p w14:paraId="56E366EE">
      <w:pPr>
        <w:autoSpaceDE w:val="0"/>
        <w:autoSpaceDN w:val="0"/>
        <w:jc w:val="center"/>
        <w:rPr>
          <w:rFonts w:ascii="宋体" w:hAnsi="宋体" w:cs="宋体"/>
          <w:b/>
          <w:spacing w:val="6"/>
          <w:sz w:val="32"/>
          <w:szCs w:val="32"/>
        </w:rPr>
      </w:pPr>
    </w:p>
    <w:p w14:paraId="05ABEC89">
      <w:pPr>
        <w:autoSpaceDE w:val="0"/>
        <w:autoSpaceDN w:val="0"/>
        <w:jc w:val="center"/>
        <w:rPr>
          <w:rFonts w:ascii="宋体" w:hAnsi="宋体" w:cs="宋体"/>
          <w:b/>
          <w:spacing w:val="6"/>
          <w:sz w:val="32"/>
          <w:szCs w:val="32"/>
        </w:rPr>
      </w:pPr>
    </w:p>
    <w:p w14:paraId="57C08C61">
      <w:pPr>
        <w:autoSpaceDE w:val="0"/>
        <w:autoSpaceDN w:val="0"/>
        <w:jc w:val="center"/>
        <w:rPr>
          <w:rFonts w:ascii="宋体" w:hAnsi="宋体" w:cs="宋体"/>
          <w:b/>
          <w:spacing w:val="6"/>
          <w:sz w:val="32"/>
          <w:szCs w:val="32"/>
        </w:rPr>
      </w:pPr>
    </w:p>
    <w:p w14:paraId="25E5803C">
      <w:pPr>
        <w:autoSpaceDE w:val="0"/>
        <w:autoSpaceDN w:val="0"/>
        <w:jc w:val="center"/>
        <w:rPr>
          <w:rFonts w:ascii="宋体" w:hAnsi="宋体" w:cs="宋体"/>
          <w:b/>
          <w:spacing w:val="6"/>
          <w:sz w:val="32"/>
          <w:szCs w:val="32"/>
        </w:rPr>
      </w:pPr>
    </w:p>
    <w:p w14:paraId="3E34A591">
      <w:pPr>
        <w:autoSpaceDE w:val="0"/>
        <w:autoSpaceDN w:val="0"/>
        <w:jc w:val="center"/>
        <w:rPr>
          <w:rFonts w:ascii="宋体" w:hAnsi="宋体" w:cs="宋体"/>
          <w:b/>
          <w:spacing w:val="6"/>
          <w:sz w:val="32"/>
          <w:szCs w:val="32"/>
        </w:rPr>
      </w:pPr>
    </w:p>
    <w:p w14:paraId="51DFAFC6">
      <w:pPr>
        <w:autoSpaceDE w:val="0"/>
        <w:autoSpaceDN w:val="0"/>
        <w:jc w:val="center"/>
        <w:rPr>
          <w:rFonts w:ascii="宋体" w:hAnsi="宋体" w:cs="宋体"/>
          <w:b/>
          <w:spacing w:val="6"/>
          <w:sz w:val="32"/>
          <w:szCs w:val="32"/>
        </w:rPr>
      </w:pPr>
    </w:p>
    <w:p w14:paraId="5810E538">
      <w:pPr>
        <w:autoSpaceDE w:val="0"/>
        <w:autoSpaceDN w:val="0"/>
        <w:jc w:val="center"/>
        <w:rPr>
          <w:rFonts w:ascii="宋体" w:hAnsi="宋体" w:cs="宋体"/>
          <w:b/>
          <w:spacing w:val="6"/>
          <w:sz w:val="32"/>
          <w:szCs w:val="32"/>
        </w:rPr>
      </w:pPr>
    </w:p>
    <w:p w14:paraId="053D166D">
      <w:pPr>
        <w:autoSpaceDE w:val="0"/>
        <w:autoSpaceDN w:val="0"/>
        <w:jc w:val="center"/>
        <w:rPr>
          <w:rFonts w:ascii="宋体" w:hAnsi="宋体" w:cs="宋体"/>
          <w:b/>
          <w:spacing w:val="6"/>
          <w:sz w:val="32"/>
          <w:szCs w:val="32"/>
        </w:rPr>
      </w:pPr>
    </w:p>
    <w:p w14:paraId="767BA1E6">
      <w:pPr>
        <w:autoSpaceDE w:val="0"/>
        <w:autoSpaceDN w:val="0"/>
        <w:jc w:val="center"/>
        <w:rPr>
          <w:rFonts w:ascii="宋体" w:hAnsi="宋体" w:cs="宋体"/>
          <w:b/>
          <w:spacing w:val="6"/>
          <w:sz w:val="32"/>
          <w:szCs w:val="32"/>
        </w:rPr>
      </w:pPr>
    </w:p>
    <w:p w14:paraId="10CD8073">
      <w:pPr>
        <w:autoSpaceDE w:val="0"/>
        <w:autoSpaceDN w:val="0"/>
        <w:jc w:val="center"/>
        <w:rPr>
          <w:rFonts w:ascii="宋体" w:hAnsi="宋体" w:cs="宋体"/>
          <w:b/>
          <w:spacing w:val="6"/>
          <w:sz w:val="32"/>
          <w:szCs w:val="32"/>
        </w:rPr>
      </w:pPr>
    </w:p>
    <w:p w14:paraId="5E07FE08">
      <w:pPr>
        <w:autoSpaceDE w:val="0"/>
        <w:autoSpaceDN w:val="0"/>
        <w:jc w:val="center"/>
        <w:rPr>
          <w:rFonts w:ascii="宋体" w:hAnsi="宋体" w:cs="宋体"/>
          <w:b/>
          <w:spacing w:val="6"/>
          <w:sz w:val="32"/>
          <w:szCs w:val="32"/>
        </w:rPr>
      </w:pPr>
    </w:p>
    <w:p w14:paraId="4FA709AE">
      <w:pPr>
        <w:autoSpaceDE w:val="0"/>
        <w:autoSpaceDN w:val="0"/>
        <w:jc w:val="center"/>
        <w:rPr>
          <w:rFonts w:ascii="宋体" w:hAnsi="宋体" w:cs="宋体"/>
          <w:b/>
          <w:spacing w:val="6"/>
          <w:sz w:val="32"/>
          <w:szCs w:val="32"/>
        </w:rPr>
      </w:pPr>
    </w:p>
    <w:p w14:paraId="692E532B">
      <w:pPr>
        <w:autoSpaceDE w:val="0"/>
        <w:autoSpaceDN w:val="0"/>
        <w:jc w:val="center"/>
        <w:rPr>
          <w:rFonts w:ascii="宋体" w:hAnsi="宋体" w:cs="宋体"/>
          <w:b/>
          <w:spacing w:val="6"/>
          <w:sz w:val="32"/>
          <w:szCs w:val="32"/>
        </w:rPr>
      </w:pPr>
    </w:p>
    <w:p w14:paraId="567DCE2C">
      <w:pPr>
        <w:autoSpaceDE w:val="0"/>
        <w:autoSpaceDN w:val="0"/>
        <w:jc w:val="center"/>
        <w:rPr>
          <w:rFonts w:ascii="宋体" w:hAnsi="宋体" w:cs="宋体"/>
          <w:b/>
          <w:spacing w:val="6"/>
          <w:sz w:val="32"/>
          <w:szCs w:val="32"/>
        </w:rPr>
      </w:pPr>
    </w:p>
    <w:p w14:paraId="24C3CB5F">
      <w:pPr>
        <w:autoSpaceDE w:val="0"/>
        <w:autoSpaceDN w:val="0"/>
        <w:jc w:val="center"/>
        <w:rPr>
          <w:rFonts w:ascii="宋体" w:hAnsi="宋体" w:cs="宋体"/>
          <w:b/>
          <w:spacing w:val="6"/>
          <w:sz w:val="32"/>
          <w:szCs w:val="32"/>
        </w:rPr>
      </w:pPr>
    </w:p>
    <w:p w14:paraId="79E27AEC">
      <w:pPr>
        <w:autoSpaceDE w:val="0"/>
        <w:autoSpaceDN w:val="0"/>
        <w:jc w:val="center"/>
        <w:rPr>
          <w:rFonts w:ascii="宋体" w:hAnsi="宋体" w:cs="宋体"/>
          <w:b/>
          <w:spacing w:val="6"/>
          <w:sz w:val="32"/>
          <w:szCs w:val="32"/>
        </w:rPr>
      </w:pPr>
    </w:p>
    <w:p w14:paraId="0194CB11">
      <w:pPr>
        <w:autoSpaceDE w:val="0"/>
        <w:autoSpaceDN w:val="0"/>
        <w:jc w:val="center"/>
        <w:rPr>
          <w:rFonts w:ascii="宋体" w:hAnsi="宋体" w:cs="宋体"/>
          <w:b/>
          <w:spacing w:val="6"/>
          <w:sz w:val="32"/>
          <w:szCs w:val="32"/>
        </w:rPr>
      </w:pPr>
    </w:p>
    <w:p w14:paraId="48BCA55B">
      <w:pPr>
        <w:autoSpaceDE w:val="0"/>
        <w:autoSpaceDN w:val="0"/>
        <w:jc w:val="center"/>
        <w:rPr>
          <w:rFonts w:ascii="宋体" w:hAnsi="宋体" w:cs="宋体"/>
          <w:b/>
          <w:spacing w:val="6"/>
          <w:sz w:val="32"/>
          <w:szCs w:val="32"/>
        </w:rPr>
      </w:pPr>
    </w:p>
    <w:p w14:paraId="25CE1078">
      <w:pPr>
        <w:widowControl/>
        <w:adjustRightInd/>
        <w:jc w:val="left"/>
        <w:rPr>
          <w:rFonts w:ascii="宋体" w:hAnsi="宋体" w:cs="宋体"/>
          <w:b/>
          <w:kern w:val="0"/>
          <w:sz w:val="32"/>
          <w:szCs w:val="32"/>
        </w:rPr>
      </w:pPr>
    </w:p>
    <w:p w14:paraId="3AA3B7A4">
      <w:pPr>
        <w:snapToGrid w:val="0"/>
        <w:spacing w:line="360" w:lineRule="auto"/>
        <w:outlineLvl w:val="0"/>
        <w:rPr>
          <w:rFonts w:hint="eastAsia" w:ascii="宋体" w:hAnsi="宋体" w:cs="宋体"/>
          <w:b/>
          <w:kern w:val="0"/>
          <w:sz w:val="44"/>
          <w:szCs w:val="44"/>
        </w:rPr>
      </w:pPr>
    </w:p>
    <w:p w14:paraId="73289003">
      <w:pPr>
        <w:snapToGrid w:val="0"/>
        <w:spacing w:line="360" w:lineRule="auto"/>
        <w:outlineLvl w:val="0"/>
        <w:rPr>
          <w:rFonts w:ascii="宋体" w:hAnsi="宋体" w:cs="宋体"/>
          <w:b/>
          <w:kern w:val="0"/>
          <w:sz w:val="44"/>
          <w:szCs w:val="44"/>
        </w:rPr>
      </w:pPr>
      <w:r>
        <w:rPr>
          <w:rFonts w:hint="eastAsia" w:ascii="宋体" w:hAnsi="宋体" w:cs="宋体"/>
          <w:b/>
          <w:kern w:val="0"/>
          <w:sz w:val="44"/>
          <w:szCs w:val="44"/>
        </w:rPr>
        <w:t>附件</w:t>
      </w:r>
      <w:r>
        <w:rPr>
          <w:rFonts w:ascii="宋体" w:hAnsi="宋体" w:cs="宋体"/>
          <w:b/>
          <w:kern w:val="0"/>
          <w:sz w:val="44"/>
          <w:szCs w:val="44"/>
        </w:rPr>
        <w:t>7</w:t>
      </w:r>
      <w:r>
        <w:rPr>
          <w:rFonts w:hint="eastAsia" w:ascii="宋体" w:hAnsi="宋体" w:cs="宋体"/>
          <w:b/>
          <w:kern w:val="0"/>
          <w:sz w:val="44"/>
          <w:szCs w:val="44"/>
        </w:rPr>
        <w:t>：中小企业声明函</w:t>
      </w:r>
    </w:p>
    <w:p w14:paraId="2D5D0EE0">
      <w:pPr>
        <w:spacing w:line="360" w:lineRule="auto"/>
        <w:jc w:val="center"/>
        <w:rPr>
          <w:rFonts w:ascii="宋体" w:hAnsi="宋体" w:cs="宋体"/>
          <w:b/>
          <w:sz w:val="32"/>
          <w:szCs w:val="32"/>
        </w:rPr>
      </w:pPr>
      <w:r>
        <w:rPr>
          <w:rFonts w:hint="eastAsia" w:ascii="宋体" w:hAnsi="宋体" w:cs="宋体"/>
          <w:b/>
          <w:sz w:val="32"/>
          <w:szCs w:val="32"/>
        </w:rPr>
        <w:t>中小企业声明函（货物）</w:t>
      </w:r>
    </w:p>
    <w:p w14:paraId="650C07E4">
      <w:pPr>
        <w:spacing w:line="360" w:lineRule="auto"/>
        <w:ind w:firstLine="480" w:firstLineChars="200"/>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杭州职业技术大学 </w:t>
      </w:r>
      <w:r>
        <w:rPr>
          <w:rFonts w:hint="eastAsia" w:ascii="宋体" w:hAnsi="宋体" w:cs="宋体"/>
          <w:sz w:val="24"/>
        </w:rPr>
        <w:t xml:space="preserve">的 </w:t>
      </w:r>
      <w:r>
        <w:rPr>
          <w:rFonts w:hint="eastAsia" w:ascii="宋体" w:hAnsi="宋体" w:cs="宋体"/>
          <w:sz w:val="24"/>
          <w:u w:val="single"/>
        </w:rPr>
        <w:t>杭州职业技术大学</w:t>
      </w:r>
      <w:r>
        <w:rPr>
          <w:rFonts w:hint="eastAsia" w:ascii="宋体" w:hAnsi="宋体" w:cs="宋体"/>
          <w:sz w:val="24"/>
          <w:u w:val="single"/>
          <w:lang w:eastAsia="zh-CN"/>
        </w:rPr>
        <w:t>新安江校区通用机房</w:t>
      </w:r>
      <w:r>
        <w:rPr>
          <w:rFonts w:hint="eastAsia" w:ascii="宋体" w:hAnsi="宋体" w:cs="宋体"/>
          <w:sz w:val="24"/>
          <w:u w:val="single"/>
        </w:rPr>
        <w:t>建设项目</w:t>
      </w:r>
      <w:r>
        <w:rPr>
          <w:rFonts w:hint="eastAsia" w:ascii="宋体" w:hAnsi="宋体" w:cs="宋体"/>
          <w:sz w:val="24"/>
        </w:rPr>
        <w:t xml:space="preserve"> 采购活动，提供的货物全部由符合政策要求的中小企业制造。相关企业（含联合体中的中小企业、签订分包意向协议的中小企业）的具体情况如下：</w:t>
      </w:r>
    </w:p>
    <w:p w14:paraId="4AE70FF4">
      <w:pPr>
        <w:spacing w:line="360" w:lineRule="auto"/>
        <w:ind w:firstLine="480" w:firstLineChars="200"/>
        <w:rPr>
          <w:rFonts w:ascii="宋体" w:hAnsi="宋体" w:cs="宋体"/>
          <w:sz w:val="24"/>
        </w:rPr>
      </w:pPr>
      <w:r>
        <w:rPr>
          <w:rFonts w:hint="eastAsia" w:ascii="宋体" w:hAnsi="宋体" w:cs="宋体"/>
          <w:sz w:val="24"/>
        </w:rPr>
        <w:t xml:space="preserve">1. </w:t>
      </w:r>
      <w:r>
        <w:rPr>
          <w:rFonts w:hint="eastAsia"/>
          <w:b/>
          <w:bCs/>
          <w:sz w:val="22"/>
          <w:szCs w:val="22"/>
          <w:u w:val="single"/>
        </w:rPr>
        <w:t>教学用台式计算机</w:t>
      </w:r>
      <w:r>
        <w:rPr>
          <w:b/>
          <w:bCs/>
          <w:sz w:val="22"/>
          <w:szCs w:val="22"/>
          <w:u w:val="single"/>
        </w:rPr>
        <w:t>1</w:t>
      </w:r>
      <w:r>
        <w:rPr>
          <w:rFonts w:hint="eastAsia" w:ascii="宋体" w:hAnsi="宋体" w:cs="宋体"/>
          <w:sz w:val="24"/>
        </w:rPr>
        <w:t xml:space="preserve">，属于 </w:t>
      </w:r>
      <w:r>
        <w:rPr>
          <w:rFonts w:hint="eastAsia" w:ascii="宋体" w:hAnsi="宋体" w:cs="宋体"/>
          <w:sz w:val="24"/>
          <w:u w:val="single"/>
        </w:rPr>
        <w:t>工业</w:t>
      </w:r>
      <w:r>
        <w:rPr>
          <w:rFonts w:hint="eastAsia" w:ascii="宋体" w:hAnsi="宋体" w:cs="宋体"/>
          <w:sz w:val="24"/>
        </w:rPr>
        <w:t>行业 ；制造商为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①</w:t>
      </w:r>
      <w:r>
        <w:rPr>
          <w:rFonts w:ascii="宋体" w:hAnsi="宋体" w:cs="宋体"/>
          <w:sz w:val="24"/>
          <w:u w:val="single"/>
        </w:rPr>
        <w:t xml:space="preserve">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ascii="宋体" w:hAnsi="宋体" w:cs="宋体"/>
          <w:sz w:val="24"/>
          <w:u w:val="single"/>
        </w:rPr>
        <w:t xml:space="preserve">  </w:t>
      </w:r>
      <w:r>
        <w:rPr>
          <w:rFonts w:hint="eastAsia" w:ascii="宋体" w:hAnsi="宋体" w:cs="宋体"/>
          <w:sz w:val="24"/>
          <w:u w:val="single"/>
        </w:rPr>
        <w:t>② （中型企业、小型企业、微型企业）</w:t>
      </w:r>
      <w:r>
        <w:rPr>
          <w:rFonts w:hint="eastAsia" w:ascii="宋体" w:hAnsi="宋体" w:cs="宋体"/>
          <w:sz w:val="24"/>
        </w:rPr>
        <w:t>；</w:t>
      </w:r>
    </w:p>
    <w:p w14:paraId="6AE60BAE">
      <w:pPr>
        <w:spacing w:line="360" w:lineRule="auto"/>
        <w:ind w:firstLine="480" w:firstLineChars="200"/>
        <w:rPr>
          <w:rFonts w:ascii="宋体" w:hAnsi="宋体" w:cs="宋体"/>
          <w:sz w:val="24"/>
        </w:rPr>
      </w:pPr>
      <w:r>
        <w:rPr>
          <w:rFonts w:hint="eastAsia" w:ascii="宋体" w:hAnsi="宋体" w:cs="宋体"/>
          <w:sz w:val="24"/>
        </w:rPr>
        <w:t xml:space="preserve">2. </w:t>
      </w:r>
      <w:r>
        <w:rPr>
          <w:rFonts w:hint="eastAsia"/>
          <w:b/>
          <w:bCs/>
          <w:sz w:val="22"/>
          <w:szCs w:val="22"/>
          <w:u w:val="single"/>
        </w:rPr>
        <w:t>教学用台式计算机</w:t>
      </w:r>
      <w:r>
        <w:rPr>
          <w:b/>
          <w:bCs/>
          <w:sz w:val="22"/>
          <w:szCs w:val="22"/>
          <w:u w:val="single"/>
        </w:rPr>
        <w:t>2</w:t>
      </w:r>
      <w:r>
        <w:rPr>
          <w:rFonts w:hint="eastAsia" w:ascii="宋体" w:hAnsi="宋体" w:cs="宋体"/>
          <w:sz w:val="24"/>
        </w:rPr>
        <w:t xml:space="preserve">，属于 </w:t>
      </w:r>
      <w:r>
        <w:rPr>
          <w:rFonts w:hint="eastAsia" w:ascii="宋体" w:hAnsi="宋体" w:cs="宋体"/>
          <w:sz w:val="24"/>
          <w:u w:val="single"/>
        </w:rPr>
        <w:t>工业</w:t>
      </w:r>
      <w:r>
        <w:rPr>
          <w:rFonts w:hint="eastAsia" w:ascii="宋体" w:hAnsi="宋体" w:cs="宋体"/>
          <w:sz w:val="24"/>
        </w:rPr>
        <w:t>行业 ；制造商为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①</w:t>
      </w:r>
      <w:r>
        <w:rPr>
          <w:rFonts w:ascii="宋体" w:hAnsi="宋体" w:cs="宋体"/>
          <w:sz w:val="24"/>
          <w:u w:val="single"/>
        </w:rPr>
        <w:t xml:space="preserve">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ascii="宋体" w:hAnsi="宋体" w:cs="宋体"/>
          <w:sz w:val="24"/>
          <w:u w:val="single"/>
        </w:rPr>
        <w:t xml:space="preserve">  </w:t>
      </w:r>
      <w:r>
        <w:rPr>
          <w:rFonts w:hint="eastAsia" w:ascii="宋体" w:hAnsi="宋体" w:cs="宋体"/>
          <w:sz w:val="24"/>
          <w:u w:val="single"/>
        </w:rPr>
        <w:t>② （中型企业、小型企业、微型企业）</w:t>
      </w:r>
      <w:r>
        <w:rPr>
          <w:rFonts w:hint="eastAsia" w:ascii="宋体" w:hAnsi="宋体" w:cs="宋体"/>
          <w:sz w:val="24"/>
        </w:rPr>
        <w:t>；</w:t>
      </w:r>
    </w:p>
    <w:p w14:paraId="3E9ED5DC">
      <w:pPr>
        <w:spacing w:line="360" w:lineRule="auto"/>
        <w:ind w:firstLine="480" w:firstLineChars="200"/>
        <w:rPr>
          <w:rFonts w:ascii="宋体" w:hAnsi="宋体" w:cs="宋体"/>
          <w:sz w:val="24"/>
        </w:rPr>
      </w:pPr>
      <w:r>
        <w:rPr>
          <w:rFonts w:hint="eastAsia" w:ascii="宋体" w:hAnsi="宋体" w:cs="宋体"/>
          <w:sz w:val="24"/>
        </w:rPr>
        <w:t xml:space="preserve">3. </w:t>
      </w:r>
      <w:r>
        <w:rPr>
          <w:rFonts w:hint="eastAsia"/>
          <w:b/>
          <w:bCs/>
          <w:sz w:val="22"/>
          <w:szCs w:val="22"/>
          <w:u w:val="single"/>
        </w:rPr>
        <w:t>耳麦</w:t>
      </w:r>
      <w:r>
        <w:rPr>
          <w:rFonts w:hint="eastAsia" w:ascii="宋体" w:hAnsi="宋体" w:cs="宋体"/>
          <w:sz w:val="24"/>
        </w:rPr>
        <w:t xml:space="preserve">，属于 </w:t>
      </w:r>
      <w:r>
        <w:rPr>
          <w:rFonts w:hint="eastAsia" w:ascii="宋体" w:hAnsi="宋体" w:cs="宋体"/>
          <w:sz w:val="24"/>
          <w:u w:val="single"/>
        </w:rPr>
        <w:t>工业</w:t>
      </w:r>
      <w:r>
        <w:rPr>
          <w:rFonts w:hint="eastAsia" w:ascii="宋体" w:hAnsi="宋体" w:cs="宋体"/>
          <w:sz w:val="24"/>
        </w:rPr>
        <w:t>行业 ；制造商为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①</w:t>
      </w:r>
      <w:r>
        <w:rPr>
          <w:rFonts w:ascii="宋体" w:hAnsi="宋体" w:cs="宋体"/>
          <w:sz w:val="24"/>
          <w:u w:val="single"/>
        </w:rPr>
        <w:t xml:space="preserve">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ascii="宋体" w:hAnsi="宋体" w:cs="宋体"/>
          <w:sz w:val="24"/>
          <w:u w:val="single"/>
        </w:rPr>
        <w:t xml:space="preserve">  </w:t>
      </w:r>
      <w:r>
        <w:rPr>
          <w:rFonts w:hint="eastAsia" w:ascii="宋体" w:hAnsi="宋体" w:cs="宋体"/>
          <w:sz w:val="24"/>
          <w:u w:val="single"/>
        </w:rPr>
        <w:t>② （中型企业、小型企业、微型企业）</w:t>
      </w:r>
      <w:r>
        <w:rPr>
          <w:rFonts w:hint="eastAsia" w:ascii="宋体" w:hAnsi="宋体" w:cs="宋体"/>
          <w:sz w:val="24"/>
        </w:rPr>
        <w:t>；</w:t>
      </w:r>
    </w:p>
    <w:p w14:paraId="15379EA0">
      <w:pPr>
        <w:spacing w:line="360" w:lineRule="auto"/>
        <w:ind w:firstLine="480" w:firstLineChars="200"/>
        <w:rPr>
          <w:rFonts w:ascii="宋体" w:hAnsi="宋体" w:cs="宋体"/>
          <w:sz w:val="24"/>
        </w:rPr>
      </w:pPr>
      <w:r>
        <w:rPr>
          <w:rFonts w:hint="eastAsia" w:ascii="宋体" w:hAnsi="宋体" w:cs="宋体"/>
          <w:sz w:val="24"/>
        </w:rPr>
        <w:t xml:space="preserve">4. </w:t>
      </w:r>
      <w:r>
        <w:rPr>
          <w:rFonts w:hint="eastAsia"/>
          <w:b/>
          <w:bCs/>
          <w:sz w:val="22"/>
          <w:szCs w:val="22"/>
          <w:u w:val="single"/>
        </w:rPr>
        <w:t>交换机</w:t>
      </w:r>
      <w:r>
        <w:rPr>
          <w:rFonts w:hint="eastAsia" w:ascii="宋体" w:hAnsi="宋体" w:cs="宋体"/>
          <w:sz w:val="24"/>
        </w:rPr>
        <w:t xml:space="preserve">，属于 </w:t>
      </w:r>
      <w:r>
        <w:rPr>
          <w:rFonts w:hint="eastAsia" w:ascii="宋体" w:hAnsi="宋体" w:cs="宋体"/>
          <w:sz w:val="24"/>
          <w:u w:val="single"/>
        </w:rPr>
        <w:t>工业</w:t>
      </w:r>
      <w:r>
        <w:rPr>
          <w:rFonts w:hint="eastAsia" w:ascii="宋体" w:hAnsi="宋体" w:cs="宋体"/>
          <w:sz w:val="24"/>
        </w:rPr>
        <w:t>行业 ；制造商为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①</w:t>
      </w:r>
      <w:r>
        <w:rPr>
          <w:rFonts w:ascii="宋体" w:hAnsi="宋体" w:cs="宋体"/>
          <w:sz w:val="24"/>
          <w:u w:val="single"/>
        </w:rPr>
        <w:t xml:space="preserve">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ascii="宋体" w:hAnsi="宋体" w:cs="宋体"/>
          <w:sz w:val="24"/>
          <w:u w:val="single"/>
        </w:rPr>
        <w:t xml:space="preserve">  </w:t>
      </w:r>
      <w:r>
        <w:rPr>
          <w:rFonts w:hint="eastAsia" w:ascii="宋体" w:hAnsi="宋体" w:cs="宋体"/>
          <w:sz w:val="24"/>
          <w:u w:val="single"/>
        </w:rPr>
        <w:t>② （中型企业、小型企业、微型企业）</w:t>
      </w:r>
      <w:r>
        <w:rPr>
          <w:rFonts w:hint="eastAsia" w:ascii="宋体" w:hAnsi="宋体" w:cs="宋体"/>
          <w:sz w:val="24"/>
        </w:rPr>
        <w:t>；</w:t>
      </w:r>
    </w:p>
    <w:p w14:paraId="221DFA27">
      <w:pPr>
        <w:spacing w:line="360" w:lineRule="auto"/>
        <w:ind w:firstLine="480" w:firstLineChars="200"/>
        <w:rPr>
          <w:rFonts w:ascii="宋体" w:hAnsi="宋体" w:cs="宋体"/>
          <w:sz w:val="24"/>
        </w:rPr>
      </w:pPr>
      <w:r>
        <w:rPr>
          <w:rFonts w:hint="eastAsia" w:ascii="宋体" w:hAnsi="宋体" w:cs="宋体"/>
          <w:sz w:val="24"/>
        </w:rPr>
        <w:t xml:space="preserve">5.  </w:t>
      </w:r>
      <w:r>
        <w:rPr>
          <w:rFonts w:hint="eastAsia"/>
          <w:b/>
          <w:bCs/>
          <w:sz w:val="22"/>
          <w:szCs w:val="22"/>
          <w:u w:val="single"/>
        </w:rPr>
        <w:t>教师椅</w:t>
      </w:r>
      <w:r>
        <w:rPr>
          <w:rFonts w:hint="eastAsia" w:ascii="宋体" w:hAnsi="宋体" w:cs="宋体"/>
          <w:sz w:val="24"/>
        </w:rPr>
        <w:t xml:space="preserve">，属于 </w:t>
      </w:r>
      <w:r>
        <w:rPr>
          <w:rFonts w:hint="eastAsia" w:ascii="宋体" w:hAnsi="宋体" w:cs="宋体"/>
          <w:sz w:val="24"/>
          <w:u w:val="single"/>
        </w:rPr>
        <w:t>工业</w:t>
      </w:r>
      <w:r>
        <w:rPr>
          <w:rFonts w:hint="eastAsia" w:ascii="宋体" w:hAnsi="宋体" w:cs="宋体"/>
          <w:sz w:val="24"/>
        </w:rPr>
        <w:t>行业 ；制造商为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①</w:t>
      </w:r>
      <w:r>
        <w:rPr>
          <w:rFonts w:ascii="宋体" w:hAnsi="宋体" w:cs="宋体"/>
          <w:sz w:val="24"/>
          <w:u w:val="single"/>
        </w:rPr>
        <w:t xml:space="preserve">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ascii="宋体" w:hAnsi="宋体" w:cs="宋体"/>
          <w:sz w:val="24"/>
          <w:u w:val="single"/>
        </w:rPr>
        <w:t xml:space="preserve">  </w:t>
      </w:r>
      <w:r>
        <w:rPr>
          <w:rFonts w:hint="eastAsia" w:ascii="宋体" w:hAnsi="宋体" w:cs="宋体"/>
          <w:sz w:val="24"/>
          <w:u w:val="single"/>
        </w:rPr>
        <w:t>② （中型企业、小型企业、微型企业）</w:t>
      </w:r>
      <w:r>
        <w:rPr>
          <w:rFonts w:hint="eastAsia" w:ascii="宋体" w:hAnsi="宋体" w:cs="宋体"/>
          <w:sz w:val="24"/>
        </w:rPr>
        <w:t>；</w:t>
      </w:r>
    </w:p>
    <w:p w14:paraId="3AB29834">
      <w:pPr>
        <w:spacing w:line="360" w:lineRule="auto"/>
        <w:ind w:firstLine="480" w:firstLineChars="200"/>
        <w:rPr>
          <w:rFonts w:ascii="宋体" w:hAnsi="宋体" w:cs="宋体"/>
          <w:sz w:val="24"/>
        </w:rPr>
      </w:pPr>
      <w:r>
        <w:rPr>
          <w:rFonts w:hint="eastAsia" w:ascii="宋体" w:hAnsi="宋体" w:cs="宋体"/>
          <w:sz w:val="24"/>
        </w:rPr>
        <w:t>6.</w:t>
      </w:r>
      <w:r>
        <w:rPr>
          <w:rFonts w:hint="eastAsia"/>
          <w:b/>
          <w:bCs/>
          <w:sz w:val="22"/>
          <w:szCs w:val="22"/>
          <w:u w:val="single"/>
        </w:rPr>
        <w:t>实训桌</w:t>
      </w:r>
      <w:r>
        <w:rPr>
          <w:b/>
          <w:bCs/>
          <w:sz w:val="22"/>
          <w:szCs w:val="22"/>
          <w:u w:val="single"/>
        </w:rPr>
        <w:t>1</w:t>
      </w:r>
      <w:r>
        <w:rPr>
          <w:rFonts w:hint="eastAsia" w:ascii="宋体" w:hAnsi="宋体" w:cs="宋体"/>
          <w:sz w:val="24"/>
        </w:rPr>
        <w:t xml:space="preserve"> ，属于 </w:t>
      </w:r>
      <w:r>
        <w:rPr>
          <w:rFonts w:hint="eastAsia" w:ascii="宋体" w:hAnsi="宋体" w:cs="宋体"/>
          <w:sz w:val="24"/>
          <w:u w:val="single"/>
        </w:rPr>
        <w:t>工业</w:t>
      </w:r>
      <w:r>
        <w:rPr>
          <w:rFonts w:hint="eastAsia" w:ascii="宋体" w:hAnsi="宋体" w:cs="宋体"/>
          <w:sz w:val="24"/>
        </w:rPr>
        <w:t>行业 ；制造商为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①</w:t>
      </w:r>
      <w:r>
        <w:rPr>
          <w:rFonts w:ascii="宋体" w:hAnsi="宋体" w:cs="宋体"/>
          <w:sz w:val="24"/>
          <w:u w:val="single"/>
        </w:rPr>
        <w:t xml:space="preserve">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ascii="宋体" w:hAnsi="宋体" w:cs="宋体"/>
          <w:sz w:val="24"/>
          <w:u w:val="single"/>
        </w:rPr>
        <w:t xml:space="preserve">  </w:t>
      </w:r>
      <w:r>
        <w:rPr>
          <w:rFonts w:hint="eastAsia" w:ascii="宋体" w:hAnsi="宋体" w:cs="宋体"/>
          <w:sz w:val="24"/>
          <w:u w:val="single"/>
        </w:rPr>
        <w:t>② （中型企业、小型企业、微型企业）</w:t>
      </w:r>
      <w:r>
        <w:rPr>
          <w:rFonts w:hint="eastAsia" w:ascii="宋体" w:hAnsi="宋体" w:cs="宋体"/>
          <w:sz w:val="24"/>
        </w:rPr>
        <w:t>；</w:t>
      </w:r>
    </w:p>
    <w:p w14:paraId="59FF7F99">
      <w:pPr>
        <w:spacing w:line="360" w:lineRule="auto"/>
        <w:ind w:firstLine="480" w:firstLineChars="200"/>
        <w:rPr>
          <w:rFonts w:ascii="宋体" w:hAnsi="宋体" w:cs="宋体"/>
          <w:sz w:val="24"/>
        </w:rPr>
      </w:pPr>
      <w:r>
        <w:rPr>
          <w:rFonts w:hint="eastAsia" w:ascii="宋体" w:hAnsi="宋体" w:cs="宋体"/>
          <w:sz w:val="24"/>
        </w:rPr>
        <w:t xml:space="preserve">7. </w:t>
      </w:r>
      <w:r>
        <w:rPr>
          <w:rFonts w:hint="eastAsia"/>
          <w:b/>
          <w:bCs/>
          <w:sz w:val="22"/>
          <w:szCs w:val="22"/>
          <w:u w:val="single"/>
        </w:rPr>
        <w:t>实训桌</w:t>
      </w:r>
      <w:r>
        <w:rPr>
          <w:b/>
          <w:bCs/>
          <w:sz w:val="22"/>
          <w:szCs w:val="22"/>
          <w:u w:val="single"/>
        </w:rPr>
        <w:t>2</w:t>
      </w:r>
      <w:r>
        <w:rPr>
          <w:rFonts w:hint="eastAsia" w:ascii="宋体" w:hAnsi="宋体" w:cs="宋体"/>
          <w:sz w:val="24"/>
        </w:rPr>
        <w:t xml:space="preserve">，属于 </w:t>
      </w:r>
      <w:r>
        <w:rPr>
          <w:rFonts w:hint="eastAsia" w:ascii="宋体" w:hAnsi="宋体" w:cs="宋体"/>
          <w:sz w:val="24"/>
          <w:u w:val="single"/>
        </w:rPr>
        <w:t>工业</w:t>
      </w:r>
      <w:r>
        <w:rPr>
          <w:rFonts w:hint="eastAsia" w:ascii="宋体" w:hAnsi="宋体" w:cs="宋体"/>
          <w:sz w:val="24"/>
        </w:rPr>
        <w:t>行业 ；制造商为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①</w:t>
      </w:r>
      <w:r>
        <w:rPr>
          <w:rFonts w:ascii="宋体" w:hAnsi="宋体" w:cs="宋体"/>
          <w:sz w:val="24"/>
          <w:u w:val="single"/>
        </w:rPr>
        <w:t xml:space="preserve">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ascii="宋体" w:hAnsi="宋体" w:cs="宋体"/>
          <w:sz w:val="24"/>
          <w:u w:val="single"/>
        </w:rPr>
        <w:t xml:space="preserve">  </w:t>
      </w:r>
      <w:r>
        <w:rPr>
          <w:rFonts w:hint="eastAsia" w:ascii="宋体" w:hAnsi="宋体" w:cs="宋体"/>
          <w:sz w:val="24"/>
          <w:u w:val="single"/>
        </w:rPr>
        <w:t>② （中型企业、小型企业、微型企业）</w:t>
      </w:r>
      <w:r>
        <w:rPr>
          <w:rFonts w:hint="eastAsia" w:ascii="宋体" w:hAnsi="宋体" w:cs="宋体"/>
          <w:sz w:val="24"/>
        </w:rPr>
        <w:t>；</w:t>
      </w:r>
    </w:p>
    <w:p w14:paraId="1A71AE91">
      <w:pPr>
        <w:spacing w:line="360" w:lineRule="auto"/>
        <w:ind w:firstLine="480" w:firstLineChars="200"/>
        <w:rPr>
          <w:rFonts w:ascii="宋体" w:hAnsi="宋体" w:cs="宋体"/>
          <w:sz w:val="24"/>
        </w:rPr>
      </w:pPr>
      <w:r>
        <w:rPr>
          <w:rFonts w:hint="eastAsia" w:ascii="宋体" w:hAnsi="宋体" w:cs="宋体"/>
          <w:sz w:val="24"/>
        </w:rPr>
        <w:t xml:space="preserve">8. </w:t>
      </w:r>
      <w:r>
        <w:rPr>
          <w:rFonts w:hint="eastAsia"/>
          <w:b/>
          <w:bCs/>
          <w:sz w:val="22"/>
          <w:szCs w:val="22"/>
          <w:u w:val="single"/>
        </w:rPr>
        <w:t>实训椅</w:t>
      </w:r>
      <w:r>
        <w:rPr>
          <w:rFonts w:hint="eastAsia" w:ascii="宋体" w:hAnsi="宋体" w:cs="宋体"/>
          <w:sz w:val="24"/>
        </w:rPr>
        <w:t xml:space="preserve">，属于 </w:t>
      </w:r>
      <w:r>
        <w:rPr>
          <w:rFonts w:hint="eastAsia" w:ascii="宋体" w:hAnsi="宋体" w:cs="宋体"/>
          <w:sz w:val="24"/>
          <w:u w:val="single"/>
        </w:rPr>
        <w:t>工业</w:t>
      </w:r>
      <w:r>
        <w:rPr>
          <w:rFonts w:hint="eastAsia" w:ascii="宋体" w:hAnsi="宋体" w:cs="宋体"/>
          <w:sz w:val="24"/>
        </w:rPr>
        <w:t>行业 ；制造商为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①</w:t>
      </w:r>
      <w:r>
        <w:rPr>
          <w:rFonts w:ascii="宋体" w:hAnsi="宋体" w:cs="宋体"/>
          <w:sz w:val="24"/>
          <w:u w:val="single"/>
        </w:rPr>
        <w:t xml:space="preserve">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ascii="宋体" w:hAnsi="宋体" w:cs="宋体"/>
          <w:sz w:val="24"/>
          <w:u w:val="single"/>
        </w:rPr>
        <w:t xml:space="preserve">  </w:t>
      </w:r>
      <w:r>
        <w:rPr>
          <w:rFonts w:hint="eastAsia" w:ascii="宋体" w:hAnsi="宋体" w:cs="宋体"/>
          <w:sz w:val="24"/>
          <w:u w:val="single"/>
        </w:rPr>
        <w:t>② （中型企业、小型企业、微型企业）</w:t>
      </w:r>
      <w:r>
        <w:rPr>
          <w:rFonts w:hint="eastAsia" w:ascii="宋体" w:hAnsi="宋体" w:cs="宋体"/>
          <w:sz w:val="24"/>
        </w:rPr>
        <w:t>；</w:t>
      </w:r>
    </w:p>
    <w:p w14:paraId="6F82A796">
      <w:pPr>
        <w:spacing w:line="360" w:lineRule="auto"/>
        <w:ind w:firstLine="480" w:firstLineChars="200"/>
        <w:rPr>
          <w:rFonts w:ascii="宋体" w:hAnsi="宋体" w:cs="宋体"/>
          <w:sz w:val="24"/>
        </w:rPr>
      </w:pPr>
      <w:r>
        <w:rPr>
          <w:rFonts w:hint="eastAsia" w:ascii="宋体" w:hAnsi="宋体" w:cs="宋体"/>
          <w:sz w:val="24"/>
        </w:rPr>
        <w:t xml:space="preserve">9. </w:t>
      </w:r>
      <w:r>
        <w:rPr>
          <w:rFonts w:hint="eastAsia"/>
          <w:b/>
          <w:bCs/>
          <w:sz w:val="22"/>
          <w:szCs w:val="22"/>
          <w:u w:val="single"/>
        </w:rPr>
        <w:t>智慧物联设备</w:t>
      </w:r>
      <w:r>
        <w:rPr>
          <w:rFonts w:hint="eastAsia" w:ascii="宋体" w:hAnsi="宋体" w:cs="宋体"/>
          <w:sz w:val="24"/>
        </w:rPr>
        <w:t xml:space="preserve">，属于 </w:t>
      </w:r>
      <w:r>
        <w:rPr>
          <w:rFonts w:hint="eastAsia" w:ascii="宋体" w:hAnsi="宋体" w:cs="宋体"/>
          <w:sz w:val="24"/>
          <w:u w:val="single"/>
        </w:rPr>
        <w:t>工业</w:t>
      </w:r>
      <w:r>
        <w:rPr>
          <w:rFonts w:hint="eastAsia" w:ascii="宋体" w:hAnsi="宋体" w:cs="宋体"/>
          <w:sz w:val="24"/>
        </w:rPr>
        <w:t>行业 ；制造商为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①</w:t>
      </w:r>
      <w:r>
        <w:rPr>
          <w:rFonts w:ascii="宋体" w:hAnsi="宋体" w:cs="宋体"/>
          <w:sz w:val="24"/>
          <w:u w:val="single"/>
        </w:rPr>
        <w:t xml:space="preserve">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ascii="宋体" w:hAnsi="宋体" w:cs="宋体"/>
          <w:sz w:val="24"/>
          <w:u w:val="single"/>
        </w:rPr>
        <w:t xml:space="preserve">  </w:t>
      </w:r>
      <w:r>
        <w:rPr>
          <w:rFonts w:hint="eastAsia" w:ascii="宋体" w:hAnsi="宋体" w:cs="宋体"/>
          <w:sz w:val="24"/>
          <w:u w:val="single"/>
        </w:rPr>
        <w:t>② （中型企业、小型企业、微型企业）</w:t>
      </w:r>
      <w:r>
        <w:rPr>
          <w:rFonts w:hint="eastAsia" w:ascii="宋体" w:hAnsi="宋体" w:cs="宋体"/>
          <w:sz w:val="24"/>
        </w:rPr>
        <w:t>；</w:t>
      </w:r>
    </w:p>
    <w:p w14:paraId="11C2C142">
      <w:pPr>
        <w:spacing w:line="360" w:lineRule="auto"/>
        <w:ind w:firstLine="480" w:firstLineChars="200"/>
        <w:rPr>
          <w:rFonts w:ascii="宋体" w:hAnsi="宋体" w:cs="宋体"/>
          <w:sz w:val="24"/>
        </w:rPr>
      </w:pPr>
      <w:r>
        <w:rPr>
          <w:rFonts w:hint="eastAsia" w:ascii="宋体" w:hAnsi="宋体" w:cs="宋体"/>
          <w:sz w:val="24"/>
        </w:rPr>
        <w:t xml:space="preserve">10. </w:t>
      </w:r>
      <w:r>
        <w:rPr>
          <w:rFonts w:hint="eastAsia"/>
          <w:b/>
          <w:bCs/>
          <w:sz w:val="22"/>
          <w:szCs w:val="22"/>
          <w:u w:val="single"/>
        </w:rPr>
        <w:t>实训室布线</w:t>
      </w:r>
      <w:r>
        <w:rPr>
          <w:rFonts w:hint="eastAsia" w:ascii="宋体" w:hAnsi="宋体" w:cs="宋体"/>
          <w:sz w:val="24"/>
        </w:rPr>
        <w:t xml:space="preserve">，属于 </w:t>
      </w:r>
      <w:r>
        <w:rPr>
          <w:rFonts w:hint="eastAsia" w:ascii="宋体" w:hAnsi="宋体" w:cs="宋体"/>
          <w:sz w:val="24"/>
          <w:u w:val="single"/>
        </w:rPr>
        <w:t>工业</w:t>
      </w:r>
      <w:r>
        <w:rPr>
          <w:rFonts w:hint="eastAsia" w:ascii="宋体" w:hAnsi="宋体" w:cs="宋体"/>
          <w:sz w:val="24"/>
        </w:rPr>
        <w:t>行业 ；制造商为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①</w:t>
      </w:r>
      <w:r>
        <w:rPr>
          <w:rFonts w:ascii="宋体" w:hAnsi="宋体" w:cs="宋体"/>
          <w:sz w:val="24"/>
          <w:u w:val="single"/>
        </w:rPr>
        <w:t xml:space="preserve">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ascii="宋体" w:hAnsi="宋体" w:cs="宋体"/>
          <w:sz w:val="24"/>
          <w:u w:val="single"/>
        </w:rPr>
        <w:t xml:space="preserve">  </w:t>
      </w:r>
      <w:r>
        <w:rPr>
          <w:rFonts w:hint="eastAsia" w:ascii="宋体" w:hAnsi="宋体" w:cs="宋体"/>
          <w:sz w:val="24"/>
          <w:u w:val="single"/>
        </w:rPr>
        <w:t>② （中型企业、小型企业、微型企业）</w:t>
      </w:r>
      <w:r>
        <w:rPr>
          <w:rFonts w:hint="eastAsia" w:ascii="宋体" w:hAnsi="宋体" w:cs="宋体"/>
          <w:sz w:val="24"/>
        </w:rPr>
        <w:t>；</w:t>
      </w:r>
    </w:p>
    <w:p w14:paraId="7C4D7B34">
      <w:pPr>
        <w:spacing w:line="360" w:lineRule="auto"/>
        <w:ind w:firstLine="480" w:firstLineChars="200"/>
        <w:rPr>
          <w:rFonts w:ascii="宋体" w:hAnsi="宋体" w:cs="宋体"/>
          <w:sz w:val="24"/>
        </w:rPr>
      </w:pPr>
      <w:r>
        <w:rPr>
          <w:rFonts w:hint="eastAsia" w:ascii="宋体" w:hAnsi="宋体" w:cs="宋体"/>
          <w:sz w:val="24"/>
        </w:rPr>
        <w:t xml:space="preserve">11. </w:t>
      </w:r>
      <w:r>
        <w:rPr>
          <w:rFonts w:hint="eastAsia"/>
          <w:b/>
          <w:bCs/>
          <w:sz w:val="22"/>
          <w:szCs w:val="22"/>
          <w:u w:val="single"/>
        </w:rPr>
        <w:t>教学用笔记本电脑</w:t>
      </w:r>
      <w:r>
        <w:rPr>
          <w:rFonts w:hint="eastAsia" w:ascii="宋体" w:hAnsi="宋体" w:cs="宋体"/>
          <w:sz w:val="24"/>
        </w:rPr>
        <w:t xml:space="preserve">，属于 </w:t>
      </w:r>
      <w:r>
        <w:rPr>
          <w:rFonts w:hint="eastAsia" w:ascii="宋体" w:hAnsi="宋体" w:cs="宋体"/>
          <w:sz w:val="24"/>
          <w:u w:val="single"/>
        </w:rPr>
        <w:t>工业</w:t>
      </w:r>
      <w:r>
        <w:rPr>
          <w:rFonts w:hint="eastAsia" w:ascii="宋体" w:hAnsi="宋体" w:cs="宋体"/>
          <w:sz w:val="24"/>
        </w:rPr>
        <w:t>行业 ；制造商为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①</w:t>
      </w:r>
      <w:r>
        <w:rPr>
          <w:rFonts w:ascii="宋体" w:hAnsi="宋体" w:cs="宋体"/>
          <w:sz w:val="24"/>
          <w:u w:val="single"/>
        </w:rPr>
        <w:t xml:space="preserve">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ascii="宋体" w:hAnsi="宋体" w:cs="宋体"/>
          <w:sz w:val="24"/>
          <w:u w:val="single"/>
        </w:rPr>
        <w:t xml:space="preserve">  </w:t>
      </w:r>
      <w:r>
        <w:rPr>
          <w:rFonts w:hint="eastAsia" w:ascii="宋体" w:hAnsi="宋体" w:cs="宋体"/>
          <w:sz w:val="24"/>
          <w:u w:val="single"/>
        </w:rPr>
        <w:t>② （中型企业、小型企业、微型企业）</w:t>
      </w:r>
      <w:r>
        <w:rPr>
          <w:rFonts w:hint="eastAsia" w:ascii="宋体" w:hAnsi="宋体" w:cs="宋体"/>
          <w:sz w:val="24"/>
        </w:rPr>
        <w:t>；</w:t>
      </w:r>
    </w:p>
    <w:p w14:paraId="2A059C70">
      <w:pPr>
        <w:spacing w:line="360" w:lineRule="auto"/>
        <w:ind w:firstLine="480" w:firstLineChars="200"/>
        <w:rPr>
          <w:rFonts w:ascii="宋体" w:hAnsi="宋体" w:cs="宋体"/>
          <w:sz w:val="24"/>
        </w:rPr>
      </w:pPr>
      <w:r>
        <w:rPr>
          <w:rFonts w:hint="eastAsia" w:ascii="宋体" w:hAnsi="宋体" w:cs="宋体"/>
          <w:sz w:val="24"/>
        </w:rPr>
        <w:t>12.</w:t>
      </w:r>
      <w:r>
        <w:rPr>
          <w:rFonts w:hint="eastAsia"/>
          <w:b/>
          <w:bCs/>
          <w:sz w:val="22"/>
          <w:szCs w:val="22"/>
          <w:u w:val="single"/>
        </w:rPr>
        <w:t xml:space="preserve"> 移动图形工作站</w:t>
      </w:r>
      <w:r>
        <w:rPr>
          <w:rFonts w:hint="eastAsia" w:ascii="宋体" w:hAnsi="宋体" w:cs="宋体"/>
          <w:sz w:val="24"/>
        </w:rPr>
        <w:t xml:space="preserve">，属于 </w:t>
      </w:r>
      <w:r>
        <w:rPr>
          <w:rFonts w:hint="eastAsia" w:ascii="宋体" w:hAnsi="宋体" w:cs="宋体"/>
          <w:sz w:val="24"/>
          <w:u w:val="single"/>
        </w:rPr>
        <w:t>工业</w:t>
      </w:r>
      <w:r>
        <w:rPr>
          <w:rFonts w:hint="eastAsia" w:ascii="宋体" w:hAnsi="宋体" w:cs="宋体"/>
          <w:sz w:val="24"/>
        </w:rPr>
        <w:t>行业 ；制造商为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①</w:t>
      </w:r>
      <w:r>
        <w:rPr>
          <w:rFonts w:ascii="宋体" w:hAnsi="宋体" w:cs="宋体"/>
          <w:sz w:val="24"/>
          <w:u w:val="single"/>
        </w:rPr>
        <w:t xml:space="preserve">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ascii="宋体" w:hAnsi="宋体" w:cs="宋体"/>
          <w:sz w:val="24"/>
          <w:u w:val="single"/>
        </w:rPr>
        <w:t xml:space="preserve">  </w:t>
      </w:r>
      <w:r>
        <w:rPr>
          <w:rFonts w:hint="eastAsia" w:ascii="宋体" w:hAnsi="宋体" w:cs="宋体"/>
          <w:sz w:val="24"/>
          <w:u w:val="single"/>
        </w:rPr>
        <w:t>② （中型企业、小型企业、微型企业）</w:t>
      </w:r>
      <w:r>
        <w:rPr>
          <w:rFonts w:hint="eastAsia" w:ascii="宋体" w:hAnsi="宋体" w:cs="宋体"/>
          <w:sz w:val="24"/>
        </w:rPr>
        <w:t>；</w:t>
      </w:r>
    </w:p>
    <w:p w14:paraId="43B7E757">
      <w:pPr>
        <w:spacing w:line="360" w:lineRule="auto"/>
        <w:ind w:firstLine="480" w:firstLineChars="200"/>
        <w:rPr>
          <w:rFonts w:ascii="宋体" w:hAnsi="宋体" w:cs="宋体"/>
          <w:sz w:val="24"/>
        </w:rPr>
      </w:pPr>
      <w:r>
        <w:rPr>
          <w:rFonts w:hint="eastAsia" w:ascii="宋体" w:hAnsi="宋体" w:cs="宋体"/>
          <w:sz w:val="24"/>
        </w:rPr>
        <w:t xml:space="preserve">13. </w:t>
      </w:r>
      <w:r>
        <w:rPr>
          <w:rFonts w:hint="eastAsia"/>
          <w:b/>
          <w:bCs/>
          <w:sz w:val="22"/>
          <w:szCs w:val="22"/>
          <w:u w:val="single"/>
        </w:rPr>
        <w:t>移动隔板</w:t>
      </w:r>
      <w:r>
        <w:rPr>
          <w:rFonts w:hint="eastAsia" w:ascii="宋体" w:hAnsi="宋体" w:cs="宋体"/>
          <w:sz w:val="24"/>
        </w:rPr>
        <w:t xml:space="preserve">，属于 </w:t>
      </w:r>
      <w:r>
        <w:rPr>
          <w:rFonts w:hint="eastAsia" w:ascii="宋体" w:hAnsi="宋体" w:cs="宋体"/>
          <w:sz w:val="24"/>
          <w:u w:val="single"/>
        </w:rPr>
        <w:t>工业</w:t>
      </w:r>
      <w:r>
        <w:rPr>
          <w:rFonts w:hint="eastAsia" w:ascii="宋体" w:hAnsi="宋体" w:cs="宋体"/>
          <w:sz w:val="24"/>
        </w:rPr>
        <w:t>行业 ；制造商为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①</w:t>
      </w:r>
      <w:r>
        <w:rPr>
          <w:rFonts w:ascii="宋体" w:hAnsi="宋体" w:cs="宋体"/>
          <w:sz w:val="24"/>
          <w:u w:val="single"/>
        </w:rPr>
        <w:t xml:space="preserve">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ascii="宋体" w:hAnsi="宋体" w:cs="宋体"/>
          <w:sz w:val="24"/>
          <w:u w:val="single"/>
        </w:rPr>
        <w:t xml:space="preserve">  </w:t>
      </w:r>
      <w:r>
        <w:rPr>
          <w:rFonts w:hint="eastAsia" w:ascii="宋体" w:hAnsi="宋体" w:cs="宋体"/>
          <w:sz w:val="24"/>
          <w:u w:val="single"/>
        </w:rPr>
        <w:t>② （中型企业、小型企业、微型企业）</w:t>
      </w:r>
      <w:r>
        <w:rPr>
          <w:rFonts w:hint="eastAsia" w:ascii="宋体" w:hAnsi="宋体" w:cs="宋体"/>
          <w:sz w:val="24"/>
        </w:rPr>
        <w:t>；</w:t>
      </w:r>
    </w:p>
    <w:p w14:paraId="67F7D7A5">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 xml:space="preserve">. </w:t>
      </w:r>
      <w:r>
        <w:rPr>
          <w:rFonts w:hint="eastAsia"/>
          <w:b/>
          <w:bCs/>
          <w:sz w:val="22"/>
          <w:szCs w:val="22"/>
          <w:u w:val="single"/>
        </w:rPr>
        <w:t>服务器</w:t>
      </w:r>
      <w:r>
        <w:rPr>
          <w:rFonts w:hint="eastAsia" w:ascii="宋体" w:hAnsi="宋体" w:cs="宋体"/>
          <w:sz w:val="24"/>
        </w:rPr>
        <w:t xml:space="preserve">，属于 </w:t>
      </w:r>
      <w:r>
        <w:rPr>
          <w:rFonts w:hint="eastAsia" w:ascii="宋体" w:hAnsi="宋体" w:cs="宋体"/>
          <w:sz w:val="24"/>
          <w:u w:val="single"/>
        </w:rPr>
        <w:t>工业</w:t>
      </w:r>
      <w:r>
        <w:rPr>
          <w:rFonts w:hint="eastAsia" w:ascii="宋体" w:hAnsi="宋体" w:cs="宋体"/>
          <w:sz w:val="24"/>
        </w:rPr>
        <w:t>行业 ；制造商为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①</w:t>
      </w:r>
      <w:r>
        <w:rPr>
          <w:rFonts w:ascii="宋体" w:hAnsi="宋体" w:cs="宋体"/>
          <w:sz w:val="24"/>
          <w:u w:val="single"/>
        </w:rPr>
        <w:t xml:space="preserve">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ascii="宋体" w:hAnsi="宋体" w:cs="宋体"/>
          <w:sz w:val="24"/>
          <w:u w:val="single"/>
        </w:rPr>
        <w:t xml:space="preserve">  </w:t>
      </w:r>
      <w:r>
        <w:rPr>
          <w:rFonts w:hint="eastAsia" w:ascii="宋体" w:hAnsi="宋体" w:cs="宋体"/>
          <w:sz w:val="24"/>
          <w:u w:val="single"/>
        </w:rPr>
        <w:t>② （中型企业、小型企业、微型企业）</w:t>
      </w:r>
      <w:r>
        <w:rPr>
          <w:rFonts w:hint="eastAsia" w:ascii="宋体" w:hAnsi="宋体" w:cs="宋体"/>
          <w:sz w:val="24"/>
        </w:rPr>
        <w:t>；</w:t>
      </w:r>
    </w:p>
    <w:p w14:paraId="0C9589AA">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 xml:space="preserve">. </w:t>
      </w:r>
      <w:r>
        <w:rPr>
          <w:rFonts w:hint="eastAsia" w:ascii="宋体" w:hAnsi="宋体" w:cs="宋体"/>
          <w:b/>
          <w:bCs/>
          <w:sz w:val="22"/>
          <w:szCs w:val="22"/>
          <w:u w:val="single"/>
        </w:rPr>
        <w:t>计算机实训室数据决策分析平台</w:t>
      </w:r>
      <w:r>
        <w:rPr>
          <w:rFonts w:hint="eastAsia" w:ascii="宋体" w:hAnsi="宋体" w:cs="宋体"/>
          <w:sz w:val="24"/>
        </w:rPr>
        <w:t xml:space="preserve">，属于 </w:t>
      </w:r>
      <w:bookmarkStart w:id="421" w:name="OLE_LINK59"/>
      <w:bookmarkStart w:id="422" w:name="OLE_LINK60"/>
      <w:r>
        <w:rPr>
          <w:rFonts w:hint="eastAsia" w:ascii="宋体" w:hAnsi="宋体" w:cs="宋体"/>
          <w:sz w:val="24"/>
          <w:u w:val="single"/>
        </w:rPr>
        <w:t>软件和信息技术服务业</w:t>
      </w:r>
      <w:r>
        <w:rPr>
          <w:rFonts w:hint="eastAsia" w:ascii="宋体" w:hAnsi="宋体" w:cs="宋体"/>
          <w:sz w:val="24"/>
        </w:rPr>
        <w:t>行业</w:t>
      </w:r>
      <w:bookmarkEnd w:id="421"/>
      <w:bookmarkEnd w:id="422"/>
      <w:r>
        <w:rPr>
          <w:rFonts w:hint="eastAsia" w:ascii="宋体" w:hAnsi="宋体" w:cs="宋体"/>
          <w:sz w:val="24"/>
        </w:rPr>
        <w:t xml:space="preserve"> ；制造商为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①</w:t>
      </w:r>
      <w:r>
        <w:rPr>
          <w:rFonts w:ascii="宋体" w:hAnsi="宋体" w:cs="宋体"/>
          <w:sz w:val="24"/>
          <w:u w:val="single"/>
        </w:rPr>
        <w:t xml:space="preserve">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ascii="宋体" w:hAnsi="宋体" w:cs="宋体"/>
          <w:sz w:val="24"/>
          <w:u w:val="single"/>
        </w:rPr>
        <w:t xml:space="preserve">  </w:t>
      </w:r>
      <w:r>
        <w:rPr>
          <w:rFonts w:hint="eastAsia" w:ascii="宋体" w:hAnsi="宋体" w:cs="宋体"/>
          <w:sz w:val="24"/>
          <w:u w:val="single"/>
        </w:rPr>
        <w:t>② （中型企业、小型企业、微型企业）</w:t>
      </w:r>
      <w:r>
        <w:rPr>
          <w:rFonts w:hint="eastAsia" w:ascii="宋体" w:hAnsi="宋体" w:cs="宋体"/>
          <w:sz w:val="24"/>
        </w:rPr>
        <w:t>；</w:t>
      </w:r>
    </w:p>
    <w:p w14:paraId="30267EB6">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 xml:space="preserve">.  </w:t>
      </w:r>
      <w:r>
        <w:rPr>
          <w:rFonts w:hint="eastAsia" w:ascii="宋体" w:hAnsi="宋体" w:cs="宋体"/>
          <w:b/>
          <w:bCs/>
          <w:sz w:val="22"/>
          <w:szCs w:val="22"/>
          <w:u w:val="single"/>
        </w:rPr>
        <w:t>融合桌面云平台</w:t>
      </w:r>
      <w:r>
        <w:rPr>
          <w:rFonts w:hint="eastAsia" w:ascii="宋体" w:hAnsi="宋体" w:cs="宋体"/>
          <w:sz w:val="24"/>
        </w:rPr>
        <w:t>，属于</w:t>
      </w:r>
      <w:r>
        <w:rPr>
          <w:rFonts w:hint="eastAsia" w:ascii="宋体" w:hAnsi="宋体" w:cs="宋体"/>
          <w:sz w:val="24"/>
          <w:u w:val="single"/>
        </w:rPr>
        <w:t>软件和信息技术服务业</w:t>
      </w:r>
      <w:r>
        <w:rPr>
          <w:rFonts w:hint="eastAsia" w:ascii="宋体" w:hAnsi="宋体" w:cs="宋体"/>
          <w:sz w:val="24"/>
        </w:rPr>
        <w:t>行业；制造商为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①</w:t>
      </w:r>
      <w:r>
        <w:rPr>
          <w:rFonts w:ascii="宋体" w:hAnsi="宋体" w:cs="宋体"/>
          <w:sz w:val="24"/>
          <w:u w:val="single"/>
        </w:rPr>
        <w:t xml:space="preserve">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ascii="宋体" w:hAnsi="宋体" w:cs="宋体"/>
          <w:sz w:val="24"/>
          <w:u w:val="single"/>
        </w:rPr>
        <w:t xml:space="preserve">  </w:t>
      </w:r>
      <w:r>
        <w:rPr>
          <w:rFonts w:hint="eastAsia" w:ascii="宋体" w:hAnsi="宋体" w:cs="宋体"/>
          <w:sz w:val="24"/>
          <w:u w:val="single"/>
        </w:rPr>
        <w:t>② （中型企业、小型企业、微型企业）</w:t>
      </w:r>
      <w:r>
        <w:rPr>
          <w:rFonts w:hint="eastAsia" w:ascii="宋体" w:hAnsi="宋体" w:cs="宋体"/>
          <w:sz w:val="24"/>
        </w:rPr>
        <w:t>；</w:t>
      </w:r>
    </w:p>
    <w:p w14:paraId="137B7214">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 xml:space="preserve">. </w:t>
      </w:r>
      <w:r>
        <w:rPr>
          <w:rFonts w:hint="eastAsia" w:ascii="宋体" w:hAnsi="宋体" w:cs="宋体"/>
          <w:b/>
          <w:bCs/>
          <w:sz w:val="22"/>
          <w:szCs w:val="22"/>
          <w:u w:val="single"/>
        </w:rPr>
        <w:t>电子教室软件</w:t>
      </w:r>
      <w:r>
        <w:rPr>
          <w:rFonts w:hint="eastAsia" w:ascii="宋体" w:hAnsi="宋体" w:cs="宋体"/>
          <w:sz w:val="24"/>
        </w:rPr>
        <w:t>，属于</w:t>
      </w:r>
      <w:r>
        <w:rPr>
          <w:rFonts w:hint="eastAsia" w:ascii="宋体" w:hAnsi="宋体" w:cs="宋体"/>
          <w:sz w:val="24"/>
          <w:u w:val="single"/>
        </w:rPr>
        <w:t>软件和信息技术服务业</w:t>
      </w:r>
      <w:r>
        <w:rPr>
          <w:rFonts w:hint="eastAsia" w:ascii="宋体" w:hAnsi="宋体" w:cs="宋体"/>
          <w:sz w:val="24"/>
        </w:rPr>
        <w:t>行业；制造商为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①</w:t>
      </w:r>
      <w:r>
        <w:rPr>
          <w:rFonts w:ascii="宋体" w:hAnsi="宋体" w:cs="宋体"/>
          <w:sz w:val="24"/>
          <w:u w:val="single"/>
        </w:rPr>
        <w:t xml:space="preserve">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ascii="宋体" w:hAnsi="宋体" w:cs="宋体"/>
          <w:sz w:val="24"/>
          <w:u w:val="single"/>
        </w:rPr>
        <w:t xml:space="preserve">  </w:t>
      </w:r>
      <w:r>
        <w:rPr>
          <w:rFonts w:hint="eastAsia" w:ascii="宋体" w:hAnsi="宋体" w:cs="宋体"/>
          <w:sz w:val="24"/>
          <w:u w:val="single"/>
        </w:rPr>
        <w:t>② （中型企业、小型企业、微型企业）</w:t>
      </w:r>
      <w:r>
        <w:rPr>
          <w:rFonts w:hint="eastAsia" w:ascii="宋体" w:hAnsi="宋体" w:cs="宋体"/>
          <w:sz w:val="24"/>
        </w:rPr>
        <w:t>；</w:t>
      </w:r>
    </w:p>
    <w:p w14:paraId="29D7FCDC">
      <w:pPr>
        <w:numPr>
          <w:ilvl w:val="255"/>
          <w:numId w:val="0"/>
        </w:numPr>
        <w:spacing w:line="360" w:lineRule="auto"/>
        <w:ind w:firstLine="480" w:firstLineChars="200"/>
        <w:rPr>
          <w:rFonts w:ascii="宋体" w:hAnsi="宋体" w:cs="宋体"/>
          <w:sz w:val="24"/>
        </w:rPr>
      </w:pPr>
    </w:p>
    <w:p w14:paraId="32B0ECF1">
      <w:pPr>
        <w:numPr>
          <w:ilvl w:val="255"/>
          <w:numId w:val="0"/>
        </w:num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72B23CA5">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092FC528">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4EBDCA80">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2AC2D032">
      <w:pPr>
        <w:spacing w:line="360" w:lineRule="auto"/>
        <w:ind w:right="420"/>
        <w:rPr>
          <w:rFonts w:ascii="宋体" w:hAnsi="宋体" w:cs="宋体"/>
          <w:sz w:val="24"/>
        </w:rPr>
      </w:pPr>
      <w:r>
        <w:rPr>
          <w:rFonts w:hint="eastAsia" w:ascii="宋体" w:hAnsi="宋体" w:cs="宋体"/>
          <w:sz w:val="24"/>
        </w:rPr>
        <w:t xml:space="preserve"> 注：1、应按本格式和要求填写。其中，标的名称和所属行业依据招标文件第二部分投标人须知前附表中“采购标的及其对应的中小企业划分标准所属行业”规定的要求填写，不得缺漏（声明函格式内容中已填写的，无需改动）；标记“①”处填写企业名称；从业人员、营业收入、资产总额填报上一年度数据，无上一年度数据的新成立企业可不填报；结合所填数据，依据《中小企业划型标准规定》（工信部联企业〔2011〕300号）规定，确定中型企业、小型企业、微型企业三种企业类型中的其中一种在标记“②”处填写。</w:t>
      </w:r>
    </w:p>
    <w:p w14:paraId="220E3D73">
      <w:pPr>
        <w:spacing w:line="360" w:lineRule="auto"/>
        <w:ind w:right="420" w:firstLine="480" w:firstLineChars="200"/>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34C52006">
      <w:pPr>
        <w:pStyle w:val="3"/>
        <w:rPr>
          <w:rFonts w:ascii="宋体" w:hAnsi="宋体" w:eastAsia="宋体" w:cs="宋体"/>
          <w:bCs w:val="0"/>
          <w:sz w:val="36"/>
          <w:szCs w:val="20"/>
          <w:lang w:val="en-US"/>
        </w:rPr>
      </w:pPr>
    </w:p>
    <w:p w14:paraId="4D0F1AD6">
      <w:pPr>
        <w:rPr>
          <w:rFonts w:ascii="宋体" w:hAnsi="宋体" w:cs="宋体"/>
          <w:b/>
          <w:sz w:val="36"/>
          <w:szCs w:val="20"/>
        </w:rPr>
      </w:pPr>
      <w:r>
        <w:rPr>
          <w:rFonts w:hint="eastAsia" w:ascii="宋体" w:hAnsi="宋体" w:cs="宋体"/>
          <w:b/>
          <w:sz w:val="36"/>
          <w:szCs w:val="20"/>
        </w:rPr>
        <w:br w:type="page"/>
      </w:r>
    </w:p>
    <w:p w14:paraId="23064D44">
      <w:pPr>
        <w:pStyle w:val="3"/>
        <w:rPr>
          <w:rFonts w:ascii="宋体" w:hAnsi="宋体" w:eastAsia="宋体" w:cs="宋体"/>
          <w:bCs w:val="0"/>
          <w:sz w:val="36"/>
          <w:szCs w:val="20"/>
          <w:lang w:val="en-US"/>
        </w:rPr>
      </w:pPr>
      <w:r>
        <w:rPr>
          <w:rFonts w:hint="eastAsia" w:ascii="宋体" w:hAnsi="宋体" w:eastAsia="宋体" w:cs="宋体"/>
          <w:bCs w:val="0"/>
          <w:sz w:val="36"/>
          <w:szCs w:val="20"/>
          <w:lang w:val="en-US"/>
        </w:rPr>
        <w:t>附件8：中小企业划型标准</w:t>
      </w:r>
    </w:p>
    <w:p w14:paraId="6978DDD1">
      <w:pPr>
        <w:spacing w:line="360" w:lineRule="auto"/>
        <w:rPr>
          <w:rFonts w:ascii="宋体" w:hAnsi="宋体" w:cs="宋体"/>
          <w:kern w:val="0"/>
          <w:sz w:val="24"/>
        </w:rPr>
      </w:pPr>
      <w:r>
        <w:rPr>
          <w:rFonts w:hint="eastAsia" w:ascii="宋体" w:hAnsi="宋体" w:cs="宋体"/>
          <w:kern w:val="0"/>
          <w:sz w:val="24"/>
        </w:rPr>
        <w:t>各行业划型标准为：</w:t>
      </w:r>
      <w:r>
        <w:rPr>
          <w:rFonts w:hint="eastAsia" w:ascii="宋体" w:hAnsi="宋体" w:cs="宋体"/>
          <w:kern w:val="0"/>
          <w:sz w:val="24"/>
        </w:rPr>
        <w:br w:type="textWrapping"/>
      </w:r>
      <w:r>
        <w:rPr>
          <w:rFonts w:hint="eastAsia" w:ascii="宋体" w:hAnsi="宋体" w:cs="宋体"/>
          <w:kern w:val="0"/>
          <w:sz w:val="24"/>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kern w:val="0"/>
          <w:sz w:val="24"/>
        </w:rPr>
        <w:br w:type="textWrapping"/>
      </w:r>
      <w:r>
        <w:rPr>
          <w:rFonts w:hint="eastAsia" w:ascii="宋体" w:hAnsi="宋体" w:cs="宋体"/>
          <w:kern w:val="0"/>
          <w:sz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kern w:val="0"/>
          <w:sz w:val="24"/>
        </w:rPr>
        <w:br w:type="textWrapping"/>
      </w:r>
      <w:r>
        <w:rPr>
          <w:rFonts w:hint="eastAsia" w:ascii="宋体" w:hAnsi="宋体" w:cs="宋体"/>
          <w:kern w:val="0"/>
          <w:sz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kern w:val="0"/>
          <w:sz w:val="24"/>
        </w:rPr>
        <w:br w:type="textWrapping"/>
      </w:r>
      <w:r>
        <w:rPr>
          <w:rFonts w:hint="eastAsia" w:ascii="宋体" w:hAnsi="宋体" w:cs="宋体"/>
          <w:kern w:val="0"/>
          <w:sz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kern w:val="0"/>
          <w:sz w:val="24"/>
        </w:rPr>
        <w:br w:type="textWrapping"/>
      </w:r>
      <w:r>
        <w:rPr>
          <w:rFonts w:hint="eastAsia" w:ascii="宋体" w:hAnsi="宋体" w:cs="宋体"/>
          <w:kern w:val="0"/>
          <w:sz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kern w:val="0"/>
          <w:sz w:val="24"/>
        </w:rPr>
        <w:br w:type="textWrapping"/>
      </w:r>
      <w:r>
        <w:rPr>
          <w:rFonts w:hint="eastAsia" w:ascii="宋体" w:hAnsi="宋体" w:cs="宋体"/>
          <w:kern w:val="0"/>
          <w:sz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kern w:val="0"/>
          <w:sz w:val="24"/>
        </w:rPr>
        <w:br w:type="textWrapping"/>
      </w:r>
      <w:r>
        <w:rPr>
          <w:rFonts w:hint="eastAsia" w:ascii="宋体" w:hAnsi="宋体" w:cs="宋体"/>
          <w:kern w:val="0"/>
          <w:sz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kern w:val="0"/>
          <w:sz w:val="24"/>
        </w:rPr>
        <w:br w:type="textWrapping"/>
      </w:r>
      <w:r>
        <w:rPr>
          <w:rFonts w:hint="eastAsia" w:ascii="宋体" w:hAnsi="宋体" w:cs="宋体"/>
          <w:kern w:val="0"/>
          <w:sz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kern w:val="0"/>
          <w:sz w:val="24"/>
        </w:rPr>
        <w:br w:type="textWrapping"/>
      </w:r>
      <w:r>
        <w:rPr>
          <w:rFonts w:hint="eastAsia" w:ascii="宋体" w:hAnsi="宋体" w:cs="宋体"/>
          <w:kern w:val="0"/>
          <w:sz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kern w:val="0"/>
          <w:sz w:val="24"/>
        </w:rPr>
        <w:br w:type="textWrapping"/>
      </w:r>
      <w:r>
        <w:rPr>
          <w:rFonts w:hint="eastAsia" w:ascii="宋体" w:hAnsi="宋体" w:cs="宋体"/>
          <w:kern w:val="0"/>
          <w:sz w:val="24"/>
        </w:rPr>
        <w:t>　　（十六）其他未列明行业。从业人员300人以下的为中小微型企业。其中，从业人员100人及以上的为中型企业；从业人员10人及以上的为小型企业；从业人员10人以下的为微型企业。</w:t>
      </w:r>
    </w:p>
    <w:p w14:paraId="59418E65">
      <w:pPr>
        <w:rPr>
          <w:rFonts w:ascii="宋体" w:hAnsi="宋体" w:cs="宋体"/>
          <w:kern w:val="0"/>
          <w:sz w:val="24"/>
        </w:rPr>
      </w:pPr>
      <w:r>
        <w:rPr>
          <w:rFonts w:hint="eastAsia" w:ascii="宋体" w:hAnsi="宋体" w:cs="宋体"/>
          <w:kern w:val="0"/>
          <w:sz w:val="24"/>
        </w:rPr>
        <w:br w:type="page"/>
      </w:r>
    </w:p>
    <w:p w14:paraId="5C258590">
      <w:pPr>
        <w:snapToGrid w:val="0"/>
        <w:spacing w:line="360" w:lineRule="auto"/>
        <w:outlineLvl w:val="0"/>
        <w:rPr>
          <w:rFonts w:ascii="宋体" w:hAnsi="宋体" w:cs="宋体"/>
          <w:b/>
          <w:kern w:val="0"/>
          <w:sz w:val="32"/>
          <w:szCs w:val="32"/>
        </w:rPr>
      </w:pPr>
      <w:r>
        <w:rPr>
          <w:rFonts w:hint="eastAsia" w:ascii="宋体" w:hAnsi="宋体" w:cs="宋体"/>
          <w:b/>
          <w:kern w:val="0"/>
          <w:sz w:val="32"/>
          <w:szCs w:val="32"/>
          <w:lang w:val="zh-CN"/>
        </w:rPr>
        <w:t>附件</w:t>
      </w:r>
      <w:r>
        <w:rPr>
          <w:rFonts w:hint="eastAsia" w:ascii="宋体" w:hAnsi="宋体" w:cs="宋体"/>
          <w:b/>
          <w:kern w:val="0"/>
          <w:sz w:val="32"/>
          <w:szCs w:val="32"/>
        </w:rPr>
        <w:t>9：</w:t>
      </w:r>
    </w:p>
    <w:p w14:paraId="3319A304">
      <w:pPr>
        <w:snapToGrid w:val="0"/>
        <w:spacing w:line="360" w:lineRule="auto"/>
        <w:ind w:firstLine="643" w:firstLineChars="200"/>
        <w:jc w:val="center"/>
        <w:rPr>
          <w:rFonts w:ascii="宋体" w:hAnsi="宋体" w:cs="宋体"/>
          <w:kern w:val="0"/>
          <w:sz w:val="24"/>
        </w:rPr>
      </w:pPr>
      <w:r>
        <w:rPr>
          <w:rFonts w:hint="eastAsia" w:ascii="宋体" w:hAnsi="宋体" w:cs="宋体"/>
          <w:b/>
          <w:sz w:val="32"/>
          <w:szCs w:val="32"/>
          <w:lang w:val="zh-CN"/>
        </w:rPr>
        <w:t>关于符合本国产品标准的声明函</w:t>
      </w:r>
    </w:p>
    <w:p w14:paraId="44371FDE">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rPr>
        <w:t>一、</w:t>
      </w:r>
      <w:r>
        <w:rPr>
          <w:rFonts w:hint="eastAsia" w:ascii="宋体" w:hAnsi="宋体" w:cs="宋体"/>
          <w:kern w:val="0"/>
          <w:sz w:val="24"/>
          <w:lang w:val="zh-CN"/>
        </w:rPr>
        <w:t>本公司（单位）郑重声明，根据《国务院办公厅关于在政府采购中实施本国产品标准及相关政策的通知》（国办发〔2025〕34号）的规定，本公司（单位）提供的以下产品属于本国产品。具体情况如下：</w:t>
      </w:r>
    </w:p>
    <w:p w14:paraId="29F712CF">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u w:val="single"/>
          <w:lang w:val="zh-CN"/>
        </w:rPr>
        <w:t>（产品名称1）</w:t>
      </w:r>
      <w:r>
        <w:rPr>
          <w:rFonts w:hint="eastAsia" w:ascii="宋体" w:hAnsi="宋体" w:cs="宋体"/>
          <w:kern w:val="0"/>
          <w:sz w:val="24"/>
          <w:vertAlign w:val="superscript"/>
          <w:lang w:val="zh-CN"/>
        </w:rPr>
        <w:t>【</w:t>
      </w:r>
      <w:r>
        <w:rPr>
          <w:rFonts w:hint="eastAsia" w:ascii="宋体" w:hAnsi="宋体" w:cs="宋体"/>
          <w:kern w:val="0"/>
          <w:sz w:val="24"/>
          <w:vertAlign w:val="superscript"/>
        </w:rPr>
        <w:t>1</w:t>
      </w:r>
      <w:r>
        <w:rPr>
          <w:rFonts w:hint="eastAsia" w:ascii="宋体" w:hAnsi="宋体" w:cs="宋体"/>
          <w:kern w:val="0"/>
          <w:sz w:val="24"/>
          <w:vertAlign w:val="superscript"/>
          <w:lang w:val="zh-CN"/>
        </w:rPr>
        <w:t>】</w:t>
      </w:r>
      <w:r>
        <w:rPr>
          <w:rFonts w:hint="eastAsia" w:ascii="宋体" w:hAnsi="宋体" w:cs="宋体"/>
          <w:kern w:val="0"/>
          <w:sz w:val="24"/>
          <w:lang w:val="zh-CN"/>
        </w:rPr>
        <w:t>，生产厂为</w:t>
      </w:r>
      <w:r>
        <w:rPr>
          <w:rFonts w:hint="eastAsia" w:ascii="宋体" w:hAnsi="宋体" w:cs="宋体"/>
          <w:kern w:val="0"/>
          <w:sz w:val="24"/>
          <w:u w:val="single"/>
          <w:lang w:val="zh-CN"/>
        </w:rPr>
        <w:t>（厂名）</w:t>
      </w:r>
      <w:r>
        <w:rPr>
          <w:rFonts w:hint="eastAsia" w:ascii="宋体" w:hAnsi="宋体" w:cs="宋体"/>
          <w:kern w:val="0"/>
          <w:sz w:val="24"/>
          <w:vertAlign w:val="superscript"/>
          <w:lang w:val="zh-CN"/>
        </w:rPr>
        <w:t>【</w:t>
      </w:r>
      <w:r>
        <w:rPr>
          <w:rFonts w:hint="eastAsia" w:ascii="宋体" w:hAnsi="宋体" w:cs="宋体"/>
          <w:kern w:val="0"/>
          <w:sz w:val="24"/>
          <w:vertAlign w:val="superscript"/>
        </w:rPr>
        <w:t>2</w:t>
      </w:r>
      <w:r>
        <w:rPr>
          <w:rFonts w:hint="eastAsia" w:ascii="宋体" w:hAnsi="宋体" w:cs="宋体"/>
          <w:kern w:val="0"/>
          <w:sz w:val="24"/>
          <w:vertAlign w:val="superscript"/>
          <w:lang w:val="zh-CN"/>
        </w:rPr>
        <w:t>】</w:t>
      </w:r>
      <w:r>
        <w:rPr>
          <w:rFonts w:hint="eastAsia" w:ascii="宋体" w:hAnsi="宋体" w:cs="宋体"/>
          <w:kern w:val="0"/>
          <w:sz w:val="24"/>
          <w:lang w:val="zh-CN"/>
        </w:rPr>
        <w:t>，厂址为</w:t>
      </w:r>
      <w:r>
        <w:rPr>
          <w:rFonts w:hint="eastAsia" w:ascii="宋体" w:hAnsi="宋体" w:cs="宋体"/>
          <w:kern w:val="0"/>
          <w:sz w:val="24"/>
          <w:u w:val="single"/>
          <w:lang w:val="zh-CN"/>
        </w:rPr>
        <w:t>（生产厂址）</w:t>
      </w:r>
      <w:r>
        <w:rPr>
          <w:rFonts w:hint="eastAsia" w:ascii="宋体" w:hAnsi="宋体" w:cs="宋体"/>
          <w:kern w:val="0"/>
          <w:sz w:val="24"/>
          <w:lang w:val="zh-CN"/>
        </w:rPr>
        <w:t>。</w:t>
      </w:r>
    </w:p>
    <w:p w14:paraId="60A9C5D0">
      <w:pPr>
        <w:snapToGrid w:val="0"/>
        <w:spacing w:line="360" w:lineRule="auto"/>
        <w:ind w:firstLine="480" w:firstLineChars="200"/>
        <w:jc w:val="left"/>
        <w:rPr>
          <w:rFonts w:ascii="宋体" w:hAnsi="宋体" w:cs="宋体"/>
          <w:kern w:val="0"/>
          <w:sz w:val="24"/>
          <w:lang w:val="zh-CN"/>
        </w:rPr>
      </w:pPr>
      <w:bookmarkStart w:id="423" w:name="OLE_LINK62"/>
      <w:r>
        <w:rPr>
          <w:rFonts w:hint="eastAsia" w:ascii="宋体" w:hAnsi="宋体" w:cs="宋体"/>
          <w:kern w:val="0"/>
          <w:sz w:val="24"/>
        </w:rPr>
        <w:t>2</w:t>
      </w:r>
      <w:r>
        <w:rPr>
          <w:rFonts w:hint="eastAsia" w:ascii="宋体" w:hAnsi="宋体" w:cs="宋体"/>
          <w:kern w:val="0"/>
          <w:sz w:val="24"/>
          <w:lang w:val="zh-CN"/>
        </w:rPr>
        <w:t>.</w:t>
      </w:r>
      <w:r>
        <w:rPr>
          <w:rFonts w:hint="eastAsia" w:ascii="宋体" w:hAnsi="宋体" w:cs="宋体"/>
          <w:kern w:val="0"/>
          <w:sz w:val="24"/>
          <w:u w:val="single"/>
          <w:lang w:val="zh-CN"/>
        </w:rPr>
        <w:t>（产品名称</w:t>
      </w:r>
      <w:r>
        <w:rPr>
          <w:rFonts w:hint="eastAsia" w:ascii="宋体" w:hAnsi="宋体" w:cs="宋体"/>
          <w:kern w:val="0"/>
          <w:sz w:val="24"/>
          <w:u w:val="single"/>
        </w:rPr>
        <w:t>2</w:t>
      </w:r>
      <w:r>
        <w:rPr>
          <w:rFonts w:hint="eastAsia" w:ascii="宋体" w:hAnsi="宋体" w:cs="宋体"/>
          <w:kern w:val="0"/>
          <w:sz w:val="24"/>
          <w:u w:val="single"/>
          <w:lang w:val="zh-CN"/>
        </w:rPr>
        <w:t>）</w:t>
      </w:r>
      <w:r>
        <w:rPr>
          <w:rFonts w:hint="eastAsia" w:ascii="宋体" w:hAnsi="宋体" w:cs="宋体"/>
          <w:kern w:val="0"/>
          <w:sz w:val="24"/>
          <w:vertAlign w:val="superscript"/>
          <w:lang w:val="zh-CN"/>
        </w:rPr>
        <w:t>【</w:t>
      </w:r>
      <w:r>
        <w:rPr>
          <w:rFonts w:hint="eastAsia" w:ascii="宋体" w:hAnsi="宋体" w:cs="宋体"/>
          <w:kern w:val="0"/>
          <w:sz w:val="24"/>
          <w:vertAlign w:val="superscript"/>
        </w:rPr>
        <w:t>1</w:t>
      </w:r>
      <w:r>
        <w:rPr>
          <w:rFonts w:hint="eastAsia" w:ascii="宋体" w:hAnsi="宋体" w:cs="宋体"/>
          <w:kern w:val="0"/>
          <w:sz w:val="24"/>
          <w:vertAlign w:val="superscript"/>
          <w:lang w:val="zh-CN"/>
        </w:rPr>
        <w:t>】</w:t>
      </w:r>
      <w:r>
        <w:rPr>
          <w:rFonts w:hint="eastAsia" w:ascii="宋体" w:hAnsi="宋体" w:cs="宋体"/>
          <w:kern w:val="0"/>
          <w:sz w:val="24"/>
          <w:lang w:val="zh-CN"/>
        </w:rPr>
        <w:t>，生产厂为</w:t>
      </w:r>
      <w:r>
        <w:rPr>
          <w:rFonts w:hint="eastAsia" w:ascii="宋体" w:hAnsi="宋体" w:cs="宋体"/>
          <w:kern w:val="0"/>
          <w:sz w:val="24"/>
          <w:u w:val="single"/>
          <w:lang w:val="zh-CN"/>
        </w:rPr>
        <w:t>（厂名）</w:t>
      </w:r>
      <w:r>
        <w:rPr>
          <w:rFonts w:hint="eastAsia" w:ascii="宋体" w:hAnsi="宋体" w:cs="宋体"/>
          <w:kern w:val="0"/>
          <w:sz w:val="24"/>
          <w:vertAlign w:val="superscript"/>
          <w:lang w:val="zh-CN"/>
        </w:rPr>
        <w:t>【</w:t>
      </w:r>
      <w:r>
        <w:rPr>
          <w:rFonts w:hint="eastAsia" w:ascii="宋体" w:hAnsi="宋体" w:cs="宋体"/>
          <w:kern w:val="0"/>
          <w:sz w:val="24"/>
          <w:vertAlign w:val="superscript"/>
        </w:rPr>
        <w:t>2</w:t>
      </w:r>
      <w:r>
        <w:rPr>
          <w:rFonts w:hint="eastAsia" w:ascii="宋体" w:hAnsi="宋体" w:cs="宋体"/>
          <w:kern w:val="0"/>
          <w:sz w:val="24"/>
          <w:vertAlign w:val="superscript"/>
          <w:lang w:val="zh-CN"/>
        </w:rPr>
        <w:t>】</w:t>
      </w:r>
      <w:r>
        <w:rPr>
          <w:rFonts w:hint="eastAsia" w:ascii="宋体" w:hAnsi="宋体" w:cs="宋体"/>
          <w:kern w:val="0"/>
          <w:sz w:val="24"/>
          <w:lang w:val="zh-CN"/>
        </w:rPr>
        <w:t>，厂址为</w:t>
      </w:r>
      <w:r>
        <w:rPr>
          <w:rFonts w:hint="eastAsia" w:ascii="宋体" w:hAnsi="宋体" w:cs="宋体"/>
          <w:kern w:val="0"/>
          <w:sz w:val="24"/>
          <w:u w:val="single"/>
          <w:lang w:val="zh-CN"/>
        </w:rPr>
        <w:t>（生产厂址）</w:t>
      </w:r>
      <w:r>
        <w:rPr>
          <w:rFonts w:hint="eastAsia" w:ascii="宋体" w:hAnsi="宋体" w:cs="宋体"/>
          <w:kern w:val="0"/>
          <w:sz w:val="24"/>
          <w:lang w:val="zh-CN"/>
        </w:rPr>
        <w:t>。</w:t>
      </w:r>
    </w:p>
    <w:bookmarkEnd w:id="423"/>
    <w:p w14:paraId="425A5737">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3.</w:t>
      </w:r>
      <w:r>
        <w:rPr>
          <w:rFonts w:hint="eastAsia" w:ascii="宋体" w:hAnsi="宋体" w:cs="宋体"/>
          <w:kern w:val="0"/>
          <w:sz w:val="24"/>
          <w:u w:val="single"/>
          <w:lang w:val="zh-CN"/>
        </w:rPr>
        <w:t>（产品名称</w:t>
      </w:r>
      <w:r>
        <w:rPr>
          <w:rFonts w:hint="eastAsia" w:ascii="宋体" w:hAnsi="宋体" w:cs="宋体"/>
          <w:kern w:val="0"/>
          <w:sz w:val="24"/>
          <w:u w:val="single"/>
        </w:rPr>
        <w:t>2</w:t>
      </w:r>
      <w:r>
        <w:rPr>
          <w:rFonts w:hint="eastAsia" w:ascii="宋体" w:hAnsi="宋体" w:cs="宋体"/>
          <w:kern w:val="0"/>
          <w:sz w:val="24"/>
          <w:u w:val="single"/>
          <w:lang w:val="zh-CN"/>
        </w:rPr>
        <w:t>）</w:t>
      </w:r>
      <w:r>
        <w:rPr>
          <w:rFonts w:hint="eastAsia" w:ascii="宋体" w:hAnsi="宋体" w:cs="宋体"/>
          <w:kern w:val="0"/>
          <w:sz w:val="24"/>
          <w:vertAlign w:val="superscript"/>
          <w:lang w:val="zh-CN"/>
        </w:rPr>
        <w:t>【</w:t>
      </w:r>
      <w:r>
        <w:rPr>
          <w:rFonts w:hint="eastAsia" w:ascii="宋体" w:hAnsi="宋体" w:cs="宋体"/>
          <w:kern w:val="0"/>
          <w:sz w:val="24"/>
          <w:vertAlign w:val="superscript"/>
        </w:rPr>
        <w:t>1</w:t>
      </w:r>
      <w:r>
        <w:rPr>
          <w:rFonts w:hint="eastAsia" w:ascii="宋体" w:hAnsi="宋体" w:cs="宋体"/>
          <w:kern w:val="0"/>
          <w:sz w:val="24"/>
          <w:vertAlign w:val="superscript"/>
          <w:lang w:val="zh-CN"/>
        </w:rPr>
        <w:t>】</w:t>
      </w:r>
      <w:r>
        <w:rPr>
          <w:rFonts w:hint="eastAsia" w:ascii="宋体" w:hAnsi="宋体" w:cs="宋体"/>
          <w:kern w:val="0"/>
          <w:sz w:val="24"/>
          <w:lang w:val="zh-CN"/>
        </w:rPr>
        <w:t>，生产厂为</w:t>
      </w:r>
      <w:r>
        <w:rPr>
          <w:rFonts w:hint="eastAsia" w:ascii="宋体" w:hAnsi="宋体" w:cs="宋体"/>
          <w:kern w:val="0"/>
          <w:sz w:val="24"/>
          <w:u w:val="single"/>
          <w:lang w:val="zh-CN"/>
        </w:rPr>
        <w:t>（厂名）</w:t>
      </w:r>
      <w:r>
        <w:rPr>
          <w:rFonts w:hint="eastAsia" w:ascii="宋体" w:hAnsi="宋体" w:cs="宋体"/>
          <w:kern w:val="0"/>
          <w:sz w:val="24"/>
          <w:vertAlign w:val="superscript"/>
          <w:lang w:val="zh-CN"/>
        </w:rPr>
        <w:t>【</w:t>
      </w:r>
      <w:r>
        <w:rPr>
          <w:rFonts w:hint="eastAsia" w:ascii="宋体" w:hAnsi="宋体" w:cs="宋体"/>
          <w:kern w:val="0"/>
          <w:sz w:val="24"/>
          <w:vertAlign w:val="superscript"/>
        </w:rPr>
        <w:t>2</w:t>
      </w:r>
      <w:r>
        <w:rPr>
          <w:rFonts w:hint="eastAsia" w:ascii="宋体" w:hAnsi="宋体" w:cs="宋体"/>
          <w:kern w:val="0"/>
          <w:sz w:val="24"/>
          <w:vertAlign w:val="superscript"/>
          <w:lang w:val="zh-CN"/>
        </w:rPr>
        <w:t>】</w:t>
      </w:r>
      <w:r>
        <w:rPr>
          <w:rFonts w:hint="eastAsia" w:ascii="宋体" w:hAnsi="宋体" w:cs="宋体"/>
          <w:kern w:val="0"/>
          <w:sz w:val="24"/>
          <w:lang w:val="zh-CN"/>
        </w:rPr>
        <w:t>，厂址为</w:t>
      </w:r>
      <w:r>
        <w:rPr>
          <w:rFonts w:hint="eastAsia" w:ascii="宋体" w:hAnsi="宋体" w:cs="宋体"/>
          <w:kern w:val="0"/>
          <w:sz w:val="24"/>
          <w:u w:val="single"/>
          <w:lang w:val="zh-CN"/>
        </w:rPr>
        <w:t>（生产厂址）</w:t>
      </w:r>
      <w:r>
        <w:rPr>
          <w:rFonts w:hint="eastAsia" w:ascii="宋体" w:hAnsi="宋体" w:cs="宋体"/>
          <w:kern w:val="0"/>
          <w:sz w:val="24"/>
          <w:lang w:val="zh-CN"/>
        </w:rPr>
        <w:t>。</w:t>
      </w:r>
    </w:p>
    <w:p w14:paraId="2E85E46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w:t>
      </w:r>
      <w:r>
        <w:rPr>
          <w:rFonts w:hint="eastAsia" w:ascii="宋体" w:hAnsi="宋体" w:cs="宋体"/>
          <w:kern w:val="0"/>
          <w:sz w:val="24"/>
          <w:u w:val="single"/>
          <w:lang w:val="zh-CN"/>
        </w:rPr>
        <w:t>（产品名称</w:t>
      </w:r>
      <w:r>
        <w:rPr>
          <w:rFonts w:hint="eastAsia" w:ascii="宋体" w:hAnsi="宋体" w:cs="宋体"/>
          <w:kern w:val="0"/>
          <w:sz w:val="24"/>
          <w:u w:val="single"/>
        </w:rPr>
        <w:t>2</w:t>
      </w:r>
      <w:r>
        <w:rPr>
          <w:rFonts w:hint="eastAsia" w:ascii="宋体" w:hAnsi="宋体" w:cs="宋体"/>
          <w:kern w:val="0"/>
          <w:sz w:val="24"/>
          <w:u w:val="single"/>
          <w:lang w:val="zh-CN"/>
        </w:rPr>
        <w:t>）</w:t>
      </w:r>
      <w:r>
        <w:rPr>
          <w:rFonts w:hint="eastAsia" w:ascii="宋体" w:hAnsi="宋体" w:cs="宋体"/>
          <w:kern w:val="0"/>
          <w:sz w:val="24"/>
          <w:vertAlign w:val="superscript"/>
          <w:lang w:val="zh-CN"/>
        </w:rPr>
        <w:t>【</w:t>
      </w:r>
      <w:r>
        <w:rPr>
          <w:rFonts w:hint="eastAsia" w:ascii="宋体" w:hAnsi="宋体" w:cs="宋体"/>
          <w:kern w:val="0"/>
          <w:sz w:val="24"/>
          <w:vertAlign w:val="superscript"/>
        </w:rPr>
        <w:t>1</w:t>
      </w:r>
      <w:r>
        <w:rPr>
          <w:rFonts w:hint="eastAsia" w:ascii="宋体" w:hAnsi="宋体" w:cs="宋体"/>
          <w:kern w:val="0"/>
          <w:sz w:val="24"/>
          <w:vertAlign w:val="superscript"/>
          <w:lang w:val="zh-CN"/>
        </w:rPr>
        <w:t>】</w:t>
      </w:r>
      <w:r>
        <w:rPr>
          <w:rFonts w:hint="eastAsia" w:ascii="宋体" w:hAnsi="宋体" w:cs="宋体"/>
          <w:kern w:val="0"/>
          <w:sz w:val="24"/>
          <w:lang w:val="zh-CN"/>
        </w:rPr>
        <w:t>，生产厂为</w:t>
      </w:r>
      <w:r>
        <w:rPr>
          <w:rFonts w:hint="eastAsia" w:ascii="宋体" w:hAnsi="宋体" w:cs="宋体"/>
          <w:kern w:val="0"/>
          <w:sz w:val="24"/>
          <w:u w:val="single"/>
          <w:lang w:val="zh-CN"/>
        </w:rPr>
        <w:t>（厂名）</w:t>
      </w:r>
      <w:r>
        <w:rPr>
          <w:rFonts w:hint="eastAsia" w:ascii="宋体" w:hAnsi="宋体" w:cs="宋体"/>
          <w:kern w:val="0"/>
          <w:sz w:val="24"/>
          <w:vertAlign w:val="superscript"/>
          <w:lang w:val="zh-CN"/>
        </w:rPr>
        <w:t>【</w:t>
      </w:r>
      <w:r>
        <w:rPr>
          <w:rFonts w:hint="eastAsia" w:ascii="宋体" w:hAnsi="宋体" w:cs="宋体"/>
          <w:kern w:val="0"/>
          <w:sz w:val="24"/>
          <w:vertAlign w:val="superscript"/>
        </w:rPr>
        <w:t>2</w:t>
      </w:r>
      <w:r>
        <w:rPr>
          <w:rFonts w:hint="eastAsia" w:ascii="宋体" w:hAnsi="宋体" w:cs="宋体"/>
          <w:kern w:val="0"/>
          <w:sz w:val="24"/>
          <w:vertAlign w:val="superscript"/>
          <w:lang w:val="zh-CN"/>
        </w:rPr>
        <w:t>】</w:t>
      </w:r>
      <w:r>
        <w:rPr>
          <w:rFonts w:hint="eastAsia" w:ascii="宋体" w:hAnsi="宋体" w:cs="宋体"/>
          <w:kern w:val="0"/>
          <w:sz w:val="24"/>
          <w:lang w:val="zh-CN"/>
        </w:rPr>
        <w:t>，厂址为</w:t>
      </w:r>
      <w:r>
        <w:rPr>
          <w:rFonts w:hint="eastAsia" w:ascii="宋体" w:hAnsi="宋体" w:cs="宋体"/>
          <w:kern w:val="0"/>
          <w:sz w:val="24"/>
          <w:u w:val="single"/>
          <w:lang w:val="zh-CN"/>
        </w:rPr>
        <w:t>（生产厂址）</w:t>
      </w:r>
      <w:r>
        <w:rPr>
          <w:rFonts w:hint="eastAsia" w:ascii="宋体" w:hAnsi="宋体" w:cs="宋体"/>
          <w:kern w:val="0"/>
          <w:sz w:val="24"/>
          <w:lang w:val="zh-CN"/>
        </w:rPr>
        <w:t>。</w:t>
      </w:r>
    </w:p>
    <w:p w14:paraId="66548E1A">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rPr>
        <w:t>5</w:t>
      </w:r>
      <w:r>
        <w:rPr>
          <w:rFonts w:hint="eastAsia" w:ascii="宋体" w:hAnsi="宋体" w:cs="宋体"/>
          <w:kern w:val="0"/>
          <w:sz w:val="24"/>
          <w:lang w:val="zh-CN"/>
        </w:rPr>
        <w:t>.</w:t>
      </w:r>
      <w:r>
        <w:rPr>
          <w:rFonts w:hint="eastAsia" w:ascii="宋体" w:hAnsi="宋体" w:cs="宋体"/>
          <w:kern w:val="0"/>
          <w:sz w:val="24"/>
          <w:u w:val="single"/>
          <w:lang w:val="zh-CN"/>
        </w:rPr>
        <w:t>（产品名称</w:t>
      </w:r>
      <w:r>
        <w:rPr>
          <w:rFonts w:hint="eastAsia" w:ascii="宋体" w:hAnsi="宋体" w:cs="宋体"/>
          <w:kern w:val="0"/>
          <w:sz w:val="24"/>
          <w:u w:val="single"/>
        </w:rPr>
        <w:t>2</w:t>
      </w:r>
      <w:r>
        <w:rPr>
          <w:rFonts w:hint="eastAsia" w:ascii="宋体" w:hAnsi="宋体" w:cs="宋体"/>
          <w:kern w:val="0"/>
          <w:sz w:val="24"/>
          <w:u w:val="single"/>
          <w:lang w:val="zh-CN"/>
        </w:rPr>
        <w:t>）</w:t>
      </w:r>
      <w:r>
        <w:rPr>
          <w:rFonts w:hint="eastAsia" w:ascii="宋体" w:hAnsi="宋体" w:cs="宋体"/>
          <w:kern w:val="0"/>
          <w:sz w:val="24"/>
          <w:vertAlign w:val="superscript"/>
          <w:lang w:val="zh-CN"/>
        </w:rPr>
        <w:t>【</w:t>
      </w:r>
      <w:r>
        <w:rPr>
          <w:rFonts w:hint="eastAsia" w:ascii="宋体" w:hAnsi="宋体" w:cs="宋体"/>
          <w:kern w:val="0"/>
          <w:sz w:val="24"/>
          <w:vertAlign w:val="superscript"/>
        </w:rPr>
        <w:t>1</w:t>
      </w:r>
      <w:r>
        <w:rPr>
          <w:rFonts w:hint="eastAsia" w:ascii="宋体" w:hAnsi="宋体" w:cs="宋体"/>
          <w:kern w:val="0"/>
          <w:sz w:val="24"/>
          <w:vertAlign w:val="superscript"/>
          <w:lang w:val="zh-CN"/>
        </w:rPr>
        <w:t>】</w:t>
      </w:r>
      <w:r>
        <w:rPr>
          <w:rFonts w:hint="eastAsia" w:ascii="宋体" w:hAnsi="宋体" w:cs="宋体"/>
          <w:kern w:val="0"/>
          <w:sz w:val="24"/>
          <w:lang w:val="zh-CN"/>
        </w:rPr>
        <w:t>，生产厂为</w:t>
      </w:r>
      <w:r>
        <w:rPr>
          <w:rFonts w:hint="eastAsia" w:ascii="宋体" w:hAnsi="宋体" w:cs="宋体"/>
          <w:kern w:val="0"/>
          <w:sz w:val="24"/>
          <w:u w:val="single"/>
          <w:lang w:val="zh-CN"/>
        </w:rPr>
        <w:t>（厂名）</w:t>
      </w:r>
      <w:r>
        <w:rPr>
          <w:rFonts w:hint="eastAsia" w:ascii="宋体" w:hAnsi="宋体" w:cs="宋体"/>
          <w:kern w:val="0"/>
          <w:sz w:val="24"/>
          <w:vertAlign w:val="superscript"/>
          <w:lang w:val="zh-CN"/>
        </w:rPr>
        <w:t>【</w:t>
      </w:r>
      <w:r>
        <w:rPr>
          <w:rFonts w:hint="eastAsia" w:ascii="宋体" w:hAnsi="宋体" w:cs="宋体"/>
          <w:kern w:val="0"/>
          <w:sz w:val="24"/>
          <w:vertAlign w:val="superscript"/>
        </w:rPr>
        <w:t>2</w:t>
      </w:r>
      <w:r>
        <w:rPr>
          <w:rFonts w:hint="eastAsia" w:ascii="宋体" w:hAnsi="宋体" w:cs="宋体"/>
          <w:kern w:val="0"/>
          <w:sz w:val="24"/>
          <w:vertAlign w:val="superscript"/>
          <w:lang w:val="zh-CN"/>
        </w:rPr>
        <w:t>】</w:t>
      </w:r>
      <w:r>
        <w:rPr>
          <w:rFonts w:hint="eastAsia" w:ascii="宋体" w:hAnsi="宋体" w:cs="宋体"/>
          <w:kern w:val="0"/>
          <w:sz w:val="24"/>
          <w:lang w:val="zh-CN"/>
        </w:rPr>
        <w:t>，厂址为</w:t>
      </w:r>
      <w:r>
        <w:rPr>
          <w:rFonts w:hint="eastAsia" w:ascii="宋体" w:hAnsi="宋体" w:cs="宋体"/>
          <w:kern w:val="0"/>
          <w:sz w:val="24"/>
          <w:u w:val="single"/>
          <w:lang w:val="zh-CN"/>
        </w:rPr>
        <w:t>（生产厂址）</w:t>
      </w:r>
      <w:r>
        <w:rPr>
          <w:rFonts w:hint="eastAsia" w:ascii="宋体" w:hAnsi="宋体" w:cs="宋体"/>
          <w:kern w:val="0"/>
          <w:sz w:val="24"/>
          <w:lang w:val="zh-CN"/>
        </w:rPr>
        <w:t>。</w:t>
      </w:r>
    </w:p>
    <w:p w14:paraId="36DDDB3D">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rPr>
        <w:t>6</w:t>
      </w:r>
      <w:r>
        <w:rPr>
          <w:rFonts w:hint="eastAsia" w:ascii="宋体" w:hAnsi="宋体" w:cs="宋体"/>
          <w:kern w:val="0"/>
          <w:sz w:val="24"/>
          <w:lang w:val="zh-CN"/>
        </w:rPr>
        <w:t>.</w:t>
      </w:r>
      <w:r>
        <w:rPr>
          <w:rFonts w:hint="eastAsia" w:ascii="宋体" w:hAnsi="宋体" w:cs="宋体"/>
          <w:kern w:val="0"/>
          <w:sz w:val="24"/>
          <w:u w:val="single"/>
          <w:lang w:val="zh-CN"/>
        </w:rPr>
        <w:t>（产品名称</w:t>
      </w:r>
      <w:r>
        <w:rPr>
          <w:rFonts w:hint="eastAsia" w:ascii="宋体" w:hAnsi="宋体" w:cs="宋体"/>
          <w:kern w:val="0"/>
          <w:sz w:val="24"/>
          <w:u w:val="single"/>
        </w:rPr>
        <w:t>2</w:t>
      </w:r>
      <w:r>
        <w:rPr>
          <w:rFonts w:hint="eastAsia" w:ascii="宋体" w:hAnsi="宋体" w:cs="宋体"/>
          <w:kern w:val="0"/>
          <w:sz w:val="24"/>
          <w:u w:val="single"/>
          <w:lang w:val="zh-CN"/>
        </w:rPr>
        <w:t>）</w:t>
      </w:r>
      <w:r>
        <w:rPr>
          <w:rFonts w:hint="eastAsia" w:ascii="宋体" w:hAnsi="宋体" w:cs="宋体"/>
          <w:kern w:val="0"/>
          <w:sz w:val="24"/>
          <w:vertAlign w:val="superscript"/>
          <w:lang w:val="zh-CN"/>
        </w:rPr>
        <w:t>【</w:t>
      </w:r>
      <w:r>
        <w:rPr>
          <w:rFonts w:hint="eastAsia" w:ascii="宋体" w:hAnsi="宋体" w:cs="宋体"/>
          <w:kern w:val="0"/>
          <w:sz w:val="24"/>
          <w:vertAlign w:val="superscript"/>
        </w:rPr>
        <w:t>1</w:t>
      </w:r>
      <w:r>
        <w:rPr>
          <w:rFonts w:hint="eastAsia" w:ascii="宋体" w:hAnsi="宋体" w:cs="宋体"/>
          <w:kern w:val="0"/>
          <w:sz w:val="24"/>
          <w:vertAlign w:val="superscript"/>
          <w:lang w:val="zh-CN"/>
        </w:rPr>
        <w:t>】</w:t>
      </w:r>
      <w:r>
        <w:rPr>
          <w:rFonts w:hint="eastAsia" w:ascii="宋体" w:hAnsi="宋体" w:cs="宋体"/>
          <w:kern w:val="0"/>
          <w:sz w:val="24"/>
          <w:lang w:val="zh-CN"/>
        </w:rPr>
        <w:t>，生产厂为</w:t>
      </w:r>
      <w:r>
        <w:rPr>
          <w:rFonts w:hint="eastAsia" w:ascii="宋体" w:hAnsi="宋体" w:cs="宋体"/>
          <w:kern w:val="0"/>
          <w:sz w:val="24"/>
          <w:u w:val="single"/>
          <w:lang w:val="zh-CN"/>
        </w:rPr>
        <w:t>（厂名）</w:t>
      </w:r>
      <w:r>
        <w:rPr>
          <w:rFonts w:hint="eastAsia" w:ascii="宋体" w:hAnsi="宋体" w:cs="宋体"/>
          <w:kern w:val="0"/>
          <w:sz w:val="24"/>
          <w:vertAlign w:val="superscript"/>
          <w:lang w:val="zh-CN"/>
        </w:rPr>
        <w:t>【</w:t>
      </w:r>
      <w:r>
        <w:rPr>
          <w:rFonts w:hint="eastAsia" w:ascii="宋体" w:hAnsi="宋体" w:cs="宋体"/>
          <w:kern w:val="0"/>
          <w:sz w:val="24"/>
          <w:vertAlign w:val="superscript"/>
        </w:rPr>
        <w:t>2</w:t>
      </w:r>
      <w:r>
        <w:rPr>
          <w:rFonts w:hint="eastAsia" w:ascii="宋体" w:hAnsi="宋体" w:cs="宋体"/>
          <w:kern w:val="0"/>
          <w:sz w:val="24"/>
          <w:vertAlign w:val="superscript"/>
          <w:lang w:val="zh-CN"/>
        </w:rPr>
        <w:t>】</w:t>
      </w:r>
      <w:r>
        <w:rPr>
          <w:rFonts w:hint="eastAsia" w:ascii="宋体" w:hAnsi="宋体" w:cs="宋体"/>
          <w:kern w:val="0"/>
          <w:sz w:val="24"/>
          <w:lang w:val="zh-CN"/>
        </w:rPr>
        <w:t>，厂址为</w:t>
      </w:r>
      <w:r>
        <w:rPr>
          <w:rFonts w:hint="eastAsia" w:ascii="宋体" w:hAnsi="宋体" w:cs="宋体"/>
          <w:kern w:val="0"/>
          <w:sz w:val="24"/>
          <w:u w:val="single"/>
          <w:lang w:val="zh-CN"/>
        </w:rPr>
        <w:t>（生产厂址）</w:t>
      </w:r>
      <w:r>
        <w:rPr>
          <w:rFonts w:hint="eastAsia" w:ascii="宋体" w:hAnsi="宋体" w:cs="宋体"/>
          <w:kern w:val="0"/>
          <w:sz w:val="24"/>
          <w:lang w:val="zh-CN"/>
        </w:rPr>
        <w:t>。</w:t>
      </w:r>
    </w:p>
    <w:p w14:paraId="0C7FF71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rPr>
        <w:t>7</w:t>
      </w:r>
      <w:r>
        <w:rPr>
          <w:rFonts w:hint="eastAsia" w:ascii="宋体" w:hAnsi="宋体" w:cs="宋体"/>
          <w:kern w:val="0"/>
          <w:sz w:val="24"/>
          <w:lang w:val="zh-CN"/>
        </w:rPr>
        <w:t>.</w:t>
      </w:r>
      <w:r>
        <w:rPr>
          <w:rFonts w:hint="eastAsia" w:ascii="宋体" w:hAnsi="宋体" w:cs="宋体"/>
          <w:kern w:val="0"/>
          <w:sz w:val="24"/>
          <w:u w:val="single"/>
          <w:lang w:val="zh-CN"/>
        </w:rPr>
        <w:t>（产品名称</w:t>
      </w:r>
      <w:r>
        <w:rPr>
          <w:rFonts w:hint="eastAsia" w:ascii="宋体" w:hAnsi="宋体" w:cs="宋体"/>
          <w:kern w:val="0"/>
          <w:sz w:val="24"/>
          <w:u w:val="single"/>
        </w:rPr>
        <w:t>2</w:t>
      </w:r>
      <w:r>
        <w:rPr>
          <w:rFonts w:hint="eastAsia" w:ascii="宋体" w:hAnsi="宋体" w:cs="宋体"/>
          <w:kern w:val="0"/>
          <w:sz w:val="24"/>
          <w:u w:val="single"/>
          <w:lang w:val="zh-CN"/>
        </w:rPr>
        <w:t>）</w:t>
      </w:r>
      <w:r>
        <w:rPr>
          <w:rFonts w:hint="eastAsia" w:ascii="宋体" w:hAnsi="宋体" w:cs="宋体"/>
          <w:kern w:val="0"/>
          <w:sz w:val="24"/>
          <w:vertAlign w:val="superscript"/>
          <w:lang w:val="zh-CN"/>
        </w:rPr>
        <w:t>【</w:t>
      </w:r>
      <w:r>
        <w:rPr>
          <w:rFonts w:hint="eastAsia" w:ascii="宋体" w:hAnsi="宋体" w:cs="宋体"/>
          <w:kern w:val="0"/>
          <w:sz w:val="24"/>
          <w:vertAlign w:val="superscript"/>
        </w:rPr>
        <w:t>1</w:t>
      </w:r>
      <w:r>
        <w:rPr>
          <w:rFonts w:hint="eastAsia" w:ascii="宋体" w:hAnsi="宋体" w:cs="宋体"/>
          <w:kern w:val="0"/>
          <w:sz w:val="24"/>
          <w:vertAlign w:val="superscript"/>
          <w:lang w:val="zh-CN"/>
        </w:rPr>
        <w:t>】</w:t>
      </w:r>
      <w:r>
        <w:rPr>
          <w:rFonts w:hint="eastAsia" w:ascii="宋体" w:hAnsi="宋体" w:cs="宋体"/>
          <w:kern w:val="0"/>
          <w:sz w:val="24"/>
          <w:lang w:val="zh-CN"/>
        </w:rPr>
        <w:t>，生产厂为</w:t>
      </w:r>
      <w:r>
        <w:rPr>
          <w:rFonts w:hint="eastAsia" w:ascii="宋体" w:hAnsi="宋体" w:cs="宋体"/>
          <w:kern w:val="0"/>
          <w:sz w:val="24"/>
          <w:u w:val="single"/>
          <w:lang w:val="zh-CN"/>
        </w:rPr>
        <w:t>（厂名）</w:t>
      </w:r>
      <w:r>
        <w:rPr>
          <w:rFonts w:hint="eastAsia" w:ascii="宋体" w:hAnsi="宋体" w:cs="宋体"/>
          <w:kern w:val="0"/>
          <w:sz w:val="24"/>
          <w:vertAlign w:val="superscript"/>
          <w:lang w:val="zh-CN"/>
        </w:rPr>
        <w:t>【</w:t>
      </w:r>
      <w:r>
        <w:rPr>
          <w:rFonts w:hint="eastAsia" w:ascii="宋体" w:hAnsi="宋体" w:cs="宋体"/>
          <w:kern w:val="0"/>
          <w:sz w:val="24"/>
          <w:vertAlign w:val="superscript"/>
        </w:rPr>
        <w:t>2</w:t>
      </w:r>
      <w:r>
        <w:rPr>
          <w:rFonts w:hint="eastAsia" w:ascii="宋体" w:hAnsi="宋体" w:cs="宋体"/>
          <w:kern w:val="0"/>
          <w:sz w:val="24"/>
          <w:vertAlign w:val="superscript"/>
          <w:lang w:val="zh-CN"/>
        </w:rPr>
        <w:t>】</w:t>
      </w:r>
      <w:r>
        <w:rPr>
          <w:rFonts w:hint="eastAsia" w:ascii="宋体" w:hAnsi="宋体" w:cs="宋体"/>
          <w:kern w:val="0"/>
          <w:sz w:val="24"/>
          <w:lang w:val="zh-CN"/>
        </w:rPr>
        <w:t>，厂址为</w:t>
      </w:r>
      <w:r>
        <w:rPr>
          <w:rFonts w:hint="eastAsia" w:ascii="宋体" w:hAnsi="宋体" w:cs="宋体"/>
          <w:kern w:val="0"/>
          <w:sz w:val="24"/>
          <w:u w:val="single"/>
          <w:lang w:val="zh-CN"/>
        </w:rPr>
        <w:t>（生产厂址）</w:t>
      </w:r>
      <w:r>
        <w:rPr>
          <w:rFonts w:hint="eastAsia" w:ascii="宋体" w:hAnsi="宋体" w:cs="宋体"/>
          <w:kern w:val="0"/>
          <w:sz w:val="24"/>
          <w:lang w:val="zh-CN"/>
        </w:rPr>
        <w:t>。</w:t>
      </w:r>
    </w:p>
    <w:p w14:paraId="5A7B164B">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rPr>
        <w:t>8</w:t>
      </w:r>
      <w:r>
        <w:rPr>
          <w:rFonts w:hint="eastAsia" w:ascii="宋体" w:hAnsi="宋体" w:cs="宋体"/>
          <w:kern w:val="0"/>
          <w:sz w:val="24"/>
          <w:lang w:val="zh-CN"/>
        </w:rPr>
        <w:t>.</w:t>
      </w:r>
      <w:r>
        <w:rPr>
          <w:rFonts w:hint="eastAsia" w:ascii="宋体" w:hAnsi="宋体" w:cs="宋体"/>
          <w:kern w:val="0"/>
          <w:sz w:val="24"/>
          <w:u w:val="single"/>
          <w:lang w:val="zh-CN"/>
        </w:rPr>
        <w:t>（产品名称</w:t>
      </w:r>
      <w:r>
        <w:rPr>
          <w:rFonts w:hint="eastAsia" w:ascii="宋体" w:hAnsi="宋体" w:cs="宋体"/>
          <w:kern w:val="0"/>
          <w:sz w:val="24"/>
          <w:u w:val="single"/>
        </w:rPr>
        <w:t>2</w:t>
      </w:r>
      <w:r>
        <w:rPr>
          <w:rFonts w:hint="eastAsia" w:ascii="宋体" w:hAnsi="宋体" w:cs="宋体"/>
          <w:kern w:val="0"/>
          <w:sz w:val="24"/>
          <w:u w:val="single"/>
          <w:lang w:val="zh-CN"/>
        </w:rPr>
        <w:t>）</w:t>
      </w:r>
      <w:r>
        <w:rPr>
          <w:rFonts w:hint="eastAsia" w:ascii="宋体" w:hAnsi="宋体" w:cs="宋体"/>
          <w:kern w:val="0"/>
          <w:sz w:val="24"/>
          <w:vertAlign w:val="superscript"/>
          <w:lang w:val="zh-CN"/>
        </w:rPr>
        <w:t>【</w:t>
      </w:r>
      <w:r>
        <w:rPr>
          <w:rFonts w:hint="eastAsia" w:ascii="宋体" w:hAnsi="宋体" w:cs="宋体"/>
          <w:kern w:val="0"/>
          <w:sz w:val="24"/>
          <w:vertAlign w:val="superscript"/>
        </w:rPr>
        <w:t>1</w:t>
      </w:r>
      <w:r>
        <w:rPr>
          <w:rFonts w:hint="eastAsia" w:ascii="宋体" w:hAnsi="宋体" w:cs="宋体"/>
          <w:kern w:val="0"/>
          <w:sz w:val="24"/>
          <w:vertAlign w:val="superscript"/>
          <w:lang w:val="zh-CN"/>
        </w:rPr>
        <w:t>】</w:t>
      </w:r>
      <w:r>
        <w:rPr>
          <w:rFonts w:hint="eastAsia" w:ascii="宋体" w:hAnsi="宋体" w:cs="宋体"/>
          <w:kern w:val="0"/>
          <w:sz w:val="24"/>
          <w:lang w:val="zh-CN"/>
        </w:rPr>
        <w:t>，生产厂为</w:t>
      </w:r>
      <w:r>
        <w:rPr>
          <w:rFonts w:hint="eastAsia" w:ascii="宋体" w:hAnsi="宋体" w:cs="宋体"/>
          <w:kern w:val="0"/>
          <w:sz w:val="24"/>
          <w:u w:val="single"/>
          <w:lang w:val="zh-CN"/>
        </w:rPr>
        <w:t>（厂名）</w:t>
      </w:r>
      <w:r>
        <w:rPr>
          <w:rFonts w:hint="eastAsia" w:ascii="宋体" w:hAnsi="宋体" w:cs="宋体"/>
          <w:kern w:val="0"/>
          <w:sz w:val="24"/>
          <w:vertAlign w:val="superscript"/>
          <w:lang w:val="zh-CN"/>
        </w:rPr>
        <w:t>【</w:t>
      </w:r>
      <w:r>
        <w:rPr>
          <w:rFonts w:hint="eastAsia" w:ascii="宋体" w:hAnsi="宋体" w:cs="宋体"/>
          <w:kern w:val="0"/>
          <w:sz w:val="24"/>
          <w:vertAlign w:val="superscript"/>
        </w:rPr>
        <w:t>2</w:t>
      </w:r>
      <w:r>
        <w:rPr>
          <w:rFonts w:hint="eastAsia" w:ascii="宋体" w:hAnsi="宋体" w:cs="宋体"/>
          <w:kern w:val="0"/>
          <w:sz w:val="24"/>
          <w:vertAlign w:val="superscript"/>
          <w:lang w:val="zh-CN"/>
        </w:rPr>
        <w:t>】</w:t>
      </w:r>
      <w:r>
        <w:rPr>
          <w:rFonts w:hint="eastAsia" w:ascii="宋体" w:hAnsi="宋体" w:cs="宋体"/>
          <w:kern w:val="0"/>
          <w:sz w:val="24"/>
          <w:lang w:val="zh-CN"/>
        </w:rPr>
        <w:t>，厂址为</w:t>
      </w:r>
      <w:r>
        <w:rPr>
          <w:rFonts w:hint="eastAsia" w:ascii="宋体" w:hAnsi="宋体" w:cs="宋体"/>
          <w:kern w:val="0"/>
          <w:sz w:val="24"/>
          <w:u w:val="single"/>
          <w:lang w:val="zh-CN"/>
        </w:rPr>
        <w:t>（生产厂址）</w:t>
      </w:r>
      <w:r>
        <w:rPr>
          <w:rFonts w:hint="eastAsia" w:ascii="宋体" w:hAnsi="宋体" w:cs="宋体"/>
          <w:kern w:val="0"/>
          <w:sz w:val="24"/>
          <w:lang w:val="zh-CN"/>
        </w:rPr>
        <w:t>。</w:t>
      </w:r>
    </w:p>
    <w:p w14:paraId="066AE24D">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rPr>
        <w:t>9</w:t>
      </w:r>
      <w:r>
        <w:rPr>
          <w:rFonts w:hint="eastAsia" w:ascii="宋体" w:hAnsi="宋体" w:cs="宋体"/>
          <w:kern w:val="0"/>
          <w:sz w:val="24"/>
          <w:lang w:val="zh-CN"/>
        </w:rPr>
        <w:t>.</w:t>
      </w:r>
      <w:r>
        <w:rPr>
          <w:rFonts w:hint="eastAsia" w:ascii="宋体" w:hAnsi="宋体" w:cs="宋体"/>
          <w:kern w:val="0"/>
          <w:sz w:val="24"/>
          <w:u w:val="single"/>
          <w:lang w:val="zh-CN"/>
        </w:rPr>
        <w:t>（产品名称</w:t>
      </w:r>
      <w:r>
        <w:rPr>
          <w:rFonts w:hint="eastAsia" w:ascii="宋体" w:hAnsi="宋体" w:cs="宋体"/>
          <w:kern w:val="0"/>
          <w:sz w:val="24"/>
          <w:u w:val="single"/>
        </w:rPr>
        <w:t>2</w:t>
      </w:r>
      <w:r>
        <w:rPr>
          <w:rFonts w:hint="eastAsia" w:ascii="宋体" w:hAnsi="宋体" w:cs="宋体"/>
          <w:kern w:val="0"/>
          <w:sz w:val="24"/>
          <w:u w:val="single"/>
          <w:lang w:val="zh-CN"/>
        </w:rPr>
        <w:t>）</w:t>
      </w:r>
      <w:r>
        <w:rPr>
          <w:rFonts w:hint="eastAsia" w:ascii="宋体" w:hAnsi="宋体" w:cs="宋体"/>
          <w:kern w:val="0"/>
          <w:sz w:val="24"/>
          <w:vertAlign w:val="superscript"/>
          <w:lang w:val="zh-CN"/>
        </w:rPr>
        <w:t>【</w:t>
      </w:r>
      <w:r>
        <w:rPr>
          <w:rFonts w:hint="eastAsia" w:ascii="宋体" w:hAnsi="宋体" w:cs="宋体"/>
          <w:kern w:val="0"/>
          <w:sz w:val="24"/>
          <w:vertAlign w:val="superscript"/>
        </w:rPr>
        <w:t>1</w:t>
      </w:r>
      <w:r>
        <w:rPr>
          <w:rFonts w:hint="eastAsia" w:ascii="宋体" w:hAnsi="宋体" w:cs="宋体"/>
          <w:kern w:val="0"/>
          <w:sz w:val="24"/>
          <w:vertAlign w:val="superscript"/>
          <w:lang w:val="zh-CN"/>
        </w:rPr>
        <w:t>】</w:t>
      </w:r>
      <w:r>
        <w:rPr>
          <w:rFonts w:hint="eastAsia" w:ascii="宋体" w:hAnsi="宋体" w:cs="宋体"/>
          <w:kern w:val="0"/>
          <w:sz w:val="24"/>
          <w:lang w:val="zh-CN"/>
        </w:rPr>
        <w:t>，生产厂为</w:t>
      </w:r>
      <w:r>
        <w:rPr>
          <w:rFonts w:hint="eastAsia" w:ascii="宋体" w:hAnsi="宋体" w:cs="宋体"/>
          <w:kern w:val="0"/>
          <w:sz w:val="24"/>
          <w:u w:val="single"/>
          <w:lang w:val="zh-CN"/>
        </w:rPr>
        <w:t>（厂名）</w:t>
      </w:r>
      <w:r>
        <w:rPr>
          <w:rFonts w:hint="eastAsia" w:ascii="宋体" w:hAnsi="宋体" w:cs="宋体"/>
          <w:kern w:val="0"/>
          <w:sz w:val="24"/>
          <w:vertAlign w:val="superscript"/>
          <w:lang w:val="zh-CN"/>
        </w:rPr>
        <w:t>【</w:t>
      </w:r>
      <w:r>
        <w:rPr>
          <w:rFonts w:hint="eastAsia" w:ascii="宋体" w:hAnsi="宋体" w:cs="宋体"/>
          <w:kern w:val="0"/>
          <w:sz w:val="24"/>
          <w:vertAlign w:val="superscript"/>
        </w:rPr>
        <w:t>2</w:t>
      </w:r>
      <w:r>
        <w:rPr>
          <w:rFonts w:hint="eastAsia" w:ascii="宋体" w:hAnsi="宋体" w:cs="宋体"/>
          <w:kern w:val="0"/>
          <w:sz w:val="24"/>
          <w:vertAlign w:val="superscript"/>
          <w:lang w:val="zh-CN"/>
        </w:rPr>
        <w:t>】</w:t>
      </w:r>
      <w:r>
        <w:rPr>
          <w:rFonts w:hint="eastAsia" w:ascii="宋体" w:hAnsi="宋体" w:cs="宋体"/>
          <w:kern w:val="0"/>
          <w:sz w:val="24"/>
          <w:lang w:val="zh-CN"/>
        </w:rPr>
        <w:t>，厂址为</w:t>
      </w:r>
      <w:r>
        <w:rPr>
          <w:rFonts w:hint="eastAsia" w:ascii="宋体" w:hAnsi="宋体" w:cs="宋体"/>
          <w:kern w:val="0"/>
          <w:sz w:val="24"/>
          <w:u w:val="single"/>
          <w:lang w:val="zh-CN"/>
        </w:rPr>
        <w:t>（生产厂址）</w:t>
      </w:r>
      <w:r>
        <w:rPr>
          <w:rFonts w:hint="eastAsia" w:ascii="宋体" w:hAnsi="宋体" w:cs="宋体"/>
          <w:kern w:val="0"/>
          <w:sz w:val="24"/>
          <w:lang w:val="zh-CN"/>
        </w:rPr>
        <w:t>。</w:t>
      </w:r>
    </w:p>
    <w:p w14:paraId="4E0AE6B5">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rPr>
        <w:t>10</w:t>
      </w:r>
      <w:r>
        <w:rPr>
          <w:rFonts w:hint="eastAsia" w:ascii="宋体" w:hAnsi="宋体" w:cs="宋体"/>
          <w:kern w:val="0"/>
          <w:sz w:val="24"/>
          <w:lang w:val="zh-CN"/>
        </w:rPr>
        <w:t>.</w:t>
      </w:r>
      <w:r>
        <w:rPr>
          <w:rFonts w:hint="eastAsia" w:ascii="宋体" w:hAnsi="宋体" w:cs="宋体"/>
          <w:kern w:val="0"/>
          <w:sz w:val="24"/>
          <w:u w:val="single"/>
          <w:lang w:val="zh-CN"/>
        </w:rPr>
        <w:t>（产品名称</w:t>
      </w:r>
      <w:r>
        <w:rPr>
          <w:rFonts w:hint="eastAsia" w:ascii="宋体" w:hAnsi="宋体" w:cs="宋体"/>
          <w:kern w:val="0"/>
          <w:sz w:val="24"/>
          <w:u w:val="single"/>
        </w:rPr>
        <w:t>2</w:t>
      </w:r>
      <w:r>
        <w:rPr>
          <w:rFonts w:hint="eastAsia" w:ascii="宋体" w:hAnsi="宋体" w:cs="宋体"/>
          <w:kern w:val="0"/>
          <w:sz w:val="24"/>
          <w:u w:val="single"/>
          <w:lang w:val="zh-CN"/>
        </w:rPr>
        <w:t>）</w:t>
      </w:r>
      <w:r>
        <w:rPr>
          <w:rFonts w:hint="eastAsia" w:ascii="宋体" w:hAnsi="宋体" w:cs="宋体"/>
          <w:kern w:val="0"/>
          <w:sz w:val="24"/>
          <w:vertAlign w:val="superscript"/>
          <w:lang w:val="zh-CN"/>
        </w:rPr>
        <w:t>【</w:t>
      </w:r>
      <w:r>
        <w:rPr>
          <w:rFonts w:hint="eastAsia" w:ascii="宋体" w:hAnsi="宋体" w:cs="宋体"/>
          <w:kern w:val="0"/>
          <w:sz w:val="24"/>
          <w:vertAlign w:val="superscript"/>
        </w:rPr>
        <w:t>1</w:t>
      </w:r>
      <w:r>
        <w:rPr>
          <w:rFonts w:hint="eastAsia" w:ascii="宋体" w:hAnsi="宋体" w:cs="宋体"/>
          <w:kern w:val="0"/>
          <w:sz w:val="24"/>
          <w:vertAlign w:val="superscript"/>
          <w:lang w:val="zh-CN"/>
        </w:rPr>
        <w:t>】</w:t>
      </w:r>
      <w:r>
        <w:rPr>
          <w:rFonts w:hint="eastAsia" w:ascii="宋体" w:hAnsi="宋体" w:cs="宋体"/>
          <w:kern w:val="0"/>
          <w:sz w:val="24"/>
          <w:lang w:val="zh-CN"/>
        </w:rPr>
        <w:t>，生产厂为</w:t>
      </w:r>
      <w:r>
        <w:rPr>
          <w:rFonts w:hint="eastAsia" w:ascii="宋体" w:hAnsi="宋体" w:cs="宋体"/>
          <w:kern w:val="0"/>
          <w:sz w:val="24"/>
          <w:u w:val="single"/>
          <w:lang w:val="zh-CN"/>
        </w:rPr>
        <w:t>（厂名）</w:t>
      </w:r>
      <w:r>
        <w:rPr>
          <w:rFonts w:hint="eastAsia" w:ascii="宋体" w:hAnsi="宋体" w:cs="宋体"/>
          <w:kern w:val="0"/>
          <w:sz w:val="24"/>
          <w:vertAlign w:val="superscript"/>
          <w:lang w:val="zh-CN"/>
        </w:rPr>
        <w:t>【</w:t>
      </w:r>
      <w:r>
        <w:rPr>
          <w:rFonts w:hint="eastAsia" w:ascii="宋体" w:hAnsi="宋体" w:cs="宋体"/>
          <w:kern w:val="0"/>
          <w:sz w:val="24"/>
          <w:vertAlign w:val="superscript"/>
        </w:rPr>
        <w:t>2</w:t>
      </w:r>
      <w:r>
        <w:rPr>
          <w:rFonts w:hint="eastAsia" w:ascii="宋体" w:hAnsi="宋体" w:cs="宋体"/>
          <w:kern w:val="0"/>
          <w:sz w:val="24"/>
          <w:vertAlign w:val="superscript"/>
          <w:lang w:val="zh-CN"/>
        </w:rPr>
        <w:t>】</w:t>
      </w:r>
      <w:r>
        <w:rPr>
          <w:rFonts w:hint="eastAsia" w:ascii="宋体" w:hAnsi="宋体" w:cs="宋体"/>
          <w:kern w:val="0"/>
          <w:sz w:val="24"/>
          <w:lang w:val="zh-CN"/>
        </w:rPr>
        <w:t>，厂址为</w:t>
      </w:r>
      <w:r>
        <w:rPr>
          <w:rFonts w:hint="eastAsia" w:ascii="宋体" w:hAnsi="宋体" w:cs="宋体"/>
          <w:kern w:val="0"/>
          <w:sz w:val="24"/>
          <w:u w:val="single"/>
          <w:lang w:val="zh-CN"/>
        </w:rPr>
        <w:t>（生产厂址）</w:t>
      </w:r>
      <w:r>
        <w:rPr>
          <w:rFonts w:hint="eastAsia" w:ascii="宋体" w:hAnsi="宋体" w:cs="宋体"/>
          <w:kern w:val="0"/>
          <w:sz w:val="24"/>
          <w:lang w:val="zh-CN"/>
        </w:rPr>
        <w:t>。</w:t>
      </w:r>
    </w:p>
    <w:p w14:paraId="2A0FB1F1">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rPr>
        <w:t>11</w:t>
      </w:r>
      <w:r>
        <w:rPr>
          <w:rFonts w:hint="eastAsia" w:ascii="宋体" w:hAnsi="宋体" w:cs="宋体"/>
          <w:kern w:val="0"/>
          <w:sz w:val="24"/>
          <w:lang w:val="zh-CN"/>
        </w:rPr>
        <w:t>.</w:t>
      </w:r>
      <w:r>
        <w:rPr>
          <w:rFonts w:hint="eastAsia" w:ascii="宋体" w:hAnsi="宋体" w:cs="宋体"/>
          <w:kern w:val="0"/>
          <w:sz w:val="24"/>
          <w:u w:val="single"/>
          <w:lang w:val="zh-CN"/>
        </w:rPr>
        <w:t>（产品名称</w:t>
      </w:r>
      <w:r>
        <w:rPr>
          <w:rFonts w:hint="eastAsia" w:ascii="宋体" w:hAnsi="宋体" w:cs="宋体"/>
          <w:kern w:val="0"/>
          <w:sz w:val="24"/>
          <w:u w:val="single"/>
        </w:rPr>
        <w:t>2</w:t>
      </w:r>
      <w:r>
        <w:rPr>
          <w:rFonts w:hint="eastAsia" w:ascii="宋体" w:hAnsi="宋体" w:cs="宋体"/>
          <w:kern w:val="0"/>
          <w:sz w:val="24"/>
          <w:u w:val="single"/>
          <w:lang w:val="zh-CN"/>
        </w:rPr>
        <w:t>）</w:t>
      </w:r>
      <w:r>
        <w:rPr>
          <w:rFonts w:hint="eastAsia" w:ascii="宋体" w:hAnsi="宋体" w:cs="宋体"/>
          <w:kern w:val="0"/>
          <w:sz w:val="24"/>
          <w:vertAlign w:val="superscript"/>
          <w:lang w:val="zh-CN"/>
        </w:rPr>
        <w:t>【</w:t>
      </w:r>
      <w:r>
        <w:rPr>
          <w:rFonts w:hint="eastAsia" w:ascii="宋体" w:hAnsi="宋体" w:cs="宋体"/>
          <w:kern w:val="0"/>
          <w:sz w:val="24"/>
          <w:vertAlign w:val="superscript"/>
        </w:rPr>
        <w:t>1</w:t>
      </w:r>
      <w:r>
        <w:rPr>
          <w:rFonts w:hint="eastAsia" w:ascii="宋体" w:hAnsi="宋体" w:cs="宋体"/>
          <w:kern w:val="0"/>
          <w:sz w:val="24"/>
          <w:vertAlign w:val="superscript"/>
          <w:lang w:val="zh-CN"/>
        </w:rPr>
        <w:t>】</w:t>
      </w:r>
      <w:r>
        <w:rPr>
          <w:rFonts w:hint="eastAsia" w:ascii="宋体" w:hAnsi="宋体" w:cs="宋体"/>
          <w:kern w:val="0"/>
          <w:sz w:val="24"/>
          <w:lang w:val="zh-CN"/>
        </w:rPr>
        <w:t>，生产厂为</w:t>
      </w:r>
      <w:r>
        <w:rPr>
          <w:rFonts w:hint="eastAsia" w:ascii="宋体" w:hAnsi="宋体" w:cs="宋体"/>
          <w:kern w:val="0"/>
          <w:sz w:val="24"/>
          <w:u w:val="single"/>
          <w:lang w:val="zh-CN"/>
        </w:rPr>
        <w:t>（厂名）</w:t>
      </w:r>
      <w:r>
        <w:rPr>
          <w:rFonts w:hint="eastAsia" w:ascii="宋体" w:hAnsi="宋体" w:cs="宋体"/>
          <w:kern w:val="0"/>
          <w:sz w:val="24"/>
          <w:vertAlign w:val="superscript"/>
          <w:lang w:val="zh-CN"/>
        </w:rPr>
        <w:t>【</w:t>
      </w:r>
      <w:r>
        <w:rPr>
          <w:rFonts w:hint="eastAsia" w:ascii="宋体" w:hAnsi="宋体" w:cs="宋体"/>
          <w:kern w:val="0"/>
          <w:sz w:val="24"/>
          <w:vertAlign w:val="superscript"/>
        </w:rPr>
        <w:t>2</w:t>
      </w:r>
      <w:r>
        <w:rPr>
          <w:rFonts w:hint="eastAsia" w:ascii="宋体" w:hAnsi="宋体" w:cs="宋体"/>
          <w:kern w:val="0"/>
          <w:sz w:val="24"/>
          <w:vertAlign w:val="superscript"/>
          <w:lang w:val="zh-CN"/>
        </w:rPr>
        <w:t>】</w:t>
      </w:r>
      <w:r>
        <w:rPr>
          <w:rFonts w:hint="eastAsia" w:ascii="宋体" w:hAnsi="宋体" w:cs="宋体"/>
          <w:kern w:val="0"/>
          <w:sz w:val="24"/>
          <w:lang w:val="zh-CN"/>
        </w:rPr>
        <w:t>，厂址为</w:t>
      </w:r>
      <w:r>
        <w:rPr>
          <w:rFonts w:hint="eastAsia" w:ascii="宋体" w:hAnsi="宋体" w:cs="宋体"/>
          <w:kern w:val="0"/>
          <w:sz w:val="24"/>
          <w:u w:val="single"/>
          <w:lang w:val="zh-CN"/>
        </w:rPr>
        <w:t>（生产厂址）</w:t>
      </w:r>
      <w:r>
        <w:rPr>
          <w:rFonts w:hint="eastAsia" w:ascii="宋体" w:hAnsi="宋体" w:cs="宋体"/>
          <w:kern w:val="0"/>
          <w:sz w:val="24"/>
          <w:lang w:val="zh-CN"/>
        </w:rPr>
        <w:t>。</w:t>
      </w:r>
    </w:p>
    <w:p w14:paraId="0D9120E5">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rPr>
        <w:t>12</w:t>
      </w:r>
      <w:r>
        <w:rPr>
          <w:rFonts w:hint="eastAsia" w:ascii="宋体" w:hAnsi="宋体" w:cs="宋体"/>
          <w:kern w:val="0"/>
          <w:sz w:val="24"/>
          <w:lang w:val="zh-CN"/>
        </w:rPr>
        <w:t>.</w:t>
      </w:r>
      <w:r>
        <w:rPr>
          <w:rFonts w:hint="eastAsia" w:ascii="宋体" w:hAnsi="宋体" w:cs="宋体"/>
          <w:kern w:val="0"/>
          <w:sz w:val="24"/>
          <w:u w:val="single"/>
          <w:lang w:val="zh-CN"/>
        </w:rPr>
        <w:t>（产品名称</w:t>
      </w:r>
      <w:r>
        <w:rPr>
          <w:rFonts w:hint="eastAsia" w:ascii="宋体" w:hAnsi="宋体" w:cs="宋体"/>
          <w:kern w:val="0"/>
          <w:sz w:val="24"/>
          <w:u w:val="single"/>
        </w:rPr>
        <w:t>2</w:t>
      </w:r>
      <w:r>
        <w:rPr>
          <w:rFonts w:hint="eastAsia" w:ascii="宋体" w:hAnsi="宋体" w:cs="宋体"/>
          <w:kern w:val="0"/>
          <w:sz w:val="24"/>
          <w:u w:val="single"/>
          <w:lang w:val="zh-CN"/>
        </w:rPr>
        <w:t>）</w:t>
      </w:r>
      <w:r>
        <w:rPr>
          <w:rFonts w:hint="eastAsia" w:ascii="宋体" w:hAnsi="宋体" w:cs="宋体"/>
          <w:kern w:val="0"/>
          <w:sz w:val="24"/>
          <w:vertAlign w:val="superscript"/>
          <w:lang w:val="zh-CN"/>
        </w:rPr>
        <w:t>【</w:t>
      </w:r>
      <w:r>
        <w:rPr>
          <w:rFonts w:hint="eastAsia" w:ascii="宋体" w:hAnsi="宋体" w:cs="宋体"/>
          <w:kern w:val="0"/>
          <w:sz w:val="24"/>
          <w:vertAlign w:val="superscript"/>
        </w:rPr>
        <w:t>1</w:t>
      </w:r>
      <w:r>
        <w:rPr>
          <w:rFonts w:hint="eastAsia" w:ascii="宋体" w:hAnsi="宋体" w:cs="宋体"/>
          <w:kern w:val="0"/>
          <w:sz w:val="24"/>
          <w:vertAlign w:val="superscript"/>
          <w:lang w:val="zh-CN"/>
        </w:rPr>
        <w:t>】</w:t>
      </w:r>
      <w:r>
        <w:rPr>
          <w:rFonts w:hint="eastAsia" w:ascii="宋体" w:hAnsi="宋体" w:cs="宋体"/>
          <w:kern w:val="0"/>
          <w:sz w:val="24"/>
          <w:lang w:val="zh-CN"/>
        </w:rPr>
        <w:t>，生产厂为</w:t>
      </w:r>
      <w:r>
        <w:rPr>
          <w:rFonts w:hint="eastAsia" w:ascii="宋体" w:hAnsi="宋体" w:cs="宋体"/>
          <w:kern w:val="0"/>
          <w:sz w:val="24"/>
          <w:u w:val="single"/>
          <w:lang w:val="zh-CN"/>
        </w:rPr>
        <w:t>（厂名）</w:t>
      </w:r>
      <w:r>
        <w:rPr>
          <w:rFonts w:hint="eastAsia" w:ascii="宋体" w:hAnsi="宋体" w:cs="宋体"/>
          <w:kern w:val="0"/>
          <w:sz w:val="24"/>
          <w:vertAlign w:val="superscript"/>
          <w:lang w:val="zh-CN"/>
        </w:rPr>
        <w:t>【</w:t>
      </w:r>
      <w:r>
        <w:rPr>
          <w:rFonts w:hint="eastAsia" w:ascii="宋体" w:hAnsi="宋体" w:cs="宋体"/>
          <w:kern w:val="0"/>
          <w:sz w:val="24"/>
          <w:vertAlign w:val="superscript"/>
        </w:rPr>
        <w:t>2</w:t>
      </w:r>
      <w:r>
        <w:rPr>
          <w:rFonts w:hint="eastAsia" w:ascii="宋体" w:hAnsi="宋体" w:cs="宋体"/>
          <w:kern w:val="0"/>
          <w:sz w:val="24"/>
          <w:vertAlign w:val="superscript"/>
          <w:lang w:val="zh-CN"/>
        </w:rPr>
        <w:t>】</w:t>
      </w:r>
      <w:r>
        <w:rPr>
          <w:rFonts w:hint="eastAsia" w:ascii="宋体" w:hAnsi="宋体" w:cs="宋体"/>
          <w:kern w:val="0"/>
          <w:sz w:val="24"/>
          <w:lang w:val="zh-CN"/>
        </w:rPr>
        <w:t>，厂址为</w:t>
      </w:r>
      <w:r>
        <w:rPr>
          <w:rFonts w:hint="eastAsia" w:ascii="宋体" w:hAnsi="宋体" w:cs="宋体"/>
          <w:kern w:val="0"/>
          <w:sz w:val="24"/>
          <w:u w:val="single"/>
          <w:lang w:val="zh-CN"/>
        </w:rPr>
        <w:t>（生产厂址）</w:t>
      </w:r>
      <w:r>
        <w:rPr>
          <w:rFonts w:hint="eastAsia" w:ascii="宋体" w:hAnsi="宋体" w:cs="宋体"/>
          <w:kern w:val="0"/>
          <w:sz w:val="24"/>
          <w:lang w:val="zh-CN"/>
        </w:rPr>
        <w:t>。</w:t>
      </w:r>
    </w:p>
    <w:p w14:paraId="4381631B">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rPr>
        <w:t>13</w:t>
      </w:r>
      <w:r>
        <w:rPr>
          <w:rFonts w:hint="eastAsia" w:ascii="宋体" w:hAnsi="宋体" w:cs="宋体"/>
          <w:kern w:val="0"/>
          <w:sz w:val="24"/>
          <w:lang w:val="zh-CN"/>
        </w:rPr>
        <w:t>.</w:t>
      </w:r>
      <w:r>
        <w:rPr>
          <w:rFonts w:hint="eastAsia" w:ascii="宋体" w:hAnsi="宋体" w:cs="宋体"/>
          <w:kern w:val="0"/>
          <w:sz w:val="24"/>
          <w:u w:val="single"/>
          <w:lang w:val="zh-CN"/>
        </w:rPr>
        <w:t>（产品名称</w:t>
      </w:r>
      <w:r>
        <w:rPr>
          <w:rFonts w:hint="eastAsia" w:ascii="宋体" w:hAnsi="宋体" w:cs="宋体"/>
          <w:kern w:val="0"/>
          <w:sz w:val="24"/>
          <w:u w:val="single"/>
        </w:rPr>
        <w:t>2</w:t>
      </w:r>
      <w:r>
        <w:rPr>
          <w:rFonts w:hint="eastAsia" w:ascii="宋体" w:hAnsi="宋体" w:cs="宋体"/>
          <w:kern w:val="0"/>
          <w:sz w:val="24"/>
          <w:u w:val="single"/>
          <w:lang w:val="zh-CN"/>
        </w:rPr>
        <w:t>）</w:t>
      </w:r>
      <w:r>
        <w:rPr>
          <w:rFonts w:hint="eastAsia" w:ascii="宋体" w:hAnsi="宋体" w:cs="宋体"/>
          <w:kern w:val="0"/>
          <w:sz w:val="24"/>
          <w:vertAlign w:val="superscript"/>
          <w:lang w:val="zh-CN"/>
        </w:rPr>
        <w:t>【</w:t>
      </w:r>
      <w:r>
        <w:rPr>
          <w:rFonts w:hint="eastAsia" w:ascii="宋体" w:hAnsi="宋体" w:cs="宋体"/>
          <w:kern w:val="0"/>
          <w:sz w:val="24"/>
          <w:vertAlign w:val="superscript"/>
        </w:rPr>
        <w:t>1</w:t>
      </w:r>
      <w:r>
        <w:rPr>
          <w:rFonts w:hint="eastAsia" w:ascii="宋体" w:hAnsi="宋体" w:cs="宋体"/>
          <w:kern w:val="0"/>
          <w:sz w:val="24"/>
          <w:vertAlign w:val="superscript"/>
          <w:lang w:val="zh-CN"/>
        </w:rPr>
        <w:t>】</w:t>
      </w:r>
      <w:r>
        <w:rPr>
          <w:rFonts w:hint="eastAsia" w:ascii="宋体" w:hAnsi="宋体" w:cs="宋体"/>
          <w:kern w:val="0"/>
          <w:sz w:val="24"/>
          <w:lang w:val="zh-CN"/>
        </w:rPr>
        <w:t>，生产厂为</w:t>
      </w:r>
      <w:r>
        <w:rPr>
          <w:rFonts w:hint="eastAsia" w:ascii="宋体" w:hAnsi="宋体" w:cs="宋体"/>
          <w:kern w:val="0"/>
          <w:sz w:val="24"/>
          <w:u w:val="single"/>
          <w:lang w:val="zh-CN"/>
        </w:rPr>
        <w:t>（厂名）</w:t>
      </w:r>
      <w:r>
        <w:rPr>
          <w:rFonts w:hint="eastAsia" w:ascii="宋体" w:hAnsi="宋体" w:cs="宋体"/>
          <w:kern w:val="0"/>
          <w:sz w:val="24"/>
          <w:vertAlign w:val="superscript"/>
          <w:lang w:val="zh-CN"/>
        </w:rPr>
        <w:t>【</w:t>
      </w:r>
      <w:r>
        <w:rPr>
          <w:rFonts w:hint="eastAsia" w:ascii="宋体" w:hAnsi="宋体" w:cs="宋体"/>
          <w:kern w:val="0"/>
          <w:sz w:val="24"/>
          <w:vertAlign w:val="superscript"/>
        </w:rPr>
        <w:t>2</w:t>
      </w:r>
      <w:r>
        <w:rPr>
          <w:rFonts w:hint="eastAsia" w:ascii="宋体" w:hAnsi="宋体" w:cs="宋体"/>
          <w:kern w:val="0"/>
          <w:sz w:val="24"/>
          <w:vertAlign w:val="superscript"/>
          <w:lang w:val="zh-CN"/>
        </w:rPr>
        <w:t>】</w:t>
      </w:r>
      <w:r>
        <w:rPr>
          <w:rFonts w:hint="eastAsia" w:ascii="宋体" w:hAnsi="宋体" w:cs="宋体"/>
          <w:kern w:val="0"/>
          <w:sz w:val="24"/>
          <w:lang w:val="zh-CN"/>
        </w:rPr>
        <w:t>，厂址为</w:t>
      </w:r>
      <w:r>
        <w:rPr>
          <w:rFonts w:hint="eastAsia" w:ascii="宋体" w:hAnsi="宋体" w:cs="宋体"/>
          <w:kern w:val="0"/>
          <w:sz w:val="24"/>
          <w:u w:val="single"/>
          <w:lang w:val="zh-CN"/>
        </w:rPr>
        <w:t>（生产厂址）</w:t>
      </w:r>
      <w:r>
        <w:rPr>
          <w:rFonts w:hint="eastAsia" w:ascii="宋体" w:hAnsi="宋体" w:cs="宋体"/>
          <w:kern w:val="0"/>
          <w:sz w:val="24"/>
          <w:lang w:val="zh-CN"/>
        </w:rPr>
        <w:t>。</w:t>
      </w:r>
    </w:p>
    <w:p w14:paraId="0B25FA87">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rPr>
        <w:t>14</w:t>
      </w:r>
      <w:r>
        <w:rPr>
          <w:rFonts w:hint="eastAsia" w:ascii="宋体" w:hAnsi="宋体" w:cs="宋体"/>
          <w:kern w:val="0"/>
          <w:sz w:val="24"/>
          <w:lang w:val="zh-CN"/>
        </w:rPr>
        <w:t>.</w:t>
      </w:r>
      <w:r>
        <w:rPr>
          <w:rFonts w:hint="eastAsia" w:ascii="宋体" w:hAnsi="宋体" w:cs="宋体"/>
          <w:kern w:val="0"/>
          <w:sz w:val="24"/>
          <w:u w:val="single"/>
          <w:lang w:val="zh-CN"/>
        </w:rPr>
        <w:t>（产品名称</w:t>
      </w:r>
      <w:r>
        <w:rPr>
          <w:rFonts w:hint="eastAsia" w:ascii="宋体" w:hAnsi="宋体" w:cs="宋体"/>
          <w:kern w:val="0"/>
          <w:sz w:val="24"/>
          <w:u w:val="single"/>
        </w:rPr>
        <w:t>2</w:t>
      </w:r>
      <w:r>
        <w:rPr>
          <w:rFonts w:hint="eastAsia" w:ascii="宋体" w:hAnsi="宋体" w:cs="宋体"/>
          <w:kern w:val="0"/>
          <w:sz w:val="24"/>
          <w:u w:val="single"/>
          <w:lang w:val="zh-CN"/>
        </w:rPr>
        <w:t>）</w:t>
      </w:r>
      <w:r>
        <w:rPr>
          <w:rFonts w:hint="eastAsia" w:ascii="宋体" w:hAnsi="宋体" w:cs="宋体"/>
          <w:kern w:val="0"/>
          <w:sz w:val="24"/>
          <w:vertAlign w:val="superscript"/>
          <w:lang w:val="zh-CN"/>
        </w:rPr>
        <w:t>【</w:t>
      </w:r>
      <w:r>
        <w:rPr>
          <w:rFonts w:hint="eastAsia" w:ascii="宋体" w:hAnsi="宋体" w:cs="宋体"/>
          <w:kern w:val="0"/>
          <w:sz w:val="24"/>
          <w:vertAlign w:val="superscript"/>
        </w:rPr>
        <w:t>1</w:t>
      </w:r>
      <w:r>
        <w:rPr>
          <w:rFonts w:hint="eastAsia" w:ascii="宋体" w:hAnsi="宋体" w:cs="宋体"/>
          <w:kern w:val="0"/>
          <w:sz w:val="24"/>
          <w:vertAlign w:val="superscript"/>
          <w:lang w:val="zh-CN"/>
        </w:rPr>
        <w:t>】</w:t>
      </w:r>
      <w:r>
        <w:rPr>
          <w:rFonts w:hint="eastAsia" w:ascii="宋体" w:hAnsi="宋体" w:cs="宋体"/>
          <w:kern w:val="0"/>
          <w:sz w:val="24"/>
          <w:lang w:val="zh-CN"/>
        </w:rPr>
        <w:t>，生产厂为</w:t>
      </w:r>
      <w:r>
        <w:rPr>
          <w:rFonts w:hint="eastAsia" w:ascii="宋体" w:hAnsi="宋体" w:cs="宋体"/>
          <w:kern w:val="0"/>
          <w:sz w:val="24"/>
          <w:u w:val="single"/>
          <w:lang w:val="zh-CN"/>
        </w:rPr>
        <w:t>（厂名）</w:t>
      </w:r>
      <w:r>
        <w:rPr>
          <w:rFonts w:hint="eastAsia" w:ascii="宋体" w:hAnsi="宋体" w:cs="宋体"/>
          <w:kern w:val="0"/>
          <w:sz w:val="24"/>
          <w:vertAlign w:val="superscript"/>
          <w:lang w:val="zh-CN"/>
        </w:rPr>
        <w:t>【</w:t>
      </w:r>
      <w:r>
        <w:rPr>
          <w:rFonts w:hint="eastAsia" w:ascii="宋体" w:hAnsi="宋体" w:cs="宋体"/>
          <w:kern w:val="0"/>
          <w:sz w:val="24"/>
          <w:vertAlign w:val="superscript"/>
        </w:rPr>
        <w:t>2</w:t>
      </w:r>
      <w:r>
        <w:rPr>
          <w:rFonts w:hint="eastAsia" w:ascii="宋体" w:hAnsi="宋体" w:cs="宋体"/>
          <w:kern w:val="0"/>
          <w:sz w:val="24"/>
          <w:vertAlign w:val="superscript"/>
          <w:lang w:val="zh-CN"/>
        </w:rPr>
        <w:t>】</w:t>
      </w:r>
      <w:r>
        <w:rPr>
          <w:rFonts w:hint="eastAsia" w:ascii="宋体" w:hAnsi="宋体" w:cs="宋体"/>
          <w:kern w:val="0"/>
          <w:sz w:val="24"/>
          <w:lang w:val="zh-CN"/>
        </w:rPr>
        <w:t>，厂址为</w:t>
      </w:r>
      <w:r>
        <w:rPr>
          <w:rFonts w:hint="eastAsia" w:ascii="宋体" w:hAnsi="宋体" w:cs="宋体"/>
          <w:kern w:val="0"/>
          <w:sz w:val="24"/>
          <w:u w:val="single"/>
          <w:lang w:val="zh-CN"/>
        </w:rPr>
        <w:t>（生产厂址）</w:t>
      </w:r>
      <w:r>
        <w:rPr>
          <w:rFonts w:hint="eastAsia" w:ascii="宋体" w:hAnsi="宋体" w:cs="宋体"/>
          <w:kern w:val="0"/>
          <w:sz w:val="24"/>
          <w:lang w:val="zh-CN"/>
        </w:rPr>
        <w:t>。</w:t>
      </w:r>
    </w:p>
    <w:p w14:paraId="7AC56CB8">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rPr>
        <w:t>15</w:t>
      </w:r>
      <w:r>
        <w:rPr>
          <w:rFonts w:hint="eastAsia" w:ascii="宋体" w:hAnsi="宋体" w:cs="宋体"/>
          <w:kern w:val="0"/>
          <w:sz w:val="24"/>
          <w:lang w:val="zh-CN"/>
        </w:rPr>
        <w:t>.</w:t>
      </w:r>
      <w:r>
        <w:rPr>
          <w:rFonts w:hint="eastAsia" w:ascii="宋体" w:hAnsi="宋体" w:cs="宋体"/>
          <w:kern w:val="0"/>
          <w:sz w:val="24"/>
          <w:u w:val="single"/>
          <w:lang w:val="zh-CN"/>
        </w:rPr>
        <w:t>（产品名称</w:t>
      </w:r>
      <w:r>
        <w:rPr>
          <w:rFonts w:hint="eastAsia" w:ascii="宋体" w:hAnsi="宋体" w:cs="宋体"/>
          <w:kern w:val="0"/>
          <w:sz w:val="24"/>
          <w:u w:val="single"/>
        </w:rPr>
        <w:t>2</w:t>
      </w:r>
      <w:r>
        <w:rPr>
          <w:rFonts w:hint="eastAsia" w:ascii="宋体" w:hAnsi="宋体" w:cs="宋体"/>
          <w:kern w:val="0"/>
          <w:sz w:val="24"/>
          <w:u w:val="single"/>
          <w:lang w:val="zh-CN"/>
        </w:rPr>
        <w:t>）</w:t>
      </w:r>
      <w:r>
        <w:rPr>
          <w:rFonts w:hint="eastAsia" w:ascii="宋体" w:hAnsi="宋体" w:cs="宋体"/>
          <w:kern w:val="0"/>
          <w:sz w:val="24"/>
          <w:vertAlign w:val="superscript"/>
          <w:lang w:val="zh-CN"/>
        </w:rPr>
        <w:t>【</w:t>
      </w:r>
      <w:r>
        <w:rPr>
          <w:rFonts w:hint="eastAsia" w:ascii="宋体" w:hAnsi="宋体" w:cs="宋体"/>
          <w:kern w:val="0"/>
          <w:sz w:val="24"/>
          <w:vertAlign w:val="superscript"/>
        </w:rPr>
        <w:t>1</w:t>
      </w:r>
      <w:r>
        <w:rPr>
          <w:rFonts w:hint="eastAsia" w:ascii="宋体" w:hAnsi="宋体" w:cs="宋体"/>
          <w:kern w:val="0"/>
          <w:sz w:val="24"/>
          <w:vertAlign w:val="superscript"/>
          <w:lang w:val="zh-CN"/>
        </w:rPr>
        <w:t>】</w:t>
      </w:r>
      <w:r>
        <w:rPr>
          <w:rFonts w:hint="eastAsia" w:ascii="宋体" w:hAnsi="宋体" w:cs="宋体"/>
          <w:kern w:val="0"/>
          <w:sz w:val="24"/>
          <w:lang w:val="zh-CN"/>
        </w:rPr>
        <w:t>，生产厂为</w:t>
      </w:r>
      <w:r>
        <w:rPr>
          <w:rFonts w:hint="eastAsia" w:ascii="宋体" w:hAnsi="宋体" w:cs="宋体"/>
          <w:kern w:val="0"/>
          <w:sz w:val="24"/>
          <w:u w:val="single"/>
          <w:lang w:val="zh-CN"/>
        </w:rPr>
        <w:t>（厂名）</w:t>
      </w:r>
      <w:r>
        <w:rPr>
          <w:rFonts w:hint="eastAsia" w:ascii="宋体" w:hAnsi="宋体" w:cs="宋体"/>
          <w:kern w:val="0"/>
          <w:sz w:val="24"/>
          <w:vertAlign w:val="superscript"/>
          <w:lang w:val="zh-CN"/>
        </w:rPr>
        <w:t>【</w:t>
      </w:r>
      <w:r>
        <w:rPr>
          <w:rFonts w:hint="eastAsia" w:ascii="宋体" w:hAnsi="宋体" w:cs="宋体"/>
          <w:kern w:val="0"/>
          <w:sz w:val="24"/>
          <w:vertAlign w:val="superscript"/>
        </w:rPr>
        <w:t>2</w:t>
      </w:r>
      <w:r>
        <w:rPr>
          <w:rFonts w:hint="eastAsia" w:ascii="宋体" w:hAnsi="宋体" w:cs="宋体"/>
          <w:kern w:val="0"/>
          <w:sz w:val="24"/>
          <w:vertAlign w:val="superscript"/>
          <w:lang w:val="zh-CN"/>
        </w:rPr>
        <w:t>】</w:t>
      </w:r>
      <w:r>
        <w:rPr>
          <w:rFonts w:hint="eastAsia" w:ascii="宋体" w:hAnsi="宋体" w:cs="宋体"/>
          <w:kern w:val="0"/>
          <w:sz w:val="24"/>
          <w:lang w:val="zh-CN"/>
        </w:rPr>
        <w:t>，厂址为</w:t>
      </w:r>
      <w:r>
        <w:rPr>
          <w:rFonts w:hint="eastAsia" w:ascii="宋体" w:hAnsi="宋体" w:cs="宋体"/>
          <w:kern w:val="0"/>
          <w:sz w:val="24"/>
          <w:u w:val="single"/>
          <w:lang w:val="zh-CN"/>
        </w:rPr>
        <w:t>（生产厂址）</w:t>
      </w:r>
      <w:r>
        <w:rPr>
          <w:rFonts w:hint="eastAsia" w:ascii="宋体" w:hAnsi="宋体" w:cs="宋体"/>
          <w:kern w:val="0"/>
          <w:sz w:val="24"/>
          <w:lang w:val="zh-CN"/>
        </w:rPr>
        <w:t>。</w:t>
      </w:r>
    </w:p>
    <w:p w14:paraId="32399029">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rPr>
        <w:t>16</w:t>
      </w:r>
      <w:r>
        <w:rPr>
          <w:rFonts w:hint="eastAsia" w:ascii="宋体" w:hAnsi="宋体" w:cs="宋体"/>
          <w:kern w:val="0"/>
          <w:sz w:val="24"/>
          <w:lang w:val="zh-CN"/>
        </w:rPr>
        <w:t>.</w:t>
      </w:r>
      <w:r>
        <w:rPr>
          <w:rFonts w:hint="eastAsia" w:ascii="宋体" w:hAnsi="宋体" w:cs="宋体"/>
          <w:kern w:val="0"/>
          <w:sz w:val="24"/>
          <w:u w:val="single"/>
          <w:lang w:val="zh-CN"/>
        </w:rPr>
        <w:t>（产品名称</w:t>
      </w:r>
      <w:r>
        <w:rPr>
          <w:rFonts w:hint="eastAsia" w:ascii="宋体" w:hAnsi="宋体" w:cs="宋体"/>
          <w:kern w:val="0"/>
          <w:sz w:val="24"/>
          <w:u w:val="single"/>
        </w:rPr>
        <w:t>2</w:t>
      </w:r>
      <w:r>
        <w:rPr>
          <w:rFonts w:hint="eastAsia" w:ascii="宋体" w:hAnsi="宋体" w:cs="宋体"/>
          <w:kern w:val="0"/>
          <w:sz w:val="24"/>
          <w:u w:val="single"/>
          <w:lang w:val="zh-CN"/>
        </w:rPr>
        <w:t>）</w:t>
      </w:r>
      <w:r>
        <w:rPr>
          <w:rFonts w:hint="eastAsia" w:ascii="宋体" w:hAnsi="宋体" w:cs="宋体"/>
          <w:kern w:val="0"/>
          <w:sz w:val="24"/>
          <w:vertAlign w:val="superscript"/>
          <w:lang w:val="zh-CN"/>
        </w:rPr>
        <w:t>【</w:t>
      </w:r>
      <w:r>
        <w:rPr>
          <w:rFonts w:hint="eastAsia" w:ascii="宋体" w:hAnsi="宋体" w:cs="宋体"/>
          <w:kern w:val="0"/>
          <w:sz w:val="24"/>
          <w:vertAlign w:val="superscript"/>
        </w:rPr>
        <w:t>1</w:t>
      </w:r>
      <w:r>
        <w:rPr>
          <w:rFonts w:hint="eastAsia" w:ascii="宋体" w:hAnsi="宋体" w:cs="宋体"/>
          <w:kern w:val="0"/>
          <w:sz w:val="24"/>
          <w:vertAlign w:val="superscript"/>
          <w:lang w:val="zh-CN"/>
        </w:rPr>
        <w:t>】</w:t>
      </w:r>
      <w:r>
        <w:rPr>
          <w:rFonts w:hint="eastAsia" w:ascii="宋体" w:hAnsi="宋体" w:cs="宋体"/>
          <w:kern w:val="0"/>
          <w:sz w:val="24"/>
          <w:lang w:val="zh-CN"/>
        </w:rPr>
        <w:t>，生产厂为</w:t>
      </w:r>
      <w:r>
        <w:rPr>
          <w:rFonts w:hint="eastAsia" w:ascii="宋体" w:hAnsi="宋体" w:cs="宋体"/>
          <w:kern w:val="0"/>
          <w:sz w:val="24"/>
          <w:u w:val="single"/>
          <w:lang w:val="zh-CN"/>
        </w:rPr>
        <w:t>（厂名）</w:t>
      </w:r>
      <w:r>
        <w:rPr>
          <w:rFonts w:hint="eastAsia" w:ascii="宋体" w:hAnsi="宋体" w:cs="宋体"/>
          <w:kern w:val="0"/>
          <w:sz w:val="24"/>
          <w:vertAlign w:val="superscript"/>
          <w:lang w:val="zh-CN"/>
        </w:rPr>
        <w:t>【</w:t>
      </w:r>
      <w:r>
        <w:rPr>
          <w:rFonts w:hint="eastAsia" w:ascii="宋体" w:hAnsi="宋体" w:cs="宋体"/>
          <w:kern w:val="0"/>
          <w:sz w:val="24"/>
          <w:vertAlign w:val="superscript"/>
        </w:rPr>
        <w:t>2</w:t>
      </w:r>
      <w:r>
        <w:rPr>
          <w:rFonts w:hint="eastAsia" w:ascii="宋体" w:hAnsi="宋体" w:cs="宋体"/>
          <w:kern w:val="0"/>
          <w:sz w:val="24"/>
          <w:vertAlign w:val="superscript"/>
          <w:lang w:val="zh-CN"/>
        </w:rPr>
        <w:t>】</w:t>
      </w:r>
      <w:r>
        <w:rPr>
          <w:rFonts w:hint="eastAsia" w:ascii="宋体" w:hAnsi="宋体" w:cs="宋体"/>
          <w:kern w:val="0"/>
          <w:sz w:val="24"/>
          <w:lang w:val="zh-CN"/>
        </w:rPr>
        <w:t>，厂址为</w:t>
      </w:r>
      <w:r>
        <w:rPr>
          <w:rFonts w:hint="eastAsia" w:ascii="宋体" w:hAnsi="宋体" w:cs="宋体"/>
          <w:kern w:val="0"/>
          <w:sz w:val="24"/>
          <w:u w:val="single"/>
          <w:lang w:val="zh-CN"/>
        </w:rPr>
        <w:t>（生产厂址）</w:t>
      </w:r>
      <w:r>
        <w:rPr>
          <w:rFonts w:hint="eastAsia" w:ascii="宋体" w:hAnsi="宋体" w:cs="宋体"/>
          <w:kern w:val="0"/>
          <w:sz w:val="24"/>
          <w:lang w:val="zh-CN"/>
        </w:rPr>
        <w:t>。</w:t>
      </w:r>
    </w:p>
    <w:p w14:paraId="7D610233">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rPr>
        <w:t>17</w:t>
      </w:r>
      <w:r>
        <w:rPr>
          <w:rFonts w:hint="eastAsia" w:ascii="宋体" w:hAnsi="宋体" w:cs="宋体"/>
          <w:kern w:val="0"/>
          <w:sz w:val="24"/>
          <w:lang w:val="zh-CN"/>
        </w:rPr>
        <w:t>.</w:t>
      </w:r>
      <w:r>
        <w:rPr>
          <w:rFonts w:hint="eastAsia" w:ascii="宋体" w:hAnsi="宋体" w:cs="宋体"/>
          <w:kern w:val="0"/>
          <w:sz w:val="24"/>
          <w:u w:val="single"/>
          <w:lang w:val="zh-CN"/>
        </w:rPr>
        <w:t>（产品名称</w:t>
      </w:r>
      <w:r>
        <w:rPr>
          <w:rFonts w:hint="eastAsia" w:ascii="宋体" w:hAnsi="宋体" w:cs="宋体"/>
          <w:kern w:val="0"/>
          <w:sz w:val="24"/>
          <w:u w:val="single"/>
        </w:rPr>
        <w:t>2</w:t>
      </w:r>
      <w:r>
        <w:rPr>
          <w:rFonts w:hint="eastAsia" w:ascii="宋体" w:hAnsi="宋体" w:cs="宋体"/>
          <w:kern w:val="0"/>
          <w:sz w:val="24"/>
          <w:u w:val="single"/>
          <w:lang w:val="zh-CN"/>
        </w:rPr>
        <w:t>）</w:t>
      </w:r>
      <w:r>
        <w:rPr>
          <w:rFonts w:hint="eastAsia" w:ascii="宋体" w:hAnsi="宋体" w:cs="宋体"/>
          <w:kern w:val="0"/>
          <w:sz w:val="24"/>
          <w:vertAlign w:val="superscript"/>
          <w:lang w:val="zh-CN"/>
        </w:rPr>
        <w:t>【</w:t>
      </w:r>
      <w:r>
        <w:rPr>
          <w:rFonts w:hint="eastAsia" w:ascii="宋体" w:hAnsi="宋体" w:cs="宋体"/>
          <w:kern w:val="0"/>
          <w:sz w:val="24"/>
          <w:vertAlign w:val="superscript"/>
        </w:rPr>
        <w:t>1</w:t>
      </w:r>
      <w:r>
        <w:rPr>
          <w:rFonts w:hint="eastAsia" w:ascii="宋体" w:hAnsi="宋体" w:cs="宋体"/>
          <w:kern w:val="0"/>
          <w:sz w:val="24"/>
          <w:vertAlign w:val="superscript"/>
          <w:lang w:val="zh-CN"/>
        </w:rPr>
        <w:t>】</w:t>
      </w:r>
      <w:r>
        <w:rPr>
          <w:rFonts w:hint="eastAsia" w:ascii="宋体" w:hAnsi="宋体" w:cs="宋体"/>
          <w:kern w:val="0"/>
          <w:sz w:val="24"/>
          <w:lang w:val="zh-CN"/>
        </w:rPr>
        <w:t>，生产厂为</w:t>
      </w:r>
      <w:r>
        <w:rPr>
          <w:rFonts w:hint="eastAsia" w:ascii="宋体" w:hAnsi="宋体" w:cs="宋体"/>
          <w:kern w:val="0"/>
          <w:sz w:val="24"/>
          <w:u w:val="single"/>
          <w:lang w:val="zh-CN"/>
        </w:rPr>
        <w:t>（厂名）</w:t>
      </w:r>
      <w:r>
        <w:rPr>
          <w:rFonts w:hint="eastAsia" w:ascii="宋体" w:hAnsi="宋体" w:cs="宋体"/>
          <w:kern w:val="0"/>
          <w:sz w:val="24"/>
          <w:vertAlign w:val="superscript"/>
          <w:lang w:val="zh-CN"/>
        </w:rPr>
        <w:t>【</w:t>
      </w:r>
      <w:r>
        <w:rPr>
          <w:rFonts w:hint="eastAsia" w:ascii="宋体" w:hAnsi="宋体" w:cs="宋体"/>
          <w:kern w:val="0"/>
          <w:sz w:val="24"/>
          <w:vertAlign w:val="superscript"/>
        </w:rPr>
        <w:t>2</w:t>
      </w:r>
      <w:r>
        <w:rPr>
          <w:rFonts w:hint="eastAsia" w:ascii="宋体" w:hAnsi="宋体" w:cs="宋体"/>
          <w:kern w:val="0"/>
          <w:sz w:val="24"/>
          <w:vertAlign w:val="superscript"/>
          <w:lang w:val="zh-CN"/>
        </w:rPr>
        <w:t>】</w:t>
      </w:r>
      <w:r>
        <w:rPr>
          <w:rFonts w:hint="eastAsia" w:ascii="宋体" w:hAnsi="宋体" w:cs="宋体"/>
          <w:kern w:val="0"/>
          <w:sz w:val="24"/>
          <w:lang w:val="zh-CN"/>
        </w:rPr>
        <w:t>，厂址为</w:t>
      </w:r>
      <w:r>
        <w:rPr>
          <w:rFonts w:hint="eastAsia" w:ascii="宋体" w:hAnsi="宋体" w:cs="宋体"/>
          <w:kern w:val="0"/>
          <w:sz w:val="24"/>
          <w:u w:val="single"/>
          <w:lang w:val="zh-CN"/>
        </w:rPr>
        <w:t>（生产厂址）</w:t>
      </w:r>
      <w:r>
        <w:rPr>
          <w:rFonts w:hint="eastAsia" w:ascii="宋体" w:hAnsi="宋体" w:cs="宋体"/>
          <w:kern w:val="0"/>
          <w:sz w:val="24"/>
          <w:lang w:val="zh-CN"/>
        </w:rPr>
        <w:t>。</w:t>
      </w:r>
    </w:p>
    <w:p w14:paraId="1A166684">
      <w:pPr>
        <w:adjustRightInd/>
        <w:jc w:val="left"/>
        <w:rPr>
          <w:rFonts w:ascii="宋体" w:hAnsi="宋体" w:cs="宋体"/>
          <w:sz w:val="32"/>
          <w:szCs w:val="32"/>
        </w:rPr>
      </w:pPr>
      <w:r>
        <w:rPr>
          <w:rFonts w:hint="eastAsia" w:ascii="宋体" w:hAnsi="宋体" w:cs="宋体"/>
          <w:b/>
          <w:bCs/>
          <w:sz w:val="24"/>
        </w:rPr>
        <w:t>二、关于符合本国产品标准的成本占比情况：</w:t>
      </w:r>
    </w:p>
    <w:p w14:paraId="2FA099EB">
      <w:pPr>
        <w:adjustRightInd/>
        <w:jc w:val="center"/>
        <w:rPr>
          <w:rFonts w:ascii="宋体" w:hAnsi="宋体" w:cs="宋体"/>
          <w:sz w:val="32"/>
          <w:szCs w:val="32"/>
        </w:rPr>
      </w:pPr>
    </w:p>
    <w:tbl>
      <w:tblPr>
        <w:tblStyle w:val="64"/>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570D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5FF5924E">
            <w:pPr>
              <w:jc w:val="center"/>
              <w:rPr>
                <w:rFonts w:ascii="宋体" w:hAnsi="宋体" w:cs="宋体"/>
                <w:b/>
                <w:bCs/>
                <w:sz w:val="24"/>
                <w:shd w:val="clear" w:color="auto" w:fill="FFFFFF"/>
              </w:rPr>
            </w:pPr>
            <w:r>
              <w:rPr>
                <w:rFonts w:hint="eastAsia" w:ascii="宋体" w:hAnsi="宋体" w:cs="宋体"/>
                <w:b/>
                <w:bCs/>
                <w:sz w:val="24"/>
                <w:shd w:val="clear" w:color="auto" w:fill="FFFFFF"/>
              </w:rPr>
              <w:t>计算公式</w:t>
            </w:r>
          </w:p>
        </w:tc>
        <w:tc>
          <w:tcPr>
            <w:tcW w:w="2092" w:type="dxa"/>
            <w:vAlign w:val="center"/>
          </w:tcPr>
          <w:p w14:paraId="37F934F7">
            <w:pPr>
              <w:jc w:val="center"/>
              <w:rPr>
                <w:rFonts w:ascii="宋体" w:hAnsi="宋体" w:cs="宋体"/>
                <w:b/>
                <w:bCs/>
                <w:sz w:val="24"/>
                <w:shd w:val="clear" w:color="auto" w:fill="FFFFFF"/>
              </w:rPr>
            </w:pPr>
            <w:r>
              <w:rPr>
                <w:rFonts w:hint="eastAsia" w:ascii="宋体" w:hAnsi="宋体" w:cs="宋体"/>
                <w:b/>
                <w:bCs/>
                <w:sz w:val="24"/>
                <w:shd w:val="clear" w:color="auto" w:fill="FFFFFF"/>
              </w:rPr>
              <w:t>占比情况</w:t>
            </w:r>
          </w:p>
        </w:tc>
      </w:tr>
      <w:tr w14:paraId="3C87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74006B1C">
            <w:pPr>
              <w:jc w:val="center"/>
              <w:rPr>
                <w:rFonts w:ascii="宋体" w:hAnsi="宋体" w:cs="宋体"/>
                <w:sz w:val="24"/>
                <w:shd w:val="clear" w:color="auto" w:fill="FFFFFF"/>
              </w:rPr>
            </w:pPr>
          </w:p>
          <w:p w14:paraId="33283A78">
            <w:pPr>
              <w:jc w:val="center"/>
              <w:rPr>
                <w:rFonts w:ascii="宋体" w:hAnsi="宋体" w:cs="宋体"/>
                <w:spacing w:val="4"/>
                <w:sz w:val="24"/>
                <w:bdr w:val="single" w:color="auto" w:sz="2" w:space="0"/>
                <w:shd w:val="clear" w:color="auto" w:fill="FFFFFF"/>
              </w:rPr>
            </w:pPr>
            <m:oMathPara>
              <m:oMath>
                <m:r>
                  <m:rPr>
                    <m:sty m:val="p"/>
                  </m:rPr>
                  <w:rPr>
                    <w:rFonts w:hint="eastAsia" w:ascii="Cambria Math" w:hAnsi="Cambria Math" w:cs="宋体"/>
                    <w:sz w:val="24"/>
                  </w:rPr>
                  <m:t>比例</m:t>
                </m:r>
                <m:r>
                  <m:rPr/>
                  <w:rPr>
                    <w:rFonts w:hint="eastAsia" w:ascii="Cambria Math" w:hAnsi="Cambria Math" w:cs="宋体"/>
                    <w:sz w:val="24"/>
                  </w:rPr>
                  <m:t>=</m:t>
                </m:r>
                <m:f>
                  <m:fPr>
                    <m:ctrlPr>
                      <w:rPr>
                        <w:rFonts w:hint="eastAsia" w:ascii="Cambria Math" w:hAnsi="Cambria Math" w:cs="宋体"/>
                        <w:i/>
                        <w:sz w:val="24"/>
                      </w:rPr>
                    </m:ctrlPr>
                  </m:fPr>
                  <m:num>
                    <m:r>
                      <m:rPr>
                        <m:sty m:val="p"/>
                      </m:rPr>
                      <w:rPr>
                        <w:rFonts w:hint="eastAsia" w:ascii="Cambria Math" w:hAnsi="Cambria Math" w:cs="宋体"/>
                        <w:sz w:val="24"/>
                      </w:rPr>
                      <m:t>符合本国产品标准的投标产品成本之和</m:t>
                    </m:r>
                    <m:ctrlPr>
                      <w:rPr>
                        <w:rFonts w:hint="eastAsia" w:ascii="Cambria Math" w:hAnsi="Cambria Math" w:cs="宋体"/>
                        <w:sz w:val="24"/>
                      </w:rPr>
                    </m:ctrlPr>
                  </m:num>
                  <m:den>
                    <m:r>
                      <m:rPr>
                        <m:sty m:val="p"/>
                      </m:rPr>
                      <w:rPr>
                        <w:rFonts w:hint="eastAsia" w:ascii="Cambria Math" w:hAnsi="Cambria Math" w:cs="宋体"/>
                        <w:sz w:val="24"/>
                      </w:rPr>
                      <m:t>提供的全部产品成本之和</m:t>
                    </m:r>
                    <m:ctrlPr>
                      <w:rPr>
                        <w:rFonts w:hint="eastAsia" w:ascii="Cambria Math" w:hAnsi="Cambria Math" w:cs="宋体"/>
                        <w:sz w:val="24"/>
                      </w:rPr>
                    </m:ctrlPr>
                  </m:den>
                </m:f>
                <m:r>
                  <m:rPr>
                    <m:sty m:val="p"/>
                  </m:rPr>
                  <w:rPr>
                    <w:rFonts w:hint="eastAsia" w:ascii="Cambria Math" w:hAnsi="Cambria Math" w:cs="宋体"/>
                    <w:sz w:val="24"/>
                  </w:rPr>
                  <m:t>×</m:t>
                </m:r>
                <m:r>
                  <m:rPr/>
                  <w:rPr>
                    <w:rFonts w:hint="eastAsia" w:ascii="Cambria Math" w:hAnsi="Cambria Math" w:cs="宋体"/>
                    <w:sz w:val="24"/>
                  </w:rPr>
                  <m:t>100%</m:t>
                </m:r>
              </m:oMath>
            </m:oMathPara>
          </w:p>
          <w:p w14:paraId="0F213C5D">
            <w:pPr>
              <w:jc w:val="center"/>
              <w:rPr>
                <w:rFonts w:ascii="宋体" w:hAnsi="宋体" w:cs="宋体"/>
                <w:spacing w:val="4"/>
                <w:sz w:val="24"/>
                <w:bdr w:val="single" w:color="auto" w:sz="2" w:space="0"/>
                <w:shd w:val="clear" w:color="auto" w:fill="FFFFFF"/>
              </w:rPr>
            </w:pPr>
          </w:p>
          <w:p w14:paraId="006F532A">
            <w:pPr>
              <w:jc w:val="center"/>
              <w:rPr>
                <w:rFonts w:ascii="宋体" w:hAnsi="宋体" w:cs="宋体"/>
                <w:sz w:val="24"/>
                <w:shd w:val="clear" w:color="auto" w:fill="FFFFFF"/>
              </w:rPr>
            </w:pPr>
          </w:p>
        </w:tc>
        <w:tc>
          <w:tcPr>
            <w:tcW w:w="2092" w:type="dxa"/>
            <w:vAlign w:val="center"/>
          </w:tcPr>
          <w:p w14:paraId="232BABA4">
            <w:pPr>
              <w:jc w:val="center"/>
              <w:rPr>
                <w:rFonts w:ascii="宋体" w:hAnsi="宋体" w:cs="宋体"/>
                <w:sz w:val="24"/>
                <w:shd w:val="clear" w:color="auto" w:fill="FFFFFF"/>
              </w:rPr>
            </w:pPr>
            <w:r>
              <w:rPr>
                <w:rFonts w:hint="eastAsia" w:ascii="宋体" w:hAnsi="宋体" w:cs="宋体"/>
                <w:sz w:val="24"/>
                <w:u w:val="single"/>
                <w:shd w:val="clear" w:color="auto" w:fill="FFFFFF"/>
              </w:rPr>
              <w:t xml:space="preserve">       </w:t>
            </w:r>
            <w:r>
              <w:rPr>
                <w:rFonts w:hint="eastAsia" w:ascii="宋体" w:hAnsi="宋体" w:cs="宋体"/>
                <w:sz w:val="24"/>
                <w:shd w:val="clear" w:color="auto" w:fill="FFFFFF"/>
              </w:rPr>
              <w:t>%</w:t>
            </w:r>
          </w:p>
        </w:tc>
      </w:tr>
    </w:tbl>
    <w:p w14:paraId="12A4FD78">
      <w:pPr>
        <w:snapToGrid w:val="0"/>
        <w:spacing w:line="360" w:lineRule="auto"/>
        <w:ind w:firstLine="480" w:firstLineChars="200"/>
        <w:jc w:val="left"/>
        <w:rPr>
          <w:rFonts w:ascii="宋体" w:hAnsi="宋体" w:cs="宋体"/>
          <w:kern w:val="0"/>
          <w:sz w:val="24"/>
          <w:lang w:val="zh-CN"/>
        </w:rPr>
      </w:pPr>
    </w:p>
    <w:p w14:paraId="39D23597">
      <w:pPr>
        <w:snapToGrid w:val="0"/>
        <w:spacing w:line="360" w:lineRule="auto"/>
        <w:rPr>
          <w:rFonts w:ascii="宋体" w:hAnsi="宋体" w:cs="宋体"/>
          <w:kern w:val="0"/>
          <w:sz w:val="24"/>
          <w:lang w:val="zh-CN"/>
        </w:rPr>
      </w:pPr>
    </w:p>
    <w:p w14:paraId="0EE99508">
      <w:pPr>
        <w:snapToGrid w:val="0"/>
        <w:spacing w:line="360" w:lineRule="auto"/>
        <w:rPr>
          <w:rFonts w:ascii="宋体" w:hAnsi="宋体" w:cs="宋体"/>
          <w:kern w:val="0"/>
          <w:sz w:val="24"/>
          <w:lang w:val="zh-CN"/>
        </w:rPr>
      </w:pPr>
      <w:r>
        <w:rPr>
          <w:rFonts w:hint="eastAsia" w:ascii="宋体" w:hAnsi="宋体" w:cs="宋体"/>
          <w:kern w:val="0"/>
          <w:sz w:val="24"/>
          <w:lang w:val="zh-CN"/>
        </w:rPr>
        <w:t>本公司（单位）对上述声明内容的真实性负责。如有虚假，愿承担相应法律责任。</w:t>
      </w:r>
    </w:p>
    <w:p w14:paraId="772DEDEF">
      <w:pPr>
        <w:snapToGrid w:val="0"/>
        <w:spacing w:line="360" w:lineRule="auto"/>
        <w:rPr>
          <w:rFonts w:ascii="宋体" w:hAnsi="宋体" w:cs="宋体"/>
          <w:kern w:val="0"/>
          <w:sz w:val="24"/>
          <w:lang w:val="zh-CN"/>
        </w:rPr>
      </w:pPr>
    </w:p>
    <w:p w14:paraId="5B694207">
      <w:pPr>
        <w:snapToGrid w:val="0"/>
        <w:spacing w:line="360" w:lineRule="auto"/>
        <w:jc w:val="right"/>
        <w:rPr>
          <w:rFonts w:ascii="宋体" w:hAnsi="宋体" w:cs="宋体"/>
          <w:kern w:val="0"/>
          <w:sz w:val="24"/>
          <w:lang w:val="zh-CN"/>
        </w:rPr>
      </w:pPr>
      <w:r>
        <w:rPr>
          <w:rFonts w:hint="eastAsia" w:ascii="宋体" w:hAnsi="宋体" w:cs="宋体"/>
          <w:kern w:val="0"/>
          <w:sz w:val="24"/>
        </w:rPr>
        <w:t xml:space="preserve">                     </w:t>
      </w:r>
      <w:r>
        <w:rPr>
          <w:rFonts w:hint="eastAsia" w:ascii="宋体" w:hAnsi="宋体" w:cs="宋体"/>
          <w:kern w:val="0"/>
          <w:sz w:val="24"/>
          <w:lang w:val="zh-CN"/>
        </w:rPr>
        <w:t>公司（单位）名称（盖章）：</w:t>
      </w:r>
    </w:p>
    <w:p w14:paraId="540C8188">
      <w:pPr>
        <w:snapToGrid w:val="0"/>
        <w:spacing w:line="360" w:lineRule="auto"/>
        <w:jc w:val="right"/>
        <w:rPr>
          <w:rFonts w:ascii="宋体" w:hAnsi="宋体" w:cs="宋体"/>
          <w:kern w:val="0"/>
          <w:sz w:val="24"/>
          <w:lang w:val="zh-CN"/>
        </w:rPr>
      </w:pPr>
      <w:r>
        <w:rPr>
          <w:rFonts w:hint="eastAsia" w:ascii="宋体" w:hAnsi="宋体" w:cs="宋体"/>
          <w:kern w:val="0"/>
          <w:sz w:val="24"/>
        </w:rPr>
        <w:drawing>
          <wp:anchor distT="0" distB="0" distL="0" distR="0" simplePos="0" relativeHeight="251659264"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32" name="IM 10"/>
            <wp:cNvGraphicFramePr/>
            <a:graphic xmlns:a="http://schemas.openxmlformats.org/drawingml/2006/main">
              <a:graphicData uri="http://schemas.openxmlformats.org/drawingml/2006/picture">
                <pic:pic xmlns:pic="http://schemas.openxmlformats.org/drawingml/2006/picture">
                  <pic:nvPicPr>
                    <pic:cNvPr id="1032" name="IM 10"/>
                    <pic:cNvPicPr/>
                  </pic:nvPicPr>
                  <pic:blipFill>
                    <a:blip r:embed="rId30" cstate="print"/>
                    <a:srcRect/>
                    <a:stretch>
                      <a:fillRect/>
                    </a:stretch>
                  </pic:blipFill>
                  <pic:spPr>
                    <a:xfrm>
                      <a:off x="0" y="0"/>
                      <a:ext cx="1066164" cy="6350"/>
                    </a:xfrm>
                    <a:prstGeom prst="rect">
                      <a:avLst/>
                    </a:prstGeom>
                  </pic:spPr>
                </pic:pic>
              </a:graphicData>
            </a:graphic>
          </wp:anchor>
        </w:drawing>
      </w:r>
      <w:r>
        <w:rPr>
          <w:rFonts w:hint="eastAsia" w:ascii="宋体" w:hAnsi="宋体" w:cs="宋体"/>
          <w:kern w:val="0"/>
          <w:sz w:val="24"/>
          <w:lang w:val="zh-CN"/>
        </w:rPr>
        <w:t>日期：       年    月     日</w:t>
      </w:r>
    </w:p>
    <w:p w14:paraId="24CA2F8A">
      <w:pPr>
        <w:snapToGrid w:val="0"/>
        <w:spacing w:line="360" w:lineRule="auto"/>
        <w:rPr>
          <w:rFonts w:ascii="宋体" w:hAnsi="宋体" w:cs="宋体"/>
          <w:kern w:val="0"/>
          <w:sz w:val="24"/>
          <w:lang w:val="zh-CN"/>
        </w:rPr>
      </w:pPr>
    </w:p>
    <w:p w14:paraId="03B0EB33">
      <w:pPr>
        <w:snapToGrid w:val="0"/>
        <w:spacing w:line="360" w:lineRule="auto"/>
        <w:rPr>
          <w:rFonts w:ascii="宋体" w:hAnsi="宋体" w:cs="宋体"/>
          <w:kern w:val="0"/>
          <w:sz w:val="24"/>
          <w:lang w:val="zh-CN"/>
        </w:rPr>
      </w:pPr>
    </w:p>
    <w:p w14:paraId="7BF3CCA4">
      <w:pPr>
        <w:snapToGrid w:val="0"/>
        <w:spacing w:line="360" w:lineRule="auto"/>
        <w:rPr>
          <w:rFonts w:ascii="宋体" w:hAnsi="宋体" w:cs="宋体"/>
          <w:kern w:val="0"/>
          <w:sz w:val="24"/>
          <w:lang w:val="zh-CN"/>
        </w:rPr>
      </w:pPr>
      <w:r>
        <w:rPr>
          <w:rFonts w:hint="eastAsia" w:ascii="宋体" w:hAnsi="宋体" w:cs="宋体"/>
          <w:kern w:val="0"/>
          <w:sz w:val="24"/>
          <w:lang w:val="en-US" w:eastAsia="zh-CN"/>
        </w:rPr>
        <w:t>注：1.</w:t>
      </w:r>
      <w:r>
        <w:rPr>
          <w:rFonts w:hint="eastAsia" w:ascii="宋体" w:hAnsi="宋体" w:cs="宋体"/>
          <w:kern w:val="0"/>
          <w:sz w:val="24"/>
          <w:lang w:val="zh-CN"/>
        </w:rPr>
        <w:t>【</w:t>
      </w:r>
      <w:r>
        <w:rPr>
          <w:rFonts w:hint="eastAsia" w:ascii="宋体" w:hAnsi="宋体" w:cs="宋体"/>
          <w:kern w:val="0"/>
          <w:sz w:val="24"/>
        </w:rPr>
        <w:t>1</w:t>
      </w:r>
      <w:r>
        <w:rPr>
          <w:rFonts w:hint="eastAsia" w:ascii="宋体" w:hAnsi="宋体" w:cs="宋体"/>
          <w:kern w:val="0"/>
          <w:sz w:val="24"/>
          <w:lang w:val="zh-CN"/>
        </w:rPr>
        <w:t>】.产品如有型号，请在“产品名称”栏一并填写。</w:t>
      </w:r>
    </w:p>
    <w:p w14:paraId="29AFEC74">
      <w:pPr>
        <w:snapToGrid w:val="0"/>
        <w:spacing w:line="360" w:lineRule="auto"/>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2</w:t>
      </w:r>
      <w:r>
        <w:rPr>
          <w:rFonts w:hint="eastAsia" w:ascii="宋体" w:hAnsi="宋体" w:cs="宋体"/>
          <w:kern w:val="0"/>
          <w:sz w:val="24"/>
          <w:lang w:val="zh-CN"/>
        </w:rPr>
        <w:t>】.生产厂名与厂址应与生产厂营业执照载明的相关信息保持一致。</w:t>
      </w:r>
    </w:p>
    <w:p w14:paraId="77BC9FC8">
      <w:pPr>
        <w:snapToGrid w:val="0"/>
        <w:spacing w:line="360" w:lineRule="auto"/>
        <w:rPr>
          <w:rFonts w:hint="eastAsia" w:ascii="宋体" w:hAnsi="宋体" w:eastAsia="宋体" w:cs="宋体"/>
          <w:kern w:val="0"/>
          <w:sz w:val="24"/>
          <w:lang w:val="en-US" w:eastAsia="zh-CN"/>
        </w:rPr>
      </w:pPr>
      <w:r>
        <w:rPr>
          <w:rFonts w:hint="eastAsia" w:ascii="宋体" w:hAnsi="宋体" w:cs="宋体"/>
          <w:kern w:val="0"/>
          <w:sz w:val="24"/>
          <w:lang w:val="en-US" w:eastAsia="zh-CN"/>
        </w:rPr>
        <w:t>2.</w:t>
      </w:r>
      <w:r>
        <w:rPr>
          <w:rFonts w:hint="eastAsia" w:ascii="宋体" w:hAnsi="宋体" w:cs="宋体"/>
          <w:kern w:val="0"/>
          <w:sz w:val="24"/>
          <w:lang w:val="zh-CN"/>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w:t>
      </w:r>
      <w:r>
        <w:rPr>
          <w:rFonts w:hint="eastAsia" w:ascii="宋体" w:hAnsi="宋体" w:cs="宋体"/>
          <w:kern w:val="0"/>
          <w:sz w:val="24"/>
          <w:lang w:val="en-US" w:eastAsia="zh-CN"/>
        </w:rPr>
        <w:t>产。</w:t>
      </w:r>
    </w:p>
    <w:p w14:paraId="683AABC3">
      <w:pPr>
        <w:snapToGrid w:val="0"/>
        <w:spacing w:line="360" w:lineRule="auto"/>
        <w:rPr>
          <w:rFonts w:hint="eastAsia" w:ascii="宋体" w:hAnsi="宋体" w:cs="宋体"/>
          <w:kern w:val="0"/>
          <w:sz w:val="24"/>
          <w:lang w:val="zh-CN"/>
        </w:rPr>
      </w:pPr>
      <w:r>
        <w:rPr>
          <w:rFonts w:hint="eastAsia" w:ascii="宋体" w:hAnsi="宋体" w:cs="宋体"/>
          <w:kern w:val="0"/>
          <w:sz w:val="24"/>
          <w:lang w:val="en-US" w:eastAsia="zh-CN"/>
        </w:rPr>
        <w:t>3.</w:t>
      </w:r>
      <w:r>
        <w:rPr>
          <w:rFonts w:hint="eastAsia" w:ascii="宋体" w:hAnsi="宋体" w:cs="宋体"/>
          <w:kern w:val="0"/>
          <w:sz w:val="24"/>
          <w:lang w:val="zh-CN"/>
        </w:rPr>
        <w:t>计算机软件(基础软件、支撑软件、应用软件、其他计算机软件)属于无形资产。</w:t>
      </w:r>
    </w:p>
    <w:p w14:paraId="3DA17833">
      <w:pPr>
        <w:snapToGrid w:val="0"/>
        <w:spacing w:line="360" w:lineRule="auto"/>
        <w:rPr>
          <w:rFonts w:ascii="宋体" w:hAnsi="宋体" w:cs="宋体"/>
          <w:kern w:val="0"/>
          <w:sz w:val="24"/>
          <w:lang w:val="zh-CN"/>
        </w:rPr>
      </w:pPr>
    </w:p>
    <w:p w14:paraId="33BA7443">
      <w:pPr>
        <w:pStyle w:val="3"/>
        <w:rPr>
          <w:lang w:val="en-US"/>
        </w:rPr>
      </w:pPr>
    </w:p>
    <w:p w14:paraId="7388E68D">
      <w:pPr>
        <w:spacing w:line="360" w:lineRule="auto"/>
        <w:ind w:right="420" w:firstLine="643" w:firstLineChars="200"/>
        <w:rPr>
          <w:rFonts w:ascii="宋体" w:hAnsi="宋体" w:cs="宋体"/>
          <w:b/>
          <w:sz w:val="32"/>
          <w:szCs w:val="32"/>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hakuyoxingshu7000"/>
    <w:panose1 w:val="00000000000000000000"/>
    <w:charset w:val="00"/>
    <w:family w:val="auto"/>
    <w:pitch w:val="default"/>
    <w:sig w:usb0="00000000" w:usb1="00000000" w:usb2="00000000" w:usb3="00000000" w:csb0="00040001" w:csb1="00000000"/>
  </w:font>
  <w:font w:name="Noto Sans SC">
    <w:altName w:val="宋体"/>
    <w:panose1 w:val="020B0200000000000000"/>
    <w:charset w:val="86"/>
    <w:family w:val="auto"/>
    <w:pitch w:val="default"/>
    <w:sig w:usb0="00000000" w:usb1="0000000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0000000000000000000"/>
    <w:charset w:val="00"/>
    <w:family w:val="swiss"/>
    <w:pitch w:val="default"/>
    <w:sig w:usb0="00000000" w:usb1="00000000" w:usb2="00000000" w:usb3="00000000" w:csb0="2000019F" w:csb1="4F010000"/>
  </w:font>
  <w:font w:name="Cumberland">
    <w:altName w:val="hakuyoxingshu7000"/>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Segoe Print"/>
    <w:panose1 w:val="00000000000000000000"/>
    <w:charset w:val="00"/>
    <w:family w:val="modern"/>
    <w:pitch w:val="default"/>
    <w:sig w:usb0="00000000" w:usb1="00000000" w:usb2="00000001" w:usb3="00000000" w:csb0="400001BF" w:csb1="DFF7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宋体 (正文)">
    <w:altName w:val="宋体"/>
    <w:panose1 w:val="00000000000000000000"/>
    <w:charset w:val="86"/>
    <w:family w:val="roman"/>
    <w:pitch w:val="default"/>
    <w:sig w:usb0="00000000" w:usb1="00000000" w:usb2="00000010" w:usb3="00000000" w:csb0="000401FF" w:csb1="00000000"/>
  </w:font>
  <w:font w:name="Segoe UI Symbol">
    <w:panose1 w:val="020B0502040204020203"/>
    <w:charset w:val="00"/>
    <w:family w:val="swiss"/>
    <w:pitch w:val="default"/>
    <w:sig w:usb0="8000006F" w:usb1="1200FBEF" w:usb2="0004C000" w:usb3="00000000" w:csb0="00000001" w:csb1="40000000"/>
  </w:font>
  <w:font w:name="Cambria Math">
    <w:panose1 w:val="02040503050406030204"/>
    <w:charset w:val="00"/>
    <w:family w:val="roman"/>
    <w:pitch w:val="default"/>
    <w:sig w:usb0="E00002FF" w:usb1="420024FF" w:usb2="00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PMingLiU">
    <w:panose1 w:val="02020500000000000000"/>
    <w:charset w:val="88"/>
    <w:family w:val="auto"/>
    <w:pitch w:val="default"/>
    <w:sig w:usb0="A00002FF" w:usb1="28CFFCFA" w:usb2="00000016" w:usb3="00000000" w:csb0="0010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E01F3">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95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144</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18F67">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143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143</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AEC66">
    <w:pPr>
      <w:pStyle w:val="39"/>
      <w:framePr w:wrap="around" w:vAnchor="text" w:hAnchor="margin" w:xAlign="right" w:y="1"/>
      <w:rPr>
        <w:rStyle w:val="73"/>
      </w:rPr>
    </w:pPr>
    <w:r>
      <w:fldChar w:fldCharType="begin"/>
    </w:r>
    <w:r>
      <w:rPr>
        <w:rStyle w:val="73"/>
      </w:rPr>
      <w:instrText xml:space="preserve">PAGE  </w:instrText>
    </w:r>
    <w:r>
      <w:fldChar w:fldCharType="end"/>
    </w:r>
  </w:p>
  <w:p w14:paraId="65C33C87">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D1566">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125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144</w:t>
    </w:r>
    <w:r>
      <w:rPr>
        <w:rFonts w:hint="eastAsia" w:ascii="仿宋_GB2312" w:eastAsia="仿宋_GB2312"/>
        <w:kern w:val="0"/>
        <w:szCs w:val="21"/>
      </w:rPr>
      <w:fldChar w:fldCharType="end"/>
    </w:r>
    <w:bookmarkStart w:id="424" w:name="_Toc131845147"/>
    <w:bookmarkStart w:id="425" w:name="_Toc164085800"/>
    <w:bookmarkStart w:id="426" w:name="_Toc91899912"/>
    <w:bookmarkStart w:id="427" w:name="_Toc36110187"/>
    <w:r>
      <w:rPr>
        <w:rFonts w:hint="eastAsia" w:ascii="仿宋_GB2312" w:eastAsia="仿宋_GB2312"/>
        <w:kern w:val="0"/>
        <w:szCs w:val="21"/>
      </w:rPr>
      <w:t xml:space="preserve"> 页</w:t>
    </w:r>
    <w:bookmarkEnd w:id="424"/>
    <w:bookmarkEnd w:id="425"/>
    <w:bookmarkEnd w:id="426"/>
    <w:bookmarkEnd w:id="42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64A60">
    <w:pPr>
      <w:pStyle w:val="39"/>
      <w:framePr w:wrap="around" w:vAnchor="text" w:hAnchor="margin" w:xAlign="right" w:y="1"/>
      <w:rPr>
        <w:rStyle w:val="73"/>
      </w:rPr>
    </w:pPr>
    <w:r>
      <w:fldChar w:fldCharType="begin"/>
    </w:r>
    <w:r>
      <w:rPr>
        <w:rStyle w:val="73"/>
      </w:rPr>
      <w:instrText xml:space="preserve">PAGE  </w:instrText>
    </w:r>
    <w:r>
      <w:fldChar w:fldCharType="end"/>
    </w:r>
  </w:p>
  <w:p w14:paraId="5DE3E265">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93ECD">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144</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62631">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144</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C8369">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96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144</w:t>
    </w:r>
    <w:r>
      <w:rPr>
        <w:rFonts w:hint="eastAsia" w:ascii="仿宋_GB2312" w:eastAsia="仿宋_GB2312"/>
        <w:kern w:val="0"/>
      </w:rPr>
      <w:fldChar w:fldCharType="end"/>
    </w:r>
    <w:r>
      <w:rPr>
        <w:rFonts w:hint="eastAsia" w:ascii="仿宋_GB2312" w:eastAsia="仿宋_GB2312"/>
        <w:kern w:val="0"/>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06CB5">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144</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218D1">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144</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6DF1">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144</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EBF8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144</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70EB7">
    <w:pPr>
      <w:pStyle w:val="41"/>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D5412">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AB532">
    <w:pPr>
      <w:pStyle w:val="41"/>
      <w:pBdr>
        <w:bottom w:val="single" w:color="auto" w:sz="6" w:space="0"/>
      </w:pBdr>
      <w:tabs>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8093">
    <w:pPr>
      <w:pStyle w:val="41"/>
      <w:jc w:val="right"/>
      <w:rPr>
        <w:rFonts w:ascii="仿宋_GB2312" w:eastAsia="仿宋_GB2312"/>
        <w:b/>
        <w:i/>
        <w:u w:val="single"/>
      </w:rPr>
    </w:pPr>
    <w:r>
      <w:t></w:t>
    </w:r>
    <w:r>
      <w:rPr>
        <w:rFonts w:hint="eastAsia"/>
      </w:rPr>
      <w:t xml:space="preserve">                                </w:t>
    </w:r>
    <w: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00580">
    <w:pPr>
      <w:pStyle w:val="41"/>
      <w:jc w:val="right"/>
    </w:pPr>
    <w:r>
      <w:t></w:t>
    </w: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EFD09">
    <w:pPr>
      <w:pStyle w:val="41"/>
      <w:jc w:val="right"/>
      <w:rPr>
        <w:rFonts w:ascii="仿宋_GB2312" w:eastAsia="仿宋_GB2312"/>
        <w:b/>
        <w:i/>
        <w:u w:val="single"/>
      </w:rPr>
    </w:pPr>
    <w:r>
      <w:t></w:t>
    </w:r>
    <w:r>
      <w:rPr>
        <w:rFonts w:hint="eastAsia"/>
      </w:rPr>
      <w:t xml:space="preserve">                                                </w:t>
    </w:r>
    <w:r>
      <w:t xml:space="preserve"> 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F36FF">
    <w:pPr>
      <w:pStyle w:val="41"/>
      <w:jc w:val="right"/>
    </w:pPr>
    <w:r>
      <w:t></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6F96F">
    <w:pPr>
      <w:pStyle w:val="41"/>
      <w:jc w:val="right"/>
      <w:rPr>
        <w:rFonts w:ascii="仿宋_GB2312" w:eastAsia="仿宋_GB2312"/>
        <w:b/>
        <w:i/>
        <w:u w:val="single"/>
      </w:rPr>
    </w:pP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B5799">
    <w:pPr>
      <w:pStyle w:val="41"/>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A4942">
    <w:pPr>
      <w:pStyle w:val="41"/>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decimal"/>
      <w:lvlText w:val="%1."/>
      <w:lvlJc w:val="left"/>
      <w:pPr>
        <w:tabs>
          <w:tab w:val="left" w:pos="312"/>
        </w:tabs>
      </w:pPr>
    </w:lvl>
  </w:abstractNum>
  <w:abstractNum w:abstractNumId="1">
    <w:nsid w:val="00000001"/>
    <w:multiLevelType w:val="singleLevel"/>
    <w:tmpl w:val="00000001"/>
    <w:lvl w:ilvl="0" w:tentative="0">
      <w:start w:val="5"/>
      <w:numFmt w:val="decimal"/>
      <w:suff w:val="nothing"/>
      <w:lvlText w:val="%1、"/>
      <w:lvlJc w:val="left"/>
    </w:lvl>
  </w:abstractNum>
  <w:abstractNum w:abstractNumId="2">
    <w:nsid w:val="00000002"/>
    <w:multiLevelType w:val="singleLevel"/>
    <w:tmpl w:val="00000002"/>
    <w:lvl w:ilvl="0" w:tentative="0">
      <w:start w:val="6"/>
      <w:numFmt w:val="chineseCounting"/>
      <w:suff w:val="nothing"/>
      <w:lvlText w:val="%1、"/>
      <w:lvlJc w:val="left"/>
      <w:rPr>
        <w:rFonts w:hint="eastAsia"/>
      </w:rPr>
    </w:lvl>
  </w:abstractNum>
  <w:abstractNum w:abstractNumId="3">
    <w:nsid w:val="00000003"/>
    <w:multiLevelType w:val="singleLevel"/>
    <w:tmpl w:val="00000003"/>
    <w:lvl w:ilvl="0" w:tentative="0">
      <w:start w:val="3"/>
      <w:numFmt w:val="chineseCounting"/>
      <w:suff w:val="nothing"/>
      <w:lvlText w:val="%1、"/>
      <w:lvlJc w:val="left"/>
      <w:rPr>
        <w:rFonts w:hint="eastAsia"/>
      </w:rPr>
    </w:lvl>
  </w:abstractNum>
  <w:abstractNum w:abstractNumId="4">
    <w:nsid w:val="00000004"/>
    <w:multiLevelType w:val="singleLevel"/>
    <w:tmpl w:val="00000004"/>
    <w:lvl w:ilvl="0" w:tentative="0">
      <w:start w:val="4"/>
      <w:numFmt w:val="chineseCounting"/>
      <w:suff w:val="nothing"/>
      <w:lvlText w:val="%1、"/>
      <w:lvlJc w:val="left"/>
      <w:rPr>
        <w:rFonts w:hint="eastAsia"/>
      </w:rPr>
    </w:lvl>
  </w:abstractNum>
  <w:abstractNum w:abstractNumId="5">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6">
    <w:nsid w:val="00000006"/>
    <w:multiLevelType w:val="multilevel"/>
    <w:tmpl w:val="00000006"/>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07"/>
    <w:multiLevelType w:val="multilevel"/>
    <w:tmpl w:val="0000000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08"/>
    <w:multiLevelType w:val="multilevel"/>
    <w:tmpl w:val="00000008"/>
    <w:lvl w:ilvl="0" w:tentative="0">
      <w:start w:val="4"/>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53558E2"/>
    <w:multiLevelType w:val="singleLevel"/>
    <w:tmpl w:val="353558E2"/>
    <w:lvl w:ilvl="0" w:tentative="0">
      <w:start w:val="28"/>
      <w:numFmt w:val="decimal"/>
      <w:lvlText w:val="%1."/>
      <w:lvlJc w:val="left"/>
      <w:pPr>
        <w:tabs>
          <w:tab w:val="left" w:pos="312"/>
        </w:tabs>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4"/>
  </w:num>
  <w:num w:numId="7">
    <w:abstractNumId w:val="2"/>
  </w:num>
  <w:num w:numId="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A74F5"/>
    <w:rsid w:val="097D7058"/>
    <w:rsid w:val="1023300E"/>
    <w:rsid w:val="12314952"/>
    <w:rsid w:val="126F6CFE"/>
    <w:rsid w:val="12BA5A44"/>
    <w:rsid w:val="13AA1EF9"/>
    <w:rsid w:val="14AD3953"/>
    <w:rsid w:val="1543632C"/>
    <w:rsid w:val="16134A1B"/>
    <w:rsid w:val="171657DF"/>
    <w:rsid w:val="1D5C7ED4"/>
    <w:rsid w:val="1FBB18A2"/>
    <w:rsid w:val="1FD224BF"/>
    <w:rsid w:val="20251AE1"/>
    <w:rsid w:val="20C256DD"/>
    <w:rsid w:val="22056B7C"/>
    <w:rsid w:val="287B0F24"/>
    <w:rsid w:val="29061A60"/>
    <w:rsid w:val="29916F47"/>
    <w:rsid w:val="2A992557"/>
    <w:rsid w:val="2B3B360F"/>
    <w:rsid w:val="2DE554CB"/>
    <w:rsid w:val="312406A1"/>
    <w:rsid w:val="32911D66"/>
    <w:rsid w:val="34F85693"/>
    <w:rsid w:val="35AA5C6B"/>
    <w:rsid w:val="37AC673B"/>
    <w:rsid w:val="3B7872F5"/>
    <w:rsid w:val="418F073F"/>
    <w:rsid w:val="422F11C4"/>
    <w:rsid w:val="438801AD"/>
    <w:rsid w:val="43FF251E"/>
    <w:rsid w:val="45C142B9"/>
    <w:rsid w:val="463B7E1F"/>
    <w:rsid w:val="48B25A0D"/>
    <w:rsid w:val="494B2817"/>
    <w:rsid w:val="4C3B3017"/>
    <w:rsid w:val="55023F28"/>
    <w:rsid w:val="55AB742D"/>
    <w:rsid w:val="58BE3005"/>
    <w:rsid w:val="5A10566E"/>
    <w:rsid w:val="5EFA28BD"/>
    <w:rsid w:val="62211D8E"/>
    <w:rsid w:val="641E7501"/>
    <w:rsid w:val="65D75707"/>
    <w:rsid w:val="67655552"/>
    <w:rsid w:val="6A243F51"/>
    <w:rsid w:val="6AA777A7"/>
    <w:rsid w:val="6D5C2CDA"/>
    <w:rsid w:val="71E36EE3"/>
    <w:rsid w:val="72D66FA7"/>
    <w:rsid w:val="79491CF5"/>
    <w:rsid w:val="798922B6"/>
    <w:rsid w:val="7C4A0521"/>
    <w:rsid w:val="7CD4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3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30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8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15"/>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9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qFormat/>
    <w:uiPriority w:val="1"/>
  </w:style>
  <w:style w:type="table" w:default="1" w:styleId="63">
    <w:name w:val="Normal Table"/>
    <w:qFormat/>
    <w:uiPriority w:val="99"/>
    <w:tblPr>
      <w:tblCellMar>
        <w:top w:w="0" w:type="dxa"/>
        <w:left w:w="108" w:type="dxa"/>
        <w:bottom w:w="0" w:type="dxa"/>
        <w:right w:w="108" w:type="dxa"/>
      </w:tblCellMar>
    </w:tblPr>
  </w:style>
  <w:style w:type="paragraph" w:styleId="5">
    <w:name w:val="Normal Indent"/>
    <w:basedOn w:val="1"/>
    <w:link w:val="204"/>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3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13"/>
    <w:qFormat/>
    <w:uiPriority w:val="0"/>
    <w:pPr>
      <w:shd w:val="clear" w:color="auto" w:fill="000080"/>
    </w:pPr>
  </w:style>
  <w:style w:type="paragraph" w:styleId="19">
    <w:name w:val="annotation text"/>
    <w:basedOn w:val="1"/>
    <w:link w:val="351"/>
    <w:qFormat/>
    <w:uiPriority w:val="99"/>
    <w:pPr>
      <w:jc w:val="left"/>
    </w:pPr>
  </w:style>
  <w:style w:type="paragraph" w:styleId="20">
    <w:name w:val="Salutation"/>
    <w:basedOn w:val="1"/>
    <w:next w:val="1"/>
    <w:link w:val="306"/>
    <w:qFormat/>
    <w:uiPriority w:val="0"/>
    <w:rPr>
      <w:rFonts w:ascii="仿宋_GB2312" w:eastAsia="仿宋_GB2312"/>
      <w:sz w:val="28"/>
      <w:szCs w:val="20"/>
    </w:rPr>
  </w:style>
  <w:style w:type="paragraph" w:styleId="21">
    <w:name w:val="Body Text 3"/>
    <w:basedOn w:val="1"/>
    <w:link w:val="337"/>
    <w:qFormat/>
    <w:uiPriority w:val="0"/>
    <w:pPr>
      <w:jc w:val="center"/>
    </w:pPr>
    <w:rPr>
      <w:szCs w:val="20"/>
    </w:rPr>
  </w:style>
  <w:style w:type="paragraph" w:styleId="22">
    <w:name w:val="List Bullet 3"/>
    <w:basedOn w:val="1"/>
    <w:qFormat/>
    <w:uiPriority w:val="0"/>
    <w:pPr>
      <w:snapToGrid w:val="0"/>
      <w:spacing w:line="360" w:lineRule="auto"/>
      <w:ind w:left="360" w:right="238" w:hanging="360"/>
      <w:contextualSpacing/>
    </w:pPr>
    <w:rPr>
      <w:sz w:val="24"/>
    </w:rPr>
  </w:style>
  <w:style w:type="paragraph" w:styleId="23">
    <w:name w:val="Body Text"/>
    <w:basedOn w:val="1"/>
    <w:link w:val="436"/>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74"/>
    <w:qFormat/>
    <w:uiPriority w:val="99"/>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37"/>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92"/>
    <w:qFormat/>
    <w:uiPriority w:val="0"/>
    <w:pPr>
      <w:ind w:left="100" w:leftChars="2500"/>
    </w:pPr>
    <w:rPr>
      <w:rFonts w:ascii="宋体"/>
      <w:sz w:val="24"/>
      <w:szCs w:val="21"/>
      <w:lang w:val="zh-CN"/>
    </w:rPr>
  </w:style>
  <w:style w:type="paragraph" w:styleId="36">
    <w:name w:val="Body Text Indent 2"/>
    <w:basedOn w:val="1"/>
    <w:link w:val="316"/>
    <w:qFormat/>
    <w:uiPriority w:val="0"/>
    <w:pPr>
      <w:spacing w:line="360" w:lineRule="auto"/>
      <w:ind w:firstLine="601"/>
      <w:textAlignment w:val="baseline"/>
    </w:pPr>
    <w:rPr>
      <w:rFonts w:ascii="宋体"/>
      <w:kern w:val="0"/>
      <w:sz w:val="28"/>
      <w:szCs w:val="20"/>
    </w:rPr>
  </w:style>
  <w:style w:type="paragraph" w:styleId="37">
    <w:name w:val="endnote text"/>
    <w:basedOn w:val="1"/>
    <w:link w:val="933"/>
    <w:qFormat/>
    <w:uiPriority w:val="0"/>
    <w:rPr>
      <w:lang w:val="zh-CN"/>
    </w:rPr>
  </w:style>
  <w:style w:type="paragraph" w:styleId="38">
    <w:name w:val="Balloon Text"/>
    <w:basedOn w:val="1"/>
    <w:link w:val="199"/>
    <w:qFormat/>
    <w:uiPriority w:val="0"/>
    <w:rPr>
      <w:sz w:val="18"/>
      <w:szCs w:val="18"/>
    </w:rPr>
  </w:style>
  <w:style w:type="paragraph" w:styleId="39">
    <w:name w:val="footer"/>
    <w:basedOn w:val="1"/>
    <w:link w:val="390"/>
    <w:qFormat/>
    <w:uiPriority w:val="99"/>
    <w:pPr>
      <w:tabs>
        <w:tab w:val="center" w:pos="4153"/>
        <w:tab w:val="right" w:pos="8306"/>
      </w:tabs>
      <w:snapToGrid w:val="0"/>
      <w:jc w:val="left"/>
    </w:pPr>
    <w:rPr>
      <w:sz w:val="18"/>
      <w:szCs w:val="18"/>
    </w:rPr>
  </w:style>
  <w:style w:type="paragraph" w:styleId="40">
    <w:name w:val="envelope return"/>
    <w:basedOn w:val="1"/>
    <w:qFormat/>
    <w:uiPriority w:val="99"/>
    <w:pPr>
      <w:snapToGrid w:val="0"/>
    </w:pPr>
    <w:rPr>
      <w:rFonts w:ascii="Arial" w:hAnsi="Arial" w:cs="Arial"/>
      <w:sz w:val="24"/>
    </w:rPr>
  </w:style>
  <w:style w:type="paragraph" w:styleId="41">
    <w:name w:val="header"/>
    <w:basedOn w:val="1"/>
    <w:link w:val="398"/>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52"/>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45"/>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318"/>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82"/>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10"/>
    <w:qFormat/>
    <w:uiPriority w:val="0"/>
    <w:pPr>
      <w:spacing w:after="120" w:line="480" w:lineRule="auto"/>
    </w:pPr>
  </w:style>
  <w:style w:type="paragraph" w:styleId="57">
    <w:name w:val="HTML Preformatted"/>
    <w:basedOn w:val="1"/>
    <w:link w:val="3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94"/>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110"/>
    <w:qFormat/>
    <w:uiPriority w:val="0"/>
    <w:rPr>
      <w:b/>
      <w:bCs/>
    </w:rPr>
  </w:style>
  <w:style w:type="paragraph" w:styleId="61">
    <w:name w:val="Body Text First Indent"/>
    <w:basedOn w:val="23"/>
    <w:link w:val="328"/>
    <w:qFormat/>
    <w:uiPriority w:val="0"/>
    <w:pPr>
      <w:ind w:firstLine="420"/>
    </w:pPr>
    <w:rPr>
      <w:rFonts w:hAnsi="Calibri" w:cs="Times New Roman"/>
      <w:snapToGrid/>
      <w:szCs w:val="20"/>
    </w:rPr>
  </w:style>
  <w:style w:type="paragraph" w:styleId="62">
    <w:name w:val="Body Text First Indent 2"/>
    <w:basedOn w:val="24"/>
    <w:next w:val="1"/>
    <w:link w:val="133"/>
    <w:qFormat/>
    <w:uiPriority w:val="99"/>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basedOn w:val="70"/>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0"/>
    <w:rPr>
      <w:sz w:val="21"/>
      <w:szCs w:val="21"/>
    </w:rPr>
  </w:style>
  <w:style w:type="paragraph" w:styleId="80">
    <w:name w:val="List Paragraph"/>
    <w:basedOn w:val="1"/>
    <w:qFormat/>
    <w:uiPriority w:val="34"/>
    <w:pPr>
      <w:spacing w:line="360" w:lineRule="auto"/>
      <w:ind w:firstLine="200" w:firstLineChars="200"/>
    </w:pPr>
    <w:rPr>
      <w:rFonts w:eastAsia="楷体_GB2312" w:cs="Lucida Sans"/>
      <w:sz w:val="24"/>
    </w:rPr>
  </w:style>
  <w:style w:type="character" w:customStyle="1" w:styleId="81">
    <w:name w:val="标题 3 字符"/>
    <w:qFormat/>
    <w:uiPriority w:val="9"/>
    <w:rPr>
      <w:b/>
      <w:bCs/>
      <w:kern w:val="2"/>
      <w:sz w:val="32"/>
      <w:szCs w:val="32"/>
    </w:rPr>
  </w:style>
  <w:style w:type="character" w:customStyle="1" w:styleId="82">
    <w:name w:val="标题 1 Char"/>
    <w:link w:val="2"/>
    <w:qFormat/>
    <w:uiPriority w:val="9"/>
    <w:rPr>
      <w:b/>
      <w:bCs/>
      <w:kern w:val="44"/>
      <w:sz w:val="44"/>
      <w:szCs w:val="44"/>
    </w:rPr>
  </w:style>
  <w:style w:type="character" w:customStyle="1" w:styleId="83">
    <w:name w:val="标题 2 Char"/>
    <w:qFormat/>
    <w:uiPriority w:val="0"/>
    <w:rPr>
      <w:rFonts w:ascii="Arial" w:hAnsi="Arial" w:eastAsia="黑体"/>
      <w:b/>
      <w:kern w:val="2"/>
      <w:sz w:val="32"/>
      <w:lang w:val="en-US" w:eastAsia="zh-CN"/>
    </w:rPr>
  </w:style>
  <w:style w:type="paragraph" w:customStyle="1" w:styleId="84">
    <w:name w:val="正文1"/>
    <w:basedOn w:val="31"/>
    <w:qFormat/>
    <w:uiPriority w:val="0"/>
    <w:pPr>
      <w:ind w:left="0" w:leftChars="0" w:firstLine="480" w:firstLineChars="200"/>
    </w:pPr>
    <w:rPr>
      <w:rFonts w:ascii="仿宋_GB2312" w:hAnsi="Courier New" w:eastAsia="仿宋_GB2312"/>
      <w:kern w:val="28"/>
      <w:sz w:val="24"/>
    </w:rPr>
  </w:style>
  <w:style w:type="character" w:customStyle="1" w:styleId="85">
    <w:name w:val="正文1 Char"/>
    <w:qFormat/>
    <w:uiPriority w:val="0"/>
    <w:rPr>
      <w:rFonts w:ascii="宋体" w:eastAsia="宋体"/>
      <w:snapToGrid w:val="0"/>
      <w:color w:val="000000"/>
      <w:kern w:val="28"/>
      <w:sz w:val="28"/>
      <w:lang w:val="en-US" w:eastAsia="zh-CN" w:bidi="ar-SA"/>
    </w:rPr>
  </w:style>
  <w:style w:type="character" w:customStyle="1" w:styleId="86">
    <w:name w:val="标题 6 Char"/>
    <w:link w:val="8"/>
    <w:qFormat/>
    <w:uiPriority w:val="0"/>
    <w:rPr>
      <w:rFonts w:ascii="Arial" w:hAnsi="Arial" w:eastAsia="黑体"/>
      <w:b/>
      <w:bCs/>
      <w:kern w:val="2"/>
      <w:sz w:val="24"/>
      <w:szCs w:val="24"/>
    </w:rPr>
  </w:style>
  <w:style w:type="paragraph" w:customStyle="1" w:styleId="87">
    <w:name w:val="表格"/>
    <w:basedOn w:val="1"/>
    <w:qFormat/>
    <w:uiPriority w:val="0"/>
    <w:pPr>
      <w:snapToGrid w:val="0"/>
      <w:ind w:firstLine="42" w:firstLineChars="21"/>
    </w:pPr>
    <w:rPr>
      <w:rFonts w:ascii="宋体" w:hAnsi="宋体"/>
      <w:kern w:val="0"/>
      <w:sz w:val="20"/>
      <w:szCs w:val="20"/>
    </w:rPr>
  </w:style>
  <w:style w:type="character" w:customStyle="1" w:styleId="88">
    <w:name w:val="标题 4 Char"/>
    <w:qFormat/>
    <w:uiPriority w:val="0"/>
    <w:rPr>
      <w:rFonts w:ascii="Arial" w:hAnsi="Arial" w:eastAsia="黑体"/>
      <w:b/>
      <w:kern w:val="2"/>
      <w:sz w:val="28"/>
    </w:rPr>
  </w:style>
  <w:style w:type="paragraph" w:customStyle="1" w:styleId="89">
    <w:name w:val="表格3"/>
    <w:basedOn w:val="1"/>
    <w:qFormat/>
    <w:uiPriority w:val="0"/>
    <w:pPr>
      <w:jc w:val="left"/>
    </w:pPr>
    <w:rPr>
      <w:rFonts w:hint="eastAsia" w:ascii="宋体" w:hAnsi="宋体" w:cs="宋体"/>
      <w:b/>
      <w:szCs w:val="21"/>
    </w:rPr>
  </w:style>
  <w:style w:type="paragraph" w:customStyle="1" w:styleId="90">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1">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92">
    <w:name w:val="4级标题"/>
    <w:basedOn w:val="8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93">
    <w:name w:val="段落"/>
    <w:basedOn w:val="1"/>
    <w:link w:val="395"/>
    <w:qFormat/>
    <w:uiPriority w:val="0"/>
    <w:pPr>
      <w:adjustRightInd/>
      <w:spacing w:line="360" w:lineRule="auto"/>
      <w:ind w:firstLine="480" w:firstLineChars="200"/>
    </w:pPr>
    <w:rPr>
      <w:rFonts w:ascii="宋体" w:hAnsi="宋体"/>
      <w:kern w:val="0"/>
      <w:sz w:val="24"/>
      <w:szCs w:val="20"/>
    </w:rPr>
  </w:style>
  <w:style w:type="paragraph" w:customStyle="1" w:styleId="94">
    <w:name w:val="正文空2字"/>
    <w:basedOn w:val="95"/>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5">
    <w:name w:val="左对齐正文"/>
    <w:qFormat/>
    <w:uiPriority w:val="99"/>
    <w:rPr>
      <w:rFonts w:ascii="Calibri" w:hAnsi="Calibri" w:eastAsia="仿宋_GB2312" w:cs="Calibri"/>
      <w:kern w:val="2"/>
      <w:sz w:val="32"/>
      <w:szCs w:val="32"/>
      <w:lang w:val="en-US" w:eastAsia="zh-CN" w:bidi="ar-SA"/>
    </w:rPr>
  </w:style>
  <w:style w:type="character" w:customStyle="1" w:styleId="96">
    <w:name w:val="表格非标题文字 Char"/>
    <w:link w:val="97"/>
    <w:qFormat/>
    <w:uiPriority w:val="0"/>
    <w:rPr>
      <w:rFonts w:ascii="Futura Bk" w:hAnsi="Futura Bk"/>
      <w:kern w:val="2"/>
      <w:sz w:val="18"/>
      <w:szCs w:val="21"/>
      <w:lang w:val="en-US" w:eastAsia="zh-CN" w:bidi="ar-SA"/>
    </w:rPr>
  </w:style>
  <w:style w:type="paragraph" w:customStyle="1" w:styleId="97">
    <w:name w:val="表格非标题文字"/>
    <w:link w:val="96"/>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8">
    <w:name w:val="*正文 Char"/>
    <w:link w:val="99"/>
    <w:qFormat/>
    <w:uiPriority w:val="0"/>
    <w:rPr>
      <w:rFonts w:ascii="宋体" w:hAnsi="宋体"/>
      <w:sz w:val="24"/>
    </w:rPr>
  </w:style>
  <w:style w:type="paragraph" w:customStyle="1" w:styleId="99">
    <w:name w:val="*正文"/>
    <w:basedOn w:val="1"/>
    <w:link w:val="98"/>
    <w:qFormat/>
    <w:uiPriority w:val="0"/>
    <w:pPr>
      <w:snapToGrid w:val="0"/>
      <w:spacing w:line="360" w:lineRule="auto"/>
      <w:ind w:firstLine="482"/>
      <w:jc w:val="left"/>
    </w:pPr>
    <w:rPr>
      <w:rFonts w:ascii="宋体" w:hAnsi="宋体"/>
      <w:kern w:val="0"/>
      <w:sz w:val="24"/>
      <w:szCs w:val="20"/>
    </w:rPr>
  </w:style>
  <w:style w:type="character" w:customStyle="1" w:styleId="100">
    <w:name w:val="Char Char71"/>
    <w:qFormat/>
    <w:uiPriority w:val="0"/>
    <w:rPr>
      <w:rFonts w:eastAsia="宋体"/>
      <w:kern w:val="2"/>
      <w:sz w:val="21"/>
      <w:szCs w:val="24"/>
      <w:lang w:val="en-US" w:eastAsia="zh-CN" w:bidi="ar-SA"/>
    </w:rPr>
  </w:style>
  <w:style w:type="character" w:customStyle="1" w:styleId="101">
    <w:name w:val="Char Char6"/>
    <w:qFormat/>
    <w:uiPriority w:val="0"/>
    <w:rPr>
      <w:rFonts w:eastAsia="宋体"/>
      <w:kern w:val="2"/>
      <w:sz w:val="21"/>
      <w:szCs w:val="24"/>
      <w:lang w:val="en-US" w:eastAsia="zh-CN" w:bidi="ar-SA"/>
    </w:rPr>
  </w:style>
  <w:style w:type="character" w:customStyle="1" w:styleId="102">
    <w:name w:val="正文缩进 Char"/>
    <w:qFormat/>
    <w:uiPriority w:val="0"/>
    <w:rPr>
      <w:rFonts w:eastAsia="宋体"/>
      <w:kern w:val="2"/>
      <w:sz w:val="21"/>
      <w:lang w:val="en-US" w:eastAsia="zh-CN"/>
    </w:rPr>
  </w:style>
  <w:style w:type="character" w:customStyle="1" w:styleId="103">
    <w:name w:val="正文首行缩进 Char1"/>
    <w:qFormat/>
    <w:uiPriority w:val="0"/>
    <w:rPr>
      <w:rFonts w:ascii="宋体" w:hAnsi="Times New Roman" w:eastAsia="宋体" w:cs="Times New Roman"/>
      <w:snapToGrid w:val="0"/>
      <w:kern w:val="2"/>
      <w:sz w:val="24"/>
      <w:szCs w:val="21"/>
      <w:lang w:val="zh-CN"/>
    </w:rPr>
  </w:style>
  <w:style w:type="character" w:customStyle="1" w:styleId="104">
    <w:name w:val="Char Char28"/>
    <w:qFormat/>
    <w:uiPriority w:val="6"/>
    <w:rPr>
      <w:rFonts w:ascii="仿宋_GB2312" w:hAnsi="仿宋_GB2312" w:eastAsia="仿宋_GB2312"/>
      <w:kern w:val="1"/>
      <w:sz w:val="28"/>
    </w:rPr>
  </w:style>
  <w:style w:type="character" w:customStyle="1" w:styleId="10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06">
    <w:name w:val="Heading 1 Char_34e7d7d5-3db3-46ac-ba03-226309df7cfe"/>
    <w:qFormat/>
    <w:uiPriority w:val="6"/>
    <w:rPr>
      <w:rFonts w:ascii="Times New Roman" w:hAnsi="Times New Roman" w:eastAsia="黑体" w:cs="Times New Roman"/>
      <w:b/>
      <w:kern w:val="0"/>
      <w:sz w:val="24"/>
      <w:szCs w:val="24"/>
    </w:rPr>
  </w:style>
  <w:style w:type="character" w:customStyle="1" w:styleId="107">
    <w:name w:val="U_正文 Char"/>
    <w:link w:val="108"/>
    <w:qFormat/>
    <w:uiPriority w:val="0"/>
    <w:rPr>
      <w:sz w:val="24"/>
      <w:szCs w:val="24"/>
    </w:rPr>
  </w:style>
  <w:style w:type="paragraph" w:customStyle="1" w:styleId="108">
    <w:name w:val="U_正文"/>
    <w:basedOn w:val="1"/>
    <w:link w:val="107"/>
    <w:qFormat/>
    <w:uiPriority w:val="0"/>
    <w:pPr>
      <w:adjustRightInd/>
      <w:spacing w:beforeLines="20" w:afterLines="20" w:line="300" w:lineRule="auto"/>
      <w:ind w:firstLine="200" w:firstLineChars="200"/>
    </w:pPr>
    <w:rPr>
      <w:kern w:val="0"/>
      <w:sz w:val="24"/>
    </w:rPr>
  </w:style>
  <w:style w:type="character" w:customStyle="1" w:styleId="109">
    <w:name w:val="HTML 地址 Char1"/>
    <w:qFormat/>
    <w:uiPriority w:val="0"/>
    <w:rPr>
      <w:rFonts w:ascii="Times New Roman" w:hAnsi="Times New Roman" w:eastAsia="宋体" w:cs="Times New Roman"/>
      <w:i/>
      <w:iCs/>
      <w:szCs w:val="24"/>
    </w:rPr>
  </w:style>
  <w:style w:type="character" w:customStyle="1" w:styleId="110">
    <w:name w:val="批注主题 Char1"/>
    <w:link w:val="60"/>
    <w:qFormat/>
    <w:uiPriority w:val="0"/>
    <w:rPr>
      <w:b/>
      <w:bCs/>
      <w:kern w:val="2"/>
      <w:sz w:val="21"/>
      <w:szCs w:val="24"/>
    </w:rPr>
  </w:style>
  <w:style w:type="character" w:customStyle="1" w:styleId="111">
    <w:name w:val="Char Char51"/>
    <w:qFormat/>
    <w:uiPriority w:val="0"/>
    <w:rPr>
      <w:rFonts w:ascii="宋体" w:hAnsi="Courier New" w:eastAsia="宋体"/>
      <w:kern w:val="2"/>
      <w:sz w:val="21"/>
      <w:lang w:val="en-US" w:eastAsia="zh-CN"/>
    </w:rPr>
  </w:style>
  <w:style w:type="character" w:customStyle="1" w:styleId="112">
    <w:name w:val="表正文 Char"/>
    <w:qFormat/>
    <w:uiPriority w:val="0"/>
    <w:rPr>
      <w:rFonts w:ascii="宋体" w:eastAsia="宋体"/>
      <w:snapToGrid w:val="0"/>
      <w:color w:val="000000"/>
      <w:kern w:val="28"/>
      <w:sz w:val="28"/>
      <w:lang w:val="en-US" w:eastAsia="zh-CN" w:bidi="ar-SA"/>
    </w:rPr>
  </w:style>
  <w:style w:type="character" w:customStyle="1" w:styleId="113">
    <w:name w:val="Char Char34"/>
    <w:qFormat/>
    <w:uiPriority w:val="6"/>
    <w:rPr>
      <w:b/>
      <w:kern w:val="1"/>
      <w:sz w:val="28"/>
      <w:szCs w:val="28"/>
    </w:rPr>
  </w:style>
  <w:style w:type="character" w:customStyle="1" w:styleId="114">
    <w:name w:val="Normal Indent Char"/>
    <w:qFormat/>
    <w:uiPriority w:val="0"/>
    <w:rPr>
      <w:rFonts w:ascii="Calibri" w:hAnsi="Calibri" w:eastAsia="宋体" w:cs="黑体"/>
      <w:snapToGrid w:val="0"/>
      <w:kern w:val="2"/>
      <w:sz w:val="24"/>
      <w:szCs w:val="22"/>
      <w:lang w:val="en-US" w:eastAsia="zh-CN" w:bidi="ar-SA"/>
    </w:rPr>
  </w:style>
  <w:style w:type="character" w:customStyle="1" w:styleId="115">
    <w:name w:val="哈哈正文 Char"/>
    <w:link w:val="116"/>
    <w:qFormat/>
    <w:uiPriority w:val="0"/>
    <w:rPr>
      <w:rFonts w:ascii="宋体" w:hAnsi="宋体" w:eastAsia="宋体"/>
      <w:kern w:val="2"/>
      <w:sz w:val="24"/>
      <w:lang w:bidi="ar-SA"/>
    </w:rPr>
  </w:style>
  <w:style w:type="paragraph" w:customStyle="1" w:styleId="116">
    <w:name w:val="哈哈正文"/>
    <w:basedOn w:val="1"/>
    <w:link w:val="115"/>
    <w:qFormat/>
    <w:uiPriority w:val="0"/>
    <w:pPr>
      <w:adjustRightInd/>
      <w:spacing w:line="360" w:lineRule="auto"/>
      <w:ind w:firstLine="200" w:firstLineChars="200"/>
    </w:pPr>
    <w:rPr>
      <w:rFonts w:ascii="宋体" w:hAnsi="宋体"/>
      <w:sz w:val="24"/>
      <w:szCs w:val="20"/>
    </w:rPr>
  </w:style>
  <w:style w:type="character" w:customStyle="1" w:styleId="117">
    <w:name w:val="未处理的提及1"/>
    <w:qFormat/>
    <w:uiPriority w:val="0"/>
    <w:rPr>
      <w:color w:val="808080"/>
      <w:shd w:val="clear" w:color="auto" w:fill="E6E6E6"/>
    </w:rPr>
  </w:style>
  <w:style w:type="character" w:customStyle="1" w:styleId="118">
    <w:name w:val="txt"/>
    <w:qFormat/>
    <w:uiPriority w:val="0"/>
    <w:rPr>
      <w:rFonts w:ascii="仿宋_GB2312" w:eastAsia="微软雅黑"/>
      <w:b/>
      <w:kern w:val="2"/>
      <w:sz w:val="32"/>
      <w:szCs w:val="32"/>
      <w:lang w:val="en-US" w:eastAsia="zh-CN" w:bidi="ar-SA"/>
    </w:rPr>
  </w:style>
  <w:style w:type="character" w:customStyle="1" w:styleId="119">
    <w:name w:val="二级标题 Char Char"/>
    <w:qFormat/>
    <w:uiPriority w:val="0"/>
    <w:rPr>
      <w:rFonts w:ascii="宋体" w:hAnsi="宋体" w:eastAsia="宋体"/>
      <w:b/>
      <w:snapToGrid w:val="0"/>
      <w:kern w:val="2"/>
      <w:sz w:val="24"/>
      <w:szCs w:val="24"/>
      <w:lang w:val="en-US" w:eastAsia="zh-CN" w:bidi="ar-SA"/>
    </w:rPr>
  </w:style>
  <w:style w:type="character" w:customStyle="1" w:styleId="120">
    <w:name w:val="Char Char32"/>
    <w:qFormat/>
    <w:uiPriority w:val="6"/>
    <w:rPr>
      <w:b/>
      <w:kern w:val="1"/>
      <w:sz w:val="24"/>
      <w:szCs w:val="24"/>
    </w:rPr>
  </w:style>
  <w:style w:type="character" w:customStyle="1" w:styleId="121">
    <w:name w:val="PI Char1"/>
    <w:qFormat/>
    <w:uiPriority w:val="0"/>
    <w:rPr>
      <w:rFonts w:ascii="宋体" w:hAnsi="宋体"/>
      <w:kern w:val="2"/>
      <w:sz w:val="24"/>
      <w:szCs w:val="24"/>
    </w:rPr>
  </w:style>
  <w:style w:type="character" w:customStyle="1" w:styleId="122">
    <w:name w:val="tw4winTerm"/>
    <w:qFormat/>
    <w:uiPriority w:val="0"/>
    <w:rPr>
      <w:color w:val="0000FF"/>
    </w:rPr>
  </w:style>
  <w:style w:type="character" w:customStyle="1" w:styleId="123">
    <w:name w:val="Footer Char_7292c12c-cf37-415d-990d-58b2a94a562f"/>
    <w:qFormat/>
    <w:uiPriority w:val="0"/>
    <w:rPr>
      <w:rFonts w:eastAsia="宋体"/>
      <w:kern w:val="2"/>
      <w:sz w:val="18"/>
      <w:lang w:val="en-US" w:eastAsia="zh-CN" w:bidi="ar-SA"/>
    </w:rPr>
  </w:style>
  <w:style w:type="character" w:customStyle="1" w:styleId="124">
    <w:name w:val="普通文字 Char Char1"/>
    <w:qFormat/>
    <w:uiPriority w:val="0"/>
    <w:rPr>
      <w:rFonts w:ascii="宋体" w:hAnsi="Courier New"/>
      <w:kern w:val="2"/>
      <w:sz w:val="21"/>
    </w:rPr>
  </w:style>
  <w:style w:type="character" w:customStyle="1" w:styleId="125">
    <w:name w:val="Char Char101"/>
    <w:qFormat/>
    <w:uiPriority w:val="6"/>
    <w:rPr>
      <w:rFonts w:ascii="宋体" w:hAnsi="宋体"/>
      <w:kern w:val="2"/>
      <w:sz w:val="21"/>
      <w:szCs w:val="24"/>
      <w:lang w:val="en-US" w:eastAsia="zh-CN"/>
    </w:rPr>
  </w:style>
  <w:style w:type="character" w:customStyle="1" w:styleId="126">
    <w:name w:val="链接"/>
    <w:qFormat/>
    <w:uiPriority w:val="0"/>
    <w:rPr>
      <w:color w:val="0000FF"/>
      <w:sz w:val="21"/>
      <w:szCs w:val="21"/>
      <w:u w:val="single"/>
    </w:rPr>
  </w:style>
  <w:style w:type="character" w:customStyle="1" w:styleId="127">
    <w:name w:val="h4 Char"/>
    <w:qFormat/>
    <w:uiPriority w:val="0"/>
    <w:rPr>
      <w:rFonts w:ascii="Arial" w:hAnsi="Arial" w:eastAsia="黑体"/>
      <w:b/>
      <w:bCs/>
      <w:kern w:val="2"/>
      <w:sz w:val="28"/>
      <w:szCs w:val="28"/>
      <w:lang w:val="zh-CN" w:eastAsia="zh-CN" w:bidi="ar-SA"/>
    </w:rPr>
  </w:style>
  <w:style w:type="character" w:customStyle="1" w:styleId="128">
    <w:name w:val="5正文 Char"/>
    <w:link w:val="129"/>
    <w:qFormat/>
    <w:uiPriority w:val="0"/>
    <w:rPr>
      <w:rFonts w:ascii="仿宋_GB2312" w:hAnsi="微软雅黑" w:eastAsia="仿宋_GB2312"/>
      <w:sz w:val="28"/>
      <w:szCs w:val="21"/>
    </w:rPr>
  </w:style>
  <w:style w:type="paragraph" w:customStyle="1" w:styleId="129">
    <w:name w:val="5正文"/>
    <w:basedOn w:val="1"/>
    <w:link w:val="128"/>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30">
    <w:name w:val="样式6 Char"/>
    <w:qFormat/>
    <w:uiPriority w:val="0"/>
    <w:rPr>
      <w:rFonts w:ascii="仿宋_GB2312" w:hAnsi="宋体" w:eastAsia="仿宋_GB2312"/>
      <w:b/>
      <w:bCs/>
      <w:kern w:val="2"/>
      <w:sz w:val="24"/>
      <w:szCs w:val="24"/>
      <w:lang w:val="en-US" w:eastAsia="zh-CN" w:bidi="ar-SA"/>
    </w:rPr>
  </w:style>
  <w:style w:type="character" w:customStyle="1" w:styleId="131">
    <w:name w:val="Char Char14"/>
    <w:qFormat/>
    <w:uiPriority w:val="6"/>
    <w:rPr>
      <w:rFonts w:ascii="黑体" w:hAnsi="黑体" w:eastAsia="黑体"/>
    </w:rPr>
  </w:style>
  <w:style w:type="character" w:customStyle="1" w:styleId="132">
    <w:name w:val="Heading 2 Hidden Char"/>
    <w:qFormat/>
    <w:uiPriority w:val="0"/>
    <w:rPr>
      <w:rFonts w:ascii="仿宋_GB2312" w:eastAsia="仿宋_GB2312"/>
      <w:b/>
      <w:bCs/>
      <w:kern w:val="2"/>
      <w:sz w:val="24"/>
      <w:szCs w:val="24"/>
      <w:lang w:val="zh-CN" w:eastAsia="zh-CN" w:bidi="ar-SA"/>
    </w:rPr>
  </w:style>
  <w:style w:type="character" w:customStyle="1" w:styleId="133">
    <w:name w:val="正文首行缩进 2 Char"/>
    <w:link w:val="62"/>
    <w:qFormat/>
    <w:uiPriority w:val="99"/>
    <w:rPr>
      <w:rFonts w:ascii="宋体" w:hAnsi="宋体"/>
      <w:kern w:val="2"/>
      <w:sz w:val="21"/>
      <w:szCs w:val="24"/>
    </w:rPr>
  </w:style>
  <w:style w:type="character" w:customStyle="1" w:styleId="134">
    <w:name w:val="font11"/>
    <w:qFormat/>
    <w:uiPriority w:val="0"/>
    <w:rPr>
      <w:rFonts w:hint="default" w:ascii="Times New Roman" w:hAnsi="Times New Roman" w:cs="Times New Roman"/>
      <w:color w:val="000000"/>
      <w:sz w:val="22"/>
      <w:szCs w:val="22"/>
      <w:u w:val="none"/>
    </w:rPr>
  </w:style>
  <w:style w:type="character" w:customStyle="1" w:styleId="135">
    <w:name w:val="表正文 Char1"/>
    <w:qFormat/>
    <w:uiPriority w:val="0"/>
    <w:rPr>
      <w:rFonts w:ascii="宋体" w:eastAsia="宋体"/>
      <w:snapToGrid w:val="0"/>
      <w:color w:val="000000"/>
      <w:kern w:val="28"/>
      <w:sz w:val="28"/>
    </w:rPr>
  </w:style>
  <w:style w:type="character" w:customStyle="1" w:styleId="136">
    <w:name w:val="blue1"/>
    <w:basedOn w:val="70"/>
    <w:qFormat/>
    <w:uiPriority w:val="0"/>
    <w:rPr>
      <w:rFonts w:ascii="Arial" w:hAnsi="Arial" w:eastAsia="黑体" w:cs="Arial"/>
      <w:snapToGrid w:val="0"/>
      <w:kern w:val="0"/>
      <w:szCs w:val="21"/>
    </w:rPr>
  </w:style>
  <w:style w:type="character" w:customStyle="1" w:styleId="137">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38">
    <w:name w:val="标书1 Char"/>
    <w:qFormat/>
    <w:uiPriority w:val="0"/>
    <w:rPr>
      <w:rFonts w:eastAsia="宋体"/>
      <w:b/>
      <w:bCs/>
      <w:kern w:val="44"/>
      <w:sz w:val="44"/>
      <w:szCs w:val="44"/>
      <w:lang w:val="en-US" w:eastAsia="zh-CN" w:bidi="ar-SA"/>
    </w:rPr>
  </w:style>
  <w:style w:type="character" w:customStyle="1" w:styleId="139">
    <w:name w:val="样式5 Char"/>
    <w:qFormat/>
    <w:uiPriority w:val="0"/>
    <w:rPr>
      <w:rFonts w:ascii="仿宋_GB2312" w:hAnsi="仿宋" w:eastAsia="仿宋_GB2312"/>
      <w:kern w:val="2"/>
      <w:sz w:val="24"/>
      <w:szCs w:val="24"/>
    </w:rPr>
  </w:style>
  <w:style w:type="character" w:customStyle="1" w:styleId="140">
    <w:name w:val="样式4 Char"/>
    <w:qFormat/>
    <w:uiPriority w:val="0"/>
    <w:rPr>
      <w:rFonts w:ascii="仿宋_GB2312" w:hAnsi="仿宋" w:eastAsia="仿宋_GB2312"/>
      <w:b/>
      <w:kern w:val="2"/>
      <w:sz w:val="32"/>
      <w:szCs w:val="32"/>
      <w:lang w:bidi="ar-SA"/>
    </w:rPr>
  </w:style>
  <w:style w:type="character" w:customStyle="1" w:styleId="141">
    <w:name w:val="插图说明 Char"/>
    <w:qFormat/>
    <w:uiPriority w:val="0"/>
    <w:rPr>
      <w:rFonts w:eastAsia="黑体"/>
      <w:sz w:val="24"/>
      <w:lang w:val="en-US" w:eastAsia="zh-CN"/>
    </w:rPr>
  </w:style>
  <w:style w:type="character" w:customStyle="1" w:styleId="142">
    <w:name w:val="正文2 Char Char"/>
    <w:link w:val="143"/>
    <w:qFormat/>
    <w:uiPriority w:val="0"/>
    <w:rPr>
      <w:rFonts w:eastAsia="宋体"/>
      <w:kern w:val="2"/>
      <w:sz w:val="24"/>
      <w:lang w:val="en-US" w:eastAsia="zh-CN" w:bidi="ar-SA"/>
    </w:rPr>
  </w:style>
  <w:style w:type="paragraph" w:customStyle="1" w:styleId="143">
    <w:name w:val="正文2"/>
    <w:basedOn w:val="1"/>
    <w:link w:val="142"/>
    <w:qFormat/>
    <w:uiPriority w:val="0"/>
    <w:pPr>
      <w:spacing w:before="156" w:line="360" w:lineRule="auto"/>
      <w:ind w:firstLine="510" w:firstLineChars="200"/>
    </w:pPr>
    <w:rPr>
      <w:sz w:val="24"/>
      <w:szCs w:val="20"/>
    </w:rPr>
  </w:style>
  <w:style w:type="character" w:customStyle="1" w:styleId="144">
    <w:name w:val="Char Char24"/>
    <w:qFormat/>
    <w:uiPriority w:val="6"/>
    <w:rPr>
      <w:kern w:val="1"/>
      <w:sz w:val="21"/>
    </w:rPr>
  </w:style>
  <w:style w:type="character" w:customStyle="1" w:styleId="145">
    <w:name w:val="副标题 Char"/>
    <w:link w:val="47"/>
    <w:qFormat/>
    <w:uiPriority w:val="0"/>
    <w:rPr>
      <w:rFonts w:ascii="Arial" w:hAnsi="Arial" w:eastAsia="隶书"/>
      <w:b/>
      <w:bCs/>
      <w:kern w:val="28"/>
      <w:sz w:val="44"/>
      <w:szCs w:val="32"/>
      <w:lang w:val="en-US" w:eastAsia="zh-CN" w:bidi="ar-SA"/>
    </w:rPr>
  </w:style>
  <w:style w:type="character" w:customStyle="1" w:styleId="146">
    <w:name w:val="普通文字 Char1 Char"/>
    <w:qFormat/>
    <w:uiPriority w:val="0"/>
    <w:rPr>
      <w:rFonts w:ascii="宋体" w:hAnsi="Courier New" w:eastAsia="宋体"/>
      <w:kern w:val="2"/>
      <w:sz w:val="21"/>
      <w:szCs w:val="24"/>
      <w:lang w:val="en-US" w:eastAsia="zh-CN" w:bidi="ar-SA"/>
    </w:rPr>
  </w:style>
  <w:style w:type="character" w:customStyle="1" w:styleId="147">
    <w:name w:val="h3 Char1"/>
    <w:qFormat/>
    <w:uiPriority w:val="0"/>
    <w:rPr>
      <w:rFonts w:eastAsia="宋体"/>
      <w:b/>
      <w:bCs/>
      <w:kern w:val="2"/>
      <w:sz w:val="32"/>
      <w:szCs w:val="32"/>
      <w:lang w:bidi="ar-SA"/>
    </w:rPr>
  </w:style>
  <w:style w:type="character" w:customStyle="1" w:styleId="148">
    <w:name w:val="标题 Char1"/>
    <w:qFormat/>
    <w:uiPriority w:val="0"/>
    <w:rPr>
      <w:rFonts w:ascii="Cambria" w:hAnsi="Cambria" w:eastAsia="宋体" w:cs="Times New Roman"/>
      <w:b/>
      <w:bCs/>
      <w:sz w:val="32"/>
      <w:szCs w:val="32"/>
      <w:lang w:bidi="ar-SA"/>
    </w:rPr>
  </w:style>
  <w:style w:type="character" w:customStyle="1" w:styleId="149">
    <w:name w:val="gf正文1 Char"/>
    <w:qFormat/>
    <w:uiPriority w:val="0"/>
    <w:rPr>
      <w:rFonts w:ascii="宋体" w:hAnsi="宋体" w:eastAsia="宋体" w:cs="宋体"/>
      <w:kern w:val="2"/>
      <w:sz w:val="24"/>
      <w:szCs w:val="24"/>
      <w:lang w:val="en-US" w:eastAsia="zh-CN" w:bidi="ar-SA"/>
    </w:rPr>
  </w:style>
  <w:style w:type="character" w:customStyle="1" w:styleId="150">
    <w:name w:val="正文文本缩进 Char1"/>
    <w:qFormat/>
    <w:uiPriority w:val="0"/>
    <w:rPr>
      <w:rFonts w:ascii="Calibri" w:hAnsi="Calibri"/>
      <w:sz w:val="28"/>
    </w:rPr>
  </w:style>
  <w:style w:type="character" w:customStyle="1" w:styleId="151">
    <w:name w:val="No Spacing Char"/>
    <w:link w:val="152"/>
    <w:qFormat/>
    <w:uiPriority w:val="1"/>
    <w:rPr>
      <w:sz w:val="22"/>
      <w:szCs w:val="22"/>
      <w:lang w:val="en-US" w:eastAsia="zh-CN" w:bidi="ar-SA"/>
    </w:rPr>
  </w:style>
  <w:style w:type="paragraph" w:customStyle="1" w:styleId="152">
    <w:name w:val="无间隔1"/>
    <w:link w:val="151"/>
    <w:qFormat/>
    <w:uiPriority w:val="1"/>
    <w:rPr>
      <w:rFonts w:ascii="Times New Roman" w:hAnsi="Times New Roman" w:eastAsia="宋体" w:cs="Times New Roman"/>
      <w:sz w:val="22"/>
      <w:szCs w:val="22"/>
      <w:lang w:val="en-US" w:eastAsia="zh-CN" w:bidi="ar-SA"/>
    </w:rPr>
  </w:style>
  <w:style w:type="character" w:customStyle="1" w:styleId="153">
    <w:name w:val="样式7 Char"/>
    <w:qFormat/>
    <w:uiPriority w:val="0"/>
    <w:rPr>
      <w:rFonts w:ascii="仿宋_GB2312" w:hAnsi="仿宋" w:eastAsia="仿宋_GB2312"/>
      <w:b/>
      <w:kern w:val="2"/>
      <w:sz w:val="24"/>
      <w:szCs w:val="24"/>
    </w:rPr>
  </w:style>
  <w:style w:type="character" w:customStyle="1" w:styleId="154">
    <w:name w:val="font12gray1"/>
    <w:qFormat/>
    <w:uiPriority w:val="0"/>
    <w:rPr>
      <w:rFonts w:ascii="仿宋_GB2312" w:eastAsia="微软雅黑"/>
      <w:b/>
      <w:spacing w:val="300"/>
      <w:kern w:val="2"/>
      <w:sz w:val="18"/>
      <w:szCs w:val="18"/>
      <w:lang w:val="en-US" w:eastAsia="zh-CN" w:bidi="ar-SA"/>
    </w:rPr>
  </w:style>
  <w:style w:type="character" w:customStyle="1" w:styleId="155">
    <w:name w:val="Char Char7"/>
    <w:qFormat/>
    <w:uiPriority w:val="0"/>
    <w:rPr>
      <w:rFonts w:eastAsia="宋体"/>
      <w:kern w:val="2"/>
      <w:sz w:val="21"/>
      <w:szCs w:val="24"/>
      <w:lang w:val="en-US" w:eastAsia="zh-CN" w:bidi="ar-SA"/>
    </w:rPr>
  </w:style>
  <w:style w:type="character" w:customStyle="1" w:styleId="156">
    <w:name w:val="表名 Char"/>
    <w:qFormat/>
    <w:uiPriority w:val="0"/>
    <w:rPr>
      <w:rFonts w:eastAsia="宋体"/>
      <w:b/>
      <w:bCs/>
      <w:kern w:val="2"/>
      <w:sz w:val="24"/>
      <w:szCs w:val="24"/>
      <w:lang w:val="en-US" w:eastAsia="zh-CN" w:bidi="ar-SA"/>
    </w:rPr>
  </w:style>
  <w:style w:type="character" w:customStyle="1" w:styleId="157">
    <w:name w:val="Document Map Char"/>
    <w:qFormat/>
    <w:uiPriority w:val="0"/>
    <w:rPr>
      <w:rFonts w:eastAsia="宋体"/>
      <w:kern w:val="2"/>
      <w:sz w:val="21"/>
      <w:szCs w:val="24"/>
      <w:lang w:val="en-US" w:eastAsia="zh-CN" w:bidi="ar-SA"/>
    </w:rPr>
  </w:style>
  <w:style w:type="character" w:customStyle="1" w:styleId="158">
    <w:name w:val="font41"/>
    <w:qFormat/>
    <w:uiPriority w:val="0"/>
    <w:rPr>
      <w:rFonts w:hint="eastAsia" w:ascii="仿宋_GB2312" w:eastAsia="仿宋_GB2312" w:cs="仿宋_GB2312"/>
      <w:color w:val="000000"/>
      <w:sz w:val="22"/>
      <w:szCs w:val="22"/>
      <w:u w:val="none"/>
    </w:rPr>
  </w:style>
  <w:style w:type="character" w:customStyle="1" w:styleId="159">
    <w:name w:val="纯文本 Char_0"/>
    <w:link w:val="160"/>
    <w:qFormat/>
    <w:uiPriority w:val="0"/>
    <w:rPr>
      <w:rFonts w:ascii="宋体" w:hAnsi="Courier New"/>
      <w:kern w:val="2"/>
      <w:sz w:val="21"/>
      <w:szCs w:val="21"/>
      <w:lang w:val="en-US" w:eastAsia="zh-CN"/>
    </w:rPr>
  </w:style>
  <w:style w:type="paragraph" w:customStyle="1" w:styleId="160">
    <w:name w:val="纯文本_0_0"/>
    <w:basedOn w:val="161"/>
    <w:link w:val="159"/>
    <w:qFormat/>
    <w:uiPriority w:val="0"/>
    <w:rPr>
      <w:rFonts w:ascii="宋体" w:hAnsi="Courier New"/>
      <w:szCs w:val="21"/>
    </w:rPr>
  </w:style>
  <w:style w:type="paragraph" w:customStyle="1" w:styleId="16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Balloon Text Char"/>
    <w:qFormat/>
    <w:uiPriority w:val="0"/>
    <w:rPr>
      <w:rFonts w:eastAsia="宋体"/>
      <w:kern w:val="2"/>
      <w:sz w:val="18"/>
      <w:szCs w:val="18"/>
      <w:lang w:val="en-US" w:eastAsia="zh-CN" w:bidi="ar-SA"/>
    </w:rPr>
  </w:style>
  <w:style w:type="character" w:customStyle="1" w:styleId="163">
    <w:name w:val="正文 项目2 Char"/>
    <w:basedOn w:val="164"/>
    <w:qFormat/>
    <w:uiPriority w:val="0"/>
    <w:rPr>
      <w:rFonts w:ascii="仿宋_GB2312" w:hAnsi="仿宋_GB2312" w:eastAsia="仿宋_GB2312"/>
      <w:kern w:val="2"/>
      <w:sz w:val="24"/>
      <w:lang w:bidi="ar-SA"/>
    </w:rPr>
  </w:style>
  <w:style w:type="character" w:customStyle="1" w:styleId="164">
    <w:name w:val="正文 项目 Char"/>
    <w:qFormat/>
    <w:uiPriority w:val="0"/>
    <w:rPr>
      <w:rFonts w:ascii="仿宋_GB2312" w:hAnsi="仿宋_GB2312" w:eastAsia="仿宋_GB2312"/>
      <w:kern w:val="2"/>
      <w:sz w:val="24"/>
      <w:lang w:bidi="ar-SA"/>
    </w:rPr>
  </w:style>
  <w:style w:type="character" w:customStyle="1" w:styleId="165">
    <w:name w:val="h Char Char1"/>
    <w:qFormat/>
    <w:uiPriority w:val="0"/>
    <w:rPr>
      <w:rFonts w:eastAsia="宋体"/>
      <w:kern w:val="2"/>
      <w:sz w:val="18"/>
      <w:szCs w:val="18"/>
      <w:lang w:val="en-US" w:eastAsia="zh-CN" w:bidi="ar-SA"/>
    </w:rPr>
  </w:style>
  <w:style w:type="character" w:customStyle="1" w:styleId="166">
    <w:name w:val="Char Char27"/>
    <w:qFormat/>
    <w:uiPriority w:val="6"/>
    <w:rPr>
      <w:rFonts w:ascii="宋体" w:hAnsi="宋体" w:eastAsia="宋体"/>
      <w:color w:val="000000"/>
      <w:kern w:val="1"/>
      <w:sz w:val="28"/>
      <w:lang w:val="en-US" w:eastAsia="zh-CN" w:bidi="ar-SA"/>
    </w:rPr>
  </w:style>
  <w:style w:type="character" w:customStyle="1" w:styleId="167">
    <w:name w:val="px14"/>
    <w:qFormat/>
    <w:uiPriority w:val="0"/>
    <w:rPr>
      <w:rFonts w:ascii="仿宋_GB2312" w:eastAsia="微软雅黑" w:cs="Times New Roman"/>
      <w:b/>
      <w:kern w:val="2"/>
      <w:sz w:val="32"/>
      <w:szCs w:val="32"/>
      <w:lang w:val="en-US" w:eastAsia="zh-CN" w:bidi="ar-SA"/>
    </w:rPr>
  </w:style>
  <w:style w:type="character" w:customStyle="1" w:styleId="168">
    <w:name w:val="HTML 预设格式 Char1"/>
    <w:qFormat/>
    <w:uiPriority w:val="0"/>
    <w:rPr>
      <w:rFonts w:ascii="Courier New" w:hAnsi="Courier New" w:eastAsia="宋体" w:cs="Courier New"/>
      <w:sz w:val="20"/>
      <w:szCs w:val="20"/>
    </w:rPr>
  </w:style>
  <w:style w:type="character" w:customStyle="1" w:styleId="169">
    <w:name w:val="普通文字 Char1"/>
    <w:qFormat/>
    <w:uiPriority w:val="0"/>
    <w:rPr>
      <w:rFonts w:ascii="宋体" w:hAnsi="Courier New" w:eastAsia="宋体"/>
      <w:kern w:val="2"/>
      <w:sz w:val="21"/>
      <w:lang w:val="en-US" w:eastAsia="zh-CN"/>
    </w:rPr>
  </w:style>
  <w:style w:type="character" w:customStyle="1" w:styleId="170">
    <w:name w:val="hei16b1"/>
    <w:qFormat/>
    <w:uiPriority w:val="0"/>
    <w:rPr>
      <w:rFonts w:hint="default" w:ascii="Arial" w:hAnsi="Arial" w:cs="Arial"/>
      <w:b/>
      <w:bCs/>
      <w:color w:val="000000"/>
      <w:sz w:val="24"/>
      <w:szCs w:val="24"/>
    </w:rPr>
  </w:style>
  <w:style w:type="character" w:customStyle="1" w:styleId="171">
    <w:name w:val="正文（绿盟科技） Char"/>
    <w:link w:val="172"/>
    <w:qFormat/>
    <w:uiPriority w:val="0"/>
    <w:rPr>
      <w:rFonts w:ascii="Arial" w:hAnsi="Arial"/>
      <w:sz w:val="21"/>
      <w:szCs w:val="21"/>
    </w:rPr>
  </w:style>
  <w:style w:type="paragraph" w:customStyle="1" w:styleId="172">
    <w:name w:val="正文（绿盟科技）"/>
    <w:link w:val="171"/>
    <w:qFormat/>
    <w:uiPriority w:val="0"/>
    <w:pPr>
      <w:spacing w:line="300" w:lineRule="auto"/>
    </w:pPr>
    <w:rPr>
      <w:rFonts w:ascii="Arial" w:hAnsi="Arial" w:eastAsia="宋体" w:cs="Times New Roman"/>
      <w:sz w:val="21"/>
      <w:szCs w:val="21"/>
      <w:lang w:val="en-US" w:eastAsia="zh-CN" w:bidi="ar-SA"/>
    </w:rPr>
  </w:style>
  <w:style w:type="character" w:customStyle="1" w:styleId="173">
    <w:name w:val="Char Char19"/>
    <w:qFormat/>
    <w:uiPriority w:val="6"/>
    <w:rPr>
      <w:rFonts w:ascii="宋体" w:hAnsi="宋体"/>
      <w:i/>
      <w:sz w:val="24"/>
      <w:szCs w:val="24"/>
    </w:rPr>
  </w:style>
  <w:style w:type="character" w:customStyle="1" w:styleId="174">
    <w:name w:val="页脚 Char"/>
    <w:qFormat/>
    <w:uiPriority w:val="0"/>
    <w:rPr>
      <w:rFonts w:eastAsia="仿宋_GB2312"/>
      <w:kern w:val="2"/>
      <w:sz w:val="18"/>
      <w:lang w:val="en-US" w:eastAsia="zh-CN"/>
    </w:rPr>
  </w:style>
  <w:style w:type="character" w:customStyle="1" w:styleId="175">
    <w:name w:val="批注主题 Char"/>
    <w:qFormat/>
    <w:uiPriority w:val="0"/>
    <w:rPr>
      <w:rFonts w:eastAsia="宋体"/>
      <w:b/>
      <w:bCs/>
      <w:kern w:val="2"/>
      <w:sz w:val="21"/>
      <w:szCs w:val="24"/>
      <w:lang w:val="en-US" w:eastAsia="zh-CN" w:bidi="ar-SA"/>
    </w:rPr>
  </w:style>
  <w:style w:type="character" w:customStyle="1" w:styleId="176">
    <w:name w:val="Comment Text Char"/>
    <w:qFormat/>
    <w:uiPriority w:val="0"/>
    <w:rPr>
      <w:rFonts w:ascii="宋体" w:hAnsi="宋体" w:eastAsia="宋体"/>
      <w:kern w:val="2"/>
      <w:sz w:val="24"/>
      <w:lang w:val="en-US" w:eastAsia="zh-CN" w:bidi="ar-SA"/>
    </w:rPr>
  </w:style>
  <w:style w:type="character" w:customStyle="1" w:styleId="177">
    <w:name w:val="标题 2 字符"/>
    <w:qFormat/>
    <w:uiPriority w:val="1"/>
    <w:rPr>
      <w:rFonts w:ascii="仿宋_GB2312" w:hAnsi="Times New Roman" w:eastAsia="仿宋_GB2312" w:cs="Times New Roman"/>
      <w:b/>
      <w:kern w:val="2"/>
      <w:sz w:val="24"/>
      <w:lang w:val="zh-CN"/>
    </w:rPr>
  </w:style>
  <w:style w:type="character" w:customStyle="1" w:styleId="178">
    <w:name w:val="Char Char72"/>
    <w:qFormat/>
    <w:uiPriority w:val="0"/>
    <w:rPr>
      <w:rFonts w:eastAsia="宋体"/>
      <w:kern w:val="2"/>
      <w:sz w:val="21"/>
      <w:szCs w:val="24"/>
      <w:lang w:val="en-US" w:eastAsia="zh-CN" w:bidi="ar-SA"/>
    </w:rPr>
  </w:style>
  <w:style w:type="character" w:customStyle="1" w:styleId="179">
    <w:name w:val="正文文本缩进 Char2"/>
    <w:qFormat/>
    <w:uiPriority w:val="0"/>
    <w:rPr>
      <w:rFonts w:ascii="Times New Roman" w:hAnsi="Times New Roman" w:eastAsia="宋体" w:cs="Times New Roman"/>
      <w:snapToGrid w:val="0"/>
      <w:kern w:val="0"/>
      <w:szCs w:val="24"/>
    </w:rPr>
  </w:style>
  <w:style w:type="character" w:customStyle="1" w:styleId="180">
    <w:name w:val="样式2 Char"/>
    <w:qFormat/>
    <w:uiPriority w:val="0"/>
    <w:rPr>
      <w:rFonts w:ascii="仿宋_GB2312" w:hAnsi="仿宋" w:eastAsia="仿宋_GB2312" w:cs="仿宋_GB2312"/>
      <w:b/>
      <w:bCs/>
      <w:sz w:val="32"/>
      <w:szCs w:val="30"/>
      <w:lang w:val="zh-CN"/>
    </w:rPr>
  </w:style>
  <w:style w:type="character" w:customStyle="1" w:styleId="181">
    <w:name w:val="表格名称[858D7CFB-ED40-4347-BF05-701D383B685F]"/>
    <w:link w:val="182"/>
    <w:qFormat/>
    <w:uiPriority w:val="0"/>
    <w:rPr>
      <w:sz w:val="32"/>
    </w:rPr>
  </w:style>
  <w:style w:type="paragraph" w:customStyle="1" w:styleId="182">
    <w:name w:val="表格名称"/>
    <w:basedOn w:val="3"/>
    <w:link w:val="18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83">
    <w:name w:val="Char Char4"/>
    <w:qFormat/>
    <w:uiPriority w:val="0"/>
    <w:rPr>
      <w:rFonts w:eastAsia="宋体"/>
      <w:b/>
      <w:sz w:val="24"/>
      <w:lang w:val="en-GB" w:eastAsia="zh-CN" w:bidi="ar-SA"/>
    </w:rPr>
  </w:style>
  <w:style w:type="character" w:customStyle="1" w:styleId="184">
    <w:name w:val="c7 style3"/>
    <w:qFormat/>
    <w:uiPriority w:val="0"/>
  </w:style>
  <w:style w:type="character" w:customStyle="1" w:styleId="185">
    <w:name w:val="正文文本 3 Char1"/>
    <w:qFormat/>
    <w:uiPriority w:val="99"/>
    <w:rPr>
      <w:rFonts w:ascii="Times New Roman" w:hAnsi="Times New Roman" w:eastAsia="宋体" w:cs="Times New Roman"/>
      <w:sz w:val="16"/>
      <w:szCs w:val="16"/>
    </w:rPr>
  </w:style>
  <w:style w:type="character" w:customStyle="1" w:styleId="186">
    <w:name w:val="tw4winInternal"/>
    <w:qFormat/>
    <w:uiPriority w:val="0"/>
    <w:rPr>
      <w:rFonts w:ascii="Courier New" w:hAnsi="Courier New" w:cs="Courier New"/>
      <w:color w:val="FF0000"/>
      <w:lang w:val="en-US" w:eastAsia="zh-CN"/>
    </w:rPr>
  </w:style>
  <w:style w:type="character" w:customStyle="1" w:styleId="187">
    <w:name w:val="Char Char10"/>
    <w:qFormat/>
    <w:uiPriority w:val="0"/>
    <w:rPr>
      <w:rFonts w:ascii="宋体" w:hAnsi="宋体"/>
      <w:kern w:val="2"/>
      <w:sz w:val="21"/>
      <w:szCs w:val="24"/>
      <w:lang w:val="en-US" w:eastAsia="zh-CN"/>
    </w:rPr>
  </w:style>
  <w:style w:type="character" w:customStyle="1" w:styleId="188">
    <w:name w:val="shadow11"/>
    <w:qFormat/>
    <w:uiPriority w:val="0"/>
    <w:rPr>
      <w:color w:val="000000"/>
      <w:sz w:val="21"/>
    </w:rPr>
  </w:style>
  <w:style w:type="character" w:customStyle="1" w:styleId="189">
    <w:name w:val="正文非缩进 Char3"/>
    <w:qFormat/>
    <w:uiPriority w:val="0"/>
    <w:rPr>
      <w:rFonts w:ascii="宋体" w:eastAsia="宋体"/>
      <w:snapToGrid w:val="0"/>
      <w:color w:val="000000"/>
      <w:kern w:val="28"/>
      <w:sz w:val="28"/>
      <w:lang w:val="en-US" w:eastAsia="zh-CN" w:bidi="ar-SA"/>
    </w:rPr>
  </w:style>
  <w:style w:type="character" w:customStyle="1" w:styleId="190">
    <w:name w:val="Char Char"/>
    <w:qFormat/>
    <w:uiPriority w:val="0"/>
    <w:rPr>
      <w:rFonts w:ascii="宋体" w:hAnsi="Courier New" w:eastAsia="宋体"/>
      <w:kern w:val="2"/>
      <w:sz w:val="21"/>
      <w:lang w:val="en-US" w:eastAsia="zh-CN" w:bidi="ar-SA"/>
    </w:rPr>
  </w:style>
  <w:style w:type="character" w:customStyle="1" w:styleId="191">
    <w:name w:val="签名 Char1"/>
    <w:qFormat/>
    <w:uiPriority w:val="0"/>
    <w:rPr>
      <w:rFonts w:ascii="Times New Roman" w:hAnsi="Times New Roman" w:eastAsia="宋体" w:cs="Times New Roman"/>
      <w:szCs w:val="24"/>
    </w:rPr>
  </w:style>
  <w:style w:type="character" w:customStyle="1" w:styleId="192">
    <w:name w:val="日期 Char"/>
    <w:link w:val="35"/>
    <w:qFormat/>
    <w:uiPriority w:val="0"/>
    <w:rPr>
      <w:rFonts w:ascii="宋体"/>
      <w:kern w:val="2"/>
      <w:sz w:val="24"/>
      <w:szCs w:val="21"/>
      <w:lang w:val="zh-CN"/>
    </w:rPr>
  </w:style>
  <w:style w:type="character" w:customStyle="1" w:styleId="193">
    <w:name w:val="标题 9 Char"/>
    <w:link w:val="11"/>
    <w:qFormat/>
    <w:uiPriority w:val="0"/>
    <w:rPr>
      <w:rFonts w:ascii="Arial" w:hAnsi="Arial" w:eastAsia="黑体"/>
      <w:kern w:val="2"/>
      <w:sz w:val="21"/>
      <w:szCs w:val="21"/>
    </w:rPr>
  </w:style>
  <w:style w:type="character" w:customStyle="1" w:styleId="194">
    <w:name w:val="Char Char18"/>
    <w:qFormat/>
    <w:uiPriority w:val="6"/>
    <w:rPr>
      <w:rFonts w:ascii="宋体" w:hAnsi="宋体"/>
      <w:sz w:val="28"/>
    </w:rPr>
  </w:style>
  <w:style w:type="character" w:customStyle="1" w:styleId="195">
    <w:name w:val="批注文字 Char"/>
    <w:qFormat/>
    <w:uiPriority w:val="99"/>
    <w:rPr>
      <w:kern w:val="2"/>
      <w:sz w:val="21"/>
      <w:szCs w:val="24"/>
    </w:rPr>
  </w:style>
  <w:style w:type="character" w:customStyle="1" w:styleId="196">
    <w:name w:val="Char Char22"/>
    <w:qFormat/>
    <w:uiPriority w:val="6"/>
    <w:rPr>
      <w:rFonts w:ascii="宋体" w:hAnsi="宋体"/>
      <w:kern w:val="1"/>
      <w:sz w:val="24"/>
      <w:szCs w:val="24"/>
    </w:rPr>
  </w:style>
  <w:style w:type="character" w:customStyle="1" w:styleId="197">
    <w:name w:val="pt141"/>
    <w:qFormat/>
    <w:uiPriority w:val="0"/>
    <w:rPr>
      <w:color w:val="330066"/>
      <w:sz w:val="22"/>
      <w:szCs w:val="22"/>
    </w:rPr>
  </w:style>
  <w:style w:type="character" w:customStyle="1" w:styleId="198">
    <w:name w:val="正文文本缩进 2 Char1"/>
    <w:qFormat/>
    <w:uiPriority w:val="99"/>
    <w:rPr>
      <w:rFonts w:ascii="Times New Roman" w:hAnsi="Times New Roman" w:eastAsia="宋体" w:cs="Times New Roman"/>
      <w:szCs w:val="24"/>
    </w:rPr>
  </w:style>
  <w:style w:type="character" w:customStyle="1" w:styleId="199">
    <w:name w:val="批注框文本 Char"/>
    <w:link w:val="38"/>
    <w:qFormat/>
    <w:uiPriority w:val="0"/>
    <w:rPr>
      <w:kern w:val="2"/>
      <w:sz w:val="18"/>
      <w:szCs w:val="18"/>
    </w:rPr>
  </w:style>
  <w:style w:type="character" w:customStyle="1" w:styleId="200">
    <w:name w:val="Char Char611"/>
    <w:qFormat/>
    <w:uiPriority w:val="0"/>
    <w:rPr>
      <w:rFonts w:eastAsia="宋体"/>
      <w:kern w:val="2"/>
      <w:sz w:val="21"/>
      <w:szCs w:val="24"/>
      <w:lang w:val="en-US" w:eastAsia="zh-CN" w:bidi="ar-SA"/>
    </w:rPr>
  </w:style>
  <w:style w:type="character" w:customStyle="1" w:styleId="201">
    <w:name w:val="highlight1"/>
    <w:qFormat/>
    <w:uiPriority w:val="0"/>
    <w:rPr>
      <w:rFonts w:ascii="仿宋_GB2312" w:eastAsia="微软雅黑"/>
      <w:b/>
      <w:kern w:val="2"/>
      <w:sz w:val="23"/>
      <w:szCs w:val="23"/>
      <w:lang w:val="en-US" w:eastAsia="zh-CN" w:bidi="ar-SA"/>
    </w:rPr>
  </w:style>
  <w:style w:type="character" w:customStyle="1" w:styleId="202">
    <w:name w:val="my正文 Char"/>
    <w:link w:val="203"/>
    <w:qFormat/>
    <w:uiPriority w:val="0"/>
    <w:rPr>
      <w:rFonts w:ascii="Tahoma" w:hAnsi="Tahoma"/>
      <w:sz w:val="24"/>
      <w:szCs w:val="24"/>
    </w:rPr>
  </w:style>
  <w:style w:type="paragraph" w:customStyle="1" w:styleId="203">
    <w:name w:val="my正文"/>
    <w:basedOn w:val="1"/>
    <w:link w:val="202"/>
    <w:qFormat/>
    <w:uiPriority w:val="0"/>
    <w:pPr>
      <w:adjustRightInd/>
      <w:spacing w:line="360" w:lineRule="auto"/>
      <w:ind w:firstLine="480" w:firstLineChars="200"/>
    </w:pPr>
    <w:rPr>
      <w:rFonts w:ascii="Tahoma" w:hAnsi="Tahoma"/>
      <w:kern w:val="0"/>
      <w:sz w:val="24"/>
    </w:rPr>
  </w:style>
  <w:style w:type="character" w:customStyle="1" w:styleId="204">
    <w:name w:val="正文缩进 Char2"/>
    <w:link w:val="5"/>
    <w:qFormat/>
    <w:uiPriority w:val="0"/>
    <w:rPr>
      <w:rFonts w:ascii="宋体" w:eastAsia="宋体"/>
      <w:snapToGrid w:val="0"/>
      <w:color w:val="000000"/>
      <w:kern w:val="28"/>
      <w:sz w:val="28"/>
      <w:lang w:val="en-US" w:eastAsia="zh-CN" w:bidi="ar-SA"/>
    </w:rPr>
  </w:style>
  <w:style w:type="character" w:customStyle="1" w:styleId="205">
    <w:name w:val="Used by Word for text of Help footnotes Char Char1"/>
    <w:qFormat/>
    <w:uiPriority w:val="0"/>
    <w:rPr>
      <w:color w:val="0000FF"/>
      <w:sz w:val="21"/>
    </w:rPr>
  </w:style>
  <w:style w:type="character" w:customStyle="1" w:styleId="206">
    <w:name w:val="页眉 Char"/>
    <w:qFormat/>
    <w:uiPriority w:val="0"/>
    <w:rPr>
      <w:rFonts w:eastAsia="仿宋_GB2312"/>
      <w:kern w:val="2"/>
      <w:sz w:val="18"/>
      <w:lang w:val="en-US" w:eastAsia="zh-CN"/>
    </w:rPr>
  </w:style>
  <w:style w:type="character" w:customStyle="1" w:styleId="207">
    <w:name w:val="FA正文 Char Char"/>
    <w:qFormat/>
    <w:uiPriority w:val="0"/>
    <w:rPr>
      <w:rFonts w:hAnsi="宋体"/>
      <w:kern w:val="2"/>
      <w:sz w:val="24"/>
      <w:lang w:bidi="ar-SA"/>
    </w:rPr>
  </w:style>
  <w:style w:type="character" w:customStyle="1" w:styleId="208">
    <w:name w:val="纯文本 字符"/>
    <w:qFormat/>
    <w:uiPriority w:val="0"/>
    <w:rPr>
      <w:rFonts w:ascii="宋体" w:hAnsi="Courier New" w:eastAsia="宋体" w:cs="Arial"/>
      <w:snapToGrid w:val="0"/>
      <w:kern w:val="2"/>
      <w:sz w:val="21"/>
      <w:szCs w:val="21"/>
      <w:lang w:val="en-US" w:eastAsia="zh-CN" w:bidi="ar-SA"/>
    </w:rPr>
  </w:style>
  <w:style w:type="character" w:customStyle="1" w:styleId="209">
    <w:name w:val="3级 Char"/>
    <w:link w:val="210"/>
    <w:qFormat/>
    <w:uiPriority w:val="0"/>
    <w:rPr>
      <w:rFonts w:ascii="宋体" w:hAnsi="宋体"/>
      <w:b/>
      <w:bCs/>
      <w:snapToGrid/>
      <w:sz w:val="28"/>
    </w:rPr>
  </w:style>
  <w:style w:type="paragraph" w:customStyle="1" w:styleId="210">
    <w:name w:val="3级"/>
    <w:basedOn w:val="211"/>
    <w:link w:val="209"/>
    <w:qFormat/>
    <w:uiPriority w:val="0"/>
    <w:pPr>
      <w:ind w:left="0" w:right="466" w:firstLine="288"/>
    </w:pPr>
    <w:rPr>
      <w:rFonts w:hAnsi="宋体"/>
      <w:snapToGrid/>
    </w:rPr>
  </w:style>
  <w:style w:type="paragraph" w:customStyle="1" w:styleId="211">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12">
    <w:name w:val="myp11"/>
    <w:qFormat/>
    <w:uiPriority w:val="0"/>
    <w:rPr>
      <w:rFonts w:ascii="仿宋_GB2312" w:eastAsia="微软雅黑"/>
      <w:b/>
      <w:kern w:val="2"/>
      <w:sz w:val="32"/>
      <w:szCs w:val="32"/>
      <w:lang w:val="en-US" w:eastAsia="zh-CN" w:bidi="ar-SA"/>
    </w:rPr>
  </w:style>
  <w:style w:type="character" w:customStyle="1" w:styleId="213">
    <w:name w:val="文档结构图 Char1"/>
    <w:link w:val="18"/>
    <w:qFormat/>
    <w:uiPriority w:val="0"/>
    <w:rPr>
      <w:kern w:val="2"/>
      <w:sz w:val="21"/>
      <w:szCs w:val="24"/>
      <w:shd w:val="clear" w:color="auto" w:fill="000080"/>
    </w:rPr>
  </w:style>
  <w:style w:type="character" w:customStyle="1" w:styleId="214">
    <w:name w:val="H6 Char"/>
    <w:qFormat/>
    <w:uiPriority w:val="0"/>
    <w:rPr>
      <w:rFonts w:ascii="Arial" w:hAnsi="Arial" w:eastAsia="黑体"/>
      <w:b/>
      <w:bCs/>
      <w:kern w:val="2"/>
      <w:sz w:val="24"/>
      <w:szCs w:val="24"/>
    </w:rPr>
  </w:style>
  <w:style w:type="character" w:customStyle="1" w:styleId="215">
    <w:name w:val="Char Char91"/>
    <w:qFormat/>
    <w:uiPriority w:val="0"/>
    <w:rPr>
      <w:rFonts w:eastAsia="宋体"/>
      <w:kern w:val="2"/>
      <w:sz w:val="18"/>
      <w:szCs w:val="18"/>
      <w:lang w:val="en-US" w:eastAsia="zh-CN" w:bidi="ar-SA"/>
    </w:rPr>
  </w:style>
  <w:style w:type="character" w:customStyle="1" w:styleId="216">
    <w:name w:val="副标题 Char1"/>
    <w:qFormat/>
    <w:uiPriority w:val="0"/>
    <w:rPr>
      <w:rFonts w:ascii="Cambria" w:hAnsi="Cambria" w:eastAsia="宋体" w:cs="Times New Roman"/>
      <w:b/>
      <w:bCs/>
      <w:snapToGrid w:val="0"/>
      <w:kern w:val="28"/>
      <w:sz w:val="32"/>
      <w:szCs w:val="32"/>
    </w:rPr>
  </w:style>
  <w:style w:type="character" w:customStyle="1" w:styleId="217">
    <w:name w:val="font61"/>
    <w:qFormat/>
    <w:uiPriority w:val="0"/>
    <w:rPr>
      <w:rFonts w:hint="eastAsia" w:ascii="仿宋" w:hAnsi="仿宋" w:eastAsia="仿宋" w:cs="仿宋"/>
      <w:color w:val="000000"/>
      <w:sz w:val="20"/>
      <w:szCs w:val="20"/>
      <w:u w:val="none"/>
    </w:rPr>
  </w:style>
  <w:style w:type="character" w:customStyle="1" w:styleId="21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9">
    <w:name w:val="Char Char211"/>
    <w:qFormat/>
    <w:uiPriority w:val="0"/>
    <w:rPr>
      <w:rFonts w:eastAsia="宋体"/>
      <w:b/>
      <w:bCs/>
      <w:kern w:val="2"/>
      <w:sz w:val="21"/>
      <w:szCs w:val="24"/>
      <w:lang w:val="en-US" w:eastAsia="zh-CN" w:bidi="ar-SA"/>
    </w:rPr>
  </w:style>
  <w:style w:type="character" w:customStyle="1" w:styleId="220">
    <w:name w:val="maywed421"/>
    <w:qFormat/>
    <w:uiPriority w:val="0"/>
    <w:rPr>
      <w:color w:val="366FB6"/>
      <w:u w:val="none"/>
    </w:rPr>
  </w:style>
  <w:style w:type="character" w:customStyle="1" w:styleId="221">
    <w:name w:val="正文文本缩进 Char"/>
    <w:qFormat/>
    <w:uiPriority w:val="0"/>
    <w:rPr>
      <w:rFonts w:ascii="宋体" w:hAnsi="宋体"/>
      <w:kern w:val="2"/>
      <w:sz w:val="24"/>
      <w:szCs w:val="24"/>
    </w:rPr>
  </w:style>
  <w:style w:type="character" w:customStyle="1" w:styleId="222">
    <w:name w:val="Char Char102"/>
    <w:qFormat/>
    <w:uiPriority w:val="0"/>
    <w:rPr>
      <w:rFonts w:ascii="宋体" w:hAnsi="宋体"/>
      <w:kern w:val="2"/>
      <w:sz w:val="21"/>
      <w:szCs w:val="24"/>
      <w:lang w:val="en-US" w:eastAsia="zh-CN"/>
    </w:rPr>
  </w:style>
  <w:style w:type="character" w:customStyle="1" w:styleId="223">
    <w:name w:val="页眉 Char1"/>
    <w:qFormat/>
    <w:uiPriority w:val="0"/>
    <w:rPr>
      <w:rFonts w:eastAsia="宋体"/>
      <w:kern w:val="2"/>
      <w:sz w:val="18"/>
      <w:szCs w:val="18"/>
      <w:lang w:val="en-US" w:eastAsia="zh-CN" w:bidi="ar-SA"/>
    </w:rPr>
  </w:style>
  <w:style w:type="character" w:customStyle="1" w:styleId="224">
    <w:name w:val="md"/>
    <w:basedOn w:val="70"/>
    <w:qFormat/>
    <w:uiPriority w:val="0"/>
    <w:rPr>
      <w:rFonts w:ascii="Arial" w:hAnsi="Arial" w:eastAsia="黑体" w:cs="Arial"/>
      <w:snapToGrid w:val="0"/>
      <w:kern w:val="0"/>
      <w:szCs w:val="21"/>
    </w:rPr>
  </w:style>
  <w:style w:type="character" w:customStyle="1" w:styleId="225">
    <w:name w:val="big1"/>
    <w:qFormat/>
    <w:uiPriority w:val="0"/>
    <w:rPr>
      <w:rFonts w:hint="eastAsia" w:ascii="宋体" w:hAnsi="宋体" w:eastAsia="宋体"/>
      <w:color w:val="333333"/>
      <w:sz w:val="22"/>
      <w:szCs w:val="22"/>
    </w:rPr>
  </w:style>
  <w:style w:type="character" w:customStyle="1" w:styleId="226">
    <w:name w:val="Char Char311"/>
    <w:qFormat/>
    <w:uiPriority w:val="0"/>
    <w:rPr>
      <w:rFonts w:eastAsia="宋体"/>
      <w:kern w:val="2"/>
      <w:sz w:val="21"/>
      <w:szCs w:val="24"/>
      <w:lang w:val="en-US" w:eastAsia="zh-CN" w:bidi="ar-SA"/>
    </w:rPr>
  </w:style>
  <w:style w:type="character" w:customStyle="1" w:styleId="227">
    <w:name w:val="Char Char81"/>
    <w:qFormat/>
    <w:uiPriority w:val="6"/>
    <w:rPr>
      <w:rFonts w:eastAsia="宋体"/>
      <w:b/>
      <w:sz w:val="24"/>
      <w:lang w:val="en-GB" w:eastAsia="zh-CN"/>
    </w:rPr>
  </w:style>
  <w:style w:type="character" w:customStyle="1" w:styleId="228">
    <w:name w:val="样式3 Char"/>
    <w:basedOn w:val="180"/>
    <w:qFormat/>
    <w:uiPriority w:val="0"/>
    <w:rPr>
      <w:rFonts w:ascii="仿宋_GB2312" w:hAnsi="仿宋" w:eastAsia="仿宋_GB2312" w:cs="仿宋_GB2312"/>
      <w:sz w:val="32"/>
      <w:szCs w:val="30"/>
      <w:lang w:val="zh-CN"/>
    </w:rPr>
  </w:style>
  <w:style w:type="character" w:customStyle="1" w:styleId="229">
    <w:name w:val="HTML 地址 Char"/>
    <w:link w:val="29"/>
    <w:qFormat/>
    <w:uiPriority w:val="0"/>
    <w:rPr>
      <w:rFonts w:ascii="宋体" w:hAnsi="宋体"/>
      <w:i/>
      <w:iCs/>
      <w:sz w:val="24"/>
      <w:szCs w:val="24"/>
    </w:rPr>
  </w:style>
  <w:style w:type="character" w:customStyle="1" w:styleId="230">
    <w:name w:val="正文首行缩进 2 Char1"/>
    <w:qFormat/>
    <w:uiPriority w:val="0"/>
    <w:rPr>
      <w:rFonts w:ascii="Times New Roman" w:hAnsi="Times New Roman" w:eastAsia="宋体" w:cs="Times New Roman"/>
      <w:kern w:val="2"/>
      <w:sz w:val="24"/>
      <w:szCs w:val="24"/>
    </w:rPr>
  </w:style>
  <w:style w:type="character" w:customStyle="1" w:styleId="231">
    <w:name w:val="副标题 Char2"/>
    <w:qFormat/>
    <w:uiPriority w:val="0"/>
    <w:rPr>
      <w:rFonts w:ascii="Cambria" w:hAnsi="Cambria" w:eastAsia="宋体" w:cs="Times New Roman"/>
      <w:b/>
      <w:bCs/>
      <w:snapToGrid w:val="0"/>
      <w:kern w:val="28"/>
      <w:sz w:val="32"/>
      <w:szCs w:val="32"/>
    </w:rPr>
  </w:style>
  <w:style w:type="character" w:customStyle="1" w:styleId="232">
    <w:name w:val="标题4-dyf Char"/>
    <w:link w:val="233"/>
    <w:qFormat/>
    <w:uiPriority w:val="0"/>
    <w:rPr>
      <w:rFonts w:ascii="Cambria" w:hAnsi="Cambria"/>
      <w:b/>
      <w:bCs/>
      <w:color w:val="000000"/>
      <w:kern w:val="2"/>
      <w:sz w:val="21"/>
      <w:szCs w:val="21"/>
    </w:rPr>
  </w:style>
  <w:style w:type="paragraph" w:customStyle="1" w:styleId="233">
    <w:name w:val="标题4-dyf"/>
    <w:basedOn w:val="6"/>
    <w:link w:val="232"/>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234">
    <w:name w:val="dectext1"/>
    <w:qFormat/>
    <w:uiPriority w:val="0"/>
    <w:rPr>
      <w:rFonts w:ascii="宋体" w:hAnsi="宋体" w:eastAsia="宋体"/>
      <w:color w:val="333333"/>
      <w:sz w:val="21"/>
      <w:szCs w:val="21"/>
      <w:u w:val="none"/>
    </w:rPr>
  </w:style>
  <w:style w:type="character" w:customStyle="1" w:styleId="235">
    <w:name w:val="冯 Char"/>
    <w:link w:val="236"/>
    <w:qFormat/>
    <w:uiPriority w:val="0"/>
    <w:rPr>
      <w:rFonts w:ascii="宋体" w:hAnsi="宋体"/>
      <w:color w:val="000000"/>
      <w:sz w:val="24"/>
      <w:szCs w:val="24"/>
    </w:rPr>
  </w:style>
  <w:style w:type="paragraph" w:customStyle="1" w:styleId="236">
    <w:name w:val="冯"/>
    <w:basedOn w:val="1"/>
    <w:link w:val="235"/>
    <w:qFormat/>
    <w:uiPriority w:val="0"/>
    <w:pPr>
      <w:widowControl/>
      <w:adjustRightInd/>
      <w:spacing w:line="360" w:lineRule="auto"/>
      <w:ind w:firstLine="480" w:firstLineChars="200"/>
    </w:pPr>
    <w:rPr>
      <w:rFonts w:ascii="宋体" w:hAnsi="宋体"/>
      <w:color w:val="000000"/>
      <w:kern w:val="0"/>
      <w:sz w:val="24"/>
    </w:rPr>
  </w:style>
  <w:style w:type="character" w:customStyle="1" w:styleId="237">
    <w:name w:val="Header Char_5033450a-f870-4c77-b94a-aa74420b60d3"/>
    <w:qFormat/>
    <w:uiPriority w:val="0"/>
    <w:rPr>
      <w:rFonts w:eastAsia="宋体"/>
      <w:kern w:val="2"/>
      <w:sz w:val="18"/>
      <w:szCs w:val="18"/>
      <w:lang w:val="en-US" w:eastAsia="zh-CN" w:bidi="ar-SA"/>
    </w:rPr>
  </w:style>
  <w:style w:type="character" w:customStyle="1" w:styleId="238">
    <w:name w:val="Char Char12"/>
    <w:qFormat/>
    <w:uiPriority w:val="0"/>
    <w:rPr>
      <w:rFonts w:ascii="仿宋_GB2312" w:eastAsia="仿宋_GB2312"/>
      <w:b/>
      <w:bCs/>
      <w:kern w:val="2"/>
      <w:sz w:val="24"/>
      <w:szCs w:val="24"/>
      <w:lang w:val="zh-CN" w:eastAsia="zh-CN" w:bidi="ar-SA"/>
    </w:rPr>
  </w:style>
  <w:style w:type="character" w:customStyle="1" w:styleId="239">
    <w:name w:val="题注 Char"/>
    <w:link w:val="16"/>
    <w:qFormat/>
    <w:uiPriority w:val="0"/>
    <w:rPr>
      <w:b/>
      <w:kern w:val="2"/>
      <w:sz w:val="28"/>
    </w:rPr>
  </w:style>
  <w:style w:type="character" w:customStyle="1" w:styleId="240">
    <w:name w:val="普通文字 Char3"/>
    <w:qFormat/>
    <w:uiPriority w:val="0"/>
    <w:rPr>
      <w:rFonts w:ascii="宋体" w:hAnsi="Courier New" w:eastAsia="宋体"/>
      <w:kern w:val="2"/>
      <w:sz w:val="21"/>
      <w:lang w:val="en-US" w:eastAsia="zh-CN" w:bidi="ar-SA"/>
    </w:rPr>
  </w:style>
  <w:style w:type="character" w:customStyle="1" w:styleId="241">
    <w:name w:val="公文正文 Char"/>
    <w:qFormat/>
    <w:uiPriority w:val="0"/>
    <w:rPr>
      <w:rFonts w:ascii="仿宋_GB2312" w:eastAsia="仿宋_GB2312"/>
      <w:kern w:val="2"/>
      <w:sz w:val="24"/>
      <w:szCs w:val="24"/>
      <w:lang w:val="en-US" w:eastAsia="zh-CN" w:bidi="ar-SA"/>
    </w:rPr>
  </w:style>
  <w:style w:type="character" w:customStyle="1" w:styleId="242">
    <w:name w:val="正文首行缩进 Char Char Char Char Char"/>
    <w:qFormat/>
    <w:uiPriority w:val="0"/>
    <w:rPr>
      <w:rFonts w:ascii="宋体"/>
      <w:kern w:val="2"/>
      <w:sz w:val="24"/>
      <w:lang w:val="zh-CN"/>
    </w:rPr>
  </w:style>
  <w:style w:type="character" w:customStyle="1" w:styleId="243">
    <w:name w:val="PI Char"/>
    <w:qFormat/>
    <w:uiPriority w:val="0"/>
    <w:rPr>
      <w:rFonts w:ascii="宋体" w:hAnsi="宋体" w:eastAsia="宋体"/>
      <w:kern w:val="2"/>
      <w:sz w:val="24"/>
      <w:szCs w:val="24"/>
      <w:lang w:val="en-US" w:eastAsia="zh-CN" w:bidi="ar-SA"/>
    </w:rPr>
  </w:style>
  <w:style w:type="character" w:customStyle="1" w:styleId="244">
    <w:name w:val="Default Char"/>
    <w:link w:val="245"/>
    <w:qFormat/>
    <w:uiPriority w:val="0"/>
    <w:rPr>
      <w:rFonts w:ascii="仿宋_GB2312" w:eastAsia="仿宋_GB2312" w:cs="仿宋_GB2312"/>
      <w:color w:val="000000"/>
      <w:sz w:val="24"/>
      <w:szCs w:val="24"/>
      <w:lang w:val="en-US" w:eastAsia="zh-CN" w:bidi="ar-SA"/>
    </w:rPr>
  </w:style>
  <w:style w:type="paragraph" w:customStyle="1" w:styleId="245">
    <w:name w:val="Default"/>
    <w:link w:val="24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6">
    <w:name w:val="style91"/>
    <w:qFormat/>
    <w:uiPriority w:val="0"/>
    <w:rPr>
      <w:color w:val="333333"/>
    </w:rPr>
  </w:style>
  <w:style w:type="character" w:customStyle="1" w:styleId="247">
    <w:name w:val="列出段落 Char2"/>
    <w:qFormat/>
    <w:uiPriority w:val="34"/>
    <w:rPr>
      <w:rFonts w:ascii="Calibri" w:hAnsi="Calibri"/>
      <w:kern w:val="2"/>
      <w:sz w:val="28"/>
    </w:rPr>
  </w:style>
  <w:style w:type="character" w:customStyle="1" w:styleId="248">
    <w:name w:val="mdeck"/>
    <w:qFormat/>
    <w:uiPriority w:val="0"/>
    <w:rPr>
      <w:rFonts w:ascii="仿宋_GB2312" w:eastAsia="微软雅黑"/>
      <w:b/>
      <w:kern w:val="2"/>
      <w:sz w:val="32"/>
      <w:szCs w:val="32"/>
      <w:lang w:val="en-US" w:eastAsia="zh-CN" w:bidi="ar-SA"/>
    </w:rPr>
  </w:style>
  <w:style w:type="character" w:customStyle="1" w:styleId="249">
    <w:name w:val="unnamed11"/>
    <w:qFormat/>
    <w:uiPriority w:val="0"/>
    <w:rPr>
      <w:sz w:val="20"/>
      <w:szCs w:val="20"/>
    </w:rPr>
  </w:style>
  <w:style w:type="character" w:customStyle="1" w:styleId="250">
    <w:name w:val="正文文本 Char2"/>
    <w:qFormat/>
    <w:uiPriority w:val="99"/>
    <w:rPr>
      <w:rFonts w:ascii="Times New Roman" w:hAnsi="Times New Roman" w:eastAsia="宋体" w:cs="Times New Roman"/>
      <w:snapToGrid w:val="0"/>
      <w:kern w:val="0"/>
      <w:szCs w:val="24"/>
    </w:rPr>
  </w:style>
  <w:style w:type="character" w:customStyle="1" w:styleId="251">
    <w:name w:val="标书正文格式 Char"/>
    <w:qFormat/>
    <w:uiPriority w:val="0"/>
    <w:rPr>
      <w:rFonts w:eastAsia="楷体_GB2312"/>
      <w:kern w:val="2"/>
      <w:sz w:val="24"/>
      <w:szCs w:val="24"/>
      <w:lang w:bidi="ar-SA"/>
    </w:rPr>
  </w:style>
  <w:style w:type="character" w:customStyle="1" w:styleId="252">
    <w:name w:val="Char Char11"/>
    <w:qFormat/>
    <w:uiPriority w:val="0"/>
    <w:rPr>
      <w:rFonts w:ascii="宋体" w:hAnsi="宋体" w:eastAsia="宋体"/>
      <w:b/>
      <w:kern w:val="2"/>
      <w:sz w:val="24"/>
      <w:szCs w:val="24"/>
      <w:lang w:val="en-US" w:eastAsia="zh-CN" w:bidi="ar-SA"/>
    </w:rPr>
  </w:style>
  <w:style w:type="character" w:customStyle="1" w:styleId="253">
    <w:name w:val="ca-131"/>
    <w:qFormat/>
    <w:uiPriority w:val="0"/>
    <w:rPr>
      <w:rFonts w:hint="eastAsia" w:ascii="仿宋_GB2312" w:eastAsia="仿宋_GB2312"/>
      <w:b/>
      <w:bCs/>
      <w:color w:val="000000"/>
      <w:spacing w:val="-20"/>
      <w:sz w:val="24"/>
      <w:szCs w:val="24"/>
    </w:rPr>
  </w:style>
  <w:style w:type="character" w:customStyle="1" w:styleId="254">
    <w:name w:val="tw4winMark"/>
    <w:qFormat/>
    <w:uiPriority w:val="0"/>
    <w:rPr>
      <w:rFonts w:ascii="Courier New" w:hAnsi="Courier New" w:cs="Courier New"/>
      <w:vanish/>
      <w:color w:val="800080"/>
      <w:sz w:val="24"/>
      <w:szCs w:val="24"/>
      <w:vertAlign w:val="subscript"/>
    </w:rPr>
  </w:style>
  <w:style w:type="character" w:customStyle="1" w:styleId="255">
    <w:name w:val="正文样式 Char"/>
    <w:link w:val="256"/>
    <w:qFormat/>
    <w:uiPriority w:val="0"/>
    <w:rPr>
      <w:rFonts w:ascii="Calibri" w:hAnsi="Calibri"/>
      <w:sz w:val="24"/>
      <w:szCs w:val="24"/>
    </w:rPr>
  </w:style>
  <w:style w:type="paragraph" w:customStyle="1" w:styleId="256">
    <w:name w:val="正文样式"/>
    <w:basedOn w:val="1"/>
    <w:link w:val="255"/>
    <w:qFormat/>
    <w:uiPriority w:val="0"/>
    <w:pPr>
      <w:adjustRightInd/>
      <w:spacing w:line="360" w:lineRule="auto"/>
      <w:ind w:firstLine="480" w:firstLineChars="200"/>
    </w:pPr>
    <w:rPr>
      <w:kern w:val="0"/>
      <w:sz w:val="24"/>
    </w:rPr>
  </w:style>
  <w:style w:type="character" w:customStyle="1" w:styleId="257">
    <w:name w:val="表正文 Char3"/>
    <w:qFormat/>
    <w:uiPriority w:val="0"/>
    <w:rPr>
      <w:rFonts w:eastAsia="宋体"/>
    </w:rPr>
  </w:style>
  <w:style w:type="character" w:customStyle="1" w:styleId="258">
    <w:name w:val="H5 Char"/>
    <w:qFormat/>
    <w:uiPriority w:val="0"/>
    <w:rPr>
      <w:b/>
      <w:bCs/>
      <w:kern w:val="2"/>
      <w:sz w:val="28"/>
      <w:szCs w:val="28"/>
    </w:rPr>
  </w:style>
  <w:style w:type="character" w:customStyle="1" w:styleId="259">
    <w:name w:val="Char Char3"/>
    <w:qFormat/>
    <w:uiPriority w:val="0"/>
    <w:rPr>
      <w:rFonts w:eastAsia="宋体"/>
      <w:kern w:val="2"/>
      <w:sz w:val="21"/>
      <w:szCs w:val="24"/>
      <w:lang w:val="en-US" w:eastAsia="zh-CN" w:bidi="ar-SA"/>
    </w:rPr>
  </w:style>
  <w:style w:type="character" w:customStyle="1" w:styleId="260">
    <w:name w:val="正文 编号 Char"/>
    <w:qFormat/>
    <w:uiPriority w:val="0"/>
    <w:rPr>
      <w:rFonts w:ascii="仿宋_GB2312" w:hAnsi="仿宋_GB2312" w:eastAsia="仿宋_GB2312"/>
      <w:kern w:val="2"/>
      <w:sz w:val="24"/>
      <w:lang w:bidi="ar-SA"/>
    </w:rPr>
  </w:style>
  <w:style w:type="character" w:customStyle="1" w:styleId="261">
    <w:name w:val="question-title2"/>
    <w:qFormat/>
    <w:uiPriority w:val="6"/>
    <w:rPr>
      <w:rFonts w:ascii="Arial" w:hAnsi="Arial" w:eastAsia="黑体" w:cs="Arial"/>
      <w:snapToGrid w:val="0"/>
      <w:kern w:val="0"/>
      <w:szCs w:val="21"/>
    </w:rPr>
  </w:style>
  <w:style w:type="character" w:customStyle="1" w:styleId="262">
    <w:name w:val="gf正文1 Char Char"/>
    <w:link w:val="263"/>
    <w:qFormat/>
    <w:uiPriority w:val="0"/>
    <w:rPr>
      <w:rFonts w:ascii="宋体" w:hAnsi="宋体" w:cs="宋体"/>
      <w:kern w:val="2"/>
      <w:sz w:val="24"/>
      <w:szCs w:val="24"/>
    </w:rPr>
  </w:style>
  <w:style w:type="paragraph" w:customStyle="1" w:styleId="263">
    <w:name w:val="gf正文1"/>
    <w:basedOn w:val="1"/>
    <w:link w:val="26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64">
    <w:name w:val="Char Char15"/>
    <w:qFormat/>
    <w:uiPriority w:val="6"/>
    <w:rPr>
      <w:rFonts w:ascii="宋体" w:hAnsi="宋体"/>
      <w:kern w:val="1"/>
      <w:sz w:val="21"/>
    </w:rPr>
  </w:style>
  <w:style w:type="character" w:customStyle="1" w:styleId="265">
    <w:name w:val="正文缩进 Char3"/>
    <w:qFormat/>
    <w:uiPriority w:val="0"/>
    <w:rPr>
      <w:rFonts w:ascii="宋体" w:eastAsia="宋体"/>
      <w:snapToGrid w:val="0"/>
      <w:color w:val="000000"/>
      <w:kern w:val="28"/>
      <w:sz w:val="28"/>
      <w:lang w:val="en-US" w:eastAsia="zh-CN" w:bidi="ar-SA"/>
    </w:rPr>
  </w:style>
  <w:style w:type="character" w:customStyle="1" w:styleId="266">
    <w:name w:val="列出段落 Char1"/>
    <w:link w:val="267"/>
    <w:qFormat/>
    <w:uiPriority w:val="0"/>
    <w:rPr>
      <w:rFonts w:ascii="Calibri" w:hAnsi="Calibri"/>
      <w:sz w:val="24"/>
      <w:lang w:eastAsia="en-US"/>
    </w:rPr>
  </w:style>
  <w:style w:type="paragraph" w:customStyle="1" w:styleId="267">
    <w:name w:val="列表1"/>
    <w:basedOn w:val="1"/>
    <w:next w:val="80"/>
    <w:link w:val="266"/>
    <w:qFormat/>
    <w:uiPriority w:val="0"/>
    <w:pPr>
      <w:widowControl/>
      <w:adjustRightInd/>
      <w:spacing w:after="200" w:line="360" w:lineRule="auto"/>
      <w:ind w:left="720" w:firstLine="200" w:firstLineChars="200"/>
      <w:jc w:val="left"/>
    </w:pPr>
    <w:rPr>
      <w:kern w:val="0"/>
      <w:sz w:val="24"/>
      <w:szCs w:val="20"/>
      <w:lang w:eastAsia="en-US"/>
    </w:rPr>
  </w:style>
  <w:style w:type="character" w:customStyle="1" w:styleId="268">
    <w:name w:val="Char Char8"/>
    <w:qFormat/>
    <w:uiPriority w:val="0"/>
    <w:rPr>
      <w:rFonts w:eastAsia="宋体"/>
      <w:b/>
      <w:sz w:val="24"/>
      <w:lang w:val="en-GB" w:eastAsia="zh-CN"/>
    </w:rPr>
  </w:style>
  <w:style w:type="character" w:customStyle="1" w:styleId="269">
    <w:name w:val="Normal Indent Char Char"/>
    <w:qFormat/>
    <w:uiPriority w:val="0"/>
    <w:rPr>
      <w:rFonts w:eastAsia="宋体"/>
      <w:kern w:val="2"/>
      <w:sz w:val="21"/>
      <w:lang w:val="en-US" w:eastAsia="zh-CN" w:bidi="ar-SA"/>
    </w:rPr>
  </w:style>
  <w:style w:type="character" w:customStyle="1" w:styleId="270">
    <w:name w:val="列表段落 字符"/>
    <w:qFormat/>
    <w:uiPriority w:val="99"/>
  </w:style>
  <w:style w:type="character" w:customStyle="1" w:styleId="271">
    <w:name w:val="Ò³Ã¼ Char Char1"/>
    <w:qFormat/>
    <w:uiPriority w:val="0"/>
    <w:rPr>
      <w:rFonts w:eastAsia="宋体"/>
      <w:kern w:val="2"/>
      <w:sz w:val="18"/>
      <w:szCs w:val="18"/>
      <w:lang w:val="en-US" w:eastAsia="zh-CN" w:bidi="ar-SA"/>
    </w:rPr>
  </w:style>
  <w:style w:type="character" w:customStyle="1" w:styleId="272">
    <w:name w:val="方案正文 Char"/>
    <w:qFormat/>
    <w:uiPriority w:val="0"/>
    <w:rPr>
      <w:rFonts w:ascii="仿宋_GB2312" w:eastAsia="仿宋_GB2312"/>
      <w:b/>
      <w:color w:val="000000"/>
      <w:kern w:val="2"/>
      <w:sz w:val="24"/>
      <w:lang w:val="en-US" w:eastAsia="zh-CN" w:bidi="ar-SA"/>
    </w:rPr>
  </w:style>
  <w:style w:type="character" w:customStyle="1" w:styleId="273">
    <w:name w:val="Char Char30"/>
    <w:qFormat/>
    <w:uiPriority w:val="6"/>
    <w:rPr>
      <w:rFonts w:ascii="Arial" w:hAnsi="Arial" w:eastAsia="黑体"/>
      <w:kern w:val="1"/>
      <w:sz w:val="21"/>
      <w:szCs w:val="21"/>
    </w:rPr>
  </w:style>
  <w:style w:type="character" w:customStyle="1" w:styleId="274">
    <w:name w:val="正文文本缩进 Char3"/>
    <w:link w:val="24"/>
    <w:qFormat/>
    <w:uiPriority w:val="0"/>
    <w:rPr>
      <w:rFonts w:ascii="宋体" w:hAnsi="宋体"/>
      <w:kern w:val="2"/>
      <w:sz w:val="24"/>
      <w:szCs w:val="24"/>
    </w:rPr>
  </w:style>
  <w:style w:type="character" w:customStyle="1" w:styleId="275">
    <w:name w:val="font01"/>
    <w:qFormat/>
    <w:uiPriority w:val="0"/>
    <w:rPr>
      <w:rFonts w:hint="eastAsia" w:ascii="微软雅黑" w:hAnsi="微软雅黑" w:eastAsia="微软雅黑" w:cs="微软雅黑"/>
      <w:color w:val="000000"/>
      <w:sz w:val="20"/>
      <w:szCs w:val="20"/>
      <w:u w:val="none"/>
    </w:rPr>
  </w:style>
  <w:style w:type="character" w:customStyle="1" w:styleId="276">
    <w:name w:val="Char Char20"/>
    <w:qFormat/>
    <w:uiPriority w:val="6"/>
    <w:rPr>
      <w:kern w:val="1"/>
      <w:sz w:val="24"/>
    </w:rPr>
  </w:style>
  <w:style w:type="character" w:customStyle="1" w:styleId="277">
    <w:name w:val="tw4winExternal"/>
    <w:qFormat/>
    <w:uiPriority w:val="0"/>
    <w:rPr>
      <w:rFonts w:ascii="Courier New" w:hAnsi="Courier New" w:cs="Courier New"/>
      <w:color w:val="808080"/>
      <w:lang w:val="en-US" w:eastAsia="zh-CN"/>
    </w:rPr>
  </w:style>
  <w:style w:type="character" w:customStyle="1" w:styleId="278">
    <w:name w:val="标题 4 Char1"/>
    <w:qFormat/>
    <w:uiPriority w:val="9"/>
    <w:rPr>
      <w:rFonts w:ascii="Cambria" w:hAnsi="Cambria" w:eastAsia="宋体" w:cs="Times New Roman"/>
      <w:b/>
      <w:bCs/>
      <w:kern w:val="2"/>
      <w:sz w:val="28"/>
      <w:szCs w:val="28"/>
    </w:rPr>
  </w:style>
  <w:style w:type="character" w:customStyle="1" w:styleId="279">
    <w:name w:val="批注文字 Char2"/>
    <w:qFormat/>
    <w:uiPriority w:val="99"/>
    <w:rPr>
      <w:rFonts w:ascii="Times New Roman" w:hAnsi="Times New Roman" w:eastAsia="宋体" w:cs="Times New Roman"/>
      <w:snapToGrid w:val="0"/>
      <w:kern w:val="0"/>
      <w:szCs w:val="24"/>
    </w:rPr>
  </w:style>
  <w:style w:type="character" w:customStyle="1" w:styleId="280">
    <w:name w:val="正文文本 2 Char"/>
    <w:qFormat/>
    <w:uiPriority w:val="0"/>
    <w:rPr>
      <w:rFonts w:eastAsia="宋体"/>
      <w:kern w:val="2"/>
      <w:sz w:val="21"/>
      <w:szCs w:val="24"/>
      <w:lang w:val="en-US" w:eastAsia="zh-CN" w:bidi="ar-SA"/>
    </w:rPr>
  </w:style>
  <w:style w:type="character" w:customStyle="1" w:styleId="281">
    <w:name w:val="Ò³Ã¼ Char Char"/>
    <w:qFormat/>
    <w:uiPriority w:val="0"/>
    <w:rPr>
      <w:rFonts w:eastAsia="宋体"/>
      <w:kern w:val="2"/>
      <w:sz w:val="18"/>
      <w:lang w:val="en-US" w:eastAsia="zh-CN" w:bidi="ar-SA"/>
    </w:rPr>
  </w:style>
  <w:style w:type="character" w:customStyle="1" w:styleId="282">
    <w:name w:val="message1"/>
    <w:qFormat/>
    <w:uiPriority w:val="0"/>
    <w:rPr>
      <w:rFonts w:hint="default" w:ascii="Tahoma" w:hAnsi="Tahoma" w:cs="Tahoma"/>
      <w:sz w:val="18"/>
      <w:szCs w:val="18"/>
    </w:rPr>
  </w:style>
  <w:style w:type="character" w:customStyle="1" w:styleId="283">
    <w:name w:val="Char Char23"/>
    <w:qFormat/>
    <w:uiPriority w:val="6"/>
    <w:rPr>
      <w:color w:val="0000FF"/>
      <w:sz w:val="21"/>
    </w:rPr>
  </w:style>
  <w:style w:type="character" w:customStyle="1" w:styleId="284">
    <w:name w:val="批注框文本 字符"/>
    <w:qFormat/>
    <w:uiPriority w:val="0"/>
    <w:rPr>
      <w:rFonts w:ascii="Arial" w:hAnsi="Arial" w:eastAsia="黑体" w:cs="Arial"/>
      <w:snapToGrid w:val="0"/>
      <w:kern w:val="0"/>
      <w:sz w:val="18"/>
      <w:szCs w:val="18"/>
    </w:rPr>
  </w:style>
  <w:style w:type="character" w:customStyle="1" w:styleId="285">
    <w:name w:val="纯文本 Char2"/>
    <w:qFormat/>
    <w:uiPriority w:val="99"/>
    <w:rPr>
      <w:rFonts w:ascii="宋体" w:hAnsi="Courier New" w:eastAsia="宋体" w:cs="Courier New"/>
    </w:rPr>
  </w:style>
  <w:style w:type="character" w:customStyle="1" w:styleId="286">
    <w:name w:val="Char Char25"/>
    <w:qFormat/>
    <w:uiPriority w:val="6"/>
    <w:rPr>
      <w:rFonts w:ascii="宋体" w:hAnsi="宋体"/>
      <w:kern w:val="1"/>
      <w:sz w:val="24"/>
      <w:lang w:val="zh-CN"/>
    </w:rPr>
  </w:style>
  <w:style w:type="character" w:customStyle="1" w:styleId="287">
    <w:name w:val="Char Char411"/>
    <w:qFormat/>
    <w:uiPriority w:val="0"/>
    <w:rPr>
      <w:rFonts w:eastAsia="宋体"/>
      <w:b/>
      <w:sz w:val="24"/>
      <w:lang w:val="en-GB" w:eastAsia="zh-CN" w:bidi="ar-SA"/>
    </w:rPr>
  </w:style>
  <w:style w:type="character" w:customStyle="1" w:styleId="288">
    <w:name w:val="Heading 7 Char_61c1bc4a-5f38-4d54-8b2e-42a3137bdd66"/>
    <w:qFormat/>
    <w:uiPriority w:val="0"/>
    <w:rPr>
      <w:rFonts w:ascii="宋体" w:hAnsi="宋体" w:eastAsia="宋体"/>
      <w:b/>
      <w:bCs/>
      <w:kern w:val="2"/>
      <w:sz w:val="24"/>
      <w:szCs w:val="24"/>
      <w:lang w:val="en-US" w:eastAsia="zh-CN" w:bidi="ar-SA"/>
    </w:rPr>
  </w:style>
  <w:style w:type="character" w:customStyle="1" w:styleId="289">
    <w:name w:val="此正文 Char"/>
    <w:link w:val="290"/>
    <w:qFormat/>
    <w:uiPriority w:val="0"/>
    <w:rPr>
      <w:kern w:val="2"/>
      <w:sz w:val="24"/>
      <w:szCs w:val="24"/>
    </w:rPr>
  </w:style>
  <w:style w:type="paragraph" w:customStyle="1" w:styleId="290">
    <w:name w:val="此正文"/>
    <w:basedOn w:val="1"/>
    <w:link w:val="289"/>
    <w:qFormat/>
    <w:uiPriority w:val="0"/>
    <w:pPr>
      <w:adjustRightInd/>
      <w:spacing w:line="360" w:lineRule="auto"/>
      <w:ind w:firstLine="200" w:firstLineChars="200"/>
    </w:pPr>
    <w:rPr>
      <w:sz w:val="24"/>
    </w:rPr>
  </w:style>
  <w:style w:type="character" w:customStyle="1" w:styleId="291">
    <w:name w:val="Char Char2"/>
    <w:qFormat/>
    <w:uiPriority w:val="0"/>
    <w:rPr>
      <w:rFonts w:eastAsia="宋体"/>
      <w:b/>
      <w:bCs/>
      <w:kern w:val="2"/>
      <w:sz w:val="21"/>
      <w:szCs w:val="24"/>
      <w:lang w:val="en-US" w:eastAsia="zh-CN" w:bidi="ar-SA"/>
    </w:rPr>
  </w:style>
  <w:style w:type="character" w:customStyle="1" w:styleId="292">
    <w:name w:val="Footer-Even Char1"/>
    <w:qFormat/>
    <w:uiPriority w:val="0"/>
    <w:rPr>
      <w:rFonts w:eastAsia="宋体"/>
      <w:kern w:val="2"/>
      <w:sz w:val="18"/>
      <w:szCs w:val="18"/>
      <w:lang w:val="en-US" w:eastAsia="zh-CN" w:bidi="ar-SA"/>
    </w:rPr>
  </w:style>
  <w:style w:type="character" w:customStyle="1" w:styleId="293">
    <w:name w:val="Char Char29"/>
    <w:qFormat/>
    <w:uiPriority w:val="6"/>
    <w:rPr>
      <w:rFonts w:ascii="Arial" w:hAnsi="Arial" w:eastAsia="微软雅黑"/>
      <w:b/>
      <w:kern w:val="1"/>
      <w:sz w:val="44"/>
      <w:szCs w:val="32"/>
      <w:lang w:val="en-US" w:eastAsia="zh-CN" w:bidi="ar-SA"/>
    </w:rPr>
  </w:style>
  <w:style w:type="character" w:customStyle="1" w:styleId="294">
    <w:name w:val="标题 Char2"/>
    <w:link w:val="59"/>
    <w:qFormat/>
    <w:uiPriority w:val="10"/>
    <w:rPr>
      <w:b/>
      <w:sz w:val="24"/>
      <w:lang w:val="en-GB"/>
    </w:rPr>
  </w:style>
  <w:style w:type="character" w:customStyle="1" w:styleId="295">
    <w:name w:val="font81"/>
    <w:qFormat/>
    <w:uiPriority w:val="0"/>
    <w:rPr>
      <w:rFonts w:ascii="微软雅黑" w:hAnsi="微软雅黑" w:eastAsia="微软雅黑" w:cs="微软雅黑"/>
      <w:color w:val="000000"/>
      <w:sz w:val="20"/>
      <w:szCs w:val="20"/>
      <w:u w:val="none"/>
    </w:rPr>
  </w:style>
  <w:style w:type="character" w:customStyle="1" w:styleId="296">
    <w:name w:val="Char Char312"/>
    <w:qFormat/>
    <w:uiPriority w:val="0"/>
    <w:rPr>
      <w:rFonts w:ascii="Times New Roman" w:hAnsi="Times New Roman" w:eastAsia="宋体" w:cs="Times New Roman"/>
      <w:b/>
      <w:kern w:val="2"/>
      <w:sz w:val="32"/>
      <w:szCs w:val="24"/>
      <w:lang w:val="en-US" w:eastAsia="zh-CN" w:bidi="ar-SA"/>
    </w:rPr>
  </w:style>
  <w:style w:type="character" w:customStyle="1" w:styleId="297">
    <w:name w:val="t21"/>
    <w:qFormat/>
    <w:uiPriority w:val="0"/>
    <w:rPr>
      <w:rFonts w:ascii="仿宋_GB2312" w:eastAsia="微软雅黑"/>
      <w:b/>
      <w:kern w:val="2"/>
      <w:sz w:val="23"/>
      <w:szCs w:val="23"/>
      <w:lang w:val="en-US" w:eastAsia="zh-CN" w:bidi="ar-SA"/>
    </w:rPr>
  </w:style>
  <w:style w:type="character" w:customStyle="1" w:styleId="298">
    <w:name w:val="样式8 Char"/>
    <w:qFormat/>
    <w:uiPriority w:val="0"/>
    <w:rPr>
      <w:rFonts w:ascii="仿宋_GB2312" w:hAnsi="宋体" w:eastAsia="仿宋_GB2312"/>
      <w:b/>
      <w:bCs/>
      <w:kern w:val="2"/>
      <w:sz w:val="24"/>
      <w:szCs w:val="24"/>
    </w:rPr>
  </w:style>
  <w:style w:type="character" w:customStyle="1" w:styleId="299">
    <w:name w:val="表格 Char Char"/>
    <w:qFormat/>
    <w:uiPriority w:val="0"/>
    <w:rPr>
      <w:rFonts w:ascii="宋体" w:hAnsi="宋体" w:eastAsia="宋体"/>
      <w:lang w:bidi="ar-SA"/>
    </w:rPr>
  </w:style>
  <w:style w:type="character" w:customStyle="1" w:styleId="300">
    <w:name w:val="正文文本 字符1"/>
    <w:qFormat/>
    <w:uiPriority w:val="0"/>
    <w:rPr>
      <w:rFonts w:ascii="Calibri" w:hAnsi="Calibri" w:eastAsia="黑体" w:cs="Arial"/>
      <w:snapToGrid w:val="0"/>
      <w:kern w:val="2"/>
      <w:sz w:val="28"/>
      <w:szCs w:val="21"/>
    </w:rPr>
  </w:style>
  <w:style w:type="character" w:customStyle="1" w:styleId="301">
    <w:name w:val="标题 5 Char"/>
    <w:link w:val="7"/>
    <w:qFormat/>
    <w:uiPriority w:val="9"/>
    <w:rPr>
      <w:b/>
      <w:bCs/>
      <w:kern w:val="2"/>
      <w:sz w:val="28"/>
      <w:szCs w:val="28"/>
    </w:rPr>
  </w:style>
  <w:style w:type="character" w:customStyle="1" w:styleId="302">
    <w:name w:val="标题 6 Char1"/>
    <w:qFormat/>
    <w:uiPriority w:val="0"/>
    <w:rPr>
      <w:rFonts w:ascii="Arial" w:hAnsi="Arial" w:eastAsia="黑体" w:cs="Times New Roman"/>
      <w:b/>
      <w:sz w:val="24"/>
      <w:szCs w:val="20"/>
      <w:lang w:bidi="ar-SA"/>
    </w:rPr>
  </w:style>
  <w:style w:type="character" w:customStyle="1" w:styleId="303">
    <w:name w:val="带编号样式 Char"/>
    <w:qFormat/>
    <w:uiPriority w:val="0"/>
    <w:rPr>
      <w:rFonts w:ascii="仿宋_GB2312" w:eastAsia="仿宋_GB2312"/>
      <w:color w:val="000000"/>
      <w:sz w:val="24"/>
      <w:lang w:bidi="ar-SA"/>
    </w:rPr>
  </w:style>
  <w:style w:type="character" w:customStyle="1" w:styleId="304">
    <w:name w:val="unnamed31"/>
    <w:qFormat/>
    <w:uiPriority w:val="0"/>
    <w:rPr>
      <w:rFonts w:ascii="Tahoma" w:hAnsi="Tahoma" w:eastAsia="宋体"/>
      <w:b/>
      <w:kern w:val="2"/>
      <w:sz w:val="24"/>
      <w:szCs w:val="32"/>
      <w:u w:val="none"/>
      <w:lang w:val="en-US" w:eastAsia="zh-CN" w:bidi="ar-SA"/>
    </w:rPr>
  </w:style>
  <w:style w:type="character" w:customStyle="1" w:styleId="305">
    <w:name w:val="正文首行缩进 Char Char Char Char Char Char1"/>
    <w:qFormat/>
    <w:uiPriority w:val="0"/>
    <w:rPr>
      <w:rFonts w:ascii="宋体" w:eastAsia="宋体"/>
      <w:kern w:val="2"/>
      <w:sz w:val="24"/>
      <w:szCs w:val="24"/>
      <w:lang w:val="zh-CN" w:bidi="ar-SA"/>
    </w:rPr>
  </w:style>
  <w:style w:type="character" w:customStyle="1" w:styleId="306">
    <w:name w:val="称呼 Char"/>
    <w:link w:val="20"/>
    <w:qFormat/>
    <w:uiPriority w:val="0"/>
    <w:rPr>
      <w:rFonts w:ascii="仿宋_GB2312" w:eastAsia="仿宋_GB2312"/>
      <w:kern w:val="2"/>
      <w:sz w:val="28"/>
    </w:rPr>
  </w:style>
  <w:style w:type="character" w:customStyle="1" w:styleId="307">
    <w:name w:val="文本正文 Char Char"/>
    <w:qFormat/>
    <w:uiPriority w:val="0"/>
    <w:rPr>
      <w:sz w:val="24"/>
      <w:lang w:bidi="ar-SA"/>
    </w:rPr>
  </w:style>
  <w:style w:type="character" w:customStyle="1" w:styleId="308">
    <w:name w:val="正文缩进 字符"/>
    <w:qFormat/>
    <w:uiPriority w:val="0"/>
    <w:rPr>
      <w:rFonts w:ascii="宋体" w:eastAsia="宋体"/>
      <w:snapToGrid w:val="0"/>
      <w:color w:val="000000"/>
      <w:kern w:val="28"/>
      <w:sz w:val="28"/>
      <w:lang w:val="en-US" w:eastAsia="zh-CN" w:bidi="ar-SA"/>
    </w:rPr>
  </w:style>
  <w:style w:type="character" w:customStyle="1" w:styleId="309">
    <w:name w:val="HTML 预设格式 Char"/>
    <w:link w:val="57"/>
    <w:qFormat/>
    <w:uiPriority w:val="0"/>
    <w:rPr>
      <w:rFonts w:ascii="黑体" w:hAnsi="Courier New" w:eastAsia="黑体"/>
    </w:rPr>
  </w:style>
  <w:style w:type="character" w:customStyle="1" w:styleId="310">
    <w:name w:val="正文文本 2 Char1"/>
    <w:link w:val="56"/>
    <w:qFormat/>
    <w:uiPriority w:val="0"/>
    <w:rPr>
      <w:kern w:val="2"/>
      <w:sz w:val="21"/>
      <w:szCs w:val="24"/>
    </w:rPr>
  </w:style>
  <w:style w:type="character" w:customStyle="1" w:styleId="311">
    <w:name w:val="样式 样式 标题 4h4H4Fab-4T5Ref Heading 1rh1Heading sqlsect 1.2.3.... +... Char"/>
    <w:link w:val="312"/>
    <w:qFormat/>
    <w:uiPriority w:val="0"/>
    <w:rPr>
      <w:rFonts w:ascii="微软雅黑" w:hAnsi="微软雅黑" w:eastAsia="微软雅黑"/>
      <w:b/>
      <w:bCs/>
      <w:kern w:val="2"/>
      <w:sz w:val="24"/>
      <w:szCs w:val="28"/>
    </w:rPr>
  </w:style>
  <w:style w:type="paragraph" w:customStyle="1" w:styleId="312">
    <w:name w:val="样式 样式 标题 4h4H4Fab-4T5Ref Heading 1rh1Heading sqlsect 1.2.3.... +..."/>
    <w:basedOn w:val="313"/>
    <w:link w:val="311"/>
    <w:qFormat/>
    <w:uiPriority w:val="0"/>
    <w:pPr>
      <w:tabs>
        <w:tab w:val="left" w:pos="2356"/>
      </w:tabs>
    </w:pPr>
  </w:style>
  <w:style w:type="paragraph" w:customStyle="1" w:styleId="313">
    <w:name w:val="样式 标题 4h4H4Fab-4T5Ref Heading 1rh1Heading sqlsect 1.2.3...."/>
    <w:basedOn w:val="6"/>
    <w:link w:val="419"/>
    <w:qFormat/>
    <w:uiPriority w:val="0"/>
    <w:pPr>
      <w:tabs>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4">
    <w:name w:val="正文非缩进 Char"/>
    <w:qFormat/>
    <w:uiPriority w:val="0"/>
    <w:rPr>
      <w:rFonts w:ascii="宋体" w:eastAsia="宋体"/>
      <w:snapToGrid w:val="0"/>
      <w:color w:val="000000"/>
      <w:kern w:val="28"/>
      <w:sz w:val="28"/>
      <w:lang w:val="en-US" w:eastAsia="zh-CN" w:bidi="ar-SA"/>
    </w:rPr>
  </w:style>
  <w:style w:type="character" w:customStyle="1" w:styleId="315">
    <w:name w:val="标题 7 Char"/>
    <w:link w:val="9"/>
    <w:qFormat/>
    <w:uiPriority w:val="0"/>
    <w:rPr>
      <w:b/>
      <w:bCs/>
      <w:kern w:val="2"/>
      <w:sz w:val="24"/>
      <w:szCs w:val="24"/>
    </w:rPr>
  </w:style>
  <w:style w:type="character" w:customStyle="1" w:styleId="316">
    <w:name w:val="正文文本缩进 2 Char"/>
    <w:link w:val="36"/>
    <w:qFormat/>
    <w:uiPriority w:val="0"/>
    <w:rPr>
      <w:rFonts w:ascii="宋体"/>
      <w:sz w:val="28"/>
    </w:rPr>
  </w:style>
  <w:style w:type="character" w:customStyle="1" w:styleId="317">
    <w:name w:val="Char Char5"/>
    <w:qFormat/>
    <w:uiPriority w:val="0"/>
    <w:rPr>
      <w:rFonts w:ascii="宋体" w:hAnsi="Courier New" w:eastAsia="宋体"/>
      <w:kern w:val="2"/>
      <w:sz w:val="21"/>
      <w:lang w:val="en-US" w:eastAsia="zh-CN"/>
    </w:rPr>
  </w:style>
  <w:style w:type="character" w:customStyle="1" w:styleId="318">
    <w:name w:val="脚注文本 Char"/>
    <w:link w:val="50"/>
    <w:qFormat/>
    <w:uiPriority w:val="0"/>
    <w:rPr>
      <w:color w:val="0000FF"/>
      <w:sz w:val="21"/>
    </w:rPr>
  </w:style>
  <w:style w:type="character" w:customStyle="1" w:styleId="319">
    <w:name w:val="称呼 Char1"/>
    <w:qFormat/>
    <w:uiPriority w:val="0"/>
    <w:rPr>
      <w:rFonts w:ascii="Times New Roman" w:hAnsi="Times New Roman" w:eastAsia="宋体" w:cs="Times New Roman"/>
      <w:szCs w:val="24"/>
    </w:rPr>
  </w:style>
  <w:style w:type="character" w:customStyle="1" w:styleId="320">
    <w:name w:val="正文缩进 Char1"/>
    <w:qFormat/>
    <w:uiPriority w:val="0"/>
    <w:rPr>
      <w:rFonts w:ascii="宋体" w:eastAsia="宋体"/>
      <w:snapToGrid w:val="0"/>
      <w:color w:val="000000"/>
      <w:kern w:val="28"/>
      <w:sz w:val="28"/>
      <w:lang w:val="en-US" w:eastAsia="zh-CN" w:bidi="ar-SA"/>
    </w:rPr>
  </w:style>
  <w:style w:type="character" w:customStyle="1" w:styleId="321">
    <w:name w:val="font21"/>
    <w:qFormat/>
    <w:uiPriority w:val="0"/>
    <w:rPr>
      <w:rFonts w:hint="eastAsia" w:ascii="宋体" w:hAnsi="宋体" w:eastAsia="宋体"/>
      <w:kern w:val="2"/>
      <w:sz w:val="28"/>
      <w:szCs w:val="28"/>
      <w:lang w:val="en-US" w:eastAsia="zh-CN" w:bidi="ar-SA"/>
    </w:rPr>
  </w:style>
  <w:style w:type="character" w:customStyle="1" w:styleId="322">
    <w:name w:val="Char Char26"/>
    <w:qFormat/>
    <w:uiPriority w:val="6"/>
    <w:rPr>
      <w:kern w:val="1"/>
      <w:sz w:val="21"/>
      <w:szCs w:val="24"/>
    </w:rPr>
  </w:style>
  <w:style w:type="character" w:customStyle="1" w:styleId="323">
    <w:name w:val="Item List Char"/>
    <w:link w:val="324"/>
    <w:qFormat/>
    <w:uiPriority w:val="0"/>
    <w:rPr>
      <w:rFonts w:ascii="Arial"/>
      <w:bCs/>
      <w:sz w:val="21"/>
      <w:szCs w:val="21"/>
      <w:lang w:val="en-US" w:eastAsia="zh-CN" w:bidi="ar-SA"/>
    </w:rPr>
  </w:style>
  <w:style w:type="paragraph" w:customStyle="1" w:styleId="324">
    <w:name w:val="Item List"/>
    <w:link w:val="32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5">
    <w:name w:val="批注框文本 Char1"/>
    <w:qFormat/>
    <w:uiPriority w:val="0"/>
    <w:rPr>
      <w:rFonts w:ascii="Times New Roman" w:hAnsi="Times New Roman" w:eastAsia="宋体" w:cs="Times New Roman"/>
      <w:sz w:val="18"/>
      <w:szCs w:val="18"/>
    </w:rPr>
  </w:style>
  <w:style w:type="character" w:customStyle="1" w:styleId="326">
    <w:name w:val="纯文本 Char1"/>
    <w:link w:val="327"/>
    <w:qFormat/>
    <w:uiPriority w:val="0"/>
    <w:rPr>
      <w:rFonts w:ascii="宋体" w:hAnsi="Courier New"/>
    </w:rPr>
  </w:style>
  <w:style w:type="paragraph" w:customStyle="1" w:styleId="327">
    <w:name w:val="纯文本1"/>
    <w:basedOn w:val="1"/>
    <w:link w:val="326"/>
    <w:qFormat/>
    <w:uiPriority w:val="0"/>
    <w:pPr>
      <w:adjustRightInd/>
    </w:pPr>
    <w:rPr>
      <w:rFonts w:ascii="宋体" w:hAnsi="Courier New"/>
      <w:kern w:val="0"/>
      <w:sz w:val="20"/>
      <w:szCs w:val="20"/>
    </w:rPr>
  </w:style>
  <w:style w:type="character" w:customStyle="1" w:styleId="328">
    <w:name w:val="正文首行缩进 Char"/>
    <w:link w:val="61"/>
    <w:qFormat/>
    <w:uiPriority w:val="0"/>
    <w:rPr>
      <w:rFonts w:ascii="宋体"/>
      <w:kern w:val="2"/>
      <w:sz w:val="24"/>
      <w:lang w:val="zh-CN"/>
    </w:rPr>
  </w:style>
  <w:style w:type="character" w:customStyle="1" w:styleId="329">
    <w:name w:val="h3 Char"/>
    <w:qFormat/>
    <w:uiPriority w:val="0"/>
    <w:rPr>
      <w:rFonts w:eastAsia="宋体"/>
      <w:b/>
      <w:kern w:val="2"/>
      <w:sz w:val="32"/>
      <w:lang w:val="en-US" w:eastAsia="zh-CN" w:bidi="ar-SA"/>
    </w:rPr>
  </w:style>
  <w:style w:type="character" w:customStyle="1" w:styleId="330">
    <w:name w:val="dandyren_title1"/>
    <w:qFormat/>
    <w:uiPriority w:val="0"/>
    <w:rPr>
      <w:b/>
      <w:bCs/>
      <w:color w:val="FF6633"/>
      <w:sz w:val="18"/>
      <w:szCs w:val="18"/>
    </w:rPr>
  </w:style>
  <w:style w:type="character" w:customStyle="1" w:styleId="331">
    <w:name w:val="Char Char31"/>
    <w:qFormat/>
    <w:uiPriority w:val="6"/>
    <w:rPr>
      <w:rFonts w:ascii="Arial" w:hAnsi="Arial" w:eastAsia="黑体"/>
      <w:kern w:val="1"/>
      <w:sz w:val="24"/>
      <w:szCs w:val="24"/>
    </w:rPr>
  </w:style>
  <w:style w:type="character" w:customStyle="1" w:styleId="332">
    <w:name w:val="h Char1"/>
    <w:qFormat/>
    <w:uiPriority w:val="0"/>
    <w:rPr>
      <w:sz w:val="18"/>
      <w:szCs w:val="18"/>
    </w:rPr>
  </w:style>
  <w:style w:type="character" w:customStyle="1" w:styleId="333">
    <w:name w:val="solutionfonts"/>
    <w:qFormat/>
    <w:uiPriority w:val="0"/>
  </w:style>
  <w:style w:type="character" w:customStyle="1" w:styleId="334">
    <w:name w:val="标题 4 Char2"/>
    <w:link w:val="6"/>
    <w:qFormat/>
    <w:uiPriority w:val="9"/>
    <w:rPr>
      <w:rFonts w:ascii="Arial" w:hAnsi="Arial" w:eastAsia="黑体"/>
      <w:b/>
      <w:bCs/>
      <w:kern w:val="2"/>
      <w:sz w:val="28"/>
      <w:szCs w:val="28"/>
      <w:lang w:val="zh-CN"/>
    </w:rPr>
  </w:style>
  <w:style w:type="character" w:customStyle="1" w:styleId="335">
    <w:name w:val="首行缩进 Char"/>
    <w:qFormat/>
    <w:uiPriority w:val="0"/>
    <w:rPr>
      <w:rFonts w:ascii="宋体" w:eastAsia="宋体"/>
      <w:kern w:val="2"/>
      <w:sz w:val="24"/>
      <w:lang w:val="en-US" w:eastAsia="zh-CN" w:bidi="ar-SA"/>
    </w:rPr>
  </w:style>
  <w:style w:type="character" w:customStyle="1" w:styleId="336">
    <w:name w:val="Char Char52"/>
    <w:qFormat/>
    <w:uiPriority w:val="0"/>
    <w:rPr>
      <w:rFonts w:ascii="宋体" w:hAnsi="Courier New" w:eastAsia="宋体"/>
      <w:kern w:val="2"/>
      <w:sz w:val="21"/>
      <w:lang w:val="en-US" w:eastAsia="zh-CN"/>
    </w:rPr>
  </w:style>
  <w:style w:type="character" w:customStyle="1" w:styleId="337">
    <w:name w:val="正文文本 3 Char"/>
    <w:link w:val="21"/>
    <w:qFormat/>
    <w:uiPriority w:val="0"/>
    <w:rPr>
      <w:kern w:val="2"/>
      <w:sz w:val="21"/>
    </w:rPr>
  </w:style>
  <w:style w:type="character" w:customStyle="1" w:styleId="338">
    <w:name w:val="font31"/>
    <w:qFormat/>
    <w:uiPriority w:val="0"/>
    <w:rPr>
      <w:rFonts w:hint="eastAsia" w:ascii="仿宋" w:hAnsi="仿宋" w:eastAsia="仿宋" w:cs="仿宋"/>
      <w:color w:val="000000"/>
      <w:sz w:val="20"/>
      <w:szCs w:val="20"/>
      <w:u w:val="none"/>
    </w:rPr>
  </w:style>
  <w:style w:type="character" w:customStyle="1" w:styleId="339">
    <w:name w:val="正文说明 Char"/>
    <w:link w:val="340"/>
    <w:qFormat/>
    <w:uiPriority w:val="0"/>
    <w:rPr>
      <w:sz w:val="24"/>
      <w:szCs w:val="24"/>
    </w:rPr>
  </w:style>
  <w:style w:type="paragraph" w:customStyle="1" w:styleId="340">
    <w:name w:val="正文说明"/>
    <w:basedOn w:val="1"/>
    <w:link w:val="339"/>
    <w:qFormat/>
    <w:uiPriority w:val="0"/>
    <w:pPr>
      <w:adjustRightInd/>
      <w:spacing w:line="360" w:lineRule="auto"/>
    </w:pPr>
    <w:rPr>
      <w:kern w:val="0"/>
      <w:sz w:val="24"/>
    </w:rPr>
  </w:style>
  <w:style w:type="character" w:customStyle="1" w:styleId="341">
    <w:name w:val="脚注文本 Char1"/>
    <w:qFormat/>
    <w:uiPriority w:val="0"/>
    <w:rPr>
      <w:rFonts w:ascii="Times New Roman" w:hAnsi="Times New Roman" w:eastAsia="宋体" w:cs="Times New Roman"/>
      <w:sz w:val="18"/>
      <w:szCs w:val="18"/>
    </w:rPr>
  </w:style>
  <w:style w:type="character" w:customStyle="1" w:styleId="342">
    <w:name w:val="Char Char1211"/>
    <w:qFormat/>
    <w:uiPriority w:val="0"/>
    <w:rPr>
      <w:rFonts w:ascii="仿宋_GB2312" w:eastAsia="仿宋_GB2312"/>
      <w:b/>
      <w:bCs/>
      <w:kern w:val="2"/>
      <w:sz w:val="24"/>
      <w:szCs w:val="24"/>
      <w:lang w:val="zh-CN" w:eastAsia="zh-CN" w:bidi="ar-SA"/>
    </w:rPr>
  </w:style>
  <w:style w:type="character" w:customStyle="1" w:styleId="343">
    <w:name w:val="标题 Char"/>
    <w:qFormat/>
    <w:uiPriority w:val="0"/>
    <w:rPr>
      <w:rFonts w:eastAsia="宋体"/>
      <w:b/>
      <w:sz w:val="24"/>
      <w:lang w:val="en-GB" w:eastAsia="zh-CN" w:bidi="ar-SA"/>
    </w:rPr>
  </w:style>
  <w:style w:type="character" w:customStyle="1" w:styleId="344">
    <w:name w:val="Char Char35"/>
    <w:qFormat/>
    <w:uiPriority w:val="6"/>
    <w:rPr>
      <w:rFonts w:ascii="Arial" w:hAnsi="Arial" w:eastAsia="黑体"/>
      <w:b/>
      <w:kern w:val="1"/>
      <w:sz w:val="28"/>
      <w:szCs w:val="28"/>
      <w:lang w:val="zh-CN"/>
    </w:rPr>
  </w:style>
  <w:style w:type="character" w:customStyle="1" w:styleId="345">
    <w:name w:val="纯文本 Char Char Char"/>
    <w:qFormat/>
    <w:uiPriority w:val="0"/>
    <w:rPr>
      <w:rFonts w:ascii="宋体" w:hAnsi="Courier New" w:eastAsia="宋体"/>
      <w:kern w:val="2"/>
      <w:sz w:val="21"/>
      <w:lang w:val="en-US" w:eastAsia="zh-CN" w:bidi="ar-SA"/>
    </w:rPr>
  </w:style>
  <w:style w:type="character" w:customStyle="1" w:styleId="346">
    <w:name w:val="Table Text Char"/>
    <w:link w:val="347"/>
    <w:qFormat/>
    <w:uiPriority w:val="0"/>
    <w:rPr>
      <w:sz w:val="24"/>
      <w:szCs w:val="24"/>
    </w:rPr>
  </w:style>
  <w:style w:type="paragraph" w:customStyle="1" w:styleId="347">
    <w:name w:val="Table Text"/>
    <w:basedOn w:val="1"/>
    <w:link w:val="346"/>
    <w:qFormat/>
    <w:uiPriority w:val="0"/>
    <w:pPr>
      <w:widowControl/>
      <w:spacing w:before="60" w:after="60"/>
      <w:jc w:val="left"/>
    </w:pPr>
    <w:rPr>
      <w:kern w:val="0"/>
      <w:sz w:val="24"/>
    </w:rPr>
  </w:style>
  <w:style w:type="character" w:customStyle="1" w:styleId="348">
    <w:name w:val="正文1 Char1"/>
    <w:qFormat/>
    <w:uiPriority w:val="0"/>
    <w:rPr>
      <w:rFonts w:ascii="仿宋_GB2312" w:hAnsi="Courier New" w:eastAsia="仿宋_GB2312"/>
      <w:kern w:val="28"/>
      <w:sz w:val="24"/>
      <w:szCs w:val="24"/>
      <w:lang w:val="en-US" w:eastAsia="zh-CN"/>
    </w:rPr>
  </w:style>
  <w:style w:type="character" w:customStyle="1" w:styleId="349">
    <w:name w:val="页脚 Char1"/>
    <w:qFormat/>
    <w:uiPriority w:val="0"/>
    <w:rPr>
      <w:rFonts w:eastAsia="宋体"/>
      <w:kern w:val="2"/>
      <w:sz w:val="18"/>
      <w:szCs w:val="18"/>
      <w:lang w:val="en-US" w:eastAsia="zh-CN" w:bidi="ar-SA"/>
    </w:rPr>
  </w:style>
  <w:style w:type="character" w:customStyle="1" w:styleId="350">
    <w:name w:val="Bold"/>
    <w:qFormat/>
    <w:uiPriority w:val="0"/>
    <w:rPr>
      <w:rFonts w:ascii="Arial" w:hAnsi="Arial" w:eastAsia="黑体" w:cs="Times New Roman"/>
      <w:b/>
      <w:kern w:val="2"/>
      <w:sz w:val="32"/>
      <w:szCs w:val="32"/>
      <w:lang w:val="en-US" w:eastAsia="zh-CN" w:bidi="ar-SA"/>
    </w:rPr>
  </w:style>
  <w:style w:type="character" w:customStyle="1" w:styleId="351">
    <w:name w:val="批注文字 Char1"/>
    <w:link w:val="19"/>
    <w:qFormat/>
    <w:uiPriority w:val="99"/>
    <w:rPr>
      <w:kern w:val="2"/>
      <w:sz w:val="21"/>
      <w:szCs w:val="24"/>
    </w:rPr>
  </w:style>
  <w:style w:type="character" w:customStyle="1" w:styleId="352">
    <w:name w:val="签名 Char"/>
    <w:link w:val="42"/>
    <w:qFormat/>
    <w:uiPriority w:val="0"/>
    <w:rPr>
      <w:rFonts w:eastAsia="仿宋_GB2312"/>
      <w:sz w:val="24"/>
    </w:rPr>
  </w:style>
  <w:style w:type="character" w:customStyle="1" w:styleId="353">
    <w:name w:val="hui3"/>
    <w:qFormat/>
    <w:uiPriority w:val="0"/>
    <w:rPr>
      <w:color w:val="333333"/>
    </w:rPr>
  </w:style>
  <w:style w:type="character" w:customStyle="1" w:styleId="354">
    <w:name w:val="Char Char17"/>
    <w:qFormat/>
    <w:uiPriority w:val="6"/>
    <w:rPr>
      <w:rFonts w:eastAsia="仿宋_GB2312"/>
      <w:sz w:val="24"/>
    </w:rPr>
  </w:style>
  <w:style w:type="character" w:customStyle="1" w:styleId="355">
    <w:name w:val="标题 4 字符"/>
    <w:qFormat/>
    <w:uiPriority w:val="9"/>
    <w:rPr>
      <w:rFonts w:ascii="等线 Light" w:hAnsi="等线 Light" w:eastAsia="等线 Light" w:cs="Times New Roman"/>
      <w:b/>
      <w:bCs/>
      <w:snapToGrid w:val="0"/>
      <w:kern w:val="0"/>
      <w:sz w:val="28"/>
      <w:szCs w:val="28"/>
    </w:rPr>
  </w:style>
  <w:style w:type="character" w:customStyle="1" w:styleId="356">
    <w:name w:val="Char Char37"/>
    <w:qFormat/>
    <w:uiPriority w:val="6"/>
    <w:rPr>
      <w:b/>
      <w:kern w:val="1"/>
      <w:sz w:val="44"/>
      <w:szCs w:val="44"/>
    </w:rPr>
  </w:style>
  <w:style w:type="character" w:customStyle="1" w:styleId="357">
    <w:name w:val="列出段落 Char"/>
    <w:qFormat/>
    <w:uiPriority w:val="0"/>
    <w:rPr>
      <w:rFonts w:eastAsia="楷体_GB2312" w:cs="Lucida Sans"/>
      <w:kern w:val="2"/>
      <w:sz w:val="24"/>
      <w:szCs w:val="24"/>
      <w:lang w:val="en-US" w:eastAsia="zh-CN" w:bidi="ar-SA"/>
    </w:rPr>
  </w:style>
  <w:style w:type="character" w:customStyle="1" w:styleId="358">
    <w:name w:val="正文文本缩进 3 Char1"/>
    <w:qFormat/>
    <w:uiPriority w:val="99"/>
    <w:rPr>
      <w:rFonts w:ascii="Times New Roman" w:hAnsi="Times New Roman" w:eastAsia="宋体" w:cs="Times New Roman"/>
      <w:sz w:val="16"/>
      <w:szCs w:val="16"/>
    </w:rPr>
  </w:style>
  <w:style w:type="character" w:customStyle="1" w:styleId="359">
    <w:name w:val="公文正文 Char Char"/>
    <w:link w:val="360"/>
    <w:qFormat/>
    <w:uiPriority w:val="0"/>
    <w:rPr>
      <w:rFonts w:ascii="仿宋_GB2312" w:eastAsia="仿宋_GB2312"/>
      <w:kern w:val="2"/>
      <w:sz w:val="24"/>
      <w:szCs w:val="24"/>
    </w:rPr>
  </w:style>
  <w:style w:type="paragraph" w:customStyle="1" w:styleId="360">
    <w:name w:val="公文正文"/>
    <w:basedOn w:val="1"/>
    <w:link w:val="359"/>
    <w:qFormat/>
    <w:uiPriority w:val="0"/>
    <w:pPr>
      <w:adjustRightInd/>
      <w:spacing w:before="156" w:line="360" w:lineRule="auto"/>
      <w:ind w:firstLine="360" w:firstLineChars="200"/>
    </w:pPr>
    <w:rPr>
      <w:rFonts w:ascii="仿宋_GB2312" w:eastAsia="仿宋_GB2312"/>
      <w:sz w:val="24"/>
    </w:rPr>
  </w:style>
  <w:style w:type="character" w:customStyle="1" w:styleId="361">
    <w:name w:val="Table Text Char1"/>
    <w:qFormat/>
    <w:uiPriority w:val="0"/>
    <w:rPr>
      <w:rFonts w:eastAsia="宋体"/>
      <w:sz w:val="24"/>
      <w:szCs w:val="24"/>
      <w:lang w:val="en-US" w:eastAsia="zh-CN" w:bidi="ar-SA"/>
    </w:rPr>
  </w:style>
  <w:style w:type="character" w:customStyle="1" w:styleId="362">
    <w:name w:val="标题 1 Char Char"/>
    <w:qFormat/>
    <w:uiPriority w:val="0"/>
    <w:rPr>
      <w:rFonts w:hint="eastAsia" w:ascii="宋体" w:hAnsi="宋体" w:eastAsia="宋体"/>
      <w:b/>
      <w:spacing w:val="-2"/>
      <w:sz w:val="24"/>
      <w:lang w:val="en-US" w:eastAsia="zh-CN" w:bidi="ar-SA"/>
    </w:rPr>
  </w:style>
  <w:style w:type="character" w:customStyle="1" w:styleId="363">
    <w:name w:val="正文（缩进2汉字） Char"/>
    <w:link w:val="364"/>
    <w:qFormat/>
    <w:uiPriority w:val="0"/>
    <w:rPr>
      <w:rFonts w:ascii="宋体"/>
    </w:rPr>
  </w:style>
  <w:style w:type="paragraph" w:customStyle="1" w:styleId="364">
    <w:name w:val="正文（缩进2汉字）"/>
    <w:basedOn w:val="1"/>
    <w:link w:val="36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5">
    <w:name w:val="标题 8 Char"/>
    <w:link w:val="10"/>
    <w:qFormat/>
    <w:uiPriority w:val="0"/>
    <w:rPr>
      <w:rFonts w:ascii="Arial" w:hAnsi="Arial" w:eastAsia="黑体"/>
      <w:kern w:val="2"/>
      <w:sz w:val="24"/>
      <w:szCs w:val="24"/>
    </w:rPr>
  </w:style>
  <w:style w:type="character" w:customStyle="1" w:styleId="366">
    <w:name w:val="标书表格字体格式 Char"/>
    <w:qFormat/>
    <w:uiPriority w:val="0"/>
    <w:rPr>
      <w:kern w:val="2"/>
      <w:sz w:val="21"/>
      <w:szCs w:val="24"/>
      <w:lang w:bidi="ar-SA"/>
    </w:rPr>
  </w:style>
  <w:style w:type="character" w:customStyle="1" w:styleId="367">
    <w:name w:val="tw4winError"/>
    <w:qFormat/>
    <w:uiPriority w:val="0"/>
    <w:rPr>
      <w:rFonts w:ascii="Courier New" w:hAnsi="Courier New" w:cs="Courier New"/>
      <w:color w:val="00FF00"/>
      <w:sz w:val="40"/>
      <w:szCs w:val="40"/>
    </w:rPr>
  </w:style>
  <w:style w:type="character" w:customStyle="1" w:styleId="368">
    <w:name w:val="Body Text(ch) Char Char"/>
    <w:qFormat/>
    <w:uiPriority w:val="0"/>
    <w:rPr>
      <w:rFonts w:ascii="宋体"/>
      <w:kern w:val="2"/>
      <w:sz w:val="24"/>
      <w:szCs w:val="21"/>
      <w:lang w:val="zh-CN"/>
    </w:rPr>
  </w:style>
  <w:style w:type="character" w:customStyle="1" w:styleId="369">
    <w:name w:val="正文首行缩进两字 Char"/>
    <w:qFormat/>
    <w:uiPriority w:val="0"/>
    <w:rPr>
      <w:sz w:val="24"/>
      <w:szCs w:val="24"/>
      <w:lang w:val="en-US" w:eastAsia="zh-CN" w:bidi="ar-SA"/>
    </w:rPr>
  </w:style>
  <w:style w:type="character" w:customStyle="1" w:styleId="370">
    <w:name w:val="正文文本 Char"/>
    <w:qFormat/>
    <w:uiPriority w:val="0"/>
    <w:rPr>
      <w:rFonts w:eastAsia="宋体"/>
      <w:kern w:val="2"/>
      <w:sz w:val="24"/>
      <w:szCs w:val="24"/>
      <w:lang w:val="en-US" w:eastAsia="zh-CN" w:bidi="ar-SA"/>
    </w:rPr>
  </w:style>
  <w:style w:type="character" w:customStyle="1" w:styleId="371">
    <w:name w:val="文档结构图 字符1"/>
    <w:qFormat/>
    <w:uiPriority w:val="0"/>
    <w:rPr>
      <w:rFonts w:ascii="宋体" w:hAnsi="Calibri" w:eastAsia="黑体" w:cs="Arial"/>
      <w:snapToGrid w:val="0"/>
      <w:kern w:val="2"/>
      <w:sz w:val="18"/>
      <w:szCs w:val="18"/>
    </w:rPr>
  </w:style>
  <w:style w:type="character" w:customStyle="1" w:styleId="372">
    <w:name w:val="content"/>
    <w:qFormat/>
    <w:uiPriority w:val="0"/>
  </w:style>
  <w:style w:type="character" w:customStyle="1" w:styleId="373">
    <w:name w:val="tw4winPopup"/>
    <w:qFormat/>
    <w:uiPriority w:val="0"/>
    <w:rPr>
      <w:rFonts w:ascii="Courier New" w:hAnsi="Courier New" w:cs="Courier New"/>
      <w:color w:val="008000"/>
      <w:lang w:val="en-US" w:eastAsia="zh-CN"/>
    </w:rPr>
  </w:style>
  <w:style w:type="character" w:customStyle="1" w:styleId="374">
    <w:name w:val="param-name"/>
    <w:qFormat/>
    <w:uiPriority w:val="99"/>
    <w:rPr>
      <w:rFonts w:ascii="Arial" w:hAnsi="Arial" w:eastAsia="黑体" w:cs="Arial"/>
      <w:snapToGrid w:val="0"/>
      <w:kern w:val="0"/>
      <w:szCs w:val="21"/>
    </w:rPr>
  </w:style>
  <w:style w:type="character" w:customStyle="1" w:styleId="375">
    <w:name w:val="标准正文格式 Char"/>
    <w:qFormat/>
    <w:uiPriority w:val="0"/>
    <w:rPr>
      <w:rFonts w:ascii="宋体" w:eastAsia="仿宋_GB2312" w:cs="宋体"/>
      <w:color w:val="000000"/>
      <w:sz w:val="24"/>
      <w:lang w:val="en-US" w:eastAsia="zh-CN" w:bidi="ar-SA"/>
    </w:rPr>
  </w:style>
  <w:style w:type="character" w:customStyle="1" w:styleId="376">
    <w:name w:val="Char Char212"/>
    <w:qFormat/>
    <w:uiPriority w:val="0"/>
    <w:rPr>
      <w:rFonts w:eastAsia="宋体"/>
      <w:b/>
      <w:bCs/>
      <w:kern w:val="2"/>
      <w:sz w:val="21"/>
      <w:szCs w:val="24"/>
      <w:lang w:val="en-US" w:eastAsia="zh-CN" w:bidi="ar-SA"/>
    </w:rPr>
  </w:style>
  <w:style w:type="character" w:customStyle="1" w:styleId="377">
    <w:name w:val="文档结构图 Char"/>
    <w:qFormat/>
    <w:uiPriority w:val="0"/>
    <w:rPr>
      <w:rFonts w:eastAsia="宋体"/>
      <w:kern w:val="2"/>
      <w:sz w:val="21"/>
      <w:szCs w:val="24"/>
      <w:lang w:val="en-US" w:eastAsia="zh-CN" w:bidi="ar-SA"/>
    </w:rPr>
  </w:style>
  <w:style w:type="character" w:customStyle="1" w:styleId="378">
    <w:name w:val="zbggmain style9"/>
    <w:qFormat/>
    <w:uiPriority w:val="0"/>
  </w:style>
  <w:style w:type="character" w:customStyle="1" w:styleId="379">
    <w:name w:val="Char Char16"/>
    <w:qFormat/>
    <w:uiPriority w:val="6"/>
    <w:rPr>
      <w:kern w:val="1"/>
      <w:sz w:val="18"/>
      <w:szCs w:val="18"/>
    </w:rPr>
  </w:style>
  <w:style w:type="character" w:customStyle="1" w:styleId="380">
    <w:name w:val="font51"/>
    <w:qFormat/>
    <w:uiPriority w:val="0"/>
    <w:rPr>
      <w:rFonts w:hint="eastAsia" w:ascii="仿宋" w:hAnsi="仿宋" w:eastAsia="仿宋" w:cs="仿宋"/>
      <w:color w:val="000000"/>
      <w:sz w:val="20"/>
      <w:szCs w:val="20"/>
      <w:u w:val="none"/>
    </w:rPr>
  </w:style>
  <w:style w:type="character" w:customStyle="1" w:styleId="381">
    <w:name w:val="Char Char82"/>
    <w:qFormat/>
    <w:uiPriority w:val="0"/>
    <w:rPr>
      <w:rFonts w:eastAsia="宋体"/>
      <w:b/>
      <w:sz w:val="24"/>
      <w:lang w:val="en-GB" w:eastAsia="zh-CN"/>
    </w:rPr>
  </w:style>
  <w:style w:type="character" w:customStyle="1" w:styleId="382">
    <w:name w:val="正文文本缩进 3 Char"/>
    <w:link w:val="53"/>
    <w:qFormat/>
    <w:uiPriority w:val="0"/>
    <w:rPr>
      <w:kern w:val="2"/>
      <w:sz w:val="24"/>
    </w:rPr>
  </w:style>
  <w:style w:type="character" w:customStyle="1" w:styleId="383">
    <w:name w:val="日期 Char1"/>
    <w:qFormat/>
    <w:uiPriority w:val="99"/>
    <w:rPr>
      <w:rFonts w:ascii="Times New Roman" w:hAnsi="Times New Roman" w:eastAsia="宋体" w:cs="Times New Roman"/>
      <w:szCs w:val="24"/>
    </w:rPr>
  </w:style>
  <w:style w:type="character" w:customStyle="1" w:styleId="384">
    <w:name w:val="页眉 字符"/>
    <w:qFormat/>
    <w:uiPriority w:val="99"/>
    <w:rPr>
      <w:kern w:val="2"/>
      <w:sz w:val="18"/>
      <w:szCs w:val="18"/>
    </w:rPr>
  </w:style>
  <w:style w:type="character" w:customStyle="1" w:styleId="385">
    <w:name w:val="Char Char33"/>
    <w:qFormat/>
    <w:uiPriority w:val="6"/>
    <w:rPr>
      <w:rFonts w:ascii="Arial" w:hAnsi="Arial" w:eastAsia="黑体"/>
      <w:b/>
      <w:kern w:val="1"/>
      <w:sz w:val="24"/>
      <w:szCs w:val="24"/>
    </w:rPr>
  </w:style>
  <w:style w:type="character" w:customStyle="1" w:styleId="386">
    <w:name w:val="b11_01b Char"/>
    <w:link w:val="387"/>
    <w:qFormat/>
    <w:uiPriority w:val="0"/>
    <w:rPr>
      <w:rFonts w:ascii="Verdana" w:hAnsi="Verdana"/>
      <w:b/>
      <w:bCs/>
      <w:color w:val="4A82CA"/>
      <w:sz w:val="17"/>
      <w:szCs w:val="17"/>
    </w:rPr>
  </w:style>
  <w:style w:type="paragraph" w:customStyle="1" w:styleId="387">
    <w:name w:val="b11_01b"/>
    <w:basedOn w:val="1"/>
    <w:next w:val="1"/>
    <w:link w:val="38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8">
    <w:name w:val="Char Char121"/>
    <w:qFormat/>
    <w:uiPriority w:val="6"/>
    <w:rPr>
      <w:rFonts w:ascii="仿宋_GB2312" w:eastAsia="仿宋_GB2312"/>
      <w:b/>
      <w:bCs/>
      <w:kern w:val="2"/>
      <w:sz w:val="24"/>
      <w:szCs w:val="24"/>
      <w:lang w:val="zh-CN" w:eastAsia="zh-CN" w:bidi="ar-SA"/>
    </w:rPr>
  </w:style>
  <w:style w:type="character" w:customStyle="1" w:styleId="389">
    <w:name w:val="Footer-Even Char"/>
    <w:qFormat/>
    <w:uiPriority w:val="0"/>
    <w:rPr>
      <w:rFonts w:eastAsia="宋体"/>
      <w:kern w:val="2"/>
      <w:sz w:val="18"/>
      <w:lang w:val="en-US" w:eastAsia="zh-CN" w:bidi="ar-SA"/>
    </w:rPr>
  </w:style>
  <w:style w:type="character" w:customStyle="1" w:styleId="390">
    <w:name w:val="页脚 Char2"/>
    <w:link w:val="39"/>
    <w:qFormat/>
    <w:uiPriority w:val="99"/>
    <w:rPr>
      <w:kern w:val="2"/>
      <w:sz w:val="18"/>
      <w:szCs w:val="18"/>
    </w:rPr>
  </w:style>
  <w:style w:type="character" w:customStyle="1" w:styleId="391">
    <w:name w:val="Char Char36"/>
    <w:qFormat/>
    <w:uiPriority w:val="6"/>
    <w:rPr>
      <w:rFonts w:ascii="仿宋_GB2312" w:hAnsi="仿宋_GB2312" w:eastAsia="仿宋_GB2312" w:cs="Arial"/>
      <w:b/>
      <w:kern w:val="1"/>
      <w:sz w:val="32"/>
      <w:szCs w:val="32"/>
      <w:lang w:val="zh-CN" w:eastAsia="zh-CN" w:bidi="ar-SA"/>
    </w:rPr>
  </w:style>
  <w:style w:type="character" w:customStyle="1" w:styleId="392">
    <w:name w:val="Char Char61"/>
    <w:qFormat/>
    <w:uiPriority w:val="6"/>
    <w:rPr>
      <w:rFonts w:eastAsia="宋体"/>
      <w:kern w:val="2"/>
      <w:sz w:val="21"/>
      <w:szCs w:val="24"/>
      <w:lang w:val="en-US" w:eastAsia="zh-CN" w:bidi="ar-SA"/>
    </w:rPr>
  </w:style>
  <w:style w:type="character" w:customStyle="1" w:styleId="393">
    <w:name w:val="正文文字缩进 2 Char Char"/>
    <w:qFormat/>
    <w:uiPriority w:val="0"/>
    <w:rPr>
      <w:rFonts w:ascii="宋体"/>
      <w:sz w:val="28"/>
    </w:rPr>
  </w:style>
  <w:style w:type="character" w:customStyle="1" w:styleId="394">
    <w:name w:val="f141"/>
    <w:qFormat/>
    <w:uiPriority w:val="0"/>
    <w:rPr>
      <w:rFonts w:ascii="Tahoma" w:hAnsi="Tahoma" w:eastAsia="宋体"/>
      <w:b/>
      <w:kern w:val="2"/>
      <w:sz w:val="21"/>
      <w:szCs w:val="21"/>
      <w:lang w:val="en-US" w:eastAsia="zh-CN" w:bidi="ar-SA"/>
    </w:rPr>
  </w:style>
  <w:style w:type="character" w:customStyle="1" w:styleId="395">
    <w:name w:val="段落 Char Char"/>
    <w:link w:val="93"/>
    <w:qFormat/>
    <w:uiPriority w:val="0"/>
    <w:rPr>
      <w:rFonts w:ascii="宋体" w:hAnsi="宋体"/>
      <w:sz w:val="24"/>
    </w:rPr>
  </w:style>
  <w:style w:type="character" w:customStyle="1" w:styleId="396">
    <w:name w:val="标题 3 Char2"/>
    <w:qFormat/>
    <w:uiPriority w:val="0"/>
    <w:rPr>
      <w:rFonts w:eastAsia="宋体"/>
      <w:b/>
      <w:bCs/>
      <w:kern w:val="2"/>
      <w:sz w:val="32"/>
      <w:szCs w:val="32"/>
      <w:lang w:val="en-US" w:eastAsia="zh-CN" w:bidi="ar-SA"/>
    </w:rPr>
  </w:style>
  <w:style w:type="character" w:customStyle="1" w:styleId="397">
    <w:name w:val="apple-converted-space"/>
    <w:qFormat/>
    <w:uiPriority w:val="0"/>
  </w:style>
  <w:style w:type="character" w:customStyle="1" w:styleId="398">
    <w:name w:val="页眉 Char2"/>
    <w:link w:val="41"/>
    <w:qFormat/>
    <w:uiPriority w:val="99"/>
    <w:rPr>
      <w:kern w:val="2"/>
      <w:sz w:val="18"/>
      <w:szCs w:val="18"/>
    </w:rPr>
  </w:style>
  <w:style w:type="character" w:customStyle="1" w:styleId="399">
    <w:name w:val="Char Char9"/>
    <w:qFormat/>
    <w:uiPriority w:val="0"/>
    <w:rPr>
      <w:rFonts w:eastAsia="宋体"/>
      <w:kern w:val="2"/>
      <w:sz w:val="18"/>
      <w:szCs w:val="18"/>
      <w:lang w:val="en-US" w:eastAsia="zh-CN" w:bidi="ar-SA"/>
    </w:rPr>
  </w:style>
  <w:style w:type="character" w:customStyle="1" w:styleId="400">
    <w:name w:val="Char Char41"/>
    <w:qFormat/>
    <w:uiPriority w:val="0"/>
    <w:rPr>
      <w:rFonts w:eastAsia="宋体"/>
      <w:b/>
      <w:sz w:val="24"/>
      <w:lang w:val="en-GB" w:eastAsia="zh-CN" w:bidi="ar-SA"/>
    </w:rPr>
  </w:style>
  <w:style w:type="character" w:customStyle="1" w:styleId="401">
    <w:name w:val="large1"/>
    <w:qFormat/>
    <w:uiPriority w:val="0"/>
    <w:rPr>
      <w:rFonts w:hint="eastAsia" w:ascii="宋体" w:hAnsi="宋体" w:eastAsia="宋体"/>
      <w:sz w:val="21"/>
      <w:szCs w:val="21"/>
    </w:rPr>
  </w:style>
  <w:style w:type="character" w:customStyle="1" w:styleId="402">
    <w:name w:val="正文段 Char"/>
    <w:link w:val="403"/>
    <w:qFormat/>
    <w:uiPriority w:val="0"/>
    <w:rPr>
      <w:sz w:val="24"/>
    </w:rPr>
  </w:style>
  <w:style w:type="paragraph" w:customStyle="1" w:styleId="403">
    <w:name w:val="正文段"/>
    <w:basedOn w:val="1"/>
    <w:link w:val="402"/>
    <w:qFormat/>
    <w:uiPriority w:val="0"/>
    <w:pPr>
      <w:widowControl/>
      <w:snapToGrid w:val="0"/>
      <w:spacing w:after="156" w:afterLines="50"/>
      <w:ind w:firstLine="200" w:firstLineChars="200"/>
    </w:pPr>
    <w:rPr>
      <w:kern w:val="0"/>
      <w:sz w:val="24"/>
      <w:szCs w:val="20"/>
    </w:rPr>
  </w:style>
  <w:style w:type="character" w:customStyle="1" w:styleId="404">
    <w:name w:val="Char Char13"/>
    <w:qFormat/>
    <w:uiPriority w:val="6"/>
    <w:rPr>
      <w:rFonts w:ascii="宋体" w:hAnsi="宋体"/>
      <w:kern w:val="1"/>
      <w:sz w:val="21"/>
      <w:szCs w:val="24"/>
    </w:rPr>
  </w:style>
  <w:style w:type="character" w:customStyle="1" w:styleId="405">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6">
    <w:name w:val="冯广丽 Char"/>
    <w:link w:val="407"/>
    <w:qFormat/>
    <w:uiPriority w:val="0"/>
    <w:rPr>
      <w:rFonts w:ascii="宋体" w:hAnsi="宋体"/>
      <w:kern w:val="2"/>
      <w:sz w:val="24"/>
      <w:szCs w:val="22"/>
    </w:rPr>
  </w:style>
  <w:style w:type="paragraph" w:customStyle="1" w:styleId="407">
    <w:name w:val="冯广丽"/>
    <w:basedOn w:val="1"/>
    <w:link w:val="406"/>
    <w:qFormat/>
    <w:uiPriority w:val="0"/>
    <w:pPr>
      <w:adjustRightInd/>
      <w:spacing w:line="360" w:lineRule="auto"/>
      <w:ind w:firstLine="480" w:firstLineChars="200"/>
    </w:pPr>
    <w:rPr>
      <w:rFonts w:ascii="宋体" w:hAnsi="宋体"/>
      <w:sz w:val="24"/>
      <w:szCs w:val="22"/>
    </w:rPr>
  </w:style>
  <w:style w:type="character" w:customStyle="1" w:styleId="408">
    <w:name w:val="批注文字 字符"/>
    <w:qFormat/>
    <w:uiPriority w:val="0"/>
    <w:rPr>
      <w:rFonts w:ascii="Arial" w:hAnsi="Arial" w:eastAsia="黑体" w:cs="Arial"/>
      <w:snapToGrid w:val="0"/>
      <w:kern w:val="0"/>
      <w:szCs w:val="21"/>
    </w:rPr>
  </w:style>
  <w:style w:type="character" w:customStyle="1" w:styleId="409">
    <w:name w:val="Char Char161"/>
    <w:qFormat/>
    <w:uiPriority w:val="0"/>
    <w:rPr>
      <w:rFonts w:eastAsia="宋体"/>
      <w:b/>
      <w:kern w:val="2"/>
      <w:sz w:val="32"/>
      <w:lang w:val="en-US" w:eastAsia="zh-CN"/>
    </w:rPr>
  </w:style>
  <w:style w:type="character" w:customStyle="1" w:styleId="410">
    <w:name w:val="javascript"/>
    <w:qFormat/>
    <w:uiPriority w:val="0"/>
  </w:style>
  <w:style w:type="character" w:customStyle="1" w:styleId="411">
    <w:name w:val="图名 Char"/>
    <w:qFormat/>
    <w:uiPriority w:val="0"/>
    <w:rPr>
      <w:rFonts w:ascii="Arial" w:hAnsi="Arial" w:eastAsia="黑体"/>
      <w:kern w:val="2"/>
      <w:sz w:val="24"/>
      <w:szCs w:val="24"/>
      <w:lang w:val="en-US" w:eastAsia="zh-CN" w:bidi="ar-SA"/>
    </w:rPr>
  </w:style>
  <w:style w:type="character" w:customStyle="1" w:styleId="412">
    <w:name w:val="Used by Word for text of Help footnotes Char Char"/>
    <w:qFormat/>
    <w:uiPriority w:val="0"/>
    <w:rPr>
      <w:rFonts w:ascii="Times New Roman" w:hAnsi="Times New Roman" w:eastAsia="宋体" w:cs="Times New Roman"/>
      <w:sz w:val="20"/>
      <w:szCs w:val="20"/>
    </w:rPr>
  </w:style>
  <w:style w:type="character" w:customStyle="1" w:styleId="413">
    <w:name w:val="编号，小四 Char"/>
    <w:link w:val="414"/>
    <w:qFormat/>
    <w:uiPriority w:val="0"/>
    <w:rPr>
      <w:rFonts w:ascii="Arial" w:hAnsi="Arial"/>
      <w:sz w:val="24"/>
    </w:rPr>
  </w:style>
  <w:style w:type="paragraph" w:customStyle="1" w:styleId="414">
    <w:name w:val="编号，小四"/>
    <w:basedOn w:val="1"/>
    <w:link w:val="413"/>
    <w:qFormat/>
    <w:uiPriority w:val="0"/>
    <w:pPr>
      <w:tabs>
        <w:tab w:val="left" w:pos="432"/>
      </w:tabs>
      <w:adjustRightInd/>
      <w:spacing w:line="360" w:lineRule="auto"/>
      <w:ind w:left="432" w:hanging="432"/>
    </w:pPr>
    <w:rPr>
      <w:rFonts w:ascii="Arial" w:hAnsi="Arial"/>
      <w:kern w:val="0"/>
      <w:sz w:val="24"/>
      <w:szCs w:val="20"/>
    </w:rPr>
  </w:style>
  <w:style w:type="character" w:customStyle="1" w:styleId="415">
    <w:name w:val="Font Style82"/>
    <w:qFormat/>
    <w:uiPriority w:val="99"/>
    <w:rPr>
      <w:rFonts w:ascii="宋体" w:eastAsia="宋体" w:cs="宋体"/>
      <w:color w:val="000000"/>
      <w:sz w:val="14"/>
      <w:szCs w:val="14"/>
    </w:rPr>
  </w:style>
  <w:style w:type="character" w:customStyle="1" w:styleId="416">
    <w:name w:val="标题 2 Char Char"/>
    <w:qFormat/>
    <w:uiPriority w:val="0"/>
    <w:rPr>
      <w:rFonts w:ascii="楷体_GB2312" w:hAnsi="Arial" w:eastAsia="楷体_GB2312"/>
      <w:b/>
      <w:bCs/>
      <w:kern w:val="2"/>
      <w:sz w:val="24"/>
      <w:szCs w:val="32"/>
      <w:lang w:val="en-US" w:eastAsia="zh-CN" w:bidi="ar-SA"/>
    </w:rPr>
  </w:style>
  <w:style w:type="character" w:customStyle="1" w:styleId="417">
    <w:name w:val="未用 Char"/>
    <w:qFormat/>
    <w:uiPriority w:val="0"/>
    <w:rPr>
      <w:rFonts w:ascii="Arial" w:hAnsi="Arial" w:eastAsia="黑体"/>
      <w:kern w:val="2"/>
      <w:sz w:val="21"/>
      <w:szCs w:val="21"/>
      <w:lang w:val="en-US" w:eastAsia="zh-CN" w:bidi="ar-SA"/>
    </w:rPr>
  </w:style>
  <w:style w:type="character" w:customStyle="1" w:styleId="418">
    <w:name w:val="myp1111"/>
    <w:qFormat/>
    <w:uiPriority w:val="0"/>
    <w:rPr>
      <w:rFonts w:hint="default" w:ascii="ˎ̥" w:hAnsi="ˎ̥"/>
      <w:color w:val="000000"/>
      <w:sz w:val="20"/>
      <w:szCs w:val="20"/>
      <w:u w:val="none"/>
    </w:rPr>
  </w:style>
  <w:style w:type="character" w:customStyle="1" w:styleId="419">
    <w:name w:val="样式 标题 4h4H4Fab-4T5Ref Heading 1rh1Heading sqlsect 1.2.3.... Char"/>
    <w:link w:val="313"/>
    <w:qFormat/>
    <w:uiPriority w:val="0"/>
    <w:rPr>
      <w:rFonts w:ascii="微软雅黑" w:hAnsi="微软雅黑" w:eastAsia="微软雅黑"/>
      <w:b/>
      <w:bCs/>
      <w:kern w:val="2"/>
      <w:sz w:val="24"/>
      <w:szCs w:val="28"/>
    </w:rPr>
  </w:style>
  <w:style w:type="character" w:customStyle="1" w:styleId="420">
    <w:name w:val="h Char Char"/>
    <w:qFormat/>
    <w:uiPriority w:val="0"/>
    <w:rPr>
      <w:rFonts w:eastAsia="宋体"/>
      <w:kern w:val="2"/>
      <w:sz w:val="18"/>
      <w:lang w:val="en-US" w:eastAsia="zh-CN" w:bidi="ar-SA"/>
    </w:rPr>
  </w:style>
  <w:style w:type="character" w:customStyle="1" w:styleId="421">
    <w:name w:val="仿宋正文 Char"/>
    <w:link w:val="422"/>
    <w:qFormat/>
    <w:uiPriority w:val="0"/>
    <w:rPr>
      <w:rFonts w:ascii="仿宋_GB2312" w:eastAsia="仿宋_GB2312"/>
      <w:kern w:val="2"/>
      <w:sz w:val="24"/>
      <w:lang w:val="en-US" w:eastAsia="zh-CN" w:bidi="ar-SA"/>
    </w:rPr>
  </w:style>
  <w:style w:type="paragraph" w:customStyle="1" w:styleId="422">
    <w:name w:val="仿宋正文"/>
    <w:basedOn w:val="1"/>
    <w:link w:val="421"/>
    <w:qFormat/>
    <w:uiPriority w:val="0"/>
    <w:pPr>
      <w:adjustRightInd/>
      <w:spacing w:line="360" w:lineRule="auto"/>
      <w:ind w:firstLine="480" w:firstLineChars="200"/>
    </w:pPr>
    <w:rPr>
      <w:rFonts w:ascii="仿宋_GB2312" w:eastAsia="仿宋_GB2312"/>
      <w:sz w:val="24"/>
      <w:szCs w:val="20"/>
    </w:rPr>
  </w:style>
  <w:style w:type="character" w:customStyle="1" w:styleId="423">
    <w:name w:val="正文首行缩进 Char Char Char Char Char Char"/>
    <w:qFormat/>
    <w:uiPriority w:val="0"/>
    <w:rPr>
      <w:rFonts w:ascii="宋体" w:eastAsia="宋体"/>
      <w:kern w:val="2"/>
      <w:sz w:val="24"/>
      <w:lang w:val="zh-CN" w:bidi="ar-SA"/>
    </w:rPr>
  </w:style>
  <w:style w:type="character" w:customStyle="1" w:styleId="424">
    <w:name w:val="样式 宋体"/>
    <w:qFormat/>
    <w:uiPriority w:val="0"/>
    <w:rPr>
      <w:rFonts w:ascii="宋体" w:hAnsi="宋体"/>
      <w:sz w:val="24"/>
    </w:rPr>
  </w:style>
  <w:style w:type="character" w:customStyle="1" w:styleId="425">
    <w:name w:val="tw4winJump"/>
    <w:qFormat/>
    <w:uiPriority w:val="0"/>
    <w:rPr>
      <w:rFonts w:ascii="Courier New" w:hAnsi="Courier New" w:cs="Courier New"/>
      <w:color w:val="008080"/>
      <w:lang w:val="en-US" w:eastAsia="zh-CN"/>
    </w:rPr>
  </w:style>
  <w:style w:type="character" w:customStyle="1" w:styleId="426">
    <w:name w:val="标题 1 字符"/>
    <w:qFormat/>
    <w:uiPriority w:val="9"/>
    <w:rPr>
      <w:rFonts w:ascii="Arial" w:hAnsi="Arial" w:eastAsia="黑体" w:cs="Arial"/>
      <w:b/>
      <w:bCs/>
      <w:snapToGrid w:val="0"/>
      <w:kern w:val="44"/>
      <w:sz w:val="44"/>
      <w:szCs w:val="44"/>
    </w:rPr>
  </w:style>
  <w:style w:type="character" w:customStyle="1" w:styleId="427">
    <w:name w:val="style36"/>
    <w:basedOn w:val="70"/>
    <w:qFormat/>
    <w:uiPriority w:val="0"/>
    <w:rPr>
      <w:rFonts w:ascii="Arial" w:hAnsi="Arial" w:eastAsia="黑体" w:cs="Arial"/>
      <w:snapToGrid w:val="0"/>
      <w:kern w:val="0"/>
      <w:szCs w:val="21"/>
    </w:rPr>
  </w:style>
  <w:style w:type="character" w:customStyle="1" w:styleId="428">
    <w:name w:val="pt9"/>
    <w:qFormat/>
    <w:uiPriority w:val="0"/>
    <w:rPr>
      <w:rFonts w:ascii="仿宋_GB2312" w:eastAsia="微软雅黑"/>
      <w:b/>
      <w:kern w:val="2"/>
      <w:sz w:val="32"/>
      <w:szCs w:val="32"/>
      <w:lang w:val="en-US" w:eastAsia="zh-CN" w:bidi="ar-SA"/>
    </w:rPr>
  </w:style>
  <w:style w:type="character" w:customStyle="1" w:styleId="429">
    <w:name w:val="DO_NOT_TRANSLATE"/>
    <w:qFormat/>
    <w:uiPriority w:val="0"/>
    <w:rPr>
      <w:rFonts w:ascii="Courier New" w:hAnsi="Courier New" w:cs="Courier New"/>
      <w:color w:val="800000"/>
      <w:lang w:val="en-US" w:eastAsia="zh-CN"/>
    </w:rPr>
  </w:style>
  <w:style w:type="character" w:customStyle="1" w:styleId="430">
    <w:name w:val="标书1 Char1"/>
    <w:qFormat/>
    <w:uiPriority w:val="0"/>
    <w:rPr>
      <w:rFonts w:eastAsia="宋体"/>
      <w:b/>
      <w:bCs/>
      <w:kern w:val="44"/>
      <w:sz w:val="44"/>
      <w:szCs w:val="44"/>
      <w:lang w:val="en-US" w:eastAsia="zh-CN" w:bidi="ar-SA"/>
    </w:rPr>
  </w:style>
  <w:style w:type="character" w:customStyle="1" w:styleId="431">
    <w:name w:val="页脚 字符"/>
    <w:qFormat/>
    <w:uiPriority w:val="99"/>
    <w:rPr>
      <w:kern w:val="2"/>
      <w:sz w:val="18"/>
      <w:szCs w:val="18"/>
    </w:rPr>
  </w:style>
  <w:style w:type="character" w:customStyle="1" w:styleId="432">
    <w:name w:val="正文2 Char"/>
    <w:qFormat/>
    <w:uiPriority w:val="0"/>
    <w:rPr>
      <w:rFonts w:eastAsia="宋体"/>
      <w:kern w:val="2"/>
      <w:sz w:val="24"/>
      <w:lang w:val="en-US" w:eastAsia="zh-CN" w:bidi="ar-SA"/>
    </w:rPr>
  </w:style>
  <w:style w:type="character" w:customStyle="1" w:styleId="433">
    <w:name w:val="Char Char21"/>
    <w:qFormat/>
    <w:uiPriority w:val="6"/>
    <w:rPr>
      <w:rFonts w:ascii="宋体" w:hAnsi="宋体"/>
      <w:kern w:val="1"/>
      <w:sz w:val="24"/>
      <w:szCs w:val="21"/>
      <w:lang w:val="zh-CN"/>
    </w:rPr>
  </w:style>
  <w:style w:type="character" w:customStyle="1" w:styleId="434">
    <w:name w:val="样式 正文缩进 + 首行缩进:  2 字符 Char Char"/>
    <w:link w:val="435"/>
    <w:qFormat/>
    <w:uiPriority w:val="0"/>
    <w:rPr>
      <w:rFonts w:cs="宋体"/>
      <w:kern w:val="2"/>
      <w:sz w:val="24"/>
    </w:rPr>
  </w:style>
  <w:style w:type="paragraph" w:customStyle="1" w:styleId="435">
    <w:name w:val="样式 正文缩进 + 首行缩进:  2 字符"/>
    <w:basedOn w:val="5"/>
    <w:link w:val="434"/>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6">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7">
    <w:name w:val="gray6"/>
    <w:basedOn w:val="70"/>
    <w:qFormat/>
    <w:uiPriority w:val="0"/>
    <w:rPr>
      <w:rFonts w:ascii="Arial" w:hAnsi="Arial" w:eastAsia="黑体" w:cs="Arial"/>
      <w:snapToGrid w:val="0"/>
      <w:kern w:val="0"/>
      <w:szCs w:val="21"/>
    </w:rPr>
  </w:style>
  <w:style w:type="character" w:customStyle="1" w:styleId="438">
    <w:name w:val="hui"/>
    <w:basedOn w:val="70"/>
    <w:qFormat/>
    <w:uiPriority w:val="0"/>
    <w:rPr>
      <w:rFonts w:ascii="Arial" w:hAnsi="Arial" w:eastAsia="黑体" w:cs="Arial"/>
      <w:snapToGrid w:val="0"/>
      <w:kern w:val="0"/>
      <w:szCs w:val="21"/>
    </w:rPr>
  </w:style>
  <w:style w:type="character" w:customStyle="1" w:styleId="439">
    <w:name w:val="哈哈正文 Char Char"/>
    <w:qFormat/>
    <w:uiPriority w:val="0"/>
    <w:rPr>
      <w:rFonts w:ascii="宋体" w:hAnsi="宋体" w:eastAsia="宋体" w:cs="宋体"/>
      <w:kern w:val="2"/>
      <w:sz w:val="24"/>
      <w:lang w:val="en-US" w:eastAsia="zh-CN" w:bidi="ar-SA"/>
    </w:rPr>
  </w:style>
  <w:style w:type="paragraph" w:customStyle="1" w:styleId="440">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2">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4">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6">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7">
    <w:name w:val="标题4_自定义"/>
    <w:basedOn w:val="6"/>
    <w:qFormat/>
    <w:uiPriority w:val="0"/>
    <w:pPr>
      <w:adjustRightInd/>
      <w:spacing w:before="0" w:after="0" w:line="360" w:lineRule="auto"/>
    </w:pPr>
    <w:rPr>
      <w:rFonts w:ascii="Verdana" w:eastAsia="Verdana"/>
      <w:sz w:val="21"/>
      <w:lang w:val="en-US"/>
    </w:rPr>
  </w:style>
  <w:style w:type="paragraph" w:customStyle="1" w:styleId="448">
    <w:name w:val="正文 内标 序号标"/>
    <w:basedOn w:val="449"/>
    <w:qFormat/>
    <w:uiPriority w:val="0"/>
    <w:pPr>
      <w:tabs>
        <w:tab w:val="left" w:pos="0"/>
      </w:tabs>
      <w:adjustRightInd/>
      <w:spacing w:before="0"/>
      <w:ind w:firstLine="482"/>
    </w:pPr>
    <w:rPr>
      <w:rFonts w:ascii="微软雅黑" w:hAnsi="微软雅黑"/>
      <w:sz w:val="24"/>
      <w:szCs w:val="24"/>
    </w:rPr>
  </w:style>
  <w:style w:type="paragraph" w:customStyle="1" w:styleId="449">
    <w:name w:val="My正文"/>
    <w:basedOn w:val="1"/>
    <w:qFormat/>
    <w:uiPriority w:val="0"/>
    <w:pPr>
      <w:spacing w:before="120" w:line="360" w:lineRule="auto"/>
      <w:ind w:firstLine="567"/>
    </w:pPr>
    <w:rPr>
      <w:rFonts w:ascii="Arial" w:hAnsi="Arial"/>
      <w:sz w:val="20"/>
      <w:szCs w:val="20"/>
    </w:rPr>
  </w:style>
  <w:style w:type="paragraph" w:customStyle="1" w:styleId="4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51">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3">
    <w:name w:val="修订2"/>
    <w:qFormat/>
    <w:uiPriority w:val="0"/>
    <w:rPr>
      <w:rFonts w:ascii="Times New Roman" w:hAnsi="Times New Roman" w:eastAsia="宋体" w:cs="Times New Roman"/>
      <w:kern w:val="2"/>
      <w:sz w:val="21"/>
      <w:lang w:val="en-US" w:eastAsia="zh-CN" w:bidi="ar-SA"/>
    </w:rPr>
  </w:style>
  <w:style w:type="paragraph" w:customStyle="1" w:styleId="454">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6">
    <w:name w:val="文章标题"/>
    <w:next w:val="457"/>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7">
    <w:name w:val="封面公司名"/>
    <w:qFormat/>
    <w:uiPriority w:val="0"/>
    <w:pPr>
      <w:jc w:val="center"/>
    </w:pPr>
    <w:rPr>
      <w:rFonts w:ascii="Arial" w:hAnsi="Arial" w:eastAsia="楷体_GB2312" w:cs="宋体"/>
      <w:bCs/>
      <w:kern w:val="2"/>
      <w:sz w:val="28"/>
      <w:lang w:val="en-US" w:eastAsia="zh-CN" w:bidi="ar-SA"/>
    </w:rPr>
  </w:style>
  <w:style w:type="paragraph" w:customStyle="1" w:styleId="458">
    <w:name w:val="Char1 Char Char Char5"/>
    <w:basedOn w:val="1"/>
    <w:qFormat/>
    <w:uiPriority w:val="0"/>
    <w:pPr>
      <w:adjustRightInd/>
      <w:ind w:firstLine="200" w:firstLineChars="200"/>
    </w:pPr>
    <w:rPr>
      <w:rFonts w:ascii="Tahoma" w:hAnsi="Tahoma"/>
      <w:sz w:val="24"/>
      <w:szCs w:val="20"/>
    </w:rPr>
  </w:style>
  <w:style w:type="paragraph" w:customStyle="1" w:styleId="45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60">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1">
    <w:name w:val="Char Char Char Char Char Char Char Char"/>
    <w:basedOn w:val="1"/>
    <w:qFormat/>
    <w:uiPriority w:val="0"/>
    <w:pPr>
      <w:tabs>
        <w:tab w:val="left" w:pos="360"/>
      </w:tabs>
    </w:pPr>
    <w:rPr>
      <w:sz w:val="24"/>
      <w:szCs w:val="20"/>
    </w:rPr>
  </w:style>
  <w:style w:type="paragraph" w:customStyle="1" w:styleId="462">
    <w:name w:val="Char Char11 Char Char Char"/>
    <w:basedOn w:val="1"/>
    <w:qFormat/>
    <w:uiPriority w:val="0"/>
    <w:pPr>
      <w:spacing w:line="360" w:lineRule="auto"/>
    </w:pPr>
    <w:rPr>
      <w:szCs w:val="20"/>
    </w:rPr>
  </w:style>
  <w:style w:type="paragraph" w:customStyle="1" w:styleId="463">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4">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5">
    <w:name w:val="样式3"/>
    <w:basedOn w:val="466"/>
    <w:qFormat/>
    <w:uiPriority w:val="0"/>
    <w:pPr>
      <w:tabs>
        <w:tab w:val="left" w:pos="2790"/>
        <w:tab w:val="left" w:pos="4230"/>
      </w:tabs>
      <w:spacing w:before="312" w:beforeLines="100"/>
      <w:jc w:val="left"/>
    </w:pPr>
  </w:style>
  <w:style w:type="paragraph" w:customStyle="1" w:styleId="46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7">
    <w:name w:val="Char Char1 Char Char1 Char Char1"/>
    <w:basedOn w:val="1"/>
    <w:qFormat/>
    <w:uiPriority w:val="0"/>
    <w:pPr>
      <w:tabs>
        <w:tab w:val="left" w:pos="840"/>
      </w:tabs>
      <w:ind w:left="840" w:hanging="420"/>
    </w:pPr>
    <w:rPr>
      <w:rFonts w:ascii="Tahoma" w:hAnsi="Tahoma"/>
      <w:sz w:val="24"/>
    </w:rPr>
  </w:style>
  <w:style w:type="paragraph" w:customStyle="1" w:styleId="46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9">
    <w:name w:val="标书标题2"/>
    <w:basedOn w:val="3"/>
    <w:qFormat/>
    <w:uiPriority w:val="0"/>
    <w:pPr>
      <w:keepLines w:val="0"/>
      <w:widowControl/>
      <w:tabs>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70">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71">
    <w:name w:val="正文21"/>
    <w:basedOn w:val="1"/>
    <w:qFormat/>
    <w:uiPriority w:val="0"/>
    <w:pPr>
      <w:adjustRightInd/>
      <w:spacing w:before="156" w:line="360" w:lineRule="auto"/>
      <w:ind w:firstLine="510" w:firstLineChars="200"/>
    </w:pPr>
    <w:rPr>
      <w:sz w:val="24"/>
      <w:szCs w:val="20"/>
    </w:rPr>
  </w:style>
  <w:style w:type="paragraph" w:customStyle="1" w:styleId="47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4">
    <w:name w:val="Char1"/>
    <w:basedOn w:val="1"/>
    <w:qFormat/>
    <w:uiPriority w:val="0"/>
    <w:rPr>
      <w:rFonts w:ascii="仿宋_GB2312" w:eastAsia="仿宋_GB2312"/>
      <w:b/>
      <w:sz w:val="32"/>
      <w:szCs w:val="32"/>
    </w:rPr>
  </w:style>
  <w:style w:type="paragraph" w:customStyle="1" w:styleId="47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6">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7">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8">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9">
    <w:name w:val="6级标题"/>
    <w:basedOn w:val="480"/>
    <w:qFormat/>
    <w:uiPriority w:val="0"/>
    <w:pPr>
      <w:keepNext/>
      <w:tabs>
        <w:tab w:val="left" w:pos="360"/>
      </w:tabs>
      <w:spacing w:before="0" w:after="0"/>
      <w:outlineLvl w:val="5"/>
    </w:pPr>
  </w:style>
  <w:style w:type="paragraph" w:customStyle="1" w:styleId="480">
    <w:name w:val="5级标题"/>
    <w:basedOn w:val="9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81">
    <w:name w:val="样式 正文文本缩进 + 段前: 2 字符"/>
    <w:basedOn w:val="1"/>
    <w:qFormat/>
    <w:uiPriority w:val="0"/>
    <w:pPr>
      <w:adjustRightInd/>
      <w:ind w:left="420" w:leftChars="200"/>
      <w:jc w:val="left"/>
    </w:pPr>
    <w:rPr>
      <w:sz w:val="28"/>
      <w:szCs w:val="20"/>
      <w:lang w:eastAsia="zh-TW"/>
    </w:rPr>
  </w:style>
  <w:style w:type="paragraph" w:customStyle="1" w:styleId="482">
    <w:name w:val="Char2 Char Char"/>
    <w:basedOn w:val="1"/>
    <w:qFormat/>
    <w:uiPriority w:val="0"/>
    <w:pPr>
      <w:adjustRightInd/>
    </w:pPr>
    <w:rPr>
      <w:rFonts w:ascii="Tahoma" w:hAnsi="Tahoma"/>
      <w:sz w:val="24"/>
      <w:szCs w:val="20"/>
    </w:rPr>
  </w:style>
  <w:style w:type="paragraph" w:customStyle="1" w:styleId="483">
    <w:name w:val="_Style 11"/>
    <w:basedOn w:val="1"/>
    <w:qFormat/>
    <w:uiPriority w:val="34"/>
    <w:pPr>
      <w:adjustRightInd/>
      <w:ind w:firstLine="420" w:firstLineChars="200"/>
    </w:pPr>
    <w:rPr>
      <w:rFonts w:eastAsia="仿宋_GB2312"/>
      <w:sz w:val="28"/>
    </w:rPr>
  </w:style>
  <w:style w:type="paragraph" w:customStyle="1" w:styleId="484">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5">
    <w:name w:val="Char Char Char"/>
    <w:basedOn w:val="1"/>
    <w:qFormat/>
    <w:uiPriority w:val="0"/>
    <w:rPr>
      <w:rFonts w:ascii="Tahoma" w:hAnsi="Tahoma"/>
      <w:sz w:val="24"/>
      <w:szCs w:val="20"/>
    </w:rPr>
  </w:style>
  <w:style w:type="paragraph" w:customStyle="1" w:styleId="486">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7">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8">
    <w:name w:val="No Spacing"/>
    <w:basedOn w:val="1"/>
    <w:link w:val="934"/>
    <w:qFormat/>
    <w:uiPriority w:val="99"/>
    <w:rPr>
      <w:szCs w:val="22"/>
    </w:rPr>
  </w:style>
  <w:style w:type="paragraph" w:customStyle="1" w:styleId="48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0">
    <w:name w:val="Char Char Char Char Char Char Char Char Char Char Char Char1 Char1"/>
    <w:basedOn w:val="1"/>
    <w:qFormat/>
    <w:uiPriority w:val="6"/>
    <w:rPr>
      <w:rFonts w:ascii="Tahoma" w:hAnsi="Tahoma" w:cs="仿宋_GB2312"/>
      <w:sz w:val="24"/>
      <w:szCs w:val="20"/>
    </w:rPr>
  </w:style>
  <w:style w:type="paragraph" w:customStyle="1" w:styleId="491">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2">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4">
    <w:name w:val="MM Topic 2"/>
    <w:basedOn w:val="3"/>
    <w:qFormat/>
    <w:uiPriority w:val="0"/>
    <w:pPr>
      <w:tabs>
        <w:tab w:val="left" w:pos="1260"/>
      </w:tabs>
      <w:ind w:left="1260" w:hanging="420"/>
    </w:pPr>
    <w:rPr>
      <w:rFonts w:ascii="Arial" w:hAnsi="Arial" w:eastAsia="黑体"/>
      <w:lang w:val="en-US"/>
    </w:rPr>
  </w:style>
  <w:style w:type="paragraph" w:customStyle="1" w:styleId="495">
    <w:name w:val="五级无标题条"/>
    <w:basedOn w:val="1"/>
    <w:qFormat/>
    <w:uiPriority w:val="0"/>
    <w:pPr>
      <w:adjustRightInd/>
    </w:pPr>
  </w:style>
  <w:style w:type="paragraph" w:customStyle="1" w:styleId="496">
    <w:name w:val="Char5"/>
    <w:basedOn w:val="1"/>
    <w:qFormat/>
    <w:uiPriority w:val="0"/>
    <w:rPr>
      <w:rFonts w:ascii="仿宋_GB2312" w:eastAsia="仿宋_GB2312"/>
      <w:b/>
      <w:sz w:val="32"/>
      <w:szCs w:val="32"/>
    </w:rPr>
  </w:style>
  <w:style w:type="paragraph" w:customStyle="1" w:styleId="497">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8">
    <w:name w:val="彩色列表 - 强调文字颜色 12"/>
    <w:basedOn w:val="1"/>
    <w:qFormat/>
    <w:uiPriority w:val="0"/>
    <w:pPr>
      <w:adjustRightInd/>
      <w:ind w:firstLine="420" w:firstLineChars="200"/>
    </w:pPr>
    <w:rPr>
      <w:rFonts w:ascii="Calibri" w:hAnsi="Calibri"/>
      <w:szCs w:val="22"/>
    </w:rPr>
  </w:style>
  <w:style w:type="paragraph" w:customStyle="1" w:styleId="499">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00">
    <w:name w:val="Char2"/>
    <w:basedOn w:val="1"/>
    <w:qFormat/>
    <w:uiPriority w:val="0"/>
    <w:rPr>
      <w:rFonts w:ascii="仿宋_GB2312" w:eastAsia="仿宋_GB2312"/>
      <w:b/>
      <w:sz w:val="32"/>
      <w:szCs w:val="32"/>
    </w:rPr>
  </w:style>
  <w:style w:type="paragraph" w:customStyle="1" w:styleId="501">
    <w:name w:val="数字标题3"/>
    <w:basedOn w:val="4"/>
    <w:next w:val="1"/>
    <w:qFormat/>
    <w:uiPriority w:val="0"/>
    <w:pPr>
      <w:spacing w:line="240" w:lineRule="auto"/>
    </w:pPr>
    <w:rPr>
      <w:sz w:val="28"/>
      <w:szCs w:val="28"/>
    </w:rPr>
  </w:style>
  <w:style w:type="paragraph" w:customStyle="1" w:styleId="502">
    <w:name w:val="FA正文"/>
    <w:basedOn w:val="1"/>
    <w:qFormat/>
    <w:uiPriority w:val="0"/>
    <w:pPr>
      <w:spacing w:line="360" w:lineRule="auto"/>
      <w:ind w:firstLine="480" w:firstLineChars="200"/>
    </w:pPr>
    <w:rPr>
      <w:rFonts w:hAnsi="宋体"/>
      <w:sz w:val="24"/>
      <w:szCs w:val="20"/>
    </w:rPr>
  </w:style>
  <w:style w:type="paragraph" w:customStyle="1" w:styleId="503">
    <w:name w:val="MM Topic 5"/>
    <w:basedOn w:val="7"/>
    <w:qFormat/>
    <w:uiPriority w:val="0"/>
    <w:pPr>
      <w:tabs>
        <w:tab w:val="left" w:pos="2520"/>
      </w:tabs>
      <w:adjustRightInd/>
      <w:ind w:left="2520" w:hanging="420"/>
    </w:pPr>
  </w:style>
  <w:style w:type="paragraph" w:customStyle="1" w:styleId="504">
    <w:name w:val="Char Char Char Char Char Char Char Char Char Char1"/>
    <w:basedOn w:val="1"/>
    <w:qFormat/>
    <w:uiPriority w:val="0"/>
    <w:rPr>
      <w:rFonts w:ascii="仿宋_GB2312" w:eastAsia="仿宋_GB2312"/>
      <w:b/>
      <w:sz w:val="32"/>
      <w:szCs w:val="32"/>
    </w:rPr>
  </w:style>
  <w:style w:type="paragraph" w:customStyle="1" w:styleId="505">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6">
    <w:name w:val="修订1"/>
    <w:qFormat/>
    <w:uiPriority w:val="3"/>
    <w:rPr>
      <w:rFonts w:ascii="Times New Roman" w:hAnsi="Times New Roman" w:eastAsia="宋体" w:cs="Times New Roman"/>
      <w:color w:val="000000"/>
      <w:kern w:val="1"/>
      <w:sz w:val="21"/>
      <w:lang w:val="en-US" w:eastAsia="zh-CN" w:bidi="ar-SA"/>
    </w:rPr>
  </w:style>
  <w:style w:type="paragraph" w:customStyle="1" w:styleId="507">
    <w:name w:val="Char2 Char Char Char"/>
    <w:basedOn w:val="1"/>
    <w:qFormat/>
    <w:uiPriority w:val="0"/>
    <w:rPr>
      <w:rFonts w:ascii="仿宋_GB2312" w:eastAsia="仿宋_GB2312"/>
      <w:b/>
      <w:sz w:val="32"/>
      <w:szCs w:val="32"/>
    </w:rPr>
  </w:style>
  <w:style w:type="paragraph" w:customStyle="1" w:styleId="508">
    <w:name w:val="Char2 Char Char Char1"/>
    <w:basedOn w:val="1"/>
    <w:qFormat/>
    <w:uiPriority w:val="6"/>
    <w:rPr>
      <w:rFonts w:ascii="仿宋_GB2312" w:eastAsia="仿宋_GB2312"/>
      <w:b/>
      <w:sz w:val="32"/>
      <w:szCs w:val="32"/>
    </w:rPr>
  </w:style>
  <w:style w:type="paragraph" w:customStyle="1" w:styleId="509">
    <w:name w:val="默认段落样式"/>
    <w:basedOn w:val="143"/>
    <w:qFormat/>
    <w:uiPriority w:val="0"/>
    <w:pPr>
      <w:spacing w:before="0"/>
      <w:ind w:firstLine="480"/>
      <w:outlineLvl w:val="2"/>
    </w:pPr>
    <w:rPr>
      <w:rFonts w:ascii="仿宋_GB2312" w:hAnsi="宋体" w:eastAsia="仿宋_GB2312"/>
      <w:color w:val="000000"/>
      <w:szCs w:val="24"/>
    </w:rPr>
  </w:style>
  <w:style w:type="paragraph" w:customStyle="1" w:styleId="510">
    <w:name w:val="图中文字"/>
    <w:basedOn w:val="1"/>
    <w:qFormat/>
    <w:uiPriority w:val="0"/>
    <w:pPr>
      <w:snapToGrid w:val="0"/>
      <w:spacing w:line="0" w:lineRule="atLeast"/>
      <w:ind w:firstLine="200" w:firstLineChars="200"/>
      <w:jc w:val="center"/>
    </w:pPr>
    <w:rPr>
      <w:sz w:val="24"/>
      <w:szCs w:val="20"/>
    </w:rPr>
  </w:style>
  <w:style w:type="paragraph" w:customStyle="1" w:styleId="511">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2">
    <w:name w:val="MM Topic 3"/>
    <w:basedOn w:val="4"/>
    <w:qFormat/>
    <w:uiPriority w:val="0"/>
    <w:pPr>
      <w:tabs>
        <w:tab w:val="left" w:pos="1680"/>
      </w:tabs>
      <w:adjustRightInd/>
      <w:ind w:left="1680" w:hanging="420"/>
    </w:pPr>
  </w:style>
  <w:style w:type="paragraph" w:customStyle="1" w:styleId="513">
    <w:name w:val="标准小四"/>
    <w:basedOn w:val="1"/>
    <w:qFormat/>
    <w:uiPriority w:val="0"/>
    <w:pPr>
      <w:spacing w:line="360" w:lineRule="auto"/>
      <w:ind w:firstLine="480" w:firstLineChars="200"/>
    </w:pPr>
    <w:rPr>
      <w:rFonts w:ascii="Arial" w:hAnsi="Arial"/>
      <w:sz w:val="24"/>
      <w:szCs w:val="21"/>
    </w:rPr>
  </w:style>
  <w:style w:type="paragraph" w:customStyle="1" w:styleId="514">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5">
    <w:name w:val="表格（小）"/>
    <w:basedOn w:val="1"/>
    <w:qFormat/>
    <w:uiPriority w:val="0"/>
    <w:pPr>
      <w:adjustRightInd/>
      <w:snapToGrid w:val="0"/>
      <w:spacing w:line="300" w:lineRule="auto"/>
    </w:pPr>
    <w:rPr>
      <w:rFonts w:eastAsia="仿宋"/>
      <w:szCs w:val="21"/>
    </w:rPr>
  </w:style>
  <w:style w:type="paragraph" w:customStyle="1" w:styleId="51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7">
    <w:name w:val="Char2 Char Char1"/>
    <w:basedOn w:val="1"/>
    <w:qFormat/>
    <w:uiPriority w:val="6"/>
    <w:pPr>
      <w:adjustRightInd/>
    </w:pPr>
    <w:rPr>
      <w:rFonts w:ascii="Tahoma" w:hAnsi="Tahoma"/>
      <w:sz w:val="24"/>
      <w:szCs w:val="20"/>
    </w:rPr>
  </w:style>
  <w:style w:type="paragraph" w:customStyle="1" w:styleId="518">
    <w:name w:val="列出段落5"/>
    <w:basedOn w:val="1"/>
    <w:qFormat/>
    <w:uiPriority w:val="0"/>
    <w:pPr>
      <w:spacing w:line="360" w:lineRule="auto"/>
      <w:ind w:firstLine="200" w:firstLineChars="200"/>
    </w:pPr>
    <w:rPr>
      <w:rFonts w:eastAsia="楷体_GB2312" w:cs="Lucida Sans"/>
      <w:sz w:val="24"/>
    </w:rPr>
  </w:style>
  <w:style w:type="paragraph" w:customStyle="1" w:styleId="519">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0">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21">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2">
    <w:name w:val="TOC 标题11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4">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6">
    <w:name w:val="_Style 3"/>
    <w:basedOn w:val="1"/>
    <w:qFormat/>
    <w:uiPriority w:val="0"/>
    <w:pPr>
      <w:adjustRightInd/>
      <w:ind w:firstLine="420" w:firstLineChars="200"/>
    </w:pPr>
    <w:rPr>
      <w:rFonts w:eastAsia="仿宋_GB2312"/>
      <w:sz w:val="28"/>
    </w:rPr>
  </w:style>
  <w:style w:type="paragraph" w:customStyle="1" w:styleId="52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8">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9">
    <w:name w:val="左对齐表格文字"/>
    <w:basedOn w:val="1"/>
    <w:qFormat/>
    <w:uiPriority w:val="0"/>
    <w:pPr>
      <w:adjustRightInd/>
      <w:ind w:firstLine="200" w:firstLineChars="200"/>
      <w:jc w:val="right"/>
    </w:pPr>
  </w:style>
  <w:style w:type="paragraph" w:customStyle="1" w:styleId="530">
    <w:name w:val="Char Char11 Char Char Char Char Char Char Char Char Char"/>
    <w:basedOn w:val="1"/>
    <w:qFormat/>
    <w:uiPriority w:val="0"/>
    <w:pPr>
      <w:spacing w:line="360" w:lineRule="auto"/>
    </w:pPr>
    <w:rPr>
      <w:szCs w:val="20"/>
    </w:rPr>
  </w:style>
  <w:style w:type="paragraph" w:customStyle="1" w:styleId="531">
    <w:name w:val="正文1.25"/>
    <w:basedOn w:val="1"/>
    <w:qFormat/>
    <w:uiPriority w:val="0"/>
    <w:pPr>
      <w:adjustRightInd/>
      <w:spacing w:line="300" w:lineRule="auto"/>
      <w:ind w:firstLine="480" w:firstLineChars="200"/>
    </w:pPr>
    <w:rPr>
      <w:sz w:val="24"/>
      <w:szCs w:val="20"/>
    </w:rPr>
  </w:style>
  <w:style w:type="paragraph" w:customStyle="1" w:styleId="532">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3">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4">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5">
    <w:name w:val="Char Char1 Char Char Char1"/>
    <w:basedOn w:val="1"/>
    <w:qFormat/>
    <w:uiPriority w:val="6"/>
    <w:rPr>
      <w:rFonts w:ascii="仿宋_GB2312" w:eastAsia="仿宋_GB2312"/>
      <w:b/>
      <w:sz w:val="32"/>
      <w:szCs w:val="20"/>
    </w:rPr>
  </w:style>
  <w:style w:type="paragraph" w:customStyle="1" w:styleId="536">
    <w:name w:val="列出段落2"/>
    <w:basedOn w:val="1"/>
    <w:qFormat/>
    <w:uiPriority w:val="0"/>
    <w:pPr>
      <w:adjustRightInd/>
      <w:ind w:firstLine="420" w:firstLineChars="200"/>
    </w:pPr>
    <w:rPr>
      <w:rFonts w:ascii="宋体" w:hAnsi="宋体"/>
      <w:sz w:val="24"/>
    </w:rPr>
  </w:style>
  <w:style w:type="paragraph" w:customStyle="1" w:styleId="537">
    <w:name w:val="默认段落字体 Para Char Char Char Char Char Char Char"/>
    <w:basedOn w:val="1"/>
    <w:qFormat/>
    <w:uiPriority w:val="0"/>
    <w:rPr>
      <w:rFonts w:eastAsia="仿宋_GB2312"/>
      <w:sz w:val="28"/>
      <w:szCs w:val="20"/>
    </w:rPr>
  </w:style>
  <w:style w:type="paragraph" w:customStyle="1" w:styleId="538">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9">
    <w:name w:val="样式 标题 4PIM 4H4h4bulletblbbH41H42H43H44H45H46H47H48...1"/>
    <w:basedOn w:val="6"/>
    <w:qFormat/>
    <w:uiPriority w:val="0"/>
    <w:pPr>
      <w:widowControl/>
      <w:jc w:val="left"/>
    </w:pPr>
    <w:rPr>
      <w:rFonts w:cs="宋体"/>
      <w:sz w:val="24"/>
      <w:szCs w:val="20"/>
    </w:rPr>
  </w:style>
  <w:style w:type="paragraph" w:customStyle="1" w:styleId="540">
    <w:name w:val="彩色列表 - 强调文字颜色 11"/>
    <w:basedOn w:val="1"/>
    <w:qFormat/>
    <w:uiPriority w:val="0"/>
    <w:pPr>
      <w:adjustRightInd/>
      <w:ind w:firstLine="420" w:firstLineChars="200"/>
    </w:pPr>
    <w:rPr>
      <w:rFonts w:ascii="Calibri" w:hAnsi="Calibri"/>
      <w:szCs w:val="22"/>
    </w:rPr>
  </w:style>
  <w:style w:type="paragraph" w:customStyle="1" w:styleId="541">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42">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3">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4">
    <w:name w:val="Char Char Char1 Char1"/>
    <w:basedOn w:val="1"/>
    <w:qFormat/>
    <w:uiPriority w:val="6"/>
    <w:rPr>
      <w:szCs w:val="20"/>
    </w:rPr>
  </w:style>
  <w:style w:type="paragraph" w:customStyle="1" w:styleId="545">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6">
    <w:name w:val="样式 标题 2 + 宋体 左侧:  1.76 厘米 首行缩进:  0 厘米"/>
    <w:basedOn w:val="3"/>
    <w:qFormat/>
    <w:uiPriority w:val="0"/>
    <w:pPr>
      <w:tabs>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7">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8">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0">
    <w:name w:val="CM14"/>
    <w:basedOn w:val="245"/>
    <w:next w:val="245"/>
    <w:qFormat/>
    <w:uiPriority w:val="0"/>
    <w:pPr>
      <w:spacing w:after="68"/>
    </w:pPr>
    <w:rPr>
      <w:rFonts w:ascii="FHLHE E+ Futura Bk" w:eastAsia="FHLHE E+ Futura Bk" w:cs="Times New Roman"/>
      <w:color w:val="auto"/>
    </w:rPr>
  </w:style>
  <w:style w:type="paragraph" w:customStyle="1" w:styleId="551">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2">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4">
    <w:name w:val="正文文字 2"/>
    <w:basedOn w:val="245"/>
    <w:next w:val="245"/>
    <w:qFormat/>
    <w:uiPriority w:val="0"/>
    <w:rPr>
      <w:rFonts w:ascii="宋体" w:eastAsia="宋体" w:cs="Times New Roman"/>
      <w:color w:val="auto"/>
    </w:rPr>
  </w:style>
  <w:style w:type="paragraph" w:customStyle="1" w:styleId="555">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6">
    <w:name w:val="Char Char1 Char"/>
    <w:basedOn w:val="1"/>
    <w:qFormat/>
    <w:uiPriority w:val="0"/>
    <w:rPr>
      <w:rFonts w:ascii="仿宋_GB2312" w:eastAsia="仿宋_GB2312"/>
      <w:b/>
      <w:sz w:val="32"/>
      <w:szCs w:val="32"/>
    </w:rPr>
  </w:style>
  <w:style w:type="paragraph" w:customStyle="1" w:styleId="557">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8">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9">
    <w:name w:val="Char Char111"/>
    <w:basedOn w:val="1"/>
    <w:qFormat/>
    <w:uiPriority w:val="0"/>
    <w:pPr>
      <w:spacing w:line="360" w:lineRule="auto"/>
    </w:pPr>
    <w:rPr>
      <w:szCs w:val="20"/>
    </w:rPr>
  </w:style>
  <w:style w:type="paragraph" w:customStyle="1" w:styleId="560">
    <w:name w:val="Char"/>
    <w:basedOn w:val="1"/>
    <w:qFormat/>
    <w:uiPriority w:val="0"/>
    <w:rPr>
      <w:rFonts w:ascii="仿宋_GB2312" w:eastAsia="仿宋_GB2312"/>
      <w:b/>
      <w:sz w:val="32"/>
      <w:szCs w:val="32"/>
    </w:rPr>
  </w:style>
  <w:style w:type="paragraph" w:customStyle="1" w:styleId="56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3">
    <w:name w:val="Char Char Char1 Char"/>
    <w:basedOn w:val="1"/>
    <w:qFormat/>
    <w:uiPriority w:val="0"/>
    <w:rPr>
      <w:szCs w:val="20"/>
    </w:rPr>
  </w:style>
  <w:style w:type="paragraph" w:customStyle="1" w:styleId="564">
    <w:name w:val="正文标准"/>
    <w:basedOn w:val="1"/>
    <w:qFormat/>
    <w:uiPriority w:val="0"/>
    <w:pPr>
      <w:adjustRightInd/>
      <w:spacing w:line="360" w:lineRule="auto"/>
      <w:ind w:firstLine="200" w:firstLineChars="200"/>
    </w:pPr>
    <w:rPr>
      <w:rFonts w:ascii="宋体" w:hAnsi="Calibri"/>
      <w:sz w:val="24"/>
    </w:rPr>
  </w:style>
  <w:style w:type="paragraph" w:customStyle="1" w:styleId="565">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6">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7">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9">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70">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1">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2">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3">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5">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6">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7">
    <w:name w:val="Char Char Char Char Char Char Char Char Char Char"/>
    <w:basedOn w:val="1"/>
    <w:qFormat/>
    <w:uiPriority w:val="0"/>
    <w:rPr>
      <w:rFonts w:ascii="仿宋_GB2312" w:eastAsia="仿宋_GB2312"/>
      <w:b/>
      <w:sz w:val="32"/>
      <w:szCs w:val="32"/>
    </w:rPr>
  </w:style>
  <w:style w:type="paragraph" w:customStyle="1" w:styleId="578">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9">
    <w:name w:val="_正文段落"/>
    <w:basedOn w:val="1"/>
    <w:qFormat/>
    <w:uiPriority w:val="0"/>
    <w:pPr>
      <w:adjustRightInd/>
      <w:ind w:firstLine="560"/>
    </w:pPr>
    <w:rPr>
      <w:rFonts w:ascii="仿宋_GB2312" w:hAnsi="仿宋" w:eastAsia="仿宋_GB2312"/>
      <w:kern w:val="0"/>
      <w:sz w:val="28"/>
      <w:szCs w:val="28"/>
    </w:rPr>
  </w:style>
  <w:style w:type="paragraph" w:customStyle="1" w:styleId="580">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2">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4">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5">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6">
    <w:name w:val="Char Char Char1 Char2"/>
    <w:basedOn w:val="1"/>
    <w:qFormat/>
    <w:uiPriority w:val="0"/>
    <w:rPr>
      <w:szCs w:val="20"/>
    </w:rPr>
  </w:style>
  <w:style w:type="paragraph" w:customStyle="1" w:styleId="587">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8">
    <w:name w:val="默认段落字体 Para Char"/>
    <w:basedOn w:val="1"/>
    <w:qFormat/>
    <w:uiPriority w:val="0"/>
    <w:rPr>
      <w:rFonts w:ascii="Tahoma" w:hAnsi="Tahoma"/>
      <w:sz w:val="24"/>
      <w:szCs w:val="20"/>
    </w:rPr>
  </w:style>
  <w:style w:type="paragraph" w:customStyle="1" w:styleId="589">
    <w:name w:val="标题五"/>
    <w:basedOn w:val="1"/>
    <w:qFormat/>
    <w:uiPriority w:val="0"/>
    <w:pPr>
      <w:adjustRightInd/>
      <w:spacing w:before="156" w:beforeLines="50" w:line="360" w:lineRule="auto"/>
    </w:pPr>
    <w:rPr>
      <w:b/>
      <w:sz w:val="24"/>
    </w:rPr>
  </w:style>
  <w:style w:type="paragraph" w:customStyle="1" w:styleId="590">
    <w:name w:val="Char Char1101"/>
    <w:basedOn w:val="1"/>
    <w:qFormat/>
    <w:uiPriority w:val="0"/>
    <w:pPr>
      <w:spacing w:line="360" w:lineRule="auto"/>
    </w:pPr>
    <w:rPr>
      <w:rFonts w:ascii="Tahoma" w:hAnsi="Tahoma"/>
      <w:sz w:val="24"/>
      <w:szCs w:val="20"/>
    </w:rPr>
  </w:style>
  <w:style w:type="paragraph" w:customStyle="1" w:styleId="591">
    <w:name w:val="Char Char Char Char Char Char Char Char1"/>
    <w:basedOn w:val="1"/>
    <w:qFormat/>
    <w:uiPriority w:val="0"/>
    <w:pPr>
      <w:tabs>
        <w:tab w:val="left" w:pos="360"/>
      </w:tabs>
    </w:pPr>
    <w:rPr>
      <w:sz w:val="24"/>
      <w:szCs w:val="20"/>
    </w:rPr>
  </w:style>
  <w:style w:type="paragraph" w:customStyle="1" w:styleId="592">
    <w:name w:val="Char Char Char 字元 字元"/>
    <w:basedOn w:val="1"/>
    <w:qFormat/>
    <w:uiPriority w:val="0"/>
    <w:pPr>
      <w:adjustRightInd/>
      <w:spacing w:line="360" w:lineRule="auto"/>
      <w:ind w:firstLine="200" w:firstLineChars="200"/>
    </w:pPr>
    <w:rPr>
      <w:szCs w:val="20"/>
    </w:rPr>
  </w:style>
  <w:style w:type="paragraph" w:customStyle="1" w:styleId="593">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4">
    <w:name w:val="Char Char Char Char Char Char Char"/>
    <w:basedOn w:val="1"/>
    <w:qFormat/>
    <w:uiPriority w:val="0"/>
    <w:rPr>
      <w:rFonts w:ascii="仿宋_GB2312" w:eastAsia="仿宋_GB2312"/>
      <w:b/>
      <w:sz w:val="32"/>
      <w:szCs w:val="32"/>
    </w:rPr>
  </w:style>
  <w:style w:type="paragraph" w:customStyle="1" w:styleId="595">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6">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7">
    <w:name w:val="样式 标题 22h2L1 Heading 2H2sect 1.2H21sect 1.21H22sect 1.2..."/>
    <w:basedOn w:val="3"/>
    <w:next w:val="1"/>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598">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9">
    <w:name w:val="批注框文本 Char Char"/>
    <w:basedOn w:val="1"/>
    <w:qFormat/>
    <w:uiPriority w:val="0"/>
    <w:pPr>
      <w:adjustRightInd/>
    </w:pPr>
    <w:rPr>
      <w:sz w:val="18"/>
      <w:szCs w:val="20"/>
    </w:rPr>
  </w:style>
  <w:style w:type="paragraph" w:customStyle="1" w:styleId="60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1">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3">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4">
    <w:name w:val="索引 11"/>
    <w:basedOn w:val="1"/>
    <w:next w:val="1"/>
    <w:qFormat/>
    <w:uiPriority w:val="99"/>
    <w:pPr>
      <w:adjustRightInd/>
      <w:spacing w:line="360" w:lineRule="auto"/>
    </w:pPr>
    <w:rPr>
      <w:rFonts w:ascii="仿宋_GB2312" w:eastAsia="仿宋_GB2312"/>
      <w:sz w:val="24"/>
      <w:szCs w:val="20"/>
    </w:rPr>
  </w:style>
  <w:style w:type="paragraph" w:customStyle="1" w:styleId="605">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6">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7">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8">
    <w:name w:val="文档正文"/>
    <w:basedOn w:val="1"/>
    <w:qFormat/>
    <w:uiPriority w:val="0"/>
    <w:pPr>
      <w:spacing w:line="480" w:lineRule="atLeast"/>
      <w:ind w:firstLine="567"/>
      <w:textAlignment w:val="baseline"/>
    </w:pPr>
    <w:rPr>
      <w:kern w:val="0"/>
      <w:sz w:val="24"/>
      <w:szCs w:val="20"/>
    </w:rPr>
  </w:style>
  <w:style w:type="paragraph" w:customStyle="1" w:styleId="609">
    <w:name w:val="正文文字表格居中"/>
    <w:basedOn w:val="1"/>
    <w:next w:val="56"/>
    <w:qFormat/>
    <w:uiPriority w:val="0"/>
    <w:pPr>
      <w:snapToGrid w:val="0"/>
      <w:spacing w:line="360" w:lineRule="auto"/>
    </w:pPr>
    <w:rPr>
      <w:rFonts w:ascii="宋体"/>
      <w:b/>
      <w:sz w:val="24"/>
      <w:szCs w:val="20"/>
    </w:rPr>
  </w:style>
  <w:style w:type="paragraph" w:customStyle="1" w:styleId="61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11">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2">
    <w:name w:val="Plain Text1"/>
    <w:basedOn w:val="1"/>
    <w:qFormat/>
    <w:uiPriority w:val="7"/>
    <w:pPr>
      <w:adjustRightInd/>
    </w:pPr>
    <w:rPr>
      <w:rFonts w:ascii="宋体" w:hAnsi="Courier New"/>
    </w:rPr>
  </w:style>
  <w:style w:type="paragraph" w:customStyle="1" w:styleId="613">
    <w:name w:val="Char3"/>
    <w:basedOn w:val="1"/>
    <w:qFormat/>
    <w:uiPriority w:val="0"/>
    <w:pPr>
      <w:adjustRightInd/>
    </w:pPr>
    <w:rPr>
      <w:rFonts w:ascii="仿宋_GB2312" w:eastAsia="仿宋_GB2312"/>
      <w:b/>
      <w:sz w:val="32"/>
      <w:szCs w:val="32"/>
    </w:rPr>
  </w:style>
  <w:style w:type="paragraph" w:customStyle="1" w:styleId="61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6">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7">
    <w:name w:val="List Paragraph1"/>
    <w:basedOn w:val="1"/>
    <w:qFormat/>
    <w:uiPriority w:val="0"/>
    <w:pPr>
      <w:spacing w:line="360" w:lineRule="auto"/>
      <w:ind w:firstLine="200" w:firstLineChars="200"/>
    </w:pPr>
    <w:rPr>
      <w:rFonts w:eastAsia="楷体_GB2312" w:cs="Lucida Sans"/>
      <w:sz w:val="24"/>
    </w:rPr>
  </w:style>
  <w:style w:type="paragraph" w:customStyle="1" w:styleId="618">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20">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1">
    <w:name w:val="Char3 Char Char Char"/>
    <w:basedOn w:val="1"/>
    <w:qFormat/>
    <w:uiPriority w:val="0"/>
    <w:pPr>
      <w:widowControl/>
      <w:adjustRightInd/>
      <w:spacing w:after="160" w:line="240" w:lineRule="exact"/>
      <w:jc w:val="left"/>
    </w:pPr>
    <w:rPr>
      <w:szCs w:val="20"/>
    </w:rPr>
  </w:style>
  <w:style w:type="paragraph" w:customStyle="1" w:styleId="622">
    <w:name w:val="表格标题2"/>
    <w:basedOn w:val="623"/>
    <w:qFormat/>
    <w:uiPriority w:val="0"/>
    <w:rPr>
      <w:b/>
    </w:rPr>
  </w:style>
  <w:style w:type="paragraph" w:customStyle="1" w:styleId="623">
    <w:name w:val="表格内文"/>
    <w:basedOn w:val="1"/>
    <w:qFormat/>
    <w:uiPriority w:val="0"/>
    <w:pPr>
      <w:adjustRightInd/>
      <w:spacing w:line="360" w:lineRule="auto"/>
    </w:pPr>
    <w:rPr>
      <w:rFonts w:ascii="宋体" w:hAnsi="宋体" w:cs="宋体"/>
      <w:color w:val="000000"/>
      <w:szCs w:val="20"/>
    </w:rPr>
  </w:style>
  <w:style w:type="paragraph" w:customStyle="1" w:styleId="624">
    <w:name w:val="Char Char Char Char Char Char Char Char Char Char2"/>
    <w:basedOn w:val="1"/>
    <w:qFormat/>
    <w:uiPriority w:val="0"/>
    <w:rPr>
      <w:rFonts w:ascii="仿宋_GB2312" w:eastAsia="仿宋_GB2312"/>
      <w:b/>
      <w:sz w:val="32"/>
      <w:szCs w:val="32"/>
    </w:rPr>
  </w:style>
  <w:style w:type="paragraph" w:customStyle="1" w:styleId="625">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6">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7">
    <w:name w:val="Char Char11 Char Char Char Char Char Char Char Char Char11"/>
    <w:basedOn w:val="1"/>
    <w:qFormat/>
    <w:uiPriority w:val="0"/>
    <w:pPr>
      <w:spacing w:line="360" w:lineRule="auto"/>
    </w:pPr>
    <w:rPr>
      <w:szCs w:val="20"/>
    </w:rPr>
  </w:style>
  <w:style w:type="paragraph" w:customStyle="1" w:styleId="628">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9">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30">
    <w:name w:val="MM Topic 1"/>
    <w:basedOn w:val="2"/>
    <w:qFormat/>
    <w:uiPriority w:val="0"/>
    <w:pPr>
      <w:tabs>
        <w:tab w:val="left" w:pos="840"/>
      </w:tabs>
      <w:adjustRightInd/>
      <w:ind w:left="840" w:hanging="420"/>
    </w:pPr>
  </w:style>
  <w:style w:type="paragraph" w:customStyle="1" w:styleId="631">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32">
    <w:name w:val="文本正文 Char"/>
    <w:basedOn w:val="1"/>
    <w:qFormat/>
    <w:uiPriority w:val="0"/>
    <w:pPr>
      <w:spacing w:line="360" w:lineRule="auto"/>
      <w:ind w:firstLine="200" w:firstLineChars="200"/>
    </w:pPr>
    <w:rPr>
      <w:kern w:val="0"/>
      <w:sz w:val="24"/>
      <w:szCs w:val="20"/>
    </w:rPr>
  </w:style>
  <w:style w:type="paragraph" w:customStyle="1" w:styleId="633">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4">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5">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6">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7">
    <w:name w:val="EB_表格"/>
    <w:basedOn w:val="1"/>
    <w:qFormat/>
    <w:uiPriority w:val="0"/>
    <w:pPr>
      <w:adjustRightInd/>
      <w:spacing w:line="300" w:lineRule="auto"/>
      <w:jc w:val="center"/>
    </w:pPr>
  </w:style>
  <w:style w:type="paragraph" w:customStyle="1" w:styleId="638">
    <w:name w:val="_Style 6"/>
    <w:basedOn w:val="1"/>
    <w:qFormat/>
    <w:uiPriority w:val="34"/>
    <w:pPr>
      <w:adjustRightInd/>
      <w:ind w:firstLine="420" w:firstLineChars="200"/>
    </w:pPr>
    <w:rPr>
      <w:rFonts w:eastAsia="仿宋_GB2312"/>
      <w:sz w:val="28"/>
    </w:rPr>
  </w:style>
  <w:style w:type="paragraph" w:customStyle="1" w:styleId="63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0">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1">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3">
    <w:name w:val="正文表标题"/>
    <w:next w:val="644"/>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6">
    <w:name w:val="trademark"/>
    <w:qFormat/>
    <w:uiPriority w:val="0"/>
    <w:pPr>
      <w:spacing w:after="60"/>
    </w:pPr>
    <w:rPr>
      <w:rFonts w:ascii="Futura Bk" w:hAnsi="Futura Bk" w:eastAsia="宋体" w:cs="Times New Roman"/>
      <w:sz w:val="15"/>
      <w:lang w:val="en-US" w:eastAsia="en-US" w:bidi="ar-SA"/>
    </w:rPr>
  </w:style>
  <w:style w:type="paragraph" w:customStyle="1" w:styleId="64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8">
    <w:name w:val="Char Char1 Char Char Char Char Char Char1"/>
    <w:basedOn w:val="1"/>
    <w:qFormat/>
    <w:uiPriority w:val="0"/>
    <w:rPr>
      <w:rFonts w:ascii="仿宋_GB2312" w:eastAsia="仿宋_GB2312"/>
      <w:b/>
      <w:sz w:val="32"/>
      <w:szCs w:val="20"/>
    </w:rPr>
  </w:style>
  <w:style w:type="paragraph" w:customStyle="1" w:styleId="649">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50">
    <w:name w:val="Char1 Char Char Char1"/>
    <w:basedOn w:val="1"/>
    <w:qFormat/>
    <w:uiPriority w:val="0"/>
    <w:pPr>
      <w:adjustRightInd/>
      <w:ind w:firstLine="200" w:firstLineChars="200"/>
    </w:pPr>
    <w:rPr>
      <w:rFonts w:ascii="Tahoma" w:hAnsi="Tahoma"/>
      <w:sz w:val="24"/>
      <w:szCs w:val="20"/>
    </w:rPr>
  </w:style>
  <w:style w:type="paragraph" w:customStyle="1" w:styleId="651">
    <w:name w:val="a1"/>
    <w:basedOn w:val="1"/>
    <w:qFormat/>
    <w:uiPriority w:val="0"/>
    <w:pPr>
      <w:widowControl/>
      <w:spacing w:line="300" w:lineRule="atLeast"/>
      <w:jc w:val="left"/>
    </w:pPr>
    <w:rPr>
      <w:rFonts w:ascii="宋体" w:hAnsi="宋体"/>
      <w:kern w:val="0"/>
      <w:sz w:val="18"/>
      <w:szCs w:val="20"/>
    </w:rPr>
  </w:style>
  <w:style w:type="paragraph" w:customStyle="1" w:styleId="652">
    <w:name w:val="样式7"/>
    <w:basedOn w:val="653"/>
    <w:next w:val="1"/>
    <w:qFormat/>
    <w:uiPriority w:val="0"/>
    <w:pPr>
      <w:spacing w:after="156" w:afterLines="50"/>
      <w:jc w:val="left"/>
      <w:outlineLvl w:val="3"/>
    </w:pPr>
    <w:rPr>
      <w:sz w:val="24"/>
      <w:szCs w:val="24"/>
    </w:rPr>
  </w:style>
  <w:style w:type="paragraph" w:customStyle="1" w:styleId="65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5">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6">
    <w:name w:val="样式 样式2 + 左侧:  1 字符 右侧:  1 字符"/>
    <w:basedOn w:val="46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7">
    <w:name w:val="Char2 Char Char2"/>
    <w:basedOn w:val="1"/>
    <w:qFormat/>
    <w:uiPriority w:val="0"/>
    <w:pPr>
      <w:adjustRightInd/>
    </w:pPr>
    <w:rPr>
      <w:rFonts w:ascii="Tahoma" w:hAnsi="Tahoma"/>
      <w:sz w:val="24"/>
      <w:szCs w:val="20"/>
    </w:rPr>
  </w:style>
  <w:style w:type="paragraph" w:customStyle="1" w:styleId="658">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9">
    <w:name w:val="三级条标题"/>
    <w:basedOn w:val="660"/>
    <w:next w:val="644"/>
    <w:qFormat/>
    <w:uiPriority w:val="0"/>
    <w:pPr>
      <w:tabs>
        <w:tab w:val="left" w:pos="1260"/>
        <w:tab w:val="left" w:pos="1680"/>
        <w:tab w:val="left" w:pos="2100"/>
        <w:tab w:val="left" w:pos="2520"/>
      </w:tabs>
      <w:ind w:left="2520"/>
      <w:outlineLvl w:val="4"/>
    </w:pPr>
  </w:style>
  <w:style w:type="paragraph" w:customStyle="1" w:styleId="660">
    <w:name w:val="二级条标题"/>
    <w:basedOn w:val="661"/>
    <w:next w:val="644"/>
    <w:qFormat/>
    <w:uiPriority w:val="0"/>
    <w:pPr>
      <w:tabs>
        <w:tab w:val="left" w:pos="1260"/>
        <w:tab w:val="left" w:pos="1680"/>
        <w:tab w:val="left" w:pos="2100"/>
      </w:tabs>
      <w:ind w:left="0"/>
      <w:outlineLvl w:val="3"/>
    </w:pPr>
  </w:style>
  <w:style w:type="paragraph" w:customStyle="1" w:styleId="661">
    <w:name w:val="一级条标题"/>
    <w:basedOn w:val="662"/>
    <w:next w:val="644"/>
    <w:qFormat/>
    <w:uiPriority w:val="0"/>
    <w:pPr>
      <w:tabs>
        <w:tab w:val="left" w:pos="1260"/>
        <w:tab w:val="left" w:pos="1680"/>
      </w:tabs>
      <w:spacing w:before="0" w:after="0"/>
      <w:ind w:left="1680"/>
      <w:outlineLvl w:val="2"/>
    </w:pPr>
  </w:style>
  <w:style w:type="paragraph" w:customStyle="1" w:styleId="662">
    <w:name w:val="章标题"/>
    <w:next w:val="644"/>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3">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4">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5">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6">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7">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8">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9">
    <w:name w:val="正文 项目2"/>
    <w:basedOn w:val="670"/>
    <w:qFormat/>
    <w:uiPriority w:val="0"/>
    <w:pPr>
      <w:tabs>
        <w:tab w:val="left" w:pos="840"/>
      </w:tabs>
      <w:spacing w:after="0"/>
      <w:ind w:left="900"/>
    </w:pPr>
  </w:style>
  <w:style w:type="paragraph" w:customStyle="1" w:styleId="67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1">
    <w:name w:val="Body Text 2*"/>
    <w:basedOn w:val="1"/>
    <w:qFormat/>
    <w:uiPriority w:val="6"/>
    <w:pPr>
      <w:widowControl/>
      <w:adjustRightInd/>
      <w:ind w:left="720" w:hanging="720"/>
    </w:pPr>
    <w:rPr>
      <w:color w:val="000000"/>
      <w:kern w:val="0"/>
      <w:sz w:val="24"/>
      <w:szCs w:val="20"/>
      <w:lang w:val="en-GB"/>
    </w:rPr>
  </w:style>
  <w:style w:type="paragraph" w:customStyle="1" w:styleId="672">
    <w:name w:val="表1"/>
    <w:basedOn w:val="1"/>
    <w:qFormat/>
    <w:uiPriority w:val="0"/>
    <w:pPr>
      <w:tabs>
        <w:tab w:val="left" w:pos="703"/>
      </w:tabs>
      <w:adjustRightInd/>
      <w:spacing w:line="360" w:lineRule="auto"/>
      <w:ind w:left="703"/>
      <w:jc w:val="center"/>
    </w:pPr>
  </w:style>
  <w:style w:type="paragraph" w:customStyle="1" w:styleId="673">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4">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6">
    <w:name w:val="2级标题"/>
    <w:basedOn w:val="677"/>
    <w:qFormat/>
    <w:uiPriority w:val="0"/>
    <w:pPr>
      <w:jc w:val="left"/>
      <w:outlineLvl w:val="1"/>
    </w:pPr>
    <w:rPr>
      <w:rFonts w:ascii="Times New Roman" w:hAnsi="Times New Roman" w:eastAsia="仿宋"/>
      <w:sz w:val="30"/>
    </w:rPr>
  </w:style>
  <w:style w:type="paragraph" w:customStyle="1" w:styleId="677">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8">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9">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1">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2">
    <w:name w:val="bullet"/>
    <w:basedOn w:val="1"/>
    <w:qFormat/>
    <w:uiPriority w:val="0"/>
    <w:pPr>
      <w:tabs>
        <w:tab w:val="left" w:pos="840"/>
      </w:tabs>
      <w:adjustRightInd/>
      <w:ind w:left="840" w:hanging="420"/>
    </w:pPr>
  </w:style>
  <w:style w:type="paragraph" w:customStyle="1" w:styleId="683">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6">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8">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9">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0">
    <w:name w:val="MM Topic 4"/>
    <w:basedOn w:val="6"/>
    <w:qFormat/>
    <w:uiPriority w:val="0"/>
    <w:pPr>
      <w:tabs>
        <w:tab w:val="left" w:pos="2100"/>
      </w:tabs>
      <w:adjustRightInd/>
      <w:ind w:left="2100" w:hanging="420"/>
    </w:pPr>
    <w:rPr>
      <w:lang w:val="en-US"/>
    </w:rPr>
  </w:style>
  <w:style w:type="paragraph" w:customStyle="1" w:styleId="69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2">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3">
    <w:name w:val="Char Char11 Char Char Char Char Char Char Char Char Char1"/>
    <w:basedOn w:val="1"/>
    <w:qFormat/>
    <w:uiPriority w:val="6"/>
    <w:pPr>
      <w:spacing w:line="360" w:lineRule="auto"/>
    </w:pPr>
    <w:rPr>
      <w:szCs w:val="20"/>
    </w:rPr>
  </w:style>
  <w:style w:type="paragraph" w:customStyle="1" w:styleId="694">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5">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6">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8">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9">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700">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1">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2">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3">
    <w:name w:val="单元格居中"/>
    <w:basedOn w:val="1"/>
    <w:qFormat/>
    <w:uiPriority w:val="0"/>
    <w:pPr>
      <w:adjustRightInd/>
      <w:spacing w:line="360" w:lineRule="auto"/>
      <w:jc w:val="center"/>
    </w:pPr>
    <w:rPr>
      <w:sz w:val="24"/>
    </w:rPr>
  </w:style>
  <w:style w:type="paragraph" w:customStyle="1" w:styleId="70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5">
    <w:name w:val="Char Char Char Char Char Char Char1"/>
    <w:basedOn w:val="1"/>
    <w:qFormat/>
    <w:uiPriority w:val="6"/>
    <w:rPr>
      <w:rFonts w:ascii="仿宋_GB2312" w:eastAsia="仿宋_GB2312"/>
      <w:b/>
      <w:sz w:val="32"/>
      <w:szCs w:val="32"/>
    </w:rPr>
  </w:style>
  <w:style w:type="paragraph" w:customStyle="1" w:styleId="706">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7">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8">
    <w:name w:val="Char3 Char Char Char11"/>
    <w:basedOn w:val="1"/>
    <w:qFormat/>
    <w:uiPriority w:val="0"/>
    <w:pPr>
      <w:widowControl/>
      <w:adjustRightInd/>
      <w:spacing w:after="160" w:line="240" w:lineRule="exact"/>
      <w:jc w:val="left"/>
    </w:pPr>
    <w:rPr>
      <w:szCs w:val="20"/>
    </w:rPr>
  </w:style>
  <w:style w:type="paragraph" w:customStyle="1" w:styleId="709">
    <w:name w:val="Char Char1121"/>
    <w:basedOn w:val="1"/>
    <w:qFormat/>
    <w:uiPriority w:val="0"/>
    <w:pPr>
      <w:spacing w:line="360" w:lineRule="auto"/>
    </w:pPr>
    <w:rPr>
      <w:szCs w:val="20"/>
    </w:rPr>
  </w:style>
  <w:style w:type="paragraph" w:customStyle="1" w:styleId="710">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1">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2">
    <w:name w:val="Normal0"/>
    <w:qFormat/>
    <w:uiPriority w:val="0"/>
    <w:rPr>
      <w:rFonts w:ascii="Times New Roman" w:hAnsi="Times New Roman" w:eastAsia="宋体" w:cs="Times New Roman"/>
      <w:lang w:val="en-US" w:eastAsia="en-US" w:bidi="ar-SA"/>
    </w:rPr>
  </w:style>
  <w:style w:type="paragraph" w:customStyle="1" w:styleId="713">
    <w:name w:val="带编号样式"/>
    <w:basedOn w:val="632"/>
    <w:qFormat/>
    <w:uiPriority w:val="0"/>
    <w:pPr>
      <w:tabs>
        <w:tab w:val="left" w:pos="840"/>
      </w:tabs>
      <w:snapToGrid w:val="0"/>
      <w:ind w:left="840" w:hanging="420" w:firstLineChars="0"/>
    </w:pPr>
    <w:rPr>
      <w:rFonts w:ascii="仿宋_GB2312" w:eastAsia="仿宋_GB2312"/>
      <w:color w:val="000000"/>
    </w:rPr>
  </w:style>
  <w:style w:type="paragraph" w:customStyle="1" w:styleId="714">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5">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6">
    <w:name w:val="封面"/>
    <w:basedOn w:val="1"/>
    <w:qFormat/>
    <w:uiPriority w:val="0"/>
    <w:pPr>
      <w:spacing w:line="360" w:lineRule="atLeast"/>
      <w:jc w:val="right"/>
      <w:textAlignment w:val="baseline"/>
    </w:pPr>
    <w:rPr>
      <w:rFonts w:ascii="Symbol" w:hAnsi="Symbol"/>
      <w:kern w:val="0"/>
      <w:szCs w:val="20"/>
    </w:rPr>
  </w:style>
  <w:style w:type="paragraph" w:customStyle="1" w:styleId="717">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8">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9">
    <w:name w:val="默认段落字体 Para Char Char Char1 Char"/>
    <w:basedOn w:val="1"/>
    <w:qFormat/>
    <w:uiPriority w:val="0"/>
    <w:pPr>
      <w:spacing w:line="240" w:lineRule="atLeast"/>
      <w:ind w:left="420" w:firstLine="420"/>
    </w:pPr>
    <w:rPr>
      <w:sz w:val="24"/>
    </w:rPr>
  </w:style>
  <w:style w:type="paragraph" w:customStyle="1" w:styleId="720">
    <w:name w:val="WW-正文文字缩进 2"/>
    <w:basedOn w:val="1"/>
    <w:qFormat/>
    <w:uiPriority w:val="0"/>
    <w:pPr>
      <w:suppressAutoHyphens/>
      <w:adjustRightInd/>
      <w:ind w:firstLine="420"/>
    </w:pPr>
    <w:rPr>
      <w:kern w:val="1"/>
      <w:szCs w:val="20"/>
    </w:rPr>
  </w:style>
  <w:style w:type="paragraph" w:customStyle="1" w:styleId="72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2">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3">
    <w:name w:val="有符号正文"/>
    <w:basedOn w:val="1"/>
    <w:qFormat/>
    <w:uiPriority w:val="0"/>
    <w:pPr>
      <w:adjustRightInd/>
      <w:spacing w:line="400" w:lineRule="exact"/>
      <w:ind w:firstLine="200" w:firstLineChars="200"/>
    </w:pPr>
    <w:rPr>
      <w:rFonts w:ascii="Arial" w:hAnsi="Arial"/>
    </w:rPr>
  </w:style>
  <w:style w:type="paragraph" w:customStyle="1" w:styleId="724">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5">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6">
    <w:name w:val="4"/>
    <w:basedOn w:val="1"/>
    <w:next w:val="36"/>
    <w:qFormat/>
    <w:uiPriority w:val="0"/>
    <w:pPr>
      <w:spacing w:after="120" w:line="480" w:lineRule="auto"/>
      <w:ind w:left="420" w:leftChars="200"/>
    </w:pPr>
    <w:rPr>
      <w:sz w:val="24"/>
      <w:szCs w:val="20"/>
    </w:rPr>
  </w:style>
  <w:style w:type="paragraph" w:customStyle="1" w:styleId="727">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9">
    <w:name w:val="样式 标题 3H3 + 两端对齐"/>
    <w:basedOn w:val="4"/>
    <w:qFormat/>
    <w:uiPriority w:val="0"/>
    <w:pPr>
      <w:keepLines w:val="0"/>
      <w:spacing w:before="0" w:after="0" w:line="240" w:lineRule="auto"/>
      <w:jc w:val="left"/>
    </w:pPr>
    <w:rPr>
      <w:rFonts w:cs="宋体"/>
      <w:sz w:val="21"/>
      <w:szCs w:val="20"/>
    </w:rPr>
  </w:style>
  <w:style w:type="paragraph" w:customStyle="1" w:styleId="730">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1">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2">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3">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4">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5">
    <w:name w:val="Char Char1 Char Char Char"/>
    <w:basedOn w:val="1"/>
    <w:qFormat/>
    <w:uiPriority w:val="0"/>
    <w:rPr>
      <w:rFonts w:ascii="仿宋_GB2312" w:eastAsia="仿宋_GB2312"/>
      <w:b/>
      <w:sz w:val="32"/>
      <w:szCs w:val="20"/>
    </w:rPr>
  </w:style>
  <w:style w:type="paragraph" w:customStyle="1" w:styleId="736">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8">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9">
    <w:name w:val="Char Char1 Char Char Char2"/>
    <w:basedOn w:val="1"/>
    <w:qFormat/>
    <w:uiPriority w:val="0"/>
    <w:rPr>
      <w:rFonts w:ascii="仿宋_GB2312" w:eastAsia="仿宋_GB2312"/>
      <w:b/>
      <w:sz w:val="32"/>
      <w:szCs w:val="32"/>
    </w:rPr>
  </w:style>
  <w:style w:type="paragraph" w:customStyle="1" w:styleId="740">
    <w:name w:val="Char3 Char Char Char1"/>
    <w:basedOn w:val="1"/>
    <w:qFormat/>
    <w:uiPriority w:val="6"/>
    <w:pPr>
      <w:widowControl/>
      <w:adjustRightInd/>
      <w:spacing w:after="160" w:line="240" w:lineRule="exact"/>
      <w:jc w:val="left"/>
    </w:pPr>
    <w:rPr>
      <w:szCs w:val="20"/>
    </w:rPr>
  </w:style>
  <w:style w:type="paragraph" w:customStyle="1" w:styleId="741">
    <w:name w:val="Char1 Char Char Char21"/>
    <w:basedOn w:val="1"/>
    <w:qFormat/>
    <w:uiPriority w:val="0"/>
    <w:rPr>
      <w:rFonts w:ascii="Tahoma" w:hAnsi="Tahoma"/>
      <w:sz w:val="24"/>
      <w:szCs w:val="20"/>
    </w:rPr>
  </w:style>
  <w:style w:type="paragraph" w:customStyle="1" w:styleId="742">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3">
    <w:name w:val="正文（标题三）"/>
    <w:basedOn w:val="1"/>
    <w:qFormat/>
    <w:uiPriority w:val="0"/>
    <w:pPr>
      <w:spacing w:line="360" w:lineRule="auto"/>
      <w:ind w:firstLine="200" w:firstLineChars="200"/>
    </w:pPr>
    <w:rPr>
      <w:sz w:val="24"/>
    </w:rPr>
  </w:style>
  <w:style w:type="paragraph" w:customStyle="1" w:styleId="74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5">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6">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7">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8">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9">
    <w:name w:val="Char1 Char Char Char4"/>
    <w:basedOn w:val="1"/>
    <w:qFormat/>
    <w:uiPriority w:val="0"/>
    <w:pPr>
      <w:adjustRightInd/>
      <w:ind w:firstLine="200" w:firstLineChars="200"/>
    </w:pPr>
    <w:rPr>
      <w:rFonts w:ascii="Tahoma" w:hAnsi="Tahoma"/>
      <w:sz w:val="24"/>
      <w:szCs w:val="20"/>
    </w:rPr>
  </w:style>
  <w:style w:type="paragraph" w:customStyle="1" w:styleId="750">
    <w:name w:val="_标题2"/>
    <w:basedOn w:val="717"/>
    <w:next w:val="717"/>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1">
    <w:name w:val="样式1 + (中宋体"/>
    <w:basedOn w:val="728"/>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752">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3">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4">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5">
    <w:name w:val="四号　首行缩进"/>
    <w:basedOn w:val="1"/>
    <w:qFormat/>
    <w:uiPriority w:val="0"/>
    <w:pPr>
      <w:adjustRightInd/>
      <w:spacing w:line="360" w:lineRule="auto"/>
    </w:pPr>
    <w:rPr>
      <w:rFonts w:ascii="宋体" w:hAnsi="宋体"/>
      <w:szCs w:val="20"/>
    </w:rPr>
  </w:style>
  <w:style w:type="paragraph" w:customStyle="1" w:styleId="75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7">
    <w:name w:val="Char Char Char Char Char Char Char Char Char Char Char1 Char"/>
    <w:basedOn w:val="1"/>
    <w:qFormat/>
    <w:uiPriority w:val="0"/>
    <w:pPr>
      <w:adjustRightInd/>
    </w:pPr>
    <w:rPr>
      <w:rFonts w:ascii="Tahoma" w:hAnsi="Tahoma"/>
      <w:sz w:val="24"/>
    </w:rPr>
  </w:style>
  <w:style w:type="paragraph" w:customStyle="1" w:styleId="758">
    <w:name w:val="Char Char Char Char11"/>
    <w:basedOn w:val="1"/>
    <w:qFormat/>
    <w:uiPriority w:val="0"/>
    <w:rPr>
      <w:rFonts w:ascii="Tahoma" w:hAnsi="Tahoma"/>
      <w:sz w:val="24"/>
      <w:szCs w:val="20"/>
    </w:rPr>
  </w:style>
  <w:style w:type="paragraph" w:customStyle="1" w:styleId="759">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0">
    <w:name w:val="Char Char Char Char"/>
    <w:basedOn w:val="1"/>
    <w:qFormat/>
    <w:uiPriority w:val="0"/>
    <w:rPr>
      <w:rFonts w:ascii="Tahoma" w:hAnsi="Tahoma"/>
      <w:sz w:val="24"/>
      <w:szCs w:val="20"/>
    </w:rPr>
  </w:style>
  <w:style w:type="paragraph" w:customStyle="1" w:styleId="761">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2">
    <w:name w:val="Char19"/>
    <w:basedOn w:val="1"/>
    <w:qFormat/>
    <w:uiPriority w:val="0"/>
    <w:pPr>
      <w:adjustRightInd/>
    </w:pPr>
    <w:rPr>
      <w:szCs w:val="20"/>
    </w:rPr>
  </w:style>
  <w:style w:type="paragraph" w:customStyle="1" w:styleId="76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4">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5">
    <w:name w:val="_Style 5"/>
    <w:basedOn w:val="1"/>
    <w:qFormat/>
    <w:uiPriority w:val="34"/>
    <w:pPr>
      <w:adjustRightInd/>
      <w:ind w:firstLine="420" w:firstLineChars="200"/>
    </w:pPr>
    <w:rPr>
      <w:rFonts w:eastAsia="仿宋_GB2312"/>
      <w:sz w:val="28"/>
    </w:rPr>
  </w:style>
  <w:style w:type="paragraph" w:customStyle="1" w:styleId="766">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7">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9">
    <w:name w:val="标书表格字体格式"/>
    <w:next w:val="763"/>
    <w:qFormat/>
    <w:uiPriority w:val="0"/>
    <w:rPr>
      <w:rFonts w:ascii="Times New Roman" w:hAnsi="Times New Roman" w:eastAsia="宋体" w:cs="Times New Roman"/>
      <w:kern w:val="2"/>
      <w:sz w:val="21"/>
      <w:szCs w:val="24"/>
      <w:lang w:val="en-US" w:eastAsia="zh-CN" w:bidi="ar-SA"/>
    </w:rPr>
  </w:style>
  <w:style w:type="paragraph" w:customStyle="1" w:styleId="770">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1">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2">
    <w:name w:val="修订3"/>
    <w:qFormat/>
    <w:uiPriority w:val="0"/>
    <w:rPr>
      <w:rFonts w:ascii="Times New Roman" w:hAnsi="Times New Roman" w:eastAsia="宋体" w:cs="Times New Roman"/>
      <w:kern w:val="2"/>
      <w:sz w:val="21"/>
      <w:lang w:val="en-US" w:eastAsia="zh-CN" w:bidi="ar-SA"/>
    </w:rPr>
  </w:style>
  <w:style w:type="paragraph" w:customStyle="1" w:styleId="773">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4">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5">
    <w:name w:val="表文字"/>
    <w:qFormat/>
    <w:uiPriority w:val="0"/>
    <w:rPr>
      <w:rFonts w:ascii="宋体" w:hAnsi="Times New Roman" w:eastAsia="宋体" w:cs="Times New Roman"/>
      <w:kern w:val="2"/>
      <w:lang w:val="en-US" w:eastAsia="zh-CN" w:bidi="ar-SA"/>
    </w:rPr>
  </w:style>
  <w:style w:type="paragraph" w:customStyle="1" w:styleId="776">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9">
    <w:name w:val="Char Char Char Char Char Char Char Char2"/>
    <w:basedOn w:val="1"/>
    <w:qFormat/>
    <w:uiPriority w:val="0"/>
    <w:pPr>
      <w:tabs>
        <w:tab w:val="left" w:pos="360"/>
      </w:tabs>
    </w:pPr>
    <w:rPr>
      <w:sz w:val="24"/>
      <w:szCs w:val="20"/>
    </w:rPr>
  </w:style>
  <w:style w:type="paragraph" w:customStyle="1" w:styleId="780">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2">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3">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5">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6">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7">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8">
    <w:name w:val="p0"/>
    <w:basedOn w:val="1"/>
    <w:qFormat/>
    <w:uiPriority w:val="0"/>
    <w:pPr>
      <w:widowControl/>
      <w:adjustRightInd/>
    </w:pPr>
    <w:rPr>
      <w:kern w:val="0"/>
      <w:szCs w:val="21"/>
    </w:rPr>
  </w:style>
  <w:style w:type="paragraph" w:customStyle="1" w:styleId="789">
    <w:name w:val="Char6"/>
    <w:basedOn w:val="1"/>
    <w:qFormat/>
    <w:uiPriority w:val="0"/>
    <w:rPr>
      <w:rFonts w:ascii="仿宋_GB2312" w:eastAsia="仿宋_GB2312"/>
      <w:b/>
      <w:sz w:val="32"/>
      <w:szCs w:val="32"/>
    </w:rPr>
  </w:style>
  <w:style w:type="paragraph" w:customStyle="1" w:styleId="790">
    <w:name w:val="Char111"/>
    <w:basedOn w:val="1"/>
    <w:qFormat/>
    <w:uiPriority w:val="0"/>
    <w:rPr>
      <w:rFonts w:ascii="仿宋_GB2312" w:eastAsia="仿宋_GB2312"/>
      <w:b/>
      <w:sz w:val="32"/>
      <w:szCs w:val="32"/>
    </w:rPr>
  </w:style>
  <w:style w:type="paragraph" w:customStyle="1" w:styleId="791">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9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3">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4">
    <w:name w:val="Char1 Char Char Char2"/>
    <w:basedOn w:val="1"/>
    <w:qFormat/>
    <w:uiPriority w:val="0"/>
    <w:pPr>
      <w:adjustRightInd/>
      <w:ind w:firstLine="200" w:firstLineChars="200"/>
    </w:pPr>
    <w:rPr>
      <w:rFonts w:ascii="Tahoma" w:hAnsi="Tahoma"/>
      <w:sz w:val="24"/>
      <w:szCs w:val="20"/>
    </w:rPr>
  </w:style>
  <w:style w:type="paragraph" w:customStyle="1" w:styleId="795">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6">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7">
    <w:name w:val="Char Char Char Char Char Char Char2"/>
    <w:basedOn w:val="1"/>
    <w:qFormat/>
    <w:uiPriority w:val="0"/>
    <w:rPr>
      <w:rFonts w:ascii="仿宋_GB2312" w:eastAsia="仿宋_GB2312"/>
      <w:b/>
      <w:sz w:val="32"/>
      <w:szCs w:val="32"/>
    </w:rPr>
  </w:style>
  <w:style w:type="paragraph" w:customStyle="1" w:styleId="798">
    <w:name w:val="五级条标题"/>
    <w:basedOn w:val="799"/>
    <w:next w:val="644"/>
    <w:qFormat/>
    <w:uiPriority w:val="0"/>
    <w:pPr>
      <w:tabs>
        <w:tab w:val="left" w:pos="1260"/>
        <w:tab w:val="left" w:pos="1680"/>
        <w:tab w:val="left" w:pos="2100"/>
        <w:tab w:val="left" w:pos="2940"/>
        <w:tab w:val="left" w:pos="3360"/>
      </w:tabs>
      <w:ind w:left="3360"/>
      <w:outlineLvl w:val="6"/>
    </w:pPr>
  </w:style>
  <w:style w:type="paragraph" w:customStyle="1" w:styleId="799">
    <w:name w:val="四级条标题"/>
    <w:basedOn w:val="659"/>
    <w:next w:val="644"/>
    <w:qFormat/>
    <w:uiPriority w:val="0"/>
    <w:pPr>
      <w:tabs>
        <w:tab w:val="clear" w:pos="2520"/>
      </w:tabs>
      <w:ind w:left="2940"/>
      <w:outlineLvl w:val="5"/>
    </w:pPr>
  </w:style>
  <w:style w:type="paragraph" w:customStyle="1" w:styleId="800">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1">
    <w:name w:val="Char23"/>
    <w:basedOn w:val="1"/>
    <w:qFormat/>
    <w:uiPriority w:val="0"/>
    <w:rPr>
      <w:rFonts w:ascii="仿宋_GB2312" w:eastAsia="仿宋_GB2312"/>
      <w:b/>
      <w:sz w:val="32"/>
      <w:szCs w:val="32"/>
    </w:rPr>
  </w:style>
  <w:style w:type="paragraph" w:customStyle="1" w:styleId="802">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3">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4">
    <w:name w:val="首行缩进"/>
    <w:basedOn w:val="1"/>
    <w:qFormat/>
    <w:uiPriority w:val="0"/>
    <w:pPr>
      <w:spacing w:line="360" w:lineRule="auto"/>
      <w:ind w:firstLine="480" w:firstLineChars="200"/>
    </w:pPr>
    <w:rPr>
      <w:rFonts w:ascii="宋体"/>
      <w:sz w:val="24"/>
      <w:szCs w:val="20"/>
    </w:rPr>
  </w:style>
  <w:style w:type="paragraph" w:customStyle="1" w:styleId="805">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6">
    <w:name w:val="单元格左对齐"/>
    <w:basedOn w:val="1"/>
    <w:qFormat/>
    <w:uiPriority w:val="0"/>
    <w:pPr>
      <w:adjustRightInd/>
      <w:spacing w:line="360" w:lineRule="auto"/>
    </w:pPr>
    <w:rPr>
      <w:sz w:val="24"/>
    </w:rPr>
  </w:style>
  <w:style w:type="paragraph" w:customStyle="1" w:styleId="807">
    <w:name w:val="正文主体"/>
    <w:basedOn w:val="629"/>
    <w:qFormat/>
    <w:uiPriority w:val="0"/>
  </w:style>
  <w:style w:type="paragraph" w:customStyle="1" w:styleId="808">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9">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10">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1">
    <w:name w:val="正文（首行缩进2字符）"/>
    <w:basedOn w:val="1"/>
    <w:qFormat/>
    <w:uiPriority w:val="0"/>
    <w:pPr>
      <w:adjustRightInd/>
      <w:spacing w:line="360" w:lineRule="auto"/>
      <w:ind w:firstLine="480" w:firstLineChars="200"/>
    </w:pPr>
    <w:rPr>
      <w:sz w:val="24"/>
      <w:szCs w:val="20"/>
    </w:rPr>
  </w:style>
  <w:style w:type="paragraph" w:customStyle="1" w:styleId="812">
    <w:name w:val="P1"/>
    <w:basedOn w:val="1"/>
    <w:qFormat/>
    <w:uiPriority w:val="0"/>
    <w:pPr>
      <w:adjustRightInd/>
      <w:spacing w:line="288" w:lineRule="auto"/>
      <w:ind w:firstLine="425" w:firstLineChars="200"/>
    </w:pPr>
  </w:style>
  <w:style w:type="paragraph" w:customStyle="1" w:styleId="813">
    <w:name w:val="列表内容"/>
    <w:basedOn w:val="1"/>
    <w:next w:val="1"/>
    <w:qFormat/>
    <w:uiPriority w:val="0"/>
    <w:pPr>
      <w:widowControl/>
      <w:tabs>
        <w:tab w:val="left" w:pos="840"/>
      </w:tabs>
      <w:ind w:left="840" w:hanging="420"/>
      <w:jc w:val="left"/>
    </w:pPr>
    <w:rPr>
      <w:kern w:val="0"/>
      <w:sz w:val="18"/>
    </w:rPr>
  </w:style>
  <w:style w:type="paragraph" w:customStyle="1" w:styleId="814">
    <w:name w:val="Char Char11 Char Char Char1"/>
    <w:basedOn w:val="1"/>
    <w:qFormat/>
    <w:uiPriority w:val="6"/>
    <w:pPr>
      <w:spacing w:line="360" w:lineRule="auto"/>
    </w:pPr>
    <w:rPr>
      <w:szCs w:val="20"/>
    </w:rPr>
  </w:style>
  <w:style w:type="paragraph" w:customStyle="1" w:styleId="815">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6">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7">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818">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9">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20">
    <w:name w:val="默认段落字体 Para Char Char Char Char"/>
    <w:basedOn w:val="1"/>
    <w:qFormat/>
    <w:uiPriority w:val="0"/>
    <w:pPr>
      <w:spacing w:line="360" w:lineRule="auto"/>
    </w:pPr>
    <w:rPr>
      <w:szCs w:val="20"/>
    </w:rPr>
  </w:style>
  <w:style w:type="paragraph" w:customStyle="1" w:styleId="82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2">
    <w:name w:val="Char2 Char Char Char2"/>
    <w:basedOn w:val="1"/>
    <w:qFormat/>
    <w:uiPriority w:val="0"/>
    <w:rPr>
      <w:rFonts w:ascii="仿宋_GB2312" w:eastAsia="仿宋_GB2312"/>
      <w:b/>
      <w:sz w:val="32"/>
      <w:szCs w:val="32"/>
    </w:rPr>
  </w:style>
  <w:style w:type="paragraph" w:customStyle="1" w:styleId="823">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4">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5">
    <w:name w:val="正文 首行缩进:  2 字符 Char"/>
    <w:basedOn w:val="1"/>
    <w:qFormat/>
    <w:uiPriority w:val="0"/>
    <w:pPr>
      <w:adjustRightInd/>
      <w:spacing w:line="360" w:lineRule="auto"/>
      <w:ind w:firstLine="480"/>
    </w:pPr>
    <w:rPr>
      <w:rFonts w:cs="宋体"/>
      <w:sz w:val="24"/>
      <w:szCs w:val="20"/>
    </w:rPr>
  </w:style>
  <w:style w:type="paragraph" w:customStyle="1" w:styleId="826">
    <w:name w:val="Char Char4 Char Char"/>
    <w:basedOn w:val="1"/>
    <w:qFormat/>
    <w:uiPriority w:val="0"/>
    <w:pPr>
      <w:widowControl/>
      <w:adjustRightInd/>
      <w:spacing w:after="160" w:line="240" w:lineRule="exact"/>
      <w:jc w:val="left"/>
    </w:pPr>
  </w:style>
  <w:style w:type="paragraph" w:customStyle="1" w:styleId="82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8">
    <w:name w:val="Char Char11 Char Char Char2"/>
    <w:basedOn w:val="1"/>
    <w:qFormat/>
    <w:uiPriority w:val="0"/>
    <w:pPr>
      <w:spacing w:line="360" w:lineRule="auto"/>
    </w:pPr>
    <w:rPr>
      <w:szCs w:val="20"/>
    </w:rPr>
  </w:style>
  <w:style w:type="paragraph" w:customStyle="1" w:styleId="829">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0">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1">
    <w:name w:val="数字标题4"/>
    <w:basedOn w:val="6"/>
    <w:qFormat/>
    <w:uiPriority w:val="0"/>
    <w:p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2">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5">
    <w:name w:val="Char311"/>
    <w:basedOn w:val="1"/>
    <w:qFormat/>
    <w:uiPriority w:val="0"/>
    <w:pPr>
      <w:adjustRightInd/>
      <w:ind w:firstLine="200" w:firstLineChars="200"/>
    </w:pPr>
    <w:rPr>
      <w:rFonts w:ascii="Tahoma" w:hAnsi="Tahoma"/>
      <w:sz w:val="24"/>
      <w:szCs w:val="20"/>
    </w:rPr>
  </w:style>
  <w:style w:type="paragraph" w:customStyle="1" w:styleId="836">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7">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8">
    <w:name w:val="正文 内标"/>
    <w:basedOn w:val="754"/>
    <w:qFormat/>
    <w:uiPriority w:val="0"/>
    <w:pPr>
      <w:tabs>
        <w:tab w:val="left" w:pos="0"/>
      </w:tabs>
      <w:ind w:left="900" w:firstLine="0" w:firstLineChars="0"/>
    </w:pPr>
  </w:style>
  <w:style w:type="paragraph" w:customStyle="1" w:styleId="839">
    <w:name w:val="Bulleted List"/>
    <w:basedOn w:val="1"/>
    <w:qFormat/>
    <w:uiPriority w:val="0"/>
    <w:pPr>
      <w:tabs>
        <w:tab w:val="left" w:pos="1260"/>
      </w:tabs>
      <w:adjustRightInd/>
      <w:ind w:left="1260" w:hanging="420"/>
    </w:pPr>
  </w:style>
  <w:style w:type="paragraph" w:customStyle="1" w:styleId="840">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41">
    <w:name w:val="样式 左侧:  0.85 厘米"/>
    <w:basedOn w:val="1"/>
    <w:qFormat/>
    <w:uiPriority w:val="2"/>
    <w:pPr>
      <w:adjustRightInd/>
      <w:spacing w:line="360" w:lineRule="auto"/>
    </w:pPr>
    <w:rPr>
      <w:rFonts w:cs="宋体"/>
      <w:sz w:val="24"/>
      <w:szCs w:val="20"/>
    </w:rPr>
  </w:style>
  <w:style w:type="paragraph" w:customStyle="1" w:styleId="842">
    <w:name w:val="Char Char Char Char Char Char Char Char Char Char Char Char1 Char"/>
    <w:basedOn w:val="1"/>
    <w:qFormat/>
    <w:uiPriority w:val="0"/>
    <w:rPr>
      <w:rFonts w:ascii="Tahoma" w:hAnsi="Tahoma" w:cs="仿宋_GB2312"/>
      <w:sz w:val="24"/>
      <w:szCs w:val="20"/>
    </w:rPr>
  </w:style>
  <w:style w:type="paragraph" w:customStyle="1" w:styleId="84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qFormat/>
    <w:uiPriority w:val="0"/>
    <w:rPr>
      <w:rFonts w:ascii="仿宋_GB2312" w:eastAsia="仿宋_GB2312"/>
      <w:b/>
      <w:sz w:val="32"/>
      <w:szCs w:val="20"/>
    </w:rPr>
  </w:style>
  <w:style w:type="paragraph" w:customStyle="1" w:styleId="84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qFormat/>
    <w:uiPriority w:val="0"/>
    <w:rPr>
      <w:rFonts w:ascii="仿宋_GB2312" w:eastAsia="仿宋_GB2312"/>
      <w:b/>
      <w:sz w:val="32"/>
      <w:szCs w:val="20"/>
    </w:rPr>
  </w:style>
  <w:style w:type="paragraph" w:customStyle="1" w:styleId="84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6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qFormat/>
    <w:uiPriority w:val="0"/>
    <w:pPr>
      <w:widowControl/>
      <w:spacing w:after="160" w:line="240" w:lineRule="exact"/>
      <w:jc w:val="left"/>
    </w:pPr>
    <w:rPr>
      <w:rFonts w:eastAsia="仿宋_GB2312"/>
      <w:sz w:val="28"/>
    </w:rPr>
  </w:style>
  <w:style w:type="paragraph" w:customStyle="1" w:styleId="863">
    <w:name w:val="Char21"/>
    <w:basedOn w:val="1"/>
    <w:qFormat/>
    <w:uiPriority w:val="0"/>
    <w:pPr>
      <w:adjustRightInd/>
      <w:ind w:firstLine="200" w:firstLineChars="200"/>
    </w:pPr>
    <w:rPr>
      <w:rFonts w:ascii="仿宋_GB2312" w:eastAsia="仿宋_GB2312"/>
      <w:b/>
      <w:sz w:val="32"/>
      <w:szCs w:val="32"/>
    </w:rPr>
  </w:style>
  <w:style w:type="paragraph" w:customStyle="1" w:styleId="864">
    <w:name w:val="列表段落1"/>
    <w:basedOn w:val="1"/>
    <w:qFormat/>
    <w:uiPriority w:val="34"/>
    <w:pPr>
      <w:adjustRightInd/>
      <w:ind w:right="238" w:firstLine="420"/>
    </w:pPr>
    <w:rPr>
      <w:rFonts w:ascii="Calibri" w:hAnsi="Calibri"/>
      <w:sz w:val="24"/>
    </w:rPr>
  </w:style>
  <w:style w:type="paragraph" w:customStyle="1" w:styleId="865">
    <w:name w:val="Char Char110"/>
    <w:basedOn w:val="1"/>
    <w:qFormat/>
    <w:uiPriority w:val="6"/>
    <w:pPr>
      <w:spacing w:line="360" w:lineRule="auto"/>
    </w:pPr>
    <w:rPr>
      <w:rFonts w:ascii="Tahoma" w:hAnsi="Tahoma"/>
      <w:sz w:val="24"/>
      <w:szCs w:val="20"/>
    </w:rPr>
  </w:style>
  <w:style w:type="paragraph" w:customStyle="1" w:styleId="86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qFormat/>
    <w:uiPriority w:val="0"/>
    <w:rPr>
      <w:rFonts w:ascii="Tahoma" w:hAnsi="Tahoma" w:cs="仿宋_GB2312"/>
      <w:sz w:val="24"/>
      <w:szCs w:val="20"/>
    </w:rPr>
  </w:style>
  <w:style w:type="paragraph" w:customStyle="1" w:styleId="87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5">
    <w:name w:val="_Style 12"/>
    <w:basedOn w:val="18"/>
    <w:qFormat/>
    <w:uiPriority w:val="0"/>
    <w:pPr>
      <w:snapToGrid w:val="0"/>
      <w:spacing w:line="360" w:lineRule="auto"/>
    </w:pPr>
  </w:style>
  <w:style w:type="paragraph" w:customStyle="1" w:styleId="87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next w:val="80"/>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6"/>
    <w:qFormat/>
    <w:uiPriority w:val="0"/>
    <w:pPr>
      <w:outlineLvl w:val="2"/>
    </w:pPr>
  </w:style>
  <w:style w:type="paragraph" w:customStyle="1" w:styleId="88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qFormat/>
    <w:uiPriority w:val="0"/>
    <w:pPr>
      <w:adjustRightInd/>
      <w:ind w:firstLine="200" w:firstLineChars="200"/>
    </w:pPr>
    <w:rPr>
      <w:rFonts w:ascii="Tahoma" w:hAnsi="Tahoma"/>
      <w:sz w:val="24"/>
      <w:szCs w:val="20"/>
    </w:rPr>
  </w:style>
  <w:style w:type="paragraph" w:customStyle="1" w:styleId="88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6">
    <w:name w:val="MM Empty"/>
    <w:basedOn w:val="1"/>
    <w:qFormat/>
    <w:uiPriority w:val="0"/>
    <w:pPr>
      <w:adjustRightInd/>
    </w:pPr>
  </w:style>
  <w:style w:type="paragraph" w:customStyle="1" w:styleId="887">
    <w:name w:val="Char24"/>
    <w:basedOn w:val="1"/>
    <w:qFormat/>
    <w:uiPriority w:val="0"/>
    <w:rPr>
      <w:rFonts w:ascii="仿宋_GB2312" w:eastAsia="仿宋_GB2312"/>
      <w:b/>
      <w:sz w:val="32"/>
      <w:szCs w:val="32"/>
    </w:rPr>
  </w:style>
  <w:style w:type="paragraph" w:customStyle="1" w:styleId="888">
    <w:name w:val="正文箭头"/>
    <w:basedOn w:val="543"/>
    <w:qFormat/>
    <w:uiPriority w:val="0"/>
  </w:style>
  <w:style w:type="paragraph" w:customStyle="1" w:styleId="889">
    <w:name w:val="U_编号2"/>
    <w:basedOn w:val="1"/>
    <w:qFormat/>
    <w:uiPriority w:val="0"/>
    <w:pPr>
      <w:tabs>
        <w:tab w:val="left" w:pos="785"/>
      </w:tabs>
      <w:adjustRightInd/>
      <w:spacing w:beforeLines="10" w:afterLines="10" w:line="300" w:lineRule="auto"/>
    </w:pPr>
    <w:rPr>
      <w:sz w:val="24"/>
    </w:rPr>
  </w:style>
  <w:style w:type="paragraph" w:customStyle="1" w:styleId="89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3">
    <w:name w:val="TOC 标题11"/>
    <w:basedOn w:val="2"/>
    <w:next w:val="1"/>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4">
    <w:name w:val="_Style 1"/>
    <w:basedOn w:val="1"/>
    <w:qFormat/>
    <w:uiPriority w:val="34"/>
    <w:pPr>
      <w:adjustRightInd/>
      <w:ind w:firstLine="420" w:firstLineChars="200"/>
    </w:pPr>
    <w:rPr>
      <w:rFonts w:eastAsia="仿宋_GB2312"/>
      <w:sz w:val="28"/>
    </w:rPr>
  </w:style>
  <w:style w:type="paragraph" w:customStyle="1" w:styleId="895">
    <w:name w:val="表格 内容"/>
    <w:basedOn w:val="733"/>
    <w:qFormat/>
    <w:uiPriority w:val="0"/>
    <w:rPr>
      <w:b w:val="0"/>
      <w:sz w:val="20"/>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7"/>
    <w:next w:val="1"/>
    <w:qFormat/>
    <w:uiPriority w:val="0"/>
    <w:pPr>
      <w:tabs>
        <w:tab w:val="left" w:pos="1080"/>
      </w:tabs>
      <w:ind w:left="1080" w:hanging="1080"/>
    </w:pPr>
  </w:style>
  <w:style w:type="paragraph" w:customStyle="1" w:styleId="898">
    <w:name w:val="数字标题1"/>
    <w:basedOn w:val="2"/>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9"/>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7"/>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Char"/>
    <w:link w:val="37"/>
    <w:qFormat/>
    <w:uiPriority w:val="0"/>
    <w:rPr>
      <w:kern w:val="2"/>
      <w:sz w:val="21"/>
      <w:szCs w:val="24"/>
      <w:lang w:val="zh-CN"/>
    </w:rPr>
  </w:style>
  <w:style w:type="character" w:customStyle="1" w:styleId="934">
    <w:name w:val="无间隔 Char"/>
    <w:link w:val="488"/>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99"/>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80"/>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修订4"/>
    <w:qFormat/>
    <w:uiPriority w:val="99"/>
    <w:rPr>
      <w:rFonts w:ascii="Times New Roman" w:hAnsi="Times New Roman" w:eastAsia="宋体" w:cs="Times New Roman"/>
      <w:kern w:val="2"/>
      <w:sz w:val="21"/>
      <w:szCs w:val="24"/>
      <w:lang w:val="en-US" w:eastAsia="zh-CN" w:bidi="ar-SA"/>
    </w:rPr>
  </w:style>
  <w:style w:type="paragraph" w:customStyle="1" w:styleId="96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967">
    <w:name w:val="Heading 1 Char_6504d2fe-8881-4151-966a-2001c85934d7"/>
    <w:qFormat/>
    <w:uiPriority w:val="6"/>
    <w:rPr>
      <w:rFonts w:ascii="Times New Roman" w:hAnsi="Times New Roman" w:eastAsia="黑体" w:cs="Times New Roman"/>
      <w:b/>
      <w:kern w:val="0"/>
      <w:sz w:val="24"/>
      <w:szCs w:val="24"/>
    </w:rPr>
  </w:style>
  <w:style w:type="character" w:customStyle="1" w:styleId="968">
    <w:name w:val="Footer Char_b68a3808-6492-4f50-95e5-14301a9cb75d"/>
    <w:qFormat/>
    <w:uiPriority w:val="0"/>
    <w:rPr>
      <w:rFonts w:eastAsia="宋体"/>
      <w:kern w:val="2"/>
      <w:sz w:val="18"/>
      <w:lang w:val="en-US" w:eastAsia="zh-CN" w:bidi="ar-SA"/>
    </w:rPr>
  </w:style>
  <w:style w:type="character" w:customStyle="1" w:styleId="969">
    <w:name w:val="Header Char_463b42f8-146a-4514-a427-3fc37b401951"/>
    <w:qFormat/>
    <w:uiPriority w:val="0"/>
    <w:rPr>
      <w:rFonts w:eastAsia="宋体"/>
      <w:kern w:val="2"/>
      <w:sz w:val="18"/>
      <w:szCs w:val="18"/>
      <w:lang w:val="en-US" w:eastAsia="zh-CN" w:bidi="ar-SA"/>
    </w:rPr>
  </w:style>
  <w:style w:type="paragraph" w:customStyle="1" w:styleId="97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971">
    <w:name w:val="Heading 7 Char_a47ace44-955b-455c-a45b-1e94e43ec6ca"/>
    <w:qFormat/>
    <w:uiPriority w:val="0"/>
    <w:rPr>
      <w:rFonts w:ascii="宋体" w:hAnsi="宋体" w:eastAsia="宋体"/>
      <w:b/>
      <w:bCs/>
      <w:kern w:val="2"/>
      <w:sz w:val="24"/>
      <w:szCs w:val="24"/>
      <w:lang w:val="en-US" w:eastAsia="zh-CN" w:bidi="ar-SA"/>
    </w:rPr>
  </w:style>
  <w:style w:type="character" w:customStyle="1" w:styleId="972">
    <w:name w:val="不明显强调1"/>
    <w:qFormat/>
    <w:uiPriority w:val="19"/>
    <w:rPr>
      <w:i/>
      <w:iCs/>
    </w:rPr>
  </w:style>
  <w:style w:type="table" w:customStyle="1" w:styleId="973">
    <w:name w:val="Table Normal"/>
    <w:basedOn w:val="63"/>
    <w:qFormat/>
    <w:uiPriority w:val="0"/>
    <w:rPr>
      <w:rFonts w:eastAsia="Times New Roman"/>
    </w:rPr>
    <w:tblPr>
      <w:tblCellMar>
        <w:top w:w="0" w:type="dxa"/>
        <w:left w:w="0" w:type="dxa"/>
        <w:bottom w:w="0" w:type="dxa"/>
        <w:right w:w="0" w:type="dxa"/>
      </w:tblCellMar>
    </w:tblPr>
  </w:style>
  <w:style w:type="character" w:customStyle="1" w:styleId="974">
    <w:name w:val="bookmark-item"/>
    <w:basedOn w:val="70"/>
    <w:qFormat/>
    <w:uiPriority w:val="0"/>
  </w:style>
  <w:style w:type="paragraph" w:customStyle="1" w:styleId="975">
    <w:name w:val="修订5"/>
    <w:qFormat/>
    <w:uiPriority w:val="99"/>
    <w:rPr>
      <w:rFonts w:ascii="Times New Roman" w:hAnsi="Times New Roman" w:eastAsia="宋体" w:cs="Times New Roman"/>
      <w:kern w:val="2"/>
      <w:sz w:val="21"/>
      <w:szCs w:val="24"/>
      <w:lang w:val="en-US" w:eastAsia="zh-CN" w:bidi="ar-SA"/>
    </w:rPr>
  </w:style>
  <w:style w:type="paragraph" w:customStyle="1" w:styleId="976">
    <w:name w:val="修订6"/>
    <w:qFormat/>
    <w:uiPriority w:val="99"/>
    <w:rPr>
      <w:rFonts w:ascii="Times New Roman" w:hAnsi="Times New Roman" w:eastAsia="宋体" w:cs="Times New Roman"/>
      <w:kern w:val="2"/>
      <w:sz w:val="21"/>
      <w:szCs w:val="24"/>
      <w:lang w:val="en-US" w:eastAsia="zh-CN" w:bidi="ar-SA"/>
    </w:rPr>
  </w:style>
  <w:style w:type="paragraph" w:customStyle="1" w:styleId="977">
    <w:name w:val="修订7"/>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5.png"/><Relationship Id="rId3" Type="http://schemas.openxmlformats.org/officeDocument/2006/relationships/header" Target="header1.xml"/><Relationship Id="rId29" Type="http://schemas.openxmlformats.org/officeDocument/2006/relationships/image" Target="media/image4.pn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7017c-7ba6-463c-8f03-0395e4ed1164}">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150</Pages>
  <Words>24215</Words>
  <Characters>26631</Characters>
  <Paragraphs>7447</Paragraphs>
  <TotalTime>140</TotalTime>
  <ScaleCrop>false</ScaleCrop>
  <LinksUpToDate>false</LinksUpToDate>
  <CharactersWithSpaces>27419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2021-07-30T16:22:00Z</dcterms:created>
  <dc:creator>玥</dc:creator>
  <cp:lastModifiedBy>WPS_1661847895</cp:lastModifiedBy>
  <cp:lastPrinted>2026-04-23T17:54:00Z</cp:lastPrinted>
  <dcterms:modified xsi:type="dcterms:W3CDTF">2026-05-26T05:06:10Z</dcterms:modified>
  <dc:title>杭州市市民卡扩大发卡工程</dc:title>
  <cp:revision>409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E1DE7E1E76ED4942BF3A90F7C04463C9_13</vt:lpwstr>
  </property>
  <property fmtid="{D5CDD505-2E9C-101B-9397-08002B2CF9AE}" pid="5" name="KSOTemplateDocerSaveRecord">
    <vt:lpwstr>eyJoZGlkIjoiMjE1MDMyYjc5YTI4OTY3NzIzM2Q1NmY4OTg3MjczNmEiLCJ1c2VySWQiOiIxNDAyNTM3NjY2In0=</vt:lpwstr>
  </property>
</Properties>
</file>