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版本号：SXZCZB2026-ZCCS-061620260610001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市数据局UPS机房漏水维修项目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SXZCZB2026-ZCCS-0616</w:t>
      </w:r>
      <w:r>
        <w:br/>
      </w:r>
      <w:r>
        <w:br/>
      </w:r>
      <w:r>
        <w:br/>
      </w:r>
    </w:p>
    <w:p>
      <w:pPr>
        <w:pStyle w:val="null3"/>
        <w:jc w:val="center"/>
        <w:outlineLvl w:val="2"/>
      </w:pPr>
      <w:r>
        <w:rPr>
          <w:rFonts w:ascii="仿宋_GB2312" w:hAnsi="仿宋_GB2312" w:cs="仿宋_GB2312" w:eastAsia="仿宋_GB2312"/>
          <w:sz w:val="28"/>
          <w:b/>
        </w:rPr>
        <w:t>西安市机关事务服务中心</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西安市机关事务服务中心</w:t>
      </w:r>
      <w:r>
        <w:rPr>
          <w:rFonts w:ascii="仿宋_GB2312" w:hAnsi="仿宋_GB2312" w:cs="仿宋_GB2312" w:eastAsia="仿宋_GB2312"/>
        </w:rPr>
        <w:t>委托，拟对</w:t>
      </w:r>
      <w:r>
        <w:rPr>
          <w:rFonts w:ascii="仿宋_GB2312" w:hAnsi="仿宋_GB2312" w:cs="仿宋_GB2312" w:eastAsia="仿宋_GB2312"/>
        </w:rPr>
        <w:t>市数据局UPS机房漏水维修项目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SXZCZB2026-ZCCS-0616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市数据局UPS机房漏水维修项目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市级政务数据中心机房多处出现渗水、漏水隐患，已严重威胁机房配电设备、网络设施安全，存在导致全市政务网络、各类政务信息系统停运的重大风险，严重影响政务办公及公共服务正常运行。为及时消除安全隐患、保障政务机房持续稳定运行，现开展UPS 机房渗漏维保服务采购。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采购包1（市数据局UPS机房漏水维修项目）：属于专门面向中小企业采购。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2、法定代表人身份证明或授权委托书：提供法定代表人授权书（附法定代表人、被授权人身份证复印件），法定代表人直接参加投标，须提供法定代表人身份证明（附法定代表人身份证复印件）；</w:t>
      </w:r>
    </w:p>
    <w:p>
      <w:pPr>
        <w:pStyle w:val="null3"/>
      </w:pPr>
      <w:r>
        <w:rPr>
          <w:rFonts w:ascii="仿宋_GB2312" w:hAnsi="仿宋_GB2312" w:cs="仿宋_GB2312" w:eastAsia="仿宋_GB2312"/>
        </w:rPr>
        <w:t>3、财务审计报告或资信证明：提供递交磋商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4、税收缴纳证明：提供递交磋商响应文件截止日前一年内已缴纳的至少一个月的纳税证明或完税证明（任意税种），依法免税的单位应提供相关证明材料；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磋商响应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9、供应商资质要求：供应商须具备建筑工程施工总承包三级以上（含三级）资质，具有有效的安全生产许可证；</w:t>
      </w:r>
    </w:p>
    <w:p>
      <w:pPr>
        <w:pStyle w:val="null3"/>
      </w:pPr>
      <w:r>
        <w:rPr>
          <w:rFonts w:ascii="仿宋_GB2312" w:hAnsi="仿宋_GB2312" w:cs="仿宋_GB2312" w:eastAsia="仿宋_GB2312"/>
        </w:rPr>
        <w:t>10、项目经理要求：拟派项目经理具有建筑工程专业二级及以上注册建造师执业资格，安全考核合格证（B证），且在本单位注册，并提供无在建工程承诺书；</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12、非联合体承诺：本项目不接受联合体磋商（需提供承诺书）;</w:t>
      </w:r>
    </w:p>
    <w:p>
      <w:pPr>
        <w:pStyle w:val="null3"/>
      </w:pPr>
      <w:r>
        <w:rPr>
          <w:rFonts w:ascii="仿宋_GB2312" w:hAnsi="仿宋_GB2312" w:cs="仿宋_GB2312" w:eastAsia="仿宋_GB2312"/>
        </w:rPr>
        <w:t>13、中小企业声明函：本项目专门面向中小企业采购，仅限符合《政府采购促进中小企业发展暂行办法》（财库〔2020〕46号）条件的中小企业参与，提供中小企业声明函。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029-86783170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倪沛、康乐、王欣玫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采购包1：386,717.96元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代理服务费收费标准：中标单位在领取中标通知书前，须向采购代理机构一次性支付招标代理服务费，本项目定额收招标代理服务费5000.00元。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西安市机关事务服务中心</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联系人：倪沛</w:t>
      </w:r>
    </w:p>
    <w:p>
      <w:pPr>
        <w:pStyle w:val="null3"/>
      </w:pPr>
      <w:r>
        <w:rPr>
          <w:rFonts w:ascii="仿宋_GB2312" w:hAnsi="仿宋_GB2312" w:cs="仿宋_GB2312" w:eastAsia="仿宋_GB2312"/>
        </w:rPr>
        <w:t>联系电话：15902942119</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市级政务数据中心机房多处出现渗水、漏水隐患，已严重威胁机房配电设备、网络设施安全，存在导致全市政务网络、各类政务信息系统停运的重大风险，严重影响政务办公及公共服务正常运行。为及时消除安全隐患、保障政务机房持续稳定运行，现开展UPS 机房渗漏维保服务采购。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386,717.96</w:t>
      </w:r>
    </w:p>
    <w:p>
      <w:pPr>
        <w:pStyle w:val="null3"/>
      </w:pPr>
      <w:r>
        <w:rPr>
          <w:rFonts w:ascii="仿宋_GB2312" w:hAnsi="仿宋_GB2312" w:cs="仿宋_GB2312" w:eastAsia="仿宋_GB2312"/>
        </w:rPr>
        <w:t>采购包最高限价（元）: 386,717.96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市数据局UPS机房漏水维修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386,717.96</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标的名称：市数据局UPS机房漏水维修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市级政务数据中心机房多处出现渗水、漏水隐患，已严重威胁机房配电设备、网络设施安全，存在导致全市政务网络、各类政务信息系统停运的重大风险，严重影响政务办公及公共服务正常运行。为及时消除安全隐患、保障政务机房持续稳定运行，现开展</w:t>
            </w:r>
            <w:r>
              <w:rPr>
                <w:rFonts w:ascii="仿宋_GB2312" w:hAnsi="仿宋_GB2312" w:cs="仿宋_GB2312" w:eastAsia="仿宋_GB2312"/>
                <w:sz w:val="24"/>
              </w:rPr>
              <w:t>UPS 机房渗漏维保服务采购。</w:t>
            </w:r>
          </w:p>
          <w:p>
            <w:pPr>
              <w:pStyle w:val="null3"/>
              <w:ind w:firstLine="482"/>
              <w:jc w:val="both"/>
            </w:pPr>
            <w:r>
              <w:rPr>
                <w:rFonts w:ascii="仿宋_GB2312" w:hAnsi="仿宋_GB2312" w:cs="仿宋_GB2312" w:eastAsia="仿宋_GB2312"/>
                <w:sz w:val="24"/>
                <w:b/>
              </w:rPr>
              <w:t>二、服务内容</w:t>
            </w:r>
          </w:p>
          <w:p>
            <w:pPr>
              <w:pStyle w:val="null3"/>
              <w:ind w:firstLine="480"/>
              <w:jc w:val="both"/>
            </w:pPr>
            <w:r>
              <w:rPr>
                <w:rFonts w:ascii="仿宋_GB2312" w:hAnsi="仿宋_GB2312" w:cs="仿宋_GB2312" w:eastAsia="仿宋_GB2312"/>
                <w:sz w:val="24"/>
              </w:rPr>
              <w:t>本项目为市数据局</w:t>
            </w:r>
            <w:r>
              <w:rPr>
                <w:rFonts w:ascii="仿宋_GB2312" w:hAnsi="仿宋_GB2312" w:cs="仿宋_GB2312" w:eastAsia="仿宋_GB2312"/>
                <w:sz w:val="24"/>
              </w:rPr>
              <w:t>UPS 机房漏水维修服务项目，服务范围包含机房室外区域、室内区域渗漏隐患整治及面层修复全部内容，主要涵盖：原有墙面、地坪抹灰层及涂层拆除清理、漏水点位注浆封堵、基层打磨凿毛处理、渗透结晶及水泥素浆基层强化、双层高分子防水卷材铺设、节点嵌缝封边收口、钢丝网片安装及抗裂砂浆抹面、作业脚手架搭设与拆除、现场扬尘管控、建渣场内清运及场地规整等全部配套服务内容。</w:t>
            </w:r>
          </w:p>
          <w:p>
            <w:pPr>
              <w:pStyle w:val="null3"/>
              <w:ind w:firstLine="480"/>
              <w:jc w:val="both"/>
            </w:pPr>
            <w:r>
              <w:rPr>
                <w:rFonts w:ascii="仿宋_GB2312" w:hAnsi="仿宋_GB2312" w:cs="仿宋_GB2312" w:eastAsia="仿宋_GB2312"/>
                <w:sz w:val="24"/>
              </w:rPr>
              <w:t>供应商须充分结合本项目</w:t>
            </w:r>
            <w:r>
              <w:rPr>
                <w:rFonts w:ascii="仿宋_GB2312" w:hAnsi="仿宋_GB2312" w:cs="仿宋_GB2312" w:eastAsia="仿宋_GB2312"/>
                <w:sz w:val="24"/>
              </w:rPr>
              <w:t>UPS 机房精密设备运行环境、场地作业受限特点、专项防水工艺标准、现场安全防护要求、设备成品保护、作业环境管控、全过程质量保障等全部现场条件与实施细节，确保项目实施流程规范。</w:t>
            </w:r>
          </w:p>
          <w:p>
            <w:pPr>
              <w:pStyle w:val="null3"/>
              <w:ind w:firstLine="482"/>
              <w:jc w:val="both"/>
            </w:pPr>
            <w:r>
              <w:rPr>
                <w:rFonts w:ascii="仿宋_GB2312" w:hAnsi="仿宋_GB2312" w:cs="仿宋_GB2312" w:eastAsia="仿宋_GB2312"/>
                <w:sz w:val="24"/>
                <w:b/>
              </w:rPr>
              <w:t>三、商务要求</w:t>
            </w:r>
          </w:p>
          <w:p>
            <w:pPr>
              <w:pStyle w:val="null3"/>
              <w:ind w:firstLine="480"/>
              <w:jc w:val="both"/>
            </w:pPr>
            <w:r>
              <w:rPr>
                <w:rFonts w:ascii="仿宋_GB2312" w:hAnsi="仿宋_GB2312" w:cs="仿宋_GB2312" w:eastAsia="仿宋_GB2312"/>
                <w:sz w:val="24"/>
              </w:rPr>
              <w:t>1.服务实施期间，供应商须严格遵守政府院区管理规定，落实安全防护措施，对作业人员开展安全教育，特种作业人员必须持证上岗，确保人员、设备安全。</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缺陷责任期：</w:t>
            </w:r>
            <w:r>
              <w:rPr>
                <w:rFonts w:ascii="仿宋_GB2312" w:hAnsi="仿宋_GB2312" w:cs="仿宋_GB2312" w:eastAsia="仿宋_GB2312"/>
                <w:sz w:val="24"/>
              </w:rPr>
              <w:t>自验收合格之日起</w:t>
            </w:r>
            <w:r>
              <w:rPr>
                <w:rFonts w:ascii="仿宋_GB2312" w:hAnsi="仿宋_GB2312" w:cs="仿宋_GB2312" w:eastAsia="仿宋_GB2312"/>
                <w:sz w:val="24"/>
              </w:rPr>
              <w:t>2 年</w:t>
            </w:r>
            <w:r>
              <w:rPr>
                <w:rFonts w:ascii="仿宋_GB2312" w:hAnsi="仿宋_GB2312" w:cs="仿宋_GB2312" w:eastAsia="仿宋_GB2312"/>
                <w:sz w:val="24"/>
              </w:rPr>
              <w:t>，</w:t>
            </w:r>
            <w:r>
              <w:rPr>
                <w:rFonts w:ascii="仿宋_GB2312" w:hAnsi="仿宋_GB2312" w:cs="仿宋_GB2312" w:eastAsia="仿宋_GB2312"/>
                <w:sz w:val="24"/>
              </w:rPr>
              <w:t>项目施工缺陷问题导致影响使用的由供应商承担。</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质量保修期：自工程竣工验收合格之日起５年。</w:t>
            </w:r>
          </w:p>
          <w:p>
            <w:pPr>
              <w:pStyle w:val="null3"/>
              <w:ind w:firstLine="480"/>
              <w:jc w:val="both"/>
            </w:pPr>
            <w:r>
              <w:rPr>
                <w:rFonts w:ascii="仿宋_GB2312" w:hAnsi="仿宋_GB2312" w:cs="仿宋_GB2312" w:eastAsia="仿宋_GB2312"/>
                <w:sz w:val="24"/>
              </w:rPr>
              <w:t>4.质量标准：符合国家现行质量验收规范合格要求</w:t>
            </w:r>
          </w:p>
          <w:p>
            <w:pPr>
              <w:pStyle w:val="null3"/>
              <w:ind w:firstLine="482"/>
              <w:jc w:val="both"/>
            </w:pPr>
            <w:r>
              <w:rPr>
                <w:rFonts w:ascii="仿宋_GB2312" w:hAnsi="仿宋_GB2312" w:cs="仿宋_GB2312" w:eastAsia="仿宋_GB2312"/>
                <w:sz w:val="24"/>
                <w:b/>
              </w:rPr>
              <w:t>四、项目实施范围及内容清单</w:t>
            </w:r>
          </w:p>
          <w:tbl>
            <w:tblPr>
              <w:tblInd w:type="dxa" w:w="120"/>
              <w:tblBorders>
                <w:top w:val="none" w:color="000000" w:sz="4"/>
                <w:left w:val="none" w:color="000000" w:sz="4"/>
                <w:bottom w:val="none" w:color="000000" w:sz="4"/>
                <w:right w:val="none" w:color="000000" w:sz="4"/>
                <w:insideH w:val="none"/>
                <w:insideV w:val="none"/>
              </w:tblBorders>
            </w:tblPr>
            <w:tblGrid>
              <w:gridCol w:w="192"/>
              <w:gridCol w:w="1723"/>
              <w:gridCol w:w="318"/>
              <w:gridCol w:w="318"/>
            </w:tblGrid>
            <w:tr>
              <w:tc>
                <w:tcPr>
                  <w:tcW w:type="dxa" w:w="19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172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实施内容</w:t>
                  </w:r>
                </w:p>
              </w:tc>
              <w:tc>
                <w:tcPr>
                  <w:tcW w:type="dxa" w:w="31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计量单位</w:t>
                  </w:r>
                </w:p>
              </w:tc>
              <w:tc>
                <w:tcPr>
                  <w:tcW w:type="dxa" w:w="31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r>
            <w:tr>
              <w:tc>
                <w:tcPr>
                  <w:tcW w:type="dxa" w:w="192"/>
                  <w:vMerge/>
                  <w:tcBorders>
                    <w:top w:val="single" w:color="000000" w:sz="4"/>
                    <w:left w:val="single" w:color="000000" w:sz="4"/>
                    <w:bottom w:val="single" w:color="000000" w:sz="4"/>
                    <w:right w:val="single" w:color="000000" w:sz="4"/>
                  </w:tcBorders>
                </w:tcPr>
                <w:p/>
              </w:tc>
              <w:tc>
                <w:tcPr>
                  <w:tcW w:type="dxa" w:w="1723"/>
                  <w:vMerge/>
                  <w:tcBorders>
                    <w:top w:val="single" w:color="000000" w:sz="4"/>
                    <w:left w:val="none" w:color="000000" w:sz="4"/>
                    <w:bottom w:val="single" w:color="000000" w:sz="4"/>
                    <w:right w:val="single" w:color="000000" w:sz="4"/>
                  </w:tcBorders>
                </w:tcPr>
                <w:p/>
              </w:tc>
              <w:tc>
                <w:tcPr>
                  <w:tcW w:type="dxa" w:w="318"/>
                  <w:vMerge/>
                  <w:tcBorders>
                    <w:top w:val="single" w:color="000000" w:sz="4"/>
                    <w:left w:val="none" w:color="000000" w:sz="4"/>
                    <w:bottom w:val="single" w:color="000000" w:sz="4"/>
                    <w:right w:val="single" w:color="000000" w:sz="4"/>
                  </w:tcBorders>
                </w:tcPr>
                <w:p/>
              </w:tc>
              <w:tc>
                <w:tcPr>
                  <w:tcW w:type="dxa" w:w="318"/>
                  <w:vMerge/>
                  <w:tcBorders>
                    <w:top w:val="single" w:color="000000" w:sz="4"/>
                    <w:left w:val="none" w:color="000000" w:sz="4"/>
                    <w:bottom w:val="single" w:color="000000" w:sz="4"/>
                    <w:right w:val="single" w:color="000000" w:sz="4"/>
                  </w:tcBorders>
                </w:tcPr>
                <w:p/>
              </w:tc>
            </w:tr>
            <w:tr>
              <w:tc>
                <w:tcPr>
                  <w:tcW w:type="dxa" w:w="19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室外部分</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2"/>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2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卷材防水</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318</w:t>
                  </w:r>
                </w:p>
              </w:tc>
            </w:tr>
            <w:tr>
              <w:tc>
                <w:tcPr>
                  <w:tcW w:type="dxa" w:w="192"/>
                  <w:vMerge/>
                  <w:tcBorders>
                    <w:top w:val="none" w:color="000000" w:sz="4"/>
                    <w:left w:val="single" w:color="000000" w:sz="4"/>
                    <w:bottom w:val="single" w:color="000000" w:sz="4"/>
                    <w:right w:val="none" w:color="000000" w:sz="4"/>
                  </w:tcBorders>
                </w:tcPr>
                <w:p/>
              </w:tc>
              <w:tc>
                <w:tcPr>
                  <w:tcW w:type="dxa" w:w="172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tc>
              <w:tc>
                <w:tcPr>
                  <w:tcW w:type="dxa" w:w="318"/>
                  <w:vMerge/>
                  <w:tcBorders>
                    <w:top w:val="none" w:color="000000" w:sz="4"/>
                    <w:left w:val="non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none" w:color="000000" w:sz="4"/>
                  </w:tcBorders>
                </w:tcPr>
                <w:p/>
              </w:tc>
              <w:tc>
                <w:tcPr>
                  <w:tcW w:type="dxa" w:w="172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1.卷材品种、规格、厚度:一品能CPS-TS反应粘结型皮芯结构热压1.5 mm双面粘交联高分子胎基湿铺防水卷材两道</w:t>
                  </w:r>
                </w:p>
              </w:tc>
              <w:tc>
                <w:tcPr>
                  <w:tcW w:type="dxa" w:w="318"/>
                  <w:vMerge/>
                  <w:tcBorders>
                    <w:top w:val="none" w:color="000000" w:sz="4"/>
                    <w:left w:val="non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none" w:color="000000" w:sz="4"/>
                  </w:tcBorders>
                </w:tcPr>
                <w:p/>
              </w:tc>
              <w:tc>
                <w:tcPr>
                  <w:tcW w:type="dxa" w:w="172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2.保护层:3mm专用保护找平层</w:t>
                  </w:r>
                </w:p>
              </w:tc>
              <w:tc>
                <w:tcPr>
                  <w:tcW w:type="dxa" w:w="318"/>
                  <w:vMerge/>
                  <w:tcBorders>
                    <w:top w:val="none" w:color="000000" w:sz="4"/>
                    <w:left w:val="non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none" w:color="000000" w:sz="4"/>
                  </w:tcBorders>
                </w:tcPr>
                <w:p/>
              </w:tc>
              <w:tc>
                <w:tcPr>
                  <w:tcW w:type="dxa" w:w="172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3.水泥·密封膏</w:t>
                  </w:r>
                </w:p>
              </w:tc>
              <w:tc>
                <w:tcPr>
                  <w:tcW w:type="dxa" w:w="318"/>
                  <w:vMerge/>
                  <w:tcBorders>
                    <w:top w:val="none" w:color="000000" w:sz="4"/>
                    <w:left w:val="non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none" w:color="000000" w:sz="4"/>
                  </w:tcBorders>
                </w:tcPr>
                <w:p/>
              </w:tc>
              <w:tc>
                <w:tcPr>
                  <w:tcW w:type="dxa" w:w="172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non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none" w:color="000000" w:sz="4"/>
                  </w:tcBorders>
                </w:tcPr>
                <w:p/>
              </w:tc>
              <w:tc>
                <w:tcPr>
                  <w:tcW w:type="dxa" w:w="172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1.基层处理</w:t>
                  </w:r>
                </w:p>
              </w:tc>
              <w:tc>
                <w:tcPr>
                  <w:tcW w:type="dxa" w:w="318"/>
                  <w:vMerge/>
                  <w:tcBorders>
                    <w:top w:val="none" w:color="000000" w:sz="4"/>
                    <w:left w:val="non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none" w:color="000000" w:sz="4"/>
                  </w:tcBorders>
                </w:tcPr>
                <w:p/>
              </w:tc>
              <w:tc>
                <w:tcPr>
                  <w:tcW w:type="dxa" w:w="172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2.刷粘结剂</w:t>
                  </w:r>
                </w:p>
              </w:tc>
              <w:tc>
                <w:tcPr>
                  <w:tcW w:type="dxa" w:w="318"/>
                  <w:vMerge/>
                  <w:tcBorders>
                    <w:top w:val="none" w:color="000000" w:sz="4"/>
                    <w:left w:val="non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none" w:color="000000" w:sz="4"/>
                  </w:tcBorders>
                </w:tcPr>
                <w:p/>
              </w:tc>
              <w:tc>
                <w:tcPr>
                  <w:tcW w:type="dxa" w:w="172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3.铺防水卷材</w:t>
                  </w:r>
                </w:p>
              </w:tc>
              <w:tc>
                <w:tcPr>
                  <w:tcW w:type="dxa" w:w="318"/>
                  <w:vMerge/>
                  <w:tcBorders>
                    <w:top w:val="none" w:color="000000" w:sz="4"/>
                    <w:left w:val="non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none" w:color="000000" w:sz="4"/>
                  </w:tcBorders>
                </w:tcPr>
                <w:p/>
              </w:tc>
              <w:tc>
                <w:tcPr>
                  <w:tcW w:type="dxa" w:w="1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4.接缝、嵌缝、封边、收口</w:t>
                  </w:r>
                </w:p>
              </w:tc>
              <w:tc>
                <w:tcPr>
                  <w:tcW w:type="dxa" w:w="318"/>
                  <w:vMerge/>
                  <w:tcBorders>
                    <w:top w:val="none" w:color="000000" w:sz="4"/>
                    <w:left w:val="non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室内部分</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封堵漏水点</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1、封堵漏水点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2、注浆</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抹灰层拆除</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1、铲除墙体腻子涂层、地坪漆及砂浆层</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 控制扬尘</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3.清理</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4.建渣场内运输</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卷材防水</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1、基层打磨清理干净至、磨毛、凿毛</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2、刮涂渗透结晶</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3、刮涂不少于 1.5mm 厚水泥素浆</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4、一品能CPS-TS反应粘结型皮芯结构热压1.5 mm双面粘交联高分子胎基湿铺防水卷材两道</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1.基层处理</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2.刷粘结剂</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3.铺防水卷材</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4.接缝、嵌缝、封边、收口</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钢丝网片及抗裂砂浆抹面</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1、打眼安装膨胀螺栓（ CPS 密封膏密封孔眼）2、绑扎安装钢丝网片及抗裂砂浆抹面</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[工作内容]1.清理基层</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砂浆制作</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3.分层抹灰</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4.面层处理</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脚手架</w:t>
                  </w:r>
                  <w:r>
                    <w:rPr>
                      <w:rFonts w:ascii="仿宋_GB2312" w:hAnsi="仿宋_GB2312" w:cs="仿宋_GB2312" w:eastAsia="仿宋_GB2312"/>
                      <w:sz w:val="20"/>
                      <w:color w:val="000000"/>
                    </w:rPr>
                    <w:t>[工作内容]</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1.搭设脚手架、斜道、上料平台，铺设安全网，铺（翻）脚手板，转运、改制、维修维护，拆除、堆放、整理，外运、归库等</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15"/>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63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9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172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实施内容</w:t>
                  </w:r>
                </w:p>
              </w:tc>
              <w:tc>
                <w:tcPr>
                  <w:tcW w:type="dxa" w:w="31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计量单位</w:t>
                  </w:r>
                </w:p>
              </w:tc>
              <w:tc>
                <w:tcPr>
                  <w:tcW w:type="dxa" w:w="31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r>
            <w:tr>
              <w:tc>
                <w:tcPr>
                  <w:tcW w:type="dxa" w:w="192"/>
                  <w:vMerge/>
                  <w:tcBorders>
                    <w:top w:val="single" w:color="000000" w:sz="4"/>
                    <w:left w:val="single" w:color="000000" w:sz="4"/>
                    <w:bottom w:val="single" w:color="000000" w:sz="4"/>
                    <w:right w:val="single" w:color="000000" w:sz="4"/>
                  </w:tcBorders>
                </w:tcPr>
                <w:p/>
              </w:tc>
              <w:tc>
                <w:tcPr>
                  <w:tcW w:type="dxa" w:w="1723"/>
                  <w:vMerge/>
                  <w:tcBorders>
                    <w:top w:val="single" w:color="000000" w:sz="4"/>
                    <w:left w:val="none" w:color="000000" w:sz="4"/>
                    <w:bottom w:val="single" w:color="000000" w:sz="4"/>
                    <w:right w:val="single" w:color="000000" w:sz="4"/>
                  </w:tcBorders>
                </w:tcPr>
                <w:p/>
              </w:tc>
              <w:tc>
                <w:tcPr>
                  <w:tcW w:type="dxa" w:w="318"/>
                  <w:vMerge/>
                  <w:tcBorders>
                    <w:top w:val="single" w:color="000000" w:sz="4"/>
                    <w:left w:val="none" w:color="000000" w:sz="4"/>
                    <w:bottom w:val="single" w:color="000000" w:sz="4"/>
                    <w:right w:val="single" w:color="000000" w:sz="4"/>
                  </w:tcBorders>
                </w:tcPr>
                <w:p/>
              </w:tc>
              <w:tc>
                <w:tcPr>
                  <w:tcW w:type="dxa" w:w="318"/>
                  <w:vMerge/>
                  <w:tcBorders>
                    <w:top w:val="single" w:color="000000" w:sz="4"/>
                    <w:left w:val="none" w:color="000000" w:sz="4"/>
                    <w:bottom w:val="single" w:color="000000" w:sz="4"/>
                    <w:right w:val="single" w:color="000000" w:sz="4"/>
                  </w:tcBorders>
                </w:tc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负一层会议室</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拆除工程</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209.2</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1、拆除石材厚度3cm</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2、拆除水泥砂浆结合层厚度5cm</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3、拆除混凝土垫层20cm</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4、拆除灰土层厚度1.52m</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5、垃圾清运</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[工作内容]1.拆除、清理2.运输</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保温层拆除</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1.拆除的基层类型:聚苯板厚5cm</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1.拆除2.控制扬尘</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3.清理4.建渣场内运输</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防水层拆除</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1.防水层种类:原有防水层</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1.铲除2.控制扬尘</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3.清理4.建渣场内运输</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回填方</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320.21</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1.材料品种:灰土（利旧）</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2.密实度:符合相关规范</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1.场内运输2.回填3.压实</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实心砖墙</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4.18</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1.砖品种、规格、强度等级:红砖</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2.高度:30cm</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3.墙体厚度:240mm</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4.砂浆强度等级:M5</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1.砂浆制作2.砌砖3.刮缝</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4.墙体顶缝、侧缝填塞处理</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集水坑</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0.8</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1.砖品种、规格、强度等级:红砖</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2.砂浆强度等级:M5</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1.砂浆制作2.砌砖3.刮缝</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墙面一般抹灰</w:t>
                  </w:r>
                  <w:r>
                    <w:rPr>
                      <w:rFonts w:ascii="仿宋_GB2312" w:hAnsi="仿宋_GB2312" w:cs="仿宋_GB2312" w:eastAsia="仿宋_GB2312"/>
                      <w:sz w:val="20"/>
                      <w:color w:val="000000"/>
                    </w:rPr>
                    <w:t>[工作内容]</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33.6</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1.清理基层2.砂浆制作</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3.分层抹灰4.面层处理</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5.勾分格缝</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构造柱</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0.31</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1.混凝土种类:商品混凝土</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2.混凝土强度等级:C20</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1.混凝土输送、浇筑、振捣、养护</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现浇构件钢筋</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0.05</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1.钢筋种类、规格:钢筋HPB300 直径(mm) ≤10</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1.钢筋制作2.钢筋安装、固定</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3.钢筋连接</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保温隔热屋面</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1.聚苯板2.厚度5cm</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1.清理基层2.铺贴</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保温隔热墙面</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1.聚苯板2.厚度5cm</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1.清理基层2.铺贴</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垫层</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46.21</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1.厚度:20cm</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2.材料品种、强度要求、配比:C15混凝土垫层</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1.混凝土输送、浇筑、振捣、养护</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2.其他材料的现场拌和、铺设、找平、压实</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块料道路面层项目特征</w:t>
                  </w:r>
                  <w:r>
                    <w:rPr>
                      <w:rFonts w:ascii="仿宋_GB2312" w:hAnsi="仿宋_GB2312" w:cs="仿宋_GB2312" w:eastAsia="仿宋_GB2312"/>
                      <w:sz w:val="20"/>
                      <w:color w:val="000000"/>
                    </w:rPr>
                    <w:t>]</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231.04</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1.块料面层品种、规格、型号:石材面层</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2.结合层材料品种、厚度、强度等级:水泥砂浆结合层厚度5cm</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1.清理基层2.找平层铺设</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3.面层铺设、磨边4.嵌缝、勾缝</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5.刷防护材料6.清洗</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监控室及会议室大屏上方</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监控室及会议室大屏上方屋面挖土方</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1.土的类别:现场土</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2.开挖深度:600mm</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1.开挖、放坡、挡土板围护</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2.装车3.场内运输4.清底修边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5.基底普探、钎探6.原土夯实</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屋面回填方（监控室及会议室大屏上方）</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1.材料品种:现场土</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2.密实度:符合相关规范</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1.场内运输</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2.回填</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3.压实</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挖除单株灌木（监控室及会议室大屏上方）</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1.冠径:3000mm2.清运</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1.起挖2.运输</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保温层拆除（监控室及会议室大屏上方）</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1.拆除的基层类型:聚苯板厚5cm</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2.控制扬尘</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3.清理</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4.建渣场内运输</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防水层拆除（监控室及会议室大屏上方）</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1.防水层种类:原有防水层</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1.铲除</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2.控制扬尘</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3.清理</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4.建渣场内运输</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拆除找平层（监控室及会议室大屏上方）</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1.拆除找平层</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1.铲除2.控制扬尘</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3.清理4.建渣场内运输</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保温隔热屋面（监控室及会议室大屏上方）</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1.保温隔热材料品种、规格、厚度:聚苯乙烯板50厚</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1.清理基层2.刷粘结材料</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3.保温层抹压、粘贴、喷涂</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4.铺、刷（喷）防护材料</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找平层（监控室及会议室大屏上方）</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1.厚度:302.水泥砂浆找平层</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1.基层处理2.混凝土输送、铺筑、养护3.分格、嵌缝、灌缝</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配电间墙壁</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拆除工程</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21.84</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1、拆除石材厚度3cm</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2、拆除水泥砂浆结合层厚度5cm</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3、拆除混凝土垫层20cm</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4、拆除灰土层厚度1.52m</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5、垃圾清运</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1.拆除、清理</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2.运输</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保温层拆除</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1.拆除的基层类型:聚苯板厚5cm</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1.拆除2.控制扬尘</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3.清理4.建渣场内运输</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防水层拆除</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1.防水层种类:原有防水层</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1.铲除2.控制扬尘</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3.清理4.建渣场内运输</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保温隔热墙面</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1.保温隔热方式:聚苯乙烯板50厚</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1.清理基层2.贴保温材料</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粉刷恢复</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一般抹灰</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1.干混抹灰砂浆</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2.材料种类及强度等级:DP M10</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3.厚度:20mm</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1.清理基层2.砂浆制作</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3.分层抹灰4.面层处理</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5.勾分格缝</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乳胶漆</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1.刮腻子遍数:刷乳胶漆两遍</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1.清理基层2.刮腻子</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3.刷防护材料、油漆</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消防钢瓶间</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拆除工程</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1、原有 面层鹅卵石+水泥砂浆保护层：4公分</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2、原水泥砂浆/细石混凝土找坡找平层：6公分</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3、垃圾清运</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1.拆除、清理</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2.运输</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保温层拆除</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1.拆除的基层类型:聚苯板厚6cm</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1.拆除2.控制扬尘</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3.清理4.建渣场内运输</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防水层拆除</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1.防水层种类:老旧防水卷材+粘结层+旧垫层：4公分</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1.铲除2.控制扬尘</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3.清理4.建渣场内运输</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保温隔热屋面</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1.保温隔热材料品种、规格、厚度:聚苯乙烯板60厚</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1.清理基层2.刷粘结材料</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3.保温层抹压、粘贴、喷涂</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4.铺、刷（喷）防护材料</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细石混凝土屋面找平</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1.厚度:602.细石混凝土找平层</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1.清理基层2.找平层铺设</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3.面层铺设</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屋面水泥砂浆</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1.面层厚度、砂浆种类及强度等级:水泥砂浆面层2.厚度:20mm</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1.清理基层2.面层铺设</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面层鹅卵石</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1.面层鹅卵石2.厚度20mm</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[工作内容]</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1.清理基层2.面层铺设</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排水沟</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17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排水沟</w:t>
                  </w:r>
                  <w:r>
                    <w:rPr>
                      <w:rFonts w:ascii="仿宋_GB2312" w:hAnsi="仿宋_GB2312" w:cs="仿宋_GB2312" w:eastAsia="仿宋_GB2312"/>
                      <w:sz w:val="20"/>
                      <w:color w:val="000000"/>
                    </w:rPr>
                    <w:t>[项目特征]</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r>
            <w:tr>
              <w:tc>
                <w:tcPr>
                  <w:tcW w:type="dxa" w:w="192"/>
                  <w:vMerge/>
                  <w:tcBorders>
                    <w:top w:val="none" w:color="000000" w:sz="4"/>
                    <w:left w:val="single" w:color="000000" w:sz="4"/>
                    <w:bottom w:val="single" w:color="000000" w:sz="4"/>
                    <w:right w:val="single" w:color="000000" w:sz="4"/>
                  </w:tcBorders>
                </w:tcPr>
                <w:p/>
              </w:tc>
              <w:tc>
                <w:tcPr>
                  <w:tcW w:type="dxa" w:w="17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1.开挖宽度24公分宽，深度18公分深，长度70米</w:t>
                  </w:r>
                </w:p>
              </w:tc>
              <w:tc>
                <w:tcPr>
                  <w:tcW w:type="dxa" w:w="318"/>
                  <w:vMerge/>
                  <w:tcBorders>
                    <w:top w:val="none" w:color="000000" w:sz="4"/>
                    <w:left w:val="single" w:color="000000" w:sz="4"/>
                    <w:bottom w:val="single" w:color="000000" w:sz="4"/>
                    <w:right w:val="single" w:color="000000" w:sz="4"/>
                  </w:tcBorders>
                </w:tcPr>
                <w:p/>
              </w:tc>
              <w:tc>
                <w:tcPr>
                  <w:tcW w:type="dxa" w:w="318"/>
                  <w:vMerge/>
                  <w:tcBorders>
                    <w:top w:val="none" w:color="000000" w:sz="4"/>
                    <w:left w:val="none" w:color="000000" w:sz="4"/>
                    <w:bottom w:val="single" w:color="000000" w:sz="4"/>
                    <w:right w:val="single" w:color="000000" w:sz="4"/>
                  </w:tcBorders>
                </w:tc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预付款，合同签订后支付合同总金额的40%作为预付款，达到付款条件起10个工作日内，支付合同总金额的40.0%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进度款，项目完工后支付剩余60%，达到付款条件起10个工作日内，支付合同总金额的60.0%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详见技术要求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磋商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提供递交磋商响应文件截止日前一年内已缴存的至少一个月的社会保障资金缴存单据或社保机构开具的社会保险参保缴费情况证明，依法不需要缴纳社会保障资金的单位应提供相关证明材料；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供应商须具备建筑工程施工总承包三级以上（含三级）资质，具有有效的安全生产许可证；</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拟派项目经理具有建筑工程专业二级及以上注册建造师执业资格，安全考核合格证（B证），且在本单位注册，并提供无在建工程承诺书；</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本项目专门面向中小企业采购，仅限符合《政府采购促进中小企业发展暂行办法》（财库〔2020〕46号）条件的中小企业参与，提供中小企业声明函。</w:t>
            </w:r>
          </w:p>
        </w:tc>
        <w:tc>
          <w:tcPr>
            <w:tcW w:type="dxa" w:w="1661"/>
          </w:tcPr>
          <w:p>
            <w:pPr>
              <w:pStyle w:val="null3"/>
            </w:pPr>
            <w:r>
              <w:rPr>
                <w:rFonts w:ascii="仿宋_GB2312" w:hAnsi="仿宋_GB2312" w:cs="仿宋_GB2312" w:eastAsia="仿宋_GB2312"/>
              </w:rPr>
              <w:t>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本国产品说明 中小企业声明函 供应商应提交的相关资格证明材料 报价表 中国境内生产的组件成本核算基本规则 其他.docx 磋商服务方案.docx 响应文件封面 资格要求.docx 残疾人福利性单位声明函 服务要求及商务要求偏离表.docx 标的清单 关于符合本国产品标准的声明函 分项报价表-防水.docx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本国产品说明 中小企业声明函 供应商应提交的相关资格证明材料 中国境内生产的组件成本核算基本规则 其他.docx 磋商服务方案.docx 响应文件封面 资格要求.docx 残疾人福利性单位声明函 服务要求及商务要求偏离表.docx 标的清单 关于符合本国产品标准的声明函 分项报价表-防水.docx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本国产品说明 中小企业声明函 供应商应提交的相关资格证明材料 中国境内生产的组件成本核算基本规则 其他.docx 磋商服务方案.docx 响应文件封面 资格要求.docx 残疾人福利性单位声明函 服务要求及商务要求偏离表.docx 关于符合本国产品标准的声明函 标的清单 分项报价表-防水.docx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本国产品说明 中小企业声明函 供应商应提交的相关资格证明材料 中国境内生产的组件成本核算基本规则 其他.docx 磋商服务方案.docx 响应文件封面 资格要求.docx 残疾人福利性单位声明函 服务要求及商务要求偏离表.docx 标的清单 关于符合本国产品标准的声明函 分项报价表-防水.docx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整体维修服务方案</w:t>
            </w:r>
          </w:p>
        </w:tc>
        <w:tc>
          <w:tcPr>
            <w:tcW w:type="dxa" w:w="2492"/>
          </w:tcPr>
          <w:p>
            <w:pPr>
              <w:pStyle w:val="null3"/>
            </w:pPr>
            <w:r>
              <w:rPr>
                <w:rFonts w:ascii="仿宋_GB2312" w:hAnsi="仿宋_GB2312" w:cs="仿宋_GB2312" w:eastAsia="仿宋_GB2312"/>
              </w:rPr>
              <w:t>一、评审内容：供应商结合本项目实际，提供整体维修服务方案，至少包含： ①破损部位处置服务内容； ②基层修护服务举措； ③防渗密封相关服务流程； 二、分项评审标准： 1. 完整性：方案内容完整、要素齐全； 2. 可实施性：方案合理可行、便于落地实施； 3. 针对性：符合本项目 UPS 机房实际需求与建设目标。 三、赋分标准（满分9分）： ①破损处置：每满足一个分项评审标准得1分，满分3分； ②基层修护：每满足一个分项评审标准得1分，满分3分； ③防渗密封：每满足一个分项评审标准得1分，满分3分； 未提供该项内容不得分。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服务要求及商务要求偏离表.docx</w:t>
            </w:r>
          </w:p>
        </w:tc>
      </w:tr>
      <w:tr>
        <w:tc>
          <w:tcPr>
            <w:tcW w:type="dxa" w:w="831"/>
            <w:vMerge/>
          </w:tcPr>
          <w:p/>
        </w:tc>
        <w:tc>
          <w:tcPr>
            <w:tcW w:type="dxa" w:w="1661"/>
          </w:tcPr>
          <w:p>
            <w:pPr>
              <w:pStyle w:val="null3"/>
            </w:pPr>
            <w:r>
              <w:rPr>
                <w:rFonts w:ascii="仿宋_GB2312" w:hAnsi="仿宋_GB2312" w:cs="仿宋_GB2312" w:eastAsia="仿宋_GB2312"/>
              </w:rPr>
              <w:t>设备防护及现场管控服务方案</w:t>
            </w:r>
          </w:p>
        </w:tc>
        <w:tc>
          <w:tcPr>
            <w:tcW w:type="dxa" w:w="2492"/>
          </w:tcPr>
          <w:p>
            <w:pPr>
              <w:pStyle w:val="null3"/>
            </w:pPr>
            <w:r>
              <w:rPr>
                <w:rFonts w:ascii="仿宋_GB2312" w:hAnsi="仿宋_GB2312" w:cs="仿宋_GB2312" w:eastAsia="仿宋_GB2312"/>
              </w:rPr>
              <w:t>一、评审内容：供应商结合本项目实际，提供设备防护及现场管控服务方案，至少包含： ①机房精密设备防护措施； ②作业区域隔离管控内容； ③废弃物清运处置细则； ④现场水电安全管控要求。 二、分项评审标准： 1. 完整性：方案内容完整、要素齐全； 2. 可实施性：方案合理可行、便于落地实施； 3. 针对性：符合本项目 UPS 机房实际需求与建设目标。 三、赋分标准（满分6分）： ①设备防护：每满足一个分项评审标准得0.5分，满分1.5分； ②区域管控：每满足一个分项评审标准得0.5分，满分1.5分； ③垃圾清运：每满足一个分项评审标准得0.5分，满分1.5分； ④水电管控：每满足一个分项评审标准得0.5分，满分1.5分； 未提供该项内容不得分。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服务要求及商务要求偏离表.docx</w:t>
            </w:r>
          </w:p>
        </w:tc>
      </w:tr>
      <w:tr>
        <w:tc>
          <w:tcPr>
            <w:tcW w:type="dxa" w:w="831"/>
            <w:vMerge/>
          </w:tcPr>
          <w:p/>
        </w:tc>
        <w:tc>
          <w:tcPr>
            <w:tcW w:type="dxa" w:w="1661"/>
          </w:tcPr>
          <w:p>
            <w:pPr>
              <w:pStyle w:val="null3"/>
            </w:pPr>
            <w:r>
              <w:rPr>
                <w:rFonts w:ascii="仿宋_GB2312" w:hAnsi="仿宋_GB2312" w:cs="仿宋_GB2312" w:eastAsia="仿宋_GB2312"/>
              </w:rPr>
              <w:t>突发渗漏应急处置服务方案</w:t>
            </w:r>
          </w:p>
        </w:tc>
        <w:tc>
          <w:tcPr>
            <w:tcW w:type="dxa" w:w="2492"/>
          </w:tcPr>
          <w:p>
            <w:pPr>
              <w:pStyle w:val="null3"/>
            </w:pPr>
            <w:r>
              <w:rPr>
                <w:rFonts w:ascii="仿宋_GB2312" w:hAnsi="仿宋_GB2312" w:cs="仿宋_GB2312" w:eastAsia="仿宋_GB2312"/>
              </w:rPr>
              <w:t>一、评审内容：供应商结合本项目实际，提供突发渗漏应急处置服务方案，至少包含： ①突发渗水临时封堵服务； ②积水快速疏导处置； ③应急人员物资调配； ④应急响应机制。 二、分项评审标准： 1. 完整性：方案内容完整、要素齐全； 2. 可实施性：方案合理可行、便于落地实施； 3. 针对性：符合本项目 UPS 机房实际需求与建设目标。 三、赋分标准（满分6分）： ①临时封堵：每满足一个分项评审标准得0.5分，满分1.5分； ②积水疏导：每满足一个分项评审标准得0.5分，满分1.5分； ③物资调配：每满足一个分项评审标准得0.5分，满分1.5分； ④应急响应：每满足一个分项评审标准得0.5分，满分1.5分； 未提供该项内容不得分。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服务要求及商务要求偏离表.docx</w:t>
            </w:r>
          </w:p>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质量保障及后续服务方案</w:t>
            </w:r>
          </w:p>
        </w:tc>
        <w:tc>
          <w:tcPr>
            <w:tcW w:type="dxa" w:w="2492"/>
          </w:tcPr>
          <w:p>
            <w:pPr>
              <w:pStyle w:val="null3"/>
            </w:pPr>
            <w:r>
              <w:rPr>
                <w:rFonts w:ascii="仿宋_GB2312" w:hAnsi="仿宋_GB2312" w:cs="仿宋_GB2312" w:eastAsia="仿宋_GB2312"/>
              </w:rPr>
              <w:t>一、评审内容：供应商结合本项目实际，提供质量保障及后续服务方案，至少包含： ①5 年防渗质量保障内容及保障； ②2 年缺陷问题整改内容及保障； ③故障报修受理服务流程； ④用材品质管控细则。 二、分项评审标准： 1. 完整性：方案内容完整、要素齐全； 2. 可实施性：方案合理可行、便于落地实施； 3. 针对性：符合本项目 UPS 机房实际需求与建设目标。 三、赋分标准（满分6分）： ①5 年防渗质量保障内容及保障：每满足一个分项评审标准得0.5分，满分1.5分； ②2 年缺陷问题整改内容及保障：每满足一个分项评审标准得0.5分，满分1.5分； ③报修服务：每满足一个分项评审标准得0.5分，满分1.5分； ④原料管控：每满足一个分项评审标准得0.5分，满分1.5分； 未提供该项内容不得分。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服务要求及商务要求偏离表.docx</w:t>
            </w:r>
          </w:p>
        </w:tc>
      </w:tr>
      <w:tr>
        <w:tc>
          <w:tcPr>
            <w:tcW w:type="dxa" w:w="831"/>
            <w:vMerge/>
          </w:tcPr>
          <w:p/>
        </w:tc>
        <w:tc>
          <w:tcPr>
            <w:tcW w:type="dxa" w:w="1661"/>
          </w:tcPr>
          <w:p>
            <w:pPr>
              <w:pStyle w:val="null3"/>
            </w:pPr>
            <w:r>
              <w:rPr>
                <w:rFonts w:ascii="仿宋_GB2312" w:hAnsi="仿宋_GB2312" w:cs="仿宋_GB2312" w:eastAsia="仿宋_GB2312"/>
              </w:rPr>
              <w:t>项目团队管理</w:t>
            </w:r>
          </w:p>
        </w:tc>
        <w:tc>
          <w:tcPr>
            <w:tcW w:type="dxa" w:w="2492"/>
          </w:tcPr>
          <w:p>
            <w:pPr>
              <w:pStyle w:val="null3"/>
            </w:pPr>
            <w:r>
              <w:rPr>
                <w:rFonts w:ascii="仿宋_GB2312" w:hAnsi="仿宋_GB2312" w:cs="仿宋_GB2312" w:eastAsia="仿宋_GB2312"/>
              </w:rPr>
              <w:t>一、评审内容：供应商结合本项目实际，提供项目整体服务团队保障方案，至少包含： ①团队组织架构体系； ②岗位职责分工体系； ③项目服务衔接机制； ④管理制度； 二、分项评审标准： 1. 完整性：团队保障体系内容完整、要素齐全； 2. 可实施性：团队管理机制合理可行、便于落地； 3. 针对性：团队服务模式适配本项目服务内容。 三、赋分标准（满分12分）： ①组织架构：每满足一个分项评审标准得1分，满分3分； ②岗位职责：每满足一个分项评审标准得1分，满分3分； ③衔接机制：每满足一个分项评审标准得1分，满分3分； ④管理制度：每满足一个分项评审标准得1分，满分3分； 未提供该项内容不得分。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服务要求及商务要求偏离表.docx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1. 专职安全生产管理人员（4 分）：配备 1 名本单位专职安全员，持陕西省住房和城乡建设厅颁发的《建筑施工企业专职安全生产管理人员安全生产考核合格证书》（C 证），证书在有效期内、可在陕西省住建厅官网核验，提供本单位为其缴纳的自磋商响应文件递交截止之日起倒算的近 3 个月连续社会保险缴纳证明的，得 4 分；未提供本项有效证书的，本项整体得 0 分； 2. 项目技术负责人（4 分）：配备 1 名本单位技术负责人，持建筑工程、土木工程、市政工程、防水工程相关专业中级及以上专业技术职称证书，可在对应官方渠道核验，提供本单位为其缴纳的近 3 个月连续社保的，得 4 分；未提供的，本项得 0 分；（上述专业为并列可选关系，项目技术负责人职称证书专业为其中任意一项即满足要求，无需同时具备多个专业。） 3. 现场作业人员（10分）：现场作业人员持有住房和城乡建设部门备案机构颁发的《防水工职业技能岗位证书》（四级/中级工及以上，含四级、三级、二级、一级；五级/初级工不计分），证书可在全国建筑工人管理服务信息平台或西安市住建局建筑市场监管平台任一官方外网平台核验；同时提供自磋商响应文件递交截止之日起倒算近 3 个月本单位连续社保的，每 1 人得 2.5 分，最多按 4 人计分，满分 10 分；证书无法核验、等级不符、社保无效、人员信息不一致的不予计分。 备注：同一人员同时持有多项符合要求证书的，仅按最高分值项计分1次，不重复累计计分；人员姓名、身份证信息需与证书、社保、磋商响应文件信息完全一致，信息不一致的不予计分。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服务要求及商务要求偏离表.docx</w:t>
            </w:r>
          </w:p>
        </w:tc>
      </w:tr>
      <w:tr>
        <w:tc>
          <w:tcPr>
            <w:tcW w:type="dxa" w:w="831"/>
            <w:vMerge/>
          </w:tcPr>
          <w:p/>
        </w:tc>
        <w:tc>
          <w:tcPr>
            <w:tcW w:type="dxa" w:w="1661"/>
          </w:tcPr>
          <w:p>
            <w:pPr>
              <w:pStyle w:val="null3"/>
            </w:pPr>
            <w:r>
              <w:rPr>
                <w:rFonts w:ascii="仿宋_GB2312" w:hAnsi="仿宋_GB2312" w:cs="仿宋_GB2312" w:eastAsia="仿宋_GB2312"/>
              </w:rPr>
              <w:t>履约服务承诺</w:t>
            </w:r>
          </w:p>
        </w:tc>
        <w:tc>
          <w:tcPr>
            <w:tcW w:type="dxa" w:w="2492"/>
          </w:tcPr>
          <w:p>
            <w:pPr>
              <w:pStyle w:val="null3"/>
            </w:pPr>
            <w:r>
              <w:rPr>
                <w:rFonts w:ascii="仿宋_GB2312" w:hAnsi="仿宋_GB2312" w:cs="仿宋_GB2312" w:eastAsia="仿宋_GB2312"/>
              </w:rPr>
              <w:t>（1）服务时限保障承诺：满足1项得1分，满分3分。 ①明确承诺项目全程服务在岗、响应、值守具体时限标准； ②明确故障报修、问题响应、到场处置、闭环办结的具体时效节点； ③针对本项目机房运维场景，明确节假日、突发情况应急服务时限保障措施。 （2）现场财物保障承诺：满足1项得1分，满分3分。 ①明确项目现场设备、物资、工具、耗材的配置及保障方案； ②明确现场财物保管、登记、巡检、盘点、防盗防损管理措施； ③明确财物损坏、遗失、损耗后的补换、赔付、兜底保障机制。 （3）质量管控承诺：满足1项得1分，满分3分。 ①建立项目专属质量管理制度、作业规范、标准流程； ②明确日常巡检、过程监督、质量自查、整改复核管控措施； ③明确机房服务质量达标标准、考核机制、问题追责及优化措施。 （4）后期问题处置承诺：满足1项得1分，满分3分。 ①明确日常问题、一般故障的受理、处置、闭环流程； ②明确突发故障、异常事件的应急处置预案及处理流程； ③明确售后回访、问题复盘、长效改进、质保兜底服务措施。 （5）环保及垃圾合规处置承诺：满足1项得1分，满分3分。 ①明确施工现场、机房作业环保文明施工管控措施； ②明确生活垃圾、施工废料、废旧耗材的分类收集、合规清运流程； ③明确废弃物合规处置、杜绝乱堆乱放、污染防控的具体管控要求。 （6）机房信息与场地保密管理承诺：满足1项得1分，满分3分。 ①明确机房数据信息、设备信息、业务信息保密管控措施； ②明确人员出入机房、场地值守、操作权限、登记管控机制； ③明确保密责任、泄密追责、离岗清密、资料留存销毁管理制度。 未提供该项内容不得分。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服务要求及商务要求偏离表.docx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供应商提供2023年06月1日至今类似项目合同（以合同签订日期为准）每提供1个符合要求的业绩得2分，满分10分，未提供不得分。 注：响应文件中提供合同复印件或扫描件为计分依据。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服务要求及商务要求偏离表.docx</w:t>
            </w:r>
          </w:p>
          <w:p>
            <w:pPr>
              <w:pStyle w:val="null3"/>
            </w:pPr>
            <w:r>
              <w:rPr>
                <w:rFonts w:ascii="仿宋_GB2312" w:hAnsi="仿宋_GB2312" w:cs="仿宋_GB2312" w:eastAsia="仿宋_GB2312"/>
              </w:rPr>
              <w:t>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分项报价表-防水.docx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经初审合格的磋商响应文件，其磋商报价为有效磋商报价。 2. 满足磋商文件实质性要求且最终报价最低的供应商的价格为磋商基准价，其价格分为满分15分。 3. 磋商报价得分=（磋商基准价/最终磋商报价）×价格分值。 4. 磋商报价不完整的，不进入磋商基准价计算，本项得0分。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详见附件：磋商服务方案.docx</w:t>
      </w:r>
    </w:p>
    <w:p>
      <w:pPr>
        <w:pStyle w:val="null3"/>
        <w:ind w:firstLine="960"/>
      </w:pPr>
      <w:r>
        <w:rPr>
          <w:rFonts w:ascii="仿宋_GB2312" w:hAnsi="仿宋_GB2312" w:cs="仿宋_GB2312" w:eastAsia="仿宋_GB2312"/>
        </w:rPr>
        <w:t>详见附件：服务要求及商务要求偏离表.docx</w:t>
      </w:r>
    </w:p>
    <w:p>
      <w:pPr>
        <w:pStyle w:val="null3"/>
        <w:ind w:firstLine="960"/>
      </w:pPr>
      <w:r>
        <w:rPr>
          <w:rFonts w:ascii="仿宋_GB2312" w:hAnsi="仿宋_GB2312" w:cs="仿宋_GB2312" w:eastAsia="仿宋_GB2312"/>
        </w:rPr>
        <w:t>详见附件：资格要求.docx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详见附件：分项报价表-防水.docx</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