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BEC07">
      <w:pPr>
        <w:rPr>
          <w:rFonts w:hAnsi="宋体" w:cs="宋体"/>
          <w:b/>
          <w:sz w:val="32"/>
          <w:szCs w:val="32"/>
        </w:rPr>
      </w:pPr>
      <w:bookmarkStart w:id="0" w:name="_Toc5216"/>
      <w:bookmarkStart w:id="1" w:name="_Toc7874"/>
      <w:bookmarkStart w:id="2" w:name="_Toc1362"/>
      <w:bookmarkStart w:id="3" w:name="_Toc18120"/>
      <w:r>
        <w:rPr>
          <w:rFonts w:hint="eastAsia" w:hAnsi="宋体" w:cs="宋体"/>
          <w:b/>
          <w:sz w:val="32"/>
          <w:szCs w:val="32"/>
        </w:rPr>
        <w:t>政府采购项目</w:t>
      </w:r>
      <w:r>
        <w:rPr>
          <w:rFonts w:hint="eastAsia" w:hAnsi="宋体" w:cs="宋体"/>
          <w:b/>
          <w:bCs/>
          <w:sz w:val="28"/>
          <w:szCs w:val="28"/>
        </w:rPr>
        <w:t>（</w:t>
      </w:r>
      <w:r>
        <w:rPr>
          <w:rFonts w:hint="eastAsia" w:hAnsi="宋体" w:cs="宋体"/>
          <w:b/>
          <w:sz w:val="32"/>
          <w:szCs w:val="32"/>
        </w:rPr>
        <w:t>仅供参考）</w:t>
      </w:r>
      <w:bookmarkEnd w:id="0"/>
      <w:bookmarkEnd w:id="1"/>
      <w:bookmarkEnd w:id="2"/>
      <w:bookmarkEnd w:id="3"/>
    </w:p>
    <w:p w14:paraId="3C337B48">
      <w:pPr>
        <w:rPr>
          <w:rFonts w:hAnsi="宋体" w:cs="宋体"/>
          <w:b/>
          <w:sz w:val="32"/>
          <w:szCs w:val="32"/>
        </w:rPr>
      </w:pPr>
    </w:p>
    <w:p w14:paraId="4AACDC21">
      <w:pPr>
        <w:jc w:val="center"/>
        <w:rPr>
          <w:rFonts w:hAnsi="宋体" w:cs="宋体"/>
          <w:sz w:val="52"/>
          <w:szCs w:val="52"/>
        </w:rPr>
      </w:pPr>
    </w:p>
    <w:p w14:paraId="1E3924E7">
      <w:pPr>
        <w:jc w:val="center"/>
        <w:rPr>
          <w:rFonts w:hAnsi="宋体" w:cs="宋体"/>
          <w:sz w:val="52"/>
          <w:szCs w:val="52"/>
        </w:rPr>
      </w:pPr>
    </w:p>
    <w:p w14:paraId="33E9F581">
      <w:pPr>
        <w:pStyle w:val="2"/>
        <w:rPr>
          <w:rFonts w:hAnsi="宋体" w:cs="宋体"/>
          <w:sz w:val="52"/>
          <w:szCs w:val="52"/>
        </w:rPr>
      </w:pPr>
    </w:p>
    <w:p w14:paraId="7E33D9B1">
      <w:pPr>
        <w:pStyle w:val="2"/>
        <w:rPr>
          <w:rFonts w:hAnsi="宋体" w:cs="宋体"/>
          <w:sz w:val="52"/>
          <w:szCs w:val="52"/>
        </w:rPr>
      </w:pPr>
    </w:p>
    <w:p w14:paraId="6763930B">
      <w:pPr>
        <w:jc w:val="center"/>
        <w:rPr>
          <w:rFonts w:hAnsi="宋体" w:cs="宋体"/>
          <w:b/>
          <w:snapToGrid w:val="0"/>
          <w:sz w:val="48"/>
          <w:szCs w:val="48"/>
          <w:u w:val="single"/>
        </w:rPr>
      </w:pPr>
      <w:r>
        <w:rPr>
          <w:rFonts w:hint="eastAsia" w:hAnsi="宋体" w:cs="宋体"/>
          <w:b/>
          <w:snapToGrid w:val="0"/>
          <w:sz w:val="48"/>
          <w:szCs w:val="48"/>
          <w:u w:val="single"/>
        </w:rPr>
        <w:t>(项目名称)</w:t>
      </w:r>
    </w:p>
    <w:p w14:paraId="03278968">
      <w:pPr>
        <w:jc w:val="center"/>
        <w:rPr>
          <w:rFonts w:hAnsi="宋体" w:cs="宋体"/>
          <w:b/>
          <w:sz w:val="72"/>
          <w:szCs w:val="72"/>
        </w:rPr>
      </w:pPr>
      <w:r>
        <w:rPr>
          <w:rFonts w:hint="eastAsia" w:hAnsi="宋体" w:cs="宋体"/>
          <w:b/>
          <w:sz w:val="72"/>
          <w:szCs w:val="72"/>
        </w:rPr>
        <w:t>服 务 合 同</w:t>
      </w:r>
    </w:p>
    <w:p w14:paraId="2A6AC3D0">
      <w:pPr>
        <w:jc w:val="center"/>
        <w:rPr>
          <w:rFonts w:hAnsi="宋体" w:cs="宋体"/>
          <w:sz w:val="30"/>
          <w:szCs w:val="30"/>
        </w:rPr>
      </w:pPr>
      <w:r>
        <w:rPr>
          <w:rFonts w:hint="eastAsia" w:hAnsi="宋体" w:cs="宋体"/>
          <w:sz w:val="30"/>
          <w:szCs w:val="30"/>
        </w:rPr>
        <w:t xml:space="preserve">（项目编号：      </w:t>
      </w:r>
      <w:r>
        <w:rPr>
          <w:rFonts w:hint="eastAsia" w:hAnsi="宋体" w:cs="宋体"/>
          <w:sz w:val="28"/>
          <w:szCs w:val="28"/>
        </w:rPr>
        <w:t>）</w:t>
      </w:r>
    </w:p>
    <w:p w14:paraId="1E52A47C">
      <w:pPr>
        <w:jc w:val="center"/>
        <w:rPr>
          <w:rFonts w:hAnsi="宋体" w:cs="宋体"/>
          <w:sz w:val="30"/>
          <w:szCs w:val="30"/>
        </w:rPr>
      </w:pPr>
    </w:p>
    <w:p w14:paraId="5F4F2616">
      <w:pPr>
        <w:jc w:val="center"/>
        <w:rPr>
          <w:rFonts w:hAnsi="宋体" w:cs="宋体"/>
          <w:sz w:val="30"/>
          <w:szCs w:val="30"/>
        </w:rPr>
      </w:pPr>
    </w:p>
    <w:p w14:paraId="244D2E29">
      <w:pPr>
        <w:jc w:val="center"/>
        <w:rPr>
          <w:rFonts w:hAnsi="宋体" w:cs="宋体"/>
          <w:sz w:val="30"/>
          <w:szCs w:val="30"/>
        </w:rPr>
      </w:pPr>
    </w:p>
    <w:p w14:paraId="3A5449B5">
      <w:pPr>
        <w:jc w:val="center"/>
        <w:rPr>
          <w:rFonts w:hAnsi="宋体" w:cs="宋体"/>
          <w:sz w:val="30"/>
          <w:szCs w:val="30"/>
        </w:rPr>
      </w:pPr>
    </w:p>
    <w:p w14:paraId="64B498B1">
      <w:pPr>
        <w:jc w:val="center"/>
        <w:rPr>
          <w:rFonts w:hAnsi="宋体" w:cs="宋体"/>
          <w:sz w:val="30"/>
          <w:szCs w:val="30"/>
        </w:rPr>
      </w:pPr>
    </w:p>
    <w:p w14:paraId="5958ABF0">
      <w:pPr>
        <w:ind w:firstLine="2080" w:firstLineChars="650"/>
        <w:rPr>
          <w:rFonts w:hAnsi="宋体" w:cs="宋体"/>
          <w:sz w:val="32"/>
          <w:szCs w:val="32"/>
        </w:rPr>
      </w:pPr>
      <w:r>
        <w:rPr>
          <w:rFonts w:hint="eastAsia" w:hAnsi="宋体" w:cs="宋体"/>
          <w:sz w:val="32"/>
          <w:szCs w:val="32"/>
        </w:rPr>
        <w:t xml:space="preserve">甲  方： </w:t>
      </w:r>
    </w:p>
    <w:p w14:paraId="5B62314E">
      <w:pPr>
        <w:tabs>
          <w:tab w:val="left" w:pos="480"/>
        </w:tabs>
        <w:ind w:firstLine="640" w:firstLineChars="200"/>
        <w:rPr>
          <w:rFonts w:hAnsi="宋体" w:cs="宋体"/>
          <w:sz w:val="32"/>
          <w:szCs w:val="32"/>
        </w:rPr>
      </w:pPr>
      <w:r>
        <w:rPr>
          <w:rFonts w:hint="eastAsia" w:hAnsi="宋体" w:cs="宋体"/>
          <w:sz w:val="32"/>
          <w:szCs w:val="32"/>
        </w:rPr>
        <w:t xml:space="preserve">         乙  方：</w:t>
      </w:r>
    </w:p>
    <w:p w14:paraId="6D5F9FC4">
      <w:pPr>
        <w:jc w:val="center"/>
        <w:rPr>
          <w:rFonts w:hAnsi="宋体" w:cs="宋体"/>
          <w:sz w:val="30"/>
          <w:szCs w:val="30"/>
        </w:rPr>
      </w:pPr>
    </w:p>
    <w:p w14:paraId="037CF942">
      <w:pPr>
        <w:jc w:val="center"/>
        <w:rPr>
          <w:rFonts w:hAnsi="宋体" w:cs="宋体"/>
          <w:sz w:val="32"/>
          <w:szCs w:val="32"/>
        </w:rPr>
      </w:pPr>
      <w:r>
        <w:rPr>
          <w:rFonts w:hint="eastAsia" w:hAnsi="宋体" w:cs="宋体"/>
          <w:sz w:val="32"/>
          <w:szCs w:val="32"/>
        </w:rPr>
        <w:t xml:space="preserve">  年  月</w:t>
      </w:r>
    </w:p>
    <w:p w14:paraId="0A82B088">
      <w:pPr>
        <w:rPr>
          <w:rFonts w:hint="eastAsia" w:ascii="Calibri Light" w:hAnsi="Calibri Light" w:cs="Calibri Light"/>
          <w:b/>
          <w:szCs w:val="28"/>
        </w:rPr>
      </w:pPr>
      <w:r>
        <w:rPr>
          <w:rFonts w:hint="eastAsia" w:ascii="Calibri Light" w:hAnsi="Calibri Light" w:cs="Calibri Light"/>
          <w:b/>
          <w:szCs w:val="28"/>
        </w:rPr>
        <w:br w:type="page"/>
      </w:r>
    </w:p>
    <w:p w14:paraId="4B88F306">
      <w:pPr>
        <w:widowControl/>
        <w:spacing w:beforeLines="50" w:line="400" w:lineRule="exact"/>
        <w:rPr>
          <w:rFonts w:ascii="Calibri Light" w:hAnsi="Calibri Light" w:cs="Calibri Light"/>
          <w:b/>
          <w:szCs w:val="28"/>
        </w:rPr>
      </w:pPr>
      <w:r>
        <w:rPr>
          <w:rFonts w:hint="eastAsia" w:ascii="Calibri Light" w:hAnsi="Calibri Light" w:cs="Calibri Light"/>
          <w:b/>
          <w:szCs w:val="28"/>
        </w:rPr>
        <w:t>一、服务条件：</w:t>
      </w:r>
    </w:p>
    <w:p w14:paraId="422699F4">
      <w:pPr>
        <w:widowControl/>
        <w:spacing w:line="400" w:lineRule="exact"/>
        <w:ind w:firstLine="567"/>
        <w:rPr>
          <w:rFonts w:ascii="Calibri Light" w:hAnsi="Calibri Light" w:cs="Calibri Light"/>
          <w:szCs w:val="28"/>
        </w:rPr>
      </w:pPr>
      <w:r>
        <w:rPr>
          <w:rFonts w:hint="eastAsia" w:ascii="Calibri Light" w:hAnsi="Calibri Light" w:cs="Calibri Light"/>
          <w:szCs w:val="28"/>
        </w:rPr>
        <w:t>（一）服务地点：采购人指定地点。</w:t>
      </w:r>
    </w:p>
    <w:p w14:paraId="664ACFC4">
      <w:pPr>
        <w:pStyle w:val="5"/>
        <w:ind w:firstLine="420" w:firstLineChars="200"/>
        <w:rPr>
          <w:color w:val="000000" w:themeColor="text1"/>
          <w:lang w:bidi="zh-CN"/>
          <w14:textFill>
            <w14:solidFill>
              <w14:schemeClr w14:val="tx1"/>
            </w14:solidFill>
          </w14:textFill>
        </w:rPr>
      </w:pPr>
      <w:r>
        <w:rPr>
          <w:rFonts w:hint="eastAsia" w:cs="Calibri Light"/>
        </w:rPr>
        <w:t>（二）服务期：</w:t>
      </w:r>
    </w:p>
    <w:p w14:paraId="6E99A4B6">
      <w:pPr>
        <w:widowControl/>
        <w:spacing w:beforeLines="50" w:line="400" w:lineRule="exact"/>
        <w:rPr>
          <w:rFonts w:ascii="Calibri Light" w:hAnsi="Calibri Light" w:cs="Calibri Light"/>
          <w:b/>
          <w:szCs w:val="28"/>
        </w:rPr>
      </w:pPr>
      <w:r>
        <w:rPr>
          <w:rFonts w:ascii="Calibri Light" w:hAnsi="Calibri Light" w:cs="Calibri Light"/>
          <w:b/>
          <w:szCs w:val="28"/>
        </w:rPr>
        <w:t>二、合同价款</w:t>
      </w:r>
    </w:p>
    <w:p w14:paraId="74787E6D">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（一）合同总价包括：</w:t>
      </w:r>
      <w:r>
        <w:rPr>
          <w:rFonts w:hint="eastAsia" w:ascii="仿宋" w:hAnsi="仿宋" w:eastAsia="仿宋" w:cs="仿宋"/>
          <w:sz w:val="24"/>
          <w:szCs w:val="24"/>
          <w:u w:val="single"/>
        </w:rPr>
        <w:t>维保服务费</w:t>
      </w:r>
      <w:r>
        <w:rPr>
          <w:rFonts w:hint="eastAsia" w:ascii="仿宋" w:hAnsi="仿宋" w:eastAsia="仿宋" w:cs="仿宋"/>
          <w:sz w:val="24"/>
          <w:szCs w:val="24"/>
          <w:u w:val="single"/>
          <w:lang w:eastAsia="zh-CN"/>
        </w:rPr>
        <w:t>、</w:t>
      </w:r>
      <w:bookmarkStart w:id="4" w:name="_GoBack"/>
      <w:bookmarkEnd w:id="4"/>
      <w:r>
        <w:rPr>
          <w:rFonts w:hint="eastAsia" w:ascii="仿宋" w:hAnsi="仿宋" w:eastAsia="仿宋" w:cs="仿宋"/>
          <w:sz w:val="24"/>
          <w:szCs w:val="24"/>
          <w:u w:val="single"/>
        </w:rPr>
        <w:t>包括服务人员工资（社保、福利、加班费等）、商业保险、管理费、办公费、必要的物料费、耗材费、相关税费以及服务商认为完成本项目所需的其他费用等全部费用</w:t>
      </w:r>
      <w:r>
        <w:rPr>
          <w:rFonts w:hint="eastAsia" w:ascii="仿宋" w:hAnsi="仿宋" w:eastAsia="仿宋" w:cs="仿宋"/>
          <w:sz w:val="24"/>
          <w:szCs w:val="24"/>
        </w:rPr>
        <w:t>。</w:t>
      </w:r>
    </w:p>
    <w:p w14:paraId="7BB7E106">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（二）合同总价一次性包死，不受市场价格变化因素的影响。</w:t>
      </w:r>
    </w:p>
    <w:p w14:paraId="1A582575">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三、款项结算</w:t>
      </w:r>
    </w:p>
    <w:p w14:paraId="773ABB3C">
      <w:pPr>
        <w:widowControl/>
        <w:spacing w:line="40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（一） 付款方式：</w:t>
      </w:r>
    </w:p>
    <w:p w14:paraId="7B690E5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（二）支付方式：银行转账。</w:t>
      </w:r>
    </w:p>
    <w:p w14:paraId="1E87956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（三）结算方式：验收合格后填写政府采购项目验收单（一式伍份），服务商持成交通知书、服务合同、正式发票、政府采购项目验收单，与采购人结算。</w:t>
      </w:r>
    </w:p>
    <w:p w14:paraId="2ED60090">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四、服务保证</w:t>
      </w:r>
    </w:p>
    <w:p w14:paraId="17352C8A">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（一）服务方案科学、可行，人员配置合理，全面满足要求。</w:t>
      </w:r>
    </w:p>
    <w:p w14:paraId="045C30F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（二）符合国家有关服务规范要求，确保服务要求达到本项目要求。</w:t>
      </w:r>
    </w:p>
    <w:p w14:paraId="120394F2">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（三）服务商须接受采购人的各类检查考核，采购人有权根据有关规定对质量考核标准及奖惩办法作相应的修改。</w:t>
      </w:r>
    </w:p>
    <w:p w14:paraId="4193766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（四）服务商提供的服务，若发生侵权而产生的一切后果，由服务商负责，采购人保留索赔权力。</w:t>
      </w:r>
    </w:p>
    <w:p w14:paraId="3FE4E3A3">
      <w:pPr>
        <w:widowControl/>
        <w:spacing w:beforeLines="50" w:line="400" w:lineRule="exact"/>
        <w:jc w:val="left"/>
        <w:rPr>
          <w:rFonts w:ascii="仿宋" w:hAnsi="仿宋" w:eastAsia="仿宋" w:cs="仿宋"/>
          <w:b/>
          <w:sz w:val="24"/>
          <w:szCs w:val="24"/>
        </w:rPr>
      </w:pPr>
      <w:r>
        <w:rPr>
          <w:rFonts w:hint="eastAsia" w:ascii="仿宋" w:hAnsi="仿宋" w:eastAsia="仿宋" w:cs="仿宋"/>
          <w:b/>
          <w:sz w:val="24"/>
          <w:szCs w:val="24"/>
        </w:rPr>
        <w:t>五、验收</w:t>
      </w:r>
    </w:p>
    <w:p w14:paraId="02858E5E">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（一）服务期满后，成交服务商应提供各区域检查记录、考核表等相关资料，采购人根据合同要求，进行验收，确认服务标准和数量。验收合格后，填写政府采购项目验收单（一式伍份）作为对项目的最终认可。</w:t>
      </w:r>
    </w:p>
    <w:p w14:paraId="6910F572">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（二）验收依据</w:t>
      </w:r>
    </w:p>
    <w:p w14:paraId="30C4B3FB">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1、磋商文件、响应文件、澄清表（函）；</w:t>
      </w:r>
    </w:p>
    <w:p w14:paraId="0BB97B96">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2、本合同及附件文本；</w:t>
      </w:r>
    </w:p>
    <w:p w14:paraId="02A22EFE">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3、国家相应的标准、规范。</w:t>
      </w:r>
    </w:p>
    <w:p w14:paraId="3210E89C">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（三）成交服务商应向采购人提交项目实施过程中的所有资料，以便采购人日后管理和维护。</w:t>
      </w:r>
    </w:p>
    <w:p w14:paraId="2C28E4BB">
      <w:pPr>
        <w:widowControl/>
        <w:autoSpaceDE w:val="0"/>
        <w:autoSpaceDN w:val="0"/>
        <w:spacing w:beforeLines="50" w:line="400" w:lineRule="exact"/>
        <w:ind w:right="-34"/>
        <w:textAlignment w:val="bottom"/>
        <w:rPr>
          <w:rFonts w:ascii="仿宋" w:hAnsi="仿宋" w:eastAsia="仿宋" w:cs="仿宋"/>
          <w:b/>
          <w:color w:val="000000"/>
          <w:sz w:val="24"/>
          <w:szCs w:val="24"/>
        </w:rPr>
      </w:pPr>
      <w:r>
        <w:rPr>
          <w:rFonts w:hint="eastAsia" w:ascii="仿宋" w:hAnsi="仿宋" w:eastAsia="仿宋" w:cs="仿宋"/>
          <w:b/>
          <w:color w:val="000000"/>
          <w:sz w:val="24"/>
          <w:szCs w:val="24"/>
        </w:rPr>
        <w:t>六、双方权利义务</w:t>
      </w:r>
    </w:p>
    <w:p w14:paraId="51E1420A">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（一）采购人权利义务</w:t>
      </w:r>
    </w:p>
    <w:p w14:paraId="12DEEB7B">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1、对服务区域内的服务事项有知情权和监督权。对工作中不负责任、违反管理规定的人员，有权提出辞退要求，情况属实，成交服务商应无条件予以执行。</w:t>
      </w:r>
    </w:p>
    <w:p w14:paraId="0C5FFBA6">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2、审定和认可成交服务商制订的维保服务方案、年度服务计划。</w:t>
      </w:r>
    </w:p>
    <w:p w14:paraId="217CFEF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3、监督、检查成交服务商的各项方案和计划的实施，并对成交服务商按照合同约定履行服务的情况进行考核。</w:t>
      </w:r>
    </w:p>
    <w:p w14:paraId="7FD104E2">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4、按照合同约定向成交服务商支付服务费。</w:t>
      </w:r>
    </w:p>
    <w:p w14:paraId="510AB26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5、采购人有权对服务商承诺的维保服务事项进行监督并提出合理化建议。 对服务商未按合同约定履行服务义务 ，有权要求服务商整改到位。</w:t>
      </w:r>
    </w:p>
    <w:p w14:paraId="45714E8D">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6、如因服务商管理不善，造成重大经济损失或管理失误，采购人有权 终止合同。</w:t>
      </w:r>
    </w:p>
    <w:p w14:paraId="2CD95611">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7、法律、法规规定的其他权利义务。</w:t>
      </w:r>
    </w:p>
    <w:p w14:paraId="1798EAC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（二）成交服务商权利义务</w:t>
      </w:r>
    </w:p>
    <w:p w14:paraId="3758E2D1">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1、根据有关法律、法规的规定和合同的约定，在服务区域提供服务，向采购人收取维保服务费用。</w:t>
      </w:r>
    </w:p>
    <w:p w14:paraId="3519636F">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2、结合实际情况，编制服务方案、月度服务计划等。</w:t>
      </w:r>
    </w:p>
    <w:p w14:paraId="21ACE9F0">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3、及时向采购人通报有关服务方面的重大事项；接受采购人对服务内容和质量标准的监督。</w:t>
      </w:r>
    </w:p>
    <w:p w14:paraId="6158D1D3">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4、合同依法解除、协商解除、单方解除或者期满终止时，成交服务商应当按照有关规定和合同约定退出服务，并按有关规定和合同约定办理移交手续。</w:t>
      </w:r>
    </w:p>
    <w:p w14:paraId="4DBE84E3">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5、法律、法规规定的其他权利义务。</w:t>
      </w:r>
    </w:p>
    <w:p w14:paraId="428DCE09">
      <w:pPr>
        <w:widowControl/>
        <w:autoSpaceDE w:val="0"/>
        <w:autoSpaceDN w:val="0"/>
        <w:spacing w:beforeLines="50" w:line="400" w:lineRule="exact"/>
        <w:ind w:right="-34"/>
        <w:textAlignment w:val="bottom"/>
        <w:rPr>
          <w:rFonts w:ascii="仿宋" w:hAnsi="仿宋" w:eastAsia="仿宋" w:cs="仿宋"/>
          <w:b/>
          <w:color w:val="000000"/>
          <w:sz w:val="24"/>
          <w:szCs w:val="24"/>
        </w:rPr>
      </w:pPr>
      <w:r>
        <w:rPr>
          <w:rFonts w:hint="eastAsia" w:ascii="仿宋" w:hAnsi="仿宋" w:eastAsia="仿宋" w:cs="仿宋"/>
          <w:b/>
          <w:color w:val="000000"/>
          <w:sz w:val="24"/>
          <w:szCs w:val="24"/>
        </w:rPr>
        <w:t>七、争议解决</w:t>
      </w:r>
    </w:p>
    <w:p w14:paraId="266B383D">
      <w:pPr>
        <w:widowControl/>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因履行本合同引起的或与本合同有关的争议，双方应首先通过友好协商解决，如果协商不能解决争议，则向西安仲裁委员会申请仲裁解决争议。</w:t>
      </w:r>
    </w:p>
    <w:p w14:paraId="17C54CD7">
      <w:pPr>
        <w:widowControl/>
        <w:spacing w:beforeLines="50" w:line="400" w:lineRule="exact"/>
        <w:jc w:val="left"/>
        <w:rPr>
          <w:rFonts w:ascii="仿宋" w:hAnsi="仿宋" w:eastAsia="仿宋" w:cs="仿宋"/>
          <w:b/>
          <w:sz w:val="24"/>
          <w:szCs w:val="24"/>
        </w:rPr>
      </w:pPr>
      <w:r>
        <w:rPr>
          <w:rFonts w:hint="eastAsia" w:ascii="仿宋" w:hAnsi="仿宋" w:eastAsia="仿宋" w:cs="仿宋"/>
          <w:b/>
          <w:sz w:val="24"/>
          <w:szCs w:val="24"/>
        </w:rPr>
        <w:t>八、违约责任</w:t>
      </w:r>
    </w:p>
    <w:p w14:paraId="7F054E57">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一）未按合同要求提供服务或服务质量不能满足合同要求，采购人应当将成交服务商违约的情况以及拟采取的措施以书面形式报政府采购监管部门，根据政府采购监管部门的处理意见，采购人有权依据《民法典》有关条款及合同约定终止合同，并要求成交服务商承担违约责任。同时，政府采购监管部门有权依据《政府采购法》及相关法律法规对成交服务商的违法行为进行相应的处罚。</w:t>
      </w:r>
    </w:p>
    <w:p w14:paraId="46540CD4">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（二）按《民法典》中的相关条款执行。</w:t>
      </w:r>
    </w:p>
    <w:p w14:paraId="4320E88B">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九、合同生效及其他</w:t>
      </w:r>
    </w:p>
    <w:p w14:paraId="001E4A77">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（一）本合同自签订之日起生效。</w:t>
      </w:r>
    </w:p>
    <w:p w14:paraId="1066AFAB">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（二）合同一式6份，采购人、成交服务商、集中采购机构各执1份；政府采购监管机构备案1份，成交服务商办理结算2份。</w:t>
      </w:r>
    </w:p>
    <w:p w14:paraId="4FF5519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（三）如本合同有未尽事宜，以磋商文件为准，磋商文件未做要求的，由双方依法订立补充合同。</w:t>
      </w:r>
    </w:p>
    <w:p w14:paraId="35FD97E4">
      <w:pPr>
        <w:tabs>
          <w:tab w:val="left" w:pos="480"/>
        </w:tabs>
        <w:spacing w:line="360" w:lineRule="auto"/>
        <w:ind w:firstLine="420" w:firstLineChars="200"/>
        <w:rPr>
          <w:rFonts w:hAnsi="宋体" w:cs="宋体"/>
          <w:szCs w:val="21"/>
        </w:rPr>
      </w:pPr>
    </w:p>
    <w:p w14:paraId="6BCE8077">
      <w:pPr>
        <w:rPr>
          <w:rFonts w:ascii="仿宋" w:hAnsi="仿宋" w:eastAsia="仿宋" w:cs="仿宋"/>
        </w:rPr>
      </w:pPr>
      <w:r>
        <w:rPr>
          <w:rFonts w:hint="eastAsia" w:ascii="仿宋" w:hAnsi="仿宋" w:eastAsia="仿宋" w:cs="仿宋"/>
        </w:rPr>
        <w:br w:type="page"/>
      </w:r>
    </w:p>
    <w:p w14:paraId="50BF2679">
      <w:pPr>
        <w:pStyle w:val="2"/>
        <w:ind w:firstLine="420"/>
        <w:jc w:val="center"/>
        <w:rPr>
          <w:rFonts w:ascii="仿宋" w:hAnsi="仿宋" w:eastAsia="仿宋" w:cs="仿宋"/>
        </w:rPr>
      </w:pPr>
    </w:p>
    <w:p w14:paraId="2D844206">
      <w:pPr>
        <w:pStyle w:val="2"/>
        <w:ind w:firstLine="420"/>
        <w:jc w:val="center"/>
        <w:rPr>
          <w:rFonts w:ascii="仿宋" w:hAnsi="仿宋" w:eastAsia="仿宋" w:cs="仿宋"/>
        </w:rPr>
      </w:pPr>
      <w:r>
        <w:rPr>
          <w:rFonts w:hint="eastAsia" w:ascii="仿宋" w:hAnsi="仿宋" w:eastAsia="仿宋" w:cs="仿宋"/>
        </w:rPr>
        <w:t>（此页无正文）</w:t>
      </w:r>
    </w:p>
    <w:p w14:paraId="5AFEDD4B">
      <w:pPr>
        <w:pStyle w:val="2"/>
        <w:ind w:firstLine="420"/>
        <w:jc w:val="center"/>
        <w:rPr>
          <w:rFonts w:ascii="仿宋" w:hAnsi="仿宋" w:eastAsia="仿宋" w:cs="仿宋"/>
        </w:rPr>
      </w:pPr>
    </w:p>
    <w:p w14:paraId="07C84520">
      <w:pPr>
        <w:pStyle w:val="2"/>
        <w:ind w:firstLine="420"/>
        <w:jc w:val="center"/>
        <w:rPr>
          <w:rFonts w:ascii="仿宋" w:hAnsi="仿宋" w:eastAsia="仿宋" w:cs="仿宋"/>
        </w:rPr>
      </w:pPr>
    </w:p>
    <w:tbl>
      <w:tblPr>
        <w:tblStyle w:val="3"/>
        <w:tblW w:w="9678" w:type="dxa"/>
        <w:jc w:val="center"/>
        <w:tblLayout w:type="fixed"/>
        <w:tblCellMar>
          <w:top w:w="0" w:type="dxa"/>
          <w:left w:w="108" w:type="dxa"/>
          <w:bottom w:w="0" w:type="dxa"/>
          <w:right w:w="108" w:type="dxa"/>
        </w:tblCellMar>
      </w:tblPr>
      <w:tblGrid>
        <w:gridCol w:w="1661"/>
        <w:gridCol w:w="2224"/>
        <w:gridCol w:w="1732"/>
        <w:gridCol w:w="4061"/>
      </w:tblGrid>
      <w:tr w14:paraId="4915909F">
        <w:tblPrEx>
          <w:tblCellMar>
            <w:top w:w="0" w:type="dxa"/>
            <w:left w:w="108" w:type="dxa"/>
            <w:bottom w:w="0" w:type="dxa"/>
            <w:right w:w="108" w:type="dxa"/>
          </w:tblCellMar>
        </w:tblPrEx>
        <w:trPr>
          <w:trHeight w:val="513" w:hRule="atLeast"/>
          <w:tblHeader/>
          <w:jc w:val="center"/>
        </w:trPr>
        <w:tc>
          <w:tcPr>
            <w:tcW w:w="1661" w:type="dxa"/>
            <w:shd w:val="clear" w:color="auto" w:fill="auto"/>
            <w:vAlign w:val="center"/>
          </w:tcPr>
          <w:p w14:paraId="2190BC07">
            <w:pPr>
              <w:widowControl/>
              <w:snapToGrid w:val="0"/>
              <w:jc w:val="center"/>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甲  方：</w:t>
            </w:r>
          </w:p>
          <w:p w14:paraId="08D9F025">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（盖章）</w:t>
            </w:r>
          </w:p>
        </w:tc>
        <w:tc>
          <w:tcPr>
            <w:tcW w:w="2224" w:type="dxa"/>
            <w:shd w:val="clear" w:color="auto" w:fill="auto"/>
            <w:vAlign w:val="center"/>
          </w:tcPr>
          <w:p w14:paraId="1D4E4612">
            <w:pPr>
              <w:snapToGrid w:val="0"/>
              <w:jc w:val="center"/>
              <w:rPr>
                <w:rFonts w:ascii="仿宋" w:hAnsi="仿宋" w:eastAsia="仿宋" w:cs="仿宋"/>
                <w:color w:val="000000"/>
                <w:sz w:val="24"/>
                <w:szCs w:val="24"/>
              </w:rPr>
            </w:pPr>
          </w:p>
        </w:tc>
        <w:tc>
          <w:tcPr>
            <w:tcW w:w="1732" w:type="dxa"/>
            <w:shd w:val="clear" w:color="auto" w:fill="auto"/>
            <w:vAlign w:val="center"/>
          </w:tcPr>
          <w:p w14:paraId="104E02B6">
            <w:pPr>
              <w:widowControl/>
              <w:snapToGrid w:val="0"/>
              <w:jc w:val="right"/>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甲  方：</w:t>
            </w:r>
          </w:p>
          <w:p w14:paraId="16790B06">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（盖章）</w:t>
            </w:r>
          </w:p>
        </w:tc>
        <w:tc>
          <w:tcPr>
            <w:tcW w:w="4061" w:type="dxa"/>
            <w:shd w:val="clear" w:color="auto" w:fill="auto"/>
            <w:vAlign w:val="center"/>
          </w:tcPr>
          <w:p w14:paraId="4A28FF05">
            <w:pPr>
              <w:snapToGrid w:val="0"/>
              <w:jc w:val="center"/>
              <w:rPr>
                <w:rFonts w:ascii="仿宋" w:hAnsi="仿宋" w:eastAsia="仿宋" w:cs="仿宋"/>
                <w:color w:val="000000"/>
                <w:sz w:val="24"/>
                <w:szCs w:val="24"/>
              </w:rPr>
            </w:pPr>
          </w:p>
        </w:tc>
      </w:tr>
      <w:tr w14:paraId="3456EB8F">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05CCC787">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单位名称：</w:t>
            </w:r>
          </w:p>
        </w:tc>
        <w:tc>
          <w:tcPr>
            <w:tcW w:w="2224" w:type="dxa"/>
            <w:shd w:val="clear" w:color="auto" w:fill="auto"/>
            <w:vAlign w:val="center"/>
          </w:tcPr>
          <w:p w14:paraId="798CD885">
            <w:pPr>
              <w:snapToGrid w:val="0"/>
              <w:jc w:val="center"/>
              <w:rPr>
                <w:rFonts w:ascii="仿宋" w:hAnsi="仿宋" w:eastAsia="仿宋" w:cs="仿宋"/>
                <w:color w:val="000000"/>
                <w:sz w:val="24"/>
                <w:szCs w:val="24"/>
              </w:rPr>
            </w:pPr>
          </w:p>
        </w:tc>
        <w:tc>
          <w:tcPr>
            <w:tcW w:w="1732" w:type="dxa"/>
            <w:shd w:val="clear" w:color="auto" w:fill="auto"/>
            <w:vAlign w:val="center"/>
          </w:tcPr>
          <w:p w14:paraId="6837C6A1">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单位名称：</w:t>
            </w:r>
          </w:p>
        </w:tc>
        <w:tc>
          <w:tcPr>
            <w:tcW w:w="4061" w:type="dxa"/>
            <w:shd w:val="clear" w:color="auto" w:fill="auto"/>
            <w:vAlign w:val="center"/>
          </w:tcPr>
          <w:p w14:paraId="34983A18">
            <w:pPr>
              <w:snapToGrid w:val="0"/>
              <w:jc w:val="center"/>
              <w:rPr>
                <w:rFonts w:ascii="仿宋" w:hAnsi="仿宋" w:eastAsia="仿宋" w:cs="仿宋"/>
                <w:color w:val="000000"/>
                <w:sz w:val="24"/>
                <w:szCs w:val="24"/>
              </w:rPr>
            </w:pPr>
          </w:p>
        </w:tc>
      </w:tr>
      <w:tr w14:paraId="5CBB5114">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2F65D2A2">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地  址：</w:t>
            </w:r>
          </w:p>
        </w:tc>
        <w:tc>
          <w:tcPr>
            <w:tcW w:w="2224" w:type="dxa"/>
            <w:shd w:val="clear" w:color="auto" w:fill="auto"/>
            <w:vAlign w:val="center"/>
          </w:tcPr>
          <w:p w14:paraId="2C3114AF">
            <w:pPr>
              <w:snapToGrid w:val="0"/>
              <w:jc w:val="center"/>
              <w:rPr>
                <w:rFonts w:ascii="仿宋" w:hAnsi="仿宋" w:eastAsia="仿宋" w:cs="仿宋"/>
                <w:color w:val="000000"/>
                <w:sz w:val="24"/>
                <w:szCs w:val="24"/>
              </w:rPr>
            </w:pPr>
          </w:p>
        </w:tc>
        <w:tc>
          <w:tcPr>
            <w:tcW w:w="1732" w:type="dxa"/>
            <w:shd w:val="clear" w:color="auto" w:fill="auto"/>
            <w:vAlign w:val="center"/>
          </w:tcPr>
          <w:p w14:paraId="47288DFF">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地  址：</w:t>
            </w:r>
          </w:p>
        </w:tc>
        <w:tc>
          <w:tcPr>
            <w:tcW w:w="4061" w:type="dxa"/>
            <w:shd w:val="clear" w:color="auto" w:fill="auto"/>
            <w:vAlign w:val="center"/>
          </w:tcPr>
          <w:p w14:paraId="4020CCEC">
            <w:pPr>
              <w:snapToGrid w:val="0"/>
              <w:jc w:val="center"/>
              <w:rPr>
                <w:rFonts w:ascii="仿宋" w:hAnsi="仿宋" w:eastAsia="仿宋" w:cs="仿宋"/>
                <w:color w:val="000000"/>
                <w:sz w:val="24"/>
                <w:szCs w:val="24"/>
              </w:rPr>
            </w:pPr>
          </w:p>
        </w:tc>
      </w:tr>
      <w:tr w14:paraId="5C4F505F">
        <w:tblPrEx>
          <w:tblCellMar>
            <w:top w:w="0" w:type="dxa"/>
            <w:left w:w="108" w:type="dxa"/>
            <w:bottom w:w="0" w:type="dxa"/>
            <w:right w:w="108" w:type="dxa"/>
          </w:tblCellMar>
        </w:tblPrEx>
        <w:trPr>
          <w:trHeight w:val="857" w:hRule="atLeast"/>
          <w:tblHeader/>
          <w:jc w:val="center"/>
        </w:trPr>
        <w:tc>
          <w:tcPr>
            <w:tcW w:w="1661" w:type="dxa"/>
            <w:vMerge w:val="restart"/>
            <w:shd w:val="clear" w:color="auto" w:fill="auto"/>
            <w:vAlign w:val="center"/>
          </w:tcPr>
          <w:p w14:paraId="2D7379E8">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法定代表人或委托代理人：</w:t>
            </w:r>
          </w:p>
        </w:tc>
        <w:tc>
          <w:tcPr>
            <w:tcW w:w="2224" w:type="dxa"/>
            <w:vMerge w:val="restart"/>
            <w:shd w:val="clear" w:color="auto" w:fill="auto"/>
            <w:vAlign w:val="center"/>
          </w:tcPr>
          <w:p w14:paraId="34EDE60B">
            <w:pPr>
              <w:snapToGrid w:val="0"/>
              <w:jc w:val="center"/>
              <w:rPr>
                <w:rFonts w:ascii="仿宋" w:hAnsi="仿宋" w:eastAsia="仿宋" w:cs="仿宋"/>
                <w:color w:val="000000"/>
                <w:sz w:val="24"/>
                <w:szCs w:val="24"/>
              </w:rPr>
            </w:pPr>
          </w:p>
        </w:tc>
        <w:tc>
          <w:tcPr>
            <w:tcW w:w="1732" w:type="dxa"/>
            <w:shd w:val="clear" w:color="auto" w:fill="auto"/>
            <w:vAlign w:val="center"/>
          </w:tcPr>
          <w:p w14:paraId="12FCF307">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法定代表人或委托代理人：</w:t>
            </w:r>
          </w:p>
        </w:tc>
        <w:tc>
          <w:tcPr>
            <w:tcW w:w="4061" w:type="dxa"/>
            <w:shd w:val="clear" w:color="auto" w:fill="auto"/>
            <w:vAlign w:val="center"/>
          </w:tcPr>
          <w:p w14:paraId="13CC86CC">
            <w:pPr>
              <w:snapToGrid w:val="0"/>
              <w:jc w:val="center"/>
              <w:rPr>
                <w:rFonts w:ascii="仿宋" w:hAnsi="仿宋" w:eastAsia="仿宋" w:cs="仿宋"/>
                <w:color w:val="000000"/>
                <w:sz w:val="24"/>
                <w:szCs w:val="24"/>
              </w:rPr>
            </w:pPr>
          </w:p>
        </w:tc>
      </w:tr>
      <w:tr w14:paraId="2D7A4E95">
        <w:tblPrEx>
          <w:tblCellMar>
            <w:top w:w="0" w:type="dxa"/>
            <w:left w:w="108" w:type="dxa"/>
            <w:bottom w:w="0" w:type="dxa"/>
            <w:right w:w="108" w:type="dxa"/>
          </w:tblCellMar>
        </w:tblPrEx>
        <w:trPr>
          <w:trHeight w:val="448" w:hRule="atLeast"/>
          <w:tblHeader/>
          <w:jc w:val="center"/>
        </w:trPr>
        <w:tc>
          <w:tcPr>
            <w:tcW w:w="1661" w:type="dxa"/>
            <w:vMerge w:val="continue"/>
            <w:shd w:val="clear" w:color="auto" w:fill="auto"/>
            <w:vAlign w:val="center"/>
          </w:tcPr>
          <w:p w14:paraId="33A4C4A9">
            <w:pPr>
              <w:snapToGrid w:val="0"/>
              <w:jc w:val="center"/>
              <w:rPr>
                <w:rFonts w:ascii="仿宋" w:hAnsi="仿宋" w:eastAsia="仿宋" w:cs="仿宋"/>
                <w:color w:val="000000"/>
                <w:sz w:val="24"/>
                <w:szCs w:val="24"/>
              </w:rPr>
            </w:pPr>
          </w:p>
        </w:tc>
        <w:tc>
          <w:tcPr>
            <w:tcW w:w="2224" w:type="dxa"/>
            <w:vMerge w:val="continue"/>
            <w:shd w:val="clear" w:color="auto" w:fill="auto"/>
            <w:vAlign w:val="center"/>
          </w:tcPr>
          <w:p w14:paraId="664DC8C7">
            <w:pPr>
              <w:snapToGrid w:val="0"/>
              <w:jc w:val="center"/>
              <w:rPr>
                <w:rFonts w:ascii="仿宋" w:hAnsi="仿宋" w:eastAsia="仿宋" w:cs="仿宋"/>
                <w:color w:val="000000"/>
                <w:sz w:val="24"/>
                <w:szCs w:val="24"/>
              </w:rPr>
            </w:pPr>
          </w:p>
        </w:tc>
        <w:tc>
          <w:tcPr>
            <w:tcW w:w="1732" w:type="dxa"/>
            <w:shd w:val="clear" w:color="auto" w:fill="auto"/>
            <w:vAlign w:val="center"/>
          </w:tcPr>
          <w:p w14:paraId="7768A153">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开户银行：</w:t>
            </w:r>
          </w:p>
        </w:tc>
        <w:tc>
          <w:tcPr>
            <w:tcW w:w="4061" w:type="dxa"/>
            <w:shd w:val="clear" w:color="auto" w:fill="auto"/>
            <w:vAlign w:val="center"/>
          </w:tcPr>
          <w:p w14:paraId="32B8171D">
            <w:pPr>
              <w:snapToGrid w:val="0"/>
              <w:jc w:val="center"/>
              <w:rPr>
                <w:rFonts w:ascii="仿宋" w:hAnsi="仿宋" w:eastAsia="仿宋" w:cs="仿宋"/>
                <w:color w:val="000000"/>
                <w:sz w:val="24"/>
                <w:szCs w:val="24"/>
              </w:rPr>
            </w:pPr>
          </w:p>
        </w:tc>
      </w:tr>
      <w:tr w14:paraId="04C2CD2A">
        <w:tblPrEx>
          <w:tblCellMar>
            <w:top w:w="0" w:type="dxa"/>
            <w:left w:w="108" w:type="dxa"/>
            <w:bottom w:w="0" w:type="dxa"/>
            <w:right w:w="108" w:type="dxa"/>
          </w:tblCellMar>
        </w:tblPrEx>
        <w:trPr>
          <w:trHeight w:val="448" w:hRule="atLeast"/>
          <w:tblHeader/>
          <w:jc w:val="center"/>
        </w:trPr>
        <w:tc>
          <w:tcPr>
            <w:tcW w:w="1661" w:type="dxa"/>
            <w:vMerge w:val="continue"/>
            <w:shd w:val="clear" w:color="auto" w:fill="auto"/>
            <w:vAlign w:val="center"/>
          </w:tcPr>
          <w:p w14:paraId="38EA8091">
            <w:pPr>
              <w:snapToGrid w:val="0"/>
              <w:jc w:val="center"/>
              <w:rPr>
                <w:rFonts w:ascii="仿宋" w:hAnsi="仿宋" w:eastAsia="仿宋" w:cs="仿宋"/>
                <w:color w:val="000000"/>
                <w:sz w:val="24"/>
                <w:szCs w:val="24"/>
              </w:rPr>
            </w:pPr>
          </w:p>
        </w:tc>
        <w:tc>
          <w:tcPr>
            <w:tcW w:w="2224" w:type="dxa"/>
            <w:vMerge w:val="continue"/>
            <w:shd w:val="clear" w:color="auto" w:fill="auto"/>
            <w:vAlign w:val="center"/>
          </w:tcPr>
          <w:p w14:paraId="651C1A48">
            <w:pPr>
              <w:snapToGrid w:val="0"/>
              <w:jc w:val="center"/>
              <w:rPr>
                <w:rFonts w:ascii="仿宋" w:hAnsi="仿宋" w:eastAsia="仿宋" w:cs="仿宋"/>
                <w:color w:val="000000"/>
                <w:sz w:val="24"/>
                <w:szCs w:val="24"/>
              </w:rPr>
            </w:pPr>
          </w:p>
        </w:tc>
        <w:tc>
          <w:tcPr>
            <w:tcW w:w="1732" w:type="dxa"/>
            <w:shd w:val="clear" w:color="auto" w:fill="auto"/>
            <w:noWrap/>
            <w:vAlign w:val="center"/>
          </w:tcPr>
          <w:p w14:paraId="58AAE78D">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账  号：</w:t>
            </w:r>
          </w:p>
        </w:tc>
        <w:tc>
          <w:tcPr>
            <w:tcW w:w="4061" w:type="dxa"/>
            <w:shd w:val="clear" w:color="auto" w:fill="auto"/>
            <w:vAlign w:val="center"/>
          </w:tcPr>
          <w:p w14:paraId="691B2239">
            <w:pPr>
              <w:snapToGrid w:val="0"/>
              <w:jc w:val="center"/>
              <w:rPr>
                <w:rFonts w:ascii="仿宋" w:hAnsi="仿宋" w:eastAsia="仿宋" w:cs="仿宋"/>
                <w:color w:val="000000"/>
                <w:sz w:val="24"/>
                <w:szCs w:val="24"/>
              </w:rPr>
            </w:pPr>
          </w:p>
        </w:tc>
      </w:tr>
      <w:tr w14:paraId="614BFC62">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3603F303">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联系电话：</w:t>
            </w:r>
          </w:p>
        </w:tc>
        <w:tc>
          <w:tcPr>
            <w:tcW w:w="2224" w:type="dxa"/>
            <w:shd w:val="clear" w:color="auto" w:fill="auto"/>
            <w:vAlign w:val="center"/>
          </w:tcPr>
          <w:p w14:paraId="78348C85">
            <w:pPr>
              <w:snapToGrid w:val="0"/>
              <w:jc w:val="center"/>
              <w:rPr>
                <w:rFonts w:ascii="仿宋" w:hAnsi="仿宋" w:eastAsia="仿宋" w:cs="仿宋"/>
                <w:color w:val="000000"/>
                <w:sz w:val="24"/>
                <w:szCs w:val="24"/>
              </w:rPr>
            </w:pPr>
          </w:p>
        </w:tc>
        <w:tc>
          <w:tcPr>
            <w:tcW w:w="1732" w:type="dxa"/>
            <w:shd w:val="clear" w:color="auto" w:fill="auto"/>
            <w:vAlign w:val="center"/>
          </w:tcPr>
          <w:p w14:paraId="2613A29E">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联系电话：</w:t>
            </w:r>
          </w:p>
        </w:tc>
        <w:tc>
          <w:tcPr>
            <w:tcW w:w="4061" w:type="dxa"/>
            <w:shd w:val="clear" w:color="auto" w:fill="auto"/>
            <w:vAlign w:val="center"/>
          </w:tcPr>
          <w:p w14:paraId="26650BE4">
            <w:pPr>
              <w:snapToGrid w:val="0"/>
              <w:jc w:val="center"/>
              <w:rPr>
                <w:rFonts w:ascii="仿宋" w:hAnsi="仿宋" w:eastAsia="仿宋" w:cs="仿宋"/>
                <w:color w:val="000000"/>
                <w:sz w:val="24"/>
                <w:szCs w:val="24"/>
              </w:rPr>
            </w:pPr>
          </w:p>
        </w:tc>
      </w:tr>
      <w:tr w14:paraId="79D4EC6F">
        <w:tblPrEx>
          <w:tblCellMar>
            <w:top w:w="0" w:type="dxa"/>
            <w:left w:w="108" w:type="dxa"/>
            <w:bottom w:w="0" w:type="dxa"/>
            <w:right w:w="108" w:type="dxa"/>
          </w:tblCellMar>
        </w:tblPrEx>
        <w:trPr>
          <w:trHeight w:val="896" w:hRule="atLeast"/>
          <w:tblHeader/>
          <w:jc w:val="center"/>
        </w:trPr>
        <w:tc>
          <w:tcPr>
            <w:tcW w:w="1661" w:type="dxa"/>
            <w:shd w:val="clear" w:color="auto" w:fill="auto"/>
            <w:vAlign w:val="center"/>
          </w:tcPr>
          <w:p w14:paraId="0BE710D0">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签订日期：</w:t>
            </w:r>
          </w:p>
        </w:tc>
        <w:tc>
          <w:tcPr>
            <w:tcW w:w="2224" w:type="dxa"/>
            <w:shd w:val="clear" w:color="auto" w:fill="auto"/>
            <w:vAlign w:val="center"/>
          </w:tcPr>
          <w:p w14:paraId="58A9E1C7">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年    月     日</w:t>
            </w:r>
          </w:p>
        </w:tc>
        <w:tc>
          <w:tcPr>
            <w:tcW w:w="1732" w:type="dxa"/>
            <w:shd w:val="clear" w:color="auto" w:fill="auto"/>
            <w:vAlign w:val="center"/>
          </w:tcPr>
          <w:p w14:paraId="17F01832">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签订日期：</w:t>
            </w:r>
          </w:p>
        </w:tc>
        <w:tc>
          <w:tcPr>
            <w:tcW w:w="4061" w:type="dxa"/>
            <w:shd w:val="clear" w:color="auto" w:fill="auto"/>
            <w:vAlign w:val="center"/>
          </w:tcPr>
          <w:p w14:paraId="477B833A">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年    月   日</w:t>
            </w:r>
          </w:p>
        </w:tc>
      </w:tr>
    </w:tbl>
    <w:p w14:paraId="0E007BB2"/>
    <w:p w14:paraId="23EB01CD">
      <w:pPr>
        <w:pStyle w:val="6"/>
        <w:rPr>
          <w:rFonts w:hint="default"/>
        </w:rPr>
      </w:pPr>
    </w:p>
    <w:p w14:paraId="77FCB0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65034"/>
    <w:rsid w:val="21165034"/>
    <w:rsid w:val="383D64EA"/>
    <w:rsid w:val="582A0BD7"/>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200" w:firstLineChars="200"/>
    </w:pPr>
    <w:rPr>
      <w:rFonts w:eastAsia="楷体_GB2312"/>
    </w:rPr>
  </w:style>
  <w:style w:type="paragraph" w:customStyle="1" w:styleId="5">
    <w:name w:val="※正文"/>
    <w:basedOn w:val="1"/>
    <w:next w:val="1"/>
    <w:qFormat/>
    <w:uiPriority w:val="0"/>
    <w:pPr>
      <w:widowControl/>
      <w:wordWrap w:val="0"/>
      <w:spacing w:line="400" w:lineRule="exact"/>
    </w:pPr>
    <w:rPr>
      <w:rFonts w:ascii="Calibri Light" w:hAnsi="Calibri Light"/>
      <w:szCs w:val="2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1628</Words>
  <Characters>1628</Characters>
  <Lines>0</Lines>
  <Paragraphs>0</Paragraphs>
  <TotalTime>0</TotalTime>
  <ScaleCrop>false</ScaleCrop>
  <LinksUpToDate>false</LinksUpToDate>
  <CharactersWithSpaces>1685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2026-04-27T09:10:00Z</dcterms:created>
  <dc:creator>救赎</dc:creator>
  <cp:lastModifiedBy>救赎</cp:lastModifiedBy>
  <dcterms:modified xsi:type="dcterms:W3CDTF">2026-06-05T03:58:26Z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3CA991A66D6C48C28F6C0F664E86641F_11</vt:lpwstr>
  </property>
  <property fmtid="{D5CDD505-2E9C-101B-9397-08002B2CF9AE}" pid="4" name="KSOTemplateDocerSaveRecord">
    <vt:lpwstr>eyJoZGlkIjoiYWY2MDIyMzQzYjM2ODQxODVjMmE5N2Y0OWY1OGFkNTYiLCJ1c2VySWQiOiIxNTU5MDg0MTUyIn0=</vt:lpwstr>
  </property>
</Properties>
</file>